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5C9D9" w14:textId="77777777" w:rsidR="00805000" w:rsidRDefault="00805000" w:rsidP="00D45CF3">
      <w:pPr>
        <w:jc w:val="center"/>
        <w:rPr>
          <w:rFonts w:cstheme="minorHAnsi"/>
          <w:b/>
          <w:bCs/>
        </w:rPr>
      </w:pPr>
    </w:p>
    <w:p w14:paraId="732D3AD5" w14:textId="77777777" w:rsidR="00D45CF3" w:rsidRPr="00054FF4" w:rsidRDefault="00D45CF3" w:rsidP="00D45CF3">
      <w:pPr>
        <w:jc w:val="center"/>
        <w:rPr>
          <w:rFonts w:cstheme="minorHAnsi"/>
          <w:b/>
          <w:bCs/>
        </w:rPr>
      </w:pPr>
      <w:r w:rsidRPr="00054FF4">
        <w:rPr>
          <w:rFonts w:cstheme="minorHAnsi"/>
          <w:b/>
          <w:bCs/>
        </w:rPr>
        <w:t>APPLICANT QUESTIONS</w:t>
      </w:r>
      <w:r w:rsidR="00006750">
        <w:rPr>
          <w:rFonts w:cstheme="minorHAnsi"/>
          <w:b/>
          <w:bCs/>
        </w:rPr>
        <w:t xml:space="preserve"> #</w:t>
      </w:r>
      <w:r w:rsidR="00C77537">
        <w:rPr>
          <w:rFonts w:cstheme="minorHAnsi"/>
          <w:b/>
          <w:bCs/>
        </w:rPr>
        <w:t>3</w:t>
      </w:r>
    </w:p>
    <w:p w14:paraId="2936F5A4" w14:textId="77777777" w:rsidR="00D45CF3" w:rsidRPr="00054FF4" w:rsidRDefault="00D45CF3" w:rsidP="00D45CF3">
      <w:pPr>
        <w:jc w:val="center"/>
        <w:rPr>
          <w:rFonts w:cstheme="minorHAnsi"/>
        </w:rPr>
      </w:pPr>
      <w:r w:rsidRPr="00054FF4">
        <w:rPr>
          <w:rFonts w:cstheme="minorHAnsi"/>
          <w:i/>
          <w:iCs/>
        </w:rPr>
        <w:t xml:space="preserve">Responses should be sent to </w:t>
      </w:r>
      <w:proofErr w:type="spellStart"/>
      <w:r w:rsidRPr="00054FF4">
        <w:rPr>
          <w:rFonts w:cstheme="minorHAnsi"/>
          <w:i/>
          <w:iCs/>
        </w:rPr>
        <w:t>DoN</w:t>
      </w:r>
      <w:proofErr w:type="spellEnd"/>
      <w:r w:rsidRPr="00054FF4">
        <w:rPr>
          <w:rFonts w:cstheme="minorHAnsi"/>
          <w:i/>
          <w:iCs/>
        </w:rPr>
        <w:t xml:space="preserve"> staff at </w:t>
      </w:r>
      <w:hyperlink r:id="rId9" w:history="1">
        <w:r w:rsidRPr="00054FF4">
          <w:rPr>
            <w:rStyle w:val="Hyperlink"/>
            <w:rFonts w:cstheme="minorHAnsi"/>
          </w:rPr>
          <w:t>DPH.DON@State.MA.US</w:t>
        </w:r>
      </w:hyperlink>
    </w:p>
    <w:tbl>
      <w:tblPr>
        <w:tblStyle w:val="TableGrid"/>
        <w:tblW w:w="0" w:type="auto"/>
        <w:jc w:val="center"/>
        <w:tblLook w:val="04A0" w:firstRow="1" w:lastRow="0" w:firstColumn="1" w:lastColumn="0" w:noHBand="0" w:noVBand="1"/>
      </w:tblPr>
      <w:tblGrid>
        <w:gridCol w:w="9350"/>
      </w:tblGrid>
      <w:tr w:rsidR="00D45CF3" w:rsidRPr="00054FF4" w14:paraId="41CB1BEF" w14:textId="77777777" w:rsidTr="001F311C">
        <w:trPr>
          <w:jc w:val="center"/>
        </w:trPr>
        <w:tc>
          <w:tcPr>
            <w:tcW w:w="9350" w:type="dxa"/>
          </w:tcPr>
          <w:p w14:paraId="3C7A5C96" w14:textId="77777777" w:rsidR="00D45CF3" w:rsidRPr="00054FF4" w:rsidRDefault="00D45CF3" w:rsidP="001F311C">
            <w:pPr>
              <w:rPr>
                <w:rFonts w:cstheme="minorHAnsi"/>
                <w:bCs/>
              </w:rPr>
            </w:pPr>
            <w:r w:rsidRPr="00054FF4">
              <w:rPr>
                <w:rFonts w:cstheme="minorHAnsi"/>
                <w:bCs/>
              </w:rPr>
              <w:t xml:space="preserve">While you may submit each answer as available, </w:t>
            </w:r>
            <w:proofErr w:type="gramStart"/>
            <w:r w:rsidRPr="00054FF4">
              <w:rPr>
                <w:rFonts w:cstheme="minorHAnsi"/>
                <w:bCs/>
              </w:rPr>
              <w:t>please</w:t>
            </w:r>
            <w:proofErr w:type="gramEnd"/>
            <w:r w:rsidRPr="00054FF4">
              <w:rPr>
                <w:rFonts w:cstheme="minorHAnsi"/>
                <w:bCs/>
              </w:rPr>
              <w:t xml:space="preserve"> </w:t>
            </w:r>
          </w:p>
          <w:p w14:paraId="3D3EAF53"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List question number and question for each answer you </w:t>
            </w:r>
            <w:proofErr w:type="gramStart"/>
            <w:r w:rsidRPr="00054FF4">
              <w:rPr>
                <w:rFonts w:cstheme="minorHAnsi"/>
                <w:bCs/>
              </w:rPr>
              <w:t>provide</w:t>
            </w:r>
            <w:proofErr w:type="gramEnd"/>
            <w:r w:rsidRPr="00054FF4">
              <w:rPr>
                <w:rFonts w:cstheme="minorHAnsi"/>
                <w:bCs/>
              </w:rPr>
              <w:t xml:space="preserve"> </w:t>
            </w:r>
          </w:p>
          <w:p w14:paraId="28D8CBE9"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Submit responses as a separate word document, using the above application title and number as a running header and page numbers in the </w:t>
            </w:r>
            <w:proofErr w:type="gramStart"/>
            <w:r w:rsidRPr="00054FF4">
              <w:rPr>
                <w:rFonts w:cstheme="minorHAnsi"/>
                <w:bCs/>
              </w:rPr>
              <w:t>footer</w:t>
            </w:r>
            <w:proofErr w:type="gramEnd"/>
            <w:r w:rsidRPr="00054FF4">
              <w:rPr>
                <w:rFonts w:cstheme="minorHAnsi"/>
                <w:bCs/>
              </w:rPr>
              <w:t xml:space="preserve"> </w:t>
            </w:r>
          </w:p>
          <w:p w14:paraId="20136B6F"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When providing the answer to the final question, submit all questions and answers in one final </w:t>
            </w:r>
            <w:proofErr w:type="gramStart"/>
            <w:r w:rsidRPr="00054FF4">
              <w:rPr>
                <w:rFonts w:cstheme="minorHAnsi"/>
                <w:bCs/>
              </w:rPr>
              <w:t>document</w:t>
            </w:r>
            <w:proofErr w:type="gramEnd"/>
            <w:r w:rsidRPr="00054FF4">
              <w:rPr>
                <w:rFonts w:cstheme="minorHAnsi"/>
                <w:bCs/>
              </w:rPr>
              <w:t xml:space="preserve"> </w:t>
            </w:r>
          </w:p>
          <w:p w14:paraId="240D473C" w14:textId="77777777" w:rsidR="00D45CF3" w:rsidRPr="00054FF4" w:rsidRDefault="00D45CF3" w:rsidP="00D45CF3">
            <w:pPr>
              <w:pStyle w:val="ListParagraph"/>
              <w:numPr>
                <w:ilvl w:val="0"/>
                <w:numId w:val="2"/>
              </w:numPr>
              <w:rPr>
                <w:rFonts w:cstheme="minorHAnsi"/>
                <w:b/>
              </w:rPr>
            </w:pPr>
            <w:r w:rsidRPr="00054FF4">
              <w:rPr>
                <w:rFonts w:cstheme="minorHAnsi"/>
                <w:bCs/>
              </w:rPr>
              <w:t xml:space="preserve">Submit responses in WORD or EXCEL; only use PDF’s if </w:t>
            </w:r>
            <w:proofErr w:type="gramStart"/>
            <w:r w:rsidRPr="00054FF4">
              <w:rPr>
                <w:rFonts w:cstheme="minorHAnsi"/>
                <w:bCs/>
              </w:rPr>
              <w:t>absolutely necessary</w:t>
            </w:r>
            <w:proofErr w:type="gramEnd"/>
            <w:r w:rsidRPr="00054FF4">
              <w:rPr>
                <w:rFonts w:cstheme="minorHAnsi"/>
                <w:bCs/>
              </w:rPr>
              <w:t xml:space="preserve">. If “cutting and pasting” charts, provide them in a PDF so they can be clearly </w:t>
            </w:r>
            <w:proofErr w:type="gramStart"/>
            <w:r w:rsidRPr="00054FF4">
              <w:rPr>
                <w:rFonts w:cstheme="minorHAnsi"/>
                <w:bCs/>
              </w:rPr>
              <w:t>seen</w:t>
            </w:r>
            <w:proofErr w:type="gramEnd"/>
          </w:p>
          <w:p w14:paraId="2C728E55" w14:textId="77777777" w:rsidR="00D45CF3" w:rsidRPr="00054FF4" w:rsidRDefault="00D45CF3" w:rsidP="00D45CF3">
            <w:pPr>
              <w:pStyle w:val="ListParagraph"/>
              <w:numPr>
                <w:ilvl w:val="0"/>
                <w:numId w:val="2"/>
              </w:numPr>
              <w:rPr>
                <w:rFonts w:cstheme="minorHAnsi"/>
                <w:b/>
              </w:rPr>
            </w:pPr>
            <w:r w:rsidRPr="00054FF4">
              <w:rPr>
                <w:rFonts w:cstheme="minorHAnsi"/>
                <w:b/>
              </w:rPr>
              <w:t>Whenever possible, include a table with the response</w:t>
            </w:r>
          </w:p>
        </w:tc>
      </w:tr>
    </w:tbl>
    <w:p w14:paraId="1D42F2FD" w14:textId="77777777" w:rsidR="00AA1093" w:rsidRDefault="00AA1093">
      <w:pPr>
        <w:rPr>
          <w:rFonts w:cstheme="minorHAnsi"/>
          <w:b/>
          <w:bCs/>
        </w:rPr>
      </w:pPr>
    </w:p>
    <w:p w14:paraId="7609D9D5" w14:textId="43AB4A01" w:rsidR="00ED1D5D" w:rsidRDefault="001D7789">
      <w:pPr>
        <w:rPr>
          <w:rFonts w:cstheme="minorHAnsi"/>
          <w:b/>
          <w:bCs/>
        </w:rPr>
      </w:pPr>
      <w:r w:rsidRPr="006345D0">
        <w:rPr>
          <w:rFonts w:cstheme="minorHAnsi"/>
          <w:b/>
          <w:bCs/>
        </w:rPr>
        <w:t>Factor 1a: Patient Panel Need</w:t>
      </w:r>
    </w:p>
    <w:p w14:paraId="72F6ADC5" w14:textId="2B05E065" w:rsidR="00756F0D" w:rsidRPr="00AA1093" w:rsidRDefault="00756F0D" w:rsidP="00F8759C">
      <w:pPr>
        <w:pStyle w:val="ListParagraph"/>
        <w:numPr>
          <w:ilvl w:val="0"/>
          <w:numId w:val="16"/>
        </w:numPr>
        <w:rPr>
          <w:rFonts w:cstheme="minorHAnsi"/>
          <w:b/>
        </w:rPr>
      </w:pPr>
      <w:r w:rsidRPr="00AA1093">
        <w:rPr>
          <w:rFonts w:cstheme="minorHAnsi"/>
          <w:b/>
        </w:rPr>
        <w:t xml:space="preserve">To better understand Patient </w:t>
      </w:r>
      <w:proofErr w:type="gramStart"/>
      <w:r w:rsidRPr="00AA1093">
        <w:rPr>
          <w:rFonts w:cstheme="minorHAnsi"/>
          <w:b/>
        </w:rPr>
        <w:t>Panel</w:t>
      </w:r>
      <w:proofErr w:type="gramEnd"/>
      <w:r w:rsidRPr="00AA1093">
        <w:rPr>
          <w:rFonts w:cstheme="minorHAnsi"/>
          <w:b/>
        </w:rPr>
        <w:t xml:space="preserve"> need for the Proposed Project</w:t>
      </w:r>
      <w:r w:rsidR="00837FCE" w:rsidRPr="00AA1093">
        <w:rPr>
          <w:rFonts w:cstheme="minorHAnsi"/>
          <w:b/>
        </w:rPr>
        <w:t xml:space="preserve"> in North Berkshire</w:t>
      </w:r>
      <w:r w:rsidRPr="00AA1093">
        <w:rPr>
          <w:rFonts w:cstheme="minorHAnsi"/>
          <w:b/>
        </w:rPr>
        <w:t>, provide a breakdown of the BMC Acute Care Patients North County Patient Population and the North County Outpatients Patient Population</w:t>
      </w:r>
      <w:r w:rsidR="005B7293" w:rsidRPr="00AA1093">
        <w:rPr>
          <w:rFonts w:cstheme="minorHAnsi"/>
          <w:b/>
        </w:rPr>
        <w:t xml:space="preserve"> by zip code</w:t>
      </w:r>
      <w:r w:rsidR="00E173A1" w:rsidRPr="00AA1093">
        <w:rPr>
          <w:rFonts w:cstheme="minorHAnsi"/>
          <w:b/>
        </w:rPr>
        <w:t xml:space="preserve"> for FY22</w:t>
      </w:r>
      <w:r w:rsidR="005B7293" w:rsidRPr="00AA1093">
        <w:rPr>
          <w:rFonts w:cstheme="minorHAnsi"/>
          <w:b/>
        </w:rPr>
        <w:t>.</w:t>
      </w:r>
      <w:r w:rsidRPr="00AA1093">
        <w:rPr>
          <w:rFonts w:cstheme="minorHAnsi"/>
          <w:b/>
        </w:rPr>
        <w:t xml:space="preserve"> </w:t>
      </w:r>
      <w:r w:rsidR="005F3FDA" w:rsidRPr="00AA1093">
        <w:rPr>
          <w:rFonts w:cstheme="minorHAnsi"/>
          <w:b/>
        </w:rPr>
        <w:t xml:space="preserve">If the count </w:t>
      </w:r>
      <w:r w:rsidR="000768E5" w:rsidRPr="00AA1093">
        <w:rPr>
          <w:rFonts w:cstheme="minorHAnsi"/>
          <w:b/>
        </w:rPr>
        <w:t xml:space="preserve">for a zip code </w:t>
      </w:r>
      <w:r w:rsidR="005F3FDA" w:rsidRPr="00AA1093">
        <w:rPr>
          <w:rFonts w:cstheme="minorHAnsi"/>
          <w:b/>
        </w:rPr>
        <w:t>is &lt; 11 use Other and specify which cities/towns are included in that category.</w:t>
      </w:r>
      <w:r w:rsidR="00F852F4" w:rsidRPr="00AA1093">
        <w:rPr>
          <w:rFonts w:cstheme="minorHAnsi"/>
          <w:b/>
        </w:rPr>
        <w:t xml:space="preserve">  </w:t>
      </w:r>
    </w:p>
    <w:p w14:paraId="3A30B9A5" w14:textId="00366B5E" w:rsidR="00A6349B" w:rsidRPr="00AA1093" w:rsidRDefault="00AA1093" w:rsidP="00A6349B">
      <w:pPr>
        <w:ind w:left="360"/>
        <w:rPr>
          <w:rFonts w:cstheme="minorHAnsi"/>
        </w:rPr>
      </w:pPr>
      <w:r w:rsidRPr="00AA1093">
        <w:rPr>
          <w:rFonts w:cstheme="minorHAnsi"/>
          <w:u w:val="single"/>
        </w:rPr>
        <w:t>Response</w:t>
      </w:r>
      <w:r w:rsidRPr="00AA1093">
        <w:rPr>
          <w:rFonts w:cstheme="minorHAnsi"/>
        </w:rPr>
        <w:t xml:space="preserve">:   </w:t>
      </w:r>
      <w:r>
        <w:rPr>
          <w:rFonts w:cstheme="minorHAnsi"/>
        </w:rPr>
        <w:t xml:space="preserve"> </w:t>
      </w:r>
      <w:r w:rsidR="00A6349B" w:rsidRPr="00AA1093">
        <w:rPr>
          <w:rFonts w:cstheme="minorHAnsi"/>
        </w:rPr>
        <w:t xml:space="preserve">BMC Acute Care Patients North Count Patient Population by Zip Code </w:t>
      </w:r>
    </w:p>
    <w:tbl>
      <w:tblPr>
        <w:tblW w:w="0" w:type="auto"/>
        <w:tblInd w:w="720" w:type="dxa"/>
        <w:tblCellMar>
          <w:left w:w="0" w:type="dxa"/>
          <w:right w:w="0" w:type="dxa"/>
        </w:tblCellMar>
        <w:tblLook w:val="04A0" w:firstRow="1" w:lastRow="0" w:firstColumn="1" w:lastColumn="0" w:noHBand="0" w:noVBand="1"/>
      </w:tblPr>
      <w:tblGrid>
        <w:gridCol w:w="1345"/>
        <w:gridCol w:w="2340"/>
      </w:tblGrid>
      <w:tr w:rsidR="00A6349B" w:rsidRPr="00AA1093" w14:paraId="46E48870" w14:textId="77777777" w:rsidTr="00276104">
        <w:trPr>
          <w:cantSplit/>
          <w:tblHeader/>
        </w:trPr>
        <w:tc>
          <w:tcPr>
            <w:tcW w:w="1345" w:type="dxa"/>
            <w:tcBorders>
              <w:top w:val="single" w:sz="8" w:space="0" w:color="auto"/>
              <w:left w:val="single" w:sz="8" w:space="0" w:color="auto"/>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7A4ECC86" w14:textId="77777777" w:rsidR="00A6349B" w:rsidRPr="00AA1093" w:rsidRDefault="00A6349B" w:rsidP="00A6349B">
            <w:pPr>
              <w:pStyle w:val="ListParagraph"/>
              <w:spacing w:after="0" w:line="240" w:lineRule="auto"/>
              <w:ind w:left="0"/>
              <w:jc w:val="center"/>
              <w:rPr>
                <w:rFonts w:ascii="Calibri" w:hAnsi="Calibri" w:cs="Calibri"/>
                <w:sz w:val="18"/>
              </w:rPr>
            </w:pPr>
            <w:r w:rsidRPr="00AA1093">
              <w:rPr>
                <w:rFonts w:ascii="Calibri" w:hAnsi="Calibri" w:cs="Calibri"/>
                <w:sz w:val="18"/>
              </w:rPr>
              <w:t>Zip Code</w:t>
            </w:r>
          </w:p>
        </w:tc>
        <w:tc>
          <w:tcPr>
            <w:tcW w:w="2340" w:type="dxa"/>
            <w:tcBorders>
              <w:top w:val="single" w:sz="8" w:space="0" w:color="auto"/>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3C092BDD" w14:textId="77777777" w:rsidR="00A6349B" w:rsidRPr="00AA1093" w:rsidRDefault="00A6349B" w:rsidP="00A6349B">
            <w:pPr>
              <w:pStyle w:val="ListParagraph"/>
              <w:spacing w:after="0" w:line="240" w:lineRule="auto"/>
              <w:ind w:left="0"/>
              <w:jc w:val="center"/>
              <w:rPr>
                <w:rFonts w:ascii="Calibri" w:hAnsi="Calibri" w:cs="Calibri"/>
                <w:sz w:val="18"/>
              </w:rPr>
            </w:pPr>
            <w:r w:rsidRPr="00AA1093">
              <w:rPr>
                <w:rFonts w:ascii="Calibri" w:hAnsi="Calibri" w:cs="Calibri"/>
                <w:sz w:val="18"/>
              </w:rPr>
              <w:t>BMC Acute Care Patients with a North County Zip Code</w:t>
            </w:r>
          </w:p>
        </w:tc>
      </w:tr>
      <w:tr w:rsidR="00A6349B" w:rsidRPr="00AA1093" w14:paraId="57A7C77B" w14:textId="77777777" w:rsidTr="00276104">
        <w:trPr>
          <w:cantSplit/>
        </w:trPr>
        <w:tc>
          <w:tcPr>
            <w:tcW w:w="1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311A5" w14:textId="77777777" w:rsidR="00A6349B" w:rsidRPr="00AA1093" w:rsidRDefault="00A6349B" w:rsidP="00A6349B">
            <w:pPr>
              <w:pStyle w:val="ListParagraph"/>
              <w:spacing w:after="0" w:line="240" w:lineRule="auto"/>
              <w:ind w:left="0"/>
              <w:jc w:val="center"/>
              <w:rPr>
                <w:rFonts w:ascii="Calibri" w:hAnsi="Calibri" w:cs="Calibri"/>
                <w:sz w:val="18"/>
              </w:rPr>
            </w:pPr>
            <w:r w:rsidRPr="00AA1093">
              <w:rPr>
                <w:rFonts w:ascii="Calibri" w:hAnsi="Calibri" w:cs="Calibri"/>
                <w:sz w:val="18"/>
              </w:rPr>
              <w:t>01220</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35D8C26E" w14:textId="77777777" w:rsidR="00A6349B" w:rsidRPr="00AA1093" w:rsidRDefault="00A6349B" w:rsidP="00A6349B">
            <w:pPr>
              <w:pStyle w:val="ListParagraph"/>
              <w:spacing w:after="0" w:line="240" w:lineRule="auto"/>
              <w:ind w:left="0"/>
              <w:jc w:val="center"/>
              <w:rPr>
                <w:rFonts w:ascii="Calibri" w:hAnsi="Calibri" w:cs="Calibri"/>
                <w:sz w:val="18"/>
              </w:rPr>
            </w:pPr>
            <w:r w:rsidRPr="00AA1093">
              <w:rPr>
                <w:rFonts w:ascii="Calibri" w:hAnsi="Calibri" w:cs="Calibri"/>
                <w:sz w:val="18"/>
              </w:rPr>
              <w:t>867</w:t>
            </w:r>
          </w:p>
        </w:tc>
      </w:tr>
      <w:tr w:rsidR="00A6349B" w:rsidRPr="00AA1093" w14:paraId="1AACAC19" w14:textId="77777777" w:rsidTr="00276104">
        <w:trPr>
          <w:cantSplit/>
        </w:trPr>
        <w:tc>
          <w:tcPr>
            <w:tcW w:w="1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9CAB80" w14:textId="77777777" w:rsidR="00A6349B" w:rsidRPr="00AA1093" w:rsidRDefault="00A6349B" w:rsidP="00A6349B">
            <w:pPr>
              <w:pStyle w:val="ListParagraph"/>
              <w:spacing w:after="0" w:line="240" w:lineRule="auto"/>
              <w:ind w:left="0"/>
              <w:jc w:val="center"/>
              <w:rPr>
                <w:rFonts w:ascii="Calibri" w:hAnsi="Calibri" w:cs="Calibri"/>
                <w:sz w:val="18"/>
              </w:rPr>
            </w:pPr>
            <w:r w:rsidRPr="00AA1093">
              <w:rPr>
                <w:rFonts w:ascii="Calibri" w:hAnsi="Calibri" w:cs="Calibri"/>
                <w:sz w:val="18"/>
              </w:rPr>
              <w:t>01225</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76C23F8" w14:textId="77777777" w:rsidR="00A6349B" w:rsidRPr="00AA1093" w:rsidRDefault="00A6349B" w:rsidP="00A6349B">
            <w:pPr>
              <w:pStyle w:val="ListParagraph"/>
              <w:spacing w:after="0" w:line="240" w:lineRule="auto"/>
              <w:ind w:left="0"/>
              <w:jc w:val="center"/>
              <w:rPr>
                <w:rFonts w:ascii="Calibri" w:hAnsi="Calibri" w:cs="Calibri"/>
                <w:sz w:val="18"/>
              </w:rPr>
            </w:pPr>
            <w:r w:rsidRPr="00AA1093">
              <w:rPr>
                <w:rFonts w:ascii="Calibri" w:hAnsi="Calibri" w:cs="Calibri"/>
                <w:sz w:val="18"/>
              </w:rPr>
              <w:t>321</w:t>
            </w:r>
          </w:p>
        </w:tc>
      </w:tr>
      <w:tr w:rsidR="00A6349B" w:rsidRPr="00AA1093" w14:paraId="078E9233" w14:textId="77777777" w:rsidTr="00276104">
        <w:trPr>
          <w:cantSplit/>
        </w:trPr>
        <w:tc>
          <w:tcPr>
            <w:tcW w:w="1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530E1A" w14:textId="77777777" w:rsidR="00A6349B" w:rsidRPr="00AA1093" w:rsidRDefault="00A6349B" w:rsidP="00A6349B">
            <w:pPr>
              <w:pStyle w:val="ListParagraph"/>
              <w:spacing w:after="0" w:line="240" w:lineRule="auto"/>
              <w:ind w:left="0"/>
              <w:jc w:val="center"/>
              <w:rPr>
                <w:rFonts w:ascii="Calibri" w:hAnsi="Calibri" w:cs="Calibri"/>
                <w:sz w:val="18"/>
              </w:rPr>
            </w:pPr>
            <w:r w:rsidRPr="00AA1093">
              <w:rPr>
                <w:rFonts w:ascii="Calibri" w:hAnsi="Calibri" w:cs="Calibri"/>
                <w:sz w:val="18"/>
              </w:rPr>
              <w:t>01247</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2650DF2D" w14:textId="77777777" w:rsidR="00A6349B" w:rsidRPr="00AA1093" w:rsidRDefault="00A6349B" w:rsidP="00A6349B">
            <w:pPr>
              <w:pStyle w:val="ListParagraph"/>
              <w:spacing w:after="0" w:line="240" w:lineRule="auto"/>
              <w:ind w:left="0"/>
              <w:jc w:val="center"/>
              <w:rPr>
                <w:rFonts w:ascii="Calibri" w:hAnsi="Calibri" w:cs="Calibri"/>
                <w:sz w:val="18"/>
              </w:rPr>
            </w:pPr>
            <w:r w:rsidRPr="00AA1093">
              <w:rPr>
                <w:rFonts w:ascii="Calibri" w:hAnsi="Calibri" w:cs="Calibri"/>
                <w:sz w:val="18"/>
              </w:rPr>
              <w:t>1,883</w:t>
            </w:r>
          </w:p>
        </w:tc>
      </w:tr>
      <w:tr w:rsidR="00A6349B" w:rsidRPr="00AA1093" w14:paraId="01FE2B36" w14:textId="77777777" w:rsidTr="00276104">
        <w:trPr>
          <w:cantSplit/>
        </w:trPr>
        <w:tc>
          <w:tcPr>
            <w:tcW w:w="1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B61A2" w14:textId="77777777" w:rsidR="00A6349B" w:rsidRPr="00AA1093" w:rsidRDefault="00A6349B" w:rsidP="00A6349B">
            <w:pPr>
              <w:pStyle w:val="ListParagraph"/>
              <w:spacing w:after="0" w:line="240" w:lineRule="auto"/>
              <w:ind w:left="0"/>
              <w:jc w:val="center"/>
              <w:rPr>
                <w:rFonts w:ascii="Calibri" w:hAnsi="Calibri" w:cs="Calibri"/>
                <w:sz w:val="18"/>
              </w:rPr>
            </w:pPr>
            <w:r w:rsidRPr="00AA1093">
              <w:rPr>
                <w:rFonts w:ascii="Calibri" w:hAnsi="Calibri" w:cs="Calibri"/>
                <w:sz w:val="18"/>
              </w:rPr>
              <w:t>01256</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152D32AF" w14:textId="77777777" w:rsidR="00A6349B" w:rsidRPr="00AA1093" w:rsidRDefault="00A6349B" w:rsidP="00A6349B">
            <w:pPr>
              <w:pStyle w:val="ListParagraph"/>
              <w:spacing w:after="0" w:line="240" w:lineRule="auto"/>
              <w:ind w:left="0"/>
              <w:jc w:val="center"/>
              <w:rPr>
                <w:rFonts w:ascii="Calibri" w:hAnsi="Calibri" w:cs="Calibri"/>
                <w:sz w:val="18"/>
              </w:rPr>
            </w:pPr>
            <w:r w:rsidRPr="00AA1093">
              <w:rPr>
                <w:rFonts w:ascii="Calibri" w:hAnsi="Calibri" w:cs="Calibri"/>
                <w:sz w:val="18"/>
              </w:rPr>
              <w:t>42</w:t>
            </w:r>
          </w:p>
        </w:tc>
      </w:tr>
      <w:tr w:rsidR="00A6349B" w:rsidRPr="00AA1093" w14:paraId="750D3466" w14:textId="77777777" w:rsidTr="00276104">
        <w:trPr>
          <w:cantSplit/>
        </w:trPr>
        <w:tc>
          <w:tcPr>
            <w:tcW w:w="1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C5C9C" w14:textId="77777777" w:rsidR="00A6349B" w:rsidRPr="00AA1093" w:rsidRDefault="00A6349B" w:rsidP="00A6349B">
            <w:pPr>
              <w:pStyle w:val="ListParagraph"/>
              <w:spacing w:after="0" w:line="240" w:lineRule="auto"/>
              <w:ind w:left="0"/>
              <w:jc w:val="center"/>
              <w:rPr>
                <w:rFonts w:ascii="Calibri" w:hAnsi="Calibri" w:cs="Calibri"/>
                <w:sz w:val="18"/>
              </w:rPr>
            </w:pPr>
            <w:r w:rsidRPr="00AA1093">
              <w:rPr>
                <w:rFonts w:ascii="Calibri" w:hAnsi="Calibri" w:cs="Calibri"/>
                <w:sz w:val="18"/>
              </w:rPr>
              <w:t>01267</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510983AC" w14:textId="77777777" w:rsidR="00A6349B" w:rsidRPr="00AA1093" w:rsidRDefault="00A6349B" w:rsidP="00A6349B">
            <w:pPr>
              <w:pStyle w:val="ListParagraph"/>
              <w:spacing w:after="0" w:line="240" w:lineRule="auto"/>
              <w:ind w:left="0"/>
              <w:jc w:val="center"/>
              <w:rPr>
                <w:rFonts w:ascii="Calibri" w:hAnsi="Calibri" w:cs="Calibri"/>
                <w:sz w:val="18"/>
              </w:rPr>
            </w:pPr>
            <w:r w:rsidRPr="00AA1093">
              <w:rPr>
                <w:rFonts w:ascii="Calibri" w:hAnsi="Calibri" w:cs="Calibri"/>
                <w:sz w:val="18"/>
              </w:rPr>
              <w:t>558</w:t>
            </w:r>
          </w:p>
        </w:tc>
      </w:tr>
      <w:tr w:rsidR="00A6349B" w:rsidRPr="00AA1093" w14:paraId="6F73D02E" w14:textId="77777777" w:rsidTr="00276104">
        <w:trPr>
          <w:cantSplit/>
        </w:trPr>
        <w:tc>
          <w:tcPr>
            <w:tcW w:w="1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A021DF" w14:textId="77777777" w:rsidR="00A6349B" w:rsidRPr="00AA1093" w:rsidRDefault="00A6349B" w:rsidP="00A6349B">
            <w:pPr>
              <w:pStyle w:val="ListParagraph"/>
              <w:spacing w:after="0" w:line="240" w:lineRule="auto"/>
              <w:ind w:left="0"/>
              <w:jc w:val="center"/>
              <w:rPr>
                <w:rFonts w:ascii="Calibri" w:hAnsi="Calibri" w:cs="Calibri"/>
                <w:sz w:val="18"/>
              </w:rPr>
            </w:pPr>
            <w:r w:rsidRPr="00AA1093">
              <w:rPr>
                <w:rFonts w:ascii="Calibri" w:hAnsi="Calibri" w:cs="Calibri"/>
                <w:sz w:val="18"/>
              </w:rPr>
              <w:t>01270</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18402262" w14:textId="77777777" w:rsidR="00A6349B" w:rsidRPr="00AA1093" w:rsidRDefault="00A6349B" w:rsidP="00A6349B">
            <w:pPr>
              <w:pStyle w:val="ListParagraph"/>
              <w:spacing w:after="0" w:line="240" w:lineRule="auto"/>
              <w:ind w:left="0"/>
              <w:jc w:val="center"/>
              <w:rPr>
                <w:rFonts w:ascii="Calibri" w:hAnsi="Calibri" w:cs="Calibri"/>
                <w:sz w:val="18"/>
              </w:rPr>
            </w:pPr>
            <w:r w:rsidRPr="00AA1093">
              <w:rPr>
                <w:rFonts w:ascii="Calibri" w:hAnsi="Calibri" w:cs="Calibri"/>
                <w:sz w:val="18"/>
              </w:rPr>
              <w:t>42</w:t>
            </w:r>
          </w:p>
        </w:tc>
      </w:tr>
      <w:tr w:rsidR="00A6349B" w:rsidRPr="00AA1093" w14:paraId="7FAA5090" w14:textId="77777777" w:rsidTr="00276104">
        <w:trPr>
          <w:cantSplit/>
        </w:trPr>
        <w:tc>
          <w:tcPr>
            <w:tcW w:w="1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678F6" w14:textId="77777777" w:rsidR="00A6349B" w:rsidRPr="00AA1093" w:rsidRDefault="00A6349B" w:rsidP="00A6349B">
            <w:pPr>
              <w:pStyle w:val="ListParagraph"/>
              <w:spacing w:after="0" w:line="240" w:lineRule="auto"/>
              <w:ind w:left="0"/>
              <w:jc w:val="center"/>
              <w:rPr>
                <w:rFonts w:ascii="Calibri" w:hAnsi="Calibri" w:cs="Calibri"/>
                <w:sz w:val="18"/>
              </w:rPr>
            </w:pPr>
            <w:r w:rsidRPr="00AA1093">
              <w:rPr>
                <w:rFonts w:ascii="Calibri" w:hAnsi="Calibri" w:cs="Calibri"/>
                <w:sz w:val="18"/>
              </w:rPr>
              <w:t>01343</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185B3FC6" w14:textId="77777777" w:rsidR="00A6349B" w:rsidRPr="00AA1093" w:rsidRDefault="00A6349B" w:rsidP="00A6349B">
            <w:pPr>
              <w:pStyle w:val="ListParagraph"/>
              <w:spacing w:after="0" w:line="240" w:lineRule="auto"/>
              <w:ind w:left="0"/>
              <w:jc w:val="center"/>
              <w:rPr>
                <w:rFonts w:ascii="Calibri" w:hAnsi="Calibri" w:cs="Calibri"/>
                <w:sz w:val="18"/>
              </w:rPr>
            </w:pPr>
            <w:r w:rsidRPr="00AA1093">
              <w:rPr>
                <w:rFonts w:ascii="Calibri" w:hAnsi="Calibri" w:cs="Calibri"/>
                <w:sz w:val="18"/>
              </w:rPr>
              <w:t>*</w:t>
            </w:r>
          </w:p>
        </w:tc>
      </w:tr>
      <w:tr w:rsidR="00A6349B" w:rsidRPr="00AA1093" w14:paraId="6373DDD3" w14:textId="77777777" w:rsidTr="00276104">
        <w:trPr>
          <w:cantSplit/>
        </w:trPr>
        <w:tc>
          <w:tcPr>
            <w:tcW w:w="1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1A903" w14:textId="77777777" w:rsidR="00A6349B" w:rsidRPr="00AA1093" w:rsidRDefault="00A6349B" w:rsidP="00A6349B">
            <w:pPr>
              <w:pStyle w:val="ListParagraph"/>
              <w:spacing w:after="0" w:line="240" w:lineRule="auto"/>
              <w:ind w:left="0"/>
              <w:jc w:val="center"/>
              <w:rPr>
                <w:rFonts w:ascii="Calibri" w:hAnsi="Calibri" w:cs="Calibri"/>
                <w:sz w:val="18"/>
              </w:rPr>
            </w:pPr>
            <w:r w:rsidRPr="00AA1093">
              <w:rPr>
                <w:rFonts w:ascii="Calibri" w:hAnsi="Calibri" w:cs="Calibri"/>
                <w:sz w:val="18"/>
              </w:rPr>
              <w:t>01350</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31DA5F1" w14:textId="77777777" w:rsidR="00A6349B" w:rsidRPr="00AA1093" w:rsidRDefault="00A6349B" w:rsidP="00A6349B">
            <w:pPr>
              <w:pStyle w:val="ListParagraph"/>
              <w:spacing w:after="0" w:line="240" w:lineRule="auto"/>
              <w:ind w:left="0"/>
              <w:jc w:val="center"/>
              <w:rPr>
                <w:rFonts w:ascii="Calibri" w:hAnsi="Calibri" w:cs="Calibri"/>
                <w:sz w:val="18"/>
              </w:rPr>
            </w:pPr>
            <w:r w:rsidRPr="00AA1093">
              <w:rPr>
                <w:rFonts w:ascii="Calibri" w:hAnsi="Calibri" w:cs="Calibri"/>
                <w:sz w:val="18"/>
              </w:rPr>
              <w:t>*</w:t>
            </w:r>
          </w:p>
        </w:tc>
      </w:tr>
      <w:tr w:rsidR="00A6349B" w:rsidRPr="00AA1093" w14:paraId="3E62B8F7" w14:textId="77777777" w:rsidTr="00276104">
        <w:trPr>
          <w:cantSplit/>
        </w:trPr>
        <w:tc>
          <w:tcPr>
            <w:tcW w:w="1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11C83B" w14:textId="77777777" w:rsidR="00A6349B" w:rsidRPr="00AA1093" w:rsidRDefault="00A6349B" w:rsidP="00A6349B">
            <w:pPr>
              <w:pStyle w:val="ListParagraph"/>
              <w:spacing w:after="0" w:line="240" w:lineRule="auto"/>
              <w:ind w:left="0"/>
              <w:jc w:val="center"/>
              <w:rPr>
                <w:rFonts w:ascii="Calibri" w:hAnsi="Calibri" w:cs="Calibri"/>
                <w:sz w:val="18"/>
              </w:rPr>
            </w:pPr>
            <w:r w:rsidRPr="00AA1093">
              <w:rPr>
                <w:rFonts w:ascii="Calibri" w:hAnsi="Calibri" w:cs="Calibri"/>
                <w:sz w:val="18"/>
              </w:rPr>
              <w:t>01367</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183B84CF" w14:textId="77777777" w:rsidR="00A6349B" w:rsidRPr="00AA1093" w:rsidRDefault="00A6349B" w:rsidP="00A6349B">
            <w:pPr>
              <w:pStyle w:val="ListParagraph"/>
              <w:spacing w:after="0" w:line="240" w:lineRule="auto"/>
              <w:ind w:left="0"/>
              <w:jc w:val="center"/>
              <w:rPr>
                <w:rFonts w:ascii="Calibri" w:hAnsi="Calibri" w:cs="Calibri"/>
                <w:sz w:val="18"/>
              </w:rPr>
            </w:pPr>
            <w:r w:rsidRPr="00AA1093">
              <w:rPr>
                <w:rFonts w:ascii="Calibri" w:hAnsi="Calibri" w:cs="Calibri"/>
                <w:sz w:val="18"/>
              </w:rPr>
              <w:t>12</w:t>
            </w:r>
          </w:p>
        </w:tc>
      </w:tr>
      <w:tr w:rsidR="00A6349B" w:rsidRPr="00AA1093" w14:paraId="307C244F" w14:textId="77777777" w:rsidTr="00276104">
        <w:trPr>
          <w:cantSplit/>
        </w:trPr>
        <w:tc>
          <w:tcPr>
            <w:tcW w:w="1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5EA54F" w14:textId="77777777" w:rsidR="00A6349B" w:rsidRPr="00AA1093" w:rsidRDefault="00A6349B" w:rsidP="00A6349B">
            <w:pPr>
              <w:pStyle w:val="ListParagraph"/>
              <w:spacing w:after="0" w:line="240" w:lineRule="auto"/>
              <w:ind w:left="0"/>
              <w:jc w:val="center"/>
              <w:rPr>
                <w:rFonts w:ascii="Calibri" w:hAnsi="Calibri" w:cs="Calibri"/>
                <w:sz w:val="18"/>
              </w:rPr>
            </w:pPr>
            <w:r w:rsidRPr="00AA1093">
              <w:rPr>
                <w:rFonts w:ascii="Calibri" w:hAnsi="Calibri" w:cs="Calibri"/>
                <w:sz w:val="18"/>
              </w:rPr>
              <w:t>05261</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05F8AFC7" w14:textId="77777777" w:rsidR="00A6349B" w:rsidRPr="00AA1093" w:rsidRDefault="00A6349B" w:rsidP="00A6349B">
            <w:pPr>
              <w:pStyle w:val="ListParagraph"/>
              <w:spacing w:after="0" w:line="240" w:lineRule="auto"/>
              <w:ind w:left="0"/>
              <w:jc w:val="center"/>
              <w:rPr>
                <w:rFonts w:ascii="Calibri" w:hAnsi="Calibri" w:cs="Calibri"/>
                <w:sz w:val="18"/>
              </w:rPr>
            </w:pPr>
            <w:r w:rsidRPr="00AA1093">
              <w:rPr>
                <w:rFonts w:ascii="Calibri" w:hAnsi="Calibri" w:cs="Calibri"/>
                <w:sz w:val="18"/>
              </w:rPr>
              <w:t>21</w:t>
            </w:r>
          </w:p>
        </w:tc>
      </w:tr>
      <w:tr w:rsidR="00A6349B" w:rsidRPr="00AA1093" w14:paraId="5E3ADEAC" w14:textId="77777777" w:rsidTr="00276104">
        <w:trPr>
          <w:cantSplit/>
        </w:trPr>
        <w:tc>
          <w:tcPr>
            <w:tcW w:w="1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89BB53" w14:textId="77777777" w:rsidR="00A6349B" w:rsidRPr="00AA1093" w:rsidRDefault="00A6349B" w:rsidP="00A6349B">
            <w:pPr>
              <w:pStyle w:val="ListParagraph"/>
              <w:spacing w:after="0" w:line="240" w:lineRule="auto"/>
              <w:ind w:left="0"/>
              <w:jc w:val="center"/>
              <w:rPr>
                <w:rFonts w:ascii="Calibri" w:hAnsi="Calibri" w:cs="Calibri"/>
                <w:sz w:val="18"/>
              </w:rPr>
            </w:pPr>
            <w:r w:rsidRPr="00AA1093">
              <w:rPr>
                <w:rFonts w:ascii="Calibri" w:hAnsi="Calibri" w:cs="Calibri"/>
                <w:sz w:val="18"/>
              </w:rPr>
              <w:t>05350</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2FE423B7" w14:textId="77777777" w:rsidR="00A6349B" w:rsidRPr="00AA1093" w:rsidRDefault="00A6349B" w:rsidP="00A6349B">
            <w:pPr>
              <w:pStyle w:val="ListParagraph"/>
              <w:spacing w:after="0" w:line="240" w:lineRule="auto"/>
              <w:ind w:left="0"/>
              <w:jc w:val="center"/>
              <w:rPr>
                <w:rFonts w:ascii="Calibri" w:hAnsi="Calibri" w:cs="Calibri"/>
                <w:sz w:val="18"/>
              </w:rPr>
            </w:pPr>
            <w:r w:rsidRPr="00AA1093">
              <w:rPr>
                <w:rFonts w:ascii="Calibri" w:hAnsi="Calibri" w:cs="Calibri"/>
                <w:sz w:val="18"/>
              </w:rPr>
              <w:t>15</w:t>
            </w:r>
          </w:p>
        </w:tc>
      </w:tr>
      <w:tr w:rsidR="00A6349B" w:rsidRPr="00AA1093" w14:paraId="20E61B46" w14:textId="77777777" w:rsidTr="00276104">
        <w:trPr>
          <w:cantSplit/>
        </w:trPr>
        <w:tc>
          <w:tcPr>
            <w:tcW w:w="1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7D595C" w14:textId="77777777" w:rsidR="00A6349B" w:rsidRPr="00AA1093" w:rsidRDefault="00A6349B" w:rsidP="00A6349B">
            <w:pPr>
              <w:pStyle w:val="ListParagraph"/>
              <w:spacing w:after="0" w:line="240" w:lineRule="auto"/>
              <w:ind w:left="0"/>
              <w:jc w:val="center"/>
              <w:rPr>
                <w:rFonts w:ascii="Calibri" w:hAnsi="Calibri" w:cs="Calibri"/>
                <w:sz w:val="18"/>
              </w:rPr>
            </w:pPr>
            <w:r w:rsidRPr="00AA1093">
              <w:rPr>
                <w:rFonts w:ascii="Calibri" w:hAnsi="Calibri" w:cs="Calibri"/>
                <w:sz w:val="18"/>
              </w:rPr>
              <w:t>05352</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AD9CEFA" w14:textId="77777777" w:rsidR="00A6349B" w:rsidRPr="00AA1093" w:rsidRDefault="00A6349B" w:rsidP="00A6349B">
            <w:pPr>
              <w:pStyle w:val="ListParagraph"/>
              <w:spacing w:after="0" w:line="240" w:lineRule="auto"/>
              <w:ind w:left="0"/>
              <w:jc w:val="center"/>
              <w:rPr>
                <w:rFonts w:ascii="Calibri" w:hAnsi="Calibri" w:cs="Calibri"/>
                <w:sz w:val="18"/>
              </w:rPr>
            </w:pPr>
            <w:r w:rsidRPr="00AA1093">
              <w:rPr>
                <w:rFonts w:ascii="Calibri" w:hAnsi="Calibri" w:cs="Calibri"/>
                <w:sz w:val="18"/>
              </w:rPr>
              <w:t>33</w:t>
            </w:r>
          </w:p>
        </w:tc>
      </w:tr>
      <w:tr w:rsidR="00A6349B" w:rsidRPr="00AA1093" w14:paraId="1CDB6615" w14:textId="77777777" w:rsidTr="00276104">
        <w:trPr>
          <w:cantSplit/>
        </w:trPr>
        <w:tc>
          <w:tcPr>
            <w:tcW w:w="1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B106BA" w14:textId="77777777" w:rsidR="00A6349B" w:rsidRPr="00AA1093" w:rsidRDefault="00A6349B" w:rsidP="00A6349B">
            <w:pPr>
              <w:pStyle w:val="ListParagraph"/>
              <w:spacing w:after="0" w:line="240" w:lineRule="auto"/>
              <w:ind w:left="0"/>
              <w:jc w:val="center"/>
              <w:rPr>
                <w:rFonts w:ascii="Calibri" w:hAnsi="Calibri" w:cs="Calibri"/>
                <w:sz w:val="18"/>
              </w:rPr>
            </w:pPr>
            <w:r w:rsidRPr="00AA1093">
              <w:rPr>
                <w:rFonts w:ascii="Calibri" w:hAnsi="Calibri" w:cs="Calibri"/>
                <w:sz w:val="18"/>
              </w:rPr>
              <w:t>12022</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05BCD2F" w14:textId="77777777" w:rsidR="00A6349B" w:rsidRPr="00AA1093" w:rsidRDefault="00A6349B" w:rsidP="00A6349B">
            <w:pPr>
              <w:pStyle w:val="ListParagraph"/>
              <w:spacing w:after="0" w:line="240" w:lineRule="auto"/>
              <w:ind w:left="0"/>
              <w:jc w:val="center"/>
              <w:rPr>
                <w:rFonts w:ascii="Calibri" w:hAnsi="Calibri" w:cs="Calibri"/>
                <w:sz w:val="18"/>
              </w:rPr>
            </w:pPr>
            <w:r w:rsidRPr="00AA1093">
              <w:rPr>
                <w:rFonts w:ascii="Calibri" w:hAnsi="Calibri" w:cs="Calibri"/>
                <w:sz w:val="18"/>
              </w:rPr>
              <w:t>*</w:t>
            </w:r>
          </w:p>
        </w:tc>
      </w:tr>
      <w:tr w:rsidR="00A6349B" w:rsidRPr="00AA1093" w14:paraId="0F310746" w14:textId="77777777" w:rsidTr="00276104">
        <w:trPr>
          <w:cantSplit/>
        </w:trPr>
        <w:tc>
          <w:tcPr>
            <w:tcW w:w="1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E7FD96" w14:textId="77777777" w:rsidR="00A6349B" w:rsidRPr="00AA1093" w:rsidRDefault="00A6349B" w:rsidP="00A6349B">
            <w:pPr>
              <w:pStyle w:val="ListParagraph"/>
              <w:spacing w:after="0" w:line="240" w:lineRule="auto"/>
              <w:ind w:left="0"/>
              <w:jc w:val="center"/>
              <w:rPr>
                <w:rFonts w:ascii="Calibri" w:hAnsi="Calibri" w:cs="Calibri"/>
                <w:sz w:val="18"/>
              </w:rPr>
            </w:pPr>
            <w:r w:rsidRPr="00AA1093">
              <w:rPr>
                <w:rFonts w:ascii="Calibri" w:hAnsi="Calibri" w:cs="Calibri"/>
                <w:sz w:val="18"/>
              </w:rPr>
              <w:t>12138</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09F821B0" w14:textId="77777777" w:rsidR="00A6349B" w:rsidRPr="00AA1093" w:rsidRDefault="00A6349B" w:rsidP="00A6349B">
            <w:pPr>
              <w:pStyle w:val="ListParagraph"/>
              <w:spacing w:after="0" w:line="240" w:lineRule="auto"/>
              <w:ind w:left="0"/>
              <w:jc w:val="center"/>
              <w:rPr>
                <w:rFonts w:ascii="Calibri" w:hAnsi="Calibri" w:cs="Calibri"/>
                <w:sz w:val="18"/>
              </w:rPr>
            </w:pPr>
            <w:r w:rsidRPr="00AA1093">
              <w:rPr>
                <w:rFonts w:ascii="Calibri" w:hAnsi="Calibri" w:cs="Calibri"/>
                <w:sz w:val="18"/>
              </w:rPr>
              <w:t>*</w:t>
            </w:r>
          </w:p>
        </w:tc>
      </w:tr>
      <w:tr w:rsidR="00A6349B" w:rsidRPr="00AA1093" w14:paraId="63F524EE" w14:textId="77777777" w:rsidTr="00276104">
        <w:trPr>
          <w:cantSplit/>
        </w:trPr>
        <w:tc>
          <w:tcPr>
            <w:tcW w:w="1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F0D3F5" w14:textId="77777777" w:rsidR="00A6349B" w:rsidRPr="00AA1093" w:rsidRDefault="00A6349B" w:rsidP="00A6349B">
            <w:pPr>
              <w:pStyle w:val="ListParagraph"/>
              <w:spacing w:after="0" w:line="240" w:lineRule="auto"/>
              <w:ind w:left="0"/>
              <w:jc w:val="center"/>
              <w:rPr>
                <w:rFonts w:ascii="Calibri" w:hAnsi="Calibri" w:cs="Calibri"/>
                <w:sz w:val="18"/>
              </w:rPr>
            </w:pPr>
            <w:r w:rsidRPr="00AA1093">
              <w:rPr>
                <w:rFonts w:ascii="Calibri" w:hAnsi="Calibri" w:cs="Calibri"/>
                <w:sz w:val="18"/>
              </w:rPr>
              <w:t>12168</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0003B71" w14:textId="77777777" w:rsidR="00A6349B" w:rsidRPr="00AA1093" w:rsidRDefault="00A6349B" w:rsidP="00A6349B">
            <w:pPr>
              <w:pStyle w:val="ListParagraph"/>
              <w:spacing w:after="0" w:line="240" w:lineRule="auto"/>
              <w:ind w:left="0"/>
              <w:jc w:val="center"/>
              <w:rPr>
                <w:rFonts w:ascii="Calibri" w:hAnsi="Calibri" w:cs="Calibri"/>
                <w:sz w:val="18"/>
              </w:rPr>
            </w:pPr>
            <w:r w:rsidRPr="00AA1093">
              <w:rPr>
                <w:rFonts w:ascii="Calibri" w:hAnsi="Calibri" w:cs="Calibri"/>
                <w:sz w:val="18"/>
              </w:rPr>
              <w:t>74</w:t>
            </w:r>
          </w:p>
        </w:tc>
      </w:tr>
      <w:tr w:rsidR="00A6349B" w:rsidRPr="00AA1093" w14:paraId="5C222FC1" w14:textId="77777777" w:rsidTr="00276104">
        <w:trPr>
          <w:cantSplit/>
        </w:trPr>
        <w:tc>
          <w:tcPr>
            <w:tcW w:w="1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96B838" w14:textId="77777777" w:rsidR="00A6349B" w:rsidRPr="00AA1093" w:rsidRDefault="00A6349B" w:rsidP="00A6349B">
            <w:pPr>
              <w:pStyle w:val="ListParagraph"/>
              <w:spacing w:after="0" w:line="240" w:lineRule="auto"/>
              <w:ind w:left="0"/>
              <w:jc w:val="center"/>
              <w:rPr>
                <w:rFonts w:ascii="Calibri" w:hAnsi="Calibri" w:cs="Calibri"/>
                <w:sz w:val="18"/>
              </w:rPr>
            </w:pPr>
            <w:r w:rsidRPr="00AA1093">
              <w:rPr>
                <w:rFonts w:ascii="Calibri" w:hAnsi="Calibri" w:cs="Calibri"/>
                <w:sz w:val="18"/>
              </w:rPr>
              <w:t>Other</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07261C8E" w14:textId="77777777" w:rsidR="00A6349B" w:rsidRPr="00AA1093" w:rsidRDefault="00A6349B" w:rsidP="00A6349B">
            <w:pPr>
              <w:pStyle w:val="ListParagraph"/>
              <w:spacing w:after="0" w:line="240" w:lineRule="auto"/>
              <w:ind w:left="0"/>
              <w:jc w:val="center"/>
              <w:rPr>
                <w:rFonts w:ascii="Calibri" w:hAnsi="Calibri" w:cs="Calibri"/>
                <w:sz w:val="18"/>
              </w:rPr>
            </w:pPr>
            <w:r w:rsidRPr="00AA1093">
              <w:rPr>
                <w:rFonts w:ascii="Calibri" w:hAnsi="Calibri" w:cs="Calibri"/>
                <w:sz w:val="18"/>
              </w:rPr>
              <w:t>21*</w:t>
            </w:r>
            <w:r w:rsidRPr="00AA1093">
              <w:rPr>
                <w:rStyle w:val="FootnoteReference"/>
                <w:rFonts w:ascii="Calibri" w:hAnsi="Calibri" w:cs="Calibri"/>
                <w:sz w:val="18"/>
              </w:rPr>
              <w:footnoteReference w:id="1"/>
            </w:r>
          </w:p>
        </w:tc>
      </w:tr>
      <w:tr w:rsidR="00A6349B" w:rsidRPr="00AA1093" w14:paraId="4220D66F" w14:textId="77777777" w:rsidTr="00276104">
        <w:trPr>
          <w:cantSplit/>
        </w:trPr>
        <w:tc>
          <w:tcPr>
            <w:tcW w:w="13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ED37C" w14:textId="77777777" w:rsidR="00A6349B" w:rsidRPr="00AA1093" w:rsidRDefault="00A6349B" w:rsidP="00A6349B">
            <w:pPr>
              <w:pStyle w:val="ListParagraph"/>
              <w:spacing w:after="0" w:line="240" w:lineRule="auto"/>
              <w:ind w:left="0"/>
              <w:jc w:val="center"/>
              <w:rPr>
                <w:rFonts w:ascii="Calibri" w:hAnsi="Calibri" w:cs="Calibri"/>
                <w:sz w:val="18"/>
              </w:rPr>
            </w:pPr>
            <w:r w:rsidRPr="00AA1093">
              <w:rPr>
                <w:rFonts w:ascii="Calibri" w:hAnsi="Calibri" w:cs="Calibri"/>
                <w:sz w:val="18"/>
              </w:rPr>
              <w:t>Total</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505403C1" w14:textId="77777777" w:rsidR="00A6349B" w:rsidRPr="00AA1093" w:rsidRDefault="00A6349B" w:rsidP="00A6349B">
            <w:pPr>
              <w:pStyle w:val="ListParagraph"/>
              <w:spacing w:after="0" w:line="240" w:lineRule="auto"/>
              <w:ind w:left="0"/>
              <w:jc w:val="center"/>
              <w:rPr>
                <w:rFonts w:ascii="Calibri" w:hAnsi="Calibri" w:cs="Calibri"/>
                <w:sz w:val="18"/>
              </w:rPr>
            </w:pPr>
            <w:r w:rsidRPr="00AA1093">
              <w:rPr>
                <w:rFonts w:ascii="Calibri" w:hAnsi="Calibri" w:cs="Calibri"/>
                <w:sz w:val="18"/>
              </w:rPr>
              <w:t>3,890</w:t>
            </w:r>
          </w:p>
        </w:tc>
      </w:tr>
    </w:tbl>
    <w:p w14:paraId="00CF3991" w14:textId="77777777" w:rsidR="00A6349B" w:rsidRPr="00A6349B" w:rsidRDefault="00A6349B" w:rsidP="00A6349B">
      <w:pPr>
        <w:pStyle w:val="ListParagraph"/>
        <w:rPr>
          <w:rFonts w:ascii="Calibri" w:hAnsi="Calibri" w:cs="Calibri"/>
        </w:rPr>
      </w:pPr>
    </w:p>
    <w:p w14:paraId="3B9CEABA" w14:textId="7A339914" w:rsidR="00A6349B" w:rsidRPr="00AA1093" w:rsidRDefault="00AA1093" w:rsidP="009E630E">
      <w:pPr>
        <w:rPr>
          <w:rFonts w:cstheme="minorHAnsi"/>
        </w:rPr>
      </w:pPr>
      <w:r w:rsidRPr="00AA1093">
        <w:rPr>
          <w:rFonts w:cstheme="minorHAnsi"/>
          <w:u w:val="single"/>
        </w:rPr>
        <w:t>Response</w:t>
      </w:r>
      <w:r>
        <w:rPr>
          <w:rFonts w:cstheme="minorHAnsi"/>
        </w:rPr>
        <w:t xml:space="preserve">:  </w:t>
      </w:r>
      <w:r w:rsidR="00A6349B" w:rsidRPr="00AA1093">
        <w:rPr>
          <w:rFonts w:cstheme="minorHAnsi"/>
        </w:rPr>
        <w:t>North County Outpatients by Zip Code</w:t>
      </w:r>
    </w:p>
    <w:tbl>
      <w:tblPr>
        <w:tblW w:w="9000" w:type="dxa"/>
        <w:tblInd w:w="535" w:type="dxa"/>
        <w:tblCellMar>
          <w:left w:w="0" w:type="dxa"/>
          <w:right w:w="0" w:type="dxa"/>
        </w:tblCellMar>
        <w:tblLook w:val="04A0" w:firstRow="1" w:lastRow="0" w:firstColumn="1" w:lastColumn="0" w:noHBand="0" w:noVBand="1"/>
      </w:tblPr>
      <w:tblGrid>
        <w:gridCol w:w="3475"/>
        <w:gridCol w:w="3060"/>
        <w:gridCol w:w="2465"/>
      </w:tblGrid>
      <w:tr w:rsidR="00A6349B" w:rsidRPr="00EE15B4" w14:paraId="799CB74A" w14:textId="77777777" w:rsidTr="00276104">
        <w:trPr>
          <w:cantSplit/>
          <w:tblHeader/>
        </w:trPr>
        <w:tc>
          <w:tcPr>
            <w:tcW w:w="3475" w:type="dxa"/>
            <w:tcBorders>
              <w:top w:val="single" w:sz="8" w:space="0" w:color="auto"/>
              <w:left w:val="single" w:sz="8" w:space="0" w:color="auto"/>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0DE5B84E"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Zip Code</w:t>
            </w:r>
          </w:p>
        </w:tc>
        <w:tc>
          <w:tcPr>
            <w:tcW w:w="3060" w:type="dxa"/>
            <w:tcBorders>
              <w:top w:val="single" w:sz="8" w:space="0" w:color="auto"/>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7AE85333" w14:textId="77777777" w:rsidR="00AA1093"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North County Outpatients</w:t>
            </w:r>
          </w:p>
          <w:p w14:paraId="40DC3225" w14:textId="532CD704"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 xml:space="preserve"> Unique Patients</w:t>
            </w:r>
          </w:p>
        </w:tc>
        <w:tc>
          <w:tcPr>
            <w:tcW w:w="2465" w:type="dxa"/>
            <w:tcBorders>
              <w:top w:val="single" w:sz="8" w:space="0" w:color="auto"/>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5A7C9CEB" w14:textId="3AC4D9A8" w:rsidR="00A6349B" w:rsidRPr="00EE15B4" w:rsidRDefault="00A6349B" w:rsidP="00AA1093">
            <w:pPr>
              <w:pStyle w:val="ListParagraph"/>
              <w:spacing w:after="0" w:line="240" w:lineRule="auto"/>
              <w:ind w:left="0"/>
              <w:jc w:val="center"/>
              <w:rPr>
                <w:rFonts w:ascii="Calibri" w:hAnsi="Calibri" w:cs="Calibri"/>
                <w:sz w:val="18"/>
              </w:rPr>
            </w:pPr>
            <w:r w:rsidRPr="00EE15B4">
              <w:rPr>
                <w:rFonts w:ascii="Calibri" w:hAnsi="Calibri" w:cs="Calibri"/>
                <w:sz w:val="18"/>
              </w:rPr>
              <w:t>North County Outpatients Number of Visits</w:t>
            </w:r>
          </w:p>
        </w:tc>
      </w:tr>
      <w:tr w:rsidR="00A6349B" w:rsidRPr="00EE15B4" w14:paraId="2DCF7586" w14:textId="77777777" w:rsidTr="00276104">
        <w:trPr>
          <w:cantSplit/>
        </w:trPr>
        <w:tc>
          <w:tcPr>
            <w:tcW w:w="3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07C82"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01220</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3B254CFC"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7,163</w:t>
            </w:r>
          </w:p>
        </w:tc>
        <w:tc>
          <w:tcPr>
            <w:tcW w:w="2465" w:type="dxa"/>
            <w:tcBorders>
              <w:top w:val="nil"/>
              <w:left w:val="nil"/>
              <w:bottom w:val="single" w:sz="8" w:space="0" w:color="auto"/>
              <w:right w:val="single" w:sz="8" w:space="0" w:color="auto"/>
            </w:tcBorders>
            <w:tcMar>
              <w:top w:w="0" w:type="dxa"/>
              <w:left w:w="108" w:type="dxa"/>
              <w:bottom w:w="0" w:type="dxa"/>
              <w:right w:w="108" w:type="dxa"/>
            </w:tcMar>
            <w:hideMark/>
          </w:tcPr>
          <w:p w14:paraId="21073D82"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97,188</w:t>
            </w:r>
          </w:p>
        </w:tc>
      </w:tr>
      <w:tr w:rsidR="00A6349B" w:rsidRPr="00EE15B4" w14:paraId="71732982" w14:textId="77777777" w:rsidTr="00276104">
        <w:trPr>
          <w:cantSplit/>
        </w:trPr>
        <w:tc>
          <w:tcPr>
            <w:tcW w:w="3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DC7298"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01225</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4624EDB0"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2,809</w:t>
            </w:r>
          </w:p>
        </w:tc>
        <w:tc>
          <w:tcPr>
            <w:tcW w:w="2465" w:type="dxa"/>
            <w:tcBorders>
              <w:top w:val="nil"/>
              <w:left w:val="nil"/>
              <w:bottom w:val="single" w:sz="8" w:space="0" w:color="auto"/>
              <w:right w:val="single" w:sz="8" w:space="0" w:color="auto"/>
            </w:tcBorders>
            <w:tcMar>
              <w:top w:w="0" w:type="dxa"/>
              <w:left w:w="108" w:type="dxa"/>
              <w:bottom w:w="0" w:type="dxa"/>
              <w:right w:w="108" w:type="dxa"/>
            </w:tcMar>
            <w:hideMark/>
          </w:tcPr>
          <w:p w14:paraId="11BF42D2"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35,709</w:t>
            </w:r>
          </w:p>
        </w:tc>
      </w:tr>
      <w:tr w:rsidR="00A6349B" w:rsidRPr="00EE15B4" w14:paraId="59721050" w14:textId="77777777" w:rsidTr="00276104">
        <w:trPr>
          <w:cantSplit/>
        </w:trPr>
        <w:tc>
          <w:tcPr>
            <w:tcW w:w="3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C5B68"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01247</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771B964B"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12,227</w:t>
            </w:r>
          </w:p>
        </w:tc>
        <w:tc>
          <w:tcPr>
            <w:tcW w:w="2465" w:type="dxa"/>
            <w:tcBorders>
              <w:top w:val="nil"/>
              <w:left w:val="nil"/>
              <w:bottom w:val="single" w:sz="8" w:space="0" w:color="auto"/>
              <w:right w:val="single" w:sz="8" w:space="0" w:color="auto"/>
            </w:tcBorders>
            <w:tcMar>
              <w:top w:w="0" w:type="dxa"/>
              <w:left w:w="108" w:type="dxa"/>
              <w:bottom w:w="0" w:type="dxa"/>
              <w:right w:w="108" w:type="dxa"/>
            </w:tcMar>
            <w:hideMark/>
          </w:tcPr>
          <w:p w14:paraId="7861C290"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167,921</w:t>
            </w:r>
          </w:p>
        </w:tc>
      </w:tr>
      <w:tr w:rsidR="00A6349B" w:rsidRPr="00EE15B4" w14:paraId="1F29C586" w14:textId="77777777" w:rsidTr="00276104">
        <w:trPr>
          <w:cantSplit/>
        </w:trPr>
        <w:tc>
          <w:tcPr>
            <w:tcW w:w="3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8AC9A"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01256</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043233C4"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547</w:t>
            </w:r>
          </w:p>
        </w:tc>
        <w:tc>
          <w:tcPr>
            <w:tcW w:w="2465" w:type="dxa"/>
            <w:tcBorders>
              <w:top w:val="nil"/>
              <w:left w:val="nil"/>
              <w:bottom w:val="single" w:sz="8" w:space="0" w:color="auto"/>
              <w:right w:val="single" w:sz="8" w:space="0" w:color="auto"/>
            </w:tcBorders>
            <w:tcMar>
              <w:top w:w="0" w:type="dxa"/>
              <w:left w:w="108" w:type="dxa"/>
              <w:bottom w:w="0" w:type="dxa"/>
              <w:right w:w="108" w:type="dxa"/>
            </w:tcMar>
            <w:hideMark/>
          </w:tcPr>
          <w:p w14:paraId="14F892F0"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5,902</w:t>
            </w:r>
          </w:p>
        </w:tc>
      </w:tr>
      <w:tr w:rsidR="00A6349B" w:rsidRPr="00EE15B4" w14:paraId="06AE7D84" w14:textId="77777777" w:rsidTr="00276104">
        <w:trPr>
          <w:cantSplit/>
        </w:trPr>
        <w:tc>
          <w:tcPr>
            <w:tcW w:w="3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B7255"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01267</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20ADF9C0"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5,699</w:t>
            </w:r>
          </w:p>
        </w:tc>
        <w:tc>
          <w:tcPr>
            <w:tcW w:w="2465" w:type="dxa"/>
            <w:tcBorders>
              <w:top w:val="nil"/>
              <w:left w:val="nil"/>
              <w:bottom w:val="single" w:sz="8" w:space="0" w:color="auto"/>
              <w:right w:val="single" w:sz="8" w:space="0" w:color="auto"/>
            </w:tcBorders>
            <w:tcMar>
              <w:top w:w="0" w:type="dxa"/>
              <w:left w:w="108" w:type="dxa"/>
              <w:bottom w:w="0" w:type="dxa"/>
              <w:right w:w="108" w:type="dxa"/>
            </w:tcMar>
            <w:hideMark/>
          </w:tcPr>
          <w:p w14:paraId="4D53108B"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63,264</w:t>
            </w:r>
          </w:p>
        </w:tc>
      </w:tr>
      <w:tr w:rsidR="00A6349B" w:rsidRPr="00EE15B4" w14:paraId="067A8B98" w14:textId="77777777" w:rsidTr="00276104">
        <w:trPr>
          <w:cantSplit/>
        </w:trPr>
        <w:tc>
          <w:tcPr>
            <w:tcW w:w="3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11DC56"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01270</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1B3EAF9A"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586</w:t>
            </w:r>
          </w:p>
        </w:tc>
        <w:tc>
          <w:tcPr>
            <w:tcW w:w="2465" w:type="dxa"/>
            <w:tcBorders>
              <w:top w:val="nil"/>
              <w:left w:val="nil"/>
              <w:bottom w:val="single" w:sz="8" w:space="0" w:color="auto"/>
              <w:right w:val="single" w:sz="8" w:space="0" w:color="auto"/>
            </w:tcBorders>
            <w:tcMar>
              <w:top w:w="0" w:type="dxa"/>
              <w:left w:w="108" w:type="dxa"/>
              <w:bottom w:w="0" w:type="dxa"/>
              <w:right w:w="108" w:type="dxa"/>
            </w:tcMar>
            <w:hideMark/>
          </w:tcPr>
          <w:p w14:paraId="4EE37133"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6,630</w:t>
            </w:r>
          </w:p>
        </w:tc>
      </w:tr>
      <w:tr w:rsidR="00A6349B" w:rsidRPr="00EE15B4" w14:paraId="37156E8D" w14:textId="77777777" w:rsidTr="00276104">
        <w:trPr>
          <w:cantSplit/>
        </w:trPr>
        <w:tc>
          <w:tcPr>
            <w:tcW w:w="3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4A066F"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01343</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00E59D5B"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90</w:t>
            </w:r>
          </w:p>
        </w:tc>
        <w:tc>
          <w:tcPr>
            <w:tcW w:w="2465" w:type="dxa"/>
            <w:tcBorders>
              <w:top w:val="nil"/>
              <w:left w:val="nil"/>
              <w:bottom w:val="single" w:sz="8" w:space="0" w:color="auto"/>
              <w:right w:val="single" w:sz="8" w:space="0" w:color="auto"/>
            </w:tcBorders>
            <w:tcMar>
              <w:top w:w="0" w:type="dxa"/>
              <w:left w:w="108" w:type="dxa"/>
              <w:bottom w:w="0" w:type="dxa"/>
              <w:right w:w="108" w:type="dxa"/>
            </w:tcMar>
            <w:hideMark/>
          </w:tcPr>
          <w:p w14:paraId="03D2550C"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805</w:t>
            </w:r>
          </w:p>
        </w:tc>
      </w:tr>
      <w:tr w:rsidR="00A6349B" w:rsidRPr="00EE15B4" w14:paraId="79FBBF22" w14:textId="77777777" w:rsidTr="00276104">
        <w:trPr>
          <w:cantSplit/>
        </w:trPr>
        <w:tc>
          <w:tcPr>
            <w:tcW w:w="3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3ED73E"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01350</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21D45312"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27</w:t>
            </w:r>
          </w:p>
        </w:tc>
        <w:tc>
          <w:tcPr>
            <w:tcW w:w="2465" w:type="dxa"/>
            <w:tcBorders>
              <w:top w:val="nil"/>
              <w:left w:val="nil"/>
              <w:bottom w:val="single" w:sz="8" w:space="0" w:color="auto"/>
              <w:right w:val="single" w:sz="8" w:space="0" w:color="auto"/>
            </w:tcBorders>
            <w:tcMar>
              <w:top w:w="0" w:type="dxa"/>
              <w:left w:w="108" w:type="dxa"/>
              <w:bottom w:w="0" w:type="dxa"/>
              <w:right w:w="108" w:type="dxa"/>
            </w:tcMar>
            <w:hideMark/>
          </w:tcPr>
          <w:p w14:paraId="6983A271"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265</w:t>
            </w:r>
          </w:p>
        </w:tc>
      </w:tr>
      <w:tr w:rsidR="00A6349B" w:rsidRPr="00EE15B4" w14:paraId="54F19AD7" w14:textId="77777777" w:rsidTr="00276104">
        <w:trPr>
          <w:cantSplit/>
        </w:trPr>
        <w:tc>
          <w:tcPr>
            <w:tcW w:w="3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E085BE"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01367</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4577B6BF"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81</w:t>
            </w:r>
          </w:p>
        </w:tc>
        <w:tc>
          <w:tcPr>
            <w:tcW w:w="2465" w:type="dxa"/>
            <w:tcBorders>
              <w:top w:val="nil"/>
              <w:left w:val="nil"/>
              <w:bottom w:val="single" w:sz="8" w:space="0" w:color="auto"/>
              <w:right w:val="single" w:sz="8" w:space="0" w:color="auto"/>
            </w:tcBorders>
            <w:tcMar>
              <w:top w:w="0" w:type="dxa"/>
              <w:left w:w="108" w:type="dxa"/>
              <w:bottom w:w="0" w:type="dxa"/>
              <w:right w:w="108" w:type="dxa"/>
            </w:tcMar>
            <w:hideMark/>
          </w:tcPr>
          <w:p w14:paraId="1CAA865F"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997</w:t>
            </w:r>
          </w:p>
        </w:tc>
      </w:tr>
      <w:tr w:rsidR="00A6349B" w:rsidRPr="00EE15B4" w14:paraId="0FE3BFC1" w14:textId="77777777" w:rsidTr="00276104">
        <w:trPr>
          <w:cantSplit/>
        </w:trPr>
        <w:tc>
          <w:tcPr>
            <w:tcW w:w="3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CE0A03"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05261</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2263021D"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419</w:t>
            </w:r>
          </w:p>
        </w:tc>
        <w:tc>
          <w:tcPr>
            <w:tcW w:w="2465" w:type="dxa"/>
            <w:tcBorders>
              <w:top w:val="nil"/>
              <w:left w:val="nil"/>
              <w:bottom w:val="single" w:sz="8" w:space="0" w:color="auto"/>
              <w:right w:val="single" w:sz="8" w:space="0" w:color="auto"/>
            </w:tcBorders>
            <w:tcMar>
              <w:top w:w="0" w:type="dxa"/>
              <w:left w:w="108" w:type="dxa"/>
              <w:bottom w:w="0" w:type="dxa"/>
              <w:right w:w="108" w:type="dxa"/>
            </w:tcMar>
            <w:hideMark/>
          </w:tcPr>
          <w:p w14:paraId="4B54D106"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4,200</w:t>
            </w:r>
          </w:p>
        </w:tc>
      </w:tr>
      <w:tr w:rsidR="00A6349B" w:rsidRPr="00EE15B4" w14:paraId="4803E507" w14:textId="77777777" w:rsidTr="00276104">
        <w:trPr>
          <w:cantSplit/>
        </w:trPr>
        <w:tc>
          <w:tcPr>
            <w:tcW w:w="3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400A28"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05350</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46D27F77"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230</w:t>
            </w:r>
          </w:p>
        </w:tc>
        <w:tc>
          <w:tcPr>
            <w:tcW w:w="2465" w:type="dxa"/>
            <w:tcBorders>
              <w:top w:val="nil"/>
              <w:left w:val="nil"/>
              <w:bottom w:val="single" w:sz="8" w:space="0" w:color="auto"/>
              <w:right w:val="single" w:sz="8" w:space="0" w:color="auto"/>
            </w:tcBorders>
            <w:tcMar>
              <w:top w:w="0" w:type="dxa"/>
              <w:left w:w="108" w:type="dxa"/>
              <w:bottom w:w="0" w:type="dxa"/>
              <w:right w:w="108" w:type="dxa"/>
            </w:tcMar>
            <w:hideMark/>
          </w:tcPr>
          <w:p w14:paraId="1470D764"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2,172</w:t>
            </w:r>
          </w:p>
        </w:tc>
      </w:tr>
      <w:tr w:rsidR="00A6349B" w:rsidRPr="00EE15B4" w14:paraId="12AC3607" w14:textId="77777777" w:rsidTr="00276104">
        <w:trPr>
          <w:cantSplit/>
        </w:trPr>
        <w:tc>
          <w:tcPr>
            <w:tcW w:w="3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76253E"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05352</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477FA459"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553</w:t>
            </w:r>
          </w:p>
        </w:tc>
        <w:tc>
          <w:tcPr>
            <w:tcW w:w="2465" w:type="dxa"/>
            <w:tcBorders>
              <w:top w:val="nil"/>
              <w:left w:val="nil"/>
              <w:bottom w:val="single" w:sz="8" w:space="0" w:color="auto"/>
              <w:right w:val="single" w:sz="8" w:space="0" w:color="auto"/>
            </w:tcBorders>
            <w:tcMar>
              <w:top w:w="0" w:type="dxa"/>
              <w:left w:w="108" w:type="dxa"/>
              <w:bottom w:w="0" w:type="dxa"/>
              <w:right w:w="108" w:type="dxa"/>
            </w:tcMar>
            <w:hideMark/>
          </w:tcPr>
          <w:p w14:paraId="06D0C898"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5,190</w:t>
            </w:r>
          </w:p>
        </w:tc>
      </w:tr>
      <w:tr w:rsidR="00A6349B" w:rsidRPr="00EE15B4" w14:paraId="2E2E2D17" w14:textId="77777777" w:rsidTr="00276104">
        <w:trPr>
          <w:cantSplit/>
        </w:trPr>
        <w:tc>
          <w:tcPr>
            <w:tcW w:w="3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A176F8"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12022</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145DEC6D"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63</w:t>
            </w:r>
          </w:p>
        </w:tc>
        <w:tc>
          <w:tcPr>
            <w:tcW w:w="2465" w:type="dxa"/>
            <w:tcBorders>
              <w:top w:val="nil"/>
              <w:left w:val="nil"/>
              <w:bottom w:val="single" w:sz="8" w:space="0" w:color="auto"/>
              <w:right w:val="single" w:sz="8" w:space="0" w:color="auto"/>
            </w:tcBorders>
            <w:tcMar>
              <w:top w:w="0" w:type="dxa"/>
              <w:left w:w="108" w:type="dxa"/>
              <w:bottom w:w="0" w:type="dxa"/>
              <w:right w:w="108" w:type="dxa"/>
            </w:tcMar>
            <w:hideMark/>
          </w:tcPr>
          <w:p w14:paraId="7243CD76"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631</w:t>
            </w:r>
          </w:p>
        </w:tc>
      </w:tr>
      <w:tr w:rsidR="00A6349B" w:rsidRPr="00EE15B4" w14:paraId="64134185" w14:textId="77777777" w:rsidTr="00276104">
        <w:trPr>
          <w:cantSplit/>
        </w:trPr>
        <w:tc>
          <w:tcPr>
            <w:tcW w:w="3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84A3B2"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12138</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4788C36C"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95</w:t>
            </w:r>
          </w:p>
        </w:tc>
        <w:tc>
          <w:tcPr>
            <w:tcW w:w="2465" w:type="dxa"/>
            <w:tcBorders>
              <w:top w:val="nil"/>
              <w:left w:val="nil"/>
              <w:bottom w:val="single" w:sz="8" w:space="0" w:color="auto"/>
              <w:right w:val="single" w:sz="8" w:space="0" w:color="auto"/>
            </w:tcBorders>
            <w:tcMar>
              <w:top w:w="0" w:type="dxa"/>
              <w:left w:w="108" w:type="dxa"/>
              <w:bottom w:w="0" w:type="dxa"/>
              <w:right w:w="108" w:type="dxa"/>
            </w:tcMar>
            <w:hideMark/>
          </w:tcPr>
          <w:p w14:paraId="64BDE551"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905</w:t>
            </w:r>
          </w:p>
        </w:tc>
      </w:tr>
      <w:tr w:rsidR="00A6349B" w:rsidRPr="00EE15B4" w14:paraId="7D92A60B" w14:textId="77777777" w:rsidTr="00276104">
        <w:trPr>
          <w:cantSplit/>
        </w:trPr>
        <w:tc>
          <w:tcPr>
            <w:tcW w:w="3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57723"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12168</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1F78622B"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590</w:t>
            </w:r>
          </w:p>
        </w:tc>
        <w:tc>
          <w:tcPr>
            <w:tcW w:w="2465" w:type="dxa"/>
            <w:tcBorders>
              <w:top w:val="nil"/>
              <w:left w:val="nil"/>
              <w:bottom w:val="single" w:sz="8" w:space="0" w:color="auto"/>
              <w:right w:val="single" w:sz="8" w:space="0" w:color="auto"/>
            </w:tcBorders>
            <w:tcMar>
              <w:top w:w="0" w:type="dxa"/>
              <w:left w:w="108" w:type="dxa"/>
              <w:bottom w:w="0" w:type="dxa"/>
              <w:right w:w="108" w:type="dxa"/>
            </w:tcMar>
            <w:hideMark/>
          </w:tcPr>
          <w:p w14:paraId="685AC709"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5,249</w:t>
            </w:r>
          </w:p>
        </w:tc>
      </w:tr>
      <w:tr w:rsidR="00A6349B" w:rsidRPr="00EE15B4" w14:paraId="425438FE" w14:textId="77777777" w:rsidTr="00276104">
        <w:trPr>
          <w:cantSplit/>
        </w:trPr>
        <w:tc>
          <w:tcPr>
            <w:tcW w:w="3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F8E4E9"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Use of NC Location Services for patients who live Outside NC Service Areas</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5072B4A8"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4,067</w:t>
            </w:r>
          </w:p>
        </w:tc>
        <w:tc>
          <w:tcPr>
            <w:tcW w:w="2465" w:type="dxa"/>
            <w:tcBorders>
              <w:top w:val="nil"/>
              <w:left w:val="nil"/>
              <w:bottom w:val="single" w:sz="8" w:space="0" w:color="auto"/>
              <w:right w:val="single" w:sz="8" w:space="0" w:color="auto"/>
            </w:tcBorders>
            <w:tcMar>
              <w:top w:w="0" w:type="dxa"/>
              <w:left w:w="108" w:type="dxa"/>
              <w:bottom w:w="0" w:type="dxa"/>
              <w:right w:w="108" w:type="dxa"/>
            </w:tcMar>
            <w:hideMark/>
          </w:tcPr>
          <w:p w14:paraId="5B896E2A"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11,776</w:t>
            </w:r>
          </w:p>
        </w:tc>
      </w:tr>
      <w:tr w:rsidR="00A6349B" w:rsidRPr="00EE15B4" w14:paraId="3A352957" w14:textId="77777777" w:rsidTr="00276104">
        <w:trPr>
          <w:cantSplit/>
        </w:trPr>
        <w:tc>
          <w:tcPr>
            <w:tcW w:w="3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1B4C27"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Total</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164552E1"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35,246</w:t>
            </w:r>
          </w:p>
        </w:tc>
        <w:tc>
          <w:tcPr>
            <w:tcW w:w="2465" w:type="dxa"/>
            <w:tcBorders>
              <w:top w:val="nil"/>
              <w:left w:val="nil"/>
              <w:bottom w:val="single" w:sz="8" w:space="0" w:color="auto"/>
              <w:right w:val="single" w:sz="8" w:space="0" w:color="auto"/>
            </w:tcBorders>
            <w:tcMar>
              <w:top w:w="0" w:type="dxa"/>
              <w:left w:w="108" w:type="dxa"/>
              <w:bottom w:w="0" w:type="dxa"/>
              <w:right w:w="108" w:type="dxa"/>
            </w:tcMar>
            <w:hideMark/>
          </w:tcPr>
          <w:p w14:paraId="7C894BFD" w14:textId="77777777" w:rsidR="00A6349B" w:rsidRPr="00EE15B4" w:rsidRDefault="00A6349B" w:rsidP="00A6349B">
            <w:pPr>
              <w:pStyle w:val="ListParagraph"/>
              <w:spacing w:after="0" w:line="240" w:lineRule="auto"/>
              <w:ind w:left="0"/>
              <w:jc w:val="center"/>
              <w:rPr>
                <w:rFonts w:ascii="Calibri" w:hAnsi="Calibri" w:cs="Calibri"/>
                <w:sz w:val="18"/>
              </w:rPr>
            </w:pPr>
            <w:r w:rsidRPr="00EE15B4">
              <w:rPr>
                <w:rFonts w:ascii="Calibri" w:hAnsi="Calibri" w:cs="Calibri"/>
                <w:sz w:val="18"/>
              </w:rPr>
              <w:t>408,804</w:t>
            </w:r>
          </w:p>
        </w:tc>
      </w:tr>
    </w:tbl>
    <w:p w14:paraId="5672A38F" w14:textId="77777777" w:rsidR="00756F0D" w:rsidRDefault="00756F0D" w:rsidP="00756F0D">
      <w:pPr>
        <w:pStyle w:val="ListParagraph"/>
        <w:rPr>
          <w:rFonts w:cstheme="minorHAnsi"/>
        </w:rPr>
      </w:pPr>
    </w:p>
    <w:p w14:paraId="06F99B7D" w14:textId="77777777" w:rsidR="00C77537" w:rsidRPr="00AA1093" w:rsidRDefault="00C77537" w:rsidP="00F8759C">
      <w:pPr>
        <w:pStyle w:val="ListParagraph"/>
        <w:numPr>
          <w:ilvl w:val="0"/>
          <w:numId w:val="16"/>
        </w:numPr>
        <w:rPr>
          <w:rFonts w:cstheme="minorHAnsi"/>
          <w:b/>
        </w:rPr>
      </w:pPr>
      <w:r w:rsidRPr="00AA1093">
        <w:rPr>
          <w:rFonts w:cstheme="minorHAnsi"/>
          <w:b/>
        </w:rPr>
        <w:t xml:space="preserve">To better understand Patient </w:t>
      </w:r>
      <w:proofErr w:type="gramStart"/>
      <w:r w:rsidRPr="00AA1093">
        <w:rPr>
          <w:rFonts w:cstheme="minorHAnsi"/>
          <w:b/>
        </w:rPr>
        <w:t>Panel</w:t>
      </w:r>
      <w:proofErr w:type="gramEnd"/>
      <w:r w:rsidRPr="00AA1093">
        <w:rPr>
          <w:rFonts w:cstheme="minorHAnsi"/>
          <w:b/>
        </w:rPr>
        <w:t xml:space="preserve"> need for the Proposed Project, please </w:t>
      </w:r>
      <w:r w:rsidR="004C515A" w:rsidRPr="00AA1093">
        <w:rPr>
          <w:rFonts w:cstheme="minorHAnsi"/>
          <w:b/>
        </w:rPr>
        <w:t>explain</w:t>
      </w:r>
      <w:r w:rsidRPr="00AA1093">
        <w:rPr>
          <w:rFonts w:cstheme="minorHAnsi"/>
          <w:b/>
        </w:rPr>
        <w:t xml:space="preserve"> the following</w:t>
      </w:r>
      <w:r w:rsidR="00FC6022" w:rsidRPr="00AA1093">
        <w:rPr>
          <w:rFonts w:cstheme="minorHAnsi"/>
          <w:b/>
        </w:rPr>
        <w:t xml:space="preserve"> changes in the Patient Panel and patient populations</w:t>
      </w:r>
      <w:r w:rsidR="004C515A" w:rsidRPr="00AA1093">
        <w:rPr>
          <w:rFonts w:cstheme="minorHAnsi"/>
          <w:b/>
        </w:rPr>
        <w:t xml:space="preserve"> from FY20 to FY22</w:t>
      </w:r>
      <w:r w:rsidRPr="00AA1093">
        <w:rPr>
          <w:rFonts w:cstheme="minorHAnsi"/>
          <w:b/>
        </w:rPr>
        <w:t>:</w:t>
      </w:r>
    </w:p>
    <w:p w14:paraId="30CECB86" w14:textId="77777777" w:rsidR="00C77537" w:rsidRPr="00AA1093" w:rsidRDefault="00F93FBD" w:rsidP="00F8759C">
      <w:pPr>
        <w:pStyle w:val="ListParagraph"/>
        <w:numPr>
          <w:ilvl w:val="1"/>
          <w:numId w:val="16"/>
        </w:numPr>
        <w:rPr>
          <w:rFonts w:cstheme="minorHAnsi"/>
          <w:b/>
        </w:rPr>
      </w:pPr>
      <w:r w:rsidRPr="00AA1093">
        <w:rPr>
          <w:rFonts w:cstheme="minorHAnsi"/>
          <w:b/>
        </w:rPr>
        <w:t xml:space="preserve">BHS Patient Panel </w:t>
      </w:r>
      <w:proofErr w:type="gramStart"/>
      <w:r w:rsidRPr="00AA1093">
        <w:rPr>
          <w:rFonts w:cstheme="minorHAnsi"/>
          <w:b/>
        </w:rPr>
        <w:t>decrease</w:t>
      </w:r>
      <w:proofErr w:type="gramEnd"/>
      <w:r w:rsidRPr="00AA1093">
        <w:rPr>
          <w:rFonts w:cstheme="minorHAnsi"/>
          <w:b/>
        </w:rPr>
        <w:t xml:space="preserve"> by </w:t>
      </w:r>
      <w:r w:rsidR="00B1181A" w:rsidRPr="00AA1093">
        <w:rPr>
          <w:rFonts w:cstheme="minorHAnsi"/>
          <w:b/>
        </w:rPr>
        <w:t>9% between FY</w:t>
      </w:r>
      <w:r w:rsidR="009A0C38" w:rsidRPr="00AA1093">
        <w:rPr>
          <w:rFonts w:cstheme="minorHAnsi"/>
          <w:b/>
        </w:rPr>
        <w:t xml:space="preserve">20 and FY22. </w:t>
      </w:r>
    </w:p>
    <w:p w14:paraId="0862A79A" w14:textId="77777777" w:rsidR="009A0C38" w:rsidRPr="00AA1093" w:rsidRDefault="003F5BE3" w:rsidP="00F8759C">
      <w:pPr>
        <w:pStyle w:val="ListParagraph"/>
        <w:numPr>
          <w:ilvl w:val="1"/>
          <w:numId w:val="16"/>
        </w:numPr>
        <w:rPr>
          <w:rFonts w:cstheme="minorHAnsi"/>
          <w:b/>
        </w:rPr>
      </w:pPr>
      <w:r w:rsidRPr="00AA1093">
        <w:rPr>
          <w:rFonts w:cstheme="minorHAnsi"/>
          <w:b/>
        </w:rPr>
        <w:t xml:space="preserve">North County Outpatients </w:t>
      </w:r>
      <w:proofErr w:type="gramStart"/>
      <w:r w:rsidRPr="00AA1093">
        <w:rPr>
          <w:rFonts w:cstheme="minorHAnsi"/>
          <w:b/>
        </w:rPr>
        <w:t>decrease</w:t>
      </w:r>
      <w:proofErr w:type="gramEnd"/>
      <w:r w:rsidRPr="00AA1093">
        <w:rPr>
          <w:rFonts w:cstheme="minorHAnsi"/>
          <w:b/>
        </w:rPr>
        <w:t xml:space="preserve"> by 4% between FY20 and FY22. </w:t>
      </w:r>
    </w:p>
    <w:p w14:paraId="4BC48334" w14:textId="77777777" w:rsidR="00022EF7" w:rsidRDefault="00022EF7" w:rsidP="00F8759C">
      <w:pPr>
        <w:pStyle w:val="ListParagraph"/>
        <w:numPr>
          <w:ilvl w:val="1"/>
          <w:numId w:val="16"/>
        </w:numPr>
        <w:rPr>
          <w:rFonts w:cstheme="minorHAnsi"/>
        </w:rPr>
      </w:pPr>
      <w:r w:rsidRPr="00AA1093">
        <w:rPr>
          <w:rFonts w:cstheme="minorHAnsi"/>
          <w:b/>
        </w:rPr>
        <w:t xml:space="preserve">BMC Acute Care Visits </w:t>
      </w:r>
      <w:proofErr w:type="gramStart"/>
      <w:r w:rsidR="00FC6022" w:rsidRPr="00AA1093">
        <w:rPr>
          <w:rFonts w:cstheme="minorHAnsi"/>
          <w:b/>
        </w:rPr>
        <w:t>increase</w:t>
      </w:r>
      <w:proofErr w:type="gramEnd"/>
      <w:r w:rsidR="00FC6022" w:rsidRPr="00AA1093">
        <w:rPr>
          <w:rFonts w:cstheme="minorHAnsi"/>
          <w:b/>
        </w:rPr>
        <w:t xml:space="preserve"> by 71% between FY20 and FY22.</w:t>
      </w:r>
      <w:r w:rsidR="00FC6022">
        <w:rPr>
          <w:rFonts w:cstheme="minorHAnsi"/>
        </w:rPr>
        <w:t xml:space="preserve"> </w:t>
      </w:r>
    </w:p>
    <w:p w14:paraId="53BCC72E" w14:textId="2CDA2BE2" w:rsidR="00711A2C" w:rsidRPr="00AA1093" w:rsidRDefault="00AA1093" w:rsidP="00221DE5">
      <w:pPr>
        <w:jc w:val="both"/>
        <w:rPr>
          <w:rFonts w:cstheme="minorHAnsi"/>
        </w:rPr>
      </w:pPr>
      <w:r w:rsidRPr="00AA1093">
        <w:rPr>
          <w:rFonts w:cstheme="minorHAnsi"/>
          <w:u w:val="single"/>
        </w:rPr>
        <w:t>Response</w:t>
      </w:r>
      <w:r w:rsidRPr="00AA1093">
        <w:rPr>
          <w:rFonts w:cstheme="minorHAnsi"/>
        </w:rPr>
        <w:t xml:space="preserve">:  </w:t>
      </w:r>
      <w:r w:rsidR="00F852F4" w:rsidRPr="00AA1093">
        <w:rPr>
          <w:rFonts w:cstheme="minorHAnsi"/>
        </w:rPr>
        <w:t xml:space="preserve">The fluctuations in the Patient Panel noted above </w:t>
      </w:r>
      <w:proofErr w:type="gramStart"/>
      <w:r w:rsidR="00B80B6E" w:rsidRPr="00AA1093">
        <w:rPr>
          <w:rFonts w:cstheme="minorHAnsi"/>
        </w:rPr>
        <w:t>is</w:t>
      </w:r>
      <w:proofErr w:type="gramEnd"/>
      <w:r w:rsidR="00B80B6E" w:rsidRPr="00AA1093">
        <w:rPr>
          <w:rFonts w:cstheme="minorHAnsi"/>
        </w:rPr>
        <w:t xml:space="preserve"> the </w:t>
      </w:r>
      <w:r w:rsidR="00F852F4" w:rsidRPr="00AA1093">
        <w:rPr>
          <w:rFonts w:cstheme="minorHAnsi"/>
        </w:rPr>
        <w:t>result</w:t>
      </w:r>
      <w:r w:rsidR="00B80B6E" w:rsidRPr="00AA1093">
        <w:rPr>
          <w:rFonts w:cstheme="minorHAnsi"/>
        </w:rPr>
        <w:t xml:space="preserve"> of </w:t>
      </w:r>
      <w:r w:rsidR="00F852F4" w:rsidRPr="00AA1093">
        <w:rPr>
          <w:rFonts w:cstheme="minorHAnsi"/>
        </w:rPr>
        <w:t xml:space="preserve">a combination of factors </w:t>
      </w:r>
      <w:r w:rsidR="00B80B6E" w:rsidRPr="00AA1093">
        <w:rPr>
          <w:rFonts w:cstheme="minorHAnsi"/>
        </w:rPr>
        <w:t xml:space="preserve">and is not reflective of </w:t>
      </w:r>
      <w:r w:rsidR="00711A2C" w:rsidRPr="00AA1093">
        <w:rPr>
          <w:rFonts w:cstheme="minorHAnsi"/>
        </w:rPr>
        <w:t>demand for services</w:t>
      </w:r>
      <w:r w:rsidR="003C1C99" w:rsidRPr="00AA1093">
        <w:rPr>
          <w:rFonts w:cstheme="minorHAnsi"/>
        </w:rPr>
        <w:t>.  In general, Berkshire County’s population</w:t>
      </w:r>
      <w:r w:rsidR="009E630E" w:rsidRPr="00AA1093">
        <w:rPr>
          <w:rFonts w:cstheme="minorHAnsi"/>
        </w:rPr>
        <w:t xml:space="preserve"> </w:t>
      </w:r>
      <w:r w:rsidR="00221DE5">
        <w:rPr>
          <w:rFonts w:cstheme="minorHAnsi"/>
        </w:rPr>
        <w:t xml:space="preserve">has remained relatively stable during </w:t>
      </w:r>
      <w:r w:rsidR="003C1C99" w:rsidRPr="00AA1093">
        <w:rPr>
          <w:rFonts w:cstheme="minorHAnsi"/>
        </w:rPr>
        <w:t>this period</w:t>
      </w:r>
      <w:r w:rsidR="00C43D5D" w:rsidRPr="00AA1093">
        <w:rPr>
          <w:rFonts w:cstheme="minorHAnsi"/>
        </w:rPr>
        <w:t xml:space="preserve">. </w:t>
      </w:r>
      <w:r w:rsidR="009E630E" w:rsidRPr="00AA1093">
        <w:rPr>
          <w:rFonts w:cstheme="minorHAnsi"/>
        </w:rPr>
        <w:t xml:space="preserve"> The general population </w:t>
      </w:r>
      <w:r w:rsidR="00221DE5">
        <w:rPr>
          <w:rFonts w:cstheme="minorHAnsi"/>
        </w:rPr>
        <w:t>is gradually becoming more diverse and</w:t>
      </w:r>
      <w:r w:rsidR="009E630E" w:rsidRPr="00AA1093">
        <w:rPr>
          <w:rFonts w:cstheme="minorHAnsi"/>
        </w:rPr>
        <w:t xml:space="preserve"> includes a </w:t>
      </w:r>
      <w:proofErr w:type="gramStart"/>
      <w:r w:rsidR="009E630E" w:rsidRPr="00AA1093">
        <w:rPr>
          <w:rFonts w:cstheme="minorHAnsi"/>
        </w:rPr>
        <w:t>higher than average</w:t>
      </w:r>
      <w:proofErr w:type="gramEnd"/>
      <w:r w:rsidR="009E630E" w:rsidRPr="00AA1093">
        <w:rPr>
          <w:rFonts w:cstheme="minorHAnsi"/>
        </w:rPr>
        <w:t xml:space="preserve"> population age 65 years or older who are high user</w:t>
      </w:r>
      <w:r w:rsidR="005E7CE5">
        <w:rPr>
          <w:rFonts w:cstheme="minorHAnsi"/>
        </w:rPr>
        <w:t>s</w:t>
      </w:r>
      <w:r w:rsidR="009E630E" w:rsidRPr="00AA1093">
        <w:rPr>
          <w:rFonts w:cstheme="minorHAnsi"/>
        </w:rPr>
        <w:t xml:space="preserve"> of health care services. </w:t>
      </w:r>
      <w:r w:rsidR="009053FA" w:rsidRPr="00AA1093">
        <w:rPr>
          <w:rFonts w:cstheme="minorHAnsi"/>
        </w:rPr>
        <w:t xml:space="preserve"> </w:t>
      </w:r>
      <w:r w:rsidR="003C1C99" w:rsidRPr="00AA1093">
        <w:rPr>
          <w:rFonts w:cstheme="minorHAnsi"/>
        </w:rPr>
        <w:t xml:space="preserve"> </w:t>
      </w:r>
      <w:r w:rsidR="00F852F4" w:rsidRPr="00AA1093">
        <w:rPr>
          <w:rFonts w:cstheme="minorHAnsi"/>
        </w:rPr>
        <w:t xml:space="preserve">In March of 2020, BHS had its first COVID case and soon </w:t>
      </w:r>
      <w:r w:rsidR="00711A2C" w:rsidRPr="00AA1093">
        <w:rPr>
          <w:rFonts w:cstheme="minorHAnsi"/>
        </w:rPr>
        <w:t>thereafter,</w:t>
      </w:r>
      <w:r w:rsidR="00B326E2" w:rsidRPr="00AA1093">
        <w:rPr>
          <w:rFonts w:cstheme="minorHAnsi"/>
        </w:rPr>
        <w:t xml:space="preserve"> </w:t>
      </w:r>
      <w:r w:rsidR="00B80B6E" w:rsidRPr="00AA1093">
        <w:rPr>
          <w:rFonts w:cstheme="minorHAnsi"/>
        </w:rPr>
        <w:t>state-imposed limitations on all non “COVID-19 Essential Services” led to limitations on services across the system</w:t>
      </w:r>
      <w:r w:rsidR="00B326E2" w:rsidRPr="00AA1093">
        <w:rPr>
          <w:rFonts w:cstheme="minorHAnsi"/>
        </w:rPr>
        <w:t xml:space="preserve">. </w:t>
      </w:r>
      <w:r w:rsidR="00F852F4" w:rsidRPr="00AA1093">
        <w:rPr>
          <w:rFonts w:cstheme="minorHAnsi"/>
        </w:rPr>
        <w:t xml:space="preserve"> </w:t>
      </w:r>
      <w:r w:rsidR="00B326E2" w:rsidRPr="00AA1093">
        <w:rPr>
          <w:rFonts w:cstheme="minorHAnsi"/>
        </w:rPr>
        <w:t>W</w:t>
      </w:r>
      <w:r w:rsidR="00F852F4" w:rsidRPr="00AA1093">
        <w:rPr>
          <w:rFonts w:cstheme="minorHAnsi"/>
        </w:rPr>
        <w:t>hen</w:t>
      </w:r>
      <w:r w:rsidR="00B80B6E" w:rsidRPr="00AA1093">
        <w:rPr>
          <w:rFonts w:cstheme="minorHAnsi"/>
        </w:rPr>
        <w:t xml:space="preserve"> state limitations were removed, the </w:t>
      </w:r>
      <w:r w:rsidR="00F852F4" w:rsidRPr="00AA1093">
        <w:rPr>
          <w:rFonts w:cstheme="minorHAnsi"/>
        </w:rPr>
        <w:t xml:space="preserve">ramp up to pre-COVID utilization </w:t>
      </w:r>
      <w:r w:rsidR="00B80B6E" w:rsidRPr="00AA1093">
        <w:rPr>
          <w:rFonts w:cstheme="minorHAnsi"/>
        </w:rPr>
        <w:t xml:space="preserve">of services across the systems </w:t>
      </w:r>
      <w:r w:rsidR="00F852F4" w:rsidRPr="00AA1093">
        <w:rPr>
          <w:rFonts w:cstheme="minorHAnsi"/>
        </w:rPr>
        <w:t xml:space="preserve">was slow. </w:t>
      </w:r>
      <w:r w:rsidR="00A6349B" w:rsidRPr="00AA1093">
        <w:rPr>
          <w:rFonts w:cstheme="minorHAnsi"/>
        </w:rPr>
        <w:t xml:space="preserve"> </w:t>
      </w:r>
    </w:p>
    <w:p w14:paraId="0C320522" w14:textId="0DE32A3E" w:rsidR="00711A2C" w:rsidRPr="00AA1093" w:rsidRDefault="00B80B6E" w:rsidP="00221DE5">
      <w:pPr>
        <w:jc w:val="both"/>
        <w:rPr>
          <w:rFonts w:cstheme="minorHAnsi"/>
        </w:rPr>
      </w:pPr>
      <w:r w:rsidRPr="00AA1093">
        <w:rPr>
          <w:rFonts w:cstheme="minorHAnsi"/>
        </w:rPr>
        <w:t>2</w:t>
      </w:r>
      <w:proofErr w:type="gramStart"/>
      <w:r w:rsidRPr="00AA1093">
        <w:rPr>
          <w:rFonts w:cstheme="minorHAnsi"/>
        </w:rPr>
        <w:t xml:space="preserve">a)  </w:t>
      </w:r>
      <w:r w:rsidR="000B19E7" w:rsidRPr="00AA1093">
        <w:rPr>
          <w:rFonts w:cstheme="minorHAnsi"/>
        </w:rPr>
        <w:t>Evidence</w:t>
      </w:r>
      <w:proofErr w:type="gramEnd"/>
      <w:r w:rsidR="000B19E7" w:rsidRPr="00AA1093">
        <w:rPr>
          <w:rFonts w:cstheme="minorHAnsi"/>
        </w:rPr>
        <w:t xml:space="preserve"> that the data is not always reflective of the demand, BHS Patient Panel unique patients decreased by 9% from FY20 to FY</w:t>
      </w:r>
      <w:r w:rsidR="009E630E" w:rsidRPr="00AA1093">
        <w:rPr>
          <w:rFonts w:cstheme="minorHAnsi"/>
        </w:rPr>
        <w:t>22, while at the same time the BHS</w:t>
      </w:r>
      <w:r w:rsidR="000B19E7" w:rsidRPr="00AA1093">
        <w:rPr>
          <w:rFonts w:cstheme="minorHAnsi"/>
        </w:rPr>
        <w:t xml:space="preserve"> Patient Panel had a 56% increase in visits.  </w:t>
      </w:r>
      <w:r w:rsidR="00EE15B4" w:rsidRPr="00AA1093">
        <w:rPr>
          <w:rFonts w:cstheme="minorHAnsi"/>
        </w:rPr>
        <w:t xml:space="preserve">One reason that the BHS Patient Panel </w:t>
      </w:r>
      <w:r w:rsidRPr="00AA1093">
        <w:rPr>
          <w:rFonts w:cstheme="minorHAnsi"/>
        </w:rPr>
        <w:t xml:space="preserve">saw a bump in FY20 and FY21 </w:t>
      </w:r>
      <w:r w:rsidR="009E630E" w:rsidRPr="00AA1093">
        <w:rPr>
          <w:rFonts w:cstheme="minorHAnsi"/>
        </w:rPr>
        <w:t xml:space="preserve">is </w:t>
      </w:r>
      <w:r w:rsidRPr="00AA1093">
        <w:rPr>
          <w:rFonts w:cstheme="minorHAnsi"/>
        </w:rPr>
        <w:t xml:space="preserve">because </w:t>
      </w:r>
      <w:r w:rsidR="009053FA" w:rsidRPr="00AA1093">
        <w:rPr>
          <w:rFonts w:cstheme="minorHAnsi"/>
        </w:rPr>
        <w:t>at the ons</w:t>
      </w:r>
      <w:r w:rsidR="009E630E" w:rsidRPr="00AA1093">
        <w:rPr>
          <w:rFonts w:cstheme="minorHAnsi"/>
        </w:rPr>
        <w:t>et of the Pandemic</w:t>
      </w:r>
      <w:r w:rsidR="009053FA" w:rsidRPr="00AA1093">
        <w:rPr>
          <w:rFonts w:cstheme="minorHAnsi"/>
        </w:rPr>
        <w:t xml:space="preserve"> patients were not </w:t>
      </w:r>
      <w:r w:rsidR="005E7CE5">
        <w:rPr>
          <w:rFonts w:cstheme="minorHAnsi"/>
        </w:rPr>
        <w:t xml:space="preserve">receiving </w:t>
      </w:r>
      <w:proofErr w:type="spellStart"/>
      <w:proofErr w:type="gramStart"/>
      <w:r w:rsidR="005E7CE5">
        <w:rPr>
          <w:rFonts w:cstheme="minorHAnsi"/>
        </w:rPr>
        <w:t>non</w:t>
      </w:r>
      <w:r w:rsidR="009053FA" w:rsidRPr="00AA1093">
        <w:rPr>
          <w:rFonts w:cstheme="minorHAnsi"/>
        </w:rPr>
        <w:t xml:space="preserve"> </w:t>
      </w:r>
      <w:r w:rsidR="005E7CE5">
        <w:rPr>
          <w:rFonts w:cstheme="minorHAnsi"/>
        </w:rPr>
        <w:t>e</w:t>
      </w:r>
      <w:r w:rsidR="009053FA" w:rsidRPr="00AA1093">
        <w:rPr>
          <w:rFonts w:cstheme="minorHAnsi"/>
        </w:rPr>
        <w:t>ssential</w:t>
      </w:r>
      <w:proofErr w:type="spellEnd"/>
      <w:proofErr w:type="gramEnd"/>
      <w:r w:rsidR="009053FA" w:rsidRPr="00AA1093">
        <w:rPr>
          <w:rFonts w:cstheme="minorHAnsi"/>
        </w:rPr>
        <w:t xml:space="preserve"> </w:t>
      </w:r>
      <w:r w:rsidR="005E7CE5">
        <w:rPr>
          <w:rFonts w:cstheme="minorHAnsi"/>
        </w:rPr>
        <w:t>s</w:t>
      </w:r>
      <w:r w:rsidR="009053FA" w:rsidRPr="00AA1093">
        <w:rPr>
          <w:rFonts w:cstheme="minorHAnsi"/>
        </w:rPr>
        <w:t>ervices</w:t>
      </w:r>
      <w:r w:rsidR="005E7CE5">
        <w:rPr>
          <w:rFonts w:cstheme="minorHAnsi"/>
        </w:rPr>
        <w:t xml:space="preserve"> not related to COVID-19</w:t>
      </w:r>
      <w:r w:rsidR="009053FA" w:rsidRPr="00AA1093">
        <w:rPr>
          <w:rFonts w:cstheme="minorHAnsi"/>
        </w:rPr>
        <w:t xml:space="preserve">; however, through this period </w:t>
      </w:r>
      <w:r w:rsidR="005E7CE5">
        <w:rPr>
          <w:rFonts w:cstheme="minorHAnsi"/>
        </w:rPr>
        <w:t xml:space="preserve">as </w:t>
      </w:r>
      <w:r w:rsidR="00C43D5D" w:rsidRPr="00AA1093">
        <w:rPr>
          <w:rFonts w:cstheme="minorHAnsi"/>
        </w:rPr>
        <w:t xml:space="preserve">COVID-19 testing and treatment </w:t>
      </w:r>
      <w:r w:rsidR="009053FA" w:rsidRPr="00AA1093">
        <w:rPr>
          <w:rFonts w:cstheme="minorHAnsi"/>
        </w:rPr>
        <w:t>increased</w:t>
      </w:r>
      <w:r w:rsidR="005E7CE5">
        <w:rPr>
          <w:rFonts w:cstheme="minorHAnsi"/>
        </w:rPr>
        <w:t xml:space="preserve">, </w:t>
      </w:r>
      <w:r w:rsidR="00C06355" w:rsidRPr="00AA1093">
        <w:rPr>
          <w:rFonts w:cstheme="minorHAnsi"/>
        </w:rPr>
        <w:t>patients began to get missed labs and other preventive services that they put off early in the Pandemic.</w:t>
      </w:r>
      <w:r w:rsidRPr="00AA1093">
        <w:rPr>
          <w:rFonts w:cstheme="minorHAnsi"/>
        </w:rPr>
        <w:t xml:space="preserve">   </w:t>
      </w:r>
    </w:p>
    <w:p w14:paraId="75FB9F86" w14:textId="7783B381" w:rsidR="00B326E2" w:rsidRPr="00AA1093" w:rsidRDefault="00B80B6E" w:rsidP="00711A2C">
      <w:pPr>
        <w:rPr>
          <w:rFonts w:cstheme="minorHAnsi"/>
        </w:rPr>
      </w:pPr>
      <w:r w:rsidRPr="00AA1093">
        <w:rPr>
          <w:rFonts w:cstheme="minorHAnsi"/>
        </w:rPr>
        <w:t xml:space="preserve">2b) </w:t>
      </w:r>
      <w:r w:rsidR="00EE15B4" w:rsidRPr="00AA1093">
        <w:rPr>
          <w:rFonts w:cstheme="minorHAnsi"/>
        </w:rPr>
        <w:t xml:space="preserve">Similar to the BHS Patient Panel, there was a 4% decrease in unique North County patients; however, there was a 48% increase in the number of visits.   This increase in visits is reflective of the </w:t>
      </w:r>
      <w:r w:rsidR="00EE15B4" w:rsidRPr="00AA1093">
        <w:rPr>
          <w:rFonts w:cstheme="minorHAnsi"/>
        </w:rPr>
        <w:lastRenderedPageBreak/>
        <w:t xml:space="preserve">increasing acute needs of this patient population. One reason </w:t>
      </w:r>
      <w:r w:rsidR="00711A2C" w:rsidRPr="00AA1093">
        <w:rPr>
          <w:rFonts w:cstheme="minorHAnsi"/>
        </w:rPr>
        <w:t xml:space="preserve">North County saw a decrease in </w:t>
      </w:r>
      <w:r w:rsidR="00EE15B4" w:rsidRPr="00AA1093">
        <w:rPr>
          <w:rFonts w:cstheme="minorHAnsi"/>
        </w:rPr>
        <w:t xml:space="preserve">unique </w:t>
      </w:r>
      <w:r w:rsidR="00711A2C" w:rsidRPr="00AA1093">
        <w:rPr>
          <w:rFonts w:cstheme="minorHAnsi"/>
        </w:rPr>
        <w:t>outpatients</w:t>
      </w:r>
      <w:r w:rsidR="00DF6E1D" w:rsidRPr="00AA1093">
        <w:rPr>
          <w:rFonts w:cstheme="minorHAnsi"/>
        </w:rPr>
        <w:t xml:space="preserve"> is</w:t>
      </w:r>
      <w:r w:rsidR="00711A2C" w:rsidRPr="00AA1093">
        <w:rPr>
          <w:rFonts w:cstheme="minorHAnsi"/>
        </w:rPr>
        <w:t xml:space="preserve"> </w:t>
      </w:r>
      <w:r w:rsidR="00A5138A" w:rsidRPr="00AA1093">
        <w:rPr>
          <w:rFonts w:cstheme="minorHAnsi"/>
        </w:rPr>
        <w:t xml:space="preserve">because of the state-imposed limitations on </w:t>
      </w:r>
      <w:r w:rsidR="00711A2C" w:rsidRPr="00AA1093">
        <w:rPr>
          <w:rFonts w:cstheme="minorHAnsi"/>
        </w:rPr>
        <w:t xml:space="preserve">services delivered during this period, as well as challenging environment for physician recruitment and retention.  </w:t>
      </w:r>
      <w:r w:rsidR="00A5138A" w:rsidRPr="00AA1093">
        <w:rPr>
          <w:rFonts w:cstheme="minorHAnsi"/>
        </w:rPr>
        <w:t>A</w:t>
      </w:r>
      <w:r w:rsidR="00711A2C" w:rsidRPr="00AA1093">
        <w:rPr>
          <w:rFonts w:cstheme="minorHAnsi"/>
        </w:rPr>
        <w:t xml:space="preserve">s noted in the </w:t>
      </w:r>
      <w:proofErr w:type="spellStart"/>
      <w:r w:rsidR="00711A2C" w:rsidRPr="00AA1093">
        <w:rPr>
          <w:rFonts w:cstheme="minorHAnsi"/>
        </w:rPr>
        <w:t>DoN</w:t>
      </w:r>
      <w:proofErr w:type="spellEnd"/>
      <w:r w:rsidR="00711A2C" w:rsidRPr="00AA1093">
        <w:rPr>
          <w:rFonts w:cstheme="minorHAnsi"/>
        </w:rPr>
        <w:t xml:space="preserve"> application, certain </w:t>
      </w:r>
      <w:r w:rsidR="00EE15B4" w:rsidRPr="00AA1093">
        <w:rPr>
          <w:rFonts w:cstheme="minorHAnsi"/>
        </w:rPr>
        <w:t xml:space="preserve">North County </w:t>
      </w:r>
      <w:r w:rsidR="00711A2C" w:rsidRPr="00AA1093">
        <w:rPr>
          <w:rFonts w:cstheme="minorHAnsi"/>
        </w:rPr>
        <w:t xml:space="preserve">physicians began to reduce their practice or retired, </w:t>
      </w:r>
      <w:r w:rsidR="00A5138A" w:rsidRPr="00AA1093">
        <w:rPr>
          <w:rFonts w:cstheme="minorHAnsi"/>
        </w:rPr>
        <w:t>one physician was on</w:t>
      </w:r>
      <w:r w:rsidR="00711A2C" w:rsidRPr="00AA1093">
        <w:rPr>
          <w:rFonts w:cstheme="minorHAnsi"/>
        </w:rPr>
        <w:t xml:space="preserve"> maternity leave, and new physicians were ramping up their practice.  One of the benefits to this Proposed Project is to create a more comprehensive healthcare delivery</w:t>
      </w:r>
      <w:r w:rsidR="006646FC">
        <w:rPr>
          <w:rFonts w:cstheme="minorHAnsi"/>
        </w:rPr>
        <w:t xml:space="preserve"> system</w:t>
      </w:r>
      <w:r w:rsidR="00711A2C" w:rsidRPr="00AA1093">
        <w:rPr>
          <w:rFonts w:cstheme="minorHAnsi"/>
        </w:rPr>
        <w:t xml:space="preserve"> in North County that will support physician recruitment and retention. </w:t>
      </w:r>
      <w:r w:rsidR="00EE15B4" w:rsidRPr="00AA1093">
        <w:rPr>
          <w:rFonts w:cstheme="minorHAnsi"/>
        </w:rPr>
        <w:t xml:space="preserve"> </w:t>
      </w:r>
    </w:p>
    <w:p w14:paraId="033DF1CB" w14:textId="618D96D7" w:rsidR="009053FA" w:rsidRPr="00AA1093" w:rsidRDefault="00A5138A" w:rsidP="00711A2C">
      <w:pPr>
        <w:rPr>
          <w:rFonts w:cstheme="minorHAnsi"/>
        </w:rPr>
      </w:pPr>
      <w:r w:rsidRPr="00AA1093">
        <w:rPr>
          <w:rFonts w:cstheme="minorHAnsi"/>
        </w:rPr>
        <w:t xml:space="preserve">2c) </w:t>
      </w:r>
      <w:r w:rsidR="009D3F2F" w:rsidRPr="00AA1093">
        <w:rPr>
          <w:rFonts w:cstheme="minorHAnsi"/>
        </w:rPr>
        <w:t xml:space="preserve">The increase in BMC acute care visits </w:t>
      </w:r>
      <w:proofErr w:type="gramStart"/>
      <w:r w:rsidR="009D3F2F" w:rsidRPr="00AA1093">
        <w:rPr>
          <w:rFonts w:cstheme="minorHAnsi"/>
        </w:rPr>
        <w:t>is a reflection of</w:t>
      </w:r>
      <w:proofErr w:type="gramEnd"/>
      <w:r w:rsidR="009D3F2F" w:rsidRPr="00AA1093">
        <w:rPr>
          <w:rFonts w:cstheme="minorHAnsi"/>
        </w:rPr>
        <w:t xml:space="preserve"> </w:t>
      </w:r>
      <w:r w:rsidR="00371B35" w:rsidRPr="00AA1093">
        <w:rPr>
          <w:rFonts w:cstheme="minorHAnsi"/>
        </w:rPr>
        <w:t xml:space="preserve">North County’s </w:t>
      </w:r>
      <w:r w:rsidR="009D3F2F" w:rsidRPr="00AA1093">
        <w:rPr>
          <w:rFonts w:cstheme="minorHAnsi"/>
        </w:rPr>
        <w:t xml:space="preserve">acute needs </w:t>
      </w:r>
      <w:r w:rsidR="00371B35" w:rsidRPr="00AA1093">
        <w:rPr>
          <w:rFonts w:cstheme="minorHAnsi"/>
        </w:rPr>
        <w:t xml:space="preserve">that required services beyond those offered at the BMC Outpatient Satellite in North County.  </w:t>
      </w:r>
      <w:r w:rsidR="00DF6E1D" w:rsidRPr="00AA1093">
        <w:rPr>
          <w:rFonts w:cstheme="minorHAnsi"/>
        </w:rPr>
        <w:t>As the Pandemic subsided, u</w:t>
      </w:r>
      <w:r w:rsidR="00371B35" w:rsidRPr="00AA1093">
        <w:rPr>
          <w:rFonts w:cstheme="minorHAnsi"/>
        </w:rPr>
        <w:t>tilization also increased as</w:t>
      </w:r>
      <w:r w:rsidR="002C0C5B" w:rsidRPr="00AA1093">
        <w:rPr>
          <w:rFonts w:cstheme="minorHAnsi"/>
        </w:rPr>
        <w:t xml:space="preserve"> North County patients</w:t>
      </w:r>
      <w:r w:rsidR="00DF6E1D" w:rsidRPr="00AA1093">
        <w:rPr>
          <w:rFonts w:cstheme="minorHAnsi"/>
        </w:rPr>
        <w:t xml:space="preserve"> were</w:t>
      </w:r>
      <w:r w:rsidR="002C0C5B" w:rsidRPr="00AA1093">
        <w:rPr>
          <w:rFonts w:cstheme="minorHAnsi"/>
        </w:rPr>
        <w:t xml:space="preserve"> m</w:t>
      </w:r>
      <w:r w:rsidR="00371B35" w:rsidRPr="00AA1093">
        <w:rPr>
          <w:rFonts w:cstheme="minorHAnsi"/>
        </w:rPr>
        <w:t xml:space="preserve">ore willing </w:t>
      </w:r>
      <w:r w:rsidR="00CD3720" w:rsidRPr="00AA1093">
        <w:rPr>
          <w:rFonts w:cstheme="minorHAnsi"/>
        </w:rPr>
        <w:t>to travel</w:t>
      </w:r>
      <w:r w:rsidR="009D3F2F" w:rsidRPr="00AA1093">
        <w:rPr>
          <w:rFonts w:cstheme="minorHAnsi"/>
        </w:rPr>
        <w:t xml:space="preserve"> to BMC in Pittsfield for inpatient</w:t>
      </w:r>
      <w:r w:rsidR="00CD3720" w:rsidRPr="00AA1093">
        <w:rPr>
          <w:rFonts w:cstheme="minorHAnsi"/>
        </w:rPr>
        <w:t xml:space="preserve"> / observation level</w:t>
      </w:r>
      <w:r w:rsidR="009D3F2F" w:rsidRPr="00AA1093">
        <w:rPr>
          <w:rFonts w:cstheme="minorHAnsi"/>
        </w:rPr>
        <w:t xml:space="preserve"> care</w:t>
      </w:r>
      <w:r w:rsidR="002C0C5B" w:rsidRPr="00AA1093">
        <w:rPr>
          <w:rFonts w:cstheme="minorHAnsi"/>
        </w:rPr>
        <w:t xml:space="preserve"> </w:t>
      </w:r>
      <w:r w:rsidR="00CD3720" w:rsidRPr="00AA1093">
        <w:rPr>
          <w:rFonts w:cstheme="minorHAnsi"/>
        </w:rPr>
        <w:t>and other outpatient services only offered at BMC because of provider availability</w:t>
      </w:r>
      <w:r w:rsidR="009D3F2F" w:rsidRPr="00AA1093">
        <w:rPr>
          <w:rFonts w:cstheme="minorHAnsi"/>
        </w:rPr>
        <w:t>.</w:t>
      </w:r>
      <w:r w:rsidR="00D21D64" w:rsidRPr="00AA1093">
        <w:rPr>
          <w:rFonts w:cstheme="minorHAnsi"/>
        </w:rPr>
        <w:t xml:space="preserve">  </w:t>
      </w:r>
    </w:p>
    <w:tbl>
      <w:tblPr>
        <w:tblW w:w="0" w:type="auto"/>
        <w:tblCellMar>
          <w:left w:w="0" w:type="dxa"/>
          <w:right w:w="0" w:type="dxa"/>
        </w:tblCellMar>
        <w:tblLook w:val="04A0" w:firstRow="1" w:lastRow="0" w:firstColumn="1" w:lastColumn="0" w:noHBand="0" w:noVBand="1"/>
      </w:tblPr>
      <w:tblGrid>
        <w:gridCol w:w="3862"/>
        <w:gridCol w:w="1440"/>
        <w:gridCol w:w="1260"/>
        <w:gridCol w:w="1710"/>
      </w:tblGrid>
      <w:tr w:rsidR="000B19E7" w14:paraId="05707C03" w14:textId="77777777" w:rsidTr="00AF6943">
        <w:trPr>
          <w:cantSplit/>
          <w:tblHeader/>
        </w:trPr>
        <w:tc>
          <w:tcPr>
            <w:tcW w:w="3862" w:type="dxa"/>
            <w:tcBorders>
              <w:top w:val="single" w:sz="8" w:space="0" w:color="auto"/>
              <w:left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651A21F5" w14:textId="77777777" w:rsidR="000B19E7" w:rsidRDefault="000B19E7">
            <w:pPr>
              <w:rPr>
                <w:rFonts w:ascii="Calibri" w:hAnsi="Calibri" w:cs="Calibri"/>
              </w:rPr>
            </w:pPr>
            <w:r>
              <w:rPr>
                <w:rFonts w:ascii="Calibri" w:hAnsi="Calibri" w:cs="Calibri"/>
              </w:rPr>
              <w:t>Population of Acute Care Surgical Visits</w:t>
            </w:r>
          </w:p>
        </w:tc>
        <w:tc>
          <w:tcPr>
            <w:tcW w:w="1440" w:type="dxa"/>
            <w:tcBorders>
              <w:top w:val="single" w:sz="8" w:space="0" w:color="auto"/>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36959DCE" w14:textId="77777777" w:rsidR="000B19E7" w:rsidRDefault="000B19E7">
            <w:pPr>
              <w:jc w:val="center"/>
              <w:rPr>
                <w:rFonts w:ascii="Calibri" w:hAnsi="Calibri" w:cs="Calibri"/>
              </w:rPr>
            </w:pPr>
            <w:r>
              <w:rPr>
                <w:rFonts w:ascii="Calibri" w:hAnsi="Calibri" w:cs="Calibri"/>
              </w:rPr>
              <w:t>FY 20</w:t>
            </w:r>
          </w:p>
        </w:tc>
        <w:tc>
          <w:tcPr>
            <w:tcW w:w="1260" w:type="dxa"/>
            <w:tcBorders>
              <w:top w:val="single" w:sz="8" w:space="0" w:color="auto"/>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24D3AD99" w14:textId="77777777" w:rsidR="000B19E7" w:rsidRDefault="000B19E7">
            <w:pPr>
              <w:jc w:val="center"/>
              <w:rPr>
                <w:rFonts w:ascii="Calibri" w:hAnsi="Calibri" w:cs="Calibri"/>
              </w:rPr>
            </w:pPr>
            <w:r>
              <w:rPr>
                <w:rFonts w:ascii="Calibri" w:hAnsi="Calibri" w:cs="Calibri"/>
              </w:rPr>
              <w:t>FY22</w:t>
            </w:r>
          </w:p>
        </w:tc>
        <w:tc>
          <w:tcPr>
            <w:tcW w:w="1710" w:type="dxa"/>
            <w:tcBorders>
              <w:top w:val="single" w:sz="8" w:space="0" w:color="auto"/>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67B77E2D" w14:textId="77777777" w:rsidR="000B19E7" w:rsidRDefault="000B19E7">
            <w:pPr>
              <w:jc w:val="center"/>
              <w:rPr>
                <w:rFonts w:ascii="Calibri" w:hAnsi="Calibri" w:cs="Calibri"/>
              </w:rPr>
            </w:pPr>
            <w:r>
              <w:rPr>
                <w:rFonts w:ascii="Calibri" w:hAnsi="Calibri" w:cs="Calibri"/>
              </w:rPr>
              <w:t>Change</w:t>
            </w:r>
          </w:p>
        </w:tc>
      </w:tr>
      <w:tr w:rsidR="000B19E7" w14:paraId="2F2A6C35" w14:textId="77777777" w:rsidTr="00AF6943">
        <w:trPr>
          <w:cantSplit/>
          <w:tblHeader/>
        </w:trPr>
        <w:tc>
          <w:tcPr>
            <w:tcW w:w="0" w:type="auto"/>
            <w:tcBorders>
              <w:left w:val="single" w:sz="8" w:space="0" w:color="auto"/>
              <w:bottom w:val="single" w:sz="8" w:space="0" w:color="auto"/>
              <w:right w:val="single" w:sz="8" w:space="0" w:color="auto"/>
            </w:tcBorders>
            <w:shd w:val="clear" w:color="auto" w:fill="B4C6E7" w:themeFill="accent1" w:themeFillTint="66"/>
            <w:vAlign w:val="center"/>
            <w:hideMark/>
          </w:tcPr>
          <w:p w14:paraId="475235A3" w14:textId="77777777" w:rsidR="000B19E7" w:rsidRDefault="000B19E7">
            <w:pPr>
              <w:rPr>
                <w:rFonts w:ascii="Calibri" w:hAnsi="Calibri" w:cs="Calibri"/>
              </w:rPr>
            </w:pPr>
          </w:p>
        </w:tc>
        <w:tc>
          <w:tcPr>
            <w:tcW w:w="1440" w:type="dxa"/>
            <w:tcBorders>
              <w:top w:val="nil"/>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37E0910C" w14:textId="77777777" w:rsidR="000B19E7" w:rsidRDefault="000B19E7">
            <w:pPr>
              <w:jc w:val="center"/>
              <w:rPr>
                <w:rFonts w:ascii="Calibri" w:hAnsi="Calibri" w:cs="Calibri"/>
              </w:rPr>
            </w:pPr>
            <w:r>
              <w:rPr>
                <w:rFonts w:ascii="Calibri" w:hAnsi="Calibri" w:cs="Calibri"/>
              </w:rPr>
              <w:t>Number</w:t>
            </w:r>
          </w:p>
        </w:tc>
        <w:tc>
          <w:tcPr>
            <w:tcW w:w="1260" w:type="dxa"/>
            <w:tcBorders>
              <w:top w:val="nil"/>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3D29433D" w14:textId="77777777" w:rsidR="000B19E7" w:rsidRDefault="000B19E7">
            <w:pPr>
              <w:jc w:val="center"/>
              <w:rPr>
                <w:rFonts w:ascii="Calibri" w:hAnsi="Calibri" w:cs="Calibri"/>
              </w:rPr>
            </w:pPr>
            <w:r>
              <w:rPr>
                <w:rFonts w:ascii="Calibri" w:hAnsi="Calibri" w:cs="Calibri"/>
              </w:rPr>
              <w:t>Number</w:t>
            </w:r>
          </w:p>
        </w:tc>
        <w:tc>
          <w:tcPr>
            <w:tcW w:w="1710" w:type="dxa"/>
            <w:tcBorders>
              <w:top w:val="nil"/>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730558BE" w14:textId="77777777" w:rsidR="000B19E7" w:rsidRDefault="000B19E7">
            <w:pPr>
              <w:jc w:val="center"/>
              <w:rPr>
                <w:rFonts w:ascii="Calibri" w:hAnsi="Calibri" w:cs="Calibri"/>
              </w:rPr>
            </w:pPr>
            <w:r>
              <w:rPr>
                <w:rFonts w:ascii="Calibri" w:hAnsi="Calibri" w:cs="Calibri"/>
              </w:rPr>
              <w:t>Percent</w:t>
            </w:r>
          </w:p>
        </w:tc>
      </w:tr>
      <w:tr w:rsidR="000B19E7" w14:paraId="6F78BCD6" w14:textId="77777777" w:rsidTr="00AF6943">
        <w:trPr>
          <w:cantSplit/>
        </w:trPr>
        <w:tc>
          <w:tcPr>
            <w:tcW w:w="38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5F869" w14:textId="77777777" w:rsidR="000B19E7" w:rsidRDefault="000B19E7">
            <w:pPr>
              <w:rPr>
                <w:rFonts w:ascii="Calibri" w:hAnsi="Calibri" w:cs="Calibri"/>
              </w:rPr>
            </w:pPr>
            <w:r>
              <w:rPr>
                <w:rFonts w:ascii="Calibri" w:hAnsi="Calibri" w:cs="Calibri"/>
              </w:rPr>
              <w:t>North County</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73978EBC" w14:textId="77777777" w:rsidR="000B19E7" w:rsidRDefault="000B19E7">
            <w:pPr>
              <w:jc w:val="center"/>
              <w:rPr>
                <w:rFonts w:ascii="Calibri" w:hAnsi="Calibri" w:cs="Calibri"/>
              </w:rPr>
            </w:pPr>
            <w:r>
              <w:rPr>
                <w:rFonts w:ascii="Calibri" w:hAnsi="Calibri" w:cs="Calibri"/>
              </w:rPr>
              <w:t>635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184BC426" w14:textId="77777777" w:rsidR="000B19E7" w:rsidRDefault="000B19E7">
            <w:pPr>
              <w:jc w:val="center"/>
              <w:rPr>
                <w:rFonts w:ascii="Calibri" w:hAnsi="Calibri" w:cs="Calibri"/>
              </w:rPr>
            </w:pPr>
            <w:r>
              <w:rPr>
                <w:rFonts w:ascii="Calibri" w:hAnsi="Calibri" w:cs="Calibri"/>
              </w:rPr>
              <w:t>1395</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2DB0B767" w14:textId="77777777" w:rsidR="000B19E7" w:rsidRDefault="000B19E7">
            <w:pPr>
              <w:jc w:val="center"/>
              <w:rPr>
                <w:rFonts w:ascii="Calibri" w:hAnsi="Calibri" w:cs="Calibri"/>
              </w:rPr>
            </w:pPr>
            <w:r>
              <w:rPr>
                <w:rFonts w:ascii="Calibri" w:hAnsi="Calibri" w:cs="Calibri"/>
              </w:rPr>
              <w:t>120%</w:t>
            </w:r>
          </w:p>
        </w:tc>
      </w:tr>
      <w:tr w:rsidR="000B19E7" w14:paraId="6AE68EA5" w14:textId="77777777" w:rsidTr="00AF6943">
        <w:trPr>
          <w:cantSplit/>
        </w:trPr>
        <w:tc>
          <w:tcPr>
            <w:tcW w:w="38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F15675" w14:textId="77777777" w:rsidR="000B19E7" w:rsidRDefault="000B19E7">
            <w:pPr>
              <w:rPr>
                <w:rFonts w:ascii="Calibri" w:hAnsi="Calibri" w:cs="Calibri"/>
              </w:rPr>
            </w:pPr>
            <w:r>
              <w:rPr>
                <w:rFonts w:ascii="Calibri" w:hAnsi="Calibri" w:cs="Calibri"/>
              </w:rPr>
              <w:t>Non-North County</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168E6B99" w14:textId="77777777" w:rsidR="000B19E7" w:rsidRDefault="000B19E7">
            <w:pPr>
              <w:jc w:val="center"/>
              <w:rPr>
                <w:rFonts w:ascii="Calibri" w:hAnsi="Calibri" w:cs="Calibri"/>
              </w:rPr>
            </w:pPr>
            <w:r>
              <w:rPr>
                <w:rFonts w:ascii="Calibri" w:hAnsi="Calibri" w:cs="Calibri"/>
              </w:rPr>
              <w:t>2,112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70C27CAF" w14:textId="77777777" w:rsidR="000B19E7" w:rsidRDefault="000B19E7">
            <w:pPr>
              <w:jc w:val="center"/>
              <w:rPr>
                <w:rFonts w:ascii="Calibri" w:hAnsi="Calibri" w:cs="Calibri"/>
              </w:rPr>
            </w:pPr>
            <w:r>
              <w:rPr>
                <w:rFonts w:ascii="Calibri" w:hAnsi="Calibri" w:cs="Calibri"/>
              </w:rPr>
              <w:t>3777</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703636F0" w14:textId="77777777" w:rsidR="000B19E7" w:rsidRDefault="000B19E7">
            <w:pPr>
              <w:jc w:val="center"/>
              <w:rPr>
                <w:rFonts w:ascii="Calibri" w:hAnsi="Calibri" w:cs="Calibri"/>
              </w:rPr>
            </w:pPr>
            <w:r>
              <w:rPr>
                <w:rFonts w:ascii="Calibri" w:hAnsi="Calibri" w:cs="Calibri"/>
              </w:rPr>
              <w:t>79%</w:t>
            </w:r>
          </w:p>
        </w:tc>
      </w:tr>
      <w:tr w:rsidR="000B19E7" w14:paraId="2E7B5494" w14:textId="77777777" w:rsidTr="00AF6943">
        <w:trPr>
          <w:cantSplit/>
        </w:trPr>
        <w:tc>
          <w:tcPr>
            <w:tcW w:w="38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FB3AB7" w14:textId="77777777" w:rsidR="000B19E7" w:rsidRDefault="000B19E7">
            <w:pPr>
              <w:rPr>
                <w:rFonts w:ascii="Calibri" w:hAnsi="Calibri" w:cs="Calibri"/>
              </w:rPr>
            </w:pPr>
            <w:r>
              <w:rPr>
                <w:rFonts w:ascii="Calibri" w:hAnsi="Calibri" w:cs="Calibri"/>
              </w:rP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2608522D" w14:textId="77777777" w:rsidR="000B19E7" w:rsidRDefault="000B19E7">
            <w:pPr>
              <w:jc w:val="center"/>
              <w:rPr>
                <w:rFonts w:ascii="Calibri" w:hAnsi="Calibri" w:cs="Calibri"/>
              </w:rPr>
            </w:pPr>
            <w:r>
              <w:rPr>
                <w:rFonts w:ascii="Calibri" w:hAnsi="Calibri" w:cs="Calibri"/>
              </w:rPr>
              <w:t>2,747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28455E11" w14:textId="77777777" w:rsidR="000B19E7" w:rsidRDefault="000B19E7">
            <w:pPr>
              <w:jc w:val="center"/>
              <w:rPr>
                <w:rFonts w:ascii="Calibri" w:hAnsi="Calibri" w:cs="Calibri"/>
              </w:rPr>
            </w:pPr>
            <w:r>
              <w:rPr>
                <w:rFonts w:ascii="Calibri" w:hAnsi="Calibri" w:cs="Calibri"/>
              </w:rPr>
              <w:t>5172</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0836843A" w14:textId="77777777" w:rsidR="000B19E7" w:rsidRDefault="000B19E7">
            <w:pPr>
              <w:jc w:val="center"/>
              <w:rPr>
                <w:rFonts w:ascii="Calibri" w:hAnsi="Calibri" w:cs="Calibri"/>
              </w:rPr>
            </w:pPr>
            <w:r>
              <w:rPr>
                <w:rFonts w:ascii="Calibri" w:hAnsi="Calibri" w:cs="Calibri"/>
              </w:rPr>
              <w:t>88%</w:t>
            </w:r>
          </w:p>
        </w:tc>
      </w:tr>
    </w:tbl>
    <w:p w14:paraId="1D974693" w14:textId="77777777" w:rsidR="000B19E7" w:rsidRDefault="000B19E7" w:rsidP="000B19E7">
      <w:pPr>
        <w:pStyle w:val="ListParagraph"/>
        <w:rPr>
          <w:rFonts w:cstheme="minorHAnsi"/>
        </w:rPr>
      </w:pPr>
    </w:p>
    <w:p w14:paraId="6019F2C8" w14:textId="1E28C842" w:rsidR="00F8759C" w:rsidRPr="00AA1093" w:rsidRDefault="004C515A" w:rsidP="00F8759C">
      <w:pPr>
        <w:pStyle w:val="ListParagraph"/>
        <w:numPr>
          <w:ilvl w:val="0"/>
          <w:numId w:val="16"/>
        </w:numPr>
        <w:rPr>
          <w:rFonts w:cstheme="minorHAnsi"/>
          <w:b/>
        </w:rPr>
      </w:pPr>
      <w:r w:rsidRPr="00AA1093">
        <w:rPr>
          <w:rFonts w:cstheme="minorHAnsi"/>
          <w:b/>
        </w:rPr>
        <w:t>Since</w:t>
      </w:r>
      <w:r w:rsidR="00F8759C" w:rsidRPr="00AA1093">
        <w:rPr>
          <w:rFonts w:cstheme="minorHAnsi"/>
          <w:b/>
        </w:rPr>
        <w:t xml:space="preserve"> FY20, the Age 65 and older population for BHS, BMC Acute Care and North County Outpatients </w:t>
      </w:r>
      <w:r w:rsidRPr="00AA1093">
        <w:rPr>
          <w:rFonts w:cstheme="minorHAnsi"/>
          <w:b/>
        </w:rPr>
        <w:t>has been</w:t>
      </w:r>
      <w:r w:rsidR="00F8759C" w:rsidRPr="00AA1093">
        <w:rPr>
          <w:rFonts w:cstheme="minorHAnsi"/>
          <w:b/>
        </w:rPr>
        <w:t xml:space="preserve"> decreasing. </w:t>
      </w:r>
      <w:r w:rsidR="00FE3C0F" w:rsidRPr="00AA1093">
        <w:rPr>
          <w:rFonts w:cstheme="minorHAnsi"/>
          <w:b/>
        </w:rPr>
        <w:t>Do you expect this trend to continue</w:t>
      </w:r>
      <w:r w:rsidR="00F8759C" w:rsidRPr="00AA1093">
        <w:rPr>
          <w:rFonts w:cstheme="minorHAnsi"/>
          <w:b/>
        </w:rPr>
        <w:t>?</w:t>
      </w:r>
      <w:r w:rsidR="006F770D" w:rsidRPr="00AA1093">
        <w:rPr>
          <w:rFonts w:cstheme="minorHAnsi"/>
          <w:b/>
        </w:rPr>
        <w:t xml:space="preserve"> </w:t>
      </w:r>
    </w:p>
    <w:p w14:paraId="74B0A696" w14:textId="1DD4D141" w:rsidR="000B19E7" w:rsidRDefault="00AA1093" w:rsidP="00E53715">
      <w:pPr>
        <w:jc w:val="both"/>
        <w:rPr>
          <w:rFonts w:cstheme="minorHAnsi"/>
          <w:b/>
        </w:rPr>
      </w:pPr>
      <w:r w:rsidRPr="00AA1093">
        <w:rPr>
          <w:rFonts w:cstheme="minorHAnsi"/>
          <w:u w:val="single"/>
        </w:rPr>
        <w:t>Response</w:t>
      </w:r>
      <w:r w:rsidRPr="00AA1093">
        <w:rPr>
          <w:rFonts w:cstheme="minorHAnsi"/>
        </w:rPr>
        <w:t xml:space="preserve">:  </w:t>
      </w:r>
      <w:r w:rsidR="009D3F2F" w:rsidRPr="00AA1093">
        <w:rPr>
          <w:rFonts w:cstheme="minorHAnsi"/>
        </w:rPr>
        <w:t xml:space="preserve">As of </w:t>
      </w:r>
      <w:proofErr w:type="gramStart"/>
      <w:r w:rsidR="0008378E" w:rsidRPr="00AA1093">
        <w:rPr>
          <w:rFonts w:cstheme="minorHAnsi"/>
        </w:rPr>
        <w:t>July 1</w:t>
      </w:r>
      <w:proofErr w:type="gramEnd"/>
      <w:r w:rsidR="0008378E" w:rsidRPr="00AA1093">
        <w:rPr>
          <w:rFonts w:cstheme="minorHAnsi"/>
        </w:rPr>
        <w:t xml:space="preserve"> </w:t>
      </w:r>
      <w:r w:rsidR="009D3F2F" w:rsidRPr="00AA1093">
        <w:rPr>
          <w:rFonts w:cstheme="minorHAnsi"/>
        </w:rPr>
        <w:t>202</w:t>
      </w:r>
      <w:r w:rsidR="0008378E" w:rsidRPr="00AA1093">
        <w:rPr>
          <w:rFonts w:cstheme="minorHAnsi"/>
        </w:rPr>
        <w:t>2</w:t>
      </w:r>
      <w:r w:rsidR="00CD3720" w:rsidRPr="00AA1093">
        <w:rPr>
          <w:rFonts w:cstheme="minorHAnsi"/>
        </w:rPr>
        <w:t>,</w:t>
      </w:r>
      <w:r w:rsidR="009D3F2F" w:rsidRPr="00AA1093">
        <w:rPr>
          <w:rFonts w:cstheme="minorHAnsi"/>
        </w:rPr>
        <w:t xml:space="preserve"> 26% of Berkshire County is age 65 or older</w:t>
      </w:r>
      <w:r w:rsidR="009D3F2F" w:rsidRPr="00AA1093">
        <w:rPr>
          <w:rStyle w:val="FootnoteReference"/>
          <w:rFonts w:cstheme="minorHAnsi"/>
        </w:rPr>
        <w:footnoteReference w:id="2"/>
      </w:r>
      <w:r w:rsidR="009D3F2F" w:rsidRPr="00AA1093">
        <w:rPr>
          <w:rFonts w:cstheme="minorHAnsi"/>
        </w:rPr>
        <w:t>.</w:t>
      </w:r>
      <w:r w:rsidR="000B19E7" w:rsidRPr="00AA1093">
        <w:rPr>
          <w:rFonts w:cstheme="minorHAnsi"/>
        </w:rPr>
        <w:t xml:space="preserve"> While unique patients in this population declin</w:t>
      </w:r>
      <w:r w:rsidR="00DF6E1D" w:rsidRPr="00AA1093">
        <w:rPr>
          <w:rFonts w:cstheme="minorHAnsi"/>
        </w:rPr>
        <w:t>ed</w:t>
      </w:r>
      <w:r w:rsidR="000B19E7" w:rsidRPr="00AA1093">
        <w:rPr>
          <w:rFonts w:cstheme="minorHAnsi"/>
        </w:rPr>
        <w:t xml:space="preserve"> between FY20 and FY22</w:t>
      </w:r>
      <w:r w:rsidR="00C43D5D" w:rsidRPr="00AA1093">
        <w:rPr>
          <w:rFonts w:cstheme="minorHAnsi"/>
        </w:rPr>
        <w:t xml:space="preserve"> as noted in Question 2</w:t>
      </w:r>
      <w:r w:rsidR="000B19E7" w:rsidRPr="00AA1093">
        <w:rPr>
          <w:rFonts w:cstheme="minorHAnsi"/>
        </w:rPr>
        <w:t>, the overall visits for this age group increas</w:t>
      </w:r>
      <w:r w:rsidR="00DF6E1D" w:rsidRPr="00AA1093">
        <w:rPr>
          <w:rFonts w:cstheme="minorHAnsi"/>
        </w:rPr>
        <w:t>ed</w:t>
      </w:r>
      <w:r w:rsidR="000B19E7" w:rsidRPr="00AA1093">
        <w:rPr>
          <w:rFonts w:cstheme="minorHAnsi"/>
        </w:rPr>
        <w:t xml:space="preserve"> for the BHS Patient Panel and the North Country Outpatients as demonstrated by the chart below. </w:t>
      </w:r>
      <w:r w:rsidR="009D3F2F" w:rsidRPr="00AA1093">
        <w:rPr>
          <w:rFonts w:cstheme="minorHAnsi"/>
        </w:rPr>
        <w:t xml:space="preserve"> </w:t>
      </w:r>
      <w:r w:rsidR="000B19E7" w:rsidRPr="00AA1093">
        <w:rPr>
          <w:rFonts w:cstheme="minorHAnsi"/>
        </w:rPr>
        <w:t xml:space="preserve"> On one hand, </w:t>
      </w:r>
      <w:r w:rsidR="00DF6E1D" w:rsidRPr="00AA1093">
        <w:rPr>
          <w:rFonts w:cstheme="minorHAnsi"/>
        </w:rPr>
        <w:t xml:space="preserve">a significant cause in the decline in unique patients was the impact of COVID-19 on </w:t>
      </w:r>
      <w:r w:rsidR="003155FA" w:rsidRPr="00AA1093">
        <w:rPr>
          <w:rFonts w:cstheme="minorHAnsi"/>
        </w:rPr>
        <w:t xml:space="preserve">this </w:t>
      </w:r>
      <w:r w:rsidR="009D3F2F" w:rsidRPr="00AA1093">
        <w:rPr>
          <w:rFonts w:cstheme="minorHAnsi"/>
        </w:rPr>
        <w:t>vulnerable senior population.</w:t>
      </w:r>
      <w:r w:rsidR="00221DE5">
        <w:rPr>
          <w:rFonts w:cstheme="minorHAnsi"/>
        </w:rPr>
        <w:t xml:space="preserve">  As noted above, there was a significant reduction in the number of patients wishing to access care</w:t>
      </w:r>
      <w:r w:rsidR="00E53715">
        <w:rPr>
          <w:rFonts w:cstheme="minorHAnsi"/>
        </w:rPr>
        <w:t xml:space="preserve"> due to</w:t>
      </w:r>
      <w:r w:rsidR="00623F11">
        <w:rPr>
          <w:rFonts w:cstheme="minorHAnsi"/>
        </w:rPr>
        <w:t xml:space="preserve"> public health</w:t>
      </w:r>
      <w:r w:rsidR="00E53715">
        <w:rPr>
          <w:rFonts w:cstheme="minorHAnsi"/>
        </w:rPr>
        <w:t xml:space="preserve"> restrictions and </w:t>
      </w:r>
      <w:r w:rsidR="00623F11">
        <w:rPr>
          <w:rFonts w:cstheme="minorHAnsi"/>
        </w:rPr>
        <w:t xml:space="preserve">patient </w:t>
      </w:r>
      <w:r w:rsidR="00E53715">
        <w:rPr>
          <w:rFonts w:cstheme="minorHAnsi"/>
        </w:rPr>
        <w:t>apprehension</w:t>
      </w:r>
      <w:r w:rsidR="00623F11">
        <w:rPr>
          <w:rFonts w:cstheme="minorHAnsi"/>
        </w:rPr>
        <w:t xml:space="preserve"> </w:t>
      </w:r>
      <w:proofErr w:type="gramStart"/>
      <w:r w:rsidR="00623F11">
        <w:rPr>
          <w:rFonts w:cstheme="minorHAnsi"/>
        </w:rPr>
        <w:t xml:space="preserve">regarding </w:t>
      </w:r>
      <w:r w:rsidR="00E53715">
        <w:rPr>
          <w:rFonts w:cstheme="minorHAnsi"/>
        </w:rPr>
        <w:t xml:space="preserve"> entering</w:t>
      </w:r>
      <w:proofErr w:type="gramEnd"/>
      <w:r w:rsidR="00E53715">
        <w:rPr>
          <w:rFonts w:cstheme="minorHAnsi"/>
        </w:rPr>
        <w:t xml:space="preserve"> medical facilities</w:t>
      </w:r>
      <w:r w:rsidR="00221DE5">
        <w:rPr>
          <w:rFonts w:cstheme="minorHAnsi"/>
        </w:rPr>
        <w:t xml:space="preserve">.  </w:t>
      </w:r>
      <w:r w:rsidR="009D3F2F" w:rsidRPr="00AA1093">
        <w:rPr>
          <w:rFonts w:cstheme="minorHAnsi"/>
        </w:rPr>
        <w:t>As of the last weekly DPH COVID-19 Public Health Report</w:t>
      </w:r>
      <w:r w:rsidR="009D3F2F" w:rsidRPr="00AA1093">
        <w:rPr>
          <w:rStyle w:val="FootnoteReference"/>
          <w:rFonts w:cstheme="minorHAnsi"/>
        </w:rPr>
        <w:footnoteReference w:id="3"/>
      </w:r>
      <w:r w:rsidR="009D3F2F" w:rsidRPr="00AA1093">
        <w:rPr>
          <w:rFonts w:cstheme="minorHAnsi"/>
        </w:rPr>
        <w:t xml:space="preserve"> (June 24, 2021), </w:t>
      </w:r>
      <w:r w:rsidR="0008378E" w:rsidRPr="00AA1093">
        <w:rPr>
          <w:rFonts w:cstheme="minorHAnsi"/>
        </w:rPr>
        <w:t>Berkshire</w:t>
      </w:r>
      <w:r w:rsidR="009D3F2F" w:rsidRPr="00AA1093">
        <w:rPr>
          <w:rFonts w:cstheme="minorHAnsi"/>
        </w:rPr>
        <w:t xml:space="preserve"> County had </w:t>
      </w:r>
      <w:r w:rsidR="0008378E" w:rsidRPr="00AA1093">
        <w:rPr>
          <w:rFonts w:cstheme="minorHAnsi"/>
        </w:rPr>
        <w:t>112</w:t>
      </w:r>
      <w:r w:rsidR="000B19E7" w:rsidRPr="00AA1093">
        <w:rPr>
          <w:rFonts w:cstheme="minorHAnsi"/>
        </w:rPr>
        <w:t xml:space="preserve"> </w:t>
      </w:r>
      <w:r w:rsidR="009D3F2F" w:rsidRPr="00AA1093">
        <w:rPr>
          <w:rFonts w:cstheme="minorHAnsi"/>
        </w:rPr>
        <w:t>confirmed deaths in long-term care facilities</w:t>
      </w:r>
      <w:r w:rsidR="00C43D5D" w:rsidRPr="00AA1093">
        <w:rPr>
          <w:rFonts w:cstheme="minorHAnsi"/>
        </w:rPr>
        <w:t>, which does not include seniors who died of other causes that may have been</w:t>
      </w:r>
      <w:r w:rsidR="005E7CE5">
        <w:rPr>
          <w:rFonts w:cstheme="minorHAnsi"/>
        </w:rPr>
        <w:t xml:space="preserve"> related to </w:t>
      </w:r>
      <w:r w:rsidR="00C43D5D" w:rsidRPr="00AA1093">
        <w:rPr>
          <w:rFonts w:cstheme="minorHAnsi"/>
        </w:rPr>
        <w:t>C</w:t>
      </w:r>
      <w:r w:rsidR="00A6349B" w:rsidRPr="00AA1093">
        <w:rPr>
          <w:rFonts w:cstheme="minorHAnsi"/>
        </w:rPr>
        <w:t>ovid</w:t>
      </w:r>
      <w:r w:rsidR="005E7CE5">
        <w:rPr>
          <w:rFonts w:cstheme="minorHAnsi"/>
        </w:rPr>
        <w:t>-19</w:t>
      </w:r>
      <w:r w:rsidR="00C43D5D" w:rsidRPr="00AA1093">
        <w:rPr>
          <w:rFonts w:cstheme="minorHAnsi"/>
        </w:rPr>
        <w:t xml:space="preserve">. </w:t>
      </w:r>
      <w:r w:rsidR="000B19E7" w:rsidRPr="00AA1093">
        <w:rPr>
          <w:rFonts w:cstheme="minorHAnsi"/>
        </w:rPr>
        <w:t xml:space="preserve">  On the other hand, </w:t>
      </w:r>
      <w:r w:rsidR="00E53715">
        <w:rPr>
          <w:rFonts w:cstheme="minorHAnsi"/>
        </w:rPr>
        <w:t xml:space="preserve">despite the apprehension </w:t>
      </w:r>
      <w:r w:rsidR="000B19E7" w:rsidRPr="00AA1093">
        <w:rPr>
          <w:rFonts w:cstheme="minorHAnsi"/>
        </w:rPr>
        <w:t xml:space="preserve">this age group is </w:t>
      </w:r>
      <w:proofErr w:type="gramStart"/>
      <w:r w:rsidR="000B19E7" w:rsidRPr="00AA1093">
        <w:rPr>
          <w:rFonts w:cstheme="minorHAnsi"/>
        </w:rPr>
        <w:t>presenting with</w:t>
      </w:r>
      <w:proofErr w:type="gramEnd"/>
      <w:r w:rsidR="000B19E7" w:rsidRPr="00AA1093">
        <w:rPr>
          <w:rFonts w:cstheme="minorHAnsi"/>
        </w:rPr>
        <w:t xml:space="preserve"> more acute needs, which require more services.</w:t>
      </w:r>
      <w:r w:rsidR="000B19E7">
        <w:rPr>
          <w:rFonts w:cstheme="minorHAnsi"/>
          <w:b/>
        </w:rPr>
        <w:t xml:space="preserve">  </w:t>
      </w:r>
    </w:p>
    <w:p w14:paraId="157F73DF" w14:textId="631AF917" w:rsidR="00A6349B" w:rsidRDefault="00A6349B" w:rsidP="009D3F2F">
      <w:pPr>
        <w:rPr>
          <w:rFonts w:cstheme="minorHAnsi"/>
          <w:b/>
        </w:rPr>
      </w:pPr>
    </w:p>
    <w:p w14:paraId="1CD2D07B" w14:textId="77777777" w:rsidR="00AA1093" w:rsidRDefault="00AA1093" w:rsidP="009D3F2F">
      <w:pPr>
        <w:rPr>
          <w:rFonts w:cstheme="minorHAnsi"/>
          <w:b/>
        </w:rPr>
      </w:pPr>
    </w:p>
    <w:tbl>
      <w:tblPr>
        <w:tblW w:w="9175" w:type="dxa"/>
        <w:tblInd w:w="-118" w:type="dxa"/>
        <w:tblCellMar>
          <w:left w:w="0" w:type="dxa"/>
          <w:right w:w="0" w:type="dxa"/>
        </w:tblCellMar>
        <w:tblLook w:val="04A0" w:firstRow="1" w:lastRow="0" w:firstColumn="1" w:lastColumn="0" w:noHBand="0" w:noVBand="1"/>
      </w:tblPr>
      <w:tblGrid>
        <w:gridCol w:w="871"/>
        <w:gridCol w:w="2454"/>
        <w:gridCol w:w="1977"/>
        <w:gridCol w:w="1803"/>
        <w:gridCol w:w="2070"/>
      </w:tblGrid>
      <w:tr w:rsidR="000B19E7" w14:paraId="2741EB17" w14:textId="77777777" w:rsidTr="006F58AC">
        <w:trPr>
          <w:cantSplit/>
          <w:tblHeader/>
        </w:trPr>
        <w:tc>
          <w:tcPr>
            <w:tcW w:w="871" w:type="dxa"/>
            <w:tcBorders>
              <w:top w:val="single" w:sz="8" w:space="0" w:color="auto"/>
              <w:left w:val="single" w:sz="8" w:space="0" w:color="auto"/>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0A84D755" w14:textId="143525AF" w:rsidR="000B19E7" w:rsidRDefault="00D21D64">
            <w:pPr>
              <w:jc w:val="center"/>
              <w:rPr>
                <w:rFonts w:ascii="Calibri" w:hAnsi="Calibri" w:cs="Calibri"/>
              </w:rPr>
            </w:pPr>
            <w:r>
              <w:rPr>
                <w:rFonts w:ascii="Calibri" w:hAnsi="Calibri" w:cs="Calibri"/>
              </w:rPr>
              <w:lastRenderedPageBreak/>
              <w:t>F</w:t>
            </w:r>
            <w:r w:rsidR="000B19E7">
              <w:rPr>
                <w:rFonts w:ascii="Calibri" w:hAnsi="Calibri" w:cs="Calibri"/>
              </w:rPr>
              <w:t>iscal Year</w:t>
            </w:r>
          </w:p>
        </w:tc>
        <w:tc>
          <w:tcPr>
            <w:tcW w:w="2454" w:type="dxa"/>
            <w:tcBorders>
              <w:top w:val="single" w:sz="8" w:space="0" w:color="auto"/>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25459B3E" w14:textId="77777777" w:rsidR="000B19E7" w:rsidRDefault="000B19E7">
            <w:pPr>
              <w:jc w:val="center"/>
              <w:rPr>
                <w:rFonts w:ascii="Calibri" w:hAnsi="Calibri" w:cs="Calibri"/>
              </w:rPr>
            </w:pPr>
            <w:r>
              <w:rPr>
                <w:rFonts w:ascii="Calibri" w:hAnsi="Calibri" w:cs="Calibri"/>
              </w:rPr>
              <w:t>Population</w:t>
            </w:r>
          </w:p>
        </w:tc>
        <w:tc>
          <w:tcPr>
            <w:tcW w:w="1977" w:type="dxa"/>
            <w:tcBorders>
              <w:top w:val="single" w:sz="8" w:space="0" w:color="auto"/>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7A61584F" w14:textId="77777777" w:rsidR="000B19E7" w:rsidRDefault="000B19E7">
            <w:pPr>
              <w:jc w:val="center"/>
              <w:rPr>
                <w:rFonts w:ascii="Calibri" w:hAnsi="Calibri" w:cs="Calibri"/>
              </w:rPr>
            </w:pPr>
            <w:r>
              <w:rPr>
                <w:rFonts w:ascii="Calibri" w:hAnsi="Calibri" w:cs="Calibri"/>
              </w:rPr>
              <w:t>BHS Patient Panel</w:t>
            </w:r>
          </w:p>
        </w:tc>
        <w:tc>
          <w:tcPr>
            <w:tcW w:w="1803" w:type="dxa"/>
            <w:tcBorders>
              <w:top w:val="single" w:sz="8" w:space="0" w:color="auto"/>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0385D726" w14:textId="77777777" w:rsidR="000B19E7" w:rsidRDefault="000B19E7">
            <w:pPr>
              <w:jc w:val="center"/>
              <w:rPr>
                <w:rFonts w:ascii="Calibri" w:hAnsi="Calibri" w:cs="Calibri"/>
              </w:rPr>
            </w:pPr>
            <w:r>
              <w:rPr>
                <w:rFonts w:ascii="Calibri" w:hAnsi="Calibri" w:cs="Calibri"/>
              </w:rPr>
              <w:t xml:space="preserve">BMC Acute – North </w:t>
            </w:r>
            <w:proofErr w:type="gramStart"/>
            <w:r>
              <w:rPr>
                <w:rFonts w:ascii="Calibri" w:hAnsi="Calibri" w:cs="Calibri"/>
              </w:rPr>
              <w:t>County  Patients</w:t>
            </w:r>
            <w:proofErr w:type="gramEnd"/>
          </w:p>
        </w:tc>
        <w:tc>
          <w:tcPr>
            <w:tcW w:w="2070" w:type="dxa"/>
            <w:tcBorders>
              <w:top w:val="single" w:sz="8" w:space="0" w:color="auto"/>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409B7770" w14:textId="77777777" w:rsidR="000B19E7" w:rsidRDefault="000B19E7">
            <w:pPr>
              <w:jc w:val="center"/>
              <w:rPr>
                <w:rFonts w:ascii="Calibri" w:hAnsi="Calibri" w:cs="Calibri"/>
              </w:rPr>
            </w:pPr>
            <w:r>
              <w:rPr>
                <w:rFonts w:ascii="Calibri" w:hAnsi="Calibri" w:cs="Calibri"/>
              </w:rPr>
              <w:t>North County Outpatient</w:t>
            </w:r>
          </w:p>
        </w:tc>
      </w:tr>
      <w:tr w:rsidR="000B19E7" w14:paraId="360E3676" w14:textId="77777777" w:rsidTr="006F58AC">
        <w:trPr>
          <w:cantSplit/>
        </w:trPr>
        <w:tc>
          <w:tcPr>
            <w:tcW w:w="871" w:type="dxa"/>
            <w:tcBorders>
              <w:top w:val="nil"/>
              <w:left w:val="single" w:sz="8" w:space="0" w:color="auto"/>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26E49E4F" w14:textId="77777777" w:rsidR="000B19E7" w:rsidRDefault="000B19E7">
            <w:pPr>
              <w:jc w:val="center"/>
              <w:rPr>
                <w:rFonts w:ascii="Calibri" w:hAnsi="Calibri" w:cs="Calibri"/>
              </w:rPr>
            </w:pPr>
            <w:r>
              <w:rPr>
                <w:rFonts w:ascii="Calibri" w:hAnsi="Calibri" w:cs="Calibri"/>
              </w:rPr>
              <w:t>FY 20</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2B9A0515" w14:textId="77777777" w:rsidR="000B19E7" w:rsidRDefault="000B19E7">
            <w:pPr>
              <w:jc w:val="center"/>
              <w:rPr>
                <w:rFonts w:ascii="Calibri" w:hAnsi="Calibri" w:cs="Calibri"/>
              </w:rPr>
            </w:pPr>
            <w:r>
              <w:rPr>
                <w:rFonts w:ascii="Calibri" w:hAnsi="Calibri" w:cs="Calibri"/>
              </w:rPr>
              <w:t>Unique Patients</w:t>
            </w:r>
          </w:p>
        </w:tc>
        <w:tc>
          <w:tcPr>
            <w:tcW w:w="1977" w:type="dxa"/>
            <w:tcBorders>
              <w:top w:val="nil"/>
              <w:left w:val="nil"/>
              <w:bottom w:val="single" w:sz="8" w:space="0" w:color="auto"/>
              <w:right w:val="single" w:sz="8" w:space="0" w:color="auto"/>
            </w:tcBorders>
            <w:tcMar>
              <w:top w:w="0" w:type="dxa"/>
              <w:left w:w="108" w:type="dxa"/>
              <w:bottom w:w="0" w:type="dxa"/>
              <w:right w:w="108" w:type="dxa"/>
            </w:tcMar>
            <w:hideMark/>
          </w:tcPr>
          <w:p w14:paraId="4EC1BBF0" w14:textId="77777777" w:rsidR="000B19E7" w:rsidRDefault="000B19E7">
            <w:pPr>
              <w:jc w:val="center"/>
              <w:rPr>
                <w:rFonts w:ascii="Calibri" w:hAnsi="Calibri" w:cs="Calibri"/>
              </w:rPr>
            </w:pPr>
            <w:r>
              <w:rPr>
                <w:rFonts w:ascii="Calibri" w:hAnsi="Calibri" w:cs="Calibri"/>
              </w:rPr>
              <w:t>146,286</w:t>
            </w:r>
          </w:p>
        </w:tc>
        <w:tc>
          <w:tcPr>
            <w:tcW w:w="1803" w:type="dxa"/>
            <w:tcBorders>
              <w:top w:val="nil"/>
              <w:left w:val="nil"/>
              <w:bottom w:val="single" w:sz="8" w:space="0" w:color="auto"/>
              <w:right w:val="single" w:sz="8" w:space="0" w:color="auto"/>
            </w:tcBorders>
            <w:tcMar>
              <w:top w:w="0" w:type="dxa"/>
              <w:left w:w="108" w:type="dxa"/>
              <w:bottom w:w="0" w:type="dxa"/>
              <w:right w:w="108" w:type="dxa"/>
            </w:tcMar>
            <w:hideMark/>
          </w:tcPr>
          <w:p w14:paraId="7953C0B3" w14:textId="77777777" w:rsidR="000B19E7" w:rsidRDefault="000B19E7">
            <w:pPr>
              <w:jc w:val="center"/>
              <w:rPr>
                <w:rFonts w:ascii="Calibri" w:hAnsi="Calibri" w:cs="Calibri"/>
              </w:rPr>
            </w:pPr>
            <w:r>
              <w:rPr>
                <w:rFonts w:ascii="Calibri" w:hAnsi="Calibri" w:cs="Calibri"/>
              </w:rPr>
              <w:t>NA</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1D147D0E" w14:textId="77777777" w:rsidR="000B19E7" w:rsidRDefault="000B19E7">
            <w:pPr>
              <w:jc w:val="center"/>
              <w:rPr>
                <w:rFonts w:ascii="Calibri" w:hAnsi="Calibri" w:cs="Calibri"/>
              </w:rPr>
            </w:pPr>
            <w:r>
              <w:rPr>
                <w:rFonts w:ascii="Calibri" w:hAnsi="Calibri" w:cs="Calibri"/>
              </w:rPr>
              <w:t>36,806</w:t>
            </w:r>
          </w:p>
        </w:tc>
      </w:tr>
      <w:tr w:rsidR="000B19E7" w14:paraId="57844529" w14:textId="77777777" w:rsidTr="006F58AC">
        <w:trPr>
          <w:cantSplit/>
        </w:trPr>
        <w:tc>
          <w:tcPr>
            <w:tcW w:w="8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A4C256E" w14:textId="77777777" w:rsidR="000B19E7" w:rsidRDefault="000B19E7">
            <w:pPr>
              <w:jc w:val="center"/>
              <w:rPr>
                <w:rFonts w:ascii="Calibri" w:hAnsi="Calibri" w:cs="Calibri"/>
              </w:rPr>
            </w:pP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3644E1A0" w14:textId="77777777" w:rsidR="000B19E7" w:rsidRDefault="000B19E7">
            <w:pPr>
              <w:jc w:val="center"/>
              <w:rPr>
                <w:rFonts w:ascii="Calibri" w:hAnsi="Calibri" w:cs="Calibri"/>
              </w:rPr>
            </w:pPr>
            <w:r>
              <w:rPr>
                <w:rFonts w:ascii="Calibri" w:hAnsi="Calibri" w:cs="Calibri"/>
              </w:rPr>
              <w:t>Unique Patients age 65+</w:t>
            </w:r>
          </w:p>
        </w:tc>
        <w:tc>
          <w:tcPr>
            <w:tcW w:w="1977" w:type="dxa"/>
            <w:tcBorders>
              <w:top w:val="nil"/>
              <w:left w:val="nil"/>
              <w:bottom w:val="single" w:sz="8" w:space="0" w:color="auto"/>
              <w:right w:val="single" w:sz="8" w:space="0" w:color="auto"/>
            </w:tcBorders>
            <w:tcMar>
              <w:top w:w="0" w:type="dxa"/>
              <w:left w:w="108" w:type="dxa"/>
              <w:bottom w:w="0" w:type="dxa"/>
              <w:right w:w="108" w:type="dxa"/>
            </w:tcMar>
            <w:hideMark/>
          </w:tcPr>
          <w:p w14:paraId="0B9089D9" w14:textId="77777777" w:rsidR="000B19E7" w:rsidRDefault="000B19E7">
            <w:pPr>
              <w:jc w:val="center"/>
              <w:rPr>
                <w:rFonts w:ascii="Calibri" w:hAnsi="Calibri" w:cs="Calibri"/>
              </w:rPr>
            </w:pPr>
            <w:r>
              <w:rPr>
                <w:rFonts w:ascii="Calibri" w:hAnsi="Calibri" w:cs="Calibri"/>
              </w:rPr>
              <w:t>45,686 (31.23%)</w:t>
            </w:r>
          </w:p>
        </w:tc>
        <w:tc>
          <w:tcPr>
            <w:tcW w:w="1803" w:type="dxa"/>
            <w:tcBorders>
              <w:top w:val="nil"/>
              <w:left w:val="nil"/>
              <w:bottom w:val="single" w:sz="8" w:space="0" w:color="auto"/>
              <w:right w:val="single" w:sz="8" w:space="0" w:color="auto"/>
            </w:tcBorders>
            <w:tcMar>
              <w:top w:w="0" w:type="dxa"/>
              <w:left w:w="108" w:type="dxa"/>
              <w:bottom w:w="0" w:type="dxa"/>
              <w:right w:w="108" w:type="dxa"/>
            </w:tcMar>
            <w:hideMark/>
          </w:tcPr>
          <w:p w14:paraId="430511B0" w14:textId="77777777" w:rsidR="000B19E7" w:rsidRDefault="000B19E7">
            <w:pPr>
              <w:jc w:val="center"/>
              <w:rPr>
                <w:rFonts w:ascii="Calibri" w:hAnsi="Calibri" w:cs="Calibri"/>
              </w:rPr>
            </w:pPr>
            <w:r>
              <w:rPr>
                <w:rFonts w:ascii="Calibri" w:hAnsi="Calibri" w:cs="Calibri"/>
              </w:rPr>
              <w:t>NA</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34846E32" w14:textId="77777777" w:rsidR="000B19E7" w:rsidRDefault="000B19E7">
            <w:pPr>
              <w:jc w:val="center"/>
              <w:rPr>
                <w:rFonts w:ascii="Calibri" w:hAnsi="Calibri" w:cs="Calibri"/>
              </w:rPr>
            </w:pPr>
            <w:r>
              <w:rPr>
                <w:rFonts w:ascii="Calibri" w:hAnsi="Calibri" w:cs="Calibri"/>
              </w:rPr>
              <w:t>10,493 (28.51%)</w:t>
            </w:r>
          </w:p>
        </w:tc>
      </w:tr>
      <w:tr w:rsidR="000B19E7" w14:paraId="1FA6AF01" w14:textId="77777777" w:rsidTr="006F58AC">
        <w:trPr>
          <w:cantSplit/>
        </w:trPr>
        <w:tc>
          <w:tcPr>
            <w:tcW w:w="8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C232DA2" w14:textId="77777777" w:rsidR="000B19E7" w:rsidRDefault="000B19E7">
            <w:pPr>
              <w:jc w:val="center"/>
              <w:rPr>
                <w:rFonts w:ascii="Calibri" w:hAnsi="Calibri" w:cs="Calibri"/>
              </w:rPr>
            </w:pP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1C9A9EC8" w14:textId="77777777" w:rsidR="000B19E7" w:rsidRDefault="000B19E7">
            <w:pPr>
              <w:jc w:val="center"/>
              <w:rPr>
                <w:rFonts w:ascii="Calibri" w:hAnsi="Calibri" w:cs="Calibri"/>
                <w:sz w:val="24"/>
                <w:szCs w:val="24"/>
              </w:rPr>
            </w:pPr>
            <w:r>
              <w:rPr>
                <w:rFonts w:ascii="Calibri" w:hAnsi="Calibri" w:cs="Calibri"/>
              </w:rPr>
              <w:t>Patient Visits</w:t>
            </w:r>
          </w:p>
        </w:tc>
        <w:tc>
          <w:tcPr>
            <w:tcW w:w="1977" w:type="dxa"/>
            <w:tcBorders>
              <w:top w:val="nil"/>
              <w:left w:val="nil"/>
              <w:bottom w:val="single" w:sz="8" w:space="0" w:color="auto"/>
              <w:right w:val="single" w:sz="8" w:space="0" w:color="auto"/>
            </w:tcBorders>
            <w:tcMar>
              <w:top w:w="0" w:type="dxa"/>
              <w:left w:w="108" w:type="dxa"/>
              <w:bottom w:w="0" w:type="dxa"/>
              <w:right w:w="108" w:type="dxa"/>
            </w:tcMar>
            <w:hideMark/>
          </w:tcPr>
          <w:p w14:paraId="72CA2D1A" w14:textId="77777777" w:rsidR="000B19E7" w:rsidRDefault="000B19E7">
            <w:pPr>
              <w:jc w:val="center"/>
              <w:rPr>
                <w:rFonts w:ascii="Calibri" w:hAnsi="Calibri" w:cs="Calibri"/>
              </w:rPr>
            </w:pPr>
            <w:r>
              <w:rPr>
                <w:rFonts w:ascii="Calibri" w:hAnsi="Calibri" w:cs="Calibri"/>
              </w:rPr>
              <w:t>950,065</w:t>
            </w:r>
          </w:p>
        </w:tc>
        <w:tc>
          <w:tcPr>
            <w:tcW w:w="1803" w:type="dxa"/>
            <w:tcBorders>
              <w:top w:val="nil"/>
              <w:left w:val="nil"/>
              <w:bottom w:val="single" w:sz="8" w:space="0" w:color="auto"/>
              <w:right w:val="single" w:sz="8" w:space="0" w:color="auto"/>
            </w:tcBorders>
            <w:tcMar>
              <w:top w:w="0" w:type="dxa"/>
              <w:left w:w="108" w:type="dxa"/>
              <w:bottom w:w="0" w:type="dxa"/>
              <w:right w:w="108" w:type="dxa"/>
            </w:tcMar>
            <w:hideMark/>
          </w:tcPr>
          <w:p w14:paraId="51314577" w14:textId="77777777" w:rsidR="000B19E7" w:rsidRDefault="000B19E7">
            <w:pPr>
              <w:jc w:val="center"/>
              <w:rPr>
                <w:rFonts w:ascii="Calibri" w:hAnsi="Calibri" w:cs="Calibri"/>
              </w:rPr>
            </w:pPr>
            <w:r>
              <w:rPr>
                <w:rFonts w:ascii="Calibri" w:hAnsi="Calibri" w:cs="Calibri"/>
              </w:rPr>
              <w:t>2,279</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6A42CC5B" w14:textId="77777777" w:rsidR="000B19E7" w:rsidRDefault="000B19E7">
            <w:pPr>
              <w:jc w:val="center"/>
              <w:rPr>
                <w:rFonts w:ascii="Calibri" w:hAnsi="Calibri" w:cs="Calibri"/>
              </w:rPr>
            </w:pPr>
            <w:r>
              <w:rPr>
                <w:rFonts w:ascii="Calibri" w:hAnsi="Calibri" w:cs="Calibri"/>
              </w:rPr>
              <w:t>276,494</w:t>
            </w:r>
          </w:p>
        </w:tc>
      </w:tr>
      <w:tr w:rsidR="000B19E7" w14:paraId="2BBA4446" w14:textId="77777777" w:rsidTr="006F58AC">
        <w:trPr>
          <w:cantSplit/>
        </w:trPr>
        <w:tc>
          <w:tcPr>
            <w:tcW w:w="8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8947B13" w14:textId="77777777" w:rsidR="000B19E7" w:rsidRDefault="000B19E7">
            <w:pPr>
              <w:jc w:val="center"/>
              <w:rPr>
                <w:rFonts w:ascii="Calibri" w:hAnsi="Calibri" w:cs="Calibri"/>
              </w:rPr>
            </w:pP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53426D34" w14:textId="77777777" w:rsidR="000B19E7" w:rsidRDefault="000B19E7">
            <w:pPr>
              <w:jc w:val="center"/>
              <w:rPr>
                <w:rFonts w:ascii="Calibri" w:hAnsi="Calibri" w:cs="Calibri"/>
              </w:rPr>
            </w:pPr>
            <w:r>
              <w:rPr>
                <w:rFonts w:ascii="Calibri" w:hAnsi="Calibri" w:cs="Calibri"/>
              </w:rPr>
              <w:t>Patient Visits age 65+</w:t>
            </w:r>
          </w:p>
        </w:tc>
        <w:tc>
          <w:tcPr>
            <w:tcW w:w="1977" w:type="dxa"/>
            <w:tcBorders>
              <w:top w:val="nil"/>
              <w:left w:val="nil"/>
              <w:bottom w:val="single" w:sz="8" w:space="0" w:color="auto"/>
              <w:right w:val="single" w:sz="8" w:space="0" w:color="auto"/>
            </w:tcBorders>
            <w:tcMar>
              <w:top w:w="0" w:type="dxa"/>
              <w:left w:w="108" w:type="dxa"/>
              <w:bottom w:w="0" w:type="dxa"/>
              <w:right w:w="108" w:type="dxa"/>
            </w:tcMar>
            <w:hideMark/>
          </w:tcPr>
          <w:p w14:paraId="366453E9" w14:textId="77777777" w:rsidR="000B19E7" w:rsidRDefault="000B19E7">
            <w:pPr>
              <w:jc w:val="center"/>
              <w:rPr>
                <w:rFonts w:ascii="Calibri" w:hAnsi="Calibri" w:cs="Calibri"/>
              </w:rPr>
            </w:pPr>
            <w:r>
              <w:rPr>
                <w:rFonts w:ascii="Calibri" w:hAnsi="Calibri" w:cs="Calibri"/>
              </w:rPr>
              <w:t>409,492 (43.10%)</w:t>
            </w:r>
          </w:p>
        </w:tc>
        <w:tc>
          <w:tcPr>
            <w:tcW w:w="1803" w:type="dxa"/>
            <w:tcBorders>
              <w:top w:val="nil"/>
              <w:left w:val="nil"/>
              <w:bottom w:val="single" w:sz="8" w:space="0" w:color="auto"/>
              <w:right w:val="single" w:sz="8" w:space="0" w:color="auto"/>
            </w:tcBorders>
            <w:tcMar>
              <w:top w:w="0" w:type="dxa"/>
              <w:left w:w="108" w:type="dxa"/>
              <w:bottom w:w="0" w:type="dxa"/>
              <w:right w:w="108" w:type="dxa"/>
            </w:tcMar>
            <w:hideMark/>
          </w:tcPr>
          <w:p w14:paraId="41F3DA53" w14:textId="77777777" w:rsidR="000B19E7" w:rsidRDefault="000B19E7">
            <w:pPr>
              <w:jc w:val="center"/>
              <w:rPr>
                <w:rFonts w:ascii="Calibri" w:hAnsi="Calibri" w:cs="Calibri"/>
              </w:rPr>
            </w:pPr>
            <w:r>
              <w:rPr>
                <w:rFonts w:ascii="Calibri" w:hAnsi="Calibri" w:cs="Calibri"/>
              </w:rPr>
              <w:t>1,270 (55.73%)</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430B8356" w14:textId="77777777" w:rsidR="000B19E7" w:rsidRDefault="000B19E7">
            <w:pPr>
              <w:jc w:val="center"/>
              <w:rPr>
                <w:rFonts w:ascii="Calibri" w:hAnsi="Calibri" w:cs="Calibri"/>
              </w:rPr>
            </w:pPr>
            <w:r>
              <w:rPr>
                <w:rFonts w:ascii="Calibri" w:hAnsi="Calibri" w:cs="Calibri"/>
              </w:rPr>
              <w:t>114,844 (41.54%)</w:t>
            </w:r>
          </w:p>
        </w:tc>
      </w:tr>
      <w:tr w:rsidR="000B19E7" w14:paraId="589560DE" w14:textId="77777777" w:rsidTr="006F58AC">
        <w:trPr>
          <w:cantSplit/>
        </w:trPr>
        <w:tc>
          <w:tcPr>
            <w:tcW w:w="871" w:type="dxa"/>
            <w:tcBorders>
              <w:top w:val="nil"/>
              <w:left w:val="single" w:sz="8" w:space="0" w:color="auto"/>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7D0C57A1" w14:textId="77777777" w:rsidR="000B19E7" w:rsidRDefault="000B19E7">
            <w:pPr>
              <w:jc w:val="center"/>
              <w:rPr>
                <w:rFonts w:ascii="Calibri" w:hAnsi="Calibri" w:cs="Calibri"/>
              </w:rPr>
            </w:pPr>
            <w:r>
              <w:rPr>
                <w:rFonts w:ascii="Calibri" w:hAnsi="Calibri" w:cs="Calibri"/>
              </w:rPr>
              <w:t>FY 22</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5D8AAD87" w14:textId="77777777" w:rsidR="000B19E7" w:rsidRDefault="000B19E7">
            <w:pPr>
              <w:jc w:val="center"/>
              <w:rPr>
                <w:rFonts w:ascii="Calibri" w:hAnsi="Calibri" w:cs="Calibri"/>
                <w:sz w:val="24"/>
                <w:szCs w:val="24"/>
              </w:rPr>
            </w:pPr>
            <w:r>
              <w:rPr>
                <w:rFonts w:ascii="Calibri" w:hAnsi="Calibri" w:cs="Calibri"/>
              </w:rPr>
              <w:t>Unique Patients</w:t>
            </w:r>
          </w:p>
        </w:tc>
        <w:tc>
          <w:tcPr>
            <w:tcW w:w="1977" w:type="dxa"/>
            <w:tcBorders>
              <w:top w:val="nil"/>
              <w:left w:val="nil"/>
              <w:bottom w:val="single" w:sz="8" w:space="0" w:color="auto"/>
              <w:right w:val="single" w:sz="8" w:space="0" w:color="auto"/>
            </w:tcBorders>
            <w:tcMar>
              <w:top w:w="0" w:type="dxa"/>
              <w:left w:w="108" w:type="dxa"/>
              <w:bottom w:w="0" w:type="dxa"/>
              <w:right w:w="108" w:type="dxa"/>
            </w:tcMar>
            <w:hideMark/>
          </w:tcPr>
          <w:p w14:paraId="2C2FFF91" w14:textId="77777777" w:rsidR="000B19E7" w:rsidRDefault="000B19E7">
            <w:pPr>
              <w:jc w:val="center"/>
              <w:rPr>
                <w:rFonts w:ascii="Calibri" w:hAnsi="Calibri" w:cs="Calibri"/>
              </w:rPr>
            </w:pPr>
            <w:r>
              <w:rPr>
                <w:rFonts w:ascii="Calibri" w:hAnsi="Calibri" w:cs="Calibri"/>
              </w:rPr>
              <w:t>132,669</w:t>
            </w:r>
          </w:p>
        </w:tc>
        <w:tc>
          <w:tcPr>
            <w:tcW w:w="1803" w:type="dxa"/>
            <w:tcBorders>
              <w:top w:val="nil"/>
              <w:left w:val="nil"/>
              <w:bottom w:val="single" w:sz="8" w:space="0" w:color="auto"/>
              <w:right w:val="single" w:sz="8" w:space="0" w:color="auto"/>
            </w:tcBorders>
            <w:tcMar>
              <w:top w:w="0" w:type="dxa"/>
              <w:left w:w="108" w:type="dxa"/>
              <w:bottom w:w="0" w:type="dxa"/>
              <w:right w:w="108" w:type="dxa"/>
            </w:tcMar>
            <w:hideMark/>
          </w:tcPr>
          <w:p w14:paraId="486C2A41" w14:textId="77777777" w:rsidR="000B19E7" w:rsidRDefault="000B19E7">
            <w:pPr>
              <w:jc w:val="center"/>
              <w:rPr>
                <w:rFonts w:ascii="Calibri" w:hAnsi="Calibri" w:cs="Calibri"/>
              </w:rPr>
            </w:pPr>
            <w:r>
              <w:rPr>
                <w:rFonts w:ascii="Calibri" w:hAnsi="Calibri" w:cs="Calibri"/>
              </w:rPr>
              <w:t>NA</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789DCB83" w14:textId="77777777" w:rsidR="000B19E7" w:rsidRDefault="000B19E7">
            <w:pPr>
              <w:jc w:val="center"/>
              <w:rPr>
                <w:rFonts w:ascii="Calibri" w:hAnsi="Calibri" w:cs="Calibri"/>
              </w:rPr>
            </w:pPr>
            <w:r>
              <w:rPr>
                <w:rFonts w:ascii="Calibri" w:hAnsi="Calibri" w:cs="Calibri"/>
              </w:rPr>
              <w:t>35,246</w:t>
            </w:r>
          </w:p>
        </w:tc>
      </w:tr>
      <w:tr w:rsidR="000B19E7" w14:paraId="4032CCA1" w14:textId="77777777" w:rsidTr="006F58AC">
        <w:trPr>
          <w:cantSplit/>
        </w:trPr>
        <w:tc>
          <w:tcPr>
            <w:tcW w:w="8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B1FD49" w14:textId="77777777" w:rsidR="000B19E7" w:rsidRDefault="000B19E7">
            <w:pPr>
              <w:jc w:val="center"/>
              <w:rPr>
                <w:rFonts w:ascii="Calibri" w:hAnsi="Calibri" w:cs="Calibri"/>
              </w:rPr>
            </w:pP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484ED527" w14:textId="77777777" w:rsidR="000B19E7" w:rsidRDefault="000B19E7">
            <w:pPr>
              <w:jc w:val="center"/>
              <w:rPr>
                <w:rFonts w:ascii="Calibri" w:hAnsi="Calibri" w:cs="Calibri"/>
              </w:rPr>
            </w:pPr>
            <w:r>
              <w:rPr>
                <w:rFonts w:ascii="Calibri" w:hAnsi="Calibri" w:cs="Calibri"/>
              </w:rPr>
              <w:t>Unique Patients age 65+</w:t>
            </w:r>
          </w:p>
        </w:tc>
        <w:tc>
          <w:tcPr>
            <w:tcW w:w="1977" w:type="dxa"/>
            <w:tcBorders>
              <w:top w:val="nil"/>
              <w:left w:val="nil"/>
              <w:bottom w:val="single" w:sz="8" w:space="0" w:color="auto"/>
              <w:right w:val="single" w:sz="8" w:space="0" w:color="auto"/>
            </w:tcBorders>
            <w:tcMar>
              <w:top w:w="0" w:type="dxa"/>
              <w:left w:w="108" w:type="dxa"/>
              <w:bottom w:w="0" w:type="dxa"/>
              <w:right w:w="108" w:type="dxa"/>
            </w:tcMar>
            <w:hideMark/>
          </w:tcPr>
          <w:p w14:paraId="135407EC" w14:textId="77777777" w:rsidR="000B19E7" w:rsidRDefault="000B19E7">
            <w:pPr>
              <w:jc w:val="center"/>
              <w:rPr>
                <w:rFonts w:ascii="Calibri" w:hAnsi="Calibri" w:cs="Calibri"/>
              </w:rPr>
            </w:pPr>
            <w:r>
              <w:rPr>
                <w:rFonts w:ascii="Calibri" w:hAnsi="Calibri" w:cs="Calibri"/>
              </w:rPr>
              <w:t>37,794 (28.49%)</w:t>
            </w:r>
          </w:p>
        </w:tc>
        <w:tc>
          <w:tcPr>
            <w:tcW w:w="1803" w:type="dxa"/>
            <w:tcBorders>
              <w:top w:val="nil"/>
              <w:left w:val="nil"/>
              <w:bottom w:val="single" w:sz="8" w:space="0" w:color="auto"/>
              <w:right w:val="single" w:sz="8" w:space="0" w:color="auto"/>
            </w:tcBorders>
            <w:tcMar>
              <w:top w:w="0" w:type="dxa"/>
              <w:left w:w="108" w:type="dxa"/>
              <w:bottom w:w="0" w:type="dxa"/>
              <w:right w:w="108" w:type="dxa"/>
            </w:tcMar>
            <w:hideMark/>
          </w:tcPr>
          <w:p w14:paraId="19C0988B" w14:textId="77777777" w:rsidR="000B19E7" w:rsidRDefault="000B19E7">
            <w:pPr>
              <w:jc w:val="center"/>
              <w:rPr>
                <w:rFonts w:ascii="Calibri" w:hAnsi="Calibri" w:cs="Calibri"/>
              </w:rPr>
            </w:pPr>
            <w:r>
              <w:rPr>
                <w:rFonts w:ascii="Calibri" w:hAnsi="Calibri" w:cs="Calibri"/>
              </w:rPr>
              <w:t>NA</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0CA8BBA1" w14:textId="77777777" w:rsidR="000B19E7" w:rsidRDefault="000B19E7">
            <w:pPr>
              <w:jc w:val="center"/>
              <w:rPr>
                <w:rFonts w:ascii="Calibri" w:hAnsi="Calibri" w:cs="Calibri"/>
              </w:rPr>
            </w:pPr>
            <w:r>
              <w:rPr>
                <w:rFonts w:ascii="Calibri" w:hAnsi="Calibri" w:cs="Calibri"/>
              </w:rPr>
              <w:t>9,358 (26.56%)</w:t>
            </w:r>
          </w:p>
        </w:tc>
      </w:tr>
      <w:tr w:rsidR="000B19E7" w14:paraId="5D5535FA" w14:textId="77777777" w:rsidTr="006F58AC">
        <w:trPr>
          <w:cantSplit/>
        </w:trPr>
        <w:tc>
          <w:tcPr>
            <w:tcW w:w="8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2EC367D" w14:textId="77777777" w:rsidR="000B19E7" w:rsidRDefault="000B19E7">
            <w:pPr>
              <w:jc w:val="center"/>
              <w:rPr>
                <w:rFonts w:ascii="Calibri" w:hAnsi="Calibri" w:cs="Calibri"/>
              </w:rPr>
            </w:pP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2AF31B80" w14:textId="77777777" w:rsidR="000B19E7" w:rsidRDefault="000B19E7">
            <w:pPr>
              <w:jc w:val="center"/>
              <w:rPr>
                <w:rFonts w:ascii="Calibri" w:hAnsi="Calibri" w:cs="Calibri"/>
                <w:sz w:val="24"/>
                <w:szCs w:val="24"/>
              </w:rPr>
            </w:pPr>
            <w:r>
              <w:rPr>
                <w:rFonts w:ascii="Calibri" w:hAnsi="Calibri" w:cs="Calibri"/>
              </w:rPr>
              <w:t>Patient Visits</w:t>
            </w:r>
          </w:p>
        </w:tc>
        <w:tc>
          <w:tcPr>
            <w:tcW w:w="1977" w:type="dxa"/>
            <w:tcBorders>
              <w:top w:val="nil"/>
              <w:left w:val="nil"/>
              <w:bottom w:val="single" w:sz="8" w:space="0" w:color="auto"/>
              <w:right w:val="single" w:sz="8" w:space="0" w:color="auto"/>
            </w:tcBorders>
            <w:tcMar>
              <w:top w:w="0" w:type="dxa"/>
              <w:left w:w="108" w:type="dxa"/>
              <w:bottom w:w="0" w:type="dxa"/>
              <w:right w:w="108" w:type="dxa"/>
            </w:tcMar>
            <w:hideMark/>
          </w:tcPr>
          <w:p w14:paraId="4B72B8EB" w14:textId="77777777" w:rsidR="000B19E7" w:rsidRDefault="000B19E7">
            <w:pPr>
              <w:jc w:val="center"/>
              <w:rPr>
                <w:rFonts w:ascii="Calibri" w:hAnsi="Calibri" w:cs="Calibri"/>
              </w:rPr>
            </w:pPr>
            <w:r>
              <w:rPr>
                <w:rFonts w:ascii="Calibri" w:hAnsi="Calibri" w:cs="Calibri"/>
              </w:rPr>
              <w:t>1,493,971</w:t>
            </w:r>
          </w:p>
        </w:tc>
        <w:tc>
          <w:tcPr>
            <w:tcW w:w="1803" w:type="dxa"/>
            <w:tcBorders>
              <w:top w:val="nil"/>
              <w:left w:val="nil"/>
              <w:bottom w:val="single" w:sz="8" w:space="0" w:color="auto"/>
              <w:right w:val="single" w:sz="8" w:space="0" w:color="auto"/>
            </w:tcBorders>
            <w:tcMar>
              <w:top w:w="0" w:type="dxa"/>
              <w:left w:w="108" w:type="dxa"/>
              <w:bottom w:w="0" w:type="dxa"/>
              <w:right w:w="108" w:type="dxa"/>
            </w:tcMar>
            <w:hideMark/>
          </w:tcPr>
          <w:p w14:paraId="0B2CEACA" w14:textId="77777777" w:rsidR="000B19E7" w:rsidRDefault="000B19E7">
            <w:pPr>
              <w:jc w:val="center"/>
              <w:rPr>
                <w:rFonts w:ascii="Calibri" w:hAnsi="Calibri" w:cs="Calibri"/>
              </w:rPr>
            </w:pPr>
            <w:r>
              <w:rPr>
                <w:rFonts w:ascii="Calibri" w:hAnsi="Calibri" w:cs="Calibri"/>
              </w:rPr>
              <w:t>3,890</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5537EB92" w14:textId="77777777" w:rsidR="000B19E7" w:rsidRDefault="000B19E7">
            <w:pPr>
              <w:jc w:val="center"/>
              <w:rPr>
                <w:rFonts w:ascii="Calibri" w:hAnsi="Calibri" w:cs="Calibri"/>
              </w:rPr>
            </w:pPr>
            <w:r>
              <w:rPr>
                <w:rFonts w:ascii="Calibri" w:hAnsi="Calibri" w:cs="Calibri"/>
              </w:rPr>
              <w:t>408,804</w:t>
            </w:r>
          </w:p>
        </w:tc>
      </w:tr>
      <w:tr w:rsidR="000B19E7" w14:paraId="7773D923" w14:textId="77777777" w:rsidTr="006F58AC">
        <w:trPr>
          <w:cantSplit/>
        </w:trPr>
        <w:tc>
          <w:tcPr>
            <w:tcW w:w="8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9048DEA" w14:textId="77777777" w:rsidR="000B19E7" w:rsidRDefault="000B19E7">
            <w:pPr>
              <w:jc w:val="center"/>
              <w:rPr>
                <w:rFonts w:ascii="Calibri" w:hAnsi="Calibri" w:cs="Calibri"/>
              </w:rPr>
            </w:pP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2EC51889" w14:textId="77777777" w:rsidR="000B19E7" w:rsidRDefault="000B19E7">
            <w:pPr>
              <w:jc w:val="center"/>
              <w:rPr>
                <w:rFonts w:ascii="Calibri" w:hAnsi="Calibri" w:cs="Calibri"/>
              </w:rPr>
            </w:pPr>
            <w:r>
              <w:rPr>
                <w:rFonts w:ascii="Calibri" w:hAnsi="Calibri" w:cs="Calibri"/>
              </w:rPr>
              <w:t>Patient Visits age 65+</w:t>
            </w:r>
          </w:p>
        </w:tc>
        <w:tc>
          <w:tcPr>
            <w:tcW w:w="1977" w:type="dxa"/>
            <w:tcBorders>
              <w:top w:val="nil"/>
              <w:left w:val="nil"/>
              <w:bottom w:val="single" w:sz="8" w:space="0" w:color="auto"/>
              <w:right w:val="single" w:sz="8" w:space="0" w:color="auto"/>
            </w:tcBorders>
            <w:tcMar>
              <w:top w:w="0" w:type="dxa"/>
              <w:left w:w="108" w:type="dxa"/>
              <w:bottom w:w="0" w:type="dxa"/>
              <w:right w:w="108" w:type="dxa"/>
            </w:tcMar>
            <w:hideMark/>
          </w:tcPr>
          <w:p w14:paraId="5A4B0108" w14:textId="77777777" w:rsidR="000B19E7" w:rsidRDefault="000B19E7">
            <w:pPr>
              <w:jc w:val="center"/>
              <w:rPr>
                <w:rFonts w:ascii="Calibri" w:hAnsi="Calibri" w:cs="Calibri"/>
              </w:rPr>
            </w:pPr>
            <w:r>
              <w:rPr>
                <w:rFonts w:ascii="Calibri" w:hAnsi="Calibri" w:cs="Calibri"/>
              </w:rPr>
              <w:t>658,242 (44.06%)</w:t>
            </w:r>
          </w:p>
        </w:tc>
        <w:tc>
          <w:tcPr>
            <w:tcW w:w="1803" w:type="dxa"/>
            <w:tcBorders>
              <w:top w:val="nil"/>
              <w:left w:val="nil"/>
              <w:bottom w:val="single" w:sz="8" w:space="0" w:color="auto"/>
              <w:right w:val="single" w:sz="8" w:space="0" w:color="auto"/>
            </w:tcBorders>
            <w:tcMar>
              <w:top w:w="0" w:type="dxa"/>
              <w:left w:w="108" w:type="dxa"/>
              <w:bottom w:w="0" w:type="dxa"/>
              <w:right w:w="108" w:type="dxa"/>
            </w:tcMar>
            <w:hideMark/>
          </w:tcPr>
          <w:p w14:paraId="0A7371C4" w14:textId="77777777" w:rsidR="000B19E7" w:rsidRDefault="000B19E7">
            <w:pPr>
              <w:jc w:val="center"/>
              <w:rPr>
                <w:rFonts w:ascii="Calibri" w:hAnsi="Calibri" w:cs="Calibri"/>
              </w:rPr>
            </w:pPr>
            <w:r>
              <w:rPr>
                <w:rFonts w:ascii="Calibri" w:hAnsi="Calibri" w:cs="Calibri"/>
              </w:rPr>
              <w:t>1,800 (46.27%)</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09E02839" w14:textId="77777777" w:rsidR="000B19E7" w:rsidRDefault="000B19E7">
            <w:pPr>
              <w:jc w:val="center"/>
              <w:rPr>
                <w:rFonts w:ascii="Calibri" w:hAnsi="Calibri" w:cs="Calibri"/>
              </w:rPr>
            </w:pPr>
            <w:r>
              <w:rPr>
                <w:rFonts w:ascii="Calibri" w:hAnsi="Calibri" w:cs="Calibri"/>
              </w:rPr>
              <w:t>173,935 (43.53%)</w:t>
            </w:r>
          </w:p>
        </w:tc>
      </w:tr>
    </w:tbl>
    <w:p w14:paraId="7F89DE4E" w14:textId="30CAFE33" w:rsidR="00C13618" w:rsidRDefault="009D3F2F" w:rsidP="00A6349B">
      <w:pPr>
        <w:rPr>
          <w:rFonts w:cstheme="minorHAnsi"/>
        </w:rPr>
      </w:pPr>
      <w:r w:rsidRPr="009D3F2F">
        <w:rPr>
          <w:rFonts w:cstheme="minorHAnsi"/>
          <w:b/>
        </w:rPr>
        <w:t xml:space="preserve"> </w:t>
      </w:r>
    </w:p>
    <w:p w14:paraId="67224D3F" w14:textId="47E028D5" w:rsidR="00FE3C0F" w:rsidRPr="00AA1093" w:rsidRDefault="00C13618" w:rsidP="00FE3C0F">
      <w:pPr>
        <w:pStyle w:val="ListParagraph"/>
        <w:numPr>
          <w:ilvl w:val="0"/>
          <w:numId w:val="16"/>
        </w:numPr>
        <w:rPr>
          <w:rFonts w:cstheme="minorHAnsi"/>
          <w:b/>
        </w:rPr>
      </w:pPr>
      <w:r w:rsidRPr="00AA1093">
        <w:rPr>
          <w:rFonts w:cstheme="minorHAnsi"/>
          <w:b/>
        </w:rPr>
        <w:t xml:space="preserve">The Applicant is projecting </w:t>
      </w:r>
      <w:r w:rsidR="00673DBE" w:rsidRPr="00AA1093">
        <w:rPr>
          <w:rFonts w:cstheme="minorHAnsi"/>
          <w:b/>
        </w:rPr>
        <w:t xml:space="preserve">1,141 discharges at NARH after project implementation. </w:t>
      </w:r>
      <w:r w:rsidR="00152067" w:rsidRPr="00AA1093">
        <w:rPr>
          <w:rFonts w:cstheme="minorHAnsi"/>
          <w:b/>
        </w:rPr>
        <w:t>Explain the sources that will contribute to the projected volume (i.e.</w:t>
      </w:r>
      <w:r w:rsidR="006F770D" w:rsidRPr="00AA1093">
        <w:rPr>
          <w:rFonts w:cstheme="minorHAnsi"/>
          <w:b/>
        </w:rPr>
        <w:t>,</w:t>
      </w:r>
      <w:r w:rsidR="00152067" w:rsidRPr="00AA1093">
        <w:rPr>
          <w:rFonts w:cstheme="minorHAnsi"/>
          <w:b/>
        </w:rPr>
        <w:t xml:space="preserve"> E</w:t>
      </w:r>
      <w:r w:rsidR="00673DBE" w:rsidRPr="00AA1093">
        <w:rPr>
          <w:rFonts w:cstheme="minorHAnsi"/>
          <w:b/>
        </w:rPr>
        <w:t xml:space="preserve">xisting volume from BMC, new volume from </w:t>
      </w:r>
      <w:r w:rsidR="00FE3C0F" w:rsidRPr="00AA1093">
        <w:rPr>
          <w:rFonts w:cstheme="minorHAnsi"/>
          <w:b/>
        </w:rPr>
        <w:t>unmet</w:t>
      </w:r>
      <w:r w:rsidR="00673DBE" w:rsidRPr="00AA1093">
        <w:rPr>
          <w:rFonts w:cstheme="minorHAnsi"/>
          <w:b/>
        </w:rPr>
        <w:t xml:space="preserve"> need</w:t>
      </w:r>
      <w:r w:rsidR="00152067" w:rsidRPr="00AA1093">
        <w:rPr>
          <w:rFonts w:cstheme="minorHAnsi"/>
          <w:b/>
        </w:rPr>
        <w:t>)</w:t>
      </w:r>
      <w:r w:rsidR="00673DBE" w:rsidRPr="00AA1093">
        <w:rPr>
          <w:rFonts w:cstheme="minorHAnsi"/>
          <w:b/>
        </w:rPr>
        <w:t xml:space="preserve">. </w:t>
      </w:r>
    </w:p>
    <w:p w14:paraId="028707AA" w14:textId="3553DBC0" w:rsidR="001638BE" w:rsidRPr="00AA1093" w:rsidRDefault="00AA1093" w:rsidP="00623F11">
      <w:pPr>
        <w:jc w:val="both"/>
        <w:rPr>
          <w:rFonts w:cstheme="minorHAnsi"/>
        </w:rPr>
      </w:pPr>
      <w:r w:rsidRPr="00AA1093">
        <w:rPr>
          <w:rFonts w:cstheme="minorHAnsi"/>
          <w:u w:val="single"/>
        </w:rPr>
        <w:t>Response</w:t>
      </w:r>
      <w:r w:rsidRPr="00AA1093">
        <w:rPr>
          <w:rFonts w:cstheme="minorHAnsi"/>
        </w:rPr>
        <w:t xml:space="preserve">:  </w:t>
      </w:r>
      <w:r w:rsidR="001638BE" w:rsidRPr="00AA1093">
        <w:rPr>
          <w:rFonts w:cstheme="minorHAnsi"/>
        </w:rPr>
        <w:t xml:space="preserve">In projecting the 1,141 discharges at NARH after project implementation, the Applicant considered two distinct methodologies:  1) medically appropriate patients historically admitted to BMC from North County and 2) Fairview Hospital’s unique patients and its catchment area population relative to North County population. </w:t>
      </w:r>
    </w:p>
    <w:p w14:paraId="29FA4DEB" w14:textId="5468DB23" w:rsidR="00126514" w:rsidRPr="00AA1093" w:rsidRDefault="001638BE" w:rsidP="00623F11">
      <w:pPr>
        <w:jc w:val="both"/>
        <w:rPr>
          <w:rFonts w:cstheme="minorHAnsi"/>
        </w:rPr>
      </w:pPr>
      <w:r w:rsidRPr="00AA1093">
        <w:rPr>
          <w:rFonts w:cstheme="minorHAnsi"/>
        </w:rPr>
        <w:t xml:space="preserve">Based on this, the projections of 1,141 discharges is made up of 741 acute discharges and </w:t>
      </w:r>
      <w:proofErr w:type="gramStart"/>
      <w:r w:rsidRPr="00AA1093">
        <w:rPr>
          <w:rFonts w:cstheme="minorHAnsi"/>
        </w:rPr>
        <w:t>400  observation</w:t>
      </w:r>
      <w:proofErr w:type="gramEnd"/>
      <w:r w:rsidRPr="00AA1093">
        <w:rPr>
          <w:rFonts w:cstheme="minorHAnsi"/>
        </w:rPr>
        <w:t xml:space="preserve"> discharges</w:t>
      </w:r>
      <w:r w:rsidR="005E7CE5">
        <w:rPr>
          <w:rFonts w:cstheme="minorHAnsi"/>
        </w:rPr>
        <w:t>,</w:t>
      </w:r>
      <w:r w:rsidRPr="00AA1093">
        <w:rPr>
          <w:rFonts w:cstheme="minorHAnsi"/>
        </w:rPr>
        <w:t xml:space="preserve"> and results in combined average daily census (ADC) of 9.39. Of the ADC, approximately 8.39 patients represent existing volume from BMC and 1.0</w:t>
      </w:r>
      <w:r w:rsidR="005E7CE5">
        <w:rPr>
          <w:rFonts w:cstheme="minorHAnsi"/>
        </w:rPr>
        <w:t xml:space="preserve"> patient that</w:t>
      </w:r>
      <w:r w:rsidRPr="00AA1093">
        <w:rPr>
          <w:rFonts w:cstheme="minorHAnsi"/>
        </w:rPr>
        <w:t xml:space="preserve"> is expected to transition from Southwestern Vermont Medical Center, </w:t>
      </w:r>
      <w:r w:rsidR="00126514" w:rsidRPr="00AA1093">
        <w:rPr>
          <w:rFonts w:cstheme="minorHAnsi"/>
        </w:rPr>
        <w:t>remain</w:t>
      </w:r>
      <w:r w:rsidR="005E7CE5">
        <w:rPr>
          <w:rFonts w:cstheme="minorHAnsi"/>
        </w:rPr>
        <w:t>ing</w:t>
      </w:r>
      <w:r w:rsidR="00126514" w:rsidRPr="00AA1093">
        <w:rPr>
          <w:rFonts w:cstheme="minorHAnsi"/>
        </w:rPr>
        <w:t xml:space="preserve"> in North Adams </w:t>
      </w:r>
      <w:r w:rsidR="00E55660" w:rsidRPr="00AA1093">
        <w:rPr>
          <w:rFonts w:cstheme="minorHAnsi"/>
        </w:rPr>
        <w:t>when the Proposed Project is implemented.</w:t>
      </w:r>
    </w:p>
    <w:p w14:paraId="597201C4" w14:textId="799624E8" w:rsidR="00C43D5D" w:rsidRDefault="00C43D5D" w:rsidP="00126514">
      <w:pPr>
        <w:rPr>
          <w:rFonts w:cstheme="minorHAnsi"/>
          <w:b/>
        </w:rPr>
      </w:pPr>
    </w:p>
    <w:p w14:paraId="1012CE12" w14:textId="175E2347" w:rsidR="00AA1093" w:rsidRDefault="00AA1093" w:rsidP="00126514">
      <w:pPr>
        <w:rPr>
          <w:rFonts w:cstheme="minorHAnsi"/>
          <w:b/>
        </w:rPr>
      </w:pPr>
    </w:p>
    <w:p w14:paraId="117C2281" w14:textId="1179C0EA" w:rsidR="00AA1093" w:rsidRDefault="00AA1093" w:rsidP="00126514">
      <w:pPr>
        <w:rPr>
          <w:rFonts w:cstheme="minorHAnsi"/>
          <w:b/>
        </w:rPr>
      </w:pPr>
    </w:p>
    <w:p w14:paraId="06EA9B7E" w14:textId="4A1E517A" w:rsidR="00AA1093" w:rsidRDefault="00AA1093" w:rsidP="00126514">
      <w:pPr>
        <w:rPr>
          <w:rFonts w:cstheme="minorHAnsi"/>
          <w:b/>
        </w:rPr>
      </w:pPr>
    </w:p>
    <w:p w14:paraId="08288858" w14:textId="77777777" w:rsidR="00AA1093" w:rsidRPr="00126514" w:rsidRDefault="00AA1093" w:rsidP="00126514">
      <w:pPr>
        <w:rPr>
          <w:rFonts w:cstheme="minorHAnsi"/>
          <w:b/>
        </w:rPr>
      </w:pPr>
    </w:p>
    <w:p w14:paraId="028BF6A8" w14:textId="77777777" w:rsidR="00747F0D" w:rsidRPr="00AA1093" w:rsidRDefault="00756F0D" w:rsidP="00756F0D">
      <w:pPr>
        <w:pStyle w:val="ListParagraph"/>
        <w:numPr>
          <w:ilvl w:val="0"/>
          <w:numId w:val="16"/>
        </w:numPr>
        <w:rPr>
          <w:rFonts w:cstheme="minorHAnsi"/>
          <w:b/>
        </w:rPr>
      </w:pPr>
      <w:r w:rsidRPr="00AA1093">
        <w:rPr>
          <w:rFonts w:cstheme="minorHAnsi"/>
          <w:b/>
        </w:rPr>
        <w:t>In FY22, there were 3,890 (BMC) Acute Care Patients North County Patient Population visits.</w:t>
      </w:r>
    </w:p>
    <w:p w14:paraId="4E824D0B" w14:textId="77777777" w:rsidR="00756F0D" w:rsidRPr="00AA1093" w:rsidRDefault="00756F0D" w:rsidP="00747F0D">
      <w:pPr>
        <w:pStyle w:val="ListParagraph"/>
        <w:numPr>
          <w:ilvl w:val="1"/>
          <w:numId w:val="16"/>
        </w:numPr>
        <w:rPr>
          <w:rFonts w:cstheme="minorHAnsi"/>
          <w:b/>
        </w:rPr>
      </w:pPr>
      <w:r w:rsidRPr="00AA1093">
        <w:rPr>
          <w:rFonts w:cstheme="minorHAnsi"/>
          <w:b/>
        </w:rPr>
        <w:t>How many of those</w:t>
      </w:r>
      <w:r w:rsidR="00596A0E" w:rsidRPr="00AA1093">
        <w:rPr>
          <w:rFonts w:cstheme="minorHAnsi"/>
          <w:b/>
        </w:rPr>
        <w:t xml:space="preserve"> visits</w:t>
      </w:r>
      <w:r w:rsidRPr="00AA1093">
        <w:rPr>
          <w:rFonts w:cstheme="minorHAnsi"/>
          <w:b/>
        </w:rPr>
        <w:t xml:space="preserve"> were discharged to a</w:t>
      </w:r>
      <w:r w:rsidR="001A40B7" w:rsidRPr="00AA1093">
        <w:rPr>
          <w:rFonts w:cstheme="minorHAnsi"/>
          <w:b/>
        </w:rPr>
        <w:t>nother</w:t>
      </w:r>
      <w:r w:rsidRPr="00AA1093">
        <w:rPr>
          <w:rFonts w:cstheme="minorHAnsi"/>
          <w:b/>
        </w:rPr>
        <w:t xml:space="preserve"> </w:t>
      </w:r>
      <w:r w:rsidR="00DC68BD" w:rsidRPr="00AA1093">
        <w:rPr>
          <w:rFonts w:cstheme="minorHAnsi"/>
          <w:b/>
        </w:rPr>
        <w:t>facility for post-acute care?</w:t>
      </w:r>
      <w:r w:rsidRPr="00AA1093">
        <w:rPr>
          <w:rFonts w:cstheme="minorHAnsi"/>
          <w:b/>
        </w:rPr>
        <w:t xml:space="preserve"> </w:t>
      </w:r>
    </w:p>
    <w:p w14:paraId="77D279CF" w14:textId="77777777" w:rsidR="00756F0D" w:rsidRPr="00AA1093" w:rsidRDefault="00FA210B" w:rsidP="002A485F">
      <w:pPr>
        <w:pStyle w:val="ListParagraph"/>
        <w:numPr>
          <w:ilvl w:val="2"/>
          <w:numId w:val="16"/>
        </w:numPr>
        <w:rPr>
          <w:rFonts w:cstheme="minorHAnsi"/>
          <w:b/>
        </w:rPr>
      </w:pPr>
      <w:r w:rsidRPr="00AA1093">
        <w:rPr>
          <w:rFonts w:cstheme="minorHAnsi"/>
          <w:b/>
        </w:rPr>
        <w:lastRenderedPageBreak/>
        <w:t xml:space="preserve">Where are patients going </w:t>
      </w:r>
      <w:r w:rsidR="002A485F" w:rsidRPr="00AA1093">
        <w:rPr>
          <w:rFonts w:cstheme="minorHAnsi"/>
          <w:b/>
        </w:rPr>
        <w:t xml:space="preserve">for </w:t>
      </w:r>
      <w:r w:rsidR="00F003A8" w:rsidRPr="00AA1093">
        <w:rPr>
          <w:rFonts w:cstheme="minorHAnsi"/>
          <w:b/>
        </w:rPr>
        <w:t xml:space="preserve">post-acute care </w:t>
      </w:r>
      <w:r w:rsidRPr="00AA1093">
        <w:rPr>
          <w:rFonts w:cstheme="minorHAnsi"/>
          <w:b/>
        </w:rPr>
        <w:t xml:space="preserve">and </w:t>
      </w:r>
      <w:r w:rsidR="002A485F" w:rsidRPr="00AA1093">
        <w:rPr>
          <w:rFonts w:cstheme="minorHAnsi"/>
          <w:b/>
        </w:rPr>
        <w:t xml:space="preserve">what are the </w:t>
      </w:r>
      <w:r w:rsidRPr="00AA1093">
        <w:rPr>
          <w:rFonts w:cstheme="minorHAnsi"/>
          <w:b/>
        </w:rPr>
        <w:t xml:space="preserve">distances traveled. </w:t>
      </w:r>
    </w:p>
    <w:p w14:paraId="6097F0BC" w14:textId="45FCB595" w:rsidR="00467DD5" w:rsidRPr="00AA1093" w:rsidRDefault="00AA1093" w:rsidP="00855FF8">
      <w:pPr>
        <w:jc w:val="both"/>
        <w:rPr>
          <w:rFonts w:cstheme="minorHAnsi"/>
        </w:rPr>
      </w:pPr>
      <w:r w:rsidRPr="00AA1093">
        <w:rPr>
          <w:rFonts w:cstheme="minorHAnsi"/>
          <w:u w:val="single"/>
        </w:rPr>
        <w:t>Response</w:t>
      </w:r>
      <w:r w:rsidRPr="00AA1093">
        <w:rPr>
          <w:rFonts w:cstheme="minorHAnsi"/>
        </w:rPr>
        <w:t xml:space="preserve">:  </w:t>
      </w:r>
      <w:r w:rsidR="00467DD5" w:rsidRPr="00AA1093">
        <w:rPr>
          <w:rFonts w:cstheme="minorHAnsi"/>
        </w:rPr>
        <w:t xml:space="preserve">In FY22, of the 3,890 discharges of North County Patients at BMC there were 562 discharges from BMC to another facility for post-acute care. </w:t>
      </w:r>
      <w:r w:rsidR="00CD3720" w:rsidRPr="00AA1093">
        <w:rPr>
          <w:rFonts w:cstheme="minorHAnsi"/>
        </w:rPr>
        <w:t xml:space="preserve"> As you will see in the chart </w:t>
      </w:r>
      <w:r w:rsidR="000B19E7" w:rsidRPr="00AA1093">
        <w:rPr>
          <w:rFonts w:cstheme="minorHAnsi"/>
        </w:rPr>
        <w:t>below</w:t>
      </w:r>
      <w:r w:rsidR="00CD3720" w:rsidRPr="00AA1093">
        <w:rPr>
          <w:rFonts w:cstheme="minorHAnsi"/>
        </w:rPr>
        <w:t xml:space="preserve">, </w:t>
      </w:r>
      <w:r w:rsidR="00E53715">
        <w:rPr>
          <w:rFonts w:cstheme="minorHAnsi"/>
        </w:rPr>
        <w:t xml:space="preserve">facilities in North Adams (Williamstown Commons and North Adams Commons) receive </w:t>
      </w:r>
      <w:proofErr w:type="gramStart"/>
      <w:r w:rsidR="00E53715">
        <w:rPr>
          <w:rFonts w:cstheme="minorHAnsi"/>
        </w:rPr>
        <w:t>the majority of</w:t>
      </w:r>
      <w:proofErr w:type="gramEnd"/>
      <w:r w:rsidR="00E53715">
        <w:rPr>
          <w:rFonts w:cstheme="minorHAnsi"/>
        </w:rPr>
        <w:t xml:space="preserve"> discharges, however, approximately 20% of the patients did not receive </w:t>
      </w:r>
      <w:r w:rsidR="00855FF8">
        <w:rPr>
          <w:rFonts w:cstheme="minorHAnsi"/>
        </w:rPr>
        <w:t>nursing care</w:t>
      </w:r>
      <w:r w:rsidR="00E53715">
        <w:rPr>
          <w:rFonts w:cstheme="minorHAnsi"/>
        </w:rPr>
        <w:t xml:space="preserve"> close to home</w:t>
      </w:r>
      <w:r w:rsidR="00CD3720" w:rsidRPr="00AA1093">
        <w:rPr>
          <w:rFonts w:cstheme="minorHAnsi"/>
        </w:rPr>
        <w:t xml:space="preserve">.  Further, there are limited </w:t>
      </w:r>
      <w:r w:rsidR="00DF6E1D" w:rsidRPr="00AA1093">
        <w:rPr>
          <w:rFonts w:cstheme="minorHAnsi"/>
        </w:rPr>
        <w:t xml:space="preserve">post-acute </w:t>
      </w:r>
      <w:r w:rsidR="00CD3720" w:rsidRPr="00AA1093">
        <w:rPr>
          <w:rFonts w:cstheme="minorHAnsi"/>
        </w:rPr>
        <w:t xml:space="preserve">options in North Adams.   </w:t>
      </w:r>
      <w:r w:rsidR="00467DD5" w:rsidRPr="00AA1093">
        <w:rPr>
          <w:rFonts w:cstheme="minorHAnsi"/>
        </w:rPr>
        <w:t xml:space="preserve">   </w:t>
      </w:r>
    </w:p>
    <w:tbl>
      <w:tblPr>
        <w:tblW w:w="0" w:type="auto"/>
        <w:tblInd w:w="712" w:type="dxa"/>
        <w:tblCellMar>
          <w:left w:w="0" w:type="dxa"/>
          <w:right w:w="0" w:type="dxa"/>
        </w:tblCellMar>
        <w:tblLook w:val="04A0" w:firstRow="1" w:lastRow="0" w:firstColumn="1" w:lastColumn="0" w:noHBand="0" w:noVBand="1"/>
      </w:tblPr>
      <w:tblGrid>
        <w:gridCol w:w="2666"/>
        <w:gridCol w:w="1470"/>
        <w:gridCol w:w="2215"/>
        <w:gridCol w:w="2277"/>
      </w:tblGrid>
      <w:tr w:rsidR="00467DD5" w:rsidRPr="00EE15B4" w14:paraId="3F883E60" w14:textId="77777777" w:rsidTr="001C7CDD">
        <w:trPr>
          <w:cantSplit/>
          <w:tblHeader/>
        </w:trPr>
        <w:tc>
          <w:tcPr>
            <w:tcW w:w="2666" w:type="dxa"/>
            <w:tcBorders>
              <w:top w:val="single" w:sz="8" w:space="0" w:color="auto"/>
              <w:left w:val="single" w:sz="8" w:space="0" w:color="auto"/>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0273BDF5" w14:textId="77777777" w:rsidR="00467DD5" w:rsidRPr="00EE15B4" w:rsidRDefault="00467DD5">
            <w:pPr>
              <w:jc w:val="center"/>
              <w:rPr>
                <w:b/>
                <w:bCs/>
                <w:sz w:val="18"/>
              </w:rPr>
            </w:pPr>
            <w:r w:rsidRPr="00EE15B4">
              <w:rPr>
                <w:b/>
                <w:bCs/>
                <w:sz w:val="18"/>
              </w:rPr>
              <w:t>Post-Acute Location</w:t>
            </w:r>
          </w:p>
        </w:tc>
        <w:tc>
          <w:tcPr>
            <w:tcW w:w="1470" w:type="dxa"/>
            <w:tcBorders>
              <w:top w:val="single" w:sz="8" w:space="0" w:color="auto"/>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2D4B1F05" w14:textId="77777777" w:rsidR="00467DD5" w:rsidRPr="00EE15B4" w:rsidRDefault="00467DD5">
            <w:pPr>
              <w:jc w:val="center"/>
              <w:rPr>
                <w:b/>
                <w:bCs/>
                <w:sz w:val="18"/>
              </w:rPr>
            </w:pPr>
            <w:r w:rsidRPr="00EE15B4">
              <w:rPr>
                <w:b/>
                <w:bCs/>
                <w:sz w:val="18"/>
              </w:rPr>
              <w:t>Number</w:t>
            </w:r>
          </w:p>
        </w:tc>
        <w:tc>
          <w:tcPr>
            <w:tcW w:w="2215" w:type="dxa"/>
            <w:tcBorders>
              <w:top w:val="single" w:sz="8" w:space="0" w:color="auto"/>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tcPr>
          <w:p w14:paraId="35F1D371" w14:textId="77777777" w:rsidR="00467DD5" w:rsidRPr="00EE15B4" w:rsidRDefault="00467DD5">
            <w:pPr>
              <w:jc w:val="center"/>
              <w:rPr>
                <w:b/>
                <w:bCs/>
                <w:sz w:val="18"/>
              </w:rPr>
            </w:pPr>
            <w:r w:rsidRPr="00EE15B4">
              <w:rPr>
                <w:b/>
                <w:bCs/>
                <w:sz w:val="18"/>
              </w:rPr>
              <w:t>Distance from BMC in miles</w:t>
            </w:r>
          </w:p>
          <w:p w14:paraId="1949719E" w14:textId="77777777" w:rsidR="00467DD5" w:rsidRPr="00EE15B4" w:rsidRDefault="00467DD5">
            <w:pPr>
              <w:jc w:val="center"/>
              <w:rPr>
                <w:b/>
                <w:bCs/>
                <w:sz w:val="18"/>
              </w:rPr>
            </w:pPr>
          </w:p>
        </w:tc>
        <w:tc>
          <w:tcPr>
            <w:tcW w:w="2277" w:type="dxa"/>
            <w:tcBorders>
              <w:top w:val="single" w:sz="8" w:space="0" w:color="auto"/>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31986C87" w14:textId="77777777" w:rsidR="00467DD5" w:rsidRPr="00EE15B4" w:rsidRDefault="00467DD5">
            <w:pPr>
              <w:jc w:val="center"/>
              <w:rPr>
                <w:b/>
                <w:bCs/>
                <w:sz w:val="18"/>
              </w:rPr>
            </w:pPr>
            <w:r w:rsidRPr="00EE15B4">
              <w:rPr>
                <w:b/>
                <w:bCs/>
                <w:sz w:val="18"/>
              </w:rPr>
              <w:t>Distance from NARH in miles</w:t>
            </w:r>
          </w:p>
        </w:tc>
      </w:tr>
      <w:tr w:rsidR="00467DD5" w:rsidRPr="00EE15B4" w14:paraId="4AE64057" w14:textId="77777777" w:rsidTr="001C7CDD">
        <w:trPr>
          <w:cantSplit/>
          <w:trHeight w:val="368"/>
        </w:trPr>
        <w:tc>
          <w:tcPr>
            <w:tcW w:w="26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DBFB7" w14:textId="77777777" w:rsidR="00467DD5" w:rsidRPr="00EE15B4" w:rsidRDefault="00467DD5">
            <w:pPr>
              <w:rPr>
                <w:sz w:val="18"/>
              </w:rPr>
            </w:pPr>
            <w:r w:rsidRPr="00EE15B4">
              <w:rPr>
                <w:sz w:val="18"/>
              </w:rPr>
              <w:t>SNF</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14:paraId="3840BD53" w14:textId="77777777" w:rsidR="00467DD5" w:rsidRPr="00EE15B4" w:rsidRDefault="00467DD5">
            <w:pPr>
              <w:jc w:val="center"/>
              <w:rPr>
                <w:sz w:val="18"/>
              </w:rPr>
            </w:pPr>
            <w:r w:rsidRPr="00EE15B4">
              <w:rPr>
                <w:sz w:val="18"/>
              </w:rPr>
              <w:t>527</w:t>
            </w:r>
          </w:p>
        </w:tc>
        <w:tc>
          <w:tcPr>
            <w:tcW w:w="2215" w:type="dxa"/>
            <w:tcBorders>
              <w:top w:val="nil"/>
              <w:left w:val="nil"/>
              <w:bottom w:val="single" w:sz="8" w:space="0" w:color="auto"/>
              <w:right w:val="single" w:sz="8" w:space="0" w:color="auto"/>
            </w:tcBorders>
            <w:tcMar>
              <w:top w:w="0" w:type="dxa"/>
              <w:left w:w="108" w:type="dxa"/>
              <w:bottom w:w="0" w:type="dxa"/>
              <w:right w:w="108" w:type="dxa"/>
            </w:tcMar>
          </w:tcPr>
          <w:p w14:paraId="26ABFDEF" w14:textId="77777777" w:rsidR="00467DD5" w:rsidRPr="00EE15B4" w:rsidRDefault="00467DD5">
            <w:pPr>
              <w:jc w:val="center"/>
              <w:rPr>
                <w:sz w:val="18"/>
                <w:highlight w:val="darkGray"/>
              </w:rPr>
            </w:pPr>
          </w:p>
        </w:tc>
        <w:tc>
          <w:tcPr>
            <w:tcW w:w="2277" w:type="dxa"/>
            <w:tcBorders>
              <w:top w:val="nil"/>
              <w:left w:val="nil"/>
              <w:bottom w:val="single" w:sz="8" w:space="0" w:color="auto"/>
              <w:right w:val="single" w:sz="8" w:space="0" w:color="auto"/>
            </w:tcBorders>
            <w:tcMar>
              <w:top w:w="0" w:type="dxa"/>
              <w:left w:w="108" w:type="dxa"/>
              <w:bottom w:w="0" w:type="dxa"/>
              <w:right w:w="108" w:type="dxa"/>
            </w:tcMar>
          </w:tcPr>
          <w:p w14:paraId="2F397911" w14:textId="77777777" w:rsidR="00467DD5" w:rsidRPr="00EE15B4" w:rsidRDefault="00467DD5">
            <w:pPr>
              <w:jc w:val="center"/>
              <w:rPr>
                <w:sz w:val="18"/>
                <w:highlight w:val="darkGray"/>
              </w:rPr>
            </w:pPr>
          </w:p>
        </w:tc>
      </w:tr>
      <w:tr w:rsidR="00467DD5" w:rsidRPr="00EE15B4" w14:paraId="003E86E9" w14:textId="77777777" w:rsidTr="001C7CDD">
        <w:trPr>
          <w:cantSplit/>
          <w:trHeight w:val="350"/>
        </w:trPr>
        <w:tc>
          <w:tcPr>
            <w:tcW w:w="26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3F2829" w14:textId="77777777" w:rsidR="00467DD5" w:rsidRPr="00EE15B4" w:rsidRDefault="00467DD5">
            <w:pPr>
              <w:rPr>
                <w:sz w:val="18"/>
              </w:rPr>
            </w:pPr>
            <w:r w:rsidRPr="00EE15B4">
              <w:rPr>
                <w:sz w:val="18"/>
              </w:rPr>
              <w:t>    Williamstown Commons</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14:paraId="57F4B5F0" w14:textId="77777777" w:rsidR="00467DD5" w:rsidRPr="00EE15B4" w:rsidRDefault="00467DD5">
            <w:pPr>
              <w:jc w:val="center"/>
              <w:rPr>
                <w:sz w:val="18"/>
              </w:rPr>
            </w:pPr>
            <w:r w:rsidRPr="00EE15B4">
              <w:rPr>
                <w:sz w:val="18"/>
              </w:rPr>
              <w:t>201</w:t>
            </w:r>
          </w:p>
        </w:tc>
        <w:tc>
          <w:tcPr>
            <w:tcW w:w="2215" w:type="dxa"/>
            <w:tcBorders>
              <w:top w:val="nil"/>
              <w:left w:val="nil"/>
              <w:bottom w:val="single" w:sz="8" w:space="0" w:color="auto"/>
              <w:right w:val="single" w:sz="8" w:space="0" w:color="auto"/>
            </w:tcBorders>
            <w:tcMar>
              <w:top w:w="0" w:type="dxa"/>
              <w:left w:w="108" w:type="dxa"/>
              <w:bottom w:w="0" w:type="dxa"/>
              <w:right w:w="108" w:type="dxa"/>
            </w:tcMar>
            <w:hideMark/>
          </w:tcPr>
          <w:p w14:paraId="61F49A91" w14:textId="77777777" w:rsidR="00467DD5" w:rsidRPr="00EE15B4" w:rsidRDefault="00467DD5">
            <w:pPr>
              <w:jc w:val="center"/>
              <w:rPr>
                <w:sz w:val="18"/>
              </w:rPr>
            </w:pPr>
            <w:r w:rsidRPr="00EE15B4">
              <w:rPr>
                <w:sz w:val="18"/>
              </w:rPr>
              <w:t>21.2</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14:paraId="7FDA9978" w14:textId="77777777" w:rsidR="00467DD5" w:rsidRPr="00EE15B4" w:rsidRDefault="00467DD5">
            <w:pPr>
              <w:jc w:val="center"/>
              <w:rPr>
                <w:sz w:val="18"/>
              </w:rPr>
            </w:pPr>
            <w:r w:rsidRPr="00EE15B4">
              <w:rPr>
                <w:sz w:val="18"/>
              </w:rPr>
              <w:t>5</w:t>
            </w:r>
          </w:p>
        </w:tc>
      </w:tr>
      <w:tr w:rsidR="00467DD5" w:rsidRPr="00EE15B4" w14:paraId="26FB9498" w14:textId="77777777" w:rsidTr="001C7CDD">
        <w:trPr>
          <w:cantSplit/>
          <w:trHeight w:val="350"/>
        </w:trPr>
        <w:tc>
          <w:tcPr>
            <w:tcW w:w="26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CA44ED" w14:textId="77777777" w:rsidR="00467DD5" w:rsidRPr="00EE15B4" w:rsidRDefault="00467DD5">
            <w:pPr>
              <w:rPr>
                <w:sz w:val="18"/>
              </w:rPr>
            </w:pPr>
            <w:r w:rsidRPr="00EE15B4">
              <w:rPr>
                <w:sz w:val="18"/>
              </w:rPr>
              <w:t>    North Adams Commons</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14:paraId="5FC31F59" w14:textId="77777777" w:rsidR="00467DD5" w:rsidRPr="00EE15B4" w:rsidRDefault="00467DD5">
            <w:pPr>
              <w:jc w:val="center"/>
              <w:rPr>
                <w:sz w:val="18"/>
              </w:rPr>
            </w:pPr>
            <w:r w:rsidRPr="00EE15B4">
              <w:rPr>
                <w:sz w:val="18"/>
              </w:rPr>
              <w:t>187</w:t>
            </w:r>
          </w:p>
        </w:tc>
        <w:tc>
          <w:tcPr>
            <w:tcW w:w="2215" w:type="dxa"/>
            <w:tcBorders>
              <w:top w:val="nil"/>
              <w:left w:val="nil"/>
              <w:bottom w:val="single" w:sz="8" w:space="0" w:color="auto"/>
              <w:right w:val="single" w:sz="8" w:space="0" w:color="auto"/>
            </w:tcBorders>
            <w:tcMar>
              <w:top w:w="0" w:type="dxa"/>
              <w:left w:w="108" w:type="dxa"/>
              <w:bottom w:w="0" w:type="dxa"/>
              <w:right w:w="108" w:type="dxa"/>
            </w:tcMar>
            <w:hideMark/>
          </w:tcPr>
          <w:p w14:paraId="5B968D18" w14:textId="77777777" w:rsidR="00467DD5" w:rsidRPr="00EE15B4" w:rsidRDefault="00467DD5">
            <w:pPr>
              <w:jc w:val="center"/>
              <w:rPr>
                <w:sz w:val="18"/>
              </w:rPr>
            </w:pPr>
            <w:r w:rsidRPr="00EE15B4">
              <w:rPr>
                <w:sz w:val="18"/>
              </w:rPr>
              <w:t>21.7</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14:paraId="39AFC3E9" w14:textId="77777777" w:rsidR="00467DD5" w:rsidRPr="00EE15B4" w:rsidRDefault="00467DD5">
            <w:pPr>
              <w:jc w:val="center"/>
              <w:rPr>
                <w:sz w:val="18"/>
              </w:rPr>
            </w:pPr>
            <w:r w:rsidRPr="00EE15B4">
              <w:rPr>
                <w:sz w:val="18"/>
              </w:rPr>
              <w:t>0.8</w:t>
            </w:r>
          </w:p>
        </w:tc>
      </w:tr>
      <w:tr w:rsidR="00467DD5" w:rsidRPr="00EE15B4" w14:paraId="6001EB7B" w14:textId="77777777" w:rsidTr="001C7CDD">
        <w:trPr>
          <w:cantSplit/>
          <w:trHeight w:val="350"/>
        </w:trPr>
        <w:tc>
          <w:tcPr>
            <w:tcW w:w="26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0419F" w14:textId="77777777" w:rsidR="00467DD5" w:rsidRPr="00EE15B4" w:rsidRDefault="00467DD5">
            <w:pPr>
              <w:rPr>
                <w:sz w:val="18"/>
              </w:rPr>
            </w:pPr>
            <w:r w:rsidRPr="00EE15B4">
              <w:rPr>
                <w:sz w:val="18"/>
              </w:rPr>
              <w:t>    Hillcrest Commons</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14:paraId="7F621F4A" w14:textId="77777777" w:rsidR="00467DD5" w:rsidRPr="00EE15B4" w:rsidRDefault="00467DD5">
            <w:pPr>
              <w:jc w:val="center"/>
              <w:rPr>
                <w:sz w:val="18"/>
              </w:rPr>
            </w:pPr>
            <w:r w:rsidRPr="00EE15B4">
              <w:rPr>
                <w:sz w:val="18"/>
              </w:rPr>
              <w:t>29</w:t>
            </w:r>
          </w:p>
        </w:tc>
        <w:tc>
          <w:tcPr>
            <w:tcW w:w="2215" w:type="dxa"/>
            <w:tcBorders>
              <w:top w:val="nil"/>
              <w:left w:val="nil"/>
              <w:bottom w:val="single" w:sz="8" w:space="0" w:color="auto"/>
              <w:right w:val="single" w:sz="8" w:space="0" w:color="auto"/>
            </w:tcBorders>
            <w:tcMar>
              <w:top w:w="0" w:type="dxa"/>
              <w:left w:w="108" w:type="dxa"/>
              <w:bottom w:w="0" w:type="dxa"/>
              <w:right w:w="108" w:type="dxa"/>
            </w:tcMar>
            <w:hideMark/>
          </w:tcPr>
          <w:p w14:paraId="7257525D" w14:textId="77777777" w:rsidR="00467DD5" w:rsidRPr="00EE15B4" w:rsidRDefault="00467DD5">
            <w:pPr>
              <w:jc w:val="center"/>
              <w:rPr>
                <w:sz w:val="18"/>
              </w:rPr>
            </w:pPr>
            <w:r w:rsidRPr="00EE15B4">
              <w:rPr>
                <w:sz w:val="18"/>
              </w:rPr>
              <w:t>3</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14:paraId="1AFFBCFD" w14:textId="77777777" w:rsidR="00467DD5" w:rsidRPr="00EE15B4" w:rsidRDefault="00467DD5">
            <w:pPr>
              <w:jc w:val="center"/>
              <w:rPr>
                <w:sz w:val="18"/>
              </w:rPr>
            </w:pPr>
            <w:r w:rsidRPr="00EE15B4">
              <w:rPr>
                <w:sz w:val="18"/>
              </w:rPr>
              <w:t>22.1</w:t>
            </w:r>
          </w:p>
        </w:tc>
      </w:tr>
      <w:tr w:rsidR="00467DD5" w:rsidRPr="00EE15B4" w14:paraId="55FF0B09" w14:textId="77777777" w:rsidTr="001C7CDD">
        <w:trPr>
          <w:cantSplit/>
          <w:trHeight w:val="350"/>
        </w:trPr>
        <w:tc>
          <w:tcPr>
            <w:tcW w:w="26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B3C904" w14:textId="77777777" w:rsidR="00467DD5" w:rsidRPr="00EE15B4" w:rsidRDefault="00467DD5">
            <w:pPr>
              <w:rPr>
                <w:sz w:val="18"/>
              </w:rPr>
            </w:pPr>
            <w:r w:rsidRPr="00EE15B4">
              <w:rPr>
                <w:sz w:val="18"/>
              </w:rPr>
              <w:t>    Mt. Greylock</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14:paraId="4033778B" w14:textId="77777777" w:rsidR="00467DD5" w:rsidRPr="00EE15B4" w:rsidRDefault="00467DD5">
            <w:pPr>
              <w:jc w:val="center"/>
              <w:rPr>
                <w:sz w:val="18"/>
              </w:rPr>
            </w:pPr>
            <w:r w:rsidRPr="00EE15B4">
              <w:rPr>
                <w:sz w:val="18"/>
              </w:rPr>
              <w:t>32</w:t>
            </w:r>
          </w:p>
        </w:tc>
        <w:tc>
          <w:tcPr>
            <w:tcW w:w="2215" w:type="dxa"/>
            <w:tcBorders>
              <w:top w:val="nil"/>
              <w:left w:val="nil"/>
              <w:bottom w:val="single" w:sz="8" w:space="0" w:color="auto"/>
              <w:right w:val="single" w:sz="8" w:space="0" w:color="auto"/>
            </w:tcBorders>
            <w:tcMar>
              <w:top w:w="0" w:type="dxa"/>
              <w:left w:w="108" w:type="dxa"/>
              <w:bottom w:w="0" w:type="dxa"/>
              <w:right w:w="108" w:type="dxa"/>
            </w:tcMar>
            <w:hideMark/>
          </w:tcPr>
          <w:p w14:paraId="117DE837" w14:textId="77777777" w:rsidR="00467DD5" w:rsidRPr="00EE15B4" w:rsidRDefault="00467DD5">
            <w:pPr>
              <w:jc w:val="center"/>
              <w:rPr>
                <w:sz w:val="18"/>
              </w:rPr>
            </w:pPr>
            <w:r w:rsidRPr="00EE15B4">
              <w:rPr>
                <w:sz w:val="18"/>
              </w:rPr>
              <w:t>0.6</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14:paraId="26423BDB" w14:textId="77777777" w:rsidR="00467DD5" w:rsidRPr="00EE15B4" w:rsidRDefault="00467DD5">
            <w:pPr>
              <w:jc w:val="center"/>
              <w:rPr>
                <w:sz w:val="18"/>
              </w:rPr>
            </w:pPr>
            <w:r w:rsidRPr="00EE15B4">
              <w:rPr>
                <w:sz w:val="18"/>
              </w:rPr>
              <w:t>20.3</w:t>
            </w:r>
          </w:p>
        </w:tc>
      </w:tr>
      <w:tr w:rsidR="00467DD5" w:rsidRPr="00EE15B4" w14:paraId="2F5AB99E" w14:textId="77777777" w:rsidTr="001C7CDD">
        <w:trPr>
          <w:cantSplit/>
          <w:trHeight w:val="350"/>
        </w:trPr>
        <w:tc>
          <w:tcPr>
            <w:tcW w:w="26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57473D" w14:textId="77777777" w:rsidR="00467DD5" w:rsidRPr="00EE15B4" w:rsidRDefault="00467DD5">
            <w:pPr>
              <w:rPr>
                <w:sz w:val="18"/>
              </w:rPr>
            </w:pPr>
            <w:r w:rsidRPr="00EE15B4">
              <w:rPr>
                <w:sz w:val="18"/>
              </w:rPr>
              <w:t>    Kimball Farms</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14:paraId="1354C960" w14:textId="77777777" w:rsidR="00467DD5" w:rsidRPr="00EE15B4" w:rsidRDefault="00467DD5">
            <w:pPr>
              <w:jc w:val="center"/>
              <w:rPr>
                <w:sz w:val="18"/>
              </w:rPr>
            </w:pPr>
            <w:r w:rsidRPr="00EE15B4">
              <w:rPr>
                <w:sz w:val="18"/>
              </w:rPr>
              <w:t>6</w:t>
            </w:r>
          </w:p>
        </w:tc>
        <w:tc>
          <w:tcPr>
            <w:tcW w:w="2215" w:type="dxa"/>
            <w:tcBorders>
              <w:top w:val="nil"/>
              <w:left w:val="nil"/>
              <w:bottom w:val="single" w:sz="8" w:space="0" w:color="auto"/>
              <w:right w:val="single" w:sz="8" w:space="0" w:color="auto"/>
            </w:tcBorders>
            <w:tcMar>
              <w:top w:w="0" w:type="dxa"/>
              <w:left w:w="108" w:type="dxa"/>
              <w:bottom w:w="0" w:type="dxa"/>
              <w:right w:w="108" w:type="dxa"/>
            </w:tcMar>
            <w:hideMark/>
          </w:tcPr>
          <w:p w14:paraId="36BE3607" w14:textId="77777777" w:rsidR="00467DD5" w:rsidRPr="00EE15B4" w:rsidRDefault="00467DD5">
            <w:pPr>
              <w:jc w:val="center"/>
              <w:rPr>
                <w:sz w:val="18"/>
              </w:rPr>
            </w:pPr>
            <w:r w:rsidRPr="00EE15B4">
              <w:rPr>
                <w:sz w:val="18"/>
              </w:rPr>
              <w:t>8</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14:paraId="3A2B6F54" w14:textId="77777777" w:rsidR="00467DD5" w:rsidRPr="00EE15B4" w:rsidRDefault="00467DD5">
            <w:pPr>
              <w:jc w:val="center"/>
              <w:rPr>
                <w:sz w:val="18"/>
              </w:rPr>
            </w:pPr>
            <w:r w:rsidRPr="00EE15B4">
              <w:rPr>
                <w:sz w:val="18"/>
              </w:rPr>
              <w:t>28.5</w:t>
            </w:r>
          </w:p>
        </w:tc>
      </w:tr>
      <w:tr w:rsidR="00467DD5" w:rsidRPr="00EE15B4" w14:paraId="7AC5AA69" w14:textId="77777777" w:rsidTr="001C7CDD">
        <w:trPr>
          <w:cantSplit/>
          <w:trHeight w:val="350"/>
        </w:trPr>
        <w:tc>
          <w:tcPr>
            <w:tcW w:w="26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F9C8B" w14:textId="77777777" w:rsidR="00467DD5" w:rsidRPr="00EE15B4" w:rsidRDefault="00467DD5">
            <w:pPr>
              <w:rPr>
                <w:sz w:val="18"/>
              </w:rPr>
            </w:pPr>
            <w:r w:rsidRPr="00EE15B4">
              <w:rPr>
                <w:sz w:val="18"/>
              </w:rPr>
              <w:t>    Fairview Commons</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14:paraId="0E75588A" w14:textId="77777777" w:rsidR="00467DD5" w:rsidRPr="00EE15B4" w:rsidRDefault="00467DD5">
            <w:pPr>
              <w:jc w:val="center"/>
              <w:rPr>
                <w:sz w:val="18"/>
              </w:rPr>
            </w:pPr>
            <w:r w:rsidRPr="00EE15B4">
              <w:rPr>
                <w:sz w:val="18"/>
              </w:rPr>
              <w:t>10</w:t>
            </w:r>
          </w:p>
        </w:tc>
        <w:tc>
          <w:tcPr>
            <w:tcW w:w="2215" w:type="dxa"/>
            <w:tcBorders>
              <w:top w:val="nil"/>
              <w:left w:val="nil"/>
              <w:bottom w:val="single" w:sz="8" w:space="0" w:color="auto"/>
              <w:right w:val="single" w:sz="8" w:space="0" w:color="auto"/>
            </w:tcBorders>
            <w:tcMar>
              <w:top w:w="0" w:type="dxa"/>
              <w:left w:w="108" w:type="dxa"/>
              <w:bottom w:w="0" w:type="dxa"/>
              <w:right w:w="108" w:type="dxa"/>
            </w:tcMar>
            <w:hideMark/>
          </w:tcPr>
          <w:p w14:paraId="46D26A05" w14:textId="77777777" w:rsidR="00467DD5" w:rsidRPr="00EE15B4" w:rsidRDefault="00467DD5">
            <w:pPr>
              <w:jc w:val="center"/>
              <w:rPr>
                <w:sz w:val="18"/>
              </w:rPr>
            </w:pPr>
            <w:r w:rsidRPr="00EE15B4">
              <w:rPr>
                <w:sz w:val="18"/>
              </w:rPr>
              <w:t>20.5</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14:paraId="113A0B06" w14:textId="77777777" w:rsidR="00467DD5" w:rsidRPr="00EE15B4" w:rsidRDefault="00467DD5">
            <w:pPr>
              <w:jc w:val="center"/>
              <w:rPr>
                <w:sz w:val="18"/>
              </w:rPr>
            </w:pPr>
            <w:r w:rsidRPr="00EE15B4">
              <w:rPr>
                <w:sz w:val="18"/>
              </w:rPr>
              <w:t>48.4</w:t>
            </w:r>
          </w:p>
        </w:tc>
      </w:tr>
      <w:tr w:rsidR="00467DD5" w:rsidRPr="00EE15B4" w14:paraId="168DE991" w14:textId="77777777" w:rsidTr="001C7CDD">
        <w:trPr>
          <w:cantSplit/>
          <w:trHeight w:val="350"/>
        </w:trPr>
        <w:tc>
          <w:tcPr>
            <w:tcW w:w="26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7780E" w14:textId="77777777" w:rsidR="00467DD5" w:rsidRPr="00EE15B4" w:rsidRDefault="00467DD5">
            <w:pPr>
              <w:rPr>
                <w:sz w:val="18"/>
              </w:rPr>
            </w:pPr>
            <w:r w:rsidRPr="00EE15B4">
              <w:rPr>
                <w:sz w:val="18"/>
              </w:rPr>
              <w:t>    Springside</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14:paraId="613578F1" w14:textId="77777777" w:rsidR="00467DD5" w:rsidRPr="00EE15B4" w:rsidRDefault="00467DD5">
            <w:pPr>
              <w:jc w:val="center"/>
              <w:rPr>
                <w:sz w:val="18"/>
              </w:rPr>
            </w:pPr>
            <w:r w:rsidRPr="00EE15B4">
              <w:rPr>
                <w:sz w:val="18"/>
              </w:rPr>
              <w:t>18</w:t>
            </w:r>
          </w:p>
        </w:tc>
        <w:tc>
          <w:tcPr>
            <w:tcW w:w="2215" w:type="dxa"/>
            <w:tcBorders>
              <w:top w:val="nil"/>
              <w:left w:val="nil"/>
              <w:bottom w:val="single" w:sz="8" w:space="0" w:color="auto"/>
              <w:right w:val="single" w:sz="8" w:space="0" w:color="auto"/>
            </w:tcBorders>
            <w:tcMar>
              <w:top w:w="0" w:type="dxa"/>
              <w:left w:w="108" w:type="dxa"/>
              <w:bottom w:w="0" w:type="dxa"/>
              <w:right w:w="108" w:type="dxa"/>
            </w:tcMar>
            <w:hideMark/>
          </w:tcPr>
          <w:p w14:paraId="5B6D96CE" w14:textId="77777777" w:rsidR="00467DD5" w:rsidRPr="00EE15B4" w:rsidRDefault="00467DD5">
            <w:pPr>
              <w:jc w:val="center"/>
              <w:rPr>
                <w:sz w:val="18"/>
              </w:rPr>
            </w:pPr>
            <w:r w:rsidRPr="00EE15B4">
              <w:rPr>
                <w:sz w:val="18"/>
              </w:rPr>
              <w:t>4</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14:paraId="163F5433" w14:textId="77777777" w:rsidR="00467DD5" w:rsidRPr="00EE15B4" w:rsidRDefault="00467DD5">
            <w:pPr>
              <w:jc w:val="center"/>
              <w:rPr>
                <w:sz w:val="18"/>
              </w:rPr>
            </w:pPr>
            <w:r w:rsidRPr="00EE15B4">
              <w:rPr>
                <w:sz w:val="18"/>
              </w:rPr>
              <w:t>25</w:t>
            </w:r>
          </w:p>
        </w:tc>
      </w:tr>
      <w:tr w:rsidR="00467DD5" w:rsidRPr="00EE15B4" w14:paraId="663CABFF" w14:textId="77777777" w:rsidTr="001C7CDD">
        <w:trPr>
          <w:cantSplit/>
          <w:trHeight w:val="350"/>
        </w:trPr>
        <w:tc>
          <w:tcPr>
            <w:tcW w:w="26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462CA0" w14:textId="77777777" w:rsidR="00467DD5" w:rsidRPr="00EE15B4" w:rsidRDefault="00467DD5">
            <w:pPr>
              <w:rPr>
                <w:sz w:val="18"/>
              </w:rPr>
            </w:pPr>
            <w:r w:rsidRPr="00EE15B4">
              <w:rPr>
                <w:sz w:val="18"/>
              </w:rPr>
              <w:t xml:space="preserve">    </w:t>
            </w:r>
            <w:proofErr w:type="spellStart"/>
            <w:r w:rsidRPr="00EE15B4">
              <w:rPr>
                <w:sz w:val="18"/>
              </w:rPr>
              <w:t>Craneville</w:t>
            </w:r>
            <w:proofErr w:type="spellEnd"/>
            <w:r w:rsidRPr="00EE15B4">
              <w:rPr>
                <w:sz w:val="18"/>
              </w:rPr>
              <w:t xml:space="preserve"> Place</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14:paraId="682AE4DE" w14:textId="77777777" w:rsidR="00467DD5" w:rsidRPr="00EE15B4" w:rsidRDefault="00467DD5">
            <w:pPr>
              <w:jc w:val="center"/>
              <w:rPr>
                <w:sz w:val="18"/>
              </w:rPr>
            </w:pPr>
            <w:r w:rsidRPr="00EE15B4">
              <w:rPr>
                <w:sz w:val="18"/>
              </w:rPr>
              <w:t>21</w:t>
            </w:r>
          </w:p>
        </w:tc>
        <w:tc>
          <w:tcPr>
            <w:tcW w:w="2215" w:type="dxa"/>
            <w:tcBorders>
              <w:top w:val="nil"/>
              <w:left w:val="nil"/>
              <w:bottom w:val="single" w:sz="8" w:space="0" w:color="auto"/>
              <w:right w:val="single" w:sz="8" w:space="0" w:color="auto"/>
            </w:tcBorders>
            <w:tcMar>
              <w:top w:w="0" w:type="dxa"/>
              <w:left w:w="108" w:type="dxa"/>
              <w:bottom w:w="0" w:type="dxa"/>
              <w:right w:w="108" w:type="dxa"/>
            </w:tcMar>
            <w:hideMark/>
          </w:tcPr>
          <w:p w14:paraId="509B0452" w14:textId="77777777" w:rsidR="00467DD5" w:rsidRPr="00EE15B4" w:rsidRDefault="00467DD5">
            <w:pPr>
              <w:jc w:val="center"/>
              <w:rPr>
                <w:sz w:val="18"/>
              </w:rPr>
            </w:pPr>
            <w:r w:rsidRPr="00EE15B4">
              <w:rPr>
                <w:sz w:val="18"/>
              </w:rPr>
              <w:t>4</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14:paraId="6601984D" w14:textId="77777777" w:rsidR="00467DD5" w:rsidRPr="00EE15B4" w:rsidRDefault="00467DD5">
            <w:pPr>
              <w:jc w:val="center"/>
              <w:rPr>
                <w:sz w:val="18"/>
              </w:rPr>
            </w:pPr>
            <w:r w:rsidRPr="00EE15B4">
              <w:rPr>
                <w:sz w:val="18"/>
              </w:rPr>
              <w:t>20</w:t>
            </w:r>
          </w:p>
        </w:tc>
      </w:tr>
      <w:tr w:rsidR="00467DD5" w:rsidRPr="00EE15B4" w14:paraId="538D685C" w14:textId="77777777" w:rsidTr="001C7CDD">
        <w:trPr>
          <w:cantSplit/>
          <w:trHeight w:val="350"/>
        </w:trPr>
        <w:tc>
          <w:tcPr>
            <w:tcW w:w="26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F304D" w14:textId="77777777" w:rsidR="00467DD5" w:rsidRPr="00EE15B4" w:rsidRDefault="00467DD5">
            <w:pPr>
              <w:rPr>
                <w:sz w:val="18"/>
              </w:rPr>
            </w:pPr>
            <w:r w:rsidRPr="00EE15B4">
              <w:rPr>
                <w:sz w:val="18"/>
              </w:rPr>
              <w:t>    Mount Carmel</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14:paraId="360CCB92" w14:textId="77777777" w:rsidR="00467DD5" w:rsidRPr="00EE15B4" w:rsidRDefault="00467DD5">
            <w:pPr>
              <w:jc w:val="center"/>
              <w:rPr>
                <w:sz w:val="18"/>
              </w:rPr>
            </w:pPr>
            <w:r w:rsidRPr="00EE15B4">
              <w:rPr>
                <w:sz w:val="18"/>
              </w:rPr>
              <w:t>5</w:t>
            </w:r>
          </w:p>
        </w:tc>
        <w:tc>
          <w:tcPr>
            <w:tcW w:w="2215" w:type="dxa"/>
            <w:tcBorders>
              <w:top w:val="nil"/>
              <w:left w:val="nil"/>
              <w:bottom w:val="single" w:sz="8" w:space="0" w:color="auto"/>
              <w:right w:val="single" w:sz="8" w:space="0" w:color="auto"/>
            </w:tcBorders>
            <w:tcMar>
              <w:top w:w="0" w:type="dxa"/>
              <w:left w:w="108" w:type="dxa"/>
              <w:bottom w:w="0" w:type="dxa"/>
              <w:right w:w="108" w:type="dxa"/>
            </w:tcMar>
            <w:hideMark/>
          </w:tcPr>
          <w:p w14:paraId="23EA7276" w14:textId="77777777" w:rsidR="00467DD5" w:rsidRPr="00EE15B4" w:rsidRDefault="00467DD5">
            <w:pPr>
              <w:jc w:val="center"/>
              <w:rPr>
                <w:sz w:val="18"/>
              </w:rPr>
            </w:pPr>
            <w:r w:rsidRPr="00EE15B4">
              <w:rPr>
                <w:sz w:val="18"/>
              </w:rPr>
              <w:t>5</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14:paraId="7435EB36" w14:textId="77777777" w:rsidR="00467DD5" w:rsidRPr="00EE15B4" w:rsidRDefault="00467DD5">
            <w:pPr>
              <w:jc w:val="center"/>
              <w:rPr>
                <w:sz w:val="18"/>
              </w:rPr>
            </w:pPr>
            <w:r w:rsidRPr="00EE15B4">
              <w:rPr>
                <w:sz w:val="18"/>
              </w:rPr>
              <w:t>26</w:t>
            </w:r>
          </w:p>
        </w:tc>
      </w:tr>
      <w:tr w:rsidR="00467DD5" w:rsidRPr="00EE15B4" w14:paraId="040A1EDF" w14:textId="77777777" w:rsidTr="001C7CDD">
        <w:trPr>
          <w:cantSplit/>
          <w:trHeight w:val="350"/>
        </w:trPr>
        <w:tc>
          <w:tcPr>
            <w:tcW w:w="26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E96111" w14:textId="77777777" w:rsidR="00467DD5" w:rsidRPr="00EE15B4" w:rsidRDefault="00467DD5">
            <w:pPr>
              <w:rPr>
                <w:sz w:val="18"/>
              </w:rPr>
            </w:pPr>
            <w:r w:rsidRPr="00EE15B4">
              <w:rPr>
                <w:sz w:val="18"/>
              </w:rPr>
              <w:t>    Lee Healthcare</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14:paraId="7E3DCC99" w14:textId="77777777" w:rsidR="00467DD5" w:rsidRPr="00EE15B4" w:rsidRDefault="00467DD5">
            <w:pPr>
              <w:jc w:val="center"/>
              <w:rPr>
                <w:sz w:val="18"/>
              </w:rPr>
            </w:pPr>
            <w:r w:rsidRPr="00EE15B4">
              <w:rPr>
                <w:sz w:val="18"/>
              </w:rPr>
              <w:t>4</w:t>
            </w:r>
          </w:p>
        </w:tc>
        <w:tc>
          <w:tcPr>
            <w:tcW w:w="2215" w:type="dxa"/>
            <w:tcBorders>
              <w:top w:val="nil"/>
              <w:left w:val="nil"/>
              <w:bottom w:val="single" w:sz="8" w:space="0" w:color="auto"/>
              <w:right w:val="single" w:sz="8" w:space="0" w:color="auto"/>
            </w:tcBorders>
            <w:tcMar>
              <w:top w:w="0" w:type="dxa"/>
              <w:left w:w="108" w:type="dxa"/>
              <w:bottom w:w="0" w:type="dxa"/>
              <w:right w:w="108" w:type="dxa"/>
            </w:tcMar>
            <w:hideMark/>
          </w:tcPr>
          <w:p w14:paraId="23DEFA80" w14:textId="77777777" w:rsidR="00467DD5" w:rsidRPr="00EE15B4" w:rsidRDefault="00467DD5">
            <w:pPr>
              <w:jc w:val="center"/>
              <w:rPr>
                <w:sz w:val="18"/>
              </w:rPr>
            </w:pPr>
            <w:r w:rsidRPr="00EE15B4">
              <w:rPr>
                <w:sz w:val="18"/>
              </w:rPr>
              <w:t>10</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14:paraId="3C3CD026" w14:textId="77777777" w:rsidR="00467DD5" w:rsidRPr="00EE15B4" w:rsidRDefault="00467DD5">
            <w:pPr>
              <w:jc w:val="center"/>
              <w:rPr>
                <w:sz w:val="18"/>
              </w:rPr>
            </w:pPr>
            <w:r w:rsidRPr="00EE15B4">
              <w:rPr>
                <w:sz w:val="18"/>
              </w:rPr>
              <w:t>31</w:t>
            </w:r>
          </w:p>
        </w:tc>
      </w:tr>
      <w:tr w:rsidR="00467DD5" w:rsidRPr="00EE15B4" w14:paraId="5F57F5BC" w14:textId="77777777" w:rsidTr="001C7CDD">
        <w:trPr>
          <w:cantSplit/>
          <w:trHeight w:val="350"/>
        </w:trPr>
        <w:tc>
          <w:tcPr>
            <w:tcW w:w="26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4EF50E" w14:textId="77777777" w:rsidR="00467DD5" w:rsidRPr="00EE15B4" w:rsidRDefault="00467DD5">
            <w:pPr>
              <w:rPr>
                <w:sz w:val="18"/>
              </w:rPr>
            </w:pPr>
            <w:r w:rsidRPr="00EE15B4">
              <w:rPr>
                <w:sz w:val="18"/>
              </w:rPr>
              <w:t>    Berkshire Place</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14:paraId="571BDBB9" w14:textId="77777777" w:rsidR="00467DD5" w:rsidRPr="00EE15B4" w:rsidRDefault="00467DD5">
            <w:pPr>
              <w:jc w:val="center"/>
              <w:rPr>
                <w:sz w:val="18"/>
              </w:rPr>
            </w:pPr>
            <w:r w:rsidRPr="00EE15B4">
              <w:rPr>
                <w:sz w:val="18"/>
              </w:rPr>
              <w:t>2</w:t>
            </w:r>
          </w:p>
        </w:tc>
        <w:tc>
          <w:tcPr>
            <w:tcW w:w="2215" w:type="dxa"/>
            <w:tcBorders>
              <w:top w:val="nil"/>
              <w:left w:val="nil"/>
              <w:bottom w:val="single" w:sz="8" w:space="0" w:color="auto"/>
              <w:right w:val="single" w:sz="8" w:space="0" w:color="auto"/>
            </w:tcBorders>
            <w:tcMar>
              <w:top w:w="0" w:type="dxa"/>
              <w:left w:w="108" w:type="dxa"/>
              <w:bottom w:w="0" w:type="dxa"/>
              <w:right w:w="108" w:type="dxa"/>
            </w:tcMar>
            <w:hideMark/>
          </w:tcPr>
          <w:p w14:paraId="62C9268A" w14:textId="77777777" w:rsidR="00467DD5" w:rsidRPr="00EE15B4" w:rsidRDefault="00467DD5">
            <w:pPr>
              <w:jc w:val="center"/>
              <w:rPr>
                <w:sz w:val="18"/>
              </w:rPr>
            </w:pPr>
            <w:r w:rsidRPr="00EE15B4">
              <w:rPr>
                <w:sz w:val="18"/>
              </w:rPr>
              <w:t>1</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14:paraId="59D87045" w14:textId="77777777" w:rsidR="00467DD5" w:rsidRPr="00EE15B4" w:rsidRDefault="00467DD5">
            <w:pPr>
              <w:jc w:val="center"/>
              <w:rPr>
                <w:sz w:val="18"/>
              </w:rPr>
            </w:pPr>
            <w:r w:rsidRPr="00EE15B4">
              <w:rPr>
                <w:sz w:val="18"/>
              </w:rPr>
              <w:t>23</w:t>
            </w:r>
          </w:p>
        </w:tc>
      </w:tr>
      <w:tr w:rsidR="00467DD5" w:rsidRPr="00EE15B4" w14:paraId="0F9E33C8" w14:textId="77777777" w:rsidTr="001C7CDD">
        <w:trPr>
          <w:cantSplit/>
          <w:trHeight w:val="620"/>
        </w:trPr>
        <w:tc>
          <w:tcPr>
            <w:tcW w:w="26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7B1200" w14:textId="77777777" w:rsidR="00467DD5" w:rsidRPr="00EE15B4" w:rsidRDefault="00467DD5">
            <w:pPr>
              <w:rPr>
                <w:sz w:val="18"/>
              </w:rPr>
            </w:pPr>
            <w:r w:rsidRPr="00EE15B4">
              <w:rPr>
                <w:sz w:val="18"/>
              </w:rPr>
              <w:t>    Out of County/State SNF</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14:paraId="286E68A3" w14:textId="77777777" w:rsidR="00467DD5" w:rsidRPr="00EE15B4" w:rsidRDefault="00467DD5">
            <w:pPr>
              <w:jc w:val="center"/>
              <w:rPr>
                <w:sz w:val="18"/>
              </w:rPr>
            </w:pPr>
            <w:r w:rsidRPr="00EE15B4">
              <w:rPr>
                <w:sz w:val="18"/>
              </w:rPr>
              <w:t>12</w:t>
            </w:r>
          </w:p>
        </w:tc>
        <w:tc>
          <w:tcPr>
            <w:tcW w:w="2215" w:type="dxa"/>
            <w:tcBorders>
              <w:top w:val="nil"/>
              <w:left w:val="nil"/>
              <w:bottom w:val="single" w:sz="8" w:space="0" w:color="auto"/>
              <w:right w:val="single" w:sz="8" w:space="0" w:color="auto"/>
            </w:tcBorders>
            <w:tcMar>
              <w:top w:w="0" w:type="dxa"/>
              <w:left w:w="108" w:type="dxa"/>
              <w:bottom w:w="0" w:type="dxa"/>
              <w:right w:w="108" w:type="dxa"/>
            </w:tcMar>
            <w:hideMark/>
          </w:tcPr>
          <w:p w14:paraId="2EB0F880" w14:textId="77777777" w:rsidR="00467DD5" w:rsidRPr="00EE15B4" w:rsidRDefault="00467DD5">
            <w:pPr>
              <w:jc w:val="center"/>
              <w:rPr>
                <w:sz w:val="18"/>
              </w:rPr>
            </w:pPr>
            <w:r w:rsidRPr="00EE15B4">
              <w:rPr>
                <w:sz w:val="18"/>
              </w:rPr>
              <w:t>Ranges from 31.3 to 106 with an average of 43.9</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14:paraId="563A24AF" w14:textId="77777777" w:rsidR="00467DD5" w:rsidRPr="00EE15B4" w:rsidRDefault="00467DD5">
            <w:pPr>
              <w:jc w:val="center"/>
              <w:rPr>
                <w:sz w:val="18"/>
              </w:rPr>
            </w:pPr>
            <w:r w:rsidRPr="00EE15B4">
              <w:rPr>
                <w:sz w:val="18"/>
              </w:rPr>
              <w:t>Ranges from 17.8 to 117 with an average of 48.2</w:t>
            </w:r>
          </w:p>
        </w:tc>
      </w:tr>
      <w:tr w:rsidR="00467DD5" w:rsidRPr="00EE15B4" w14:paraId="55AD69B3" w14:textId="77777777" w:rsidTr="001C7CDD">
        <w:trPr>
          <w:cantSplit/>
          <w:trHeight w:val="350"/>
        </w:trPr>
        <w:tc>
          <w:tcPr>
            <w:tcW w:w="26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3529D7" w14:textId="77777777" w:rsidR="00467DD5" w:rsidRPr="00EE15B4" w:rsidRDefault="00467DD5">
            <w:pPr>
              <w:rPr>
                <w:sz w:val="18"/>
              </w:rPr>
            </w:pPr>
            <w:r w:rsidRPr="00EE15B4">
              <w:rPr>
                <w:sz w:val="18"/>
              </w:rPr>
              <w:t>Rehab</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14:paraId="6993010F" w14:textId="77777777" w:rsidR="00467DD5" w:rsidRPr="00EE15B4" w:rsidRDefault="00467DD5">
            <w:pPr>
              <w:jc w:val="center"/>
              <w:rPr>
                <w:sz w:val="18"/>
              </w:rPr>
            </w:pPr>
            <w:r w:rsidRPr="00EE15B4">
              <w:rPr>
                <w:sz w:val="18"/>
              </w:rPr>
              <w:t>35</w:t>
            </w:r>
          </w:p>
        </w:tc>
        <w:tc>
          <w:tcPr>
            <w:tcW w:w="2215" w:type="dxa"/>
            <w:tcBorders>
              <w:top w:val="nil"/>
              <w:left w:val="nil"/>
              <w:bottom w:val="single" w:sz="8" w:space="0" w:color="auto"/>
              <w:right w:val="single" w:sz="8" w:space="0" w:color="auto"/>
            </w:tcBorders>
            <w:tcMar>
              <w:top w:w="0" w:type="dxa"/>
              <w:left w:w="108" w:type="dxa"/>
              <w:bottom w:w="0" w:type="dxa"/>
              <w:right w:w="108" w:type="dxa"/>
            </w:tcMar>
          </w:tcPr>
          <w:p w14:paraId="479C8220" w14:textId="77777777" w:rsidR="00467DD5" w:rsidRPr="00EE15B4" w:rsidRDefault="00467DD5">
            <w:pPr>
              <w:jc w:val="center"/>
              <w:rPr>
                <w:sz w:val="18"/>
              </w:rPr>
            </w:pPr>
          </w:p>
        </w:tc>
        <w:tc>
          <w:tcPr>
            <w:tcW w:w="2277" w:type="dxa"/>
            <w:tcBorders>
              <w:top w:val="nil"/>
              <w:left w:val="nil"/>
              <w:bottom w:val="single" w:sz="8" w:space="0" w:color="auto"/>
              <w:right w:val="single" w:sz="8" w:space="0" w:color="auto"/>
            </w:tcBorders>
            <w:tcMar>
              <w:top w:w="0" w:type="dxa"/>
              <w:left w:w="108" w:type="dxa"/>
              <w:bottom w:w="0" w:type="dxa"/>
              <w:right w:w="108" w:type="dxa"/>
            </w:tcMar>
          </w:tcPr>
          <w:p w14:paraId="5A38F21F" w14:textId="77777777" w:rsidR="00467DD5" w:rsidRPr="00EE15B4" w:rsidRDefault="00467DD5">
            <w:pPr>
              <w:jc w:val="center"/>
              <w:rPr>
                <w:sz w:val="18"/>
              </w:rPr>
            </w:pPr>
          </w:p>
        </w:tc>
      </w:tr>
      <w:tr w:rsidR="00467DD5" w:rsidRPr="00EE15B4" w14:paraId="4339E99A" w14:textId="77777777" w:rsidTr="001C7CDD">
        <w:trPr>
          <w:cantSplit/>
          <w:trHeight w:val="377"/>
        </w:trPr>
        <w:tc>
          <w:tcPr>
            <w:tcW w:w="26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BCDB14" w14:textId="77777777" w:rsidR="00467DD5" w:rsidRPr="00EE15B4" w:rsidRDefault="00467DD5">
            <w:pPr>
              <w:rPr>
                <w:sz w:val="18"/>
              </w:rPr>
            </w:pPr>
            <w:r w:rsidRPr="00EE15B4">
              <w:rPr>
                <w:sz w:val="18"/>
              </w:rPr>
              <w:t>    BMC Acute Rehab</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14:paraId="002D936B" w14:textId="77777777" w:rsidR="00467DD5" w:rsidRPr="00EE15B4" w:rsidRDefault="00467DD5">
            <w:pPr>
              <w:jc w:val="center"/>
              <w:rPr>
                <w:sz w:val="18"/>
              </w:rPr>
            </w:pPr>
            <w:r w:rsidRPr="00EE15B4">
              <w:rPr>
                <w:sz w:val="18"/>
              </w:rPr>
              <w:t>33</w:t>
            </w:r>
          </w:p>
        </w:tc>
        <w:tc>
          <w:tcPr>
            <w:tcW w:w="2215" w:type="dxa"/>
            <w:tcBorders>
              <w:top w:val="nil"/>
              <w:left w:val="nil"/>
              <w:bottom w:val="single" w:sz="8" w:space="0" w:color="auto"/>
              <w:right w:val="single" w:sz="8" w:space="0" w:color="auto"/>
            </w:tcBorders>
            <w:tcMar>
              <w:top w:w="0" w:type="dxa"/>
              <w:left w:w="108" w:type="dxa"/>
              <w:bottom w:w="0" w:type="dxa"/>
              <w:right w:w="108" w:type="dxa"/>
            </w:tcMar>
            <w:hideMark/>
          </w:tcPr>
          <w:p w14:paraId="6F7D1ACD" w14:textId="77777777" w:rsidR="00467DD5" w:rsidRPr="00EE15B4" w:rsidRDefault="00467DD5">
            <w:pPr>
              <w:jc w:val="center"/>
              <w:rPr>
                <w:sz w:val="18"/>
              </w:rPr>
            </w:pPr>
            <w:r w:rsidRPr="00EE15B4">
              <w:rPr>
                <w:sz w:val="18"/>
              </w:rPr>
              <w:t>0</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14:paraId="2D7A2DC0" w14:textId="77777777" w:rsidR="00467DD5" w:rsidRPr="00EE15B4" w:rsidRDefault="00467DD5">
            <w:pPr>
              <w:jc w:val="center"/>
              <w:rPr>
                <w:sz w:val="18"/>
              </w:rPr>
            </w:pPr>
            <w:r w:rsidRPr="00EE15B4">
              <w:rPr>
                <w:sz w:val="18"/>
              </w:rPr>
              <w:t>22</w:t>
            </w:r>
          </w:p>
        </w:tc>
      </w:tr>
      <w:tr w:rsidR="00467DD5" w:rsidRPr="00EE15B4" w14:paraId="6A53B782" w14:textId="77777777" w:rsidTr="001C7CDD">
        <w:trPr>
          <w:cantSplit/>
          <w:trHeight w:val="368"/>
        </w:trPr>
        <w:tc>
          <w:tcPr>
            <w:tcW w:w="26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C3A465" w14:textId="77777777" w:rsidR="00467DD5" w:rsidRPr="00EE15B4" w:rsidRDefault="00467DD5">
            <w:pPr>
              <w:rPr>
                <w:sz w:val="18"/>
              </w:rPr>
            </w:pPr>
            <w:r w:rsidRPr="00EE15B4">
              <w:rPr>
                <w:sz w:val="18"/>
              </w:rPr>
              <w:t>    FVH SWING</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14:paraId="2F867C4D" w14:textId="77777777" w:rsidR="00467DD5" w:rsidRPr="00EE15B4" w:rsidRDefault="00467DD5">
            <w:pPr>
              <w:jc w:val="center"/>
              <w:rPr>
                <w:sz w:val="18"/>
              </w:rPr>
            </w:pPr>
            <w:r w:rsidRPr="00EE15B4">
              <w:rPr>
                <w:sz w:val="18"/>
              </w:rPr>
              <w:t>2</w:t>
            </w:r>
          </w:p>
        </w:tc>
        <w:tc>
          <w:tcPr>
            <w:tcW w:w="2215" w:type="dxa"/>
            <w:tcBorders>
              <w:top w:val="nil"/>
              <w:left w:val="nil"/>
              <w:bottom w:val="single" w:sz="8" w:space="0" w:color="auto"/>
              <w:right w:val="single" w:sz="8" w:space="0" w:color="auto"/>
            </w:tcBorders>
            <w:tcMar>
              <w:top w:w="0" w:type="dxa"/>
              <w:left w:w="108" w:type="dxa"/>
              <w:bottom w:w="0" w:type="dxa"/>
              <w:right w:w="108" w:type="dxa"/>
            </w:tcMar>
            <w:hideMark/>
          </w:tcPr>
          <w:p w14:paraId="555B65FF" w14:textId="77777777" w:rsidR="00467DD5" w:rsidRPr="00EE15B4" w:rsidRDefault="00467DD5">
            <w:pPr>
              <w:jc w:val="center"/>
              <w:rPr>
                <w:sz w:val="18"/>
              </w:rPr>
            </w:pPr>
            <w:r w:rsidRPr="00EE15B4">
              <w:rPr>
                <w:sz w:val="18"/>
              </w:rPr>
              <w:t>22</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14:paraId="2E64C12D" w14:textId="77777777" w:rsidR="00467DD5" w:rsidRPr="00EE15B4" w:rsidRDefault="00467DD5">
            <w:pPr>
              <w:jc w:val="center"/>
              <w:rPr>
                <w:sz w:val="18"/>
              </w:rPr>
            </w:pPr>
            <w:r w:rsidRPr="00EE15B4">
              <w:rPr>
                <w:sz w:val="18"/>
              </w:rPr>
              <w:t>43</w:t>
            </w:r>
          </w:p>
        </w:tc>
      </w:tr>
    </w:tbl>
    <w:p w14:paraId="28B3E01A" w14:textId="6FEF2CD4" w:rsidR="00E55660" w:rsidRDefault="00E55660" w:rsidP="00467DD5">
      <w:pPr>
        <w:rPr>
          <w:rFonts w:cstheme="minorHAnsi"/>
        </w:rPr>
      </w:pPr>
    </w:p>
    <w:p w14:paraId="4597B335" w14:textId="238FFE62" w:rsidR="00C43D5D" w:rsidRDefault="00C43D5D" w:rsidP="00467DD5">
      <w:pPr>
        <w:rPr>
          <w:rFonts w:cstheme="minorHAnsi"/>
        </w:rPr>
      </w:pPr>
    </w:p>
    <w:p w14:paraId="661EAC72" w14:textId="5FCE7206" w:rsidR="00C43D5D" w:rsidRDefault="00C43D5D" w:rsidP="00467DD5">
      <w:pPr>
        <w:rPr>
          <w:rFonts w:cstheme="minorHAnsi"/>
        </w:rPr>
      </w:pPr>
    </w:p>
    <w:p w14:paraId="0DF93C88" w14:textId="77777777" w:rsidR="00C43D5D" w:rsidRDefault="00C43D5D" w:rsidP="00467DD5">
      <w:pPr>
        <w:rPr>
          <w:rFonts w:cstheme="minorHAnsi"/>
        </w:rPr>
      </w:pPr>
    </w:p>
    <w:p w14:paraId="17A9122D" w14:textId="77777777" w:rsidR="00467DD5" w:rsidRPr="00AA1093" w:rsidRDefault="00467DD5" w:rsidP="00467DD5">
      <w:pPr>
        <w:pStyle w:val="ListParagraph"/>
        <w:numPr>
          <w:ilvl w:val="1"/>
          <w:numId w:val="16"/>
        </w:numPr>
        <w:rPr>
          <w:rFonts w:cstheme="minorHAnsi"/>
          <w:b/>
        </w:rPr>
      </w:pPr>
      <w:r w:rsidRPr="00AA1093">
        <w:rPr>
          <w:rFonts w:cstheme="minorHAnsi"/>
          <w:b/>
        </w:rPr>
        <w:lastRenderedPageBreak/>
        <w:t>Provide any evidence of long wait times for admittance to a facility for post-acute care.</w:t>
      </w:r>
    </w:p>
    <w:p w14:paraId="5B0E3970" w14:textId="7AB3C856" w:rsidR="00B77C75" w:rsidRPr="00AA1093" w:rsidRDefault="00AA1093" w:rsidP="00B77C75">
      <w:pPr>
        <w:jc w:val="both"/>
        <w:rPr>
          <w:rFonts w:cstheme="minorHAnsi"/>
        </w:rPr>
      </w:pPr>
      <w:r w:rsidRPr="00AA1093">
        <w:rPr>
          <w:rFonts w:cstheme="minorHAnsi"/>
          <w:u w:val="single"/>
        </w:rPr>
        <w:t>Response</w:t>
      </w:r>
      <w:r w:rsidRPr="00AA1093">
        <w:rPr>
          <w:rFonts w:cstheme="minorHAnsi"/>
        </w:rPr>
        <w:t xml:space="preserve">: </w:t>
      </w:r>
      <w:r w:rsidR="00B77C75">
        <w:rPr>
          <w:rFonts w:cstheme="minorHAnsi"/>
        </w:rPr>
        <w:t xml:space="preserve"> </w:t>
      </w:r>
      <w:r w:rsidR="00E61DF1">
        <w:rPr>
          <w:rFonts w:cstheme="minorHAnsi"/>
        </w:rPr>
        <w:t xml:space="preserve"> </w:t>
      </w:r>
      <w:r w:rsidR="00022CF0">
        <w:rPr>
          <w:rFonts w:cstheme="minorHAnsi"/>
        </w:rPr>
        <w:t>In addition</w:t>
      </w:r>
      <w:r w:rsidR="00623F11">
        <w:rPr>
          <w:rFonts w:cstheme="minorHAnsi"/>
        </w:rPr>
        <w:t xml:space="preserve"> to</w:t>
      </w:r>
      <w:r w:rsidR="00022CF0">
        <w:rPr>
          <w:rFonts w:cstheme="minorHAnsi"/>
        </w:rPr>
        <w:t xml:space="preserve"> the overall median occupancy rate of 92%</w:t>
      </w:r>
      <w:r w:rsidR="00022CF0">
        <w:rPr>
          <w:rStyle w:val="FootnoteReference"/>
          <w:rFonts w:cstheme="minorHAnsi"/>
        </w:rPr>
        <w:footnoteReference w:id="4"/>
      </w:r>
      <w:r w:rsidR="00022CF0">
        <w:rPr>
          <w:rFonts w:cstheme="minorHAnsi"/>
        </w:rPr>
        <w:t xml:space="preserve"> for Berkshire County skilled nursing facilities, </w:t>
      </w:r>
      <w:r w:rsidR="00B77C75" w:rsidRPr="00AA1093">
        <w:rPr>
          <w:rFonts w:cstheme="minorHAnsi"/>
        </w:rPr>
        <w:t xml:space="preserve">the biggest barrier to discharge to post-acute facilities </w:t>
      </w:r>
      <w:r w:rsidR="00022CF0">
        <w:rPr>
          <w:rFonts w:cstheme="minorHAnsi"/>
        </w:rPr>
        <w:t xml:space="preserve">for the Applicant </w:t>
      </w:r>
      <w:r w:rsidR="00B77C75">
        <w:rPr>
          <w:rFonts w:cstheme="minorHAnsi"/>
        </w:rPr>
        <w:t xml:space="preserve">is for </w:t>
      </w:r>
      <w:r w:rsidR="00B77C75" w:rsidRPr="00AA1093">
        <w:rPr>
          <w:rFonts w:cstheme="minorHAnsi"/>
        </w:rPr>
        <w:t xml:space="preserve">patients who need IV antibiotics.  These patients often </w:t>
      </w:r>
      <w:r w:rsidR="00B77C75">
        <w:rPr>
          <w:rFonts w:cstheme="minorHAnsi"/>
        </w:rPr>
        <w:t>remain</w:t>
      </w:r>
      <w:r w:rsidR="00B77C75" w:rsidRPr="00AA1093">
        <w:rPr>
          <w:rFonts w:cstheme="minorHAnsi"/>
        </w:rPr>
        <w:t xml:space="preserve"> in the hospital</w:t>
      </w:r>
      <w:r w:rsidR="00B77C75">
        <w:rPr>
          <w:rFonts w:cstheme="minorHAnsi"/>
        </w:rPr>
        <w:t xml:space="preserve"> for</w:t>
      </w:r>
      <w:r w:rsidR="00B77C75" w:rsidRPr="00AA1093">
        <w:rPr>
          <w:rFonts w:cstheme="minorHAnsi"/>
        </w:rPr>
        <w:t xml:space="preserve"> 30+ days</w:t>
      </w:r>
      <w:r w:rsidR="00B77C75">
        <w:rPr>
          <w:rFonts w:cstheme="minorHAnsi"/>
        </w:rPr>
        <w:t xml:space="preserve"> without a SNF able to meet the care needs of that patient.  </w:t>
      </w:r>
      <w:r w:rsidR="00B77C75" w:rsidRPr="00AA1093">
        <w:rPr>
          <w:rFonts w:cstheme="minorHAnsi"/>
        </w:rPr>
        <w:t xml:space="preserve">Other barriers are </w:t>
      </w:r>
      <w:r w:rsidR="00B77C75">
        <w:rPr>
          <w:rFonts w:cstheme="minorHAnsi"/>
        </w:rPr>
        <w:t>for</w:t>
      </w:r>
      <w:r w:rsidR="00B77C75" w:rsidRPr="00AA1093">
        <w:rPr>
          <w:rFonts w:cstheme="minorHAnsi"/>
        </w:rPr>
        <w:t xml:space="preserve"> wound care, SUD services</w:t>
      </w:r>
      <w:r w:rsidR="00B77C75">
        <w:rPr>
          <w:rStyle w:val="FootnoteReference"/>
          <w:rFonts w:cstheme="minorHAnsi"/>
        </w:rPr>
        <w:footnoteReference w:id="5"/>
      </w:r>
      <w:r w:rsidR="00B77C75" w:rsidRPr="00AA1093">
        <w:rPr>
          <w:rFonts w:cstheme="minorHAnsi"/>
        </w:rPr>
        <w:t xml:space="preserve"> or bariatric beds.</w:t>
      </w:r>
      <w:r w:rsidR="00B77C75">
        <w:rPr>
          <w:rFonts w:cstheme="minorHAnsi"/>
        </w:rPr>
        <w:t xml:space="preserve">  </w:t>
      </w:r>
    </w:p>
    <w:p w14:paraId="4C2AFBD3" w14:textId="1C512ABD" w:rsidR="00467DD5" w:rsidRPr="00AA1093" w:rsidRDefault="00467DD5" w:rsidP="00B77C75">
      <w:pPr>
        <w:jc w:val="both"/>
        <w:rPr>
          <w:rFonts w:cstheme="minorHAnsi"/>
        </w:rPr>
      </w:pPr>
      <w:r w:rsidRPr="00AA1093">
        <w:rPr>
          <w:rFonts w:cstheme="minorHAnsi"/>
        </w:rPr>
        <w:t>BMC case management tracks barrier days (</w:t>
      </w:r>
      <w:proofErr w:type="gramStart"/>
      <w:r w:rsidRPr="00AA1093">
        <w:rPr>
          <w:rFonts w:cstheme="minorHAnsi"/>
        </w:rPr>
        <w:t>i.e.</w:t>
      </w:r>
      <w:proofErr w:type="gramEnd"/>
      <w:r w:rsidRPr="00AA1093">
        <w:rPr>
          <w:rFonts w:cstheme="minorHAnsi"/>
        </w:rPr>
        <w:t xml:space="preserve"> days when a patient is ready for discharge but has no appropriate discharge location).  In FY22, there were 583 barrier days</w:t>
      </w:r>
      <w:r w:rsidR="00B77C75">
        <w:rPr>
          <w:rFonts w:cstheme="minorHAnsi"/>
        </w:rPr>
        <w:t xml:space="preserve"> unrelated to patient preference</w:t>
      </w:r>
      <w:r w:rsidRPr="00AA1093">
        <w:rPr>
          <w:rFonts w:cstheme="minorHAnsi"/>
        </w:rPr>
        <w:t xml:space="preserve"> because there was no</w:t>
      </w:r>
      <w:r w:rsidR="00622537">
        <w:rPr>
          <w:rFonts w:cstheme="minorHAnsi"/>
        </w:rPr>
        <w:t xml:space="preserve"> </w:t>
      </w:r>
      <w:r w:rsidRPr="00AA1093">
        <w:rPr>
          <w:rFonts w:cstheme="minorHAnsi"/>
        </w:rPr>
        <w:t xml:space="preserve">available SNF bed. </w:t>
      </w:r>
      <w:r w:rsidR="00622537">
        <w:rPr>
          <w:rFonts w:cstheme="minorHAnsi"/>
        </w:rPr>
        <w:t xml:space="preserve"> </w:t>
      </w:r>
      <w:r w:rsidR="00B77C75">
        <w:rPr>
          <w:rFonts w:cstheme="minorHAnsi"/>
        </w:rPr>
        <w:t>This affected</w:t>
      </w:r>
      <w:r w:rsidR="00622537">
        <w:rPr>
          <w:rFonts w:cstheme="minorHAnsi"/>
        </w:rPr>
        <w:t xml:space="preserve"> 307 of the 527 pat</w:t>
      </w:r>
      <w:r w:rsidR="00FB5B19">
        <w:rPr>
          <w:rFonts w:cstheme="minorHAnsi"/>
        </w:rPr>
        <w:t>ients (58%) discharged to SNFs per</w:t>
      </w:r>
      <w:r w:rsidR="00622537">
        <w:rPr>
          <w:rFonts w:cstheme="minorHAnsi"/>
        </w:rPr>
        <w:t xml:space="preserve"> the chart above.  On average, these</w:t>
      </w:r>
      <w:r w:rsidR="00FB5B19">
        <w:rPr>
          <w:rFonts w:cstheme="minorHAnsi"/>
        </w:rPr>
        <w:t xml:space="preserve"> patients had a three-day wait.  </w:t>
      </w:r>
      <w:r w:rsidR="00B77C75">
        <w:rPr>
          <w:rFonts w:cstheme="minorHAnsi"/>
        </w:rPr>
        <w:t>In FY22, there were</w:t>
      </w:r>
      <w:r w:rsidR="00B77C75" w:rsidRPr="00AA1093">
        <w:rPr>
          <w:rFonts w:cstheme="minorHAnsi"/>
        </w:rPr>
        <w:t xml:space="preserve"> 107 barrier days</w:t>
      </w:r>
      <w:r w:rsidR="00B77C75">
        <w:rPr>
          <w:rFonts w:cstheme="minorHAnsi"/>
        </w:rPr>
        <w:t xml:space="preserve"> </w:t>
      </w:r>
      <w:r w:rsidR="00B77C75" w:rsidRPr="00AA1093">
        <w:rPr>
          <w:rFonts w:cstheme="minorHAnsi"/>
        </w:rPr>
        <w:t>b</w:t>
      </w:r>
      <w:r w:rsidR="00B77C75">
        <w:rPr>
          <w:rFonts w:cstheme="minorHAnsi"/>
        </w:rPr>
        <w:t>ecause of a transportation delay</w:t>
      </w:r>
      <w:r w:rsidR="00FB5B19">
        <w:rPr>
          <w:rFonts w:cstheme="minorHAnsi"/>
        </w:rPr>
        <w:t xml:space="preserve">.  In connection with those </w:t>
      </w:r>
      <w:proofErr w:type="gramStart"/>
      <w:r w:rsidR="00FB5B19">
        <w:rPr>
          <w:rFonts w:cstheme="minorHAnsi"/>
        </w:rPr>
        <w:t xml:space="preserve">delays </w:t>
      </w:r>
      <w:r w:rsidR="00B77C75">
        <w:rPr>
          <w:rFonts w:cstheme="minorHAnsi"/>
        </w:rPr>
        <w:t xml:space="preserve"> 89</w:t>
      </w:r>
      <w:proofErr w:type="gramEnd"/>
      <w:r w:rsidR="00B77C75">
        <w:rPr>
          <w:rFonts w:cstheme="minorHAnsi"/>
        </w:rPr>
        <w:t>%</w:t>
      </w:r>
      <w:r w:rsidR="00622537">
        <w:rPr>
          <w:rFonts w:cstheme="minorHAnsi"/>
        </w:rPr>
        <w:t xml:space="preserve"> </w:t>
      </w:r>
      <w:r w:rsidR="00B77C75">
        <w:rPr>
          <w:rFonts w:cstheme="minorHAnsi"/>
        </w:rPr>
        <w:t xml:space="preserve">(95 of the 107 days) </w:t>
      </w:r>
      <w:r w:rsidR="00FB5B19">
        <w:rPr>
          <w:rFonts w:cstheme="minorHAnsi"/>
        </w:rPr>
        <w:t>were</w:t>
      </w:r>
      <w:r w:rsidR="00B77C75">
        <w:rPr>
          <w:rFonts w:cstheme="minorHAnsi"/>
        </w:rPr>
        <w:t xml:space="preserve"> related to</w:t>
      </w:r>
      <w:r w:rsidR="00FB5B19">
        <w:rPr>
          <w:rFonts w:cstheme="minorHAnsi"/>
        </w:rPr>
        <w:t xml:space="preserve"> either</w:t>
      </w:r>
      <w:r w:rsidR="00B77C75">
        <w:rPr>
          <w:rFonts w:cstheme="minorHAnsi"/>
        </w:rPr>
        <w:t xml:space="preserve"> the lack of transportation or</w:t>
      </w:r>
      <w:r w:rsidR="00FB5B19">
        <w:rPr>
          <w:rFonts w:cstheme="minorHAnsi"/>
        </w:rPr>
        <w:t xml:space="preserve"> the inability to schedule transportation within the</w:t>
      </w:r>
      <w:r w:rsidR="00B77C75">
        <w:rPr>
          <w:rFonts w:cstheme="minorHAnsi"/>
        </w:rPr>
        <w:t xml:space="preserve"> narrow </w:t>
      </w:r>
      <w:r w:rsidR="006646FC">
        <w:rPr>
          <w:rFonts w:cstheme="minorHAnsi"/>
        </w:rPr>
        <w:t xml:space="preserve">admission </w:t>
      </w:r>
      <w:r w:rsidR="00B77C75">
        <w:rPr>
          <w:rFonts w:cstheme="minorHAnsi"/>
        </w:rPr>
        <w:t>windows</w:t>
      </w:r>
      <w:r w:rsidR="00FB5B19">
        <w:rPr>
          <w:rFonts w:cstheme="minorHAnsi"/>
        </w:rPr>
        <w:t xml:space="preserve"> made available by the SNFs</w:t>
      </w:r>
      <w:r w:rsidR="00B77C75">
        <w:rPr>
          <w:rFonts w:cstheme="minorHAnsi"/>
        </w:rPr>
        <w:t>.</w:t>
      </w:r>
      <w:r w:rsidR="00622537">
        <w:rPr>
          <w:rFonts w:cstheme="minorHAnsi"/>
        </w:rPr>
        <w:t xml:space="preserve"> </w:t>
      </w:r>
      <w:r w:rsidR="00B77C75">
        <w:rPr>
          <w:rFonts w:cstheme="minorHAnsi"/>
        </w:rPr>
        <w:t xml:space="preserve"> The swing beds at the new facility will assist with these throughput issues.   </w:t>
      </w:r>
    </w:p>
    <w:p w14:paraId="5AA9FEB8" w14:textId="77777777" w:rsidR="00467DD5" w:rsidRPr="00AA1093" w:rsidRDefault="00467DD5" w:rsidP="00E26B73">
      <w:pPr>
        <w:pStyle w:val="ListParagraph"/>
        <w:numPr>
          <w:ilvl w:val="1"/>
          <w:numId w:val="16"/>
        </w:numPr>
        <w:rPr>
          <w:rFonts w:cstheme="minorHAnsi"/>
          <w:b/>
        </w:rPr>
      </w:pPr>
      <w:r w:rsidRPr="00AA1093">
        <w:rPr>
          <w:rFonts w:cstheme="minorHAnsi"/>
          <w:b/>
        </w:rPr>
        <w:t>Of the 3,890 visits, how many represent a transfer from a SNF or LTC facility to BMC for care?</w:t>
      </w:r>
    </w:p>
    <w:p w14:paraId="469DCAF6" w14:textId="55D6423B" w:rsidR="00467DD5" w:rsidRPr="00AA1093" w:rsidRDefault="00AA1093" w:rsidP="00B77C75">
      <w:pPr>
        <w:jc w:val="both"/>
        <w:rPr>
          <w:rFonts w:cstheme="minorHAnsi"/>
        </w:rPr>
      </w:pPr>
      <w:r w:rsidRPr="00AA1093">
        <w:rPr>
          <w:rFonts w:cstheme="minorHAnsi"/>
          <w:u w:val="single"/>
        </w:rPr>
        <w:t>Response</w:t>
      </w:r>
      <w:r w:rsidRPr="00AA1093">
        <w:rPr>
          <w:rFonts w:cstheme="minorHAnsi"/>
        </w:rPr>
        <w:t xml:space="preserve">: </w:t>
      </w:r>
      <w:r>
        <w:rPr>
          <w:rFonts w:cstheme="minorHAnsi"/>
        </w:rPr>
        <w:t xml:space="preserve"> </w:t>
      </w:r>
      <w:r w:rsidR="00467DD5" w:rsidRPr="00AA1093">
        <w:rPr>
          <w:rFonts w:cstheme="minorHAnsi"/>
        </w:rPr>
        <w:t xml:space="preserve">In FY22, 187 visits were from patients who came to BMC from a SNF or LTC at the start of their encounter.   </w:t>
      </w:r>
    </w:p>
    <w:p w14:paraId="2E800B59" w14:textId="77777777" w:rsidR="00E55660" w:rsidRDefault="00E55660" w:rsidP="00F41338">
      <w:pPr>
        <w:pStyle w:val="ListParagraph"/>
        <w:rPr>
          <w:rFonts w:cstheme="minorHAnsi"/>
        </w:rPr>
      </w:pPr>
    </w:p>
    <w:p w14:paraId="01400FDB" w14:textId="77777777" w:rsidR="00142C32" w:rsidRPr="00AA1093" w:rsidRDefault="00473A63" w:rsidP="00755257">
      <w:pPr>
        <w:pStyle w:val="ListParagraph"/>
        <w:numPr>
          <w:ilvl w:val="0"/>
          <w:numId w:val="16"/>
        </w:numPr>
        <w:rPr>
          <w:rFonts w:cstheme="minorHAnsi"/>
          <w:b/>
        </w:rPr>
      </w:pPr>
      <w:r w:rsidRPr="00AA1093">
        <w:rPr>
          <w:rFonts w:cstheme="minorHAnsi"/>
          <w:b/>
        </w:rPr>
        <w:t>The Department held a virtual public hearing on October 25</w:t>
      </w:r>
      <w:r w:rsidRPr="00AA1093">
        <w:rPr>
          <w:rFonts w:cstheme="minorHAnsi"/>
          <w:b/>
          <w:vertAlign w:val="superscript"/>
        </w:rPr>
        <w:t>th</w:t>
      </w:r>
      <w:r w:rsidRPr="00AA1093">
        <w:rPr>
          <w:rFonts w:cstheme="minorHAnsi"/>
          <w:b/>
        </w:rPr>
        <w:t xml:space="preserve"> in connection with the Proposed Project. At the </w:t>
      </w:r>
      <w:r w:rsidR="006D40D0" w:rsidRPr="00AA1093">
        <w:rPr>
          <w:rFonts w:cstheme="minorHAnsi"/>
          <w:b/>
        </w:rPr>
        <w:t xml:space="preserve">public </w:t>
      </w:r>
      <w:r w:rsidRPr="00AA1093">
        <w:rPr>
          <w:rFonts w:cstheme="minorHAnsi"/>
          <w:b/>
        </w:rPr>
        <w:t xml:space="preserve">hearing, </w:t>
      </w:r>
      <w:r w:rsidR="00062044" w:rsidRPr="00AA1093">
        <w:rPr>
          <w:rFonts w:cstheme="minorHAnsi"/>
          <w:b/>
        </w:rPr>
        <w:t xml:space="preserve">several commenters expressed </w:t>
      </w:r>
      <w:r w:rsidRPr="00AA1093">
        <w:rPr>
          <w:rFonts w:cstheme="minorHAnsi"/>
          <w:b/>
        </w:rPr>
        <w:t xml:space="preserve">concern about the </w:t>
      </w:r>
      <w:r w:rsidR="00327809" w:rsidRPr="00AA1093">
        <w:rPr>
          <w:rFonts w:cstheme="minorHAnsi"/>
          <w:b/>
        </w:rPr>
        <w:t xml:space="preserve">number of swing beds </w:t>
      </w:r>
      <w:r w:rsidR="00EE38DC" w:rsidRPr="00AA1093">
        <w:rPr>
          <w:rFonts w:cstheme="minorHAnsi"/>
          <w:b/>
        </w:rPr>
        <w:t xml:space="preserve">that will be certified for use </w:t>
      </w:r>
      <w:r w:rsidR="00327809" w:rsidRPr="00AA1093">
        <w:rPr>
          <w:rFonts w:cstheme="minorHAnsi"/>
          <w:b/>
        </w:rPr>
        <w:t xml:space="preserve">at the </w:t>
      </w:r>
      <w:r w:rsidR="00062044" w:rsidRPr="00AA1093">
        <w:rPr>
          <w:rFonts w:cstheme="minorHAnsi"/>
          <w:b/>
        </w:rPr>
        <w:t xml:space="preserve">proposed </w:t>
      </w:r>
      <w:r w:rsidR="00327809" w:rsidRPr="00AA1093">
        <w:rPr>
          <w:rFonts w:cstheme="minorHAnsi"/>
          <w:b/>
        </w:rPr>
        <w:t xml:space="preserve">facility. </w:t>
      </w:r>
      <w:r w:rsidR="00FE3C0F" w:rsidRPr="00AA1093">
        <w:rPr>
          <w:rFonts w:cstheme="minorHAnsi"/>
          <w:b/>
        </w:rPr>
        <w:t>The application states that the proposed facility will have 18 licensed M/S beds, which will also be certified for use as swing beds for sub-acute care.</w:t>
      </w:r>
      <w:r w:rsidR="004C515A" w:rsidRPr="00AA1093">
        <w:rPr>
          <w:rFonts w:cstheme="minorHAnsi"/>
          <w:b/>
        </w:rPr>
        <w:t xml:space="preserve"> </w:t>
      </w:r>
    </w:p>
    <w:p w14:paraId="32E82C20" w14:textId="2D3DE6E6" w:rsidR="00DD7B4E" w:rsidRPr="00AA1093" w:rsidRDefault="004C515A" w:rsidP="00AA1093">
      <w:pPr>
        <w:pStyle w:val="ListParagraph"/>
        <w:numPr>
          <w:ilvl w:val="1"/>
          <w:numId w:val="16"/>
        </w:numPr>
        <w:rPr>
          <w:rFonts w:cstheme="minorHAnsi"/>
          <w:b/>
        </w:rPr>
      </w:pPr>
      <w:r w:rsidRPr="00AA1093">
        <w:rPr>
          <w:rFonts w:cstheme="minorHAnsi"/>
          <w:b/>
        </w:rPr>
        <w:t xml:space="preserve">To better understand the </w:t>
      </w:r>
      <w:r w:rsidR="00F263E5" w:rsidRPr="00AA1093">
        <w:rPr>
          <w:rFonts w:cstheme="minorHAnsi"/>
          <w:b/>
        </w:rPr>
        <w:t xml:space="preserve">anticipated </w:t>
      </w:r>
      <w:r w:rsidRPr="00AA1093">
        <w:rPr>
          <w:rFonts w:cstheme="minorHAnsi"/>
          <w:b/>
        </w:rPr>
        <w:t xml:space="preserve">use of </w:t>
      </w:r>
      <w:r w:rsidR="00F263E5" w:rsidRPr="00AA1093">
        <w:rPr>
          <w:rFonts w:cstheme="minorHAnsi"/>
          <w:b/>
        </w:rPr>
        <w:t xml:space="preserve">the proposed </w:t>
      </w:r>
      <w:r w:rsidRPr="00AA1093">
        <w:rPr>
          <w:rFonts w:cstheme="minorHAnsi"/>
          <w:b/>
        </w:rPr>
        <w:t>swing beds,</w:t>
      </w:r>
      <w:r w:rsidR="00FE3C0F" w:rsidRPr="00AA1093">
        <w:rPr>
          <w:rFonts w:cstheme="minorHAnsi"/>
          <w:b/>
        </w:rPr>
        <w:t xml:space="preserve"> </w:t>
      </w:r>
      <w:r w:rsidRPr="00AA1093">
        <w:rPr>
          <w:rFonts w:cstheme="minorHAnsi"/>
          <w:b/>
        </w:rPr>
        <w:t xml:space="preserve">provide the number of </w:t>
      </w:r>
      <w:r w:rsidR="00FE3C0F" w:rsidRPr="00AA1093">
        <w:rPr>
          <w:rFonts w:cstheme="minorHAnsi"/>
          <w:b/>
        </w:rPr>
        <w:t xml:space="preserve">beds </w:t>
      </w:r>
      <w:r w:rsidRPr="00AA1093">
        <w:rPr>
          <w:rFonts w:cstheme="minorHAnsi"/>
          <w:b/>
        </w:rPr>
        <w:t xml:space="preserve">that </w:t>
      </w:r>
      <w:r w:rsidR="00FE3C0F" w:rsidRPr="00AA1093">
        <w:rPr>
          <w:rFonts w:cstheme="minorHAnsi"/>
          <w:b/>
        </w:rPr>
        <w:t xml:space="preserve">will be certified for use as swing beds, whether the number </w:t>
      </w:r>
      <w:r w:rsidRPr="00AA1093">
        <w:rPr>
          <w:rFonts w:cstheme="minorHAnsi"/>
          <w:b/>
        </w:rPr>
        <w:t xml:space="preserve">of </w:t>
      </w:r>
      <w:r w:rsidR="00FE3C0F" w:rsidRPr="00AA1093">
        <w:rPr>
          <w:rFonts w:cstheme="minorHAnsi"/>
          <w:b/>
        </w:rPr>
        <w:t xml:space="preserve">swing beds will fluctuate and if so, what criteria will be used to assess how many swing beds will be available. </w:t>
      </w:r>
    </w:p>
    <w:p w14:paraId="5EBF5FC2" w14:textId="3B673045" w:rsidR="00AA1093" w:rsidRDefault="00AA1093" w:rsidP="00B77C75">
      <w:pPr>
        <w:jc w:val="both"/>
      </w:pPr>
      <w:r w:rsidRPr="00AA1093">
        <w:rPr>
          <w:rFonts w:cstheme="minorHAnsi"/>
          <w:u w:val="single"/>
        </w:rPr>
        <w:t>Response</w:t>
      </w:r>
      <w:r w:rsidRPr="00AA1093">
        <w:rPr>
          <w:rFonts w:cstheme="minorHAnsi"/>
        </w:rPr>
        <w:t xml:space="preserve">:  </w:t>
      </w:r>
      <w:r w:rsidRPr="00AA1093">
        <w:t xml:space="preserve">All 18 beds at the proposed project will be licensed and certified as hospital beds.  Consistent with Medicare’s Critical Access Hospital </w:t>
      </w:r>
      <w:proofErr w:type="gramStart"/>
      <w:r w:rsidRPr="00AA1093">
        <w:t>requirements</w:t>
      </w:r>
      <w:proofErr w:type="gramEnd"/>
      <w:r w:rsidRPr="00AA1093">
        <w:t xml:space="preserve"> a CAH may use hospital beds to meet </w:t>
      </w:r>
      <w:r w:rsidR="00623F11">
        <w:t xml:space="preserve">their care </w:t>
      </w:r>
      <w:r w:rsidRPr="00AA1093">
        <w:t xml:space="preserve">needs of patients who no longer need acute care but who continue to need care at the sub-acute level.  </w:t>
      </w:r>
      <w:r w:rsidR="00035B8A">
        <w:t xml:space="preserve">It is important that all beds </w:t>
      </w:r>
      <w:proofErr w:type="gramStart"/>
      <w:r w:rsidR="00035B8A">
        <w:t>are able to</w:t>
      </w:r>
      <w:proofErr w:type="gramEnd"/>
      <w:r w:rsidR="00035B8A">
        <w:t xml:space="preserve"> have a “swing bed” approval as p</w:t>
      </w:r>
      <w:r w:rsidRPr="00AA1093">
        <w:t xml:space="preserve">atients are not transferred to a different bed to receive subacute care but continue in the same bed.  There is no change in the certification of the bed when occupied by a” swing” patient.  As stated specifically in Appendix W in the </w:t>
      </w:r>
      <w:r w:rsidRPr="00AA1093">
        <w:lastRenderedPageBreak/>
        <w:t>CMS State Operations Manual, Section 485.645, a “swing bed” is a change in reimbursement status and not in certification.</w:t>
      </w:r>
    </w:p>
    <w:p w14:paraId="43D9A467" w14:textId="5B1BD946" w:rsidR="00AA1093" w:rsidRDefault="00AA1093" w:rsidP="00B77C75">
      <w:pPr>
        <w:jc w:val="both"/>
        <w:rPr>
          <w:b/>
        </w:rPr>
      </w:pPr>
      <w:r w:rsidRPr="00AA1093">
        <w:t>Federal approval allows the use of hospital beds to provide acute services or SNF care as needed without the need to seek separate certification.  It is up to CMS to approve a Critical Access Hospital</w:t>
      </w:r>
      <w:r w:rsidRPr="00AA1093">
        <w:rPr>
          <w:b/>
        </w:rPr>
        <w:t xml:space="preserve"> </w:t>
      </w:r>
      <w:r w:rsidRPr="00AA1093">
        <w:t xml:space="preserve">request to furnish swing bed services.  Although SNF certification is not required, eligibility for approval depends on, among other things, substantial compliance with SNF participation requirements under §485.645(d)(1–8), (including resident rights; admission, transfer, and discharge rights; freedom from abuse, neglect, and exploitation; social services; comprehensive assessment, comprehensive care plan, and discharge planning; specialized rehabilitative services; dental services; and nutrition) and the Critical Access Hospital specific swing bed requirements under the SNF regulations at §483. </w:t>
      </w:r>
      <w:r w:rsidRPr="00AA1093">
        <w:rPr>
          <w:b/>
        </w:rPr>
        <w:t xml:space="preserve">  </w:t>
      </w:r>
    </w:p>
    <w:p w14:paraId="0FF19E35" w14:textId="77777777" w:rsidR="00551BF9" w:rsidRPr="00AA1093" w:rsidRDefault="005B3DAD" w:rsidP="00167CC3">
      <w:pPr>
        <w:pStyle w:val="ListParagraph"/>
        <w:numPr>
          <w:ilvl w:val="0"/>
          <w:numId w:val="16"/>
        </w:numPr>
        <w:rPr>
          <w:rFonts w:cstheme="minorHAnsi"/>
          <w:b/>
        </w:rPr>
      </w:pPr>
      <w:r w:rsidRPr="00AA1093">
        <w:rPr>
          <w:rFonts w:cstheme="minorHAnsi"/>
          <w:b/>
        </w:rPr>
        <w:t>The application states BHS has observed that patients in North County tend to defer or avoid care due to lack of transportation (and financial resources) and/or available social supports</w:t>
      </w:r>
      <w:r w:rsidR="0070285B" w:rsidRPr="00AA1093">
        <w:rPr>
          <w:rFonts w:cstheme="minorHAnsi"/>
          <w:b/>
        </w:rPr>
        <w:t xml:space="preserve">, and </w:t>
      </w:r>
      <w:r w:rsidR="00167CC3" w:rsidRPr="00AA1093">
        <w:rPr>
          <w:rFonts w:cstheme="minorHAnsi"/>
          <w:b/>
        </w:rPr>
        <w:t>that i</w:t>
      </w:r>
      <w:r w:rsidRPr="00AA1093">
        <w:rPr>
          <w:rFonts w:cstheme="minorHAnsi"/>
          <w:b/>
        </w:rPr>
        <w:t>t is apparent to BHS that the number of diagnostic and therapeutic procedures performed on patients from North County are lower than would be expected based on patient numbers</w:t>
      </w:r>
      <w:r w:rsidR="0066476A" w:rsidRPr="00AA1093">
        <w:rPr>
          <w:rFonts w:cstheme="minorHAnsi"/>
          <w:b/>
        </w:rPr>
        <w:t xml:space="preserve"> (pg.3 Narrative)</w:t>
      </w:r>
      <w:r w:rsidRPr="00AA1093">
        <w:rPr>
          <w:rFonts w:cstheme="minorHAnsi"/>
          <w:b/>
        </w:rPr>
        <w:t xml:space="preserve">. </w:t>
      </w:r>
    </w:p>
    <w:p w14:paraId="434F1987" w14:textId="77777777" w:rsidR="006A0C2C" w:rsidRPr="00AA1093" w:rsidRDefault="0070285B" w:rsidP="001F311C">
      <w:pPr>
        <w:pStyle w:val="ListParagraph"/>
        <w:numPr>
          <w:ilvl w:val="1"/>
          <w:numId w:val="16"/>
        </w:numPr>
        <w:rPr>
          <w:rFonts w:cstheme="minorHAnsi"/>
          <w:b/>
        </w:rPr>
      </w:pPr>
      <w:r w:rsidRPr="00AA1093">
        <w:rPr>
          <w:rFonts w:cstheme="minorHAnsi"/>
          <w:b/>
        </w:rPr>
        <w:t>Please provide data</w:t>
      </w:r>
      <w:r w:rsidR="00167CC3" w:rsidRPr="00AA1093">
        <w:rPr>
          <w:rFonts w:cstheme="minorHAnsi"/>
          <w:b/>
        </w:rPr>
        <w:t xml:space="preserve"> or evidence</w:t>
      </w:r>
      <w:r w:rsidRPr="00AA1093">
        <w:rPr>
          <w:rFonts w:cstheme="minorHAnsi"/>
          <w:b/>
        </w:rPr>
        <w:t xml:space="preserve"> showing that </w:t>
      </w:r>
      <w:r w:rsidR="00167CC3" w:rsidRPr="00AA1093">
        <w:rPr>
          <w:rFonts w:cstheme="minorHAnsi"/>
          <w:b/>
        </w:rPr>
        <w:t xml:space="preserve">patients in North County are </w:t>
      </w:r>
      <w:r w:rsidRPr="00AA1093">
        <w:rPr>
          <w:rFonts w:cstheme="minorHAnsi"/>
          <w:b/>
        </w:rPr>
        <w:t>postpon</w:t>
      </w:r>
      <w:r w:rsidR="00167CC3" w:rsidRPr="00AA1093">
        <w:rPr>
          <w:rFonts w:cstheme="minorHAnsi"/>
          <w:b/>
        </w:rPr>
        <w:t>ing</w:t>
      </w:r>
      <w:r w:rsidRPr="00AA1093">
        <w:rPr>
          <w:rFonts w:cstheme="minorHAnsi"/>
          <w:b/>
        </w:rPr>
        <w:t xml:space="preserve"> or delay</w:t>
      </w:r>
      <w:r w:rsidR="00167CC3" w:rsidRPr="00AA1093">
        <w:rPr>
          <w:rFonts w:cstheme="minorHAnsi"/>
          <w:b/>
        </w:rPr>
        <w:t>ing care</w:t>
      </w:r>
      <w:r w:rsidRPr="00AA1093">
        <w:rPr>
          <w:rFonts w:cstheme="minorHAnsi"/>
          <w:b/>
        </w:rPr>
        <w:t xml:space="preserve">. </w:t>
      </w:r>
      <w:r w:rsidR="00E55660" w:rsidRPr="00AA1093">
        <w:rPr>
          <w:rFonts w:cstheme="minorHAnsi"/>
          <w:b/>
        </w:rPr>
        <w:t xml:space="preserve">  </w:t>
      </w:r>
    </w:p>
    <w:p w14:paraId="45A7BA11" w14:textId="67383A85" w:rsidR="00E55660" w:rsidRDefault="00AA1093" w:rsidP="00035B8A">
      <w:pPr>
        <w:jc w:val="both"/>
        <w:rPr>
          <w:rFonts w:cstheme="minorHAnsi"/>
        </w:rPr>
      </w:pPr>
      <w:r w:rsidRPr="00AA1093">
        <w:rPr>
          <w:rFonts w:cstheme="minorHAnsi"/>
          <w:u w:val="single"/>
        </w:rPr>
        <w:t>Response</w:t>
      </w:r>
      <w:r w:rsidRPr="00AA1093">
        <w:rPr>
          <w:rFonts w:cstheme="minorHAnsi"/>
        </w:rPr>
        <w:t xml:space="preserve">:  </w:t>
      </w:r>
      <w:r w:rsidR="00E55660" w:rsidRPr="00AA1093">
        <w:rPr>
          <w:rFonts w:cstheme="minorHAnsi"/>
        </w:rPr>
        <w:t>In addition to comments</w:t>
      </w:r>
      <w:r w:rsidR="006A0C2C" w:rsidRPr="00AA1093">
        <w:rPr>
          <w:rFonts w:cstheme="minorHAnsi"/>
        </w:rPr>
        <w:t xml:space="preserve"> the Applicant has received</w:t>
      </w:r>
      <w:r w:rsidR="00E55660" w:rsidRPr="00AA1093">
        <w:rPr>
          <w:rFonts w:cstheme="minorHAnsi"/>
        </w:rPr>
        <w:t xml:space="preserve"> from the North Adams community</w:t>
      </w:r>
      <w:r w:rsidR="006A0C2C" w:rsidRPr="00AA1093">
        <w:rPr>
          <w:rFonts w:cstheme="minorHAnsi"/>
        </w:rPr>
        <w:t xml:space="preserve"> about delays in care because of the challenges with getting to BMC,</w:t>
      </w:r>
      <w:r w:rsidR="005B6DF5" w:rsidRPr="00AA1093">
        <w:rPr>
          <w:rFonts w:cstheme="minorHAnsi"/>
        </w:rPr>
        <w:t xml:space="preserve"> the utilization data and increased case mix</w:t>
      </w:r>
      <w:r w:rsidR="008D42F9">
        <w:rPr>
          <w:rFonts w:cstheme="minorHAnsi"/>
        </w:rPr>
        <w:t xml:space="preserve"> index</w:t>
      </w:r>
      <w:r w:rsidR="005B6DF5" w:rsidRPr="00AA1093">
        <w:rPr>
          <w:rFonts w:cstheme="minorHAnsi"/>
        </w:rPr>
        <w:t xml:space="preserve"> for North County patients indicates that North County patients are more acute</w:t>
      </w:r>
      <w:r w:rsidR="005E7CE5">
        <w:rPr>
          <w:rFonts w:cstheme="minorHAnsi"/>
        </w:rPr>
        <w:t>ly ill</w:t>
      </w:r>
      <w:r w:rsidR="005B6DF5" w:rsidRPr="00AA1093">
        <w:rPr>
          <w:rFonts w:cstheme="minorHAnsi"/>
        </w:rPr>
        <w:t xml:space="preserve"> then previously.   For example, there was a 120% increase in surgical visits for North County </w:t>
      </w:r>
      <w:r w:rsidR="005E7CE5">
        <w:rPr>
          <w:rFonts w:cstheme="minorHAnsi"/>
        </w:rPr>
        <w:t xml:space="preserve">residents </w:t>
      </w:r>
      <w:r w:rsidR="005B6DF5" w:rsidRPr="00AA1093">
        <w:rPr>
          <w:rFonts w:cstheme="minorHAnsi"/>
        </w:rPr>
        <w:t xml:space="preserve">compared </w:t>
      </w:r>
      <w:r w:rsidR="005E7CE5">
        <w:rPr>
          <w:rFonts w:cstheme="minorHAnsi"/>
        </w:rPr>
        <w:t>to</w:t>
      </w:r>
      <w:r w:rsidR="005B6DF5" w:rsidRPr="00AA1093">
        <w:rPr>
          <w:rFonts w:cstheme="minorHAnsi"/>
        </w:rPr>
        <w:t xml:space="preserve"> 79% in the rest of the BHS Patient Panel.   </w:t>
      </w:r>
      <w:r w:rsidR="00E55660" w:rsidRPr="00AA1093">
        <w:rPr>
          <w:rFonts w:cstheme="minorHAnsi"/>
        </w:rPr>
        <w:t xml:space="preserve">One </w:t>
      </w:r>
      <w:r w:rsidR="006A0C2C" w:rsidRPr="00AA1093">
        <w:rPr>
          <w:rFonts w:cstheme="minorHAnsi"/>
        </w:rPr>
        <w:t xml:space="preserve">could reasonably conclude that delays in care are one </w:t>
      </w:r>
      <w:r w:rsidR="00E55660" w:rsidRPr="00AA1093">
        <w:rPr>
          <w:rFonts w:cstheme="minorHAnsi"/>
        </w:rPr>
        <w:t xml:space="preserve">reason </w:t>
      </w:r>
      <w:r w:rsidR="006A0C2C" w:rsidRPr="00AA1093">
        <w:rPr>
          <w:rFonts w:cstheme="minorHAnsi"/>
        </w:rPr>
        <w:t>for this increase</w:t>
      </w:r>
      <w:r w:rsidR="00E55660" w:rsidRPr="00AA1093">
        <w:rPr>
          <w:rFonts w:cstheme="minorHAnsi"/>
        </w:rPr>
        <w:t>.</w:t>
      </w:r>
    </w:p>
    <w:p w14:paraId="4E99F95D" w14:textId="77777777" w:rsidR="00EA223E" w:rsidRPr="00AA1093" w:rsidRDefault="009834D6" w:rsidP="00DB07A3">
      <w:pPr>
        <w:pStyle w:val="ListParagraph"/>
        <w:numPr>
          <w:ilvl w:val="0"/>
          <w:numId w:val="16"/>
        </w:numPr>
        <w:rPr>
          <w:rFonts w:cstheme="minorHAnsi"/>
          <w:b/>
        </w:rPr>
      </w:pPr>
      <w:r w:rsidRPr="00AA1093">
        <w:rPr>
          <w:rFonts w:cstheme="minorHAnsi"/>
          <w:b/>
        </w:rPr>
        <w:t xml:space="preserve">The application provides the ALOS for </w:t>
      </w:r>
      <w:r w:rsidR="001E2E1B" w:rsidRPr="00AA1093">
        <w:rPr>
          <w:rFonts w:cstheme="minorHAnsi"/>
          <w:b/>
        </w:rPr>
        <w:t xml:space="preserve">the BMC Acute Care Patients North County Patient Population and notes that </w:t>
      </w:r>
      <w:r w:rsidR="001B51FF" w:rsidRPr="00AA1093">
        <w:rPr>
          <w:rFonts w:cstheme="minorHAnsi"/>
          <w:b/>
        </w:rPr>
        <w:t>al</w:t>
      </w:r>
      <w:r w:rsidR="00DB07A3" w:rsidRPr="00AA1093">
        <w:rPr>
          <w:rFonts w:cstheme="minorHAnsi"/>
          <w:b/>
        </w:rPr>
        <w:t xml:space="preserve">though Inpatient LOS is over 4 days </w:t>
      </w:r>
      <w:r w:rsidR="003C590D" w:rsidRPr="00AA1093">
        <w:rPr>
          <w:rFonts w:cstheme="minorHAnsi"/>
          <w:b/>
        </w:rPr>
        <w:t>there are patients in this group that would not have been eligible for</w:t>
      </w:r>
      <w:r w:rsidR="00DB07A3" w:rsidRPr="00AA1093">
        <w:rPr>
          <w:rFonts w:cstheme="minorHAnsi"/>
          <w:b/>
        </w:rPr>
        <w:t xml:space="preserve"> </w:t>
      </w:r>
      <w:r w:rsidR="003C590D" w:rsidRPr="00AA1093">
        <w:rPr>
          <w:rFonts w:cstheme="minorHAnsi"/>
          <w:b/>
        </w:rPr>
        <w:t>hospitalization at North Adams due to the severity of their illness and expectations of a greater than 96-hour length of stay</w:t>
      </w:r>
      <w:r w:rsidR="00F417D4" w:rsidRPr="00AA1093">
        <w:rPr>
          <w:rFonts w:cstheme="minorHAnsi"/>
          <w:b/>
        </w:rPr>
        <w:t xml:space="preserve"> (Appendix II</w:t>
      </w:r>
      <w:r w:rsidR="00257231" w:rsidRPr="00AA1093">
        <w:rPr>
          <w:rFonts w:cstheme="minorHAnsi"/>
          <w:b/>
        </w:rPr>
        <w:t>.</w:t>
      </w:r>
      <w:r w:rsidR="00F417D4" w:rsidRPr="00AA1093">
        <w:rPr>
          <w:rFonts w:cstheme="minorHAnsi"/>
          <w:b/>
        </w:rPr>
        <w:t>H).</w:t>
      </w:r>
    </w:p>
    <w:p w14:paraId="040040CD" w14:textId="77777777" w:rsidR="006A0C2C" w:rsidRPr="00AA1093" w:rsidRDefault="008B131D" w:rsidP="00EA223E">
      <w:pPr>
        <w:pStyle w:val="ListParagraph"/>
        <w:numPr>
          <w:ilvl w:val="1"/>
          <w:numId w:val="16"/>
        </w:numPr>
        <w:rPr>
          <w:rFonts w:cstheme="minorHAnsi"/>
          <w:b/>
        </w:rPr>
      </w:pPr>
      <w:r w:rsidRPr="00AA1093">
        <w:rPr>
          <w:rFonts w:cstheme="minorHAnsi"/>
          <w:b/>
        </w:rPr>
        <w:t>In FY22, h</w:t>
      </w:r>
      <w:r w:rsidR="00F417D4" w:rsidRPr="00AA1093">
        <w:rPr>
          <w:rFonts w:cstheme="minorHAnsi"/>
          <w:b/>
        </w:rPr>
        <w:t>ow many</w:t>
      </w:r>
      <w:r w:rsidR="00EA223E" w:rsidRPr="00AA1093">
        <w:rPr>
          <w:rFonts w:cstheme="minorHAnsi"/>
          <w:b/>
        </w:rPr>
        <w:t xml:space="preserve"> </w:t>
      </w:r>
      <w:r w:rsidR="007E6E7B" w:rsidRPr="00AA1093">
        <w:rPr>
          <w:rFonts w:cstheme="minorHAnsi"/>
          <w:b/>
        </w:rPr>
        <w:t xml:space="preserve">of the </w:t>
      </w:r>
      <w:r w:rsidR="00F417D4" w:rsidRPr="00AA1093">
        <w:rPr>
          <w:rFonts w:cstheme="minorHAnsi"/>
          <w:b/>
        </w:rPr>
        <w:t xml:space="preserve">patients would have been </w:t>
      </w:r>
      <w:r w:rsidR="00D50A74" w:rsidRPr="00AA1093">
        <w:rPr>
          <w:rFonts w:cstheme="minorHAnsi"/>
          <w:b/>
        </w:rPr>
        <w:t>in</w:t>
      </w:r>
      <w:r w:rsidR="00F417D4" w:rsidRPr="00AA1093">
        <w:rPr>
          <w:rFonts w:cstheme="minorHAnsi"/>
          <w:b/>
        </w:rPr>
        <w:t>eligible for hospitalization at North Adams due to the severity of illness?</w:t>
      </w:r>
      <w:r w:rsidR="006A0C2C" w:rsidRPr="00AA1093">
        <w:rPr>
          <w:rFonts w:cstheme="minorHAnsi"/>
          <w:b/>
        </w:rPr>
        <w:t xml:space="preserve">  </w:t>
      </w:r>
    </w:p>
    <w:p w14:paraId="18C2AE0D" w14:textId="0199AC26" w:rsidR="0070285B" w:rsidRPr="00AA1093" w:rsidRDefault="00AA1093" w:rsidP="00035B8A">
      <w:pPr>
        <w:jc w:val="both"/>
        <w:rPr>
          <w:rFonts w:cstheme="minorHAnsi"/>
        </w:rPr>
      </w:pPr>
      <w:r w:rsidRPr="00AA1093">
        <w:rPr>
          <w:rFonts w:cstheme="minorHAnsi"/>
          <w:u w:val="single"/>
        </w:rPr>
        <w:t>Response</w:t>
      </w:r>
      <w:r w:rsidRPr="00AA1093">
        <w:rPr>
          <w:rFonts w:cstheme="minorHAnsi"/>
        </w:rPr>
        <w:t xml:space="preserve">:  </w:t>
      </w:r>
      <w:r w:rsidR="005B6DF5" w:rsidRPr="00AA1093">
        <w:rPr>
          <w:rFonts w:cstheme="minorHAnsi"/>
        </w:rPr>
        <w:t>The BMC</w:t>
      </w:r>
      <w:r w:rsidR="00CC0951" w:rsidRPr="00AA1093">
        <w:rPr>
          <w:rFonts w:cstheme="minorHAnsi"/>
        </w:rPr>
        <w:t xml:space="preserve"> Acute Care</w:t>
      </w:r>
      <w:r w:rsidR="005B6DF5" w:rsidRPr="00AA1093">
        <w:rPr>
          <w:rFonts w:cstheme="minorHAnsi"/>
        </w:rPr>
        <w:t xml:space="preserve"> North County patient population </w:t>
      </w:r>
      <w:r w:rsidR="00CC0951" w:rsidRPr="00AA1093">
        <w:rPr>
          <w:rFonts w:cstheme="minorHAnsi"/>
        </w:rPr>
        <w:t>r</w:t>
      </w:r>
      <w:r w:rsidR="005B6DF5" w:rsidRPr="00AA1093">
        <w:rPr>
          <w:rFonts w:cstheme="minorHAnsi"/>
        </w:rPr>
        <w:t>epresent</w:t>
      </w:r>
      <w:r w:rsidR="00CC0951" w:rsidRPr="00AA1093">
        <w:rPr>
          <w:rFonts w:cstheme="minorHAnsi"/>
        </w:rPr>
        <w:t>s</w:t>
      </w:r>
      <w:r w:rsidR="005B6DF5" w:rsidRPr="00AA1093">
        <w:rPr>
          <w:rFonts w:cstheme="minorHAnsi"/>
        </w:rPr>
        <w:t xml:space="preserve"> the patient population that will utilize </w:t>
      </w:r>
      <w:r w:rsidR="00CC0951" w:rsidRPr="00AA1093">
        <w:rPr>
          <w:rFonts w:cstheme="minorHAnsi"/>
        </w:rPr>
        <w:t>impatient and observations</w:t>
      </w:r>
      <w:r w:rsidR="005B6DF5" w:rsidRPr="00AA1093">
        <w:rPr>
          <w:rFonts w:cstheme="minorHAnsi"/>
        </w:rPr>
        <w:t xml:space="preserve"> services in North Adams and does not include North County patients </w:t>
      </w:r>
      <w:r w:rsidR="00CC0951" w:rsidRPr="00AA1093">
        <w:rPr>
          <w:rFonts w:cstheme="minorHAnsi"/>
        </w:rPr>
        <w:t>who received services in BMC’s</w:t>
      </w:r>
      <w:r w:rsidR="005B6DF5" w:rsidRPr="00AA1093">
        <w:rPr>
          <w:rFonts w:cstheme="minorHAnsi"/>
        </w:rPr>
        <w:t xml:space="preserve"> ICU</w:t>
      </w:r>
      <w:r w:rsidR="00CC0951" w:rsidRPr="00AA1093">
        <w:rPr>
          <w:rFonts w:cstheme="minorHAnsi"/>
        </w:rPr>
        <w:t xml:space="preserve"> </w:t>
      </w:r>
      <w:r w:rsidR="005B6DF5" w:rsidRPr="00AA1093">
        <w:rPr>
          <w:rFonts w:cstheme="minorHAnsi"/>
        </w:rPr>
        <w:t xml:space="preserve">Progressive Care Unit or behavioral health patients.     </w:t>
      </w:r>
      <w:r w:rsidR="00CC0951" w:rsidRPr="00AA1093">
        <w:rPr>
          <w:rFonts w:cstheme="minorHAnsi"/>
        </w:rPr>
        <w:t xml:space="preserve">As a result, most if not </w:t>
      </w:r>
      <w:proofErr w:type="gramStart"/>
      <w:r w:rsidR="00CC0951" w:rsidRPr="00AA1093">
        <w:rPr>
          <w:rFonts w:cstheme="minorHAnsi"/>
        </w:rPr>
        <w:t>all of</w:t>
      </w:r>
      <w:proofErr w:type="gramEnd"/>
      <w:r w:rsidR="00CC0951" w:rsidRPr="00AA1093">
        <w:rPr>
          <w:rFonts w:cstheme="minorHAnsi"/>
        </w:rPr>
        <w:t xml:space="preserve"> the BMC Acute Care North County patient population should be </w:t>
      </w:r>
      <w:r w:rsidR="006A0C2C" w:rsidRPr="00AA1093">
        <w:rPr>
          <w:rFonts w:cstheme="minorHAnsi"/>
        </w:rPr>
        <w:t xml:space="preserve">eligible for hospitalization at North Adams.  Medicare rules for CAHs provide that the annual average patient length of stay over the course of a federal fiscal year is 96 hours.  This rule does not preclude patients who have shorter or longer stays, provided the annual average stay for the CAH is 96 hours.  Additionally, </w:t>
      </w:r>
      <w:r w:rsidR="00CC0951" w:rsidRPr="00AA1093">
        <w:rPr>
          <w:rFonts w:cstheme="minorHAnsi"/>
        </w:rPr>
        <w:t>certain patients</w:t>
      </w:r>
      <w:r w:rsidR="005E7CE5">
        <w:rPr>
          <w:rFonts w:cstheme="minorHAnsi"/>
        </w:rPr>
        <w:t xml:space="preserve"> within the</w:t>
      </w:r>
      <w:r w:rsidR="00CC0951" w:rsidRPr="00AA1093">
        <w:rPr>
          <w:rFonts w:cstheme="minorHAnsi"/>
        </w:rPr>
        <w:t xml:space="preserve"> BMC Acute Care North County patient population likely </w:t>
      </w:r>
      <w:r w:rsidR="006A0C2C" w:rsidRPr="00AA1093">
        <w:rPr>
          <w:rFonts w:cstheme="minorHAnsi"/>
        </w:rPr>
        <w:t>had a</w:t>
      </w:r>
      <w:r w:rsidR="005E7CE5">
        <w:rPr>
          <w:rFonts w:cstheme="minorHAnsi"/>
        </w:rPr>
        <w:t>n unnecessary</w:t>
      </w:r>
      <w:r w:rsidR="006A0C2C" w:rsidRPr="00AA1093">
        <w:rPr>
          <w:rFonts w:cstheme="minorHAnsi"/>
        </w:rPr>
        <w:t xml:space="preserve"> stay longer </w:t>
      </w:r>
      <w:r w:rsidR="006A0C2C" w:rsidRPr="00AA1093">
        <w:rPr>
          <w:rFonts w:cstheme="minorHAnsi"/>
        </w:rPr>
        <w:lastRenderedPageBreak/>
        <w:t>than 96 hours because of barriers to discharge to an appropriate post-acute setting.  This is one reason why the swing bed designation is important for CAHs.</w:t>
      </w:r>
    </w:p>
    <w:p w14:paraId="7F9BD753" w14:textId="77777777" w:rsidR="00A93AB7" w:rsidRPr="008D42F9" w:rsidRDefault="00A93AB7" w:rsidP="009E0E59">
      <w:pPr>
        <w:pStyle w:val="ListParagraph"/>
        <w:numPr>
          <w:ilvl w:val="0"/>
          <w:numId w:val="16"/>
        </w:numPr>
        <w:rPr>
          <w:rFonts w:cstheme="minorHAnsi"/>
          <w:b/>
        </w:rPr>
      </w:pPr>
      <w:r w:rsidRPr="008D42F9">
        <w:rPr>
          <w:rFonts w:cstheme="minorHAnsi"/>
          <w:b/>
        </w:rPr>
        <w:t xml:space="preserve">The application states that </w:t>
      </w:r>
      <w:r w:rsidR="0099148B" w:rsidRPr="008D42F9">
        <w:rPr>
          <w:rFonts w:cstheme="minorHAnsi"/>
          <w:b/>
        </w:rPr>
        <w:t>NARH’s surgical and endoscopy procedures will also operate efficiently with 4 mixed inpatient/outpatient operating rooms (comprised of</w:t>
      </w:r>
      <w:r w:rsidR="009E0E59" w:rsidRPr="008D42F9">
        <w:rPr>
          <w:rFonts w:cstheme="minorHAnsi"/>
          <w:b/>
        </w:rPr>
        <w:t xml:space="preserve"> existing open and closed operating and endoscopy rooms from the prior hospital and current satellite facility). The staff will be able to use the rooms for all types of </w:t>
      </w:r>
      <w:proofErr w:type="gramStart"/>
      <w:r w:rsidR="009E0E59" w:rsidRPr="008D42F9">
        <w:rPr>
          <w:rFonts w:cstheme="minorHAnsi"/>
          <w:b/>
        </w:rPr>
        <w:t>procedures</w:t>
      </w:r>
      <w:proofErr w:type="gramEnd"/>
      <w:r w:rsidR="009E0E59" w:rsidRPr="008D42F9">
        <w:rPr>
          <w:rFonts w:cstheme="minorHAnsi"/>
          <w:b/>
        </w:rPr>
        <w:t xml:space="preserve"> which reduces wait times and will be able to meet all surgical and endoscopy needs without having two separate teams (Narrative pg. 13). </w:t>
      </w:r>
    </w:p>
    <w:p w14:paraId="18A08A9C" w14:textId="77777777" w:rsidR="009E0E59" w:rsidRPr="008D42F9" w:rsidRDefault="00CC6C2C" w:rsidP="009E0E59">
      <w:pPr>
        <w:pStyle w:val="ListParagraph"/>
        <w:numPr>
          <w:ilvl w:val="1"/>
          <w:numId w:val="16"/>
        </w:numPr>
        <w:rPr>
          <w:rFonts w:cstheme="minorHAnsi"/>
          <w:b/>
        </w:rPr>
      </w:pPr>
      <w:r w:rsidRPr="008D42F9">
        <w:rPr>
          <w:rFonts w:cstheme="minorHAnsi"/>
          <w:b/>
        </w:rPr>
        <w:t>W</w:t>
      </w:r>
      <w:r w:rsidR="00AC5EC9" w:rsidRPr="008D42F9">
        <w:rPr>
          <w:rFonts w:cstheme="minorHAnsi"/>
          <w:b/>
        </w:rPr>
        <w:t>ill</w:t>
      </w:r>
      <w:r w:rsidR="009E0E59" w:rsidRPr="008D42F9">
        <w:rPr>
          <w:rFonts w:cstheme="minorHAnsi"/>
          <w:b/>
        </w:rPr>
        <w:t xml:space="preserve"> </w:t>
      </w:r>
      <w:r w:rsidR="00466D32" w:rsidRPr="008D42F9">
        <w:rPr>
          <w:rFonts w:cstheme="minorHAnsi"/>
          <w:b/>
        </w:rPr>
        <w:t xml:space="preserve">the plan for </w:t>
      </w:r>
      <w:r w:rsidRPr="008D42F9">
        <w:rPr>
          <w:rFonts w:cstheme="minorHAnsi"/>
          <w:b/>
        </w:rPr>
        <w:t xml:space="preserve">staffing </w:t>
      </w:r>
      <w:r w:rsidR="009E0E59" w:rsidRPr="008D42F9">
        <w:rPr>
          <w:rFonts w:cstheme="minorHAnsi"/>
          <w:b/>
        </w:rPr>
        <w:t xml:space="preserve">the </w:t>
      </w:r>
      <w:r w:rsidR="00AC5EC9" w:rsidRPr="008D42F9">
        <w:rPr>
          <w:rFonts w:cstheme="minorHAnsi"/>
          <w:b/>
        </w:rPr>
        <w:t xml:space="preserve">mixed inpatient/outpatient </w:t>
      </w:r>
      <w:r w:rsidRPr="008D42F9">
        <w:rPr>
          <w:rFonts w:cstheme="minorHAnsi"/>
          <w:b/>
        </w:rPr>
        <w:t xml:space="preserve">ORs be different from the staffing of the existing ORs and </w:t>
      </w:r>
      <w:r w:rsidR="00D1403B" w:rsidRPr="008D42F9">
        <w:rPr>
          <w:rFonts w:cstheme="minorHAnsi"/>
          <w:b/>
        </w:rPr>
        <w:t>p</w:t>
      </w:r>
      <w:r w:rsidRPr="008D42F9">
        <w:rPr>
          <w:rFonts w:cstheme="minorHAnsi"/>
          <w:b/>
        </w:rPr>
        <w:t xml:space="preserve">rocedure </w:t>
      </w:r>
      <w:r w:rsidR="00D1403B" w:rsidRPr="008D42F9">
        <w:rPr>
          <w:rFonts w:cstheme="minorHAnsi"/>
          <w:b/>
        </w:rPr>
        <w:t>r</w:t>
      </w:r>
      <w:r w:rsidRPr="008D42F9">
        <w:rPr>
          <w:rFonts w:cstheme="minorHAnsi"/>
          <w:b/>
        </w:rPr>
        <w:t>ooms</w:t>
      </w:r>
      <w:r w:rsidR="00AC5EC9" w:rsidRPr="008D42F9">
        <w:rPr>
          <w:rFonts w:cstheme="minorHAnsi"/>
          <w:b/>
        </w:rPr>
        <w:t>?</w:t>
      </w:r>
    </w:p>
    <w:p w14:paraId="61F23519" w14:textId="77777777" w:rsidR="00AC5EC9" w:rsidRPr="008D42F9" w:rsidRDefault="00AC5EC9" w:rsidP="00AC5EC9">
      <w:pPr>
        <w:pStyle w:val="ListParagraph"/>
        <w:numPr>
          <w:ilvl w:val="2"/>
          <w:numId w:val="16"/>
        </w:numPr>
        <w:rPr>
          <w:rFonts w:cstheme="minorHAnsi"/>
          <w:b/>
        </w:rPr>
      </w:pPr>
      <w:r w:rsidRPr="008D42F9">
        <w:rPr>
          <w:rFonts w:cstheme="minorHAnsi"/>
          <w:b/>
        </w:rPr>
        <w:t>Will you require additional staff?</w:t>
      </w:r>
    </w:p>
    <w:p w14:paraId="23EBE34A" w14:textId="77777777" w:rsidR="00AC5EC9" w:rsidRPr="008D42F9" w:rsidRDefault="00AC5EC9" w:rsidP="00AC5EC9">
      <w:pPr>
        <w:pStyle w:val="ListParagraph"/>
        <w:numPr>
          <w:ilvl w:val="2"/>
          <w:numId w:val="16"/>
        </w:numPr>
        <w:rPr>
          <w:rFonts w:cstheme="minorHAnsi"/>
          <w:b/>
        </w:rPr>
      </w:pPr>
      <w:r w:rsidRPr="008D42F9">
        <w:rPr>
          <w:rFonts w:cstheme="minorHAnsi"/>
          <w:b/>
        </w:rPr>
        <w:t xml:space="preserve">Will </w:t>
      </w:r>
      <w:r w:rsidR="00E54B13" w:rsidRPr="008D42F9">
        <w:rPr>
          <w:rFonts w:cstheme="minorHAnsi"/>
          <w:b/>
        </w:rPr>
        <w:t xml:space="preserve">the </w:t>
      </w:r>
      <w:r w:rsidRPr="008D42F9">
        <w:rPr>
          <w:rFonts w:cstheme="minorHAnsi"/>
          <w:b/>
        </w:rPr>
        <w:t>staffing model change from the existing ORs and procedure rooms?</w:t>
      </w:r>
    </w:p>
    <w:p w14:paraId="2B7B543E" w14:textId="77777777" w:rsidR="006A0C2C" w:rsidRDefault="006A0C2C" w:rsidP="006A0C2C">
      <w:pPr>
        <w:pStyle w:val="ListParagraph"/>
        <w:rPr>
          <w:rFonts w:cstheme="minorHAnsi"/>
        </w:rPr>
      </w:pPr>
    </w:p>
    <w:p w14:paraId="355B9781" w14:textId="50D239E9" w:rsidR="006A0C2C" w:rsidRPr="008D42F9" w:rsidRDefault="008D42F9" w:rsidP="00035B8A">
      <w:pPr>
        <w:pStyle w:val="ListParagraph"/>
        <w:ind w:left="0"/>
        <w:jc w:val="both"/>
        <w:rPr>
          <w:rFonts w:cstheme="minorHAnsi"/>
        </w:rPr>
      </w:pPr>
      <w:r w:rsidRPr="008D42F9">
        <w:rPr>
          <w:rFonts w:cstheme="minorHAnsi"/>
          <w:u w:val="single"/>
        </w:rPr>
        <w:t>Response</w:t>
      </w:r>
      <w:r w:rsidRPr="008D42F9">
        <w:rPr>
          <w:rFonts w:cstheme="minorHAnsi"/>
        </w:rPr>
        <w:t xml:space="preserve">:  </w:t>
      </w:r>
      <w:r w:rsidR="00693CBB" w:rsidRPr="008D42F9">
        <w:rPr>
          <w:rFonts w:cstheme="minorHAnsi"/>
        </w:rPr>
        <w:t xml:space="preserve">Repurposing the space to have 4 ORs will result in a more efficient staffing model and does not require additional staff.  </w:t>
      </w:r>
      <w:r w:rsidR="006A0C2C" w:rsidRPr="008D42F9">
        <w:rPr>
          <w:rFonts w:cstheme="minorHAnsi"/>
        </w:rPr>
        <w:t xml:space="preserve">Currently the ORs and the procedure rooms </w:t>
      </w:r>
      <w:proofErr w:type="gramStart"/>
      <w:r w:rsidR="006A0C2C" w:rsidRPr="008D42F9">
        <w:rPr>
          <w:rFonts w:cstheme="minorHAnsi"/>
        </w:rPr>
        <w:t>are located in</w:t>
      </w:r>
      <w:proofErr w:type="gramEnd"/>
      <w:r w:rsidR="006A0C2C" w:rsidRPr="008D42F9">
        <w:rPr>
          <w:rFonts w:cstheme="minorHAnsi"/>
        </w:rPr>
        <w:t xml:space="preserve"> separate suites.  This requires the Applicant to </w:t>
      </w:r>
      <w:r w:rsidR="000E788A" w:rsidRPr="008D42F9">
        <w:rPr>
          <w:rFonts w:cstheme="minorHAnsi"/>
        </w:rPr>
        <w:t>separately</w:t>
      </w:r>
      <w:r w:rsidR="006A0C2C" w:rsidRPr="008D42F9">
        <w:rPr>
          <w:rFonts w:cstheme="minorHAnsi"/>
        </w:rPr>
        <w:t xml:space="preserve"> staff each suite</w:t>
      </w:r>
      <w:r w:rsidR="00693CBB" w:rsidRPr="008D42F9">
        <w:rPr>
          <w:rFonts w:cstheme="minorHAnsi"/>
        </w:rPr>
        <w:t xml:space="preserve"> with a </w:t>
      </w:r>
      <w:proofErr w:type="gramStart"/>
      <w:r w:rsidR="00693CBB" w:rsidRPr="008D42F9">
        <w:rPr>
          <w:rFonts w:cstheme="minorHAnsi"/>
        </w:rPr>
        <w:t>pre</w:t>
      </w:r>
      <w:proofErr w:type="gramEnd"/>
      <w:r w:rsidR="00693CBB" w:rsidRPr="008D42F9">
        <w:rPr>
          <w:rFonts w:cstheme="minorHAnsi"/>
        </w:rPr>
        <w:t xml:space="preserve"> and post-op nurse and a minimum of two anesthesiologists.  Repurposing the space will locate all 4 ORs in one suite which will allow the Applicant to achieve efficiencies in staffing – for example, they </w:t>
      </w:r>
      <w:r w:rsidR="0063766A" w:rsidRPr="008D42F9">
        <w:rPr>
          <w:rFonts w:cstheme="minorHAnsi"/>
        </w:rPr>
        <w:t>would only need</w:t>
      </w:r>
      <w:r w:rsidR="00693CBB" w:rsidRPr="008D42F9">
        <w:rPr>
          <w:rFonts w:cstheme="minorHAnsi"/>
        </w:rPr>
        <w:t xml:space="preserve"> 1 pre-op and 1 post-op nurse</w:t>
      </w:r>
      <w:r w:rsidR="00DF6E1D" w:rsidRPr="008D42F9">
        <w:rPr>
          <w:rFonts w:cstheme="minorHAnsi"/>
        </w:rPr>
        <w:t>,</w:t>
      </w:r>
      <w:r w:rsidR="00693CBB" w:rsidRPr="008D42F9">
        <w:rPr>
          <w:rFonts w:cstheme="minorHAnsi"/>
        </w:rPr>
        <w:t xml:space="preserve"> and 1 anesthesiologist supervising CRNAs.   This</w:t>
      </w:r>
      <w:r w:rsidR="0063766A" w:rsidRPr="008D42F9">
        <w:rPr>
          <w:rFonts w:cstheme="minorHAnsi"/>
        </w:rPr>
        <w:t xml:space="preserve"> efficient staffing model will </w:t>
      </w:r>
      <w:r w:rsidR="00693CBB" w:rsidRPr="008D42F9">
        <w:rPr>
          <w:rFonts w:cstheme="minorHAnsi"/>
        </w:rPr>
        <w:t>positively contribute</w:t>
      </w:r>
      <w:r w:rsidR="00DF6E1D" w:rsidRPr="008D42F9">
        <w:rPr>
          <w:rFonts w:cstheme="minorHAnsi"/>
        </w:rPr>
        <w:t xml:space="preserve"> to</w:t>
      </w:r>
      <w:r w:rsidR="00693CBB" w:rsidRPr="008D42F9">
        <w:rPr>
          <w:rFonts w:cstheme="minorHAnsi"/>
        </w:rPr>
        <w:t xml:space="preserve"> </w:t>
      </w:r>
      <w:r w:rsidR="0063766A" w:rsidRPr="008D42F9">
        <w:rPr>
          <w:rFonts w:cstheme="minorHAnsi"/>
        </w:rPr>
        <w:t xml:space="preserve">and reduce the </w:t>
      </w:r>
      <w:r w:rsidR="00693CBB" w:rsidRPr="008D42F9">
        <w:rPr>
          <w:rFonts w:cstheme="minorHAnsi"/>
        </w:rPr>
        <w:t xml:space="preserve">Applicant’s total medical expenses.    </w:t>
      </w:r>
    </w:p>
    <w:p w14:paraId="3175CD02" w14:textId="77777777" w:rsidR="00801057" w:rsidRDefault="00801057" w:rsidP="003C590D">
      <w:pPr>
        <w:pStyle w:val="ListParagraph"/>
        <w:rPr>
          <w:rFonts w:cstheme="minorHAnsi"/>
        </w:rPr>
      </w:pPr>
    </w:p>
    <w:p w14:paraId="6898557E" w14:textId="77777777" w:rsidR="006F7BF4" w:rsidRPr="008D42F9" w:rsidRDefault="00DD7C03" w:rsidP="00DD7C03">
      <w:pPr>
        <w:pStyle w:val="ListParagraph"/>
        <w:numPr>
          <w:ilvl w:val="0"/>
          <w:numId w:val="16"/>
        </w:numPr>
        <w:rPr>
          <w:rFonts w:cstheme="minorHAnsi"/>
          <w:b/>
        </w:rPr>
      </w:pPr>
      <w:r w:rsidRPr="008D42F9">
        <w:rPr>
          <w:rFonts w:cstheme="minorHAnsi"/>
          <w:b/>
        </w:rPr>
        <w:t xml:space="preserve">The application states that North County is served by a single bus line on U.S. Routes 7 and 8, and there is almost no access to services like Uber (footnote 5). </w:t>
      </w:r>
    </w:p>
    <w:p w14:paraId="3714AFCC" w14:textId="77777777" w:rsidR="00F417D4" w:rsidRPr="008D42F9" w:rsidRDefault="00150443" w:rsidP="006F7BF4">
      <w:pPr>
        <w:pStyle w:val="ListParagraph"/>
        <w:numPr>
          <w:ilvl w:val="1"/>
          <w:numId w:val="16"/>
        </w:numPr>
        <w:rPr>
          <w:rFonts w:cstheme="minorHAnsi"/>
          <w:b/>
        </w:rPr>
      </w:pPr>
      <w:r w:rsidRPr="008D42F9">
        <w:rPr>
          <w:rFonts w:cstheme="minorHAnsi"/>
          <w:b/>
        </w:rPr>
        <w:t>With limited transportation options, how will residents without access to a car access the proposed facility? Will the hospital offer transportation assistance to residents that require it?</w:t>
      </w:r>
      <w:r w:rsidR="00D3724A" w:rsidRPr="008D42F9">
        <w:rPr>
          <w:rFonts w:cstheme="minorHAnsi"/>
          <w:b/>
        </w:rPr>
        <w:t xml:space="preserve"> </w:t>
      </w:r>
    </w:p>
    <w:p w14:paraId="2FA8E39A" w14:textId="77777777" w:rsidR="00693CBB" w:rsidRDefault="00693CBB" w:rsidP="00693CBB">
      <w:pPr>
        <w:pStyle w:val="ListParagraph"/>
        <w:ind w:left="1440"/>
        <w:rPr>
          <w:rFonts w:cstheme="minorHAnsi"/>
        </w:rPr>
      </w:pPr>
    </w:p>
    <w:p w14:paraId="7D305126" w14:textId="67352C33" w:rsidR="004235D6" w:rsidRPr="00693CBB" w:rsidRDefault="008D42F9" w:rsidP="00035B8A">
      <w:pPr>
        <w:pStyle w:val="ListParagraph"/>
        <w:ind w:left="0"/>
        <w:jc w:val="both"/>
        <w:rPr>
          <w:rFonts w:cstheme="minorHAnsi"/>
          <w:b/>
        </w:rPr>
      </w:pPr>
      <w:r w:rsidRPr="00AA1093">
        <w:rPr>
          <w:rFonts w:cstheme="minorHAnsi"/>
          <w:u w:val="single"/>
        </w:rPr>
        <w:t>Response</w:t>
      </w:r>
      <w:r w:rsidRPr="008D42F9">
        <w:rPr>
          <w:rFonts w:cstheme="minorHAnsi"/>
        </w:rPr>
        <w:t xml:space="preserve">:  </w:t>
      </w:r>
      <w:r w:rsidR="00693CBB" w:rsidRPr="008D42F9">
        <w:rPr>
          <w:rFonts w:cstheme="minorHAnsi"/>
        </w:rPr>
        <w:t>The Applicant will offer taxi vouchers to those who do not have transportation.</w:t>
      </w:r>
      <w:r w:rsidR="00693CBB">
        <w:rPr>
          <w:rFonts w:cstheme="minorHAnsi"/>
          <w:b/>
        </w:rPr>
        <w:t xml:space="preserve"> </w:t>
      </w:r>
    </w:p>
    <w:p w14:paraId="41A62693" w14:textId="77777777" w:rsidR="00693CBB" w:rsidRDefault="00693CBB" w:rsidP="004235D6">
      <w:pPr>
        <w:pStyle w:val="ListParagraph"/>
        <w:rPr>
          <w:rFonts w:cstheme="minorHAnsi"/>
        </w:rPr>
      </w:pPr>
    </w:p>
    <w:p w14:paraId="1E22B457" w14:textId="77777777" w:rsidR="00037986" w:rsidRPr="008D42F9" w:rsidRDefault="005254F0" w:rsidP="00AB5ABE">
      <w:pPr>
        <w:pStyle w:val="ListParagraph"/>
        <w:numPr>
          <w:ilvl w:val="0"/>
          <w:numId w:val="16"/>
        </w:numPr>
        <w:rPr>
          <w:rFonts w:cstheme="minorHAnsi"/>
          <w:b/>
        </w:rPr>
      </w:pPr>
      <w:r w:rsidRPr="008D42F9">
        <w:rPr>
          <w:rFonts w:cstheme="minorHAnsi"/>
          <w:b/>
        </w:rPr>
        <w:t xml:space="preserve">The Financial Impact Analysis states that </w:t>
      </w:r>
      <w:r w:rsidR="00037986" w:rsidRPr="008D42F9">
        <w:rPr>
          <w:rFonts w:cstheme="minorHAnsi"/>
          <w:b/>
        </w:rPr>
        <w:t>t</w:t>
      </w:r>
      <w:r w:rsidRPr="008D42F9">
        <w:rPr>
          <w:rFonts w:cstheme="minorHAnsi"/>
          <w:b/>
        </w:rPr>
        <w:t xml:space="preserve">hough an updated inpatient bed assessment was not funded through this feasibility analysis, it is believed that there continues to be a significant need for inpatient care in the service area based on additional information collected in the CAH evaluation process (pg.20). </w:t>
      </w:r>
    </w:p>
    <w:p w14:paraId="346D2667" w14:textId="77777777" w:rsidR="00150443" w:rsidRPr="008D42F9" w:rsidRDefault="005254F0" w:rsidP="00037986">
      <w:pPr>
        <w:pStyle w:val="ListParagraph"/>
        <w:numPr>
          <w:ilvl w:val="1"/>
          <w:numId w:val="16"/>
        </w:numPr>
        <w:rPr>
          <w:rFonts w:cstheme="minorHAnsi"/>
          <w:b/>
        </w:rPr>
      </w:pPr>
      <w:r w:rsidRPr="008D42F9">
        <w:rPr>
          <w:rFonts w:cstheme="minorHAnsi"/>
          <w:b/>
        </w:rPr>
        <w:t xml:space="preserve">What additional information collected in the CAH evaluation process </w:t>
      </w:r>
      <w:r w:rsidR="0062331E" w:rsidRPr="008D42F9">
        <w:rPr>
          <w:rFonts w:cstheme="minorHAnsi"/>
          <w:b/>
        </w:rPr>
        <w:t>affirms</w:t>
      </w:r>
      <w:r w:rsidRPr="008D42F9">
        <w:rPr>
          <w:rFonts w:cstheme="minorHAnsi"/>
          <w:b/>
        </w:rPr>
        <w:t xml:space="preserve"> the </w:t>
      </w:r>
      <w:r w:rsidR="0062331E" w:rsidRPr="008D42F9">
        <w:rPr>
          <w:rFonts w:cstheme="minorHAnsi"/>
          <w:b/>
        </w:rPr>
        <w:t>significant need for inpatient care in the service area</w:t>
      </w:r>
      <w:r w:rsidRPr="008D42F9">
        <w:rPr>
          <w:rFonts w:cstheme="minorHAnsi"/>
          <w:b/>
        </w:rPr>
        <w:t xml:space="preserve"> </w:t>
      </w:r>
      <w:r w:rsidR="0062331E" w:rsidRPr="008D42F9">
        <w:rPr>
          <w:rFonts w:cstheme="minorHAnsi"/>
          <w:b/>
        </w:rPr>
        <w:t xml:space="preserve">and the need to </w:t>
      </w:r>
      <w:r w:rsidRPr="008D42F9">
        <w:rPr>
          <w:rFonts w:cstheme="minorHAnsi"/>
          <w:b/>
        </w:rPr>
        <w:t>establish a CAH with 18-21 licensed beds</w:t>
      </w:r>
      <w:r w:rsidR="0062331E" w:rsidRPr="008D42F9">
        <w:rPr>
          <w:rFonts w:cstheme="minorHAnsi"/>
          <w:b/>
        </w:rPr>
        <w:t xml:space="preserve"> to address the need</w:t>
      </w:r>
      <w:r w:rsidRPr="008D42F9">
        <w:rPr>
          <w:rFonts w:cstheme="minorHAnsi"/>
          <w:b/>
        </w:rPr>
        <w:t>?</w:t>
      </w:r>
    </w:p>
    <w:p w14:paraId="5A670B1E" w14:textId="75F2F45B" w:rsidR="00693CBB" w:rsidRPr="008D42F9" w:rsidRDefault="008D42F9" w:rsidP="00035B8A">
      <w:pPr>
        <w:jc w:val="both"/>
        <w:rPr>
          <w:rFonts w:cstheme="minorHAnsi"/>
        </w:rPr>
      </w:pPr>
      <w:r w:rsidRPr="008D42F9">
        <w:rPr>
          <w:rFonts w:cstheme="minorHAnsi"/>
          <w:u w:val="single"/>
        </w:rPr>
        <w:t>Response</w:t>
      </w:r>
      <w:r w:rsidRPr="008D42F9">
        <w:rPr>
          <w:rFonts w:cstheme="minorHAnsi"/>
        </w:rPr>
        <w:t xml:space="preserve">:  </w:t>
      </w:r>
      <w:r w:rsidR="00693CBB" w:rsidRPr="008D42F9">
        <w:rPr>
          <w:rFonts w:cstheme="minorHAnsi"/>
        </w:rPr>
        <w:t xml:space="preserve">In 2014, when the former North Adams Regional Hospital abruptly closed, the </w:t>
      </w:r>
      <w:r w:rsidR="0094523D" w:rsidRPr="008D42F9">
        <w:rPr>
          <w:rFonts w:cstheme="minorHAnsi"/>
        </w:rPr>
        <w:t xml:space="preserve">Massachusetts Department of Public Health, Office of Rural Health engaged </w:t>
      </w:r>
      <w:r w:rsidR="00693CBB" w:rsidRPr="008D42F9">
        <w:rPr>
          <w:rFonts w:cstheme="minorHAnsi"/>
        </w:rPr>
        <w:t>Stroudwater Associates</w:t>
      </w:r>
      <w:r w:rsidR="007D7E19" w:rsidRPr="008D42F9">
        <w:rPr>
          <w:rFonts w:cstheme="minorHAnsi"/>
        </w:rPr>
        <w:t xml:space="preserve"> (Stroudwater)</w:t>
      </w:r>
      <w:r w:rsidR="0094523D" w:rsidRPr="008D42F9">
        <w:rPr>
          <w:rFonts w:cstheme="minorHAnsi"/>
        </w:rPr>
        <w:t xml:space="preserve"> to provide an independent and objective third-party assessment of the health care market in the North Adams region.  In the 2014 report, Stroudwater found there was need for re-establishing inpatient </w:t>
      </w:r>
      <w:r w:rsidR="0094523D" w:rsidRPr="008D42F9">
        <w:rPr>
          <w:rFonts w:cstheme="minorHAnsi"/>
        </w:rPr>
        <w:lastRenderedPageBreak/>
        <w:t xml:space="preserve">services </w:t>
      </w:r>
      <w:r w:rsidR="0063766A" w:rsidRPr="008D42F9">
        <w:rPr>
          <w:rFonts w:cstheme="minorHAnsi"/>
        </w:rPr>
        <w:t>“</w:t>
      </w:r>
      <w:r w:rsidR="0094523D" w:rsidRPr="008D42F9">
        <w:rPr>
          <w:rFonts w:cstheme="minorHAnsi"/>
          <w:i/>
        </w:rPr>
        <w:t>only if</w:t>
      </w:r>
      <w:r w:rsidR="0063766A" w:rsidRPr="008D42F9">
        <w:rPr>
          <w:rFonts w:cstheme="minorHAnsi"/>
        </w:rPr>
        <w:t>”</w:t>
      </w:r>
      <w:r w:rsidR="0094523D" w:rsidRPr="008D42F9">
        <w:rPr>
          <w:rFonts w:cstheme="minorHAnsi"/>
        </w:rPr>
        <w:t xml:space="preserve"> the hospital could be designated as a CAH.   In the 2014 report, Stroudwater noted that through their analysis of market demand there was </w:t>
      </w:r>
      <w:proofErr w:type="gramStart"/>
      <w:r w:rsidR="0094523D" w:rsidRPr="008D42F9">
        <w:rPr>
          <w:rFonts w:cstheme="minorHAnsi"/>
        </w:rPr>
        <w:t>existing</w:t>
      </w:r>
      <w:proofErr w:type="gramEnd"/>
      <w:r w:rsidR="0094523D" w:rsidRPr="008D42F9">
        <w:rPr>
          <w:rFonts w:cstheme="minorHAnsi"/>
        </w:rPr>
        <w:t xml:space="preserve"> need of 18-21 beds. </w:t>
      </w:r>
    </w:p>
    <w:p w14:paraId="3E22659A" w14:textId="4F689556" w:rsidR="007D7E19" w:rsidRPr="008D42F9" w:rsidRDefault="007D7E19" w:rsidP="00035B8A">
      <w:pPr>
        <w:jc w:val="both"/>
        <w:rPr>
          <w:rFonts w:cstheme="minorHAnsi"/>
        </w:rPr>
      </w:pPr>
      <w:r w:rsidRPr="008D42F9">
        <w:rPr>
          <w:rFonts w:cstheme="minorHAnsi"/>
        </w:rPr>
        <w:t xml:space="preserve">In 2023, the Department of Public Health, Office of Rural Health re-engaged Stroudwater to update the 2014 report to re-evaluate the need for inpatient services in North Adams given the change in the CMS regulations that would allow the Applicant to pursue a CAH designation for the hospital.  In the 2023 report, Stroudwater confirmed the need of 18-21 beds from the 2014 report by looking </w:t>
      </w:r>
      <w:r w:rsidR="006646FC">
        <w:rPr>
          <w:rFonts w:cstheme="minorHAnsi"/>
        </w:rPr>
        <w:t xml:space="preserve">at </w:t>
      </w:r>
      <w:r w:rsidR="00AD1518" w:rsidRPr="008D42F9">
        <w:rPr>
          <w:rFonts w:cstheme="minorHAnsi"/>
        </w:rPr>
        <w:t xml:space="preserve">the following data points for this population some of which were provided by the Department of Public Health Office of Rural Health: health outcomes, socio-economic status, age of population, level of chronic </w:t>
      </w:r>
      <w:r w:rsidR="00CE15F9" w:rsidRPr="008D42F9">
        <w:rPr>
          <w:rFonts w:cstheme="minorHAnsi"/>
        </w:rPr>
        <w:t>diseases</w:t>
      </w:r>
      <w:r w:rsidR="00AD1518" w:rsidRPr="008D42F9">
        <w:rPr>
          <w:rFonts w:cstheme="minorHAnsi"/>
        </w:rPr>
        <w:t xml:space="preserve">, substance abuse and smoking.   </w:t>
      </w:r>
    </w:p>
    <w:p w14:paraId="48A08768" w14:textId="77777777" w:rsidR="00D35730" w:rsidRPr="008D42F9" w:rsidRDefault="009E0A3C" w:rsidP="00AB5ABE">
      <w:pPr>
        <w:pStyle w:val="ListParagraph"/>
        <w:numPr>
          <w:ilvl w:val="0"/>
          <w:numId w:val="16"/>
        </w:numPr>
        <w:rPr>
          <w:rFonts w:cstheme="minorHAnsi"/>
          <w:b/>
        </w:rPr>
      </w:pPr>
      <w:r w:rsidRPr="008D42F9">
        <w:rPr>
          <w:rFonts w:cstheme="minorHAnsi"/>
          <w:b/>
        </w:rPr>
        <w:t xml:space="preserve">Are patients receiving services at the BMC satellite facility currently screened for </w:t>
      </w:r>
      <w:proofErr w:type="spellStart"/>
      <w:r w:rsidRPr="008D42F9">
        <w:rPr>
          <w:rFonts w:cstheme="minorHAnsi"/>
          <w:b/>
        </w:rPr>
        <w:t>SDoH</w:t>
      </w:r>
      <w:proofErr w:type="spellEnd"/>
      <w:r w:rsidRPr="008D42F9">
        <w:rPr>
          <w:rFonts w:cstheme="minorHAnsi"/>
          <w:b/>
        </w:rPr>
        <w:t xml:space="preserve">? </w:t>
      </w:r>
    </w:p>
    <w:p w14:paraId="51777F0A" w14:textId="77777777" w:rsidR="004F4474" w:rsidRPr="008D42F9" w:rsidRDefault="004F4474" w:rsidP="00D35730">
      <w:pPr>
        <w:pStyle w:val="ListParagraph"/>
        <w:numPr>
          <w:ilvl w:val="1"/>
          <w:numId w:val="16"/>
        </w:numPr>
        <w:rPr>
          <w:rFonts w:cstheme="minorHAnsi"/>
          <w:b/>
        </w:rPr>
      </w:pPr>
      <w:r w:rsidRPr="008D42F9">
        <w:rPr>
          <w:rFonts w:cstheme="minorHAnsi"/>
          <w:b/>
        </w:rPr>
        <w:t xml:space="preserve">What </w:t>
      </w:r>
      <w:proofErr w:type="spellStart"/>
      <w:r w:rsidR="009E0A3C" w:rsidRPr="008D42F9">
        <w:rPr>
          <w:rFonts w:cstheme="minorHAnsi"/>
          <w:b/>
        </w:rPr>
        <w:t>SDoH</w:t>
      </w:r>
      <w:proofErr w:type="spellEnd"/>
      <w:r w:rsidR="009E0A3C" w:rsidRPr="008D42F9">
        <w:rPr>
          <w:rFonts w:cstheme="minorHAnsi"/>
          <w:b/>
        </w:rPr>
        <w:t xml:space="preserve"> domains will the Applicant screen for at the proposed facility?</w:t>
      </w:r>
    </w:p>
    <w:p w14:paraId="2F10B9A7" w14:textId="7929D0CD" w:rsidR="00035B8A" w:rsidRDefault="008D42F9" w:rsidP="00035B8A">
      <w:pPr>
        <w:jc w:val="both"/>
      </w:pPr>
      <w:r w:rsidRPr="00AA1093">
        <w:rPr>
          <w:rFonts w:cstheme="minorHAnsi"/>
          <w:u w:val="single"/>
        </w:rPr>
        <w:t>Response</w:t>
      </w:r>
      <w:r w:rsidRPr="008D42F9">
        <w:rPr>
          <w:rFonts w:cstheme="minorHAnsi"/>
        </w:rPr>
        <w:t xml:space="preserve">:  </w:t>
      </w:r>
      <w:r w:rsidR="00035B8A">
        <w:t xml:space="preserve">Currently, all patients seen at BMC’s Satellite Emergency Facility (SEF) in North Adams can be assessed based on their social history for </w:t>
      </w:r>
      <w:proofErr w:type="spellStart"/>
      <w:r w:rsidR="00035B8A">
        <w:t>SDoH</w:t>
      </w:r>
      <w:proofErr w:type="spellEnd"/>
      <w:r w:rsidR="00035B8A">
        <w:t xml:space="preserve"> including</w:t>
      </w:r>
      <w:r w:rsidR="00FB5B19">
        <w:t xml:space="preserve"> with respect to</w:t>
      </w:r>
      <w:r w:rsidR="00035B8A">
        <w:t xml:space="preserve"> </w:t>
      </w:r>
      <w:r w:rsidR="00FB5B19">
        <w:t>insecurities related to housing</w:t>
      </w:r>
      <w:r w:rsidR="00035B8A">
        <w:t>, food</w:t>
      </w:r>
      <w:r w:rsidR="00FB5B19">
        <w:t xml:space="preserve">, </w:t>
      </w:r>
      <w:r w:rsidR="00035B8A">
        <w:t>transportation</w:t>
      </w:r>
      <w:r w:rsidR="00FB5B19">
        <w:t xml:space="preserve">, and utilities (phone and heat) and issues concerning education, </w:t>
      </w:r>
      <w:proofErr w:type="gramStart"/>
      <w:r w:rsidR="00FB5B19">
        <w:t>employment</w:t>
      </w:r>
      <w:proofErr w:type="gramEnd"/>
      <w:r w:rsidR="00FB5B19">
        <w:t xml:space="preserve"> and domestic issues, and </w:t>
      </w:r>
      <w:r w:rsidR="00035B8A">
        <w:t xml:space="preserve">documented as part of their social history assessment.  The Applicant is working to make sure a formal screening SDOH process will be </w:t>
      </w:r>
      <w:r w:rsidR="00035B8A" w:rsidRPr="00035B8A">
        <w:t>completed</w:t>
      </w:r>
      <w:r w:rsidR="00035B8A">
        <w:t xml:space="preserve"> for each patient </w:t>
      </w:r>
      <w:r w:rsidR="00035B8A" w:rsidRPr="00035B8A">
        <w:t xml:space="preserve">at NARH </w:t>
      </w:r>
      <w:r w:rsidR="00035B8A">
        <w:t>and is updating its workflow</w:t>
      </w:r>
      <w:r w:rsidR="00FB5B19">
        <w:t>s to match the PRAPARE tool, which will</w:t>
      </w:r>
      <w:r w:rsidR="00035B8A">
        <w:t xml:space="preserve"> allow a patient to decline answering any topic they choose.  NARH will screen for all domains listed when a patient is admitted or when </w:t>
      </w:r>
      <w:r w:rsidR="00E61DF1">
        <w:t>a</w:t>
      </w:r>
      <w:r w:rsidR="00035B8A">
        <w:t xml:space="preserve"> patient com</w:t>
      </w:r>
      <w:r w:rsidR="00E61DF1">
        <w:t xml:space="preserve">es </w:t>
      </w:r>
      <w:r w:rsidR="00035B8A">
        <w:t>to the emergency department and has not had a screening completed in the last 90 days. The screening compliance will be monitored through NARH’s QAPI program and reported as part of the CAH quality indicators.</w:t>
      </w:r>
    </w:p>
    <w:p w14:paraId="0CF254AC" w14:textId="06F8FD0E" w:rsidR="00AB5ABE" w:rsidRPr="00C776D5" w:rsidRDefault="00AB5ABE" w:rsidP="00AB5ABE">
      <w:pPr>
        <w:rPr>
          <w:rFonts w:cstheme="minorHAnsi"/>
          <w:b/>
          <w:bCs/>
        </w:rPr>
      </w:pPr>
      <w:r w:rsidRPr="00C776D5">
        <w:rPr>
          <w:rFonts w:cstheme="minorHAnsi"/>
          <w:b/>
          <w:bCs/>
        </w:rPr>
        <w:t>Factor 1f</w:t>
      </w:r>
      <w:r w:rsidR="00C776D5">
        <w:rPr>
          <w:rFonts w:cstheme="minorHAnsi"/>
          <w:b/>
          <w:bCs/>
        </w:rPr>
        <w:t>:</w:t>
      </w:r>
      <w:r w:rsidR="00C776D5" w:rsidRPr="00C776D5">
        <w:rPr>
          <w:b/>
          <w:bCs/>
        </w:rPr>
        <w:t xml:space="preserve"> </w:t>
      </w:r>
      <w:r w:rsidR="00C776D5" w:rsidRPr="00C776D5">
        <w:rPr>
          <w:rFonts w:cstheme="minorHAnsi"/>
          <w:b/>
          <w:bCs/>
        </w:rPr>
        <w:t>Competition</w:t>
      </w:r>
      <w:r w:rsidR="00756F0D">
        <w:rPr>
          <w:rFonts w:cstheme="minorHAnsi"/>
          <w:b/>
          <w:bCs/>
        </w:rPr>
        <w:t xml:space="preserve"> </w:t>
      </w:r>
      <w:r w:rsidR="00C776D5" w:rsidRPr="00C776D5">
        <w:rPr>
          <w:rFonts w:cstheme="minorHAnsi"/>
          <w:b/>
          <w:bCs/>
        </w:rPr>
        <w:t>on Price, Total Medical Expenses (TME), Costs and Other Measures of Health Care Spending</w:t>
      </w:r>
    </w:p>
    <w:p w14:paraId="47A70647" w14:textId="28481A19" w:rsidR="006F3BFB" w:rsidRDefault="00756F0D" w:rsidP="00B44A6B">
      <w:pPr>
        <w:pStyle w:val="ListParagraph"/>
        <w:numPr>
          <w:ilvl w:val="0"/>
          <w:numId w:val="16"/>
        </w:numPr>
        <w:rPr>
          <w:rFonts w:cstheme="minorHAnsi"/>
          <w:b/>
        </w:rPr>
      </w:pPr>
      <w:r w:rsidRPr="008D42F9">
        <w:rPr>
          <w:rFonts w:cstheme="minorHAnsi"/>
          <w:b/>
        </w:rPr>
        <w:t xml:space="preserve">The application states that the </w:t>
      </w:r>
      <w:r w:rsidR="00EC7600" w:rsidRPr="008D42F9">
        <w:rPr>
          <w:rFonts w:cstheme="minorHAnsi"/>
          <w:b/>
        </w:rPr>
        <w:t xml:space="preserve">Stroudwater report stated that the </w:t>
      </w:r>
      <w:r w:rsidRPr="008D42F9">
        <w:rPr>
          <w:rFonts w:cstheme="minorHAnsi"/>
          <w:b/>
        </w:rPr>
        <w:t>Proposed Project’s revenues will offset the costs</w:t>
      </w:r>
      <w:r w:rsidR="00EC7600" w:rsidRPr="008D42F9">
        <w:rPr>
          <w:rFonts w:cstheme="minorHAnsi"/>
          <w:b/>
        </w:rPr>
        <w:t>, and that t</w:t>
      </w:r>
      <w:r w:rsidRPr="008D42F9">
        <w:rPr>
          <w:rFonts w:cstheme="minorHAnsi"/>
          <w:b/>
        </w:rPr>
        <w:t xml:space="preserve">his may result in a slight impact on the Commonwealth’s total medical expenses (TME); however, the Proposed Project brings numerous benefits and improved health outcomes to this rural area of the Commonwealth which greatly outweighs the marginal impact it will have on TME (Narrative pg.6). </w:t>
      </w:r>
    </w:p>
    <w:p w14:paraId="6DA8A9AE" w14:textId="028D1AE2" w:rsidR="0070285B" w:rsidRPr="00E61DF1" w:rsidRDefault="00C776D5" w:rsidP="008D42F9">
      <w:pPr>
        <w:pStyle w:val="ListParagraph"/>
        <w:numPr>
          <w:ilvl w:val="1"/>
          <w:numId w:val="16"/>
        </w:numPr>
        <w:rPr>
          <w:rFonts w:cstheme="minorHAnsi"/>
          <w:b/>
        </w:rPr>
      </w:pPr>
      <w:r w:rsidRPr="00E61DF1">
        <w:rPr>
          <w:rFonts w:cstheme="minorHAnsi"/>
          <w:b/>
        </w:rPr>
        <w:t xml:space="preserve">Given that the proposed facility will </w:t>
      </w:r>
      <w:r w:rsidR="00B44A6B" w:rsidRPr="00E61DF1">
        <w:rPr>
          <w:rFonts w:cstheme="minorHAnsi"/>
          <w:b/>
        </w:rPr>
        <w:t xml:space="preserve">receive cost-based reimbursement from Medicare at 101% of their reasonable costs as well as other </w:t>
      </w:r>
      <w:proofErr w:type="gramStart"/>
      <w:r w:rsidR="00B44A6B" w:rsidRPr="00E61DF1">
        <w:rPr>
          <w:rFonts w:cstheme="minorHAnsi"/>
          <w:b/>
        </w:rPr>
        <w:t>cost based</w:t>
      </w:r>
      <w:proofErr w:type="gramEnd"/>
      <w:r w:rsidR="00B44A6B" w:rsidRPr="00E61DF1">
        <w:rPr>
          <w:rFonts w:cstheme="minorHAnsi"/>
          <w:b/>
        </w:rPr>
        <w:t xml:space="preserve"> reimbursement for swing beds, ambulance transports, outpatient services and telehealth, explain how the proposed facility will </w:t>
      </w:r>
      <w:r w:rsidR="00756F0D" w:rsidRPr="00E61DF1">
        <w:rPr>
          <w:rFonts w:cstheme="minorHAnsi"/>
          <w:b/>
        </w:rPr>
        <w:t>compete</w:t>
      </w:r>
      <w:r w:rsidR="00E91C27" w:rsidRPr="00E61DF1">
        <w:rPr>
          <w:rFonts w:cstheme="minorHAnsi"/>
          <w:b/>
        </w:rPr>
        <w:t xml:space="preserve"> towards a reduction in costs of care</w:t>
      </w:r>
      <w:r w:rsidR="00756F0D" w:rsidRPr="00E61DF1">
        <w:rPr>
          <w:rFonts w:cstheme="minorHAnsi"/>
          <w:b/>
        </w:rPr>
        <w:t xml:space="preserve">? </w:t>
      </w:r>
      <w:r w:rsidR="009B13FB" w:rsidRPr="00E61DF1">
        <w:rPr>
          <w:rFonts w:cstheme="minorHAnsi"/>
          <w:b/>
        </w:rPr>
        <w:t>Is there</w:t>
      </w:r>
      <w:r w:rsidR="000521F8" w:rsidRPr="00E61DF1">
        <w:rPr>
          <w:rFonts w:cstheme="minorHAnsi"/>
          <w:b/>
        </w:rPr>
        <w:t xml:space="preserve"> any </w:t>
      </w:r>
      <w:r w:rsidR="00756F0D" w:rsidRPr="00E61DF1">
        <w:rPr>
          <w:rFonts w:cstheme="minorHAnsi"/>
          <w:b/>
        </w:rPr>
        <w:t xml:space="preserve">evidence from Fairview Hospital </w:t>
      </w:r>
      <w:r w:rsidR="00B8306C" w:rsidRPr="00E61DF1">
        <w:rPr>
          <w:rFonts w:cstheme="minorHAnsi"/>
          <w:b/>
        </w:rPr>
        <w:t>to support the assertion that the</w:t>
      </w:r>
      <w:r w:rsidR="00756F0D" w:rsidRPr="00E61DF1">
        <w:rPr>
          <w:rFonts w:cstheme="minorHAnsi"/>
          <w:b/>
        </w:rPr>
        <w:t xml:space="preserve"> proposed CAH will compete based on price, TME, costs and/or other measures of health care spending. </w:t>
      </w:r>
    </w:p>
    <w:p w14:paraId="7A827AE2" w14:textId="1CE5B780" w:rsidR="00D039E4" w:rsidRPr="008D42F9" w:rsidRDefault="00E61DF1" w:rsidP="00E61DF1">
      <w:pPr>
        <w:jc w:val="both"/>
        <w:rPr>
          <w:rFonts w:cstheme="minorHAnsi"/>
        </w:rPr>
      </w:pPr>
      <w:r w:rsidRPr="00AA1093">
        <w:rPr>
          <w:rFonts w:cstheme="minorHAnsi"/>
          <w:u w:val="single"/>
        </w:rPr>
        <w:t>Response</w:t>
      </w:r>
      <w:r w:rsidRPr="00AA1093">
        <w:rPr>
          <w:rFonts w:cstheme="minorHAnsi"/>
        </w:rPr>
        <w:t>:</w:t>
      </w:r>
      <w:r>
        <w:rPr>
          <w:rFonts w:cstheme="minorHAnsi"/>
        </w:rPr>
        <w:t xml:space="preserve">   </w:t>
      </w:r>
      <w:r w:rsidR="00E26B73" w:rsidRPr="008D42F9">
        <w:rPr>
          <w:rFonts w:cstheme="minorHAnsi"/>
        </w:rPr>
        <w:t>The CAH designation was created by Congress through the Balanced Budget Act of 1997 as a mechanism to reduce the financial vulnerability of rural hospitals and improve access to care by keeping essential services in rural communities.</w:t>
      </w:r>
      <w:r w:rsidR="00170DE5" w:rsidRPr="008D42F9">
        <w:rPr>
          <w:rFonts w:cstheme="minorHAnsi"/>
        </w:rPr>
        <w:t xml:space="preserve"> </w:t>
      </w:r>
      <w:r w:rsidR="00B05BF5" w:rsidRPr="008D42F9">
        <w:rPr>
          <w:rFonts w:cstheme="minorHAnsi"/>
        </w:rPr>
        <w:t xml:space="preserve"> The importance of rural health </w:t>
      </w:r>
      <w:r w:rsidR="003155FA" w:rsidRPr="008D42F9">
        <w:rPr>
          <w:rFonts w:cstheme="minorHAnsi"/>
        </w:rPr>
        <w:t xml:space="preserve">care continues to be a priority, which </w:t>
      </w:r>
      <w:r w:rsidR="00B05BF5" w:rsidRPr="008D42F9">
        <w:rPr>
          <w:rFonts w:cstheme="minorHAnsi"/>
        </w:rPr>
        <w:t xml:space="preserve">is highlighted by the </w:t>
      </w:r>
      <w:r w:rsidR="003155FA" w:rsidRPr="008D42F9">
        <w:rPr>
          <w:rFonts w:cstheme="minorHAnsi"/>
        </w:rPr>
        <w:t>regular articles</w:t>
      </w:r>
      <w:r w:rsidR="00B05BF5" w:rsidRPr="008D42F9">
        <w:rPr>
          <w:rFonts w:cstheme="minorHAnsi"/>
        </w:rPr>
        <w:t xml:space="preserve"> in the press.   </w:t>
      </w:r>
      <w:r w:rsidR="00D039E4" w:rsidRPr="008D42F9">
        <w:rPr>
          <w:rFonts w:cstheme="minorHAnsi"/>
        </w:rPr>
        <w:t xml:space="preserve">A key factor in the CAH designation is reasonable cost-based reimbursement, which contributes to ensuring that health care services can be supported in </w:t>
      </w:r>
      <w:r w:rsidR="00D039E4" w:rsidRPr="008D42F9">
        <w:rPr>
          <w:rFonts w:cstheme="minorHAnsi"/>
        </w:rPr>
        <w:lastRenderedPageBreak/>
        <w:t xml:space="preserve">rural communities. </w:t>
      </w:r>
      <w:r w:rsidR="00CE15F9" w:rsidRPr="008D42F9">
        <w:rPr>
          <w:rFonts w:cstheme="minorHAnsi"/>
        </w:rPr>
        <w:t xml:space="preserve">   The Applicant has seen </w:t>
      </w:r>
      <w:r w:rsidR="0063766A" w:rsidRPr="008D42F9">
        <w:rPr>
          <w:rFonts w:cstheme="minorHAnsi"/>
        </w:rPr>
        <w:t xml:space="preserve">this </w:t>
      </w:r>
      <w:r w:rsidR="00CE15F9" w:rsidRPr="008D42F9">
        <w:rPr>
          <w:rFonts w:cstheme="minorHAnsi"/>
        </w:rPr>
        <w:t xml:space="preserve">work successfully at Fairview Hospital, its other </w:t>
      </w:r>
      <w:r w:rsidR="006646FC">
        <w:rPr>
          <w:rFonts w:cstheme="minorHAnsi"/>
        </w:rPr>
        <w:t xml:space="preserve">critical access hospital </w:t>
      </w:r>
      <w:r w:rsidR="00CE15F9" w:rsidRPr="008D42F9">
        <w:rPr>
          <w:rFonts w:cstheme="minorHAnsi"/>
        </w:rPr>
        <w:t xml:space="preserve">in Great Barrington where the population in Fairview’s service area is less dense than that of North Adams. </w:t>
      </w:r>
    </w:p>
    <w:p w14:paraId="4D039C4F" w14:textId="2AC57E1C" w:rsidR="00667719" w:rsidRPr="008D42F9" w:rsidRDefault="00D039E4" w:rsidP="00E61DF1">
      <w:pPr>
        <w:jc w:val="both"/>
        <w:rPr>
          <w:rFonts w:cstheme="minorHAnsi"/>
        </w:rPr>
      </w:pPr>
      <w:r w:rsidRPr="008D42F9">
        <w:rPr>
          <w:rFonts w:cstheme="minorHAnsi"/>
        </w:rPr>
        <w:t>A primary goal of the Proposed Project is</w:t>
      </w:r>
      <w:r w:rsidR="006646FC">
        <w:rPr>
          <w:rFonts w:cstheme="minorHAnsi"/>
        </w:rPr>
        <w:t xml:space="preserve"> to</w:t>
      </w:r>
      <w:r w:rsidRPr="008D42F9">
        <w:rPr>
          <w:rFonts w:cstheme="minorHAnsi"/>
        </w:rPr>
        <w:t xml:space="preserve"> provide access to inpatient care close to home for North County residents to </w:t>
      </w:r>
      <w:r w:rsidR="00E26B73" w:rsidRPr="008D42F9">
        <w:rPr>
          <w:rFonts w:cstheme="minorHAnsi"/>
        </w:rPr>
        <w:t xml:space="preserve">ensure they are receiving timely care in the appropriate setting.  </w:t>
      </w:r>
      <w:r w:rsidR="002123FB" w:rsidRPr="008D42F9">
        <w:rPr>
          <w:rFonts w:cstheme="minorHAnsi"/>
        </w:rPr>
        <w:t>W</w:t>
      </w:r>
      <w:r w:rsidR="00E26B73" w:rsidRPr="008D42F9">
        <w:rPr>
          <w:rFonts w:cstheme="minorHAnsi"/>
        </w:rPr>
        <w:t>e anticipate</w:t>
      </w:r>
      <w:r w:rsidR="002123FB" w:rsidRPr="008D42F9">
        <w:rPr>
          <w:rFonts w:cstheme="minorHAnsi"/>
        </w:rPr>
        <w:t xml:space="preserve"> that the Proposed Project will c</w:t>
      </w:r>
      <w:r w:rsidR="00E26B73" w:rsidRPr="008D42F9">
        <w:rPr>
          <w:rFonts w:cstheme="minorHAnsi"/>
        </w:rPr>
        <w:t xml:space="preserve">ontribute to the long-term reduction in TME </w:t>
      </w:r>
      <w:r w:rsidR="002123FB" w:rsidRPr="008D42F9">
        <w:rPr>
          <w:rFonts w:cstheme="minorHAnsi"/>
        </w:rPr>
        <w:t xml:space="preserve">by ensuring patients timely access </w:t>
      </w:r>
      <w:r w:rsidR="006646FC">
        <w:rPr>
          <w:rFonts w:cstheme="minorHAnsi"/>
        </w:rPr>
        <w:t xml:space="preserve">to </w:t>
      </w:r>
      <w:r w:rsidR="002123FB" w:rsidRPr="008D42F9">
        <w:rPr>
          <w:rFonts w:cstheme="minorHAnsi"/>
        </w:rPr>
        <w:t>the care they need both on an outpatient</w:t>
      </w:r>
      <w:r w:rsidR="002123FB">
        <w:rPr>
          <w:rFonts w:cstheme="minorHAnsi"/>
          <w:b/>
        </w:rPr>
        <w:t xml:space="preserve"> </w:t>
      </w:r>
      <w:r w:rsidR="002123FB" w:rsidRPr="00E61DF1">
        <w:rPr>
          <w:rFonts w:cstheme="minorHAnsi"/>
        </w:rPr>
        <w:t>and</w:t>
      </w:r>
      <w:r w:rsidR="002123FB">
        <w:rPr>
          <w:rFonts w:cstheme="minorHAnsi"/>
          <w:b/>
        </w:rPr>
        <w:t xml:space="preserve"> </w:t>
      </w:r>
      <w:r w:rsidR="002123FB" w:rsidRPr="008D42F9">
        <w:rPr>
          <w:rFonts w:cstheme="minorHAnsi"/>
        </w:rPr>
        <w:t>inpatient basis</w:t>
      </w:r>
      <w:r w:rsidR="004E7FAE" w:rsidRPr="008D42F9">
        <w:rPr>
          <w:rStyle w:val="FootnoteReference"/>
          <w:rFonts w:cstheme="minorHAnsi"/>
        </w:rPr>
        <w:footnoteReference w:id="6"/>
      </w:r>
      <w:r w:rsidR="002123FB" w:rsidRPr="008D42F9">
        <w:rPr>
          <w:rFonts w:cstheme="minorHAnsi"/>
        </w:rPr>
        <w:t xml:space="preserve">.   We also hope that patients who have elected to go across the border to </w:t>
      </w:r>
      <w:r w:rsidR="00CE15F9" w:rsidRPr="008D42F9">
        <w:rPr>
          <w:rFonts w:cstheme="minorHAnsi"/>
        </w:rPr>
        <w:t xml:space="preserve">Southwestern </w:t>
      </w:r>
      <w:r w:rsidR="002123FB" w:rsidRPr="008D42F9">
        <w:rPr>
          <w:rFonts w:cstheme="minorHAnsi"/>
        </w:rPr>
        <w:t xml:space="preserve">Vermont will return to NARH for their </w:t>
      </w:r>
      <w:r w:rsidR="00CE15F9" w:rsidRPr="008D42F9">
        <w:rPr>
          <w:rFonts w:cstheme="minorHAnsi"/>
        </w:rPr>
        <w:t>health services when the i</w:t>
      </w:r>
      <w:r w:rsidR="002123FB" w:rsidRPr="008D42F9">
        <w:rPr>
          <w:rFonts w:cstheme="minorHAnsi"/>
        </w:rPr>
        <w:t xml:space="preserve">npatient beds reopen.  Bringing these patients back into the health </w:t>
      </w:r>
      <w:r w:rsidR="00CE15F9" w:rsidRPr="008D42F9">
        <w:rPr>
          <w:rFonts w:cstheme="minorHAnsi"/>
        </w:rPr>
        <w:t xml:space="preserve">care </w:t>
      </w:r>
      <w:r w:rsidR="002123FB" w:rsidRPr="008D42F9">
        <w:rPr>
          <w:rFonts w:cstheme="minorHAnsi"/>
        </w:rPr>
        <w:t>system in their local community</w:t>
      </w:r>
      <w:r w:rsidR="00667719" w:rsidRPr="008D42F9">
        <w:rPr>
          <w:rFonts w:cstheme="minorHAnsi"/>
        </w:rPr>
        <w:t xml:space="preserve"> should reduce the TME as it</w:t>
      </w:r>
      <w:r w:rsidR="002123FB" w:rsidRPr="008D42F9">
        <w:rPr>
          <w:rFonts w:cstheme="minorHAnsi"/>
        </w:rPr>
        <w:t xml:space="preserve"> will </w:t>
      </w:r>
      <w:r w:rsidR="00667719" w:rsidRPr="008D42F9">
        <w:rPr>
          <w:rFonts w:cstheme="minorHAnsi"/>
        </w:rPr>
        <w:t xml:space="preserve">ensure their care is coordinated across </w:t>
      </w:r>
      <w:r w:rsidR="00CE15F9" w:rsidRPr="008D42F9">
        <w:rPr>
          <w:rFonts w:cstheme="minorHAnsi"/>
        </w:rPr>
        <w:t xml:space="preserve">their </w:t>
      </w:r>
      <w:r w:rsidR="00667719" w:rsidRPr="008D42F9">
        <w:rPr>
          <w:rFonts w:cstheme="minorHAnsi"/>
        </w:rPr>
        <w:t xml:space="preserve">providers </w:t>
      </w:r>
      <w:r w:rsidR="00CE15F9" w:rsidRPr="008D42F9">
        <w:rPr>
          <w:rFonts w:cstheme="minorHAnsi"/>
        </w:rPr>
        <w:t xml:space="preserve">through an integrated EMR </w:t>
      </w:r>
      <w:r w:rsidR="00667719" w:rsidRPr="008D42F9">
        <w:rPr>
          <w:rFonts w:cstheme="minorHAnsi"/>
        </w:rPr>
        <w:t xml:space="preserve">and </w:t>
      </w:r>
      <w:r w:rsidR="00CE15F9" w:rsidRPr="008D42F9">
        <w:rPr>
          <w:rFonts w:cstheme="minorHAnsi"/>
        </w:rPr>
        <w:t xml:space="preserve">will result in lower </w:t>
      </w:r>
      <w:r w:rsidR="002123FB" w:rsidRPr="008D42F9">
        <w:rPr>
          <w:rFonts w:cstheme="minorHAnsi"/>
        </w:rPr>
        <w:t>MassHealth</w:t>
      </w:r>
      <w:r w:rsidR="00667719" w:rsidRPr="008D42F9">
        <w:rPr>
          <w:rFonts w:cstheme="minorHAnsi"/>
        </w:rPr>
        <w:t xml:space="preserve"> </w:t>
      </w:r>
      <w:r w:rsidR="00CE15F9" w:rsidRPr="008D42F9">
        <w:rPr>
          <w:rFonts w:cstheme="minorHAnsi"/>
        </w:rPr>
        <w:t>costs f</w:t>
      </w:r>
      <w:r w:rsidR="00667719" w:rsidRPr="008D42F9">
        <w:rPr>
          <w:rFonts w:cstheme="minorHAnsi"/>
        </w:rPr>
        <w:t>or th</w:t>
      </w:r>
      <w:r w:rsidR="00CE15F9" w:rsidRPr="008D42F9">
        <w:rPr>
          <w:rFonts w:cstheme="minorHAnsi"/>
        </w:rPr>
        <w:t>eir</w:t>
      </w:r>
      <w:r w:rsidR="00667719" w:rsidRPr="008D42F9">
        <w:rPr>
          <w:rFonts w:cstheme="minorHAnsi"/>
        </w:rPr>
        <w:t xml:space="preserve"> care as out of state providers are reimbursed at a higher rate than the Applicant. </w:t>
      </w:r>
    </w:p>
    <w:p w14:paraId="1E905041" w14:textId="24C0642B" w:rsidR="00CE15F9" w:rsidRPr="008D42F9" w:rsidRDefault="00CE15F9" w:rsidP="00E61DF1">
      <w:pPr>
        <w:jc w:val="both"/>
      </w:pPr>
      <w:r w:rsidRPr="008D42F9">
        <w:rPr>
          <w:rFonts w:cstheme="minorHAnsi"/>
        </w:rPr>
        <w:t xml:space="preserve">Additionally, the swing beds further contribute to a lower TME. As stated by Medicare, “[t]he swing-bed concept allows a CAH to use its hospital beds interchangeably for either acute care or post-acute care. A “swing-bed” is a change in reimbursement status. The patient swings from receiving acute-care services and reimbursement to receiving skilled nursing (SNF) services and reimbursement.  Swing-bed patients receive a SNF level of care, and the CAH is reimbursed for providing a SNF level of care, however swing-bed patients are not SNF patients. Swing-bed patients in CAHs </w:t>
      </w:r>
      <w:proofErr w:type="gramStart"/>
      <w:r w:rsidRPr="008D42F9">
        <w:rPr>
          <w:rFonts w:cstheme="minorHAnsi"/>
        </w:rPr>
        <w:t>are considered to be</w:t>
      </w:r>
      <w:proofErr w:type="gramEnd"/>
      <w:r w:rsidRPr="008D42F9">
        <w:rPr>
          <w:rFonts w:cstheme="minorHAnsi"/>
        </w:rPr>
        <w:t xml:space="preserve"> patients of the CAH.  NOTE:  Swing-beds must not be confused with beds in a skilled nursing facility (SNF) or nursing facility (NF), including a distinct part SNF/NF, that shares the same building/campus as the CAH but is a separately certified provider with its own Medicare provider agreement.”</w:t>
      </w:r>
      <w:r w:rsidRPr="008D42F9">
        <w:rPr>
          <w:rStyle w:val="FootnoteReference"/>
          <w:rFonts w:cstheme="minorHAnsi"/>
        </w:rPr>
        <w:footnoteReference w:id="7"/>
      </w:r>
    </w:p>
    <w:p w14:paraId="01594129" w14:textId="77777777" w:rsidR="00AC205D" w:rsidRPr="008D42F9" w:rsidRDefault="00D828FC" w:rsidP="00D828FC">
      <w:pPr>
        <w:pStyle w:val="ListParagraph"/>
        <w:numPr>
          <w:ilvl w:val="0"/>
          <w:numId w:val="16"/>
        </w:numPr>
        <w:rPr>
          <w:rFonts w:cstheme="minorHAnsi"/>
          <w:b/>
        </w:rPr>
      </w:pPr>
      <w:r w:rsidRPr="008D42F9">
        <w:rPr>
          <w:rFonts w:cstheme="minorHAnsi"/>
          <w:b/>
        </w:rPr>
        <w:t>The application states that much of the North County patient population already receives health care from the Applicant either through the BMC Satellite Services or observation and/or inpatient care a BMC, so the overall cost to the patient should remain that same</w:t>
      </w:r>
      <w:r w:rsidR="004922AE" w:rsidRPr="008D42F9">
        <w:rPr>
          <w:rFonts w:cstheme="minorHAnsi"/>
          <w:b/>
        </w:rPr>
        <w:t xml:space="preserve"> (Narrative pg. 6)</w:t>
      </w:r>
      <w:r w:rsidRPr="008D42F9">
        <w:rPr>
          <w:rFonts w:cstheme="minorHAnsi"/>
          <w:b/>
        </w:rPr>
        <w:t>.</w:t>
      </w:r>
    </w:p>
    <w:p w14:paraId="5825790A" w14:textId="77777777" w:rsidR="00151442" w:rsidRPr="008D42F9" w:rsidRDefault="004922AE" w:rsidP="00DE099F">
      <w:pPr>
        <w:pStyle w:val="ListParagraph"/>
        <w:numPr>
          <w:ilvl w:val="1"/>
          <w:numId w:val="16"/>
        </w:numPr>
        <w:rPr>
          <w:rFonts w:cstheme="minorHAnsi"/>
          <w:b/>
        </w:rPr>
      </w:pPr>
      <w:r w:rsidRPr="008D42F9">
        <w:rPr>
          <w:rFonts w:cstheme="minorHAnsi"/>
          <w:b/>
        </w:rPr>
        <w:t>W</w:t>
      </w:r>
      <w:r w:rsidR="00151442" w:rsidRPr="008D42F9">
        <w:rPr>
          <w:rFonts w:cstheme="minorHAnsi"/>
          <w:b/>
        </w:rPr>
        <w:t>ill Medicare’s cost-based payments</w:t>
      </w:r>
      <w:r w:rsidR="00310E27" w:rsidRPr="008D42F9">
        <w:rPr>
          <w:b/>
        </w:rPr>
        <w:t xml:space="preserve"> impact </w:t>
      </w:r>
      <w:r w:rsidR="00310E27" w:rsidRPr="008D42F9">
        <w:rPr>
          <w:rFonts w:cstheme="minorHAnsi"/>
          <w:b/>
        </w:rPr>
        <w:t>cost</w:t>
      </w:r>
      <w:r w:rsidR="00AC2C3A" w:rsidRPr="008D42F9">
        <w:rPr>
          <w:rFonts w:cstheme="minorHAnsi"/>
          <w:b/>
        </w:rPr>
        <w:t xml:space="preserve"> </w:t>
      </w:r>
      <w:r w:rsidR="00310E27" w:rsidRPr="008D42F9">
        <w:rPr>
          <w:rFonts w:cstheme="minorHAnsi"/>
          <w:b/>
        </w:rPr>
        <w:t xml:space="preserve">sharing </w:t>
      </w:r>
      <w:r w:rsidR="00AC205D" w:rsidRPr="008D42F9">
        <w:rPr>
          <w:rFonts w:cstheme="minorHAnsi"/>
          <w:b/>
        </w:rPr>
        <w:t>for Medicare</w:t>
      </w:r>
      <w:r w:rsidR="00310E27" w:rsidRPr="008D42F9">
        <w:rPr>
          <w:rFonts w:cstheme="minorHAnsi"/>
          <w:b/>
        </w:rPr>
        <w:t xml:space="preserve"> beneficiaries?</w:t>
      </w:r>
      <w:r w:rsidR="002407B2" w:rsidRPr="008D42F9">
        <w:rPr>
          <w:rFonts w:cstheme="minorHAnsi"/>
          <w:b/>
        </w:rPr>
        <w:t xml:space="preserve"> Do you have any evidence from Fairview Hospital to show how it will impact patient costs?</w:t>
      </w:r>
    </w:p>
    <w:p w14:paraId="0895248E" w14:textId="736CC9CA" w:rsidR="00C06355" w:rsidRPr="00801057" w:rsidRDefault="008D42F9" w:rsidP="00E61DF1">
      <w:pPr>
        <w:jc w:val="both"/>
        <w:rPr>
          <w:rFonts w:cstheme="minorHAnsi"/>
          <w:b/>
        </w:rPr>
      </w:pPr>
      <w:r w:rsidRPr="00AA1093">
        <w:rPr>
          <w:rFonts w:cstheme="minorHAnsi"/>
          <w:u w:val="single"/>
        </w:rPr>
        <w:t>Response</w:t>
      </w:r>
      <w:r w:rsidRPr="00AA1093">
        <w:rPr>
          <w:rFonts w:cstheme="minorHAnsi"/>
        </w:rPr>
        <w:t>:</w:t>
      </w:r>
      <w:r>
        <w:rPr>
          <w:rFonts w:cstheme="minorHAnsi"/>
        </w:rPr>
        <w:t xml:space="preserve">  </w:t>
      </w:r>
      <w:r w:rsidR="009E630E" w:rsidRPr="008D42F9">
        <w:rPr>
          <w:rFonts w:cstheme="minorHAnsi"/>
        </w:rPr>
        <w:t xml:space="preserve">Consistent with reimbursement methodology for </w:t>
      </w:r>
      <w:r w:rsidR="009E630E" w:rsidRPr="00E61DF1">
        <w:rPr>
          <w:rFonts w:cstheme="minorHAnsi"/>
          <w:u w:val="single"/>
        </w:rPr>
        <w:t>all</w:t>
      </w:r>
      <w:r w:rsidR="009E630E" w:rsidRPr="008D42F9">
        <w:rPr>
          <w:rFonts w:cstheme="minorHAnsi"/>
        </w:rPr>
        <w:t xml:space="preserve"> critical access hospitals, </w:t>
      </w:r>
      <w:r w:rsidR="00C06355" w:rsidRPr="008D42F9">
        <w:rPr>
          <w:rFonts w:cstheme="minorHAnsi"/>
        </w:rPr>
        <w:t xml:space="preserve">Medicare patients that receive services </w:t>
      </w:r>
      <w:r w:rsidR="009E630E" w:rsidRPr="008D42F9">
        <w:rPr>
          <w:rFonts w:cstheme="minorHAnsi"/>
        </w:rPr>
        <w:t>in the</w:t>
      </w:r>
      <w:r w:rsidR="00C06355" w:rsidRPr="008D42F9">
        <w:rPr>
          <w:rFonts w:cstheme="minorHAnsi"/>
        </w:rPr>
        <w:t xml:space="preserve"> emergency room </w:t>
      </w:r>
      <w:r w:rsidR="009E630E" w:rsidRPr="008D42F9">
        <w:rPr>
          <w:rFonts w:cstheme="minorHAnsi"/>
        </w:rPr>
        <w:t xml:space="preserve">under observation status </w:t>
      </w:r>
      <w:r w:rsidR="00C06355" w:rsidRPr="008D42F9">
        <w:rPr>
          <w:rFonts w:cstheme="minorHAnsi"/>
        </w:rPr>
        <w:t>and then are admitted to an inpatient bed will have different cost sharing because Medicare treats these as separate events.   The Applicant estimates that 2% or less of</w:t>
      </w:r>
      <w:r w:rsidR="00502E93">
        <w:rPr>
          <w:rFonts w:cstheme="minorHAnsi"/>
        </w:rPr>
        <w:t xml:space="preserve"> the subset of</w:t>
      </w:r>
      <w:r w:rsidR="00C06355" w:rsidRPr="008D42F9">
        <w:rPr>
          <w:rFonts w:cstheme="minorHAnsi"/>
        </w:rPr>
        <w:t xml:space="preserve"> BMC North County patients who will be impacted by </w:t>
      </w:r>
      <w:r w:rsidR="009E630E" w:rsidRPr="008D42F9">
        <w:rPr>
          <w:rFonts w:cstheme="minorHAnsi"/>
        </w:rPr>
        <w:t xml:space="preserve">this </w:t>
      </w:r>
      <w:r w:rsidR="00C06355" w:rsidRPr="008D42F9">
        <w:rPr>
          <w:rFonts w:cstheme="minorHAnsi"/>
        </w:rPr>
        <w:t xml:space="preserve">additional cost-sharing do not carry a secondary insurance that will cover this additional cost.   Consistent with Fairview Hospital’s approach to this cost-sharing, the Applicant will support those patients </w:t>
      </w:r>
      <w:r w:rsidR="00CF0527" w:rsidRPr="008D42F9">
        <w:rPr>
          <w:rFonts w:cstheme="minorHAnsi"/>
        </w:rPr>
        <w:t xml:space="preserve">and any other eligible patients </w:t>
      </w:r>
      <w:r w:rsidR="00502E93">
        <w:rPr>
          <w:rFonts w:cstheme="minorHAnsi"/>
        </w:rPr>
        <w:t>through</w:t>
      </w:r>
      <w:r w:rsidR="00C06355" w:rsidRPr="008D42F9">
        <w:rPr>
          <w:rFonts w:cstheme="minorHAnsi"/>
        </w:rPr>
        <w:t xml:space="preserve"> its financial assistance policy.</w:t>
      </w:r>
      <w:r w:rsidR="00C06355">
        <w:rPr>
          <w:rFonts w:cstheme="minorHAnsi"/>
          <w:b/>
        </w:rPr>
        <w:t xml:space="preserve">  </w:t>
      </w:r>
    </w:p>
    <w:p w14:paraId="5ABB4AFF" w14:textId="77777777" w:rsidR="008D42F9" w:rsidRDefault="008D42F9" w:rsidP="00756F0D">
      <w:pPr>
        <w:rPr>
          <w:rFonts w:cstheme="minorHAnsi"/>
          <w:b/>
          <w:bCs/>
        </w:rPr>
      </w:pPr>
    </w:p>
    <w:p w14:paraId="3B402792" w14:textId="16774F56" w:rsidR="00756F0D" w:rsidRDefault="002407B2" w:rsidP="00756F0D">
      <w:pPr>
        <w:rPr>
          <w:rFonts w:cstheme="minorHAnsi"/>
          <w:b/>
          <w:bCs/>
        </w:rPr>
      </w:pPr>
      <w:r>
        <w:rPr>
          <w:rFonts w:cstheme="minorHAnsi"/>
          <w:b/>
          <w:bCs/>
        </w:rPr>
        <w:t>F</w:t>
      </w:r>
      <w:r w:rsidR="00756F0D" w:rsidRPr="00756F0D">
        <w:rPr>
          <w:rFonts w:cstheme="minorHAnsi"/>
          <w:b/>
          <w:bCs/>
        </w:rPr>
        <w:t>actor 5</w:t>
      </w:r>
    </w:p>
    <w:p w14:paraId="273AE49B" w14:textId="77777777" w:rsidR="00DE099F" w:rsidRPr="008D42F9" w:rsidRDefault="00756F0D" w:rsidP="00756F0D">
      <w:pPr>
        <w:pStyle w:val="ListParagraph"/>
        <w:numPr>
          <w:ilvl w:val="0"/>
          <w:numId w:val="16"/>
        </w:numPr>
        <w:rPr>
          <w:rFonts w:cstheme="minorHAnsi"/>
          <w:b/>
        </w:rPr>
      </w:pPr>
      <w:r w:rsidRPr="008D42F9">
        <w:rPr>
          <w:rFonts w:cstheme="minorHAnsi"/>
          <w:b/>
        </w:rPr>
        <w:t xml:space="preserve">How did the Applicant determine that the only alternative to the Proposed Project is to continue with the status quo? </w:t>
      </w:r>
    </w:p>
    <w:p w14:paraId="1960DC9D" w14:textId="77777777" w:rsidR="00756F0D" w:rsidRPr="008D42F9" w:rsidRDefault="00756F0D" w:rsidP="00DE099F">
      <w:pPr>
        <w:pStyle w:val="ListParagraph"/>
        <w:numPr>
          <w:ilvl w:val="1"/>
          <w:numId w:val="16"/>
        </w:numPr>
        <w:rPr>
          <w:rFonts w:cstheme="minorHAnsi"/>
          <w:b/>
        </w:rPr>
      </w:pPr>
      <w:r w:rsidRPr="008D42F9">
        <w:rPr>
          <w:rFonts w:cstheme="minorHAnsi"/>
          <w:b/>
        </w:rPr>
        <w:t>Were there any other alternatives explored</w:t>
      </w:r>
      <w:r w:rsidRPr="008D42F9">
        <w:rPr>
          <w:b/>
        </w:rPr>
        <w:t xml:space="preserve"> </w:t>
      </w:r>
      <w:r w:rsidRPr="008D42F9">
        <w:rPr>
          <w:rFonts w:cstheme="minorHAnsi"/>
          <w:b/>
        </w:rPr>
        <w:t>from a quality, efficiency, capital expense, and</w:t>
      </w:r>
      <w:r w:rsidR="00DE099F" w:rsidRPr="008D42F9">
        <w:rPr>
          <w:rFonts w:cstheme="minorHAnsi"/>
          <w:b/>
        </w:rPr>
        <w:t>/or</w:t>
      </w:r>
      <w:r w:rsidRPr="008D42F9">
        <w:rPr>
          <w:rFonts w:cstheme="minorHAnsi"/>
          <w:b/>
        </w:rPr>
        <w:t xml:space="preserve"> operating costs perspective.</w:t>
      </w:r>
    </w:p>
    <w:p w14:paraId="014A2576" w14:textId="12BE04A1" w:rsidR="0063766A" w:rsidRPr="008D42F9" w:rsidRDefault="008D42F9" w:rsidP="005E6352">
      <w:pPr>
        <w:jc w:val="both"/>
        <w:rPr>
          <w:rFonts w:cstheme="minorHAnsi"/>
        </w:rPr>
      </w:pPr>
      <w:r w:rsidRPr="00AA1093">
        <w:rPr>
          <w:rFonts w:cstheme="minorHAnsi"/>
          <w:u w:val="single"/>
        </w:rPr>
        <w:t>Response</w:t>
      </w:r>
      <w:r w:rsidRPr="00AA1093">
        <w:rPr>
          <w:rFonts w:cstheme="minorHAnsi"/>
        </w:rPr>
        <w:t>:</w:t>
      </w:r>
      <w:r>
        <w:rPr>
          <w:rFonts w:cstheme="minorHAnsi"/>
        </w:rPr>
        <w:t xml:space="preserve">  </w:t>
      </w:r>
      <w:r w:rsidR="00DF6E1D" w:rsidRPr="008D42F9">
        <w:rPr>
          <w:rFonts w:cstheme="minorHAnsi"/>
        </w:rPr>
        <w:t xml:space="preserve">From the time that the Applicant took over hospital services in North Adams, they have continuously explored alternatives from a quality, efficiency, capital expense and/or operating cost perspective.   The Applicant has implemented numerous initiatives resulting in not only bringing back </w:t>
      </w:r>
      <w:r w:rsidR="004E7FAE" w:rsidRPr="008D42F9">
        <w:rPr>
          <w:rFonts w:cstheme="minorHAnsi"/>
        </w:rPr>
        <w:t xml:space="preserve">the full array of outpatient services provided by the former </w:t>
      </w:r>
      <w:proofErr w:type="gramStart"/>
      <w:r w:rsidR="004E7FAE" w:rsidRPr="008D42F9">
        <w:rPr>
          <w:rFonts w:cstheme="minorHAnsi"/>
        </w:rPr>
        <w:t>hospital</w:t>
      </w:r>
      <w:r w:rsidR="00DF6E1D" w:rsidRPr="008D42F9">
        <w:rPr>
          <w:rFonts w:cstheme="minorHAnsi"/>
        </w:rPr>
        <w:t>, but</w:t>
      </w:r>
      <w:proofErr w:type="gramEnd"/>
      <w:r w:rsidR="00DF6E1D" w:rsidRPr="008D42F9">
        <w:rPr>
          <w:rFonts w:cstheme="minorHAnsi"/>
        </w:rPr>
        <w:t xml:space="preserve"> has expanded to add</w:t>
      </w:r>
      <w:r w:rsidR="004E7FAE" w:rsidRPr="008D42F9">
        <w:rPr>
          <w:rFonts w:cstheme="minorHAnsi"/>
        </w:rPr>
        <w:t xml:space="preserve"> dialysis and cardiac rehabilitation.  </w:t>
      </w:r>
      <w:r w:rsidR="0063766A" w:rsidRPr="008D42F9">
        <w:rPr>
          <w:rFonts w:cstheme="minorHAnsi"/>
        </w:rPr>
        <w:t>The Applicant is committed to serving North County</w:t>
      </w:r>
      <w:r w:rsidR="00DF6E1D" w:rsidRPr="008D42F9">
        <w:rPr>
          <w:rFonts w:cstheme="minorHAnsi"/>
        </w:rPr>
        <w:t xml:space="preserve"> and</w:t>
      </w:r>
      <w:r w:rsidR="0063766A" w:rsidRPr="008D42F9">
        <w:rPr>
          <w:rFonts w:cstheme="minorHAnsi"/>
        </w:rPr>
        <w:t xml:space="preserve"> would not reduce services. </w:t>
      </w:r>
    </w:p>
    <w:p w14:paraId="2DD9351E" w14:textId="182FB58E" w:rsidR="004E7FAE" w:rsidRPr="008D42F9" w:rsidRDefault="004E7FAE" w:rsidP="005E6352">
      <w:pPr>
        <w:jc w:val="both"/>
        <w:rPr>
          <w:rFonts w:cstheme="minorHAnsi"/>
        </w:rPr>
      </w:pPr>
      <w:r w:rsidRPr="008D42F9">
        <w:rPr>
          <w:rFonts w:cstheme="minorHAnsi"/>
        </w:rPr>
        <w:t xml:space="preserve">In 2014, </w:t>
      </w:r>
      <w:r w:rsidR="0063766A" w:rsidRPr="008D42F9">
        <w:rPr>
          <w:rFonts w:cstheme="minorHAnsi"/>
        </w:rPr>
        <w:t xml:space="preserve">when the former hospital abruptly closed, </w:t>
      </w:r>
      <w:r w:rsidRPr="008D42F9">
        <w:rPr>
          <w:rFonts w:cstheme="minorHAnsi"/>
        </w:rPr>
        <w:t>Stroudwater confirmed it was not feasible to reopen the hospital inpatient beds</w:t>
      </w:r>
      <w:r w:rsidR="0063766A" w:rsidRPr="008D42F9">
        <w:rPr>
          <w:rFonts w:cstheme="minorHAnsi"/>
        </w:rPr>
        <w:t xml:space="preserve"> without the CAH designation; however, the hospital could not qualify as a CAH under the federal rules at that time.   </w:t>
      </w:r>
      <w:r w:rsidRPr="008D42F9">
        <w:rPr>
          <w:rFonts w:cstheme="minorHAnsi"/>
        </w:rPr>
        <w:t xml:space="preserve">It was only a recent change in federal regulations that allowed the Applicant to follow through on Stroudwater’s recommendations in the 2014 report and reopen the inpatient beds as a CAH. </w:t>
      </w:r>
      <w:r w:rsidR="0063766A" w:rsidRPr="008D42F9">
        <w:rPr>
          <w:rFonts w:cstheme="minorHAnsi"/>
        </w:rPr>
        <w:t xml:space="preserve">  I</w:t>
      </w:r>
      <w:r w:rsidRPr="008D42F9">
        <w:rPr>
          <w:rFonts w:cstheme="minorHAnsi"/>
        </w:rPr>
        <w:t xml:space="preserve">f the Applicant could have reopened the North Adams Hospital as a CAH back in 2014 as recommended by Stroudwater it would have done so.  </w:t>
      </w:r>
    </w:p>
    <w:p w14:paraId="6C266423" w14:textId="77777777" w:rsidR="00502E93" w:rsidRDefault="00502E93" w:rsidP="00502E93">
      <w:pPr>
        <w:rPr>
          <w:rFonts w:cstheme="minorHAnsi"/>
          <w:b/>
        </w:rPr>
      </w:pPr>
    </w:p>
    <w:p w14:paraId="5890FA17" w14:textId="77777777" w:rsidR="00502E93" w:rsidRDefault="00502E93" w:rsidP="00502E93">
      <w:pPr>
        <w:rPr>
          <w:rFonts w:cstheme="minorHAnsi"/>
          <w:b/>
        </w:rPr>
      </w:pPr>
    </w:p>
    <w:p w14:paraId="051B4551" w14:textId="45E209CB" w:rsidR="00EA051E" w:rsidRDefault="00502E93" w:rsidP="00502E93">
      <w:r>
        <w:t xml:space="preserve"> </w:t>
      </w:r>
    </w:p>
    <w:bookmarkStart w:id="0" w:name="_iDocIDField_EOD"/>
    <w:p w14:paraId="45AED3FD" w14:textId="77777777" w:rsidR="008118E8" w:rsidRDefault="008118E8">
      <w:pPr>
        <w:pStyle w:val="DocID"/>
      </w:pPr>
      <w:r>
        <w:fldChar w:fldCharType="begin"/>
      </w:r>
      <w:r>
        <w:instrText xml:space="preserve">  DOCPROPERTY "CUS_DocIDChunk0" </w:instrText>
      </w:r>
      <w:r>
        <w:fldChar w:fldCharType="separate"/>
      </w:r>
      <w:r>
        <w:t>1240\0177\2033937.v1</w:t>
      </w:r>
      <w:r>
        <w:fldChar w:fldCharType="end"/>
      </w:r>
      <w:bookmarkEnd w:id="0"/>
    </w:p>
    <w:sectPr w:rsidR="008118E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A559F" w14:textId="77777777" w:rsidR="002C59FF" w:rsidRDefault="002C59FF" w:rsidP="00E45D1C">
      <w:pPr>
        <w:spacing w:after="0" w:line="240" w:lineRule="auto"/>
      </w:pPr>
      <w:r>
        <w:separator/>
      </w:r>
    </w:p>
  </w:endnote>
  <w:endnote w:type="continuationSeparator" w:id="0">
    <w:p w14:paraId="3CB245B5" w14:textId="77777777" w:rsidR="002C59FF" w:rsidRDefault="002C59FF" w:rsidP="00E45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E9F7C" w14:textId="77777777" w:rsidR="005E7CE5" w:rsidRDefault="005E7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464395"/>
      <w:docPartObj>
        <w:docPartGallery w:val="Page Numbers (Bottom of Page)"/>
        <w:docPartUnique/>
      </w:docPartObj>
    </w:sdtPr>
    <w:sdtEndPr>
      <w:rPr>
        <w:noProof/>
      </w:rPr>
    </w:sdtEndPr>
    <w:sdtContent>
      <w:p w14:paraId="698F6276" w14:textId="20EFB8EF" w:rsidR="00A6349B" w:rsidRDefault="00A6349B">
        <w:pPr>
          <w:pStyle w:val="Footer"/>
          <w:jc w:val="center"/>
        </w:pPr>
        <w:r>
          <w:fldChar w:fldCharType="begin"/>
        </w:r>
        <w:r>
          <w:instrText xml:space="preserve"> PAGE   \* MERGEFORMAT </w:instrText>
        </w:r>
        <w:r>
          <w:fldChar w:fldCharType="separate"/>
        </w:r>
        <w:r w:rsidR="008118E8">
          <w:rPr>
            <w:noProof/>
          </w:rPr>
          <w:t>1</w:t>
        </w:r>
        <w:r>
          <w:rPr>
            <w:noProof/>
          </w:rPr>
          <w:fldChar w:fldCharType="end"/>
        </w:r>
      </w:p>
    </w:sdtContent>
  </w:sdt>
  <w:p w14:paraId="3CC12D7F" w14:textId="77777777" w:rsidR="00A6349B" w:rsidRDefault="00A634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6BA5" w14:textId="77777777" w:rsidR="005E7CE5" w:rsidRDefault="005E7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EA32D" w14:textId="77777777" w:rsidR="002C59FF" w:rsidRDefault="002C59FF" w:rsidP="00E45D1C">
      <w:pPr>
        <w:spacing w:after="0" w:line="240" w:lineRule="auto"/>
      </w:pPr>
      <w:r>
        <w:separator/>
      </w:r>
    </w:p>
  </w:footnote>
  <w:footnote w:type="continuationSeparator" w:id="0">
    <w:p w14:paraId="266382D7" w14:textId="77777777" w:rsidR="002C59FF" w:rsidRDefault="002C59FF" w:rsidP="00E45D1C">
      <w:pPr>
        <w:spacing w:after="0" w:line="240" w:lineRule="auto"/>
      </w:pPr>
      <w:r>
        <w:continuationSeparator/>
      </w:r>
    </w:p>
  </w:footnote>
  <w:footnote w:id="1">
    <w:p w14:paraId="247FAEF9" w14:textId="77777777" w:rsidR="00A6349B" w:rsidRDefault="00A6349B" w:rsidP="00A6349B">
      <w:pPr>
        <w:pStyle w:val="ListParagraph"/>
        <w:rPr>
          <w:rFonts w:ascii="Calibri" w:hAnsi="Calibri" w:cs="Calibri"/>
        </w:rPr>
      </w:pPr>
      <w:r>
        <w:rPr>
          <w:rStyle w:val="FootnoteReference"/>
        </w:rPr>
        <w:footnoteRef/>
      </w:r>
      <w:r>
        <w:t xml:space="preserve"> *Other Zip Codes for Acute = 01343, 01350, 12022, 12138</w:t>
      </w:r>
    </w:p>
    <w:p w14:paraId="51683B0E" w14:textId="77777777" w:rsidR="00A6349B" w:rsidRDefault="00A6349B" w:rsidP="00A6349B">
      <w:pPr>
        <w:pStyle w:val="FootnoteText"/>
      </w:pPr>
    </w:p>
  </w:footnote>
  <w:footnote w:id="2">
    <w:p w14:paraId="48F89325" w14:textId="2FDFCB2C" w:rsidR="00A6349B" w:rsidRDefault="00A6349B">
      <w:pPr>
        <w:pStyle w:val="FootnoteText"/>
      </w:pPr>
      <w:r>
        <w:rPr>
          <w:rStyle w:val="FootnoteReference"/>
        </w:rPr>
        <w:footnoteRef/>
      </w:r>
      <w:r>
        <w:t xml:space="preserve"> </w:t>
      </w:r>
      <w:hyperlink r:id="rId1" w:history="1">
        <w:r w:rsidR="00AF6943" w:rsidRPr="00B77D36">
          <w:rPr>
            <w:rStyle w:val="Hyperlink"/>
          </w:rPr>
          <w:t>https://www.census.gov/quickfacts/fact/table/berkshirecountymassachusetts/INC110219</w:t>
        </w:r>
      </w:hyperlink>
      <w:r w:rsidR="00AF6943">
        <w:t xml:space="preserve"> </w:t>
      </w:r>
    </w:p>
  </w:footnote>
  <w:footnote w:id="3">
    <w:p w14:paraId="0331C398" w14:textId="78C04097" w:rsidR="00A6349B" w:rsidRDefault="00A6349B" w:rsidP="009D3F2F">
      <w:pPr>
        <w:pStyle w:val="FootnoteText"/>
      </w:pPr>
      <w:r>
        <w:rPr>
          <w:rStyle w:val="FootnoteReference"/>
        </w:rPr>
        <w:footnoteRef/>
      </w:r>
      <w:r>
        <w:t xml:space="preserve"> </w:t>
      </w:r>
      <w:hyperlink r:id="rId2" w:history="1">
        <w:r w:rsidR="00AF6943" w:rsidRPr="00B77D36">
          <w:rPr>
            <w:rStyle w:val="Hyperlink"/>
          </w:rPr>
          <w:t>https://www.mass.gov/doc/weekly-covid-19-public-health-report-june-24-2021/download</w:t>
        </w:r>
      </w:hyperlink>
      <w:r w:rsidR="00AF6943">
        <w:t xml:space="preserve"> </w:t>
      </w:r>
    </w:p>
  </w:footnote>
  <w:footnote w:id="4">
    <w:p w14:paraId="6C16264A" w14:textId="2DEABE3F" w:rsidR="00022CF0" w:rsidRDefault="00022CF0">
      <w:pPr>
        <w:pStyle w:val="FootnoteText"/>
      </w:pPr>
      <w:r>
        <w:rPr>
          <w:rStyle w:val="FootnoteReference"/>
        </w:rPr>
        <w:footnoteRef/>
      </w:r>
      <w:r>
        <w:t xml:space="preserve"> See CMS HHSN Weekly Data </w:t>
      </w:r>
      <w:r w:rsidR="00A74126">
        <w:t>(also cited in the</w:t>
      </w:r>
      <w:r>
        <w:t xml:space="preserve"> Massachusetts Senior Care</w:t>
      </w:r>
      <w:r w:rsidR="00A74126">
        <w:t xml:space="preserve"> Association</w:t>
      </w:r>
      <w:r>
        <w:t xml:space="preserve"> November 3, </w:t>
      </w:r>
      <w:proofErr w:type="gramStart"/>
      <w:r>
        <w:t>2023</w:t>
      </w:r>
      <w:proofErr w:type="gramEnd"/>
      <w:r>
        <w:t xml:space="preserve"> written comments </w:t>
      </w:r>
      <w:r w:rsidR="00855FF8">
        <w:t>to the</w:t>
      </w:r>
      <w:r>
        <w:t xml:space="preserve"> Application</w:t>
      </w:r>
      <w:r w:rsidR="00A74126">
        <w:t>)</w:t>
      </w:r>
      <w:r>
        <w:t>.</w:t>
      </w:r>
    </w:p>
  </w:footnote>
  <w:footnote w:id="5">
    <w:p w14:paraId="4EFF2B59" w14:textId="7F9AF0EE" w:rsidR="00B77C75" w:rsidRDefault="00B77C75">
      <w:pPr>
        <w:pStyle w:val="FootnoteText"/>
      </w:pPr>
      <w:r>
        <w:rPr>
          <w:rStyle w:val="FootnoteReference"/>
        </w:rPr>
        <w:footnoteRef/>
      </w:r>
      <w:r>
        <w:t xml:space="preserve"> </w:t>
      </w:r>
      <w:r w:rsidR="00A74126">
        <w:t>With</w:t>
      </w:r>
      <w:r w:rsidR="00623F11">
        <w:t xml:space="preserve"> Applicant’s</w:t>
      </w:r>
      <w:r w:rsidR="00035B8A">
        <w:t xml:space="preserve"> behavioral health resources</w:t>
      </w:r>
      <w:r w:rsidR="00623F11">
        <w:t>,</w:t>
      </w:r>
      <w:r w:rsidR="00035B8A">
        <w:t xml:space="preserve"> t</w:t>
      </w:r>
      <w:r>
        <w:t xml:space="preserve">here is an opportunity to </w:t>
      </w:r>
      <w:r w:rsidR="00A74126">
        <w:t>add</w:t>
      </w:r>
      <w:r w:rsidR="00623F11">
        <w:t xml:space="preserve"> hospital-based</w:t>
      </w:r>
      <w:r w:rsidR="00A74126">
        <w:t xml:space="preserve"> outpatient treatment</w:t>
      </w:r>
      <w:r w:rsidR="00623F11">
        <w:t xml:space="preserve"> in coordination with </w:t>
      </w:r>
      <w:r>
        <w:t>a swing bed stay.</w:t>
      </w:r>
    </w:p>
  </w:footnote>
  <w:footnote w:id="6">
    <w:p w14:paraId="272946D5" w14:textId="77777777" w:rsidR="00A6349B" w:rsidRDefault="00A6349B">
      <w:pPr>
        <w:pStyle w:val="FootnoteText"/>
      </w:pPr>
      <w:r>
        <w:rPr>
          <w:rStyle w:val="FootnoteReference"/>
        </w:rPr>
        <w:footnoteRef/>
      </w:r>
      <w:r>
        <w:t xml:space="preserve"> The Determination of Need Program has cited in numerous staff reports that “increasing access to care and reducing delays in diagnoses and treatment can reduce costs.”  </w:t>
      </w:r>
    </w:p>
  </w:footnote>
  <w:footnote w:id="7">
    <w:p w14:paraId="758F1E16" w14:textId="77777777" w:rsidR="00A6349B" w:rsidRDefault="00A6349B">
      <w:pPr>
        <w:pStyle w:val="FootnoteText"/>
      </w:pPr>
      <w:r>
        <w:rPr>
          <w:rStyle w:val="FootnoteReference"/>
        </w:rPr>
        <w:footnoteRef/>
      </w:r>
      <w:r>
        <w:t xml:space="preserve"> </w:t>
      </w:r>
      <w:hyperlink r:id="rId3" w:anchor="page=233" w:history="1">
        <w:r w:rsidRPr="00CE15F9">
          <w:rPr>
            <w:rStyle w:val="Hyperlink"/>
          </w:rPr>
          <w:t>Medicare State Operations Manual, Appendix W</w:t>
        </w:r>
      </w:hyperlink>
      <w:r>
        <w:t xml:space="preserve"> See the Interpretive Guidelines for </w:t>
      </w:r>
      <w:r>
        <w:rPr>
          <w:rFonts w:cstheme="minorHAnsi"/>
        </w:rPr>
        <w:t>§</w:t>
      </w:r>
      <w:proofErr w:type="gramStart"/>
      <w:r>
        <w:t>485.645</w:t>
      </w:r>
      <w:proofErr w:type="gramEnd"/>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E8D9" w14:textId="77777777" w:rsidR="00A6349B" w:rsidRDefault="00000000">
    <w:pPr>
      <w:pStyle w:val="Header"/>
    </w:pPr>
    <w:r>
      <w:rPr>
        <w:noProof/>
      </w:rPr>
      <w:pict w14:anchorId="7FCF2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1118E" w14:textId="77777777" w:rsidR="00A6349B" w:rsidRDefault="00A6349B" w:rsidP="004B35D9">
    <w:pPr>
      <w:pStyle w:val="Header"/>
      <w:jc w:val="center"/>
      <w:rPr>
        <w:b/>
        <w:bCs/>
        <w:sz w:val="28"/>
        <w:szCs w:val="28"/>
      </w:rPr>
    </w:pPr>
    <w:r>
      <w:rPr>
        <w:b/>
        <w:bCs/>
        <w:sz w:val="28"/>
        <w:szCs w:val="28"/>
      </w:rPr>
      <w:t>Berkshire Health Systems, Inc.</w:t>
    </w:r>
  </w:p>
  <w:p w14:paraId="1B4B3FAB" w14:textId="77777777" w:rsidR="00A6349B" w:rsidRDefault="00A6349B" w:rsidP="004B35D9">
    <w:pPr>
      <w:pStyle w:val="Header"/>
      <w:jc w:val="center"/>
      <w:rPr>
        <w:b/>
        <w:bCs/>
        <w:sz w:val="28"/>
        <w:szCs w:val="28"/>
      </w:rPr>
    </w:pPr>
    <w:r>
      <w:rPr>
        <w:b/>
        <w:bCs/>
        <w:sz w:val="28"/>
        <w:szCs w:val="28"/>
      </w:rPr>
      <w:t xml:space="preserve">North Adams Regional Hospital </w:t>
    </w:r>
  </w:p>
  <w:p w14:paraId="30D636BF" w14:textId="77777777" w:rsidR="00A6349B" w:rsidRDefault="00A6349B" w:rsidP="004B35D9">
    <w:pPr>
      <w:pStyle w:val="Header"/>
      <w:jc w:val="center"/>
      <w:rPr>
        <w:b/>
        <w:bCs/>
        <w:sz w:val="28"/>
        <w:szCs w:val="28"/>
      </w:rPr>
    </w:pPr>
    <w:proofErr w:type="spellStart"/>
    <w:r>
      <w:rPr>
        <w:b/>
        <w:bCs/>
        <w:sz w:val="28"/>
        <w:szCs w:val="28"/>
      </w:rPr>
      <w:t>DoN</w:t>
    </w:r>
    <w:proofErr w:type="spellEnd"/>
    <w:r>
      <w:rPr>
        <w:b/>
        <w:bCs/>
        <w:sz w:val="28"/>
        <w:szCs w:val="28"/>
      </w:rPr>
      <w:t xml:space="preserve"> # BHS-23072710-OL</w:t>
    </w:r>
  </w:p>
  <w:p w14:paraId="24FF1CFF" w14:textId="77777777" w:rsidR="00A6349B" w:rsidRPr="00872E44" w:rsidRDefault="00A6349B" w:rsidP="004B35D9">
    <w:pPr>
      <w:pStyle w:val="Header"/>
      <w:jc w:val="center"/>
      <w:rPr>
        <w:b/>
        <w:bC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70197" w14:textId="77777777" w:rsidR="005E7CE5" w:rsidRDefault="005E7C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E24AF"/>
    <w:multiLevelType w:val="hybridMultilevel"/>
    <w:tmpl w:val="0B587142"/>
    <w:lvl w:ilvl="0" w:tplc="4B964EA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220A4"/>
    <w:multiLevelType w:val="hybridMultilevel"/>
    <w:tmpl w:val="270C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90564"/>
    <w:multiLevelType w:val="hybridMultilevel"/>
    <w:tmpl w:val="9454D19E"/>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CA3199"/>
    <w:multiLevelType w:val="hybridMultilevel"/>
    <w:tmpl w:val="2A02E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AC40B6"/>
    <w:multiLevelType w:val="hybridMultilevel"/>
    <w:tmpl w:val="0E8A0CF6"/>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D85C2A"/>
    <w:multiLevelType w:val="hybridMultilevel"/>
    <w:tmpl w:val="040CBA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747152F"/>
    <w:multiLevelType w:val="hybridMultilevel"/>
    <w:tmpl w:val="2006DC86"/>
    <w:lvl w:ilvl="0" w:tplc="83F6DFB4">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3076BA"/>
    <w:multiLevelType w:val="multilevel"/>
    <w:tmpl w:val="3C98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F935E7"/>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F8658D"/>
    <w:multiLevelType w:val="hybridMultilevel"/>
    <w:tmpl w:val="F55E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9A3BCE"/>
    <w:multiLevelType w:val="hybridMultilevel"/>
    <w:tmpl w:val="9E3E30CA"/>
    <w:lvl w:ilvl="0" w:tplc="26248E2C">
      <w:start w:val="2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F8E752A"/>
    <w:multiLevelType w:val="hybridMultilevel"/>
    <w:tmpl w:val="ED42AE84"/>
    <w:lvl w:ilvl="0" w:tplc="7C4027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9A348E"/>
    <w:multiLevelType w:val="hybridMultilevel"/>
    <w:tmpl w:val="496C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311A3C"/>
    <w:multiLevelType w:val="hybridMultilevel"/>
    <w:tmpl w:val="451EE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251F02"/>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F11E21"/>
    <w:multiLevelType w:val="hybridMultilevel"/>
    <w:tmpl w:val="8AEA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CCE2FD2"/>
    <w:multiLevelType w:val="hybridMultilevel"/>
    <w:tmpl w:val="91864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87200599">
    <w:abstractNumId w:val="13"/>
  </w:num>
  <w:num w:numId="2" w16cid:durableId="1728256990">
    <w:abstractNumId w:val="3"/>
  </w:num>
  <w:num w:numId="3" w16cid:durableId="15736357">
    <w:abstractNumId w:val="12"/>
  </w:num>
  <w:num w:numId="4" w16cid:durableId="1847136680">
    <w:abstractNumId w:val="18"/>
  </w:num>
  <w:num w:numId="5" w16cid:durableId="781416933">
    <w:abstractNumId w:val="14"/>
  </w:num>
  <w:num w:numId="6" w16cid:durableId="1422292018">
    <w:abstractNumId w:val="16"/>
  </w:num>
  <w:num w:numId="7" w16cid:durableId="8040027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9829205">
    <w:abstractNumId w:val="9"/>
  </w:num>
  <w:num w:numId="9" w16cid:durableId="611937781">
    <w:abstractNumId w:val="1"/>
  </w:num>
  <w:num w:numId="10" w16cid:durableId="1918243052">
    <w:abstractNumId w:val="4"/>
  </w:num>
  <w:num w:numId="11" w16cid:durableId="670303341">
    <w:abstractNumId w:val="0"/>
  </w:num>
  <w:num w:numId="12" w16cid:durableId="57943110">
    <w:abstractNumId w:val="10"/>
  </w:num>
  <w:num w:numId="13" w16cid:durableId="284124792">
    <w:abstractNumId w:val="5"/>
  </w:num>
  <w:num w:numId="14" w16cid:durableId="1888297860">
    <w:abstractNumId w:val="8"/>
  </w:num>
  <w:num w:numId="15" w16cid:durableId="519591934">
    <w:abstractNumId w:val="2"/>
  </w:num>
  <w:num w:numId="16" w16cid:durableId="839584259">
    <w:abstractNumId w:val="7"/>
  </w:num>
  <w:num w:numId="17" w16cid:durableId="1602106508">
    <w:abstractNumId w:val="15"/>
  </w:num>
  <w:num w:numId="18" w16cid:durableId="652221474">
    <w:abstractNumId w:val="6"/>
  </w:num>
  <w:num w:numId="19" w16cid:durableId="1908220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C7D"/>
    <w:rsid w:val="00005616"/>
    <w:rsid w:val="00006750"/>
    <w:rsid w:val="0001602B"/>
    <w:rsid w:val="000166BD"/>
    <w:rsid w:val="0001718E"/>
    <w:rsid w:val="000201A4"/>
    <w:rsid w:val="00020571"/>
    <w:rsid w:val="00022ACF"/>
    <w:rsid w:val="00022CF0"/>
    <w:rsid w:val="00022EF7"/>
    <w:rsid w:val="00023287"/>
    <w:rsid w:val="00024DF5"/>
    <w:rsid w:val="00025270"/>
    <w:rsid w:val="00035B8A"/>
    <w:rsid w:val="00037986"/>
    <w:rsid w:val="0004417D"/>
    <w:rsid w:val="000521F8"/>
    <w:rsid w:val="00055D9B"/>
    <w:rsid w:val="00057914"/>
    <w:rsid w:val="00062044"/>
    <w:rsid w:val="00071E4D"/>
    <w:rsid w:val="00075B8D"/>
    <w:rsid w:val="000768E5"/>
    <w:rsid w:val="00076BA1"/>
    <w:rsid w:val="00077704"/>
    <w:rsid w:val="000819BE"/>
    <w:rsid w:val="0008378E"/>
    <w:rsid w:val="00084492"/>
    <w:rsid w:val="0008545A"/>
    <w:rsid w:val="00087563"/>
    <w:rsid w:val="00090684"/>
    <w:rsid w:val="00093B92"/>
    <w:rsid w:val="0009582E"/>
    <w:rsid w:val="000962A6"/>
    <w:rsid w:val="000A06E9"/>
    <w:rsid w:val="000A33BD"/>
    <w:rsid w:val="000A6E13"/>
    <w:rsid w:val="000B19E7"/>
    <w:rsid w:val="000B4C1D"/>
    <w:rsid w:val="000C0238"/>
    <w:rsid w:val="000C17D1"/>
    <w:rsid w:val="000C4F63"/>
    <w:rsid w:val="000C63A8"/>
    <w:rsid w:val="000D1155"/>
    <w:rsid w:val="000E2E2E"/>
    <w:rsid w:val="000E788A"/>
    <w:rsid w:val="000F4352"/>
    <w:rsid w:val="00101DAD"/>
    <w:rsid w:val="00107578"/>
    <w:rsid w:val="00110796"/>
    <w:rsid w:val="001117BF"/>
    <w:rsid w:val="001147F0"/>
    <w:rsid w:val="00126514"/>
    <w:rsid w:val="00130034"/>
    <w:rsid w:val="00137228"/>
    <w:rsid w:val="001418CE"/>
    <w:rsid w:val="00142C32"/>
    <w:rsid w:val="00144AAB"/>
    <w:rsid w:val="00150334"/>
    <w:rsid w:val="00150443"/>
    <w:rsid w:val="00151442"/>
    <w:rsid w:val="00152067"/>
    <w:rsid w:val="00154DFC"/>
    <w:rsid w:val="00157D38"/>
    <w:rsid w:val="001638BE"/>
    <w:rsid w:val="00163C19"/>
    <w:rsid w:val="001649EA"/>
    <w:rsid w:val="001665EA"/>
    <w:rsid w:val="00167CC3"/>
    <w:rsid w:val="00170DE5"/>
    <w:rsid w:val="00175714"/>
    <w:rsid w:val="0018406F"/>
    <w:rsid w:val="00187159"/>
    <w:rsid w:val="001873ED"/>
    <w:rsid w:val="00190496"/>
    <w:rsid w:val="00193038"/>
    <w:rsid w:val="0019409A"/>
    <w:rsid w:val="0019751B"/>
    <w:rsid w:val="0019763E"/>
    <w:rsid w:val="001A40B7"/>
    <w:rsid w:val="001B4F20"/>
    <w:rsid w:val="001B51FF"/>
    <w:rsid w:val="001C58CB"/>
    <w:rsid w:val="001C7CDD"/>
    <w:rsid w:val="001D06B7"/>
    <w:rsid w:val="001D14BE"/>
    <w:rsid w:val="001D3878"/>
    <w:rsid w:val="001D7789"/>
    <w:rsid w:val="001E2E1B"/>
    <w:rsid w:val="001E4287"/>
    <w:rsid w:val="001F1181"/>
    <w:rsid w:val="001F311C"/>
    <w:rsid w:val="001F36BA"/>
    <w:rsid w:val="00202788"/>
    <w:rsid w:val="00203870"/>
    <w:rsid w:val="002059BD"/>
    <w:rsid w:val="002059E0"/>
    <w:rsid w:val="00211189"/>
    <w:rsid w:val="002123FB"/>
    <w:rsid w:val="00220874"/>
    <w:rsid w:val="00221DE5"/>
    <w:rsid w:val="00223D9C"/>
    <w:rsid w:val="0023173B"/>
    <w:rsid w:val="002331C6"/>
    <w:rsid w:val="002407B2"/>
    <w:rsid w:val="002437DF"/>
    <w:rsid w:val="002468A2"/>
    <w:rsid w:val="00247513"/>
    <w:rsid w:val="00252F12"/>
    <w:rsid w:val="00257231"/>
    <w:rsid w:val="00264904"/>
    <w:rsid w:val="00273F1C"/>
    <w:rsid w:val="00275AD8"/>
    <w:rsid w:val="00276104"/>
    <w:rsid w:val="0028203A"/>
    <w:rsid w:val="0029547F"/>
    <w:rsid w:val="002957A3"/>
    <w:rsid w:val="002A485F"/>
    <w:rsid w:val="002B0B0C"/>
    <w:rsid w:val="002B0CBB"/>
    <w:rsid w:val="002C0853"/>
    <w:rsid w:val="002C0C5B"/>
    <w:rsid w:val="002C0F9E"/>
    <w:rsid w:val="002C59FF"/>
    <w:rsid w:val="002D3A78"/>
    <w:rsid w:val="002D520A"/>
    <w:rsid w:val="002E2029"/>
    <w:rsid w:val="002E7C22"/>
    <w:rsid w:val="002F12EA"/>
    <w:rsid w:val="002F2EA3"/>
    <w:rsid w:val="002F3C9F"/>
    <w:rsid w:val="002F40F6"/>
    <w:rsid w:val="002F4542"/>
    <w:rsid w:val="00303B5B"/>
    <w:rsid w:val="003054CD"/>
    <w:rsid w:val="003065B2"/>
    <w:rsid w:val="00306967"/>
    <w:rsid w:val="00310E27"/>
    <w:rsid w:val="00313E62"/>
    <w:rsid w:val="003155FA"/>
    <w:rsid w:val="00317099"/>
    <w:rsid w:val="0032463B"/>
    <w:rsid w:val="00324D16"/>
    <w:rsid w:val="003250DC"/>
    <w:rsid w:val="00327809"/>
    <w:rsid w:val="0033289B"/>
    <w:rsid w:val="003535B2"/>
    <w:rsid w:val="0036169E"/>
    <w:rsid w:val="00371B35"/>
    <w:rsid w:val="00381830"/>
    <w:rsid w:val="00381C32"/>
    <w:rsid w:val="00392435"/>
    <w:rsid w:val="003949CE"/>
    <w:rsid w:val="003A1DF2"/>
    <w:rsid w:val="003A2DC1"/>
    <w:rsid w:val="003A42C0"/>
    <w:rsid w:val="003A5DE9"/>
    <w:rsid w:val="003B0E66"/>
    <w:rsid w:val="003B472F"/>
    <w:rsid w:val="003B5351"/>
    <w:rsid w:val="003C1C99"/>
    <w:rsid w:val="003C590D"/>
    <w:rsid w:val="003D0850"/>
    <w:rsid w:val="003D78E0"/>
    <w:rsid w:val="003E14AB"/>
    <w:rsid w:val="003E1923"/>
    <w:rsid w:val="003E1E80"/>
    <w:rsid w:val="003F052A"/>
    <w:rsid w:val="003F3FD9"/>
    <w:rsid w:val="003F5BE3"/>
    <w:rsid w:val="00412820"/>
    <w:rsid w:val="00416671"/>
    <w:rsid w:val="00422B3E"/>
    <w:rsid w:val="004235D6"/>
    <w:rsid w:val="0042381E"/>
    <w:rsid w:val="00430D4A"/>
    <w:rsid w:val="00431FF9"/>
    <w:rsid w:val="00441B9C"/>
    <w:rsid w:val="00442E58"/>
    <w:rsid w:val="00444549"/>
    <w:rsid w:val="00452A64"/>
    <w:rsid w:val="00453A6F"/>
    <w:rsid w:val="00460A29"/>
    <w:rsid w:val="00464521"/>
    <w:rsid w:val="00466D32"/>
    <w:rsid w:val="00467DD5"/>
    <w:rsid w:val="0047061C"/>
    <w:rsid w:val="00471339"/>
    <w:rsid w:val="004722DA"/>
    <w:rsid w:val="00472621"/>
    <w:rsid w:val="00473A63"/>
    <w:rsid w:val="00476310"/>
    <w:rsid w:val="00481166"/>
    <w:rsid w:val="00486553"/>
    <w:rsid w:val="0048772E"/>
    <w:rsid w:val="004922AE"/>
    <w:rsid w:val="004A0435"/>
    <w:rsid w:val="004A7467"/>
    <w:rsid w:val="004A7AC3"/>
    <w:rsid w:val="004B35D9"/>
    <w:rsid w:val="004B4C63"/>
    <w:rsid w:val="004B53ED"/>
    <w:rsid w:val="004B616C"/>
    <w:rsid w:val="004C2F89"/>
    <w:rsid w:val="004C40EF"/>
    <w:rsid w:val="004C4578"/>
    <w:rsid w:val="004C515A"/>
    <w:rsid w:val="004D4F2A"/>
    <w:rsid w:val="004D5803"/>
    <w:rsid w:val="004E3CEE"/>
    <w:rsid w:val="004E4515"/>
    <w:rsid w:val="004E7FAE"/>
    <w:rsid w:val="004F2E15"/>
    <w:rsid w:val="004F3E54"/>
    <w:rsid w:val="004F4474"/>
    <w:rsid w:val="004F5731"/>
    <w:rsid w:val="00502780"/>
    <w:rsid w:val="00502E93"/>
    <w:rsid w:val="00504EE4"/>
    <w:rsid w:val="0050594A"/>
    <w:rsid w:val="00512490"/>
    <w:rsid w:val="005162D4"/>
    <w:rsid w:val="00516D13"/>
    <w:rsid w:val="005254F0"/>
    <w:rsid w:val="00525D53"/>
    <w:rsid w:val="0053364D"/>
    <w:rsid w:val="005462CF"/>
    <w:rsid w:val="00547298"/>
    <w:rsid w:val="00550CD0"/>
    <w:rsid w:val="00551BF9"/>
    <w:rsid w:val="005660A2"/>
    <w:rsid w:val="005672AD"/>
    <w:rsid w:val="005756F8"/>
    <w:rsid w:val="00580403"/>
    <w:rsid w:val="005836E9"/>
    <w:rsid w:val="00593BD5"/>
    <w:rsid w:val="00596A0E"/>
    <w:rsid w:val="00597C1C"/>
    <w:rsid w:val="005A2195"/>
    <w:rsid w:val="005B2002"/>
    <w:rsid w:val="005B3DAD"/>
    <w:rsid w:val="005B4652"/>
    <w:rsid w:val="005B466B"/>
    <w:rsid w:val="005B6DF5"/>
    <w:rsid w:val="005B7293"/>
    <w:rsid w:val="005C6635"/>
    <w:rsid w:val="005D0ED5"/>
    <w:rsid w:val="005D1437"/>
    <w:rsid w:val="005E04B5"/>
    <w:rsid w:val="005E2DD7"/>
    <w:rsid w:val="005E3294"/>
    <w:rsid w:val="005E5080"/>
    <w:rsid w:val="005E5577"/>
    <w:rsid w:val="005E6352"/>
    <w:rsid w:val="005E7CE5"/>
    <w:rsid w:val="005F287D"/>
    <w:rsid w:val="005F3A24"/>
    <w:rsid w:val="005F3FDA"/>
    <w:rsid w:val="005F4871"/>
    <w:rsid w:val="00606EE8"/>
    <w:rsid w:val="00610861"/>
    <w:rsid w:val="00611585"/>
    <w:rsid w:val="00622537"/>
    <w:rsid w:val="0062331E"/>
    <w:rsid w:val="00623F11"/>
    <w:rsid w:val="00631B65"/>
    <w:rsid w:val="006345D0"/>
    <w:rsid w:val="0063766A"/>
    <w:rsid w:val="006501D0"/>
    <w:rsid w:val="00651B37"/>
    <w:rsid w:val="006646FC"/>
    <w:rsid w:val="0066476A"/>
    <w:rsid w:val="0066604A"/>
    <w:rsid w:val="0066746F"/>
    <w:rsid w:val="00667719"/>
    <w:rsid w:val="00671A4C"/>
    <w:rsid w:val="00673DBE"/>
    <w:rsid w:val="00676C6C"/>
    <w:rsid w:val="00682421"/>
    <w:rsid w:val="006832D4"/>
    <w:rsid w:val="00685731"/>
    <w:rsid w:val="0068795C"/>
    <w:rsid w:val="006900CC"/>
    <w:rsid w:val="006911C3"/>
    <w:rsid w:val="00693CBB"/>
    <w:rsid w:val="006A0C2C"/>
    <w:rsid w:val="006A0DDA"/>
    <w:rsid w:val="006A0E12"/>
    <w:rsid w:val="006A15F2"/>
    <w:rsid w:val="006A680C"/>
    <w:rsid w:val="006B0E01"/>
    <w:rsid w:val="006B2C53"/>
    <w:rsid w:val="006C18E2"/>
    <w:rsid w:val="006C44F3"/>
    <w:rsid w:val="006D3A88"/>
    <w:rsid w:val="006D40D0"/>
    <w:rsid w:val="006D4836"/>
    <w:rsid w:val="006D52EB"/>
    <w:rsid w:val="006D5FA5"/>
    <w:rsid w:val="006D61EB"/>
    <w:rsid w:val="006D6EFC"/>
    <w:rsid w:val="006D7B04"/>
    <w:rsid w:val="006F0FDE"/>
    <w:rsid w:val="006F3BFB"/>
    <w:rsid w:val="006F58AC"/>
    <w:rsid w:val="006F770D"/>
    <w:rsid w:val="006F7BF4"/>
    <w:rsid w:val="0070285B"/>
    <w:rsid w:val="0070429A"/>
    <w:rsid w:val="00705F72"/>
    <w:rsid w:val="00710539"/>
    <w:rsid w:val="007111FF"/>
    <w:rsid w:val="00711A2C"/>
    <w:rsid w:val="00714363"/>
    <w:rsid w:val="007204F8"/>
    <w:rsid w:val="007227E7"/>
    <w:rsid w:val="007231BB"/>
    <w:rsid w:val="007245D3"/>
    <w:rsid w:val="0074247F"/>
    <w:rsid w:val="007451FF"/>
    <w:rsid w:val="00747F0D"/>
    <w:rsid w:val="00752C1B"/>
    <w:rsid w:val="00755257"/>
    <w:rsid w:val="00756F0D"/>
    <w:rsid w:val="007641EC"/>
    <w:rsid w:val="007808E9"/>
    <w:rsid w:val="00791931"/>
    <w:rsid w:val="00797487"/>
    <w:rsid w:val="007A6756"/>
    <w:rsid w:val="007B48AC"/>
    <w:rsid w:val="007C0B8F"/>
    <w:rsid w:val="007C1CAE"/>
    <w:rsid w:val="007C2A52"/>
    <w:rsid w:val="007C30ED"/>
    <w:rsid w:val="007C4499"/>
    <w:rsid w:val="007C626A"/>
    <w:rsid w:val="007D0C4C"/>
    <w:rsid w:val="007D16B0"/>
    <w:rsid w:val="007D4FB8"/>
    <w:rsid w:val="007D7E19"/>
    <w:rsid w:val="007E163F"/>
    <w:rsid w:val="007E6E7B"/>
    <w:rsid w:val="007F18F5"/>
    <w:rsid w:val="007F539B"/>
    <w:rsid w:val="007F5758"/>
    <w:rsid w:val="00800525"/>
    <w:rsid w:val="00801057"/>
    <w:rsid w:val="00805000"/>
    <w:rsid w:val="008118E8"/>
    <w:rsid w:val="008203DC"/>
    <w:rsid w:val="00820E1A"/>
    <w:rsid w:val="008233CC"/>
    <w:rsid w:val="008249B3"/>
    <w:rsid w:val="00826C1D"/>
    <w:rsid w:val="00832690"/>
    <w:rsid w:val="00837CA3"/>
    <w:rsid w:val="00837FCE"/>
    <w:rsid w:val="00844887"/>
    <w:rsid w:val="00855FF8"/>
    <w:rsid w:val="00856C65"/>
    <w:rsid w:val="008628D0"/>
    <w:rsid w:val="008654A8"/>
    <w:rsid w:val="00865A56"/>
    <w:rsid w:val="0087298B"/>
    <w:rsid w:val="00872E44"/>
    <w:rsid w:val="00876B13"/>
    <w:rsid w:val="00881D12"/>
    <w:rsid w:val="0088594F"/>
    <w:rsid w:val="008B131D"/>
    <w:rsid w:val="008B4A42"/>
    <w:rsid w:val="008C13D3"/>
    <w:rsid w:val="008C15E3"/>
    <w:rsid w:val="008C1BC1"/>
    <w:rsid w:val="008D42F9"/>
    <w:rsid w:val="008D4DCA"/>
    <w:rsid w:val="008D648C"/>
    <w:rsid w:val="008F1E32"/>
    <w:rsid w:val="008F5195"/>
    <w:rsid w:val="0090431E"/>
    <w:rsid w:val="009050B0"/>
    <w:rsid w:val="009053FA"/>
    <w:rsid w:val="00917ED9"/>
    <w:rsid w:val="009235C2"/>
    <w:rsid w:val="00924EC5"/>
    <w:rsid w:val="009317C0"/>
    <w:rsid w:val="0094523D"/>
    <w:rsid w:val="009467CD"/>
    <w:rsid w:val="009648F0"/>
    <w:rsid w:val="009717FD"/>
    <w:rsid w:val="00972FFF"/>
    <w:rsid w:val="00974215"/>
    <w:rsid w:val="009764DF"/>
    <w:rsid w:val="00976D42"/>
    <w:rsid w:val="009834D6"/>
    <w:rsid w:val="009910C9"/>
    <w:rsid w:val="0099148B"/>
    <w:rsid w:val="00994F75"/>
    <w:rsid w:val="009964C9"/>
    <w:rsid w:val="009A0C38"/>
    <w:rsid w:val="009A2B7D"/>
    <w:rsid w:val="009A36D7"/>
    <w:rsid w:val="009B13FB"/>
    <w:rsid w:val="009B3AD9"/>
    <w:rsid w:val="009B3D14"/>
    <w:rsid w:val="009B3FB7"/>
    <w:rsid w:val="009C6AC2"/>
    <w:rsid w:val="009C774C"/>
    <w:rsid w:val="009D1300"/>
    <w:rsid w:val="009D2693"/>
    <w:rsid w:val="009D3F2F"/>
    <w:rsid w:val="009D5819"/>
    <w:rsid w:val="009D7FE4"/>
    <w:rsid w:val="009E0A3C"/>
    <w:rsid w:val="009E0E59"/>
    <w:rsid w:val="009E559B"/>
    <w:rsid w:val="009E630E"/>
    <w:rsid w:val="009E7B07"/>
    <w:rsid w:val="009F14A8"/>
    <w:rsid w:val="009F7A18"/>
    <w:rsid w:val="00A005EA"/>
    <w:rsid w:val="00A10811"/>
    <w:rsid w:val="00A12D89"/>
    <w:rsid w:val="00A13A35"/>
    <w:rsid w:val="00A13BA8"/>
    <w:rsid w:val="00A15D95"/>
    <w:rsid w:val="00A169F5"/>
    <w:rsid w:val="00A2358F"/>
    <w:rsid w:val="00A321CE"/>
    <w:rsid w:val="00A3290D"/>
    <w:rsid w:val="00A4589E"/>
    <w:rsid w:val="00A4648C"/>
    <w:rsid w:val="00A5138A"/>
    <w:rsid w:val="00A56887"/>
    <w:rsid w:val="00A60DD9"/>
    <w:rsid w:val="00A6101E"/>
    <w:rsid w:val="00A6349B"/>
    <w:rsid w:val="00A700BA"/>
    <w:rsid w:val="00A725EF"/>
    <w:rsid w:val="00A73474"/>
    <w:rsid w:val="00A74126"/>
    <w:rsid w:val="00A760C1"/>
    <w:rsid w:val="00A766C3"/>
    <w:rsid w:val="00A77923"/>
    <w:rsid w:val="00A83D76"/>
    <w:rsid w:val="00A926B8"/>
    <w:rsid w:val="00A93AB7"/>
    <w:rsid w:val="00A97154"/>
    <w:rsid w:val="00A97891"/>
    <w:rsid w:val="00AA1093"/>
    <w:rsid w:val="00AB235E"/>
    <w:rsid w:val="00AB4A92"/>
    <w:rsid w:val="00AB5ABE"/>
    <w:rsid w:val="00AC0C86"/>
    <w:rsid w:val="00AC205D"/>
    <w:rsid w:val="00AC2C3A"/>
    <w:rsid w:val="00AC3495"/>
    <w:rsid w:val="00AC552A"/>
    <w:rsid w:val="00AC5EC9"/>
    <w:rsid w:val="00AD1518"/>
    <w:rsid w:val="00AD4C61"/>
    <w:rsid w:val="00AE12E1"/>
    <w:rsid w:val="00AE5BE4"/>
    <w:rsid w:val="00AF6943"/>
    <w:rsid w:val="00B02968"/>
    <w:rsid w:val="00B05BF5"/>
    <w:rsid w:val="00B06C7D"/>
    <w:rsid w:val="00B1181A"/>
    <w:rsid w:val="00B11E6D"/>
    <w:rsid w:val="00B13B20"/>
    <w:rsid w:val="00B17E81"/>
    <w:rsid w:val="00B26898"/>
    <w:rsid w:val="00B326E2"/>
    <w:rsid w:val="00B3313C"/>
    <w:rsid w:val="00B44A6B"/>
    <w:rsid w:val="00B54069"/>
    <w:rsid w:val="00B54D93"/>
    <w:rsid w:val="00B6098D"/>
    <w:rsid w:val="00B60C82"/>
    <w:rsid w:val="00B676CF"/>
    <w:rsid w:val="00B71821"/>
    <w:rsid w:val="00B73A61"/>
    <w:rsid w:val="00B74C9C"/>
    <w:rsid w:val="00B77C75"/>
    <w:rsid w:val="00B80B6E"/>
    <w:rsid w:val="00B8306C"/>
    <w:rsid w:val="00B845CB"/>
    <w:rsid w:val="00B845E2"/>
    <w:rsid w:val="00B90A49"/>
    <w:rsid w:val="00B917E5"/>
    <w:rsid w:val="00B93D5B"/>
    <w:rsid w:val="00B95878"/>
    <w:rsid w:val="00B9779C"/>
    <w:rsid w:val="00B9795B"/>
    <w:rsid w:val="00BA0D25"/>
    <w:rsid w:val="00BA5E8C"/>
    <w:rsid w:val="00BA6BEA"/>
    <w:rsid w:val="00BB6C65"/>
    <w:rsid w:val="00BC491E"/>
    <w:rsid w:val="00BC6BB6"/>
    <w:rsid w:val="00BD500A"/>
    <w:rsid w:val="00BD5574"/>
    <w:rsid w:val="00BD6601"/>
    <w:rsid w:val="00BE2759"/>
    <w:rsid w:val="00BE44A0"/>
    <w:rsid w:val="00BE7404"/>
    <w:rsid w:val="00BE7935"/>
    <w:rsid w:val="00BF0140"/>
    <w:rsid w:val="00BF1098"/>
    <w:rsid w:val="00BF1B3F"/>
    <w:rsid w:val="00BF5799"/>
    <w:rsid w:val="00BF6977"/>
    <w:rsid w:val="00C02728"/>
    <w:rsid w:val="00C03143"/>
    <w:rsid w:val="00C03FEA"/>
    <w:rsid w:val="00C06355"/>
    <w:rsid w:val="00C10FE9"/>
    <w:rsid w:val="00C13618"/>
    <w:rsid w:val="00C1425D"/>
    <w:rsid w:val="00C20649"/>
    <w:rsid w:val="00C20650"/>
    <w:rsid w:val="00C22980"/>
    <w:rsid w:val="00C2379D"/>
    <w:rsid w:val="00C26F29"/>
    <w:rsid w:val="00C43D5D"/>
    <w:rsid w:val="00C44CC2"/>
    <w:rsid w:val="00C506E8"/>
    <w:rsid w:val="00C5137E"/>
    <w:rsid w:val="00C52D60"/>
    <w:rsid w:val="00C620A0"/>
    <w:rsid w:val="00C62870"/>
    <w:rsid w:val="00C63FF9"/>
    <w:rsid w:val="00C67427"/>
    <w:rsid w:val="00C675A0"/>
    <w:rsid w:val="00C74D28"/>
    <w:rsid w:val="00C77537"/>
    <w:rsid w:val="00C776D5"/>
    <w:rsid w:val="00C829BD"/>
    <w:rsid w:val="00C8523E"/>
    <w:rsid w:val="00C8546B"/>
    <w:rsid w:val="00C87625"/>
    <w:rsid w:val="00CA34FA"/>
    <w:rsid w:val="00CA68C1"/>
    <w:rsid w:val="00CB5FD7"/>
    <w:rsid w:val="00CC0951"/>
    <w:rsid w:val="00CC1394"/>
    <w:rsid w:val="00CC581A"/>
    <w:rsid w:val="00CC6C2C"/>
    <w:rsid w:val="00CD0F38"/>
    <w:rsid w:val="00CD3720"/>
    <w:rsid w:val="00CE0F2A"/>
    <w:rsid w:val="00CE1305"/>
    <w:rsid w:val="00CE15F9"/>
    <w:rsid w:val="00CE38D9"/>
    <w:rsid w:val="00CF0527"/>
    <w:rsid w:val="00CF4088"/>
    <w:rsid w:val="00D039E4"/>
    <w:rsid w:val="00D06A2B"/>
    <w:rsid w:val="00D1364E"/>
    <w:rsid w:val="00D1403B"/>
    <w:rsid w:val="00D20720"/>
    <w:rsid w:val="00D21D64"/>
    <w:rsid w:val="00D308A3"/>
    <w:rsid w:val="00D319E5"/>
    <w:rsid w:val="00D35730"/>
    <w:rsid w:val="00D35A68"/>
    <w:rsid w:val="00D3724A"/>
    <w:rsid w:val="00D42BB5"/>
    <w:rsid w:val="00D42CC4"/>
    <w:rsid w:val="00D45CF3"/>
    <w:rsid w:val="00D46CA0"/>
    <w:rsid w:val="00D50A74"/>
    <w:rsid w:val="00D50A76"/>
    <w:rsid w:val="00D549E7"/>
    <w:rsid w:val="00D551E8"/>
    <w:rsid w:val="00D55E02"/>
    <w:rsid w:val="00D57DA9"/>
    <w:rsid w:val="00D609DF"/>
    <w:rsid w:val="00D63837"/>
    <w:rsid w:val="00D6445D"/>
    <w:rsid w:val="00D71A77"/>
    <w:rsid w:val="00D828FC"/>
    <w:rsid w:val="00D87BAE"/>
    <w:rsid w:val="00D93B6A"/>
    <w:rsid w:val="00D94F5E"/>
    <w:rsid w:val="00DA1F3A"/>
    <w:rsid w:val="00DB023D"/>
    <w:rsid w:val="00DB07A3"/>
    <w:rsid w:val="00DB1027"/>
    <w:rsid w:val="00DB1D96"/>
    <w:rsid w:val="00DB2779"/>
    <w:rsid w:val="00DB3E92"/>
    <w:rsid w:val="00DB5C66"/>
    <w:rsid w:val="00DC02B9"/>
    <w:rsid w:val="00DC099C"/>
    <w:rsid w:val="00DC3F69"/>
    <w:rsid w:val="00DC68BD"/>
    <w:rsid w:val="00DD129B"/>
    <w:rsid w:val="00DD7B4E"/>
    <w:rsid w:val="00DD7C03"/>
    <w:rsid w:val="00DD7C1A"/>
    <w:rsid w:val="00DE099F"/>
    <w:rsid w:val="00DE4217"/>
    <w:rsid w:val="00DE4E57"/>
    <w:rsid w:val="00DF6E1D"/>
    <w:rsid w:val="00E07A22"/>
    <w:rsid w:val="00E14513"/>
    <w:rsid w:val="00E173A1"/>
    <w:rsid w:val="00E20641"/>
    <w:rsid w:val="00E23559"/>
    <w:rsid w:val="00E26B73"/>
    <w:rsid w:val="00E30AF4"/>
    <w:rsid w:val="00E30B76"/>
    <w:rsid w:val="00E30F62"/>
    <w:rsid w:val="00E320DD"/>
    <w:rsid w:val="00E42F6C"/>
    <w:rsid w:val="00E45D1C"/>
    <w:rsid w:val="00E46C32"/>
    <w:rsid w:val="00E507AA"/>
    <w:rsid w:val="00E53715"/>
    <w:rsid w:val="00E54B13"/>
    <w:rsid w:val="00E55660"/>
    <w:rsid w:val="00E56573"/>
    <w:rsid w:val="00E5709E"/>
    <w:rsid w:val="00E61DF1"/>
    <w:rsid w:val="00E64CA8"/>
    <w:rsid w:val="00E74AA6"/>
    <w:rsid w:val="00E83FD7"/>
    <w:rsid w:val="00E90E80"/>
    <w:rsid w:val="00E91C27"/>
    <w:rsid w:val="00E951A6"/>
    <w:rsid w:val="00E957E5"/>
    <w:rsid w:val="00EA051E"/>
    <w:rsid w:val="00EA0E1E"/>
    <w:rsid w:val="00EA223E"/>
    <w:rsid w:val="00EA71F0"/>
    <w:rsid w:val="00EA7422"/>
    <w:rsid w:val="00EC36BE"/>
    <w:rsid w:val="00EC3700"/>
    <w:rsid w:val="00EC66DB"/>
    <w:rsid w:val="00EC7600"/>
    <w:rsid w:val="00ED1D5D"/>
    <w:rsid w:val="00ED68FD"/>
    <w:rsid w:val="00ED7726"/>
    <w:rsid w:val="00EE15B4"/>
    <w:rsid w:val="00EE2326"/>
    <w:rsid w:val="00EE38DC"/>
    <w:rsid w:val="00EF4A86"/>
    <w:rsid w:val="00EF5B9C"/>
    <w:rsid w:val="00EF6C77"/>
    <w:rsid w:val="00F003A8"/>
    <w:rsid w:val="00F10AA4"/>
    <w:rsid w:val="00F15879"/>
    <w:rsid w:val="00F1598A"/>
    <w:rsid w:val="00F2395B"/>
    <w:rsid w:val="00F263E5"/>
    <w:rsid w:val="00F26407"/>
    <w:rsid w:val="00F312AF"/>
    <w:rsid w:val="00F3410B"/>
    <w:rsid w:val="00F359E2"/>
    <w:rsid w:val="00F41338"/>
    <w:rsid w:val="00F417D4"/>
    <w:rsid w:val="00F44302"/>
    <w:rsid w:val="00F47956"/>
    <w:rsid w:val="00F57E75"/>
    <w:rsid w:val="00F7158B"/>
    <w:rsid w:val="00F73627"/>
    <w:rsid w:val="00F74568"/>
    <w:rsid w:val="00F801D9"/>
    <w:rsid w:val="00F80BF6"/>
    <w:rsid w:val="00F852F4"/>
    <w:rsid w:val="00F8759C"/>
    <w:rsid w:val="00F87F76"/>
    <w:rsid w:val="00F93FBD"/>
    <w:rsid w:val="00F94FAE"/>
    <w:rsid w:val="00F9581E"/>
    <w:rsid w:val="00F95D48"/>
    <w:rsid w:val="00FA210B"/>
    <w:rsid w:val="00FA25B4"/>
    <w:rsid w:val="00FA40A9"/>
    <w:rsid w:val="00FA4CCC"/>
    <w:rsid w:val="00FA6ACE"/>
    <w:rsid w:val="00FB59AB"/>
    <w:rsid w:val="00FB5B19"/>
    <w:rsid w:val="00FC1712"/>
    <w:rsid w:val="00FC3EBF"/>
    <w:rsid w:val="00FC6022"/>
    <w:rsid w:val="00FC67D7"/>
    <w:rsid w:val="00FC7B85"/>
    <w:rsid w:val="00FC7EA0"/>
    <w:rsid w:val="00FD09CF"/>
    <w:rsid w:val="00FE0CCE"/>
    <w:rsid w:val="00FE3C0F"/>
    <w:rsid w:val="00FE5678"/>
    <w:rsid w:val="00FE6398"/>
    <w:rsid w:val="00FF7F68"/>
    <w:rsid w:val="6A391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BFBC1"/>
  <w15:chartTrackingRefBased/>
  <w15:docId w15:val="{E78C5BD8-E1E7-49FA-BD20-02C8EB72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39"/>
    <w:rsid w:val="00D4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semiHidden/>
    <w:unhideWhenUsed/>
    <w:rsid w:val="007227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paragraph" w:customStyle="1" w:styleId="DocID">
    <w:name w:val="DocID"/>
    <w:basedOn w:val="Footer"/>
    <w:next w:val="Footer"/>
    <w:link w:val="DocIDChar"/>
    <w:rsid w:val="00A77923"/>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A77923"/>
    <w:rPr>
      <w:rFonts w:ascii="Times New Roman" w:eastAsia="Times New Roman" w:hAnsi="Times New Roman" w:cs="Times New Roman"/>
      <w:sz w:val="18"/>
      <w:szCs w:val="20"/>
      <w:lang w:val="en-US" w:eastAsia="en-US"/>
    </w:rPr>
  </w:style>
  <w:style w:type="character" w:customStyle="1" w:styleId="ListParagraphChar">
    <w:name w:val="List Paragraph Char"/>
    <w:basedOn w:val="DefaultParagraphFont"/>
    <w:link w:val="ListParagraph"/>
    <w:uiPriority w:val="1"/>
    <w:locked/>
    <w:rsid w:val="00EE15B4"/>
  </w:style>
  <w:style w:type="character" w:styleId="UnresolvedMention">
    <w:name w:val="Unresolved Mention"/>
    <w:basedOn w:val="DefaultParagraphFont"/>
    <w:uiPriority w:val="99"/>
    <w:semiHidden/>
    <w:unhideWhenUsed/>
    <w:rsid w:val="00AF6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124">
      <w:bodyDiv w:val="1"/>
      <w:marLeft w:val="0"/>
      <w:marRight w:val="0"/>
      <w:marTop w:val="0"/>
      <w:marBottom w:val="0"/>
      <w:divBdr>
        <w:top w:val="none" w:sz="0" w:space="0" w:color="auto"/>
        <w:left w:val="none" w:sz="0" w:space="0" w:color="auto"/>
        <w:bottom w:val="none" w:sz="0" w:space="0" w:color="auto"/>
        <w:right w:val="none" w:sz="0" w:space="0" w:color="auto"/>
      </w:divBdr>
    </w:div>
    <w:div w:id="58749154">
      <w:bodyDiv w:val="1"/>
      <w:marLeft w:val="0"/>
      <w:marRight w:val="0"/>
      <w:marTop w:val="0"/>
      <w:marBottom w:val="0"/>
      <w:divBdr>
        <w:top w:val="none" w:sz="0" w:space="0" w:color="auto"/>
        <w:left w:val="none" w:sz="0" w:space="0" w:color="auto"/>
        <w:bottom w:val="none" w:sz="0" w:space="0" w:color="auto"/>
        <w:right w:val="none" w:sz="0" w:space="0" w:color="auto"/>
      </w:divBdr>
    </w:div>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397217087">
      <w:bodyDiv w:val="1"/>
      <w:marLeft w:val="0"/>
      <w:marRight w:val="0"/>
      <w:marTop w:val="0"/>
      <w:marBottom w:val="0"/>
      <w:divBdr>
        <w:top w:val="none" w:sz="0" w:space="0" w:color="auto"/>
        <w:left w:val="none" w:sz="0" w:space="0" w:color="auto"/>
        <w:bottom w:val="none" w:sz="0" w:space="0" w:color="auto"/>
        <w:right w:val="none" w:sz="0" w:space="0" w:color="auto"/>
      </w:divBdr>
    </w:div>
    <w:div w:id="592586613">
      <w:bodyDiv w:val="1"/>
      <w:marLeft w:val="0"/>
      <w:marRight w:val="0"/>
      <w:marTop w:val="0"/>
      <w:marBottom w:val="0"/>
      <w:divBdr>
        <w:top w:val="none" w:sz="0" w:space="0" w:color="auto"/>
        <w:left w:val="none" w:sz="0" w:space="0" w:color="auto"/>
        <w:bottom w:val="none" w:sz="0" w:space="0" w:color="auto"/>
        <w:right w:val="none" w:sz="0" w:space="0" w:color="auto"/>
      </w:divBdr>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645013305">
      <w:bodyDiv w:val="1"/>
      <w:marLeft w:val="0"/>
      <w:marRight w:val="0"/>
      <w:marTop w:val="0"/>
      <w:marBottom w:val="0"/>
      <w:divBdr>
        <w:top w:val="none" w:sz="0" w:space="0" w:color="auto"/>
        <w:left w:val="none" w:sz="0" w:space="0" w:color="auto"/>
        <w:bottom w:val="none" w:sz="0" w:space="0" w:color="auto"/>
        <w:right w:val="none" w:sz="0" w:space="0" w:color="auto"/>
      </w:divBdr>
    </w:div>
    <w:div w:id="690645453">
      <w:bodyDiv w:val="1"/>
      <w:marLeft w:val="0"/>
      <w:marRight w:val="0"/>
      <w:marTop w:val="0"/>
      <w:marBottom w:val="0"/>
      <w:divBdr>
        <w:top w:val="none" w:sz="0" w:space="0" w:color="auto"/>
        <w:left w:val="none" w:sz="0" w:space="0" w:color="auto"/>
        <w:bottom w:val="none" w:sz="0" w:space="0" w:color="auto"/>
        <w:right w:val="none" w:sz="0" w:space="0" w:color="auto"/>
      </w:divBdr>
    </w:div>
    <w:div w:id="944726039">
      <w:bodyDiv w:val="1"/>
      <w:marLeft w:val="0"/>
      <w:marRight w:val="0"/>
      <w:marTop w:val="0"/>
      <w:marBottom w:val="0"/>
      <w:divBdr>
        <w:top w:val="none" w:sz="0" w:space="0" w:color="auto"/>
        <w:left w:val="none" w:sz="0" w:space="0" w:color="auto"/>
        <w:bottom w:val="none" w:sz="0" w:space="0" w:color="auto"/>
        <w:right w:val="none" w:sz="0" w:space="0" w:color="auto"/>
      </w:divBdr>
    </w:div>
    <w:div w:id="1181507916">
      <w:bodyDiv w:val="1"/>
      <w:marLeft w:val="0"/>
      <w:marRight w:val="0"/>
      <w:marTop w:val="0"/>
      <w:marBottom w:val="0"/>
      <w:divBdr>
        <w:top w:val="none" w:sz="0" w:space="0" w:color="auto"/>
        <w:left w:val="none" w:sz="0" w:space="0" w:color="auto"/>
        <w:bottom w:val="none" w:sz="0" w:space="0" w:color="auto"/>
        <w:right w:val="none" w:sz="0" w:space="0" w:color="auto"/>
      </w:divBdr>
    </w:div>
    <w:div w:id="1506289632">
      <w:bodyDiv w:val="1"/>
      <w:marLeft w:val="0"/>
      <w:marRight w:val="0"/>
      <w:marTop w:val="0"/>
      <w:marBottom w:val="0"/>
      <w:divBdr>
        <w:top w:val="none" w:sz="0" w:space="0" w:color="auto"/>
        <w:left w:val="none" w:sz="0" w:space="0" w:color="auto"/>
        <w:bottom w:val="none" w:sz="0" w:space="0" w:color="auto"/>
        <w:right w:val="none" w:sz="0" w:space="0" w:color="auto"/>
      </w:divBdr>
    </w:div>
    <w:div w:id="193916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PH.DON@State.MA.US"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Regulations-and-Guidance/Guidance/Manuals/downloads/som107ap_w_cah.pdf" TargetMode="External"/><Relationship Id="rId2" Type="http://schemas.openxmlformats.org/officeDocument/2006/relationships/hyperlink" Target="https://www.mass.gov/doc/weekly-covid-19-public-health-report-june-24-2021/download" TargetMode="External"/><Relationship Id="rId1" Type="http://schemas.openxmlformats.org/officeDocument/2006/relationships/hyperlink" Target="https://www.census.gov/quickfacts/fact/table/berkshirecountymassachusetts/INC1102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 K B I M A N A G E ! 2 0 3 3 9 3 7 . 1 < / d o c u m e n t i d >  
     < s e n d e r i d > E B K < / s e n d e r i d >  
     < s e n d e r e m a i l > E K R E T C H M E R @ K B - L A W . C O M < / s e n d e r e m a i l >  
     < l a s t m o d i f i e d > 2 0 2 3 - 1 1 - 0 8 T 1 2 : 5 2 : 0 0 . 0 0 0 0 0 0 0 - 0 5 : 0 0 < / l a s t m o d i f i e d >  
     < d a t a b a s e > K B I M A N A G E 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B9882-A25C-4F45-8083-75330F469E00}">
  <ds:schemaRefs>
    <ds:schemaRef ds:uri="http://www.imanage.com/work/xmlschema"/>
  </ds:schemaRefs>
</ds:datastoreItem>
</file>

<file path=customXml/itemProps2.xml><?xml version="1.0" encoding="utf-8"?>
<ds:datastoreItem xmlns:ds="http://schemas.openxmlformats.org/officeDocument/2006/customXml" ds:itemID="{00C4D1F4-9536-495D-854B-095CB7648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3898</Words>
  <Characters>22225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Lucy (DPH)</dc:creator>
  <cp:keywords/>
  <dc:description/>
  <cp:lastModifiedBy>Marks, Brett (DPH)</cp:lastModifiedBy>
  <cp:revision>6</cp:revision>
  <cp:lastPrinted>2023-11-02T18:02:00Z</cp:lastPrinted>
  <dcterms:created xsi:type="dcterms:W3CDTF">2023-11-08T17:52:00Z</dcterms:created>
  <dcterms:modified xsi:type="dcterms:W3CDTF">2023-11-15T13:43:00Z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491520</vt:lpwstr>
  </property>
  <property fmtid="{D5CDD505-2E9C-101B-9397-08002B2CF9AE}" pid="3" name="CUS_DocIDLocation">
    <vt:lpwstr>END_OF_DOCUMENT</vt:lpwstr>
  </property>
  <property fmtid="{D5CDD505-2E9C-101B-9397-08002B2CF9AE}" pid="4" name="CUS_DocIDReference">
    <vt:lpwstr>endOfDocument</vt:lpwstr>
  </property>
  <property fmtid="{D5CDD505-2E9C-101B-9397-08002B2CF9AE}" pid="5" name="CUS_DocIDString">
    <vt:lpwstr>1240\0177\2033937.v1</vt:lpwstr>
  </property>
  <property fmtid="{D5CDD505-2E9C-101B-9397-08002B2CF9AE}" pid="6" name="CUS_DocIDChunk0">
    <vt:lpwstr>1240\0177\2033937.v1</vt:lpwstr>
  </property>
</Properties>
</file>