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3BCF96DB" w:rsidR="00D223EB" w:rsidRPr="0030785A" w:rsidRDefault="00D223EB" w:rsidP="01CEC757">
      <w:pPr>
        <w:jc w:val="center"/>
        <w:rPr>
          <w:b/>
          <w:bCs/>
        </w:rPr>
      </w:pPr>
      <w:r w:rsidRPr="0030785A">
        <w:rPr>
          <w:b/>
          <w:bCs/>
        </w:rPr>
        <w:t>APPLICANT QUESTIONS</w:t>
      </w:r>
      <w:r w:rsidR="00026B6F" w:rsidRPr="0030785A">
        <w:rPr>
          <w:b/>
          <w:bCs/>
        </w:rPr>
        <w:t xml:space="preserve"> </w:t>
      </w:r>
      <w:r w:rsidR="00475A83">
        <w:rPr>
          <w:b/>
          <w:bCs/>
        </w:rPr>
        <w:t>3</w:t>
      </w:r>
    </w:p>
    <w:p w14:paraId="71F6355D" w14:textId="0EB083F5" w:rsidR="00D223EB" w:rsidRPr="00183D7F" w:rsidRDefault="00D223EB" w:rsidP="00D223EB">
      <w:pPr>
        <w:jc w:val="center"/>
        <w:rPr>
          <w:rFonts w:cstheme="minorHAnsi"/>
        </w:rPr>
      </w:pPr>
      <w:r w:rsidRPr="00183D7F">
        <w:rPr>
          <w:rFonts w:cstheme="minorHAnsi"/>
          <w:i/>
          <w:iCs/>
        </w:rPr>
        <w:t xml:space="preserve">Responses should be sent to DoN staff at </w:t>
      </w:r>
      <w:hyperlink r:id="rId7" w:history="1">
        <w:r w:rsidR="005C4EB9" w:rsidRPr="00183D7F">
          <w:rPr>
            <w:rStyle w:val="Hyperlink"/>
            <w:rFonts w:cstheme="minorHAnsi"/>
          </w:rPr>
          <w:t>DPH.DON@mass.gov</w:t>
        </w:r>
      </w:hyperlink>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8B5D5E">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3BAD0544" w14:textId="77777777" w:rsidR="00D223EB" w:rsidRPr="00183D7F" w:rsidRDefault="00D223EB" w:rsidP="005559F1">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5559F1">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5559F1">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5559F1">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p w14:paraId="51387316" w14:textId="488A24E4" w:rsidR="008434C8" w:rsidRPr="0004249E" w:rsidRDefault="00380E08" w:rsidP="0056515A">
      <w:pPr>
        <w:rPr>
          <w:rFonts w:ascii="Aptos" w:hAnsi="Aptos"/>
        </w:rPr>
      </w:pPr>
      <w:proofErr w:type="gramStart"/>
      <w:r w:rsidRPr="0004249E">
        <w:rPr>
          <w:rFonts w:ascii="Aptos" w:hAnsi="Aptos"/>
        </w:rPr>
        <w:t>In order for</w:t>
      </w:r>
      <w:proofErr w:type="gramEnd"/>
      <w:r w:rsidRPr="0004249E">
        <w:rPr>
          <w:rFonts w:ascii="Aptos" w:hAnsi="Aptos"/>
        </w:rPr>
        <w:t xml:space="preserve"> us to review this project in a timely manner, pleas</w:t>
      </w:r>
      <w:r w:rsidR="00684458" w:rsidRPr="0004249E">
        <w:rPr>
          <w:rFonts w:ascii="Aptos" w:hAnsi="Aptos"/>
        </w:rPr>
        <w:t>e</w:t>
      </w:r>
      <w:r w:rsidRPr="0004249E">
        <w:rPr>
          <w:rFonts w:ascii="Aptos" w:hAnsi="Aptos"/>
        </w:rPr>
        <w:t xml:space="preserve"> provide the responses by </w:t>
      </w:r>
      <w:r w:rsidR="00475A83" w:rsidRPr="0004249E">
        <w:rPr>
          <w:rFonts w:ascii="Aptos" w:hAnsi="Aptos"/>
          <w:b/>
          <w:bCs/>
        </w:rPr>
        <w:t>January 2, 2026</w:t>
      </w:r>
      <w:r w:rsidRPr="0004249E">
        <w:rPr>
          <w:rFonts w:ascii="Aptos" w:hAnsi="Aptos"/>
        </w:rPr>
        <w:t>.</w:t>
      </w:r>
    </w:p>
    <w:p w14:paraId="6E684FBA" w14:textId="4D9423E6" w:rsidR="007F2825" w:rsidRPr="0004249E" w:rsidRDefault="0009200E" w:rsidP="001373DF">
      <w:pPr>
        <w:pStyle w:val="Heading1"/>
      </w:pPr>
      <w:r w:rsidRPr="0004249E">
        <w:t xml:space="preserve">Please provide </w:t>
      </w:r>
      <w:r w:rsidR="0081127C" w:rsidRPr="0004249E">
        <w:t xml:space="preserve">endoscopy specific </w:t>
      </w:r>
      <w:r w:rsidRPr="0004249E">
        <w:t xml:space="preserve">utilization data for the MG Waltham </w:t>
      </w:r>
      <w:r w:rsidR="00CD3D45" w:rsidRPr="0004249E">
        <w:t>and Newton Wellesley</w:t>
      </w:r>
      <w:r w:rsidR="003065C2" w:rsidRPr="0004249E">
        <w:t xml:space="preserve"> </w:t>
      </w:r>
      <w:r w:rsidR="0081127C" w:rsidRPr="0004249E">
        <w:t>sites</w:t>
      </w:r>
      <w:r w:rsidRPr="0004249E">
        <w:t xml:space="preserve"> to better </w:t>
      </w:r>
      <w:r w:rsidR="006D537A" w:rsidRPr="0004249E">
        <w:t xml:space="preserve">elucidate the capacity </w:t>
      </w:r>
      <w:r w:rsidR="005125A3" w:rsidRPr="0004249E">
        <w:t>issues driving the request for the Cambridge ASC.</w:t>
      </w:r>
    </w:p>
    <w:p w14:paraId="60F70164" w14:textId="22ECD055" w:rsidR="00017A1D" w:rsidRPr="00017A1D" w:rsidRDefault="00017A1D" w:rsidP="00192B16">
      <w:pPr>
        <w:pStyle w:val="BodyText"/>
        <w:ind w:left="360"/>
        <w:rPr>
          <w:rFonts w:asciiTheme="minorHAnsi" w:hAnsiTheme="minorHAnsi"/>
          <w:b/>
          <w:bCs/>
        </w:rPr>
      </w:pPr>
      <w:r>
        <w:rPr>
          <w:rFonts w:asciiTheme="minorHAnsi" w:hAnsiTheme="minorHAnsi"/>
          <w:b/>
          <w:bCs/>
        </w:rPr>
        <w:t xml:space="preserve">MG Waltham </w:t>
      </w:r>
      <w:r w:rsidR="00965101">
        <w:rPr>
          <w:rFonts w:asciiTheme="minorHAnsi" w:hAnsiTheme="minorHAnsi"/>
          <w:b/>
          <w:bCs/>
        </w:rPr>
        <w:t xml:space="preserve">Endoscopy </w:t>
      </w:r>
      <w:r>
        <w:rPr>
          <w:rFonts w:asciiTheme="minorHAnsi" w:hAnsiTheme="minorHAnsi"/>
          <w:b/>
          <w:bCs/>
        </w:rPr>
        <w:t>O</w:t>
      </w:r>
      <w:r w:rsidRPr="00082CDA">
        <w:rPr>
          <w:rFonts w:asciiTheme="minorHAnsi" w:hAnsiTheme="minorHAnsi"/>
          <w:b/>
          <w:bCs/>
        </w:rPr>
        <w:t>perating Capacity, 2022 to 202</w:t>
      </w:r>
      <w:r>
        <w:rPr>
          <w:rFonts w:asciiTheme="minorHAnsi" w:hAnsiTheme="minorHAnsi"/>
          <w:b/>
          <w:bCs/>
        </w:rPr>
        <w:t>5</w:t>
      </w:r>
      <w:r w:rsidR="003B4E86">
        <w:rPr>
          <w:rStyle w:val="FootnoteReference"/>
          <w:rFonts w:asciiTheme="minorHAnsi" w:hAnsiTheme="minorHAnsi"/>
          <w:b/>
          <w:bCs/>
        </w:rPr>
        <w:footnoteReference w:id="2"/>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675"/>
        <w:gridCol w:w="1675"/>
        <w:gridCol w:w="1675"/>
        <w:gridCol w:w="1675"/>
        <w:gridCol w:w="1676"/>
      </w:tblGrid>
      <w:tr w:rsidR="00AA1A15" w:rsidRPr="00082CDA" w14:paraId="4E18E973" w14:textId="77777777" w:rsidTr="00DB53A3">
        <w:trPr>
          <w:cantSplit/>
          <w:trHeight w:val="182"/>
          <w:tblHeader/>
        </w:trPr>
        <w:tc>
          <w:tcPr>
            <w:tcW w:w="1339" w:type="dxa"/>
            <w:shd w:val="clear" w:color="auto" w:fill="D9E2F3" w:themeFill="accent1" w:themeFillTint="33"/>
            <w:hideMark/>
          </w:tcPr>
          <w:p w14:paraId="2A57B95E" w14:textId="236A751C" w:rsidR="00AA1A15" w:rsidRPr="00555BAF" w:rsidRDefault="00AA1A15" w:rsidP="00192B16">
            <w:pPr>
              <w:spacing w:after="0" w:line="240" w:lineRule="auto"/>
              <w:jc w:val="both"/>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Fiscal Year</w:t>
            </w:r>
          </w:p>
        </w:tc>
        <w:tc>
          <w:tcPr>
            <w:tcW w:w="1675" w:type="dxa"/>
            <w:shd w:val="clear" w:color="auto" w:fill="FFF2CC" w:themeFill="accent4" w:themeFillTint="33"/>
          </w:tcPr>
          <w:p w14:paraId="0203721A" w14:textId="77B9B671" w:rsidR="00AA1A15" w:rsidRPr="0022149D" w:rsidRDefault="00AA1A15" w:rsidP="00192B16">
            <w:pPr>
              <w:spacing w:after="0" w:line="240" w:lineRule="auto"/>
              <w:jc w:val="center"/>
              <w:rPr>
                <w:rFonts w:ascii="Aptos Narrow" w:hAnsi="Aptos Narrow"/>
                <w:b/>
                <w:bCs/>
                <w:i/>
                <w:iCs/>
                <w:sz w:val="20"/>
                <w:szCs w:val="20"/>
              </w:rPr>
            </w:pPr>
            <w:r w:rsidRPr="0022149D">
              <w:rPr>
                <w:rFonts w:ascii="Aptos Narrow" w:hAnsi="Aptos Narrow"/>
                <w:b/>
                <w:bCs/>
                <w:i/>
                <w:iCs/>
                <w:sz w:val="20"/>
                <w:szCs w:val="20"/>
              </w:rPr>
              <w:t xml:space="preserve">Number of Dedicated Rooms </w:t>
            </w:r>
          </w:p>
        </w:tc>
        <w:tc>
          <w:tcPr>
            <w:tcW w:w="1675" w:type="dxa"/>
            <w:shd w:val="clear" w:color="auto" w:fill="FFF2CC" w:themeFill="accent4" w:themeFillTint="33"/>
          </w:tcPr>
          <w:p w14:paraId="0C8017EF" w14:textId="24B655B9" w:rsidR="00AA1A15" w:rsidRPr="0022149D" w:rsidRDefault="00AA1A15" w:rsidP="00192B16">
            <w:pPr>
              <w:spacing w:after="0" w:line="240" w:lineRule="auto"/>
              <w:jc w:val="center"/>
              <w:rPr>
                <w:rFonts w:ascii="Aptos Narrow" w:hAnsi="Aptos Narrow"/>
                <w:b/>
                <w:bCs/>
                <w:i/>
                <w:iCs/>
                <w:sz w:val="20"/>
                <w:szCs w:val="20"/>
              </w:rPr>
            </w:pPr>
            <w:r w:rsidRPr="0022149D">
              <w:rPr>
                <w:rFonts w:ascii="Aptos Narrow" w:hAnsi="Aptos Narrow"/>
                <w:b/>
                <w:bCs/>
                <w:i/>
                <w:iCs/>
                <w:sz w:val="20"/>
                <w:szCs w:val="20"/>
              </w:rPr>
              <w:t>Total Volume</w:t>
            </w:r>
          </w:p>
        </w:tc>
        <w:tc>
          <w:tcPr>
            <w:tcW w:w="1675" w:type="dxa"/>
            <w:shd w:val="clear" w:color="auto" w:fill="D9E2F3" w:themeFill="accent1" w:themeFillTint="33"/>
            <w:hideMark/>
          </w:tcPr>
          <w:p w14:paraId="026F090B" w14:textId="2AA163D8" w:rsidR="00AA1A15" w:rsidRPr="00555BAF" w:rsidRDefault="00AA1A15" w:rsidP="00192B16">
            <w:pPr>
              <w:spacing w:after="0" w:line="240" w:lineRule="auto"/>
              <w:jc w:val="center"/>
              <w:rPr>
                <w:rFonts w:ascii="Aptos Narrow" w:eastAsia="Times New Roman" w:hAnsi="Aptos Narrow"/>
                <w:b/>
                <w:bCs/>
                <w:color w:val="000000" w:themeColor="text1"/>
                <w:sz w:val="20"/>
                <w:szCs w:val="20"/>
              </w:rPr>
            </w:pPr>
            <w:hyperlink r:id="rId8" w:anchor="RANGE!_ftn1" w:history="1">
              <w:r w:rsidRPr="00555BAF">
                <w:rPr>
                  <w:rFonts w:ascii="Aptos Narrow" w:eastAsia="Times New Roman" w:hAnsi="Aptos Narrow"/>
                  <w:b/>
                  <w:bCs/>
                  <w:color w:val="000000" w:themeColor="text1"/>
                  <w:sz w:val="20"/>
                  <w:szCs w:val="20"/>
                </w:rPr>
                <w:t xml:space="preserve">Cases per Room </w:t>
              </w:r>
            </w:hyperlink>
          </w:p>
        </w:tc>
        <w:tc>
          <w:tcPr>
            <w:tcW w:w="1675" w:type="dxa"/>
            <w:shd w:val="clear" w:color="auto" w:fill="D9E2F3" w:themeFill="accent1" w:themeFillTint="33"/>
          </w:tcPr>
          <w:p w14:paraId="78BA9FD1" w14:textId="77777777" w:rsidR="00AA1A15" w:rsidRPr="00555BAF" w:rsidRDefault="00AA1A15" w:rsidP="00192B16">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 xml:space="preserve">Case Capacity </w:t>
            </w:r>
          </w:p>
          <w:p w14:paraId="2A92174E" w14:textId="2EA9B4AC" w:rsidR="00AA1A15" w:rsidRPr="00555BAF" w:rsidRDefault="00AA1A15" w:rsidP="00192B16">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Per Room</w:t>
            </w:r>
            <w:r w:rsidR="00353C44">
              <w:rPr>
                <w:rStyle w:val="FootnoteReference"/>
                <w:rFonts w:ascii="Aptos Narrow" w:eastAsia="Times New Roman" w:hAnsi="Aptos Narrow"/>
                <w:b/>
                <w:bCs/>
                <w:color w:val="000000" w:themeColor="text1"/>
                <w:sz w:val="20"/>
                <w:szCs w:val="20"/>
              </w:rPr>
              <w:footnoteReference w:id="3"/>
            </w:r>
          </w:p>
        </w:tc>
        <w:tc>
          <w:tcPr>
            <w:tcW w:w="1676" w:type="dxa"/>
            <w:shd w:val="clear" w:color="auto" w:fill="D9E2F3" w:themeFill="accent1" w:themeFillTint="33"/>
            <w:hideMark/>
          </w:tcPr>
          <w:p w14:paraId="4194D7FD" w14:textId="77777777" w:rsidR="00AA1A15" w:rsidRPr="00555BAF" w:rsidRDefault="00AA1A15" w:rsidP="00192B16">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 xml:space="preserve">Operating </w:t>
            </w:r>
          </w:p>
          <w:p w14:paraId="062ED7C9" w14:textId="77777777" w:rsidR="00AA1A15" w:rsidRPr="00555BAF" w:rsidRDefault="00AA1A15" w:rsidP="00192B16">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Capacity</w:t>
            </w:r>
          </w:p>
        </w:tc>
      </w:tr>
      <w:tr w:rsidR="00BB55DF" w:rsidRPr="00082CDA" w14:paraId="5E9EBA5F" w14:textId="77777777" w:rsidTr="00DB53A3">
        <w:trPr>
          <w:cantSplit/>
          <w:trHeight w:val="300"/>
        </w:trPr>
        <w:tc>
          <w:tcPr>
            <w:tcW w:w="1339" w:type="dxa"/>
            <w:vAlign w:val="center"/>
            <w:hideMark/>
          </w:tcPr>
          <w:p w14:paraId="2CC0B9CB" w14:textId="1C6409A5" w:rsidR="00BB55DF" w:rsidRPr="00555BAF" w:rsidRDefault="00BB55DF" w:rsidP="00BB55DF">
            <w:pPr>
              <w:spacing w:after="0" w:line="240" w:lineRule="auto"/>
              <w:jc w:val="both"/>
              <w:rPr>
                <w:rFonts w:ascii="Aptos Narrow" w:eastAsia="Times New Roman" w:hAnsi="Aptos Narrow"/>
                <w:color w:val="000000" w:themeColor="text1"/>
                <w:sz w:val="20"/>
                <w:szCs w:val="20"/>
              </w:rPr>
            </w:pPr>
            <w:bookmarkStart w:id="0" w:name="RANGE!B4"/>
            <w:r w:rsidRPr="00555BAF">
              <w:rPr>
                <w:rFonts w:ascii="Aptos Narrow" w:eastAsia="Times New Roman" w:hAnsi="Aptos Narrow"/>
                <w:color w:val="000000" w:themeColor="text1"/>
                <w:sz w:val="20"/>
                <w:szCs w:val="20"/>
              </w:rPr>
              <w:t>2022</w:t>
            </w:r>
            <w:bookmarkEnd w:id="0"/>
          </w:p>
        </w:tc>
        <w:tc>
          <w:tcPr>
            <w:tcW w:w="1675" w:type="dxa"/>
            <w:shd w:val="clear" w:color="auto" w:fill="FFF2CC" w:themeFill="accent4" w:themeFillTint="33"/>
          </w:tcPr>
          <w:p w14:paraId="1504C525" w14:textId="4B409A36"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0.4</w:t>
            </w:r>
          </w:p>
        </w:tc>
        <w:tc>
          <w:tcPr>
            <w:tcW w:w="1675" w:type="dxa"/>
            <w:shd w:val="clear" w:color="auto" w:fill="FFF2CC" w:themeFill="accent4" w:themeFillTint="33"/>
          </w:tcPr>
          <w:p w14:paraId="3A86F704" w14:textId="4B2E9348"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1,274</w:t>
            </w:r>
          </w:p>
        </w:tc>
        <w:tc>
          <w:tcPr>
            <w:tcW w:w="1675" w:type="dxa"/>
            <w:vAlign w:val="center"/>
          </w:tcPr>
          <w:p w14:paraId="78A4727D" w14:textId="2CF30A20"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1,274</w:t>
            </w:r>
          </w:p>
        </w:tc>
        <w:tc>
          <w:tcPr>
            <w:tcW w:w="1675" w:type="dxa"/>
            <w:vAlign w:val="center"/>
          </w:tcPr>
          <w:p w14:paraId="57C92C21" w14:textId="3A971BCE"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1,134</w:t>
            </w:r>
          </w:p>
        </w:tc>
        <w:tc>
          <w:tcPr>
            <w:tcW w:w="1676" w:type="dxa"/>
            <w:vAlign w:val="center"/>
          </w:tcPr>
          <w:p w14:paraId="5BAEDE9B" w14:textId="2ABB2E3C"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112%</w:t>
            </w:r>
          </w:p>
        </w:tc>
      </w:tr>
      <w:tr w:rsidR="00BB55DF" w:rsidRPr="00082CDA" w14:paraId="0C08FB0F" w14:textId="77777777" w:rsidTr="00DB53A3">
        <w:trPr>
          <w:cantSplit/>
          <w:trHeight w:val="300"/>
        </w:trPr>
        <w:tc>
          <w:tcPr>
            <w:tcW w:w="1339" w:type="dxa"/>
            <w:vAlign w:val="center"/>
            <w:hideMark/>
          </w:tcPr>
          <w:p w14:paraId="0A60B518" w14:textId="77777777" w:rsidR="00BB55DF" w:rsidRPr="00555BAF" w:rsidRDefault="00BB55DF" w:rsidP="00BB55DF">
            <w:pPr>
              <w:spacing w:after="0" w:line="240" w:lineRule="auto"/>
              <w:jc w:val="both"/>
              <w:rPr>
                <w:rFonts w:ascii="Aptos Narrow" w:eastAsia="Times New Roman" w:hAnsi="Aptos Narrow"/>
                <w:color w:val="000000" w:themeColor="text1"/>
                <w:sz w:val="20"/>
                <w:szCs w:val="20"/>
              </w:rPr>
            </w:pPr>
            <w:r w:rsidRPr="00555BAF">
              <w:rPr>
                <w:rFonts w:ascii="Aptos Narrow" w:eastAsia="Times New Roman" w:hAnsi="Aptos Narrow"/>
                <w:color w:val="000000" w:themeColor="text1"/>
                <w:sz w:val="20"/>
                <w:szCs w:val="20"/>
              </w:rPr>
              <w:t>2023</w:t>
            </w:r>
          </w:p>
        </w:tc>
        <w:tc>
          <w:tcPr>
            <w:tcW w:w="1675" w:type="dxa"/>
            <w:shd w:val="clear" w:color="auto" w:fill="FFF2CC" w:themeFill="accent4" w:themeFillTint="33"/>
          </w:tcPr>
          <w:p w14:paraId="27737933" w14:textId="0868F179"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0.4</w:t>
            </w:r>
          </w:p>
        </w:tc>
        <w:tc>
          <w:tcPr>
            <w:tcW w:w="1675" w:type="dxa"/>
            <w:shd w:val="clear" w:color="auto" w:fill="FFF2CC" w:themeFill="accent4" w:themeFillTint="33"/>
          </w:tcPr>
          <w:p w14:paraId="4D5D3C11" w14:textId="61F078AF"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1,324</w:t>
            </w:r>
          </w:p>
        </w:tc>
        <w:tc>
          <w:tcPr>
            <w:tcW w:w="1675" w:type="dxa"/>
            <w:vAlign w:val="center"/>
          </w:tcPr>
          <w:p w14:paraId="3B100062" w14:textId="3AF7D0EC"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1,324</w:t>
            </w:r>
          </w:p>
        </w:tc>
        <w:tc>
          <w:tcPr>
            <w:tcW w:w="1675" w:type="dxa"/>
            <w:vAlign w:val="center"/>
          </w:tcPr>
          <w:p w14:paraId="6FEB7EF3" w14:textId="11472E5E"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1,184</w:t>
            </w:r>
          </w:p>
        </w:tc>
        <w:tc>
          <w:tcPr>
            <w:tcW w:w="1676" w:type="dxa"/>
            <w:vAlign w:val="center"/>
          </w:tcPr>
          <w:p w14:paraId="387217D4" w14:textId="5E38872A"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112%</w:t>
            </w:r>
          </w:p>
        </w:tc>
      </w:tr>
      <w:tr w:rsidR="00BB55DF" w:rsidRPr="00082CDA" w14:paraId="0D664755" w14:textId="77777777" w:rsidTr="00DB53A3">
        <w:trPr>
          <w:cantSplit/>
          <w:trHeight w:val="300"/>
        </w:trPr>
        <w:tc>
          <w:tcPr>
            <w:tcW w:w="1339" w:type="dxa"/>
            <w:vAlign w:val="center"/>
            <w:hideMark/>
          </w:tcPr>
          <w:p w14:paraId="4F941629" w14:textId="6E93EFE8" w:rsidR="00BB55DF" w:rsidRPr="00555BAF" w:rsidRDefault="00BB55DF" w:rsidP="00BB55DF">
            <w:pPr>
              <w:spacing w:after="0" w:line="240" w:lineRule="auto"/>
              <w:jc w:val="both"/>
              <w:rPr>
                <w:rFonts w:ascii="Aptos Narrow" w:eastAsia="Times New Roman" w:hAnsi="Aptos Narrow"/>
                <w:color w:val="000000" w:themeColor="text1"/>
                <w:sz w:val="20"/>
                <w:szCs w:val="20"/>
              </w:rPr>
            </w:pPr>
            <w:r w:rsidRPr="00555BAF">
              <w:rPr>
                <w:rFonts w:ascii="Aptos Narrow" w:eastAsia="Times New Roman" w:hAnsi="Aptos Narrow"/>
                <w:color w:val="000000" w:themeColor="text1"/>
                <w:sz w:val="20"/>
                <w:szCs w:val="20"/>
              </w:rPr>
              <w:t>2024</w:t>
            </w:r>
          </w:p>
        </w:tc>
        <w:tc>
          <w:tcPr>
            <w:tcW w:w="1675" w:type="dxa"/>
            <w:shd w:val="clear" w:color="auto" w:fill="FFF2CC" w:themeFill="accent4" w:themeFillTint="33"/>
          </w:tcPr>
          <w:p w14:paraId="7B17C7A6" w14:textId="6A3C9849"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2</w:t>
            </w:r>
          </w:p>
        </w:tc>
        <w:tc>
          <w:tcPr>
            <w:tcW w:w="1675" w:type="dxa"/>
            <w:shd w:val="clear" w:color="auto" w:fill="FFF2CC" w:themeFill="accent4" w:themeFillTint="33"/>
          </w:tcPr>
          <w:p w14:paraId="1188A6C6" w14:textId="33470553"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4,823</w:t>
            </w:r>
          </w:p>
        </w:tc>
        <w:tc>
          <w:tcPr>
            <w:tcW w:w="1675" w:type="dxa"/>
            <w:vAlign w:val="center"/>
          </w:tcPr>
          <w:p w14:paraId="7F230712" w14:textId="3B50158F"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2,412</w:t>
            </w:r>
          </w:p>
        </w:tc>
        <w:tc>
          <w:tcPr>
            <w:tcW w:w="1675" w:type="dxa"/>
            <w:vAlign w:val="center"/>
          </w:tcPr>
          <w:p w14:paraId="7DD3381E" w14:textId="6A2B57CF"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3,138</w:t>
            </w:r>
          </w:p>
        </w:tc>
        <w:tc>
          <w:tcPr>
            <w:tcW w:w="1676" w:type="dxa"/>
            <w:vAlign w:val="center"/>
          </w:tcPr>
          <w:p w14:paraId="2B1CDD65" w14:textId="46F222E6"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77%</w:t>
            </w:r>
          </w:p>
        </w:tc>
      </w:tr>
      <w:tr w:rsidR="00BB55DF" w:rsidRPr="00082CDA" w14:paraId="742079BD" w14:textId="77777777" w:rsidTr="00DB53A3">
        <w:trPr>
          <w:cantSplit/>
          <w:trHeight w:val="300"/>
        </w:trPr>
        <w:tc>
          <w:tcPr>
            <w:tcW w:w="1339" w:type="dxa"/>
            <w:vAlign w:val="center"/>
          </w:tcPr>
          <w:p w14:paraId="27CB40FA" w14:textId="26D58E91" w:rsidR="00BB55DF" w:rsidRPr="00555BAF" w:rsidRDefault="00BB55DF" w:rsidP="00BB55DF">
            <w:pPr>
              <w:spacing w:after="0" w:line="240" w:lineRule="auto"/>
              <w:jc w:val="both"/>
              <w:rPr>
                <w:rFonts w:ascii="Aptos Narrow" w:eastAsia="Times New Roman" w:hAnsi="Aptos Narrow"/>
                <w:color w:val="000000" w:themeColor="text1"/>
                <w:sz w:val="20"/>
                <w:szCs w:val="20"/>
              </w:rPr>
            </w:pPr>
            <w:r w:rsidRPr="00555BAF">
              <w:rPr>
                <w:rFonts w:ascii="Aptos Narrow" w:eastAsia="Times New Roman" w:hAnsi="Aptos Narrow"/>
                <w:color w:val="000000" w:themeColor="text1"/>
                <w:sz w:val="20"/>
                <w:szCs w:val="20"/>
              </w:rPr>
              <w:t>2025</w:t>
            </w:r>
          </w:p>
        </w:tc>
        <w:tc>
          <w:tcPr>
            <w:tcW w:w="1675" w:type="dxa"/>
            <w:shd w:val="clear" w:color="auto" w:fill="FFF2CC" w:themeFill="accent4" w:themeFillTint="33"/>
          </w:tcPr>
          <w:p w14:paraId="417FC595" w14:textId="31AB0B0D"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2</w:t>
            </w:r>
          </w:p>
        </w:tc>
        <w:tc>
          <w:tcPr>
            <w:tcW w:w="1675" w:type="dxa"/>
            <w:shd w:val="clear" w:color="auto" w:fill="FFF2CC" w:themeFill="accent4" w:themeFillTint="33"/>
          </w:tcPr>
          <w:p w14:paraId="44D21C2F" w14:textId="5A531CAB"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sidRPr="00555BAF">
              <w:rPr>
                <w:rFonts w:ascii="Aptos Narrow" w:eastAsia="Times New Roman" w:hAnsi="Aptos Narrow"/>
                <w:color w:val="000000" w:themeColor="text1"/>
                <w:sz w:val="20"/>
                <w:szCs w:val="20"/>
              </w:rPr>
              <w:t>5,095</w:t>
            </w:r>
          </w:p>
        </w:tc>
        <w:tc>
          <w:tcPr>
            <w:tcW w:w="1675" w:type="dxa"/>
            <w:vAlign w:val="center"/>
          </w:tcPr>
          <w:p w14:paraId="3B887A08" w14:textId="595D72C6"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2,548</w:t>
            </w:r>
          </w:p>
        </w:tc>
        <w:tc>
          <w:tcPr>
            <w:tcW w:w="1675" w:type="dxa"/>
            <w:vAlign w:val="center"/>
          </w:tcPr>
          <w:p w14:paraId="7DBE5C1F" w14:textId="7E6A6FAB" w:rsidR="00BB55DF" w:rsidRPr="00485C1D" w:rsidRDefault="00BB55DF" w:rsidP="00BB55DF">
            <w:pPr>
              <w:spacing w:after="0" w:line="240" w:lineRule="auto"/>
              <w:jc w:val="center"/>
              <w:rPr>
                <w:rFonts w:ascii="Aptos Narrow" w:eastAsia="Times New Roman" w:hAnsi="Aptos Narrow"/>
                <w:color w:val="000000" w:themeColor="text1"/>
                <w:sz w:val="20"/>
                <w:szCs w:val="20"/>
                <w:highlight w:val="yellow"/>
              </w:rPr>
            </w:pPr>
            <w:r>
              <w:rPr>
                <w:rFonts w:ascii="Aptos Narrow" w:hAnsi="Aptos Narrow"/>
                <w:color w:val="000000"/>
                <w:sz w:val="20"/>
                <w:szCs w:val="20"/>
              </w:rPr>
              <w:t>3,138</w:t>
            </w:r>
          </w:p>
        </w:tc>
        <w:tc>
          <w:tcPr>
            <w:tcW w:w="1676" w:type="dxa"/>
            <w:vAlign w:val="center"/>
          </w:tcPr>
          <w:p w14:paraId="0AE0FB97" w14:textId="5785AA01" w:rsidR="00BB55DF" w:rsidRPr="00555BAF" w:rsidRDefault="00BB55DF" w:rsidP="00BB55DF">
            <w:pPr>
              <w:spacing w:after="0" w:line="240" w:lineRule="auto"/>
              <w:jc w:val="center"/>
              <w:rPr>
                <w:rFonts w:ascii="Aptos Narrow" w:eastAsia="Times New Roman" w:hAnsi="Aptos Narrow"/>
                <w:color w:val="000000" w:themeColor="text1"/>
                <w:sz w:val="20"/>
                <w:szCs w:val="20"/>
              </w:rPr>
            </w:pPr>
            <w:r>
              <w:rPr>
                <w:rFonts w:ascii="Aptos Narrow" w:hAnsi="Aptos Narrow"/>
                <w:color w:val="000000"/>
                <w:sz w:val="20"/>
                <w:szCs w:val="20"/>
              </w:rPr>
              <w:t>81%</w:t>
            </w:r>
          </w:p>
        </w:tc>
      </w:tr>
    </w:tbl>
    <w:p w14:paraId="48913269" w14:textId="77777777" w:rsidR="00F03079" w:rsidRDefault="00F03079" w:rsidP="00192B16">
      <w:pPr>
        <w:pStyle w:val="BodyText"/>
        <w:ind w:left="360"/>
        <w:rPr>
          <w:rFonts w:asciiTheme="minorHAnsi" w:hAnsiTheme="minorHAnsi"/>
          <w:b/>
          <w:bCs/>
        </w:rPr>
      </w:pPr>
    </w:p>
    <w:p w14:paraId="10B60CD5" w14:textId="1D73032B" w:rsidR="0081127C" w:rsidRPr="00017A1D" w:rsidRDefault="0081127C" w:rsidP="00192B16">
      <w:pPr>
        <w:pStyle w:val="BodyText"/>
        <w:ind w:left="360"/>
        <w:rPr>
          <w:rFonts w:asciiTheme="minorHAnsi" w:hAnsiTheme="minorHAnsi"/>
          <w:b/>
          <w:bCs/>
        </w:rPr>
      </w:pPr>
      <w:r>
        <w:rPr>
          <w:rFonts w:asciiTheme="minorHAnsi" w:hAnsiTheme="minorHAnsi"/>
          <w:b/>
          <w:bCs/>
        </w:rPr>
        <w:t xml:space="preserve">Newton Wellesley </w:t>
      </w:r>
      <w:r w:rsidR="00965101">
        <w:rPr>
          <w:rFonts w:asciiTheme="minorHAnsi" w:hAnsiTheme="minorHAnsi"/>
          <w:b/>
          <w:bCs/>
        </w:rPr>
        <w:t xml:space="preserve">Endoscopy </w:t>
      </w:r>
      <w:r>
        <w:rPr>
          <w:rFonts w:asciiTheme="minorHAnsi" w:hAnsiTheme="minorHAnsi"/>
          <w:b/>
          <w:bCs/>
        </w:rPr>
        <w:t>O</w:t>
      </w:r>
      <w:r w:rsidRPr="00082CDA">
        <w:rPr>
          <w:rFonts w:asciiTheme="minorHAnsi" w:hAnsiTheme="minorHAnsi"/>
          <w:b/>
          <w:bCs/>
        </w:rPr>
        <w:t>perating Capacity, 2022 to 202</w:t>
      </w:r>
      <w:r>
        <w:rPr>
          <w:rFonts w:asciiTheme="minorHAnsi" w:hAnsiTheme="minorHAnsi"/>
          <w:b/>
          <w:bCs/>
        </w:rPr>
        <w:t>5</w:t>
      </w:r>
      <w:r w:rsidR="003B4E86">
        <w:rPr>
          <w:rStyle w:val="FootnoteReference"/>
          <w:rFonts w:asciiTheme="minorHAnsi" w:hAnsiTheme="minorHAnsi"/>
          <w:b/>
          <w:bCs/>
        </w:rPr>
        <w:footnoteReference w:id="4"/>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710"/>
        <w:gridCol w:w="1620"/>
        <w:gridCol w:w="1710"/>
        <w:gridCol w:w="1620"/>
        <w:gridCol w:w="1705"/>
      </w:tblGrid>
      <w:tr w:rsidR="0022149D" w:rsidRPr="00082CDA" w14:paraId="162125B2" w14:textId="77777777" w:rsidTr="00DB53A3">
        <w:trPr>
          <w:cantSplit/>
          <w:trHeight w:val="182"/>
          <w:tblHeader/>
        </w:trPr>
        <w:tc>
          <w:tcPr>
            <w:tcW w:w="1350" w:type="dxa"/>
            <w:shd w:val="clear" w:color="auto" w:fill="D9E2F3" w:themeFill="accent1" w:themeFillTint="33"/>
          </w:tcPr>
          <w:p w14:paraId="3316FCE1" w14:textId="4B65745A" w:rsidR="0022149D" w:rsidRPr="00555BAF" w:rsidRDefault="0022149D" w:rsidP="0022149D">
            <w:pPr>
              <w:spacing w:after="0" w:line="240" w:lineRule="auto"/>
              <w:jc w:val="both"/>
              <w:rPr>
                <w:rFonts w:ascii="Aptos" w:eastAsia="Times New Roman" w:hAnsi="Aptos"/>
                <w:b/>
                <w:bCs/>
                <w:color w:val="000000" w:themeColor="text1"/>
                <w:sz w:val="20"/>
              </w:rPr>
            </w:pPr>
            <w:bookmarkStart w:id="1" w:name="_Hlk217938145"/>
            <w:r w:rsidRPr="00555BAF">
              <w:rPr>
                <w:rFonts w:ascii="Aptos Narrow" w:eastAsia="Times New Roman" w:hAnsi="Aptos Narrow"/>
                <w:b/>
                <w:bCs/>
                <w:color w:val="000000" w:themeColor="text1"/>
                <w:sz w:val="20"/>
                <w:szCs w:val="20"/>
              </w:rPr>
              <w:t>Fiscal Year</w:t>
            </w:r>
          </w:p>
        </w:tc>
        <w:tc>
          <w:tcPr>
            <w:tcW w:w="1710" w:type="dxa"/>
            <w:shd w:val="clear" w:color="auto" w:fill="FFF2CC" w:themeFill="accent4" w:themeFillTint="33"/>
          </w:tcPr>
          <w:p w14:paraId="1BEAA6E0" w14:textId="0E2D7B5D" w:rsidR="0022149D" w:rsidRPr="00555BAF" w:rsidRDefault="0022149D" w:rsidP="0022149D">
            <w:pPr>
              <w:spacing w:after="0" w:line="240" w:lineRule="auto"/>
              <w:jc w:val="center"/>
              <w:rPr>
                <w:rFonts w:ascii="Aptos" w:hAnsi="Aptos"/>
                <w:b/>
                <w:bCs/>
                <w:sz w:val="20"/>
              </w:rPr>
            </w:pPr>
            <w:r w:rsidRPr="0022149D">
              <w:rPr>
                <w:rFonts w:ascii="Aptos Narrow" w:hAnsi="Aptos Narrow"/>
                <w:b/>
                <w:bCs/>
                <w:i/>
                <w:iCs/>
                <w:sz w:val="20"/>
                <w:szCs w:val="20"/>
              </w:rPr>
              <w:t xml:space="preserve">Number of Dedicated Rooms </w:t>
            </w:r>
          </w:p>
        </w:tc>
        <w:tc>
          <w:tcPr>
            <w:tcW w:w="1620" w:type="dxa"/>
            <w:shd w:val="clear" w:color="auto" w:fill="FFF2CC" w:themeFill="accent4" w:themeFillTint="33"/>
          </w:tcPr>
          <w:p w14:paraId="64AD1A3B" w14:textId="01E24A06" w:rsidR="0022149D" w:rsidRPr="00555BAF" w:rsidRDefault="0022149D" w:rsidP="0022149D">
            <w:pPr>
              <w:spacing w:after="0" w:line="240" w:lineRule="auto"/>
              <w:jc w:val="center"/>
              <w:rPr>
                <w:rFonts w:ascii="Aptos" w:hAnsi="Aptos"/>
                <w:b/>
                <w:bCs/>
                <w:sz w:val="20"/>
              </w:rPr>
            </w:pPr>
            <w:r w:rsidRPr="0022149D">
              <w:rPr>
                <w:rFonts w:ascii="Aptos Narrow" w:hAnsi="Aptos Narrow"/>
                <w:b/>
                <w:bCs/>
                <w:i/>
                <w:iCs/>
                <w:sz w:val="20"/>
                <w:szCs w:val="20"/>
              </w:rPr>
              <w:t>Total Volume</w:t>
            </w:r>
          </w:p>
        </w:tc>
        <w:tc>
          <w:tcPr>
            <w:tcW w:w="1710" w:type="dxa"/>
            <w:shd w:val="clear" w:color="auto" w:fill="D9E2F3" w:themeFill="accent1" w:themeFillTint="33"/>
          </w:tcPr>
          <w:p w14:paraId="13F011BE" w14:textId="613E743C" w:rsidR="0022149D" w:rsidRPr="00555BAF" w:rsidRDefault="0022149D" w:rsidP="0022149D">
            <w:pPr>
              <w:spacing w:after="0" w:line="240" w:lineRule="auto"/>
              <w:jc w:val="center"/>
              <w:rPr>
                <w:rFonts w:ascii="Aptos" w:eastAsia="Times New Roman" w:hAnsi="Aptos"/>
                <w:b/>
                <w:bCs/>
                <w:color w:val="000000" w:themeColor="text1"/>
                <w:sz w:val="20"/>
              </w:rPr>
            </w:pPr>
            <w:hyperlink r:id="rId9" w:anchor="RANGE!_ftn1" w:history="1">
              <w:r w:rsidRPr="00555BAF">
                <w:rPr>
                  <w:rFonts w:ascii="Aptos Narrow" w:eastAsia="Times New Roman" w:hAnsi="Aptos Narrow"/>
                  <w:b/>
                  <w:bCs/>
                  <w:color w:val="000000" w:themeColor="text1"/>
                  <w:sz w:val="20"/>
                  <w:szCs w:val="20"/>
                </w:rPr>
                <w:t xml:space="preserve">Cases per Room </w:t>
              </w:r>
            </w:hyperlink>
          </w:p>
        </w:tc>
        <w:tc>
          <w:tcPr>
            <w:tcW w:w="1620" w:type="dxa"/>
            <w:shd w:val="clear" w:color="auto" w:fill="D9E2F3" w:themeFill="accent1" w:themeFillTint="33"/>
          </w:tcPr>
          <w:p w14:paraId="33FE1A82" w14:textId="77777777" w:rsidR="0022149D" w:rsidRPr="00555BAF" w:rsidRDefault="0022149D" w:rsidP="0022149D">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 xml:space="preserve">Case Capacity </w:t>
            </w:r>
          </w:p>
          <w:p w14:paraId="2928AF5B" w14:textId="1675080C" w:rsidR="0022149D" w:rsidRPr="00555BAF" w:rsidRDefault="0022149D" w:rsidP="0022149D">
            <w:pPr>
              <w:spacing w:after="0" w:line="240" w:lineRule="auto"/>
              <w:jc w:val="center"/>
              <w:rPr>
                <w:rFonts w:ascii="Aptos" w:eastAsia="Times New Roman" w:hAnsi="Aptos"/>
                <w:b/>
                <w:bCs/>
                <w:color w:val="000000" w:themeColor="text1"/>
                <w:sz w:val="20"/>
              </w:rPr>
            </w:pPr>
            <w:r w:rsidRPr="00555BAF">
              <w:rPr>
                <w:rFonts w:ascii="Aptos Narrow" w:eastAsia="Times New Roman" w:hAnsi="Aptos Narrow"/>
                <w:b/>
                <w:bCs/>
                <w:color w:val="000000" w:themeColor="text1"/>
                <w:sz w:val="20"/>
                <w:szCs w:val="20"/>
              </w:rPr>
              <w:t>Per Room</w:t>
            </w:r>
            <w:r w:rsidR="00543E57">
              <w:rPr>
                <w:rStyle w:val="FootnoteReference"/>
                <w:rFonts w:ascii="Aptos Narrow" w:eastAsia="Times New Roman" w:hAnsi="Aptos Narrow"/>
                <w:b/>
                <w:bCs/>
                <w:color w:val="000000" w:themeColor="text1"/>
                <w:sz w:val="20"/>
                <w:szCs w:val="20"/>
              </w:rPr>
              <w:footnoteReference w:id="5"/>
            </w:r>
          </w:p>
        </w:tc>
        <w:tc>
          <w:tcPr>
            <w:tcW w:w="1705" w:type="dxa"/>
            <w:shd w:val="clear" w:color="auto" w:fill="D9E2F3" w:themeFill="accent1" w:themeFillTint="33"/>
          </w:tcPr>
          <w:p w14:paraId="15685A1B" w14:textId="77777777" w:rsidR="0022149D" w:rsidRPr="00555BAF" w:rsidRDefault="0022149D" w:rsidP="0022149D">
            <w:pPr>
              <w:spacing w:after="0" w:line="240" w:lineRule="auto"/>
              <w:jc w:val="center"/>
              <w:rPr>
                <w:rFonts w:ascii="Aptos Narrow" w:eastAsia="Times New Roman" w:hAnsi="Aptos Narrow"/>
                <w:b/>
                <w:bCs/>
                <w:color w:val="000000" w:themeColor="text1"/>
                <w:sz w:val="20"/>
                <w:szCs w:val="20"/>
              </w:rPr>
            </w:pPr>
            <w:r w:rsidRPr="00555BAF">
              <w:rPr>
                <w:rFonts w:ascii="Aptos Narrow" w:eastAsia="Times New Roman" w:hAnsi="Aptos Narrow"/>
                <w:b/>
                <w:bCs/>
                <w:color w:val="000000" w:themeColor="text1"/>
                <w:sz w:val="20"/>
                <w:szCs w:val="20"/>
              </w:rPr>
              <w:t xml:space="preserve">Operating </w:t>
            </w:r>
          </w:p>
          <w:p w14:paraId="4880F418" w14:textId="5F558DC1" w:rsidR="0022149D" w:rsidRPr="00555BAF" w:rsidRDefault="0022149D" w:rsidP="0022149D">
            <w:pPr>
              <w:spacing w:after="0" w:line="240" w:lineRule="auto"/>
              <w:jc w:val="center"/>
              <w:rPr>
                <w:rFonts w:ascii="Aptos" w:eastAsia="Times New Roman" w:hAnsi="Aptos"/>
                <w:b/>
                <w:bCs/>
                <w:color w:val="000000" w:themeColor="text1"/>
                <w:sz w:val="20"/>
              </w:rPr>
            </w:pPr>
            <w:r w:rsidRPr="00555BAF">
              <w:rPr>
                <w:rFonts w:ascii="Aptos Narrow" w:eastAsia="Times New Roman" w:hAnsi="Aptos Narrow"/>
                <w:b/>
                <w:bCs/>
                <w:color w:val="000000" w:themeColor="text1"/>
                <w:sz w:val="20"/>
                <w:szCs w:val="20"/>
              </w:rPr>
              <w:t>Capacity</w:t>
            </w:r>
          </w:p>
        </w:tc>
      </w:tr>
      <w:tr w:rsidR="00BB55DF" w:rsidRPr="00082CDA" w14:paraId="6B71A67D" w14:textId="77777777" w:rsidTr="00DB53A3">
        <w:trPr>
          <w:cantSplit/>
          <w:trHeight w:val="300"/>
        </w:trPr>
        <w:tc>
          <w:tcPr>
            <w:tcW w:w="1350" w:type="dxa"/>
            <w:vAlign w:val="center"/>
          </w:tcPr>
          <w:p w14:paraId="10AFE380" w14:textId="702C1E0C" w:rsidR="00BB55DF" w:rsidRPr="00555BAF" w:rsidRDefault="00BB55DF" w:rsidP="00BB55DF">
            <w:pPr>
              <w:spacing w:after="0" w:line="240" w:lineRule="auto"/>
              <w:jc w:val="both"/>
              <w:rPr>
                <w:rFonts w:ascii="Aptos" w:eastAsia="Times New Roman" w:hAnsi="Aptos"/>
                <w:color w:val="000000" w:themeColor="text1"/>
                <w:sz w:val="20"/>
              </w:rPr>
            </w:pPr>
            <w:r w:rsidRPr="00555BAF">
              <w:rPr>
                <w:rFonts w:ascii="Aptos Narrow" w:eastAsia="Times New Roman" w:hAnsi="Aptos Narrow"/>
                <w:color w:val="000000" w:themeColor="text1"/>
                <w:sz w:val="20"/>
                <w:szCs w:val="20"/>
              </w:rPr>
              <w:t>2022</w:t>
            </w:r>
          </w:p>
        </w:tc>
        <w:tc>
          <w:tcPr>
            <w:tcW w:w="1710" w:type="dxa"/>
            <w:shd w:val="clear" w:color="auto" w:fill="FFF2CC" w:themeFill="accent4" w:themeFillTint="33"/>
            <w:vAlign w:val="center"/>
          </w:tcPr>
          <w:p w14:paraId="5DC145A1" w14:textId="3259C657"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8</w:t>
            </w:r>
          </w:p>
        </w:tc>
        <w:tc>
          <w:tcPr>
            <w:tcW w:w="1620" w:type="dxa"/>
            <w:shd w:val="clear" w:color="auto" w:fill="FFF2CC" w:themeFill="accent4" w:themeFillTint="33"/>
            <w:vAlign w:val="center"/>
          </w:tcPr>
          <w:p w14:paraId="68A7B0FE" w14:textId="5213346B"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13,651</w:t>
            </w:r>
          </w:p>
        </w:tc>
        <w:tc>
          <w:tcPr>
            <w:tcW w:w="1710" w:type="dxa"/>
            <w:vAlign w:val="center"/>
          </w:tcPr>
          <w:p w14:paraId="46B76411" w14:textId="27C41023"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1,706</w:t>
            </w:r>
          </w:p>
        </w:tc>
        <w:tc>
          <w:tcPr>
            <w:tcW w:w="1620" w:type="dxa"/>
            <w:vAlign w:val="center"/>
          </w:tcPr>
          <w:p w14:paraId="0486AD5B" w14:textId="069E3CF0"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2,564</w:t>
            </w:r>
          </w:p>
        </w:tc>
        <w:tc>
          <w:tcPr>
            <w:tcW w:w="1705" w:type="dxa"/>
            <w:vAlign w:val="center"/>
          </w:tcPr>
          <w:p w14:paraId="3DB532FB" w14:textId="7D76AAFA"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67%</w:t>
            </w:r>
          </w:p>
        </w:tc>
      </w:tr>
      <w:tr w:rsidR="00BB55DF" w:rsidRPr="00082CDA" w14:paraId="6BCA4C3A" w14:textId="77777777" w:rsidTr="00DB53A3">
        <w:trPr>
          <w:cantSplit/>
          <w:trHeight w:val="300"/>
        </w:trPr>
        <w:tc>
          <w:tcPr>
            <w:tcW w:w="1350" w:type="dxa"/>
            <w:vAlign w:val="center"/>
          </w:tcPr>
          <w:p w14:paraId="020D0B6A" w14:textId="520CBA62" w:rsidR="00BB55DF" w:rsidRPr="00555BAF" w:rsidRDefault="00BB55DF" w:rsidP="00BB55DF">
            <w:pPr>
              <w:spacing w:after="0" w:line="240" w:lineRule="auto"/>
              <w:jc w:val="both"/>
              <w:rPr>
                <w:rFonts w:ascii="Aptos" w:eastAsia="Times New Roman" w:hAnsi="Aptos"/>
                <w:color w:val="000000" w:themeColor="text1"/>
                <w:sz w:val="20"/>
              </w:rPr>
            </w:pPr>
            <w:r w:rsidRPr="00555BAF">
              <w:rPr>
                <w:rFonts w:ascii="Aptos Narrow" w:eastAsia="Times New Roman" w:hAnsi="Aptos Narrow"/>
                <w:color w:val="000000" w:themeColor="text1"/>
                <w:sz w:val="20"/>
                <w:szCs w:val="20"/>
              </w:rPr>
              <w:t>2023</w:t>
            </w:r>
          </w:p>
        </w:tc>
        <w:tc>
          <w:tcPr>
            <w:tcW w:w="1710" w:type="dxa"/>
            <w:shd w:val="clear" w:color="auto" w:fill="FFF2CC" w:themeFill="accent4" w:themeFillTint="33"/>
            <w:vAlign w:val="center"/>
          </w:tcPr>
          <w:p w14:paraId="3E84EDF8" w14:textId="6F585A4D"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9</w:t>
            </w:r>
          </w:p>
        </w:tc>
        <w:tc>
          <w:tcPr>
            <w:tcW w:w="1620" w:type="dxa"/>
            <w:shd w:val="clear" w:color="auto" w:fill="FFF2CC" w:themeFill="accent4" w:themeFillTint="33"/>
            <w:vAlign w:val="center"/>
          </w:tcPr>
          <w:p w14:paraId="596E7C73" w14:textId="62928FF4"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16,822</w:t>
            </w:r>
          </w:p>
        </w:tc>
        <w:tc>
          <w:tcPr>
            <w:tcW w:w="1710" w:type="dxa"/>
            <w:vAlign w:val="center"/>
          </w:tcPr>
          <w:p w14:paraId="497B9AAE" w14:textId="1FFA753D"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1,869</w:t>
            </w:r>
          </w:p>
        </w:tc>
        <w:tc>
          <w:tcPr>
            <w:tcW w:w="1620" w:type="dxa"/>
            <w:vAlign w:val="center"/>
          </w:tcPr>
          <w:p w14:paraId="25E9CF65" w14:textId="030768B9"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2,564</w:t>
            </w:r>
          </w:p>
        </w:tc>
        <w:tc>
          <w:tcPr>
            <w:tcW w:w="1705" w:type="dxa"/>
            <w:vAlign w:val="center"/>
          </w:tcPr>
          <w:p w14:paraId="15C6196E" w14:textId="6763272C"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73%</w:t>
            </w:r>
          </w:p>
        </w:tc>
      </w:tr>
      <w:tr w:rsidR="00BB55DF" w:rsidRPr="00082CDA" w14:paraId="16235F72" w14:textId="77777777" w:rsidTr="00DB53A3">
        <w:trPr>
          <w:cantSplit/>
          <w:trHeight w:val="300"/>
        </w:trPr>
        <w:tc>
          <w:tcPr>
            <w:tcW w:w="1350" w:type="dxa"/>
            <w:vAlign w:val="center"/>
          </w:tcPr>
          <w:p w14:paraId="4ADB40E9" w14:textId="514D858B" w:rsidR="00BB55DF" w:rsidRPr="00555BAF" w:rsidRDefault="00BB55DF" w:rsidP="00BB55DF">
            <w:pPr>
              <w:spacing w:after="0" w:line="240" w:lineRule="auto"/>
              <w:jc w:val="both"/>
              <w:rPr>
                <w:rFonts w:ascii="Aptos" w:eastAsia="Times New Roman" w:hAnsi="Aptos"/>
                <w:color w:val="000000" w:themeColor="text1"/>
                <w:sz w:val="20"/>
              </w:rPr>
            </w:pPr>
            <w:r w:rsidRPr="00555BAF">
              <w:rPr>
                <w:rFonts w:ascii="Aptos Narrow" w:eastAsia="Times New Roman" w:hAnsi="Aptos Narrow"/>
                <w:color w:val="000000" w:themeColor="text1"/>
                <w:sz w:val="20"/>
                <w:szCs w:val="20"/>
              </w:rPr>
              <w:t>2024</w:t>
            </w:r>
          </w:p>
        </w:tc>
        <w:tc>
          <w:tcPr>
            <w:tcW w:w="1710" w:type="dxa"/>
            <w:shd w:val="clear" w:color="auto" w:fill="FFF2CC" w:themeFill="accent4" w:themeFillTint="33"/>
            <w:vAlign w:val="center"/>
          </w:tcPr>
          <w:p w14:paraId="75612BC7" w14:textId="504D7DCD"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9</w:t>
            </w:r>
          </w:p>
        </w:tc>
        <w:tc>
          <w:tcPr>
            <w:tcW w:w="1620" w:type="dxa"/>
            <w:shd w:val="clear" w:color="auto" w:fill="FFF2CC" w:themeFill="accent4" w:themeFillTint="33"/>
            <w:vAlign w:val="center"/>
          </w:tcPr>
          <w:p w14:paraId="39A69A22" w14:textId="7A621392"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16,633</w:t>
            </w:r>
          </w:p>
        </w:tc>
        <w:tc>
          <w:tcPr>
            <w:tcW w:w="1710" w:type="dxa"/>
            <w:vAlign w:val="center"/>
          </w:tcPr>
          <w:p w14:paraId="5855FD97" w14:textId="5001C657"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1,848</w:t>
            </w:r>
          </w:p>
        </w:tc>
        <w:tc>
          <w:tcPr>
            <w:tcW w:w="1620" w:type="dxa"/>
            <w:vAlign w:val="center"/>
          </w:tcPr>
          <w:p w14:paraId="75EE669D" w14:textId="2525FB76"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2,564</w:t>
            </w:r>
          </w:p>
        </w:tc>
        <w:tc>
          <w:tcPr>
            <w:tcW w:w="1705" w:type="dxa"/>
            <w:vAlign w:val="center"/>
          </w:tcPr>
          <w:p w14:paraId="55E3904B" w14:textId="72776723"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72%</w:t>
            </w:r>
          </w:p>
        </w:tc>
      </w:tr>
      <w:tr w:rsidR="00BB55DF" w:rsidRPr="00082CDA" w14:paraId="2A0BE3EB" w14:textId="77777777" w:rsidTr="00DB53A3">
        <w:trPr>
          <w:cantSplit/>
          <w:trHeight w:val="300"/>
        </w:trPr>
        <w:tc>
          <w:tcPr>
            <w:tcW w:w="1350" w:type="dxa"/>
            <w:vAlign w:val="center"/>
          </w:tcPr>
          <w:p w14:paraId="661155DA" w14:textId="7ED6D808" w:rsidR="00BB55DF" w:rsidRPr="00555BAF" w:rsidRDefault="00BB55DF" w:rsidP="00BB55DF">
            <w:pPr>
              <w:spacing w:after="0" w:line="240" w:lineRule="auto"/>
              <w:jc w:val="both"/>
              <w:rPr>
                <w:rFonts w:ascii="Aptos" w:eastAsia="Times New Roman" w:hAnsi="Aptos"/>
                <w:color w:val="000000" w:themeColor="text1"/>
                <w:sz w:val="20"/>
              </w:rPr>
            </w:pPr>
            <w:r w:rsidRPr="00555BAF">
              <w:rPr>
                <w:rFonts w:ascii="Aptos Narrow" w:eastAsia="Times New Roman" w:hAnsi="Aptos Narrow"/>
                <w:color w:val="000000" w:themeColor="text1"/>
                <w:sz w:val="20"/>
                <w:szCs w:val="20"/>
              </w:rPr>
              <w:t>2025</w:t>
            </w:r>
          </w:p>
        </w:tc>
        <w:tc>
          <w:tcPr>
            <w:tcW w:w="1710" w:type="dxa"/>
            <w:shd w:val="clear" w:color="auto" w:fill="FFF2CC" w:themeFill="accent4" w:themeFillTint="33"/>
            <w:vAlign w:val="center"/>
          </w:tcPr>
          <w:p w14:paraId="4E5A18AD" w14:textId="046AFE29"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9</w:t>
            </w:r>
          </w:p>
        </w:tc>
        <w:tc>
          <w:tcPr>
            <w:tcW w:w="1620" w:type="dxa"/>
            <w:shd w:val="clear" w:color="auto" w:fill="FFF2CC" w:themeFill="accent4" w:themeFillTint="33"/>
            <w:vAlign w:val="center"/>
          </w:tcPr>
          <w:p w14:paraId="4073E699" w14:textId="319CB5F0"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17,794</w:t>
            </w:r>
          </w:p>
        </w:tc>
        <w:tc>
          <w:tcPr>
            <w:tcW w:w="1710" w:type="dxa"/>
            <w:vAlign w:val="center"/>
          </w:tcPr>
          <w:p w14:paraId="42178A4D" w14:textId="6BA04688"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1,977</w:t>
            </w:r>
          </w:p>
        </w:tc>
        <w:tc>
          <w:tcPr>
            <w:tcW w:w="1620" w:type="dxa"/>
            <w:vAlign w:val="center"/>
          </w:tcPr>
          <w:p w14:paraId="1C217A5A" w14:textId="76D6A085"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2,564</w:t>
            </w:r>
          </w:p>
        </w:tc>
        <w:tc>
          <w:tcPr>
            <w:tcW w:w="1705" w:type="dxa"/>
            <w:vAlign w:val="center"/>
          </w:tcPr>
          <w:p w14:paraId="4B5F8205" w14:textId="7AEF62FE"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77%</w:t>
            </w:r>
          </w:p>
        </w:tc>
      </w:tr>
      <w:tr w:rsidR="00BB55DF" w:rsidRPr="00082CDA" w14:paraId="4594BC84" w14:textId="77777777" w:rsidTr="00DB53A3">
        <w:trPr>
          <w:cantSplit/>
          <w:trHeight w:val="300"/>
        </w:trPr>
        <w:tc>
          <w:tcPr>
            <w:tcW w:w="1350" w:type="dxa"/>
            <w:vAlign w:val="center"/>
          </w:tcPr>
          <w:p w14:paraId="346D9979" w14:textId="2FCE9D9B" w:rsidR="00BB55DF" w:rsidRPr="00555BAF" w:rsidRDefault="00BB55DF" w:rsidP="00BB55DF">
            <w:pPr>
              <w:spacing w:after="0" w:line="240" w:lineRule="auto"/>
              <w:jc w:val="both"/>
              <w:rPr>
                <w:rFonts w:ascii="Aptos Narrow" w:eastAsia="Times New Roman" w:hAnsi="Aptos Narrow"/>
                <w:color w:val="000000" w:themeColor="text1"/>
                <w:sz w:val="20"/>
                <w:szCs w:val="20"/>
              </w:rPr>
            </w:pPr>
            <w:r>
              <w:rPr>
                <w:rFonts w:ascii="Aptos Narrow" w:eastAsia="Times New Roman" w:hAnsi="Aptos Narrow"/>
                <w:color w:val="000000" w:themeColor="text1"/>
                <w:sz w:val="20"/>
                <w:szCs w:val="20"/>
              </w:rPr>
              <w:t>2026</w:t>
            </w:r>
            <w:r>
              <w:rPr>
                <w:rStyle w:val="FootnoteReference"/>
                <w:rFonts w:ascii="Aptos Narrow" w:eastAsia="Times New Roman" w:hAnsi="Aptos Narrow"/>
                <w:color w:val="000000" w:themeColor="text1"/>
                <w:sz w:val="20"/>
                <w:szCs w:val="20"/>
              </w:rPr>
              <w:footnoteReference w:id="6"/>
            </w:r>
          </w:p>
        </w:tc>
        <w:tc>
          <w:tcPr>
            <w:tcW w:w="1710" w:type="dxa"/>
            <w:shd w:val="clear" w:color="auto" w:fill="FFF2CC" w:themeFill="accent4" w:themeFillTint="33"/>
            <w:vAlign w:val="center"/>
          </w:tcPr>
          <w:p w14:paraId="6BA5893A" w14:textId="6FD881F6" w:rsidR="00BB55D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9</w:t>
            </w:r>
          </w:p>
        </w:tc>
        <w:tc>
          <w:tcPr>
            <w:tcW w:w="1620" w:type="dxa"/>
            <w:shd w:val="clear" w:color="auto" w:fill="FFF2CC" w:themeFill="accent4" w:themeFillTint="33"/>
            <w:vAlign w:val="center"/>
          </w:tcPr>
          <w:p w14:paraId="488E60D8" w14:textId="45999ACA" w:rsidR="00BB55D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20,275</w:t>
            </w:r>
          </w:p>
        </w:tc>
        <w:tc>
          <w:tcPr>
            <w:tcW w:w="1710" w:type="dxa"/>
            <w:vAlign w:val="center"/>
          </w:tcPr>
          <w:p w14:paraId="1926122B" w14:textId="537D1FAE"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2,253</w:t>
            </w:r>
          </w:p>
        </w:tc>
        <w:tc>
          <w:tcPr>
            <w:tcW w:w="1620" w:type="dxa"/>
            <w:vAlign w:val="center"/>
          </w:tcPr>
          <w:p w14:paraId="6493AAF9" w14:textId="4D1C98EC"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2,564</w:t>
            </w:r>
          </w:p>
        </w:tc>
        <w:tc>
          <w:tcPr>
            <w:tcW w:w="1705" w:type="dxa"/>
            <w:vAlign w:val="center"/>
          </w:tcPr>
          <w:p w14:paraId="10130ADF" w14:textId="3D5EC372" w:rsidR="00BB55DF" w:rsidRPr="00555BAF" w:rsidRDefault="00BB55DF" w:rsidP="00BB55DF">
            <w:pPr>
              <w:spacing w:after="0" w:line="240" w:lineRule="auto"/>
              <w:jc w:val="center"/>
              <w:rPr>
                <w:rFonts w:ascii="Aptos" w:eastAsia="Times New Roman" w:hAnsi="Aptos"/>
                <w:color w:val="000000" w:themeColor="text1"/>
                <w:sz w:val="20"/>
              </w:rPr>
            </w:pPr>
            <w:r>
              <w:rPr>
                <w:rFonts w:ascii="Aptos Narrow" w:hAnsi="Aptos Narrow"/>
                <w:color w:val="000000"/>
                <w:sz w:val="20"/>
                <w:szCs w:val="20"/>
              </w:rPr>
              <w:t>93%</w:t>
            </w:r>
          </w:p>
        </w:tc>
      </w:tr>
      <w:bookmarkEnd w:id="1"/>
    </w:tbl>
    <w:p w14:paraId="6AD6DE4A" w14:textId="77777777" w:rsidR="001C2D97" w:rsidRPr="0011415B" w:rsidRDefault="001C2D97" w:rsidP="001C2D97">
      <w:pPr>
        <w:rPr>
          <w:rFonts w:cstheme="minorHAnsi"/>
          <w:sz w:val="24"/>
          <w:szCs w:val="24"/>
        </w:rPr>
      </w:pPr>
    </w:p>
    <w:p w14:paraId="197860E2" w14:textId="7E80A73F" w:rsidR="0011415B" w:rsidRPr="0004249E" w:rsidRDefault="004F7C51" w:rsidP="001373DF">
      <w:pPr>
        <w:pStyle w:val="Heading1"/>
      </w:pPr>
      <w:r w:rsidRPr="0004249E">
        <w:lastRenderedPageBreak/>
        <w:t xml:space="preserve">Please confirm the historical data and add </w:t>
      </w:r>
      <w:r w:rsidR="00E45681" w:rsidRPr="0004249E">
        <w:t>missing data points</w:t>
      </w:r>
      <w:r w:rsidRPr="0004249E">
        <w:t xml:space="preserve"> for the </w:t>
      </w:r>
      <w:r w:rsidR="00DC1D70" w:rsidRPr="0004249E">
        <w:t xml:space="preserve">table below reporting on shift of cases from MGH Main </w:t>
      </w:r>
      <w:r w:rsidR="000436E1" w:rsidRPr="0004249E">
        <w:t>C</w:t>
      </w:r>
      <w:r w:rsidR="00DC1D70" w:rsidRPr="0004249E">
        <w:t>ampus to MG Waltham</w:t>
      </w:r>
      <w:r w:rsidR="00E45681" w:rsidRPr="0004249E">
        <w:t>.</w:t>
      </w:r>
    </w:p>
    <w:p w14:paraId="26F4CD88" w14:textId="44E2D28B" w:rsidR="00DE32AE" w:rsidRDefault="00192B16" w:rsidP="002F1F1B">
      <w:pPr>
        <w:spacing w:after="120"/>
        <w:ind w:left="720"/>
        <w:jc w:val="both"/>
        <w:rPr>
          <w:rFonts w:ascii="Aptos" w:hAnsi="Aptos" w:cstheme="minorHAnsi"/>
          <w:b/>
          <w:bCs/>
        </w:rPr>
      </w:pPr>
      <w:r w:rsidRPr="0004249E">
        <w:rPr>
          <w:rFonts w:ascii="Aptos" w:hAnsi="Aptos" w:cstheme="minorHAnsi"/>
          <w:b/>
          <w:bCs/>
        </w:rPr>
        <w:t xml:space="preserve">See Attachment A. </w:t>
      </w:r>
    </w:p>
    <w:p w14:paraId="3CF9B28B" w14:textId="76B2AA8E" w:rsidR="002F1F1B" w:rsidRPr="002F1F1B" w:rsidRDefault="002F1F1B" w:rsidP="002F1F1B">
      <w:pPr>
        <w:spacing w:after="120"/>
        <w:ind w:left="720"/>
        <w:jc w:val="both"/>
        <w:rPr>
          <w:rFonts w:ascii="Aptos" w:hAnsi="Aptos" w:cstheme="minorHAnsi"/>
          <w:b/>
          <w:bCs/>
        </w:rPr>
      </w:pPr>
      <w:bookmarkStart w:id="3" w:name="_Hlk218082446"/>
      <w:r w:rsidRPr="002F1F1B">
        <w:rPr>
          <w:rFonts w:ascii="Aptos" w:hAnsi="Aptos" w:cstheme="minorHAnsi"/>
          <w:b/>
          <w:bCs/>
        </w:rPr>
        <w:t xml:space="preserve">For further background, the original Waltham OR DoN was to add </w:t>
      </w:r>
      <w:r w:rsidR="00BE0E8F">
        <w:rPr>
          <w:rFonts w:ascii="Aptos" w:hAnsi="Aptos" w:cstheme="minorHAnsi"/>
          <w:b/>
          <w:bCs/>
        </w:rPr>
        <w:t>six (</w:t>
      </w:r>
      <w:r w:rsidRPr="002F1F1B">
        <w:rPr>
          <w:rFonts w:ascii="Aptos" w:hAnsi="Aptos" w:cstheme="minorHAnsi"/>
          <w:b/>
          <w:bCs/>
        </w:rPr>
        <w:t>6</w:t>
      </w:r>
      <w:r w:rsidR="00BE0E8F">
        <w:rPr>
          <w:rFonts w:ascii="Aptos" w:hAnsi="Aptos" w:cstheme="minorHAnsi"/>
          <w:b/>
          <w:bCs/>
        </w:rPr>
        <w:t>)</w:t>
      </w:r>
      <w:r w:rsidRPr="002F1F1B">
        <w:rPr>
          <w:rFonts w:ascii="Aptos" w:hAnsi="Aptos" w:cstheme="minorHAnsi"/>
          <w:b/>
          <w:bCs/>
        </w:rPr>
        <w:t xml:space="preserve"> ORs to the existing </w:t>
      </w:r>
      <w:r w:rsidR="00BE0E8F">
        <w:rPr>
          <w:rFonts w:ascii="Aptos" w:hAnsi="Aptos" w:cstheme="minorHAnsi"/>
          <w:b/>
          <w:bCs/>
        </w:rPr>
        <w:t xml:space="preserve">four (4) </w:t>
      </w:r>
      <w:r w:rsidRPr="002F1F1B">
        <w:rPr>
          <w:rFonts w:ascii="Aptos" w:hAnsi="Aptos" w:cstheme="minorHAnsi"/>
          <w:b/>
          <w:bCs/>
        </w:rPr>
        <w:t xml:space="preserve">ORs at MG Waltham, for a total of 10 ORs. The ORs were approved for multi-specialty use, including endoscopy. </w:t>
      </w:r>
      <w:r>
        <w:rPr>
          <w:rFonts w:ascii="Aptos" w:hAnsi="Aptos" w:cstheme="minorHAnsi"/>
          <w:b/>
          <w:bCs/>
        </w:rPr>
        <w:t>For FY2</w:t>
      </w:r>
      <w:r w:rsidR="00372520">
        <w:rPr>
          <w:rFonts w:ascii="Aptos" w:hAnsi="Aptos" w:cstheme="minorHAnsi"/>
          <w:b/>
          <w:bCs/>
        </w:rPr>
        <w:t>2</w:t>
      </w:r>
      <w:r>
        <w:rPr>
          <w:rFonts w:ascii="Aptos" w:hAnsi="Aptos" w:cstheme="minorHAnsi"/>
          <w:b/>
          <w:bCs/>
        </w:rPr>
        <w:t xml:space="preserve"> and FY2</w:t>
      </w:r>
      <w:r w:rsidR="00372520">
        <w:rPr>
          <w:rFonts w:ascii="Aptos" w:hAnsi="Aptos" w:cstheme="minorHAnsi"/>
          <w:b/>
          <w:bCs/>
        </w:rPr>
        <w:t>3</w:t>
      </w:r>
      <w:r>
        <w:rPr>
          <w:rFonts w:ascii="Aptos" w:hAnsi="Aptos" w:cstheme="minorHAnsi"/>
          <w:b/>
          <w:bCs/>
        </w:rPr>
        <w:t xml:space="preserve">, endoscopy cases at MG Waltham were performed in an OR two </w:t>
      </w:r>
      <w:r w:rsidR="00BE0E8F">
        <w:rPr>
          <w:rFonts w:ascii="Aptos" w:hAnsi="Aptos" w:cstheme="minorHAnsi"/>
          <w:b/>
          <w:bCs/>
        </w:rPr>
        <w:t xml:space="preserve">(2) </w:t>
      </w:r>
      <w:r>
        <w:rPr>
          <w:rFonts w:ascii="Aptos" w:hAnsi="Aptos" w:cstheme="minorHAnsi"/>
          <w:b/>
          <w:bCs/>
        </w:rPr>
        <w:t>days per week</w:t>
      </w:r>
      <w:r w:rsidR="00065DA0">
        <w:rPr>
          <w:rFonts w:ascii="Aptos" w:hAnsi="Aptos" w:cstheme="minorHAnsi"/>
          <w:b/>
          <w:bCs/>
        </w:rPr>
        <w:t xml:space="preserve"> (equal to 0.4 dedicated rooms)</w:t>
      </w:r>
      <w:r>
        <w:rPr>
          <w:rFonts w:ascii="Aptos" w:hAnsi="Aptos" w:cstheme="minorHAnsi"/>
          <w:b/>
          <w:bCs/>
        </w:rPr>
        <w:t xml:space="preserve">. </w:t>
      </w:r>
      <w:r w:rsidRPr="002F1F1B">
        <w:rPr>
          <w:rFonts w:ascii="Aptos" w:hAnsi="Aptos" w:cstheme="minorHAnsi"/>
          <w:b/>
          <w:bCs/>
        </w:rPr>
        <w:t xml:space="preserve">MGH subsequently received DoN approval </w:t>
      </w:r>
      <w:r w:rsidR="00BE0E8F">
        <w:rPr>
          <w:rFonts w:ascii="Aptos" w:hAnsi="Aptos" w:cstheme="minorHAnsi"/>
          <w:b/>
          <w:bCs/>
        </w:rPr>
        <w:t>to transfer</w:t>
      </w:r>
      <w:r w:rsidRPr="002F1F1B">
        <w:rPr>
          <w:rFonts w:ascii="Aptos" w:hAnsi="Aptos" w:cstheme="minorHAnsi"/>
          <w:b/>
          <w:bCs/>
        </w:rPr>
        <w:t xml:space="preserve"> </w:t>
      </w:r>
      <w:r w:rsidR="00BE0E8F">
        <w:rPr>
          <w:rFonts w:ascii="Aptos" w:hAnsi="Aptos" w:cstheme="minorHAnsi"/>
          <w:b/>
          <w:bCs/>
        </w:rPr>
        <w:t>two (</w:t>
      </w:r>
      <w:r w:rsidRPr="002F1F1B">
        <w:rPr>
          <w:rFonts w:ascii="Aptos" w:hAnsi="Aptos" w:cstheme="minorHAnsi"/>
          <w:b/>
          <w:bCs/>
        </w:rPr>
        <w:t>2</w:t>
      </w:r>
      <w:r w:rsidR="00BE0E8F">
        <w:rPr>
          <w:rFonts w:ascii="Aptos" w:hAnsi="Aptos" w:cstheme="minorHAnsi"/>
          <w:b/>
          <w:bCs/>
        </w:rPr>
        <w:t>)</w:t>
      </w:r>
      <w:r w:rsidRPr="002F1F1B">
        <w:rPr>
          <w:rFonts w:ascii="Aptos" w:hAnsi="Aptos" w:cstheme="minorHAnsi"/>
          <w:b/>
          <w:bCs/>
        </w:rPr>
        <w:t xml:space="preserve"> dedicated endoscopy rooms </w:t>
      </w:r>
      <w:r w:rsidR="00BE0E8F">
        <w:rPr>
          <w:rFonts w:ascii="Aptos" w:hAnsi="Aptos" w:cstheme="minorHAnsi"/>
          <w:b/>
          <w:bCs/>
        </w:rPr>
        <w:t>from MGH Main Campus to</w:t>
      </w:r>
      <w:r w:rsidRPr="002F1F1B">
        <w:rPr>
          <w:rFonts w:ascii="Aptos" w:hAnsi="Aptos" w:cstheme="minorHAnsi"/>
          <w:b/>
          <w:bCs/>
        </w:rPr>
        <w:t xml:space="preserve"> MG Waltham. Those </w:t>
      </w:r>
      <w:r w:rsidR="00BE0E8F">
        <w:rPr>
          <w:rFonts w:ascii="Aptos" w:hAnsi="Aptos" w:cstheme="minorHAnsi"/>
          <w:b/>
          <w:bCs/>
        </w:rPr>
        <w:t>two (</w:t>
      </w:r>
      <w:r w:rsidRPr="002F1F1B">
        <w:rPr>
          <w:rFonts w:ascii="Aptos" w:hAnsi="Aptos" w:cstheme="minorHAnsi"/>
          <w:b/>
          <w:bCs/>
        </w:rPr>
        <w:t>2</w:t>
      </w:r>
      <w:r w:rsidR="00BE0E8F">
        <w:rPr>
          <w:rFonts w:ascii="Aptos" w:hAnsi="Aptos" w:cstheme="minorHAnsi"/>
          <w:b/>
          <w:bCs/>
        </w:rPr>
        <w:t>)</w:t>
      </w:r>
      <w:r w:rsidRPr="002F1F1B">
        <w:rPr>
          <w:rFonts w:ascii="Aptos" w:hAnsi="Aptos" w:cstheme="minorHAnsi"/>
          <w:b/>
          <w:bCs/>
        </w:rPr>
        <w:t xml:space="preserve"> dedicated rooms opened in 2024 and nearly all endoscopy procedures have since been performed in the dedicated rooms. With the move of endoscopy to dedicated rooms starting 2024, the average case length in the 10 ORs increased with change in case mix</w:t>
      </w:r>
      <w:r w:rsidR="00372520">
        <w:rPr>
          <w:rFonts w:ascii="Aptos" w:hAnsi="Aptos" w:cstheme="minorHAnsi"/>
          <w:b/>
          <w:bCs/>
        </w:rPr>
        <w:t xml:space="preserve"> which directly impacts total volume. </w:t>
      </w:r>
    </w:p>
    <w:p w14:paraId="074C49F7" w14:textId="7F5A9E6C" w:rsidR="001C2D97" w:rsidRDefault="002F1F1B" w:rsidP="001C2D97">
      <w:pPr>
        <w:spacing w:after="120"/>
        <w:ind w:left="720"/>
        <w:jc w:val="both"/>
        <w:rPr>
          <w:rFonts w:ascii="Aptos" w:hAnsi="Aptos" w:cstheme="minorHAnsi"/>
          <w:b/>
          <w:bCs/>
        </w:rPr>
      </w:pPr>
      <w:bookmarkStart w:id="4" w:name="_Hlk218082093"/>
      <w:r w:rsidRPr="002F1F1B">
        <w:rPr>
          <w:rFonts w:ascii="Aptos" w:hAnsi="Aptos" w:cstheme="minorHAnsi"/>
          <w:b/>
          <w:bCs/>
        </w:rPr>
        <w:t xml:space="preserve">The </w:t>
      </w:r>
      <w:r w:rsidR="00372520">
        <w:rPr>
          <w:rFonts w:ascii="Aptos" w:hAnsi="Aptos" w:cstheme="minorHAnsi"/>
          <w:b/>
          <w:bCs/>
        </w:rPr>
        <w:t>case volumes</w:t>
      </w:r>
      <w:r w:rsidRPr="002F1F1B">
        <w:rPr>
          <w:rFonts w:ascii="Aptos" w:hAnsi="Aptos" w:cstheme="minorHAnsi"/>
          <w:b/>
          <w:bCs/>
        </w:rPr>
        <w:t xml:space="preserve"> in the </w:t>
      </w:r>
      <w:r w:rsidR="001C2D97">
        <w:rPr>
          <w:rFonts w:ascii="Aptos" w:hAnsi="Aptos" w:cstheme="minorHAnsi"/>
          <w:b/>
          <w:bCs/>
        </w:rPr>
        <w:t xml:space="preserve">attached </w:t>
      </w:r>
      <w:r w:rsidRPr="002F1F1B">
        <w:rPr>
          <w:rFonts w:ascii="Aptos" w:hAnsi="Aptos" w:cstheme="minorHAnsi"/>
          <w:b/>
          <w:bCs/>
        </w:rPr>
        <w:t xml:space="preserve">table </w:t>
      </w:r>
      <w:r w:rsidR="00372520">
        <w:rPr>
          <w:rFonts w:ascii="Aptos" w:hAnsi="Aptos" w:cstheme="minorHAnsi"/>
          <w:b/>
          <w:bCs/>
        </w:rPr>
        <w:t>illustrate</w:t>
      </w:r>
      <w:r w:rsidRPr="002F1F1B">
        <w:rPr>
          <w:rFonts w:ascii="Aptos" w:hAnsi="Aptos" w:cstheme="minorHAnsi"/>
          <w:b/>
          <w:bCs/>
        </w:rPr>
        <w:t xml:space="preserve"> the </w:t>
      </w:r>
      <w:r w:rsidR="00372520">
        <w:rPr>
          <w:rFonts w:ascii="Aptos" w:hAnsi="Aptos" w:cstheme="minorHAnsi"/>
          <w:b/>
          <w:bCs/>
        </w:rPr>
        <w:t>shift</w:t>
      </w:r>
      <w:r w:rsidRPr="002F1F1B">
        <w:rPr>
          <w:rFonts w:ascii="Aptos" w:hAnsi="Aptos" w:cstheme="minorHAnsi"/>
          <w:b/>
          <w:bCs/>
        </w:rPr>
        <w:t xml:space="preserve"> of </w:t>
      </w:r>
      <w:r w:rsidR="00372520">
        <w:rPr>
          <w:rFonts w:ascii="Aptos" w:hAnsi="Aptos" w:cstheme="minorHAnsi"/>
          <w:b/>
          <w:bCs/>
        </w:rPr>
        <w:t xml:space="preserve">cases from MGH Main Campus to MG Waltham, limited to </w:t>
      </w:r>
      <w:r w:rsidRPr="002F1F1B">
        <w:rPr>
          <w:rFonts w:ascii="Aptos" w:hAnsi="Aptos" w:cstheme="minorHAnsi"/>
          <w:b/>
          <w:bCs/>
        </w:rPr>
        <w:t xml:space="preserve">cases </w:t>
      </w:r>
      <w:r w:rsidR="00372520">
        <w:rPr>
          <w:rFonts w:ascii="Aptos" w:hAnsi="Aptos" w:cstheme="minorHAnsi"/>
          <w:b/>
          <w:bCs/>
        </w:rPr>
        <w:t>that can be performed at both facilities, including endoscopy</w:t>
      </w:r>
      <w:r w:rsidRPr="002F1F1B">
        <w:rPr>
          <w:rFonts w:ascii="Aptos" w:hAnsi="Aptos" w:cstheme="minorHAnsi"/>
          <w:b/>
          <w:bCs/>
        </w:rPr>
        <w:t xml:space="preserve">. </w:t>
      </w:r>
      <w:r w:rsidR="00372520">
        <w:rPr>
          <w:rFonts w:ascii="Aptos" w:hAnsi="Aptos" w:cstheme="minorHAnsi"/>
          <w:b/>
          <w:bCs/>
        </w:rPr>
        <w:t xml:space="preserve">All cases performed at MG Waltham represent a shift of cases </w:t>
      </w:r>
      <w:r w:rsidRPr="002F1F1B">
        <w:rPr>
          <w:rFonts w:ascii="Aptos" w:hAnsi="Aptos" w:cstheme="minorHAnsi"/>
          <w:b/>
          <w:bCs/>
        </w:rPr>
        <w:t xml:space="preserve">because all surgeries completed at MG Waltham would otherwise have been performed at the Main </w:t>
      </w:r>
      <w:r w:rsidR="00BE0E8F">
        <w:rPr>
          <w:rFonts w:ascii="Aptos" w:hAnsi="Aptos" w:cstheme="minorHAnsi"/>
          <w:b/>
          <w:bCs/>
        </w:rPr>
        <w:t>C</w:t>
      </w:r>
      <w:r w:rsidRPr="002F1F1B">
        <w:rPr>
          <w:rFonts w:ascii="Aptos" w:hAnsi="Aptos" w:cstheme="minorHAnsi"/>
          <w:b/>
          <w:bCs/>
        </w:rPr>
        <w:t xml:space="preserve">ampus. </w:t>
      </w:r>
      <w:r w:rsidR="00372520">
        <w:rPr>
          <w:rFonts w:ascii="Aptos" w:hAnsi="Aptos" w:cstheme="minorHAnsi"/>
          <w:b/>
          <w:bCs/>
        </w:rPr>
        <w:t xml:space="preserve">The </w:t>
      </w:r>
      <w:r w:rsidRPr="002F1F1B">
        <w:rPr>
          <w:rFonts w:ascii="Aptos" w:hAnsi="Aptos" w:cstheme="minorHAnsi"/>
          <w:b/>
          <w:bCs/>
        </w:rPr>
        <w:t>percent</w:t>
      </w:r>
      <w:r w:rsidR="00544B77">
        <w:rPr>
          <w:rFonts w:ascii="Aptos" w:hAnsi="Aptos" w:cstheme="minorHAnsi"/>
          <w:b/>
          <w:bCs/>
        </w:rPr>
        <w:t>age</w:t>
      </w:r>
      <w:r w:rsidRPr="002F1F1B">
        <w:rPr>
          <w:rFonts w:ascii="Aptos" w:hAnsi="Aptos" w:cstheme="minorHAnsi"/>
          <w:b/>
          <w:bCs/>
        </w:rPr>
        <w:t xml:space="preserve"> of cases shifted from </w:t>
      </w:r>
      <w:r w:rsidR="00372520">
        <w:rPr>
          <w:rFonts w:ascii="Aptos" w:hAnsi="Aptos" w:cstheme="minorHAnsi"/>
          <w:b/>
          <w:bCs/>
        </w:rPr>
        <w:t>the main campus</w:t>
      </w:r>
      <w:r w:rsidRPr="002F1F1B">
        <w:rPr>
          <w:rFonts w:ascii="Aptos" w:hAnsi="Aptos" w:cstheme="minorHAnsi"/>
          <w:b/>
          <w:bCs/>
        </w:rPr>
        <w:t xml:space="preserve"> initially increased an</w:t>
      </w:r>
      <w:r w:rsidR="00372520">
        <w:rPr>
          <w:rFonts w:ascii="Aptos" w:hAnsi="Aptos" w:cstheme="minorHAnsi"/>
          <w:b/>
          <w:bCs/>
        </w:rPr>
        <w:t>d, a</w:t>
      </w:r>
      <w:r w:rsidR="00372520" w:rsidRPr="002F1F1B">
        <w:rPr>
          <w:rFonts w:ascii="Aptos" w:hAnsi="Aptos" w:cstheme="minorHAnsi"/>
          <w:b/>
          <w:bCs/>
        </w:rPr>
        <w:t xml:space="preserve">s MG Waltham utilization nears capacity, </w:t>
      </w:r>
      <w:r w:rsidRPr="002F1F1B">
        <w:rPr>
          <w:rFonts w:ascii="Aptos" w:hAnsi="Aptos" w:cstheme="minorHAnsi"/>
          <w:b/>
          <w:bCs/>
        </w:rPr>
        <w:t xml:space="preserve">is reaching a plateau because there is not available capacity to take more cases.  This utilization indicates that the MG Waltham expansion has met its objective. </w:t>
      </w:r>
      <w:bookmarkEnd w:id="3"/>
      <w:bookmarkEnd w:id="4"/>
    </w:p>
    <w:p w14:paraId="1D1B80BF" w14:textId="3D13F453" w:rsidR="00F03079" w:rsidRPr="001C2D97" w:rsidRDefault="00FA2745" w:rsidP="001373DF">
      <w:pPr>
        <w:pStyle w:val="Heading1"/>
        <w:rPr>
          <w:rStyle w:val="cf01"/>
          <w:rFonts w:ascii="Aptos" w:hAnsi="Aptos" w:cstheme="minorHAnsi"/>
          <w:sz w:val="22"/>
          <w:szCs w:val="22"/>
        </w:rPr>
      </w:pPr>
      <w:r w:rsidRPr="001C2D97">
        <w:rPr>
          <w:rStyle w:val="cf01"/>
          <w:rFonts w:ascii="Aptos" w:hAnsi="Aptos" w:cstheme="minorHAnsi"/>
          <w:sz w:val="22"/>
          <w:szCs w:val="22"/>
        </w:rPr>
        <w:t xml:space="preserve">The total number of unique patients </w:t>
      </w:r>
      <w:r w:rsidR="006D59E7" w:rsidRPr="001C2D97">
        <w:rPr>
          <w:rStyle w:val="cf01"/>
          <w:rFonts w:ascii="Aptos" w:hAnsi="Aptos" w:cstheme="minorHAnsi"/>
          <w:sz w:val="22"/>
          <w:szCs w:val="22"/>
        </w:rPr>
        <w:t xml:space="preserve">from MGB </w:t>
      </w:r>
      <w:proofErr w:type="gramStart"/>
      <w:r w:rsidR="006D59E7" w:rsidRPr="001C2D97">
        <w:rPr>
          <w:rStyle w:val="cf01"/>
          <w:rFonts w:ascii="Aptos" w:hAnsi="Aptos" w:cstheme="minorHAnsi"/>
          <w:sz w:val="22"/>
          <w:szCs w:val="22"/>
        </w:rPr>
        <w:t>AMC’s</w:t>
      </w:r>
      <w:proofErr w:type="gramEnd"/>
      <w:r w:rsidR="006D59E7" w:rsidRPr="001C2D97">
        <w:rPr>
          <w:rStyle w:val="cf01"/>
          <w:rFonts w:ascii="Aptos" w:hAnsi="Aptos" w:cstheme="minorHAnsi"/>
          <w:sz w:val="22"/>
          <w:szCs w:val="22"/>
        </w:rPr>
        <w:t xml:space="preserve"> in the Proposed </w:t>
      </w:r>
      <w:r w:rsidR="007718DA" w:rsidRPr="001C2D97">
        <w:rPr>
          <w:rStyle w:val="cf01"/>
          <w:rFonts w:ascii="Aptos" w:hAnsi="Aptos" w:cstheme="minorHAnsi"/>
          <w:sz w:val="22"/>
          <w:szCs w:val="22"/>
        </w:rPr>
        <w:t>Patient Panel Data</w:t>
      </w:r>
      <w:r w:rsidR="006D59E7" w:rsidRPr="001C2D97">
        <w:rPr>
          <w:rStyle w:val="cf01"/>
          <w:rFonts w:ascii="Aptos" w:hAnsi="Aptos" w:cstheme="minorHAnsi"/>
          <w:sz w:val="22"/>
          <w:szCs w:val="22"/>
        </w:rPr>
        <w:t xml:space="preserve"> (Table </w:t>
      </w:r>
      <w:r w:rsidR="00BB68A0" w:rsidRPr="001C2D97">
        <w:rPr>
          <w:rStyle w:val="cf01"/>
          <w:rFonts w:ascii="Aptos" w:hAnsi="Aptos" w:cstheme="minorHAnsi"/>
          <w:sz w:val="22"/>
          <w:szCs w:val="22"/>
        </w:rPr>
        <w:t xml:space="preserve">1 </w:t>
      </w:r>
      <w:r w:rsidR="009D7B70" w:rsidRPr="001C2D97">
        <w:rPr>
          <w:rStyle w:val="cf01"/>
          <w:rFonts w:ascii="Aptos" w:hAnsi="Aptos" w:cstheme="minorHAnsi"/>
          <w:sz w:val="22"/>
          <w:szCs w:val="22"/>
        </w:rPr>
        <w:t>from Round 1 Responses</w:t>
      </w:r>
      <w:r w:rsidR="00BB68A0" w:rsidRPr="001C2D97">
        <w:rPr>
          <w:rStyle w:val="cf01"/>
          <w:rFonts w:ascii="Aptos" w:hAnsi="Aptos" w:cstheme="minorHAnsi"/>
          <w:sz w:val="22"/>
          <w:szCs w:val="22"/>
        </w:rPr>
        <w:t>)</w:t>
      </w:r>
      <w:r w:rsidR="00BF3848" w:rsidRPr="001C2D97">
        <w:rPr>
          <w:rStyle w:val="cf01"/>
          <w:rFonts w:ascii="Aptos" w:hAnsi="Aptos" w:cstheme="minorHAnsi"/>
          <w:sz w:val="22"/>
          <w:szCs w:val="22"/>
        </w:rPr>
        <w:t xml:space="preserve"> did not demonstrate any significant drop</w:t>
      </w:r>
      <w:r w:rsidR="003C5C5D" w:rsidRPr="001C2D97">
        <w:rPr>
          <w:rStyle w:val="cf01"/>
          <w:rFonts w:ascii="Aptos" w:hAnsi="Aptos" w:cstheme="minorHAnsi"/>
          <w:sz w:val="22"/>
          <w:szCs w:val="22"/>
        </w:rPr>
        <w:t>, which would have been expected</w:t>
      </w:r>
      <w:r w:rsidR="00690480" w:rsidRPr="001C2D97">
        <w:rPr>
          <w:rStyle w:val="cf01"/>
          <w:rFonts w:ascii="Aptos" w:hAnsi="Aptos" w:cstheme="minorHAnsi"/>
          <w:sz w:val="22"/>
          <w:szCs w:val="22"/>
        </w:rPr>
        <w:t xml:space="preserve"> after implementation of the MG Waltham multispecialty ASC</w:t>
      </w:r>
      <w:r w:rsidR="003C5C5D" w:rsidRPr="001C2D97">
        <w:rPr>
          <w:rStyle w:val="cf01"/>
          <w:rFonts w:ascii="Aptos" w:hAnsi="Aptos" w:cstheme="minorHAnsi"/>
          <w:sz w:val="22"/>
          <w:szCs w:val="22"/>
        </w:rPr>
        <w:t>.</w:t>
      </w:r>
      <w:r w:rsidR="00BB68A0" w:rsidRPr="001C2D97">
        <w:rPr>
          <w:rStyle w:val="cf01"/>
          <w:rFonts w:ascii="Aptos" w:hAnsi="Aptos" w:cstheme="minorHAnsi"/>
          <w:sz w:val="22"/>
          <w:szCs w:val="22"/>
        </w:rPr>
        <w:t xml:space="preserve"> </w:t>
      </w:r>
      <w:r w:rsidR="003C5C5D" w:rsidRPr="001C2D97">
        <w:rPr>
          <w:rStyle w:val="cf01"/>
          <w:rFonts w:ascii="Aptos" w:hAnsi="Aptos" w:cstheme="minorHAnsi"/>
          <w:sz w:val="22"/>
          <w:szCs w:val="22"/>
        </w:rPr>
        <w:t>Please provide an explanation for why</w:t>
      </w:r>
      <w:r w:rsidR="00BA2DC2" w:rsidRPr="001C2D97">
        <w:rPr>
          <w:rStyle w:val="cf01"/>
          <w:rFonts w:ascii="Aptos" w:hAnsi="Aptos" w:cstheme="minorHAnsi"/>
          <w:sz w:val="22"/>
          <w:szCs w:val="22"/>
        </w:rPr>
        <w:t xml:space="preserve"> the number remained relatively unchanged.</w:t>
      </w:r>
    </w:p>
    <w:p w14:paraId="3A5E3295" w14:textId="7B1BC6F4" w:rsidR="00F03079" w:rsidRPr="0004249E" w:rsidRDefault="003E7E87" w:rsidP="00192B16">
      <w:pPr>
        <w:pStyle w:val="pf0"/>
        <w:spacing w:before="0" w:beforeAutospacing="0" w:after="120" w:afterAutospacing="0"/>
        <w:ind w:left="720"/>
        <w:jc w:val="both"/>
        <w:rPr>
          <w:rFonts w:ascii="Aptos" w:hAnsi="Aptos" w:cstheme="minorHAnsi"/>
          <w:b/>
          <w:bCs/>
          <w:sz w:val="22"/>
          <w:szCs w:val="22"/>
        </w:rPr>
      </w:pPr>
      <w:r w:rsidRPr="0004249E">
        <w:rPr>
          <w:rStyle w:val="cf01"/>
          <w:rFonts w:ascii="Aptos" w:hAnsi="Aptos" w:cstheme="minorHAnsi"/>
          <w:b/>
          <w:bCs/>
          <w:sz w:val="22"/>
          <w:szCs w:val="22"/>
        </w:rPr>
        <w:t xml:space="preserve">The Proposed ASC and Waltham serve different service areas. </w:t>
      </w:r>
      <w:r w:rsidR="00F03079" w:rsidRPr="0004249E">
        <w:rPr>
          <w:rStyle w:val="cf01"/>
          <w:rFonts w:ascii="Aptos" w:hAnsi="Aptos" w:cstheme="minorHAnsi"/>
          <w:b/>
          <w:bCs/>
          <w:sz w:val="22"/>
          <w:szCs w:val="22"/>
        </w:rPr>
        <w:t>As a reminder, the Proposed Patient Panel Data is</w:t>
      </w:r>
      <w:r w:rsidRPr="0004249E">
        <w:rPr>
          <w:rStyle w:val="cf01"/>
          <w:rFonts w:ascii="Aptos" w:hAnsi="Aptos" w:cstheme="minorHAnsi"/>
          <w:b/>
          <w:bCs/>
          <w:sz w:val="22"/>
          <w:szCs w:val="22"/>
        </w:rPr>
        <w:t xml:space="preserve"> for</w:t>
      </w:r>
      <w:r w:rsidR="00F03079" w:rsidRPr="0004249E">
        <w:rPr>
          <w:rStyle w:val="cf01"/>
          <w:rFonts w:ascii="Aptos" w:hAnsi="Aptos" w:cstheme="minorHAnsi"/>
          <w:b/>
          <w:bCs/>
          <w:sz w:val="22"/>
          <w:szCs w:val="22"/>
        </w:rPr>
        <w:t xml:space="preserve"> a subset of MGB AMC patients </w:t>
      </w:r>
      <w:r w:rsidR="00C42F6D">
        <w:rPr>
          <w:rStyle w:val="cf01"/>
          <w:rFonts w:ascii="Aptos" w:hAnsi="Aptos" w:cstheme="minorHAnsi"/>
          <w:b/>
          <w:bCs/>
          <w:sz w:val="22"/>
          <w:szCs w:val="22"/>
        </w:rPr>
        <w:t xml:space="preserve">who are </w:t>
      </w:r>
      <w:r w:rsidR="00F03079" w:rsidRPr="0004249E">
        <w:rPr>
          <w:rStyle w:val="cf01"/>
          <w:rFonts w:ascii="Aptos" w:hAnsi="Aptos" w:cstheme="minorHAnsi"/>
          <w:b/>
          <w:bCs/>
          <w:sz w:val="22"/>
          <w:szCs w:val="22"/>
        </w:rPr>
        <w:t>most likely to receive services at the Proposed ASC. Namely, the</w:t>
      </w:r>
      <w:r w:rsidRPr="0004249E">
        <w:rPr>
          <w:rStyle w:val="cf01"/>
          <w:rFonts w:ascii="Aptos" w:hAnsi="Aptos" w:cstheme="minorHAnsi"/>
          <w:b/>
          <w:bCs/>
          <w:sz w:val="22"/>
          <w:szCs w:val="22"/>
        </w:rPr>
        <w:t xml:space="preserve"> volume provided in the Application is for patients who reside in the towns specifically listed for the Proposed Patient Panel</w:t>
      </w:r>
      <w:r w:rsidR="00F03079" w:rsidRPr="0004249E">
        <w:rPr>
          <w:rStyle w:val="cf01"/>
          <w:rFonts w:ascii="Aptos" w:hAnsi="Aptos" w:cstheme="minorHAnsi"/>
          <w:b/>
          <w:bCs/>
          <w:sz w:val="22"/>
          <w:szCs w:val="22"/>
        </w:rPr>
        <w:t>.</w:t>
      </w:r>
      <w:r w:rsidR="00044AC9" w:rsidRPr="0004249E">
        <w:rPr>
          <w:rStyle w:val="FootnoteReference"/>
          <w:rFonts w:ascii="Aptos" w:hAnsi="Aptos" w:cstheme="minorHAnsi"/>
          <w:b/>
          <w:bCs/>
          <w:sz w:val="22"/>
          <w:szCs w:val="22"/>
        </w:rPr>
        <w:footnoteReference w:id="7"/>
      </w:r>
      <w:r w:rsidR="00F03079" w:rsidRPr="0004249E">
        <w:rPr>
          <w:rStyle w:val="cf01"/>
          <w:rFonts w:ascii="Aptos" w:hAnsi="Aptos" w:cstheme="minorHAnsi"/>
          <w:b/>
          <w:bCs/>
          <w:sz w:val="22"/>
          <w:szCs w:val="22"/>
        </w:rPr>
        <w:t xml:space="preserve"> </w:t>
      </w:r>
      <w:r w:rsidRPr="0004249E">
        <w:rPr>
          <w:rStyle w:val="cf01"/>
          <w:rFonts w:ascii="Aptos" w:hAnsi="Aptos" w:cstheme="minorHAnsi"/>
          <w:b/>
          <w:bCs/>
          <w:sz w:val="22"/>
          <w:szCs w:val="22"/>
        </w:rPr>
        <w:t xml:space="preserve">As a result, the total volumes for the Proposed Patient Panel would not capture all MGH patients and as such the shift of patients from MGH main campus to MG Waltham would not be reflected in </w:t>
      </w:r>
      <w:r w:rsidR="00C42F6D">
        <w:rPr>
          <w:rStyle w:val="cf01"/>
          <w:rFonts w:ascii="Aptos" w:hAnsi="Aptos" w:cstheme="minorHAnsi"/>
          <w:b/>
          <w:bCs/>
          <w:sz w:val="22"/>
          <w:szCs w:val="22"/>
        </w:rPr>
        <w:t>the Proposed Patient Panel Data</w:t>
      </w:r>
      <w:r w:rsidRPr="0004249E">
        <w:rPr>
          <w:rStyle w:val="cf01"/>
          <w:rFonts w:ascii="Aptos" w:hAnsi="Aptos" w:cstheme="minorHAnsi"/>
          <w:b/>
          <w:bCs/>
          <w:sz w:val="22"/>
          <w:szCs w:val="22"/>
        </w:rPr>
        <w:t xml:space="preserve">. </w:t>
      </w:r>
      <w:r w:rsidR="00F4497B" w:rsidRPr="0004249E">
        <w:rPr>
          <w:rStyle w:val="cf01"/>
          <w:rFonts w:ascii="Aptos" w:hAnsi="Aptos" w:cstheme="minorHAnsi"/>
          <w:b/>
          <w:bCs/>
          <w:sz w:val="22"/>
          <w:szCs w:val="22"/>
        </w:rPr>
        <w:t xml:space="preserve">As noted in the most recent DoN Annual Report filed for the MG Waltham DoN, </w:t>
      </w:r>
      <w:r w:rsidRPr="0004249E">
        <w:rPr>
          <w:rStyle w:val="cf01"/>
          <w:rFonts w:ascii="Aptos" w:hAnsi="Aptos" w:cstheme="minorHAnsi"/>
          <w:b/>
          <w:bCs/>
          <w:sz w:val="22"/>
          <w:szCs w:val="22"/>
        </w:rPr>
        <w:t xml:space="preserve">the </w:t>
      </w:r>
      <w:r w:rsidR="00F4497B" w:rsidRPr="0004249E">
        <w:rPr>
          <w:rStyle w:val="cf01"/>
          <w:rFonts w:ascii="Aptos" w:hAnsi="Aptos" w:cstheme="minorHAnsi"/>
          <w:b/>
          <w:bCs/>
          <w:sz w:val="22"/>
          <w:szCs w:val="22"/>
        </w:rPr>
        <w:t>largest increases in patient volume</w:t>
      </w:r>
      <w:r w:rsidRPr="0004249E">
        <w:rPr>
          <w:rStyle w:val="cf01"/>
          <w:rFonts w:ascii="Aptos" w:hAnsi="Aptos" w:cstheme="minorHAnsi"/>
          <w:b/>
          <w:bCs/>
          <w:sz w:val="22"/>
          <w:szCs w:val="22"/>
        </w:rPr>
        <w:t xml:space="preserve"> at that location</w:t>
      </w:r>
      <w:r w:rsidR="00F4497B" w:rsidRPr="0004249E">
        <w:rPr>
          <w:rStyle w:val="cf01"/>
          <w:rFonts w:ascii="Aptos" w:hAnsi="Aptos" w:cstheme="minorHAnsi"/>
          <w:b/>
          <w:bCs/>
          <w:sz w:val="22"/>
          <w:szCs w:val="22"/>
        </w:rPr>
        <w:t xml:space="preserve"> have come from those regions surrounding Waltham, including patients with zip codes located along the Mass Pike, Route 2, and Central Massachusetts. To that end, the Applicant would not expect </w:t>
      </w:r>
      <w:r w:rsidRPr="0004249E">
        <w:rPr>
          <w:rStyle w:val="cf01"/>
          <w:rFonts w:ascii="Aptos" w:hAnsi="Aptos" w:cstheme="minorHAnsi"/>
          <w:b/>
          <w:bCs/>
          <w:sz w:val="22"/>
          <w:szCs w:val="22"/>
        </w:rPr>
        <w:t>a noticeable</w:t>
      </w:r>
      <w:r w:rsidR="00F4497B" w:rsidRPr="0004249E">
        <w:rPr>
          <w:rStyle w:val="cf01"/>
          <w:rFonts w:ascii="Aptos" w:hAnsi="Aptos" w:cstheme="minorHAnsi"/>
          <w:b/>
          <w:bCs/>
          <w:sz w:val="22"/>
          <w:szCs w:val="22"/>
        </w:rPr>
        <w:t xml:space="preserve"> shift of patients from MGH to be reflected in the Proposed Patient Panel Data. </w:t>
      </w:r>
    </w:p>
    <w:p w14:paraId="6B4CF676" w14:textId="4FE98238" w:rsidR="00F03079" w:rsidRPr="0004249E" w:rsidRDefault="00546A83" w:rsidP="001373DF">
      <w:pPr>
        <w:pStyle w:val="Heading1"/>
      </w:pPr>
      <w:r w:rsidRPr="0004249E">
        <w:t>Is the Proposed ASC</w:t>
      </w:r>
      <w:r w:rsidR="00A97108" w:rsidRPr="0004249E">
        <w:t xml:space="preserve"> going to be on MGB’s Epic </w:t>
      </w:r>
      <w:r w:rsidR="00D57899" w:rsidRPr="0004249E">
        <w:t>electronic medical record</w:t>
      </w:r>
      <w:r w:rsidR="00A97108" w:rsidRPr="0004249E">
        <w:t>?</w:t>
      </w:r>
    </w:p>
    <w:p w14:paraId="10743837" w14:textId="5511BFBF" w:rsidR="00F03079" w:rsidRPr="0004249E" w:rsidRDefault="00F03079" w:rsidP="00192B16">
      <w:pPr>
        <w:pStyle w:val="ListParagraph"/>
        <w:spacing w:after="120"/>
        <w:contextualSpacing w:val="0"/>
        <w:rPr>
          <w:rFonts w:ascii="Aptos" w:hAnsi="Aptos" w:cstheme="minorHAnsi"/>
          <w:b/>
          <w:bCs/>
        </w:rPr>
      </w:pPr>
      <w:r w:rsidRPr="0004249E">
        <w:rPr>
          <w:rFonts w:ascii="Aptos" w:hAnsi="Aptos" w:cstheme="minorHAnsi"/>
          <w:b/>
          <w:bCs/>
        </w:rPr>
        <w:t xml:space="preserve">Yes. </w:t>
      </w:r>
    </w:p>
    <w:p w14:paraId="03369F61" w14:textId="161EA3C8" w:rsidR="00F4497B" w:rsidRPr="0004249E" w:rsidRDefault="000132A8" w:rsidP="001373DF">
      <w:pPr>
        <w:pStyle w:val="Heading1"/>
      </w:pPr>
      <w:r w:rsidRPr="0004249E">
        <w:lastRenderedPageBreak/>
        <w:t>In the Round 2 Response</w:t>
      </w:r>
      <w:r w:rsidR="00743924" w:rsidRPr="0004249E">
        <w:t xml:space="preserve"> to question 10, the table of wait times shows that </w:t>
      </w:r>
      <w:r w:rsidR="000436E1" w:rsidRPr="0004249E">
        <w:t>n</w:t>
      </w:r>
      <w:r w:rsidR="00CE7CF8" w:rsidRPr="0004249E">
        <w:t xml:space="preserve">early every wait time has decreased </w:t>
      </w:r>
      <w:r w:rsidR="00743924" w:rsidRPr="0004249E">
        <w:t xml:space="preserve">from </w:t>
      </w:r>
      <w:r w:rsidR="00CE7CF8" w:rsidRPr="0004249E">
        <w:t xml:space="preserve">2024 to 2025 at </w:t>
      </w:r>
      <w:r w:rsidR="00C773B9" w:rsidRPr="0004249E">
        <w:t>BWH</w:t>
      </w:r>
      <w:r w:rsidR="00CE7CF8" w:rsidRPr="0004249E">
        <w:t xml:space="preserve"> and </w:t>
      </w:r>
      <w:r w:rsidR="00F76E2C" w:rsidRPr="0004249E">
        <w:t>some at</w:t>
      </w:r>
      <w:r w:rsidR="00CE7CF8" w:rsidRPr="0004249E">
        <w:t xml:space="preserve"> MGH. </w:t>
      </w:r>
      <w:r w:rsidR="00743924" w:rsidRPr="0004249E">
        <w:t>Please provide</w:t>
      </w:r>
      <w:r w:rsidR="00CE7CF8" w:rsidRPr="0004249E">
        <w:t xml:space="preserve"> an explanation</w:t>
      </w:r>
      <w:r w:rsidR="00743924" w:rsidRPr="0004249E">
        <w:t xml:space="preserve"> </w:t>
      </w:r>
      <w:r w:rsidR="006B45EF" w:rsidRPr="0004249E">
        <w:t xml:space="preserve">for </w:t>
      </w:r>
      <w:r w:rsidR="00743924" w:rsidRPr="0004249E">
        <w:t>this trend</w:t>
      </w:r>
      <w:r w:rsidR="006B45EF" w:rsidRPr="0004249E">
        <w:t>.</w:t>
      </w:r>
    </w:p>
    <w:p w14:paraId="17D319A9" w14:textId="36D81FC7" w:rsidR="00F4497B" w:rsidRPr="0004249E" w:rsidRDefault="00F4497B" w:rsidP="0004249E">
      <w:pPr>
        <w:spacing w:after="120"/>
        <w:ind w:left="720"/>
        <w:rPr>
          <w:rFonts w:ascii="Aptos" w:hAnsi="Aptos" w:cstheme="minorHAnsi"/>
          <w:b/>
          <w:bCs/>
        </w:rPr>
      </w:pPr>
      <w:r w:rsidRPr="0004249E">
        <w:rPr>
          <w:rFonts w:ascii="Aptos" w:hAnsi="Aptos" w:cstheme="minorHAnsi"/>
          <w:b/>
          <w:bCs/>
        </w:rPr>
        <w:t xml:space="preserve">While wait times decreased </w:t>
      </w:r>
      <w:r w:rsidR="00C42F6D">
        <w:rPr>
          <w:rFonts w:ascii="Aptos" w:hAnsi="Aptos" w:cstheme="minorHAnsi"/>
          <w:b/>
          <w:bCs/>
        </w:rPr>
        <w:t xml:space="preserve">from </w:t>
      </w:r>
      <w:r w:rsidRPr="0004249E">
        <w:rPr>
          <w:rFonts w:ascii="Aptos" w:hAnsi="Aptos" w:cstheme="minorHAnsi"/>
          <w:b/>
          <w:bCs/>
        </w:rPr>
        <w:t xml:space="preserve">FY2024 to FY2025, </w:t>
      </w:r>
      <w:r w:rsidR="00DE32AE" w:rsidRPr="0004249E">
        <w:rPr>
          <w:rFonts w:ascii="Aptos" w:hAnsi="Aptos" w:cstheme="minorHAnsi"/>
          <w:b/>
          <w:bCs/>
        </w:rPr>
        <w:t xml:space="preserve">the </w:t>
      </w:r>
      <w:r w:rsidR="003A3C60" w:rsidRPr="0004249E">
        <w:rPr>
          <w:rFonts w:ascii="Aptos" w:hAnsi="Aptos" w:cstheme="minorHAnsi"/>
          <w:b/>
          <w:bCs/>
        </w:rPr>
        <w:t>decrease</w:t>
      </w:r>
      <w:r w:rsidR="00DE32AE" w:rsidRPr="0004249E">
        <w:rPr>
          <w:rFonts w:ascii="Aptos" w:hAnsi="Aptos" w:cstheme="minorHAnsi"/>
          <w:b/>
          <w:bCs/>
        </w:rPr>
        <w:t xml:space="preserve"> was</w:t>
      </w:r>
      <w:r w:rsidR="003A3C60" w:rsidRPr="0004249E">
        <w:rPr>
          <w:rFonts w:ascii="Aptos" w:hAnsi="Aptos" w:cstheme="minorHAnsi"/>
          <w:b/>
          <w:bCs/>
        </w:rPr>
        <w:t xml:space="preserve"> 6.2% at BWH and 5% at MGH</w:t>
      </w:r>
      <w:r w:rsidRPr="0004249E">
        <w:rPr>
          <w:rFonts w:ascii="Aptos" w:hAnsi="Aptos" w:cstheme="minorHAnsi"/>
          <w:b/>
          <w:bCs/>
        </w:rPr>
        <w:t xml:space="preserve">, compared to an overall increase FY2022 to FY2025 of </w:t>
      </w:r>
      <w:r w:rsidR="003A3C60" w:rsidRPr="0004249E">
        <w:rPr>
          <w:rFonts w:ascii="Aptos" w:hAnsi="Aptos" w:cstheme="minorHAnsi"/>
          <w:b/>
          <w:bCs/>
        </w:rPr>
        <w:t>21.3% at BWH and 18.6% at MGH</w:t>
      </w:r>
      <w:r w:rsidRPr="0004249E">
        <w:rPr>
          <w:rFonts w:ascii="Aptos" w:hAnsi="Aptos" w:cstheme="minorHAnsi"/>
          <w:b/>
          <w:bCs/>
        </w:rPr>
        <w:t xml:space="preserve">. </w:t>
      </w:r>
      <w:r w:rsidR="003A3C60" w:rsidRPr="0004249E">
        <w:rPr>
          <w:rFonts w:ascii="Aptos" w:hAnsi="Aptos" w:cstheme="minorHAnsi"/>
          <w:b/>
          <w:bCs/>
        </w:rPr>
        <w:t>The decreases in wait times</w:t>
      </w:r>
      <w:r w:rsidR="00C42F6D">
        <w:rPr>
          <w:rFonts w:ascii="Aptos" w:hAnsi="Aptos" w:cstheme="minorHAnsi"/>
          <w:b/>
          <w:bCs/>
        </w:rPr>
        <w:t xml:space="preserve"> from</w:t>
      </w:r>
      <w:r w:rsidR="003A3C60" w:rsidRPr="0004249E">
        <w:rPr>
          <w:rFonts w:ascii="Aptos" w:hAnsi="Aptos" w:cstheme="minorHAnsi"/>
          <w:b/>
          <w:bCs/>
        </w:rPr>
        <w:t xml:space="preserve"> FY24 to FY25 </w:t>
      </w:r>
      <w:r w:rsidR="00DE32AE" w:rsidRPr="0004249E">
        <w:rPr>
          <w:rFonts w:ascii="Aptos" w:hAnsi="Aptos" w:cstheme="minorHAnsi"/>
          <w:b/>
          <w:bCs/>
        </w:rPr>
        <w:t xml:space="preserve">did not reduce wait times to FY2022 </w:t>
      </w:r>
      <w:r w:rsidR="003E7E87" w:rsidRPr="0004249E">
        <w:rPr>
          <w:rFonts w:ascii="Aptos" w:hAnsi="Aptos" w:cstheme="minorHAnsi"/>
          <w:b/>
          <w:bCs/>
        </w:rPr>
        <w:t>levels but</w:t>
      </w:r>
      <w:r w:rsidR="00DE32AE" w:rsidRPr="0004249E">
        <w:rPr>
          <w:rFonts w:ascii="Aptos" w:hAnsi="Aptos" w:cstheme="minorHAnsi"/>
          <w:b/>
          <w:bCs/>
        </w:rPr>
        <w:t xml:space="preserve"> do illustrate that MGB’s initiatives to shift volume </w:t>
      </w:r>
      <w:r w:rsidR="00544B77" w:rsidRPr="0004249E">
        <w:rPr>
          <w:rFonts w:ascii="Aptos" w:hAnsi="Aptos" w:cstheme="minorHAnsi"/>
          <w:b/>
          <w:bCs/>
        </w:rPr>
        <w:t>from the AMCs’ main campuses</w:t>
      </w:r>
      <w:r w:rsidR="003B4E86" w:rsidRPr="0004249E">
        <w:rPr>
          <w:rFonts w:ascii="Aptos" w:hAnsi="Aptos" w:cstheme="minorHAnsi"/>
          <w:b/>
          <w:bCs/>
        </w:rPr>
        <w:t xml:space="preserve"> to MG Waltham, for example, </w:t>
      </w:r>
      <w:r w:rsidR="00DE32AE" w:rsidRPr="0004249E">
        <w:rPr>
          <w:rFonts w:ascii="Aptos" w:hAnsi="Aptos" w:cstheme="minorHAnsi"/>
          <w:b/>
          <w:bCs/>
        </w:rPr>
        <w:t xml:space="preserve">is working to reduce wait times. </w:t>
      </w:r>
      <w:r w:rsidR="00C42F6D">
        <w:rPr>
          <w:rFonts w:ascii="Aptos" w:hAnsi="Aptos" w:cstheme="minorHAnsi"/>
          <w:b/>
          <w:bCs/>
        </w:rPr>
        <w:t xml:space="preserve">However, there is </w:t>
      </w:r>
      <w:r w:rsidR="00544B77">
        <w:rPr>
          <w:rFonts w:ascii="Aptos" w:hAnsi="Aptos" w:cstheme="minorHAnsi"/>
          <w:b/>
          <w:bCs/>
        </w:rPr>
        <w:t>no</w:t>
      </w:r>
      <w:r w:rsidR="00C42F6D">
        <w:rPr>
          <w:rFonts w:ascii="Aptos" w:hAnsi="Aptos" w:cstheme="minorHAnsi"/>
          <w:b/>
          <w:bCs/>
        </w:rPr>
        <w:t xml:space="preserve"> additional capacity available to shift more patients to community sites and reflected in response #1 above.</w:t>
      </w:r>
    </w:p>
    <w:p w14:paraId="3B5C2BE1" w14:textId="56E9AE68" w:rsidR="00501A2F" w:rsidRPr="0004249E" w:rsidRDefault="000D67DE" w:rsidP="001373DF">
      <w:pPr>
        <w:pStyle w:val="Heading1"/>
      </w:pPr>
      <w:r w:rsidRPr="0004249E">
        <w:t xml:space="preserve">In the </w:t>
      </w:r>
      <w:r w:rsidR="002C0D49" w:rsidRPr="0004249E">
        <w:t xml:space="preserve">Historical Utilization </w:t>
      </w:r>
      <w:r w:rsidRPr="0004249E">
        <w:t xml:space="preserve">data presented by Table 4 of the Narrative </w:t>
      </w:r>
      <w:r w:rsidR="00182BA9" w:rsidRPr="0004249E">
        <w:t>(</w:t>
      </w:r>
      <w:r w:rsidRPr="0004249E">
        <w:t xml:space="preserve">and supplemented by data in </w:t>
      </w:r>
      <w:proofErr w:type="gramStart"/>
      <w:r w:rsidRPr="0004249E">
        <w:t>the Round</w:t>
      </w:r>
      <w:proofErr w:type="gramEnd"/>
      <w:r w:rsidRPr="0004249E">
        <w:t xml:space="preserve"> 2 Response to question </w:t>
      </w:r>
      <w:r w:rsidR="000436E1" w:rsidRPr="0004249E">
        <w:t>8</w:t>
      </w:r>
      <w:r w:rsidR="00182BA9" w:rsidRPr="0004249E">
        <w:t>)</w:t>
      </w:r>
      <w:r w:rsidR="000436E1" w:rsidRPr="0004249E">
        <w:t>, please explain</w:t>
      </w:r>
      <w:r w:rsidR="00AA0B17" w:rsidRPr="0004249E">
        <w:t xml:space="preserve"> why BWH </w:t>
      </w:r>
      <w:r w:rsidR="002C0D49" w:rsidRPr="0004249E">
        <w:t>utilization has</w:t>
      </w:r>
      <w:r w:rsidR="00AA0B17" w:rsidRPr="0004249E">
        <w:t xml:space="preserve"> decreased </w:t>
      </w:r>
      <w:r w:rsidR="00C773B9" w:rsidRPr="0004249E">
        <w:t>year over year</w:t>
      </w:r>
      <w:r w:rsidR="00AA0B17" w:rsidRPr="0004249E">
        <w:t xml:space="preserve"> and is </w:t>
      </w:r>
      <w:r w:rsidR="000436E1" w:rsidRPr="0004249E">
        <w:t>down</w:t>
      </w:r>
      <w:r w:rsidR="00AA0B17" w:rsidRPr="0004249E">
        <w:t xml:space="preserve"> from 2022</w:t>
      </w:r>
      <w:r w:rsidR="00182BA9" w:rsidRPr="0004249E">
        <w:t xml:space="preserve"> volume.</w:t>
      </w:r>
    </w:p>
    <w:p w14:paraId="3AB9EF26" w14:textId="23F6B781" w:rsidR="00501A2F" w:rsidRPr="0004249E" w:rsidRDefault="00501A2F" w:rsidP="00192B16">
      <w:pPr>
        <w:spacing w:after="120"/>
        <w:ind w:left="720"/>
        <w:jc w:val="both"/>
        <w:rPr>
          <w:rFonts w:ascii="Aptos" w:hAnsi="Aptos" w:cstheme="minorHAnsi"/>
          <w:b/>
          <w:bCs/>
        </w:rPr>
      </w:pPr>
      <w:r w:rsidRPr="0004249E">
        <w:rPr>
          <w:rFonts w:ascii="Aptos" w:hAnsi="Aptos" w:cstheme="minorHAnsi"/>
          <w:b/>
          <w:bCs/>
        </w:rPr>
        <w:t xml:space="preserve">As noted above, the data provided in Table 4 of the Narrative and supplemented in the Round 2 responses is limited to i) ASC-eligible outpatient endoscopy cases </w:t>
      </w:r>
      <w:r w:rsidR="003E7E87" w:rsidRPr="0004249E">
        <w:rPr>
          <w:rFonts w:ascii="Aptos" w:hAnsi="Aptos" w:cstheme="minorHAnsi"/>
          <w:b/>
          <w:bCs/>
        </w:rPr>
        <w:t>for</w:t>
      </w:r>
      <w:r w:rsidRPr="0004249E">
        <w:rPr>
          <w:rFonts w:ascii="Aptos" w:hAnsi="Aptos" w:cstheme="minorHAnsi"/>
          <w:b/>
          <w:bCs/>
        </w:rPr>
        <w:t xml:space="preserve"> ii) the Proposed Patient Panel, which is defined by</w:t>
      </w:r>
      <w:r w:rsidR="003E7E87" w:rsidRPr="0004249E">
        <w:rPr>
          <w:rFonts w:ascii="Aptos" w:hAnsi="Aptos" w:cstheme="minorHAnsi"/>
          <w:b/>
          <w:bCs/>
        </w:rPr>
        <w:t xml:space="preserve"> a limited number of zip codes</w:t>
      </w:r>
      <w:r w:rsidRPr="0004249E">
        <w:rPr>
          <w:rFonts w:ascii="Aptos" w:hAnsi="Aptos" w:cstheme="minorHAnsi"/>
          <w:b/>
          <w:bCs/>
        </w:rPr>
        <w:t>.</w:t>
      </w:r>
      <w:r w:rsidR="003E7E87" w:rsidRPr="0004249E">
        <w:rPr>
          <w:rFonts w:ascii="Aptos" w:hAnsi="Aptos" w:cstheme="minorHAnsi"/>
          <w:b/>
          <w:bCs/>
        </w:rPr>
        <w:t xml:space="preserve"> Accordingly, the BWH data provided in the Narrative and responses and is not reflective of all BWH endoscopy volume. </w:t>
      </w:r>
      <w:r w:rsidRPr="0004249E">
        <w:rPr>
          <w:rFonts w:ascii="Aptos" w:hAnsi="Aptos" w:cstheme="minorHAnsi"/>
          <w:b/>
          <w:bCs/>
        </w:rPr>
        <w:t xml:space="preserve"> </w:t>
      </w:r>
      <w:r w:rsidR="003E7E87" w:rsidRPr="0004249E">
        <w:rPr>
          <w:rFonts w:ascii="Aptos" w:hAnsi="Aptos" w:cstheme="minorHAnsi"/>
          <w:b/>
          <w:bCs/>
        </w:rPr>
        <w:t>To fully understand utilization</w:t>
      </w:r>
      <w:r w:rsidR="000D0C9A" w:rsidRPr="0004249E">
        <w:rPr>
          <w:rFonts w:ascii="Aptos" w:hAnsi="Aptos" w:cstheme="minorHAnsi"/>
          <w:b/>
          <w:bCs/>
        </w:rPr>
        <w:t xml:space="preserve"> trends</w:t>
      </w:r>
      <w:r w:rsidR="003E7E87" w:rsidRPr="0004249E">
        <w:rPr>
          <w:rFonts w:ascii="Aptos" w:hAnsi="Aptos" w:cstheme="minorHAnsi"/>
          <w:b/>
          <w:bCs/>
        </w:rPr>
        <w:t xml:space="preserve"> at BWH, it is important to look at all </w:t>
      </w:r>
      <w:r w:rsidR="00C42F6D">
        <w:rPr>
          <w:rFonts w:ascii="Aptos" w:hAnsi="Aptos" w:cstheme="minorHAnsi"/>
          <w:b/>
          <w:bCs/>
        </w:rPr>
        <w:t xml:space="preserve">endoscopy </w:t>
      </w:r>
      <w:r w:rsidR="003E7E87" w:rsidRPr="0004249E">
        <w:rPr>
          <w:rFonts w:ascii="Aptos" w:hAnsi="Aptos" w:cstheme="minorHAnsi"/>
          <w:b/>
          <w:bCs/>
        </w:rPr>
        <w:t>volume</w:t>
      </w:r>
      <w:r w:rsidR="00C42F6D">
        <w:rPr>
          <w:rFonts w:ascii="Aptos" w:hAnsi="Aptos" w:cstheme="minorHAnsi"/>
          <w:b/>
          <w:bCs/>
        </w:rPr>
        <w:t xml:space="preserve"> as detailed in the table below</w:t>
      </w:r>
      <w:r w:rsidR="003E7E87" w:rsidRPr="0004249E">
        <w:rPr>
          <w:rFonts w:ascii="Aptos" w:hAnsi="Aptos" w:cstheme="minorHAnsi"/>
          <w:b/>
          <w:bCs/>
        </w:rPr>
        <w:t>.</w:t>
      </w:r>
    </w:p>
    <w:p w14:paraId="4FE46A10" w14:textId="373B6D26" w:rsidR="003A3C60" w:rsidRPr="0004249E" w:rsidRDefault="00501A2F" w:rsidP="00192B16">
      <w:pPr>
        <w:spacing w:after="120"/>
        <w:ind w:left="720"/>
        <w:jc w:val="both"/>
        <w:rPr>
          <w:rFonts w:ascii="Aptos" w:hAnsi="Aptos" w:cstheme="minorHAnsi"/>
          <w:b/>
          <w:bCs/>
        </w:rPr>
      </w:pPr>
      <w:r w:rsidRPr="0004249E">
        <w:rPr>
          <w:rFonts w:ascii="Aptos" w:hAnsi="Aptos" w:cstheme="minorHAnsi"/>
          <w:b/>
          <w:bCs/>
        </w:rPr>
        <w:t xml:space="preserve">ASC-eligible outpatient endoscopy volume among the Proposed Patient Panel has remained relatively unchanged </w:t>
      </w:r>
      <w:r w:rsidR="00C42F6D">
        <w:rPr>
          <w:rFonts w:ascii="Aptos" w:hAnsi="Aptos" w:cstheme="minorHAnsi"/>
          <w:b/>
          <w:bCs/>
        </w:rPr>
        <w:t xml:space="preserve">from </w:t>
      </w:r>
      <w:r w:rsidR="00D7316E" w:rsidRPr="0004249E">
        <w:rPr>
          <w:rFonts w:ascii="Aptos" w:hAnsi="Aptos" w:cstheme="minorHAnsi"/>
          <w:b/>
          <w:bCs/>
        </w:rPr>
        <w:t>FY23-FY25</w:t>
      </w:r>
      <w:r w:rsidR="00C42F6D">
        <w:rPr>
          <w:rFonts w:ascii="Aptos" w:hAnsi="Aptos" w:cstheme="minorHAnsi"/>
          <w:b/>
          <w:bCs/>
        </w:rPr>
        <w:t>,</w:t>
      </w:r>
      <w:r w:rsidR="003B4E86" w:rsidRPr="0004249E">
        <w:rPr>
          <w:rFonts w:ascii="Aptos" w:hAnsi="Aptos" w:cstheme="minorHAnsi"/>
          <w:b/>
          <w:bCs/>
        </w:rPr>
        <w:t xml:space="preserve"> while total outpatient volume increased 4% </w:t>
      </w:r>
      <w:r w:rsidR="00C42F6D">
        <w:rPr>
          <w:rFonts w:ascii="Aptos" w:hAnsi="Aptos" w:cstheme="minorHAnsi"/>
          <w:b/>
          <w:bCs/>
        </w:rPr>
        <w:t>from</w:t>
      </w:r>
      <w:r w:rsidR="003B4E86" w:rsidRPr="0004249E">
        <w:rPr>
          <w:rFonts w:ascii="Aptos" w:hAnsi="Aptos" w:cstheme="minorHAnsi"/>
          <w:b/>
          <w:bCs/>
        </w:rPr>
        <w:t xml:space="preserve"> FY2</w:t>
      </w:r>
      <w:r w:rsidR="00C42F6D">
        <w:rPr>
          <w:rFonts w:ascii="Aptos" w:hAnsi="Aptos" w:cstheme="minorHAnsi"/>
          <w:b/>
          <w:bCs/>
        </w:rPr>
        <w:t>4 to</w:t>
      </w:r>
      <w:r w:rsidR="003B4E86" w:rsidRPr="0004249E">
        <w:rPr>
          <w:rFonts w:ascii="Aptos" w:hAnsi="Aptos" w:cstheme="minorHAnsi"/>
          <w:b/>
          <w:bCs/>
        </w:rPr>
        <w:t xml:space="preserve"> FY2</w:t>
      </w:r>
      <w:r w:rsidR="00C42F6D">
        <w:rPr>
          <w:rFonts w:ascii="Aptos" w:hAnsi="Aptos" w:cstheme="minorHAnsi"/>
          <w:b/>
          <w:bCs/>
        </w:rPr>
        <w:t>5</w:t>
      </w:r>
      <w:r w:rsidR="003B4E86" w:rsidRPr="0004249E">
        <w:rPr>
          <w:rFonts w:ascii="Aptos" w:hAnsi="Aptos" w:cstheme="minorHAnsi"/>
          <w:b/>
          <w:bCs/>
        </w:rPr>
        <w:t>. Similarly</w:t>
      </w:r>
      <w:r w:rsidRPr="0004249E">
        <w:rPr>
          <w:rFonts w:ascii="Aptos" w:hAnsi="Aptos" w:cstheme="minorHAnsi"/>
          <w:b/>
          <w:bCs/>
        </w:rPr>
        <w:t>, inpatient volume</w:t>
      </w:r>
      <w:r w:rsidR="000D0C9A" w:rsidRPr="0004249E">
        <w:rPr>
          <w:rFonts w:ascii="Aptos" w:hAnsi="Aptos" w:cstheme="minorHAnsi"/>
          <w:b/>
          <w:bCs/>
        </w:rPr>
        <w:t xml:space="preserve"> at BWH</w:t>
      </w:r>
      <w:r w:rsidRPr="0004249E">
        <w:rPr>
          <w:rFonts w:ascii="Aptos" w:hAnsi="Aptos" w:cstheme="minorHAnsi"/>
          <w:b/>
          <w:bCs/>
        </w:rPr>
        <w:t xml:space="preserve"> has increased each year </w:t>
      </w:r>
      <w:r w:rsidR="00C42F6D">
        <w:rPr>
          <w:rFonts w:ascii="Aptos" w:hAnsi="Aptos" w:cstheme="minorHAnsi"/>
          <w:b/>
          <w:bCs/>
        </w:rPr>
        <w:t xml:space="preserve">from </w:t>
      </w:r>
      <w:r w:rsidRPr="0004249E">
        <w:rPr>
          <w:rFonts w:ascii="Aptos" w:hAnsi="Aptos" w:cstheme="minorHAnsi"/>
          <w:b/>
          <w:bCs/>
        </w:rPr>
        <w:t>FY22-FY25, with FY25 volume representing a 32</w:t>
      </w:r>
      <w:r w:rsidR="000D0C9A" w:rsidRPr="0004249E">
        <w:rPr>
          <w:rFonts w:ascii="Aptos" w:hAnsi="Aptos" w:cstheme="minorHAnsi"/>
          <w:b/>
          <w:bCs/>
        </w:rPr>
        <w:t>% increase</w:t>
      </w:r>
      <w:r w:rsidRPr="0004249E">
        <w:rPr>
          <w:rFonts w:ascii="Aptos" w:hAnsi="Aptos" w:cstheme="minorHAnsi"/>
          <w:b/>
          <w:bCs/>
        </w:rPr>
        <w:t xml:space="preserve"> from FY22</w:t>
      </w:r>
      <w:r w:rsidR="003B4E86" w:rsidRPr="0004249E">
        <w:rPr>
          <w:rFonts w:ascii="Aptos" w:hAnsi="Aptos" w:cstheme="minorHAnsi"/>
          <w:b/>
          <w:bCs/>
        </w:rPr>
        <w:t xml:space="preserve"> and a 22% increase from FY24</w:t>
      </w:r>
      <w:r w:rsidRPr="0004249E">
        <w:rPr>
          <w:rFonts w:ascii="Aptos" w:hAnsi="Aptos" w:cstheme="minorHAnsi"/>
          <w:b/>
          <w:bCs/>
        </w:rPr>
        <w:t xml:space="preserve">. At the same time, wait times for inpatient endoscopy (as provided in </w:t>
      </w:r>
      <w:r w:rsidR="003A3C60" w:rsidRPr="0004249E">
        <w:rPr>
          <w:rFonts w:ascii="Aptos" w:hAnsi="Aptos" w:cstheme="minorHAnsi"/>
          <w:b/>
          <w:bCs/>
        </w:rPr>
        <w:t xml:space="preserve">question 5 of Round 1) have increased from 1.44 days in FY22 to 2.97 days in FY25, a 94% increase. </w:t>
      </w:r>
      <w:r w:rsidR="000D0C9A" w:rsidRPr="0004249E">
        <w:rPr>
          <w:rFonts w:ascii="Aptos" w:hAnsi="Aptos" w:cstheme="minorHAnsi"/>
          <w:b/>
          <w:bCs/>
        </w:rPr>
        <w:t>O</w:t>
      </w:r>
      <w:r w:rsidR="003A3C60" w:rsidRPr="0004249E">
        <w:rPr>
          <w:rFonts w:ascii="Aptos" w:hAnsi="Aptos" w:cstheme="minorHAnsi"/>
          <w:b/>
          <w:bCs/>
        </w:rPr>
        <w:t xml:space="preserve">utpatient volume at BWH’s main campus </w:t>
      </w:r>
      <w:r w:rsidR="000D0C9A" w:rsidRPr="0004249E">
        <w:rPr>
          <w:rFonts w:ascii="Aptos" w:hAnsi="Aptos" w:cstheme="minorHAnsi"/>
          <w:b/>
          <w:bCs/>
        </w:rPr>
        <w:t>has been</w:t>
      </w:r>
      <w:r w:rsidR="003A3C60" w:rsidRPr="0004249E">
        <w:rPr>
          <w:rFonts w:ascii="Aptos" w:hAnsi="Aptos" w:cstheme="minorHAnsi"/>
          <w:b/>
          <w:bCs/>
        </w:rPr>
        <w:t xml:space="preserve"> limited </w:t>
      </w:r>
      <w:proofErr w:type="gramStart"/>
      <w:r w:rsidR="000D0C9A" w:rsidRPr="0004249E">
        <w:rPr>
          <w:rFonts w:ascii="Aptos" w:hAnsi="Aptos" w:cstheme="minorHAnsi"/>
          <w:b/>
          <w:bCs/>
        </w:rPr>
        <w:t>in order to</w:t>
      </w:r>
      <w:proofErr w:type="gramEnd"/>
      <w:r w:rsidR="003A3C60" w:rsidRPr="0004249E">
        <w:rPr>
          <w:rFonts w:ascii="Aptos" w:hAnsi="Aptos" w:cstheme="minorHAnsi"/>
          <w:b/>
          <w:bCs/>
        </w:rPr>
        <w:t xml:space="preserve"> prioritize higher acuity </w:t>
      </w:r>
      <w:r w:rsidR="00D7316E" w:rsidRPr="0004249E">
        <w:rPr>
          <w:rFonts w:ascii="Aptos" w:hAnsi="Aptos" w:cstheme="minorHAnsi"/>
          <w:b/>
          <w:bCs/>
        </w:rPr>
        <w:t>(e.g., inpatient) procedures</w:t>
      </w:r>
      <w:r w:rsidR="003A3C60" w:rsidRPr="0004249E">
        <w:rPr>
          <w:rFonts w:ascii="Aptos" w:hAnsi="Aptos" w:cstheme="minorHAnsi"/>
          <w:b/>
          <w:bCs/>
        </w:rPr>
        <w:t xml:space="preserve">. </w:t>
      </w:r>
    </w:p>
    <w:p w14:paraId="2B29DDCB" w14:textId="77777777" w:rsidR="00501A2F" w:rsidRDefault="00501A2F" w:rsidP="00501A2F">
      <w:pPr>
        <w:spacing w:after="0"/>
        <w:ind w:left="720"/>
        <w:rPr>
          <w:rFonts w:cstheme="minorHAnsi"/>
          <w:b/>
          <w:bCs/>
          <w:sz w:val="24"/>
          <w:szCs w:val="24"/>
        </w:rPr>
      </w:pPr>
    </w:p>
    <w:tbl>
      <w:tblPr>
        <w:tblStyle w:val="TableGrid"/>
        <w:tblW w:w="0" w:type="auto"/>
        <w:tblInd w:w="355" w:type="dxa"/>
        <w:tblLook w:val="04A0" w:firstRow="1" w:lastRow="0" w:firstColumn="1" w:lastColumn="0" w:noHBand="0" w:noVBand="1"/>
      </w:tblPr>
      <w:tblGrid>
        <w:gridCol w:w="5400"/>
        <w:gridCol w:w="1080"/>
        <w:gridCol w:w="1170"/>
        <w:gridCol w:w="1080"/>
        <w:gridCol w:w="985"/>
      </w:tblGrid>
      <w:tr w:rsidR="00501A2F" w14:paraId="3A5FB787" w14:textId="77777777" w:rsidTr="00DB53A3">
        <w:trPr>
          <w:cantSplit/>
          <w:tblHeader/>
        </w:trPr>
        <w:tc>
          <w:tcPr>
            <w:tcW w:w="5400" w:type="dxa"/>
            <w:shd w:val="clear" w:color="auto" w:fill="D9E2F3" w:themeFill="accent1" w:themeFillTint="33"/>
          </w:tcPr>
          <w:p w14:paraId="52C28457" w14:textId="0F20E350" w:rsidR="00501A2F" w:rsidRPr="00501A2F" w:rsidRDefault="00E72541" w:rsidP="00501A2F">
            <w:pPr>
              <w:rPr>
                <w:rFonts w:ascii="Aptos Narrow" w:hAnsi="Aptos Narrow" w:cstheme="minorHAnsi"/>
                <w:b/>
                <w:bCs/>
                <w:sz w:val="20"/>
                <w:szCs w:val="20"/>
              </w:rPr>
            </w:pPr>
            <w:r>
              <w:rPr>
                <w:rFonts w:ascii="Aptos Narrow" w:hAnsi="Aptos Narrow" w:cstheme="minorHAnsi"/>
                <w:b/>
                <w:bCs/>
                <w:sz w:val="20"/>
                <w:szCs w:val="20"/>
              </w:rPr>
              <w:t>BWH Main Campus Endoscopy</w:t>
            </w:r>
          </w:p>
        </w:tc>
        <w:tc>
          <w:tcPr>
            <w:tcW w:w="1080" w:type="dxa"/>
            <w:shd w:val="clear" w:color="auto" w:fill="D9E2F3" w:themeFill="accent1" w:themeFillTint="33"/>
          </w:tcPr>
          <w:p w14:paraId="0B5BDA72" w14:textId="134AE967" w:rsidR="00501A2F" w:rsidRPr="00501A2F" w:rsidRDefault="00501A2F" w:rsidP="00E72541">
            <w:pPr>
              <w:jc w:val="center"/>
              <w:rPr>
                <w:rFonts w:ascii="Aptos Narrow" w:hAnsi="Aptos Narrow" w:cstheme="minorHAnsi"/>
                <w:b/>
                <w:bCs/>
                <w:sz w:val="20"/>
                <w:szCs w:val="20"/>
              </w:rPr>
            </w:pPr>
            <w:r w:rsidRPr="00501A2F">
              <w:rPr>
                <w:rFonts w:ascii="Aptos Narrow" w:hAnsi="Aptos Narrow" w:cstheme="minorHAnsi"/>
                <w:b/>
                <w:bCs/>
                <w:sz w:val="20"/>
                <w:szCs w:val="20"/>
              </w:rPr>
              <w:t>FY22</w:t>
            </w:r>
          </w:p>
        </w:tc>
        <w:tc>
          <w:tcPr>
            <w:tcW w:w="1170" w:type="dxa"/>
            <w:shd w:val="clear" w:color="auto" w:fill="D9E2F3" w:themeFill="accent1" w:themeFillTint="33"/>
          </w:tcPr>
          <w:p w14:paraId="5DD7FCE9" w14:textId="3B48211A" w:rsidR="00501A2F" w:rsidRPr="00501A2F" w:rsidRDefault="00501A2F" w:rsidP="00E72541">
            <w:pPr>
              <w:jc w:val="center"/>
              <w:rPr>
                <w:rFonts w:ascii="Aptos Narrow" w:hAnsi="Aptos Narrow" w:cstheme="minorHAnsi"/>
                <w:b/>
                <w:bCs/>
                <w:sz w:val="20"/>
                <w:szCs w:val="20"/>
              </w:rPr>
            </w:pPr>
            <w:r w:rsidRPr="00501A2F">
              <w:rPr>
                <w:rFonts w:ascii="Aptos Narrow" w:hAnsi="Aptos Narrow" w:cstheme="minorHAnsi"/>
                <w:b/>
                <w:bCs/>
                <w:sz w:val="20"/>
                <w:szCs w:val="20"/>
              </w:rPr>
              <w:t>FY23</w:t>
            </w:r>
          </w:p>
        </w:tc>
        <w:tc>
          <w:tcPr>
            <w:tcW w:w="1080" w:type="dxa"/>
            <w:shd w:val="clear" w:color="auto" w:fill="D9E2F3" w:themeFill="accent1" w:themeFillTint="33"/>
          </w:tcPr>
          <w:p w14:paraId="420E6B02" w14:textId="474083B3" w:rsidR="00501A2F" w:rsidRPr="00501A2F" w:rsidRDefault="00501A2F" w:rsidP="00E72541">
            <w:pPr>
              <w:jc w:val="center"/>
              <w:rPr>
                <w:rFonts w:ascii="Aptos Narrow" w:hAnsi="Aptos Narrow" w:cstheme="minorHAnsi"/>
                <w:b/>
                <w:bCs/>
                <w:sz w:val="20"/>
                <w:szCs w:val="20"/>
              </w:rPr>
            </w:pPr>
            <w:r w:rsidRPr="00501A2F">
              <w:rPr>
                <w:rFonts w:ascii="Aptos Narrow" w:hAnsi="Aptos Narrow" w:cstheme="minorHAnsi"/>
                <w:b/>
                <w:bCs/>
                <w:sz w:val="20"/>
                <w:szCs w:val="20"/>
              </w:rPr>
              <w:t>FY24</w:t>
            </w:r>
          </w:p>
        </w:tc>
        <w:tc>
          <w:tcPr>
            <w:tcW w:w="985" w:type="dxa"/>
            <w:shd w:val="clear" w:color="auto" w:fill="D9E2F3" w:themeFill="accent1" w:themeFillTint="33"/>
          </w:tcPr>
          <w:p w14:paraId="3E2C08F0" w14:textId="56D0F872" w:rsidR="00501A2F" w:rsidRPr="00501A2F" w:rsidRDefault="00501A2F" w:rsidP="00E72541">
            <w:pPr>
              <w:jc w:val="center"/>
              <w:rPr>
                <w:rFonts w:ascii="Aptos Narrow" w:hAnsi="Aptos Narrow" w:cstheme="minorHAnsi"/>
                <w:b/>
                <w:bCs/>
                <w:sz w:val="20"/>
                <w:szCs w:val="20"/>
              </w:rPr>
            </w:pPr>
            <w:r w:rsidRPr="00501A2F">
              <w:rPr>
                <w:rFonts w:ascii="Aptos Narrow" w:hAnsi="Aptos Narrow" w:cstheme="minorHAnsi"/>
                <w:b/>
                <w:bCs/>
                <w:sz w:val="20"/>
                <w:szCs w:val="20"/>
              </w:rPr>
              <w:t>FY25</w:t>
            </w:r>
          </w:p>
        </w:tc>
      </w:tr>
      <w:tr w:rsidR="00501A2F" w14:paraId="2F652D19" w14:textId="77777777" w:rsidTr="00DB53A3">
        <w:trPr>
          <w:cantSplit/>
        </w:trPr>
        <w:tc>
          <w:tcPr>
            <w:tcW w:w="5400" w:type="dxa"/>
          </w:tcPr>
          <w:p w14:paraId="732A0184" w14:textId="0214B684" w:rsidR="00501A2F" w:rsidRPr="00501A2F" w:rsidRDefault="00501A2F" w:rsidP="00501A2F">
            <w:pPr>
              <w:rPr>
                <w:rFonts w:ascii="Aptos Narrow" w:hAnsi="Aptos Narrow" w:cstheme="minorHAnsi"/>
                <w:b/>
                <w:bCs/>
                <w:sz w:val="20"/>
                <w:szCs w:val="20"/>
              </w:rPr>
            </w:pPr>
            <w:r w:rsidRPr="00501A2F">
              <w:rPr>
                <w:rFonts w:ascii="Aptos Narrow" w:hAnsi="Aptos Narrow" w:cstheme="minorHAnsi"/>
                <w:b/>
                <w:bCs/>
                <w:sz w:val="20"/>
                <w:szCs w:val="20"/>
              </w:rPr>
              <w:t xml:space="preserve">All Outpatient </w:t>
            </w:r>
          </w:p>
        </w:tc>
        <w:tc>
          <w:tcPr>
            <w:tcW w:w="1080" w:type="dxa"/>
          </w:tcPr>
          <w:p w14:paraId="2D8915DF" w14:textId="1EF0551B"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8,784</w:t>
            </w:r>
          </w:p>
        </w:tc>
        <w:tc>
          <w:tcPr>
            <w:tcW w:w="1170" w:type="dxa"/>
          </w:tcPr>
          <w:p w14:paraId="7F18DBA8" w14:textId="5ABFC5D3"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8,132</w:t>
            </w:r>
          </w:p>
        </w:tc>
        <w:tc>
          <w:tcPr>
            <w:tcW w:w="1080" w:type="dxa"/>
          </w:tcPr>
          <w:p w14:paraId="77AFBF74" w14:textId="5413D176"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8,205</w:t>
            </w:r>
          </w:p>
        </w:tc>
        <w:tc>
          <w:tcPr>
            <w:tcW w:w="985" w:type="dxa"/>
          </w:tcPr>
          <w:p w14:paraId="2C50B60F" w14:textId="72AB436E"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8,524</w:t>
            </w:r>
          </w:p>
        </w:tc>
      </w:tr>
      <w:tr w:rsidR="00501A2F" w14:paraId="410DB04A" w14:textId="77777777" w:rsidTr="00DB53A3">
        <w:trPr>
          <w:cantSplit/>
        </w:trPr>
        <w:tc>
          <w:tcPr>
            <w:tcW w:w="5400" w:type="dxa"/>
          </w:tcPr>
          <w:p w14:paraId="03E39628" w14:textId="1D69AB43" w:rsidR="00501A2F" w:rsidRPr="00501A2F" w:rsidRDefault="00501A2F" w:rsidP="00501A2F">
            <w:pPr>
              <w:rPr>
                <w:rFonts w:ascii="Aptos Narrow" w:hAnsi="Aptos Narrow" w:cstheme="minorHAnsi"/>
                <w:i/>
                <w:iCs/>
                <w:sz w:val="20"/>
                <w:szCs w:val="20"/>
              </w:rPr>
            </w:pPr>
            <w:r w:rsidRPr="00501A2F">
              <w:rPr>
                <w:rFonts w:ascii="Aptos Narrow" w:hAnsi="Aptos Narrow" w:cstheme="minorHAnsi"/>
                <w:i/>
                <w:iCs/>
                <w:sz w:val="20"/>
                <w:szCs w:val="20"/>
              </w:rPr>
              <w:t xml:space="preserve">Subset: Proposed Patient Panel </w:t>
            </w:r>
            <w:r>
              <w:rPr>
                <w:rFonts w:ascii="Aptos Narrow" w:hAnsi="Aptos Narrow" w:cstheme="minorHAnsi"/>
                <w:i/>
                <w:iCs/>
                <w:sz w:val="20"/>
                <w:szCs w:val="20"/>
              </w:rPr>
              <w:t xml:space="preserve">ASC-Eligible </w:t>
            </w:r>
            <w:r w:rsidRPr="00501A2F">
              <w:rPr>
                <w:rFonts w:ascii="Aptos Narrow" w:hAnsi="Aptos Narrow" w:cstheme="minorHAnsi"/>
                <w:i/>
                <w:iCs/>
                <w:sz w:val="20"/>
                <w:szCs w:val="20"/>
              </w:rPr>
              <w:t xml:space="preserve">Endoscopy Volume </w:t>
            </w:r>
          </w:p>
        </w:tc>
        <w:tc>
          <w:tcPr>
            <w:tcW w:w="1080" w:type="dxa"/>
          </w:tcPr>
          <w:p w14:paraId="4D043853" w14:textId="5BCCB982"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2,496</w:t>
            </w:r>
          </w:p>
        </w:tc>
        <w:tc>
          <w:tcPr>
            <w:tcW w:w="1170" w:type="dxa"/>
          </w:tcPr>
          <w:p w14:paraId="35F1A00B" w14:textId="5DC403B3"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2,007</w:t>
            </w:r>
          </w:p>
        </w:tc>
        <w:tc>
          <w:tcPr>
            <w:tcW w:w="1080" w:type="dxa"/>
          </w:tcPr>
          <w:p w14:paraId="1195A250" w14:textId="2778233E"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2,055</w:t>
            </w:r>
          </w:p>
        </w:tc>
        <w:tc>
          <w:tcPr>
            <w:tcW w:w="985" w:type="dxa"/>
          </w:tcPr>
          <w:p w14:paraId="34808226" w14:textId="3D83B54A"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1,965</w:t>
            </w:r>
          </w:p>
        </w:tc>
      </w:tr>
      <w:tr w:rsidR="00501A2F" w14:paraId="580D7977" w14:textId="77777777" w:rsidTr="00DB53A3">
        <w:trPr>
          <w:cantSplit/>
        </w:trPr>
        <w:tc>
          <w:tcPr>
            <w:tcW w:w="5400" w:type="dxa"/>
          </w:tcPr>
          <w:p w14:paraId="577FF524" w14:textId="59C2C175" w:rsidR="00501A2F" w:rsidRPr="00501A2F" w:rsidRDefault="00501A2F" w:rsidP="00501A2F">
            <w:pPr>
              <w:rPr>
                <w:rFonts w:ascii="Aptos Narrow" w:hAnsi="Aptos Narrow" w:cstheme="minorHAnsi"/>
                <w:b/>
                <w:bCs/>
                <w:sz w:val="20"/>
                <w:szCs w:val="20"/>
              </w:rPr>
            </w:pPr>
            <w:r w:rsidRPr="00501A2F">
              <w:rPr>
                <w:rFonts w:ascii="Aptos Narrow" w:hAnsi="Aptos Narrow" w:cstheme="minorHAnsi"/>
                <w:b/>
                <w:bCs/>
                <w:sz w:val="20"/>
                <w:szCs w:val="20"/>
              </w:rPr>
              <w:t>All Inpatient</w:t>
            </w:r>
          </w:p>
        </w:tc>
        <w:tc>
          <w:tcPr>
            <w:tcW w:w="1080" w:type="dxa"/>
          </w:tcPr>
          <w:p w14:paraId="62EC56D8" w14:textId="70093476"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2,062</w:t>
            </w:r>
          </w:p>
        </w:tc>
        <w:tc>
          <w:tcPr>
            <w:tcW w:w="1170" w:type="dxa"/>
          </w:tcPr>
          <w:p w14:paraId="1FCC8479" w14:textId="245D8A36"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2,064</w:t>
            </w:r>
          </w:p>
        </w:tc>
        <w:tc>
          <w:tcPr>
            <w:tcW w:w="1080" w:type="dxa"/>
          </w:tcPr>
          <w:p w14:paraId="0402CDEF" w14:textId="4AED4D7E"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2,229</w:t>
            </w:r>
          </w:p>
        </w:tc>
        <w:tc>
          <w:tcPr>
            <w:tcW w:w="985" w:type="dxa"/>
          </w:tcPr>
          <w:p w14:paraId="7AA2F13C" w14:textId="0058EAE0"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2,715</w:t>
            </w:r>
          </w:p>
        </w:tc>
      </w:tr>
      <w:tr w:rsidR="00501A2F" w14:paraId="44843A02" w14:textId="77777777" w:rsidTr="00DB53A3">
        <w:trPr>
          <w:cantSplit/>
        </w:trPr>
        <w:tc>
          <w:tcPr>
            <w:tcW w:w="5400" w:type="dxa"/>
          </w:tcPr>
          <w:p w14:paraId="17F9AF03" w14:textId="6609E11F" w:rsidR="00501A2F" w:rsidRPr="00501A2F" w:rsidRDefault="00501A2F" w:rsidP="00501A2F">
            <w:pPr>
              <w:rPr>
                <w:rFonts w:ascii="Aptos Narrow" w:hAnsi="Aptos Narrow" w:cstheme="minorHAnsi"/>
                <w:b/>
                <w:bCs/>
                <w:sz w:val="20"/>
                <w:szCs w:val="20"/>
              </w:rPr>
            </w:pPr>
            <w:r w:rsidRPr="00501A2F">
              <w:rPr>
                <w:rFonts w:ascii="Aptos Narrow" w:hAnsi="Aptos Narrow" w:cstheme="minorHAnsi"/>
                <w:b/>
                <w:bCs/>
                <w:sz w:val="20"/>
                <w:szCs w:val="20"/>
              </w:rPr>
              <w:t>All Emergency</w:t>
            </w:r>
          </w:p>
        </w:tc>
        <w:tc>
          <w:tcPr>
            <w:tcW w:w="1080" w:type="dxa"/>
          </w:tcPr>
          <w:p w14:paraId="60BBC554" w14:textId="1BF19BFF"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32</w:t>
            </w:r>
          </w:p>
        </w:tc>
        <w:tc>
          <w:tcPr>
            <w:tcW w:w="1170" w:type="dxa"/>
          </w:tcPr>
          <w:p w14:paraId="1E8E0D0C" w14:textId="7C916F67"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29</w:t>
            </w:r>
          </w:p>
        </w:tc>
        <w:tc>
          <w:tcPr>
            <w:tcW w:w="1080" w:type="dxa"/>
          </w:tcPr>
          <w:p w14:paraId="4A973D8E" w14:textId="43DD4639"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21</w:t>
            </w:r>
          </w:p>
        </w:tc>
        <w:tc>
          <w:tcPr>
            <w:tcW w:w="985" w:type="dxa"/>
          </w:tcPr>
          <w:p w14:paraId="27215345" w14:textId="7D124313"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19</w:t>
            </w:r>
          </w:p>
        </w:tc>
      </w:tr>
      <w:tr w:rsidR="00E72541" w14:paraId="2D31D6FA" w14:textId="77777777" w:rsidTr="00DB53A3">
        <w:trPr>
          <w:cantSplit/>
        </w:trPr>
        <w:tc>
          <w:tcPr>
            <w:tcW w:w="5400" w:type="dxa"/>
          </w:tcPr>
          <w:p w14:paraId="4AFCDD67" w14:textId="47028F0F" w:rsidR="00E72541" w:rsidRPr="00501A2F" w:rsidRDefault="00E72541" w:rsidP="00501A2F">
            <w:pPr>
              <w:rPr>
                <w:rFonts w:ascii="Aptos Narrow" w:hAnsi="Aptos Narrow" w:cstheme="minorHAnsi"/>
                <w:b/>
                <w:bCs/>
                <w:sz w:val="20"/>
                <w:szCs w:val="20"/>
              </w:rPr>
            </w:pPr>
            <w:r>
              <w:rPr>
                <w:rFonts w:ascii="Aptos Narrow" w:hAnsi="Aptos Narrow" w:cstheme="minorHAnsi"/>
                <w:b/>
                <w:bCs/>
                <w:sz w:val="20"/>
                <w:szCs w:val="20"/>
              </w:rPr>
              <w:t>Other (Observation, Surgery Admit, Unspecified)</w:t>
            </w:r>
          </w:p>
        </w:tc>
        <w:tc>
          <w:tcPr>
            <w:tcW w:w="1080" w:type="dxa"/>
          </w:tcPr>
          <w:p w14:paraId="61C692EE" w14:textId="61E556D6" w:rsidR="00E72541"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208</w:t>
            </w:r>
          </w:p>
        </w:tc>
        <w:tc>
          <w:tcPr>
            <w:tcW w:w="1170" w:type="dxa"/>
          </w:tcPr>
          <w:p w14:paraId="19FF9E7D" w14:textId="687477A8" w:rsidR="00E72541"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218</w:t>
            </w:r>
          </w:p>
        </w:tc>
        <w:tc>
          <w:tcPr>
            <w:tcW w:w="1080" w:type="dxa"/>
          </w:tcPr>
          <w:p w14:paraId="7E6FD5B5" w14:textId="37A2D3BE" w:rsidR="00E72541"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265</w:t>
            </w:r>
          </w:p>
        </w:tc>
        <w:tc>
          <w:tcPr>
            <w:tcW w:w="985" w:type="dxa"/>
          </w:tcPr>
          <w:p w14:paraId="236678B7" w14:textId="46F1E948" w:rsidR="00E72541"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222</w:t>
            </w:r>
          </w:p>
        </w:tc>
      </w:tr>
      <w:tr w:rsidR="00501A2F" w14:paraId="758228CB" w14:textId="77777777" w:rsidTr="00DB53A3">
        <w:trPr>
          <w:cantSplit/>
        </w:trPr>
        <w:tc>
          <w:tcPr>
            <w:tcW w:w="5400" w:type="dxa"/>
            <w:shd w:val="clear" w:color="auto" w:fill="B4C6E7" w:themeFill="accent1" w:themeFillTint="66"/>
          </w:tcPr>
          <w:p w14:paraId="4305535F" w14:textId="20E7C04A" w:rsidR="00501A2F" w:rsidRPr="00501A2F" w:rsidRDefault="00501A2F" w:rsidP="00501A2F">
            <w:pPr>
              <w:rPr>
                <w:rFonts w:ascii="Aptos Narrow" w:hAnsi="Aptos Narrow" w:cstheme="minorHAnsi"/>
                <w:b/>
                <w:bCs/>
                <w:sz w:val="20"/>
                <w:szCs w:val="20"/>
              </w:rPr>
            </w:pPr>
            <w:r w:rsidRPr="00501A2F">
              <w:rPr>
                <w:rFonts w:ascii="Aptos Narrow" w:hAnsi="Aptos Narrow" w:cstheme="minorHAnsi"/>
                <w:b/>
                <w:bCs/>
                <w:sz w:val="20"/>
                <w:szCs w:val="20"/>
              </w:rPr>
              <w:t>Total Main Campus Endoscopy Volume</w:t>
            </w:r>
          </w:p>
        </w:tc>
        <w:tc>
          <w:tcPr>
            <w:tcW w:w="1080" w:type="dxa"/>
            <w:shd w:val="clear" w:color="auto" w:fill="B4C6E7" w:themeFill="accent1" w:themeFillTint="66"/>
          </w:tcPr>
          <w:p w14:paraId="3E5C2A9E" w14:textId="3256A8FE"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11,086</w:t>
            </w:r>
          </w:p>
        </w:tc>
        <w:tc>
          <w:tcPr>
            <w:tcW w:w="1170" w:type="dxa"/>
            <w:shd w:val="clear" w:color="auto" w:fill="B4C6E7" w:themeFill="accent1" w:themeFillTint="66"/>
          </w:tcPr>
          <w:p w14:paraId="70DBD7B2" w14:textId="6FED67EA"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10,443</w:t>
            </w:r>
          </w:p>
        </w:tc>
        <w:tc>
          <w:tcPr>
            <w:tcW w:w="1080" w:type="dxa"/>
            <w:shd w:val="clear" w:color="auto" w:fill="B4C6E7" w:themeFill="accent1" w:themeFillTint="66"/>
          </w:tcPr>
          <w:p w14:paraId="3CEEC1DF" w14:textId="1208664A"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10,720</w:t>
            </w:r>
          </w:p>
        </w:tc>
        <w:tc>
          <w:tcPr>
            <w:tcW w:w="985" w:type="dxa"/>
            <w:shd w:val="clear" w:color="auto" w:fill="B4C6E7" w:themeFill="accent1" w:themeFillTint="66"/>
          </w:tcPr>
          <w:p w14:paraId="2E906BBE" w14:textId="2FB0A262" w:rsidR="00501A2F" w:rsidRPr="00501A2F" w:rsidRDefault="00E72541" w:rsidP="00E72541">
            <w:pPr>
              <w:jc w:val="center"/>
              <w:rPr>
                <w:rFonts w:ascii="Aptos Narrow" w:hAnsi="Aptos Narrow" w:cstheme="minorHAnsi"/>
                <w:b/>
                <w:bCs/>
                <w:sz w:val="20"/>
                <w:szCs w:val="20"/>
              </w:rPr>
            </w:pPr>
            <w:r>
              <w:rPr>
                <w:rFonts w:ascii="Aptos Narrow" w:hAnsi="Aptos Narrow" w:cstheme="minorHAnsi"/>
                <w:b/>
                <w:bCs/>
                <w:sz w:val="20"/>
                <w:szCs w:val="20"/>
              </w:rPr>
              <w:t>11,480</w:t>
            </w:r>
          </w:p>
        </w:tc>
      </w:tr>
    </w:tbl>
    <w:p w14:paraId="10CB5F97" w14:textId="77777777" w:rsidR="00501A2F" w:rsidRPr="00501A2F" w:rsidRDefault="00501A2F" w:rsidP="00501A2F">
      <w:pPr>
        <w:spacing w:after="0"/>
        <w:ind w:left="720"/>
        <w:rPr>
          <w:rFonts w:cstheme="minorHAnsi"/>
          <w:b/>
          <w:bCs/>
          <w:sz w:val="24"/>
          <w:szCs w:val="24"/>
        </w:rPr>
      </w:pPr>
    </w:p>
    <w:p w14:paraId="6387C991" w14:textId="35958FE4" w:rsidR="00654471" w:rsidRPr="00654471" w:rsidRDefault="00654471" w:rsidP="00654471">
      <w:pPr>
        <w:spacing w:after="0"/>
        <w:rPr>
          <w:rFonts w:cstheme="minorHAnsi"/>
          <w:sz w:val="24"/>
          <w:szCs w:val="24"/>
        </w:rPr>
      </w:pPr>
    </w:p>
    <w:sectPr w:rsidR="00654471" w:rsidRPr="00654471" w:rsidSect="00C938D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5187" w14:textId="77777777" w:rsidR="009251F4" w:rsidRDefault="009251F4" w:rsidP="00231103">
      <w:pPr>
        <w:spacing w:after="0" w:line="240" w:lineRule="auto"/>
      </w:pPr>
      <w:r>
        <w:separator/>
      </w:r>
    </w:p>
  </w:endnote>
  <w:endnote w:type="continuationSeparator" w:id="0">
    <w:p w14:paraId="15740C25" w14:textId="77777777" w:rsidR="009251F4" w:rsidRDefault="009251F4" w:rsidP="00231103">
      <w:pPr>
        <w:spacing w:after="0" w:line="240" w:lineRule="auto"/>
      </w:pPr>
      <w:r>
        <w:continuationSeparator/>
      </w:r>
    </w:p>
  </w:endnote>
  <w:endnote w:type="continuationNotice" w:id="1">
    <w:p w14:paraId="2295D1A9" w14:textId="77777777" w:rsidR="009251F4" w:rsidRDefault="00925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B46" w14:textId="77777777" w:rsidR="001A35D1" w:rsidRDefault="001A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E373" w14:textId="77777777" w:rsidR="001A35D1" w:rsidRDefault="001A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53D5" w14:textId="77777777" w:rsidR="009251F4" w:rsidRDefault="009251F4" w:rsidP="00231103">
      <w:pPr>
        <w:spacing w:after="0" w:line="240" w:lineRule="auto"/>
      </w:pPr>
      <w:r>
        <w:separator/>
      </w:r>
    </w:p>
  </w:footnote>
  <w:footnote w:type="continuationSeparator" w:id="0">
    <w:p w14:paraId="5E7824B6" w14:textId="77777777" w:rsidR="009251F4" w:rsidRDefault="009251F4" w:rsidP="00231103">
      <w:pPr>
        <w:spacing w:after="0" w:line="240" w:lineRule="auto"/>
      </w:pPr>
      <w:r>
        <w:continuationSeparator/>
      </w:r>
    </w:p>
  </w:footnote>
  <w:footnote w:type="continuationNotice" w:id="1">
    <w:p w14:paraId="28D6C936" w14:textId="77777777" w:rsidR="009251F4" w:rsidRDefault="009251F4">
      <w:pPr>
        <w:spacing w:after="0" w:line="240" w:lineRule="auto"/>
      </w:pPr>
    </w:p>
  </w:footnote>
  <w:footnote w:id="2">
    <w:p w14:paraId="72011ACE" w14:textId="7A1083CE" w:rsidR="003B4E86" w:rsidRPr="007B541B" w:rsidRDefault="003B4E86">
      <w:pPr>
        <w:pStyle w:val="FootnoteText"/>
      </w:pPr>
      <w:r w:rsidRPr="00485C1D">
        <w:rPr>
          <w:rStyle w:val="FootnoteReference"/>
        </w:rPr>
        <w:footnoteRef/>
      </w:r>
      <w:r w:rsidRPr="00485C1D">
        <w:t xml:space="preserve"> Two dedicated endoscopy rooms opened in FY2024.</w:t>
      </w:r>
      <w:r w:rsidR="0022149D">
        <w:t xml:space="preserve"> Prior to FY2024, endoscopy procedures at MG Waltham were </w:t>
      </w:r>
      <w:r w:rsidR="0022149D" w:rsidRPr="007B541B">
        <w:t xml:space="preserve">performed in one OR room 2 days per week. </w:t>
      </w:r>
      <w:r w:rsidRPr="007B541B">
        <w:t xml:space="preserve"> </w:t>
      </w:r>
    </w:p>
  </w:footnote>
  <w:footnote w:id="3">
    <w:p w14:paraId="3F850885" w14:textId="134A5FC6" w:rsidR="00353C44" w:rsidRPr="00BB55DF" w:rsidRDefault="00353C44">
      <w:pPr>
        <w:pStyle w:val="FootnoteText"/>
      </w:pPr>
      <w:r w:rsidRPr="007B541B">
        <w:rPr>
          <w:rStyle w:val="FootnoteReference"/>
        </w:rPr>
        <w:footnoteRef/>
      </w:r>
      <w:r w:rsidRPr="007B541B">
        <w:t xml:space="preserve"> Case capacity increased year-over-year due to decreasing case lengths: 30 minutes in FY22, 29 minutes in FY23, 26 </w:t>
      </w:r>
      <w:r w:rsidRPr="00BB55DF">
        <w:t>minutes in FY24, and 25 minutes in FY25.</w:t>
      </w:r>
    </w:p>
  </w:footnote>
  <w:footnote w:id="4">
    <w:p w14:paraId="604D3919" w14:textId="4B407184" w:rsidR="003B4E86" w:rsidRPr="00BB55DF" w:rsidRDefault="003B4E86">
      <w:pPr>
        <w:pStyle w:val="FootnoteText"/>
      </w:pPr>
      <w:r w:rsidRPr="00BB55DF">
        <w:rPr>
          <w:rStyle w:val="FootnoteReference"/>
        </w:rPr>
        <w:footnoteRef/>
      </w:r>
      <w:r w:rsidRPr="00BB55DF">
        <w:t xml:space="preserve"> </w:t>
      </w:r>
      <w:r w:rsidR="00065D15" w:rsidRPr="00BB55DF">
        <w:t>NWH opened a ninth endoscopy room in FY2023</w:t>
      </w:r>
      <w:r w:rsidR="00BB55DF" w:rsidRPr="00BB55DF">
        <w:t xml:space="preserve"> to perform interventional </w:t>
      </w:r>
      <w:r w:rsidR="00BB55DF">
        <w:t xml:space="preserve">endoscopy. </w:t>
      </w:r>
    </w:p>
  </w:footnote>
  <w:footnote w:id="5">
    <w:p w14:paraId="22C27207" w14:textId="6E3312F2" w:rsidR="00543E57" w:rsidRPr="00BB55DF" w:rsidRDefault="00543E57">
      <w:pPr>
        <w:pStyle w:val="FootnoteText"/>
      </w:pPr>
      <w:r w:rsidRPr="00BB55DF">
        <w:rPr>
          <w:rStyle w:val="FootnoteReference"/>
        </w:rPr>
        <w:footnoteRef/>
      </w:r>
      <w:r w:rsidRPr="00BB55DF">
        <w:t xml:space="preserve"> Case capacity </w:t>
      </w:r>
      <w:r w:rsidR="00BB55DF">
        <w:t xml:space="preserve">per room </w:t>
      </w:r>
      <w:r w:rsidR="00BB55DF" w:rsidRPr="00BB55DF">
        <w:t xml:space="preserve">represents a weighted average of interventional case lengths and all other case lengths. </w:t>
      </w:r>
      <w:r w:rsidRPr="00BB55DF">
        <w:t xml:space="preserve"> </w:t>
      </w:r>
    </w:p>
  </w:footnote>
  <w:footnote w:id="6">
    <w:p w14:paraId="248121A5" w14:textId="2CAB2DBD" w:rsidR="00BB55DF" w:rsidRDefault="00BB55DF">
      <w:pPr>
        <w:pStyle w:val="FootnoteText"/>
      </w:pPr>
      <w:r w:rsidRPr="00BB55DF">
        <w:rPr>
          <w:rStyle w:val="FootnoteReference"/>
        </w:rPr>
        <w:footnoteRef/>
      </w:r>
      <w:r w:rsidRPr="00BB55DF">
        <w:t xml:space="preserve"> </w:t>
      </w:r>
      <w:bookmarkStart w:id="2" w:name="_Hlk218542488"/>
      <w:r w:rsidRPr="00BB55DF">
        <w:t>Projected volume and capacity for FY2026 are based on i) Q1 actual volume, ii) Q1 utilization, and iii) increased physician capacity.</w:t>
      </w:r>
      <w:r>
        <w:t xml:space="preserve"> </w:t>
      </w:r>
      <w:bookmarkEnd w:id="2"/>
    </w:p>
  </w:footnote>
  <w:footnote w:id="7">
    <w:p w14:paraId="59A19595" w14:textId="05A5C1E6" w:rsidR="00044AC9" w:rsidRDefault="00044AC9">
      <w:pPr>
        <w:pStyle w:val="FootnoteText"/>
      </w:pPr>
      <w:r>
        <w:rPr>
          <w:rStyle w:val="FootnoteReference"/>
        </w:rPr>
        <w:footnoteRef/>
      </w:r>
      <w:r>
        <w:t xml:space="preserve"> </w:t>
      </w:r>
      <w:r w:rsidRPr="00044AC9">
        <w:rPr>
          <w:sz w:val="16"/>
          <w:szCs w:val="16"/>
        </w:rPr>
        <w:t>Boston, Cambridge, Revere, Chelsea, Somerville, Brookline, Medford, Everett, Winthrop, Malden, Arlington, Belmont, Newton, Watertown.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C844" w14:textId="77777777" w:rsidR="001A35D1" w:rsidRDefault="001A3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0BA0" w14:textId="68233F6C" w:rsidR="00D37E5D" w:rsidRDefault="00314CC4" w:rsidP="008F67D8">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MGB Ambulatory Surgery - </w:t>
    </w:r>
    <w:r w:rsidRPr="00314CC4">
      <w:rPr>
        <w:rFonts w:ascii="Arial-BoldMT" w:hAnsi="Arial-BoldMT" w:cs="Arial-BoldMT"/>
        <w:b/>
        <w:bCs/>
        <w:sz w:val="28"/>
        <w:szCs w:val="28"/>
      </w:rPr>
      <w:t xml:space="preserve">Cambridge, LLC </w:t>
    </w:r>
  </w:p>
  <w:p w14:paraId="0E7098F3" w14:textId="77777777" w:rsidR="00314CC4" w:rsidRDefault="008F67D8" w:rsidP="00314CC4">
    <w:pPr>
      <w:pStyle w:val="Header"/>
      <w:pBdr>
        <w:bottom w:val="single" w:sz="4" w:space="1" w:color="auto"/>
      </w:pBdr>
      <w:jc w:val="center"/>
      <w:rPr>
        <w:rFonts w:ascii="Arial-BoldMT" w:hAnsi="Arial-BoldMT" w:cs="Arial-BoldMT"/>
        <w:b/>
        <w:bCs/>
        <w:sz w:val="28"/>
        <w:szCs w:val="28"/>
      </w:rPr>
    </w:pPr>
    <w:r w:rsidRPr="008F67D8">
      <w:rPr>
        <w:rFonts w:ascii="Arial-BoldMT" w:hAnsi="Arial-BoldMT" w:cs="Arial-BoldMT"/>
        <w:b/>
        <w:bCs/>
        <w:sz w:val="24"/>
        <w:szCs w:val="24"/>
      </w:rPr>
      <w:t xml:space="preserve">DON # </w:t>
    </w:r>
    <w:r w:rsidR="00314CC4" w:rsidRPr="00314CC4">
      <w:rPr>
        <w:rFonts w:ascii="Arial-BoldMT" w:hAnsi="Arial-BoldMT" w:cs="Arial-BoldMT"/>
        <w:b/>
        <w:bCs/>
        <w:sz w:val="24"/>
        <w:szCs w:val="24"/>
      </w:rPr>
      <w:t>MGB-C-25070908-AS</w:t>
    </w:r>
  </w:p>
  <w:p w14:paraId="78DC6D8E" w14:textId="10A84832" w:rsidR="00D223EB" w:rsidRPr="001C1A06" w:rsidRDefault="00D223EB" w:rsidP="008F67D8">
    <w:pPr>
      <w:pStyle w:val="Header"/>
      <w:pBdr>
        <w:bottom w:val="single" w:sz="4" w:space="1" w:color="auto"/>
      </w:pBdr>
      <w:jc w:val="center"/>
      <w:rPr>
        <w:rFonts w:ascii="Arial-BoldMT" w:hAnsi="Arial-BoldMT" w:cs="Arial-BoldMT"/>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23A7" w14:textId="77777777" w:rsidR="001A35D1" w:rsidRDefault="001A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627"/>
    <w:multiLevelType w:val="hybridMultilevel"/>
    <w:tmpl w:val="A7481D80"/>
    <w:lvl w:ilvl="0" w:tplc="87380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370EA"/>
    <w:multiLevelType w:val="hybridMultilevel"/>
    <w:tmpl w:val="6DF84B94"/>
    <w:lvl w:ilvl="0" w:tplc="BEC05762">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31C63"/>
    <w:multiLevelType w:val="hybridMultilevel"/>
    <w:tmpl w:val="98883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2"/>
  </w:num>
  <w:num w:numId="3" w16cid:durableId="1010327431">
    <w:abstractNumId w:val="0"/>
  </w:num>
  <w:num w:numId="4" w16cid:durableId="32190849">
    <w:abstractNumId w:val="4"/>
  </w:num>
  <w:num w:numId="5" w16cid:durableId="27179254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06A64"/>
    <w:rsid w:val="00011385"/>
    <w:rsid w:val="00012264"/>
    <w:rsid w:val="00012279"/>
    <w:rsid w:val="000132A8"/>
    <w:rsid w:val="000147B2"/>
    <w:rsid w:val="000158E4"/>
    <w:rsid w:val="00015EFC"/>
    <w:rsid w:val="000168C2"/>
    <w:rsid w:val="00016E99"/>
    <w:rsid w:val="00017A1D"/>
    <w:rsid w:val="00021767"/>
    <w:rsid w:val="00021A01"/>
    <w:rsid w:val="0002235E"/>
    <w:rsid w:val="00024C6C"/>
    <w:rsid w:val="00025521"/>
    <w:rsid w:val="00026A86"/>
    <w:rsid w:val="00026B6F"/>
    <w:rsid w:val="00027FBC"/>
    <w:rsid w:val="0003012E"/>
    <w:rsid w:val="0003035A"/>
    <w:rsid w:val="00030F72"/>
    <w:rsid w:val="00032FF5"/>
    <w:rsid w:val="000340D0"/>
    <w:rsid w:val="00040965"/>
    <w:rsid w:val="000413D6"/>
    <w:rsid w:val="0004249E"/>
    <w:rsid w:val="000436E1"/>
    <w:rsid w:val="0004380F"/>
    <w:rsid w:val="00044AC9"/>
    <w:rsid w:val="0004645C"/>
    <w:rsid w:val="000500A4"/>
    <w:rsid w:val="000503D8"/>
    <w:rsid w:val="00052396"/>
    <w:rsid w:val="00052729"/>
    <w:rsid w:val="00054D4A"/>
    <w:rsid w:val="00054FF4"/>
    <w:rsid w:val="0005525D"/>
    <w:rsid w:val="00055942"/>
    <w:rsid w:val="00055F9E"/>
    <w:rsid w:val="00056D5B"/>
    <w:rsid w:val="00057A92"/>
    <w:rsid w:val="00057F48"/>
    <w:rsid w:val="000601A4"/>
    <w:rsid w:val="00060624"/>
    <w:rsid w:val="000618A4"/>
    <w:rsid w:val="00062288"/>
    <w:rsid w:val="00063414"/>
    <w:rsid w:val="00064206"/>
    <w:rsid w:val="0006445F"/>
    <w:rsid w:val="00065D15"/>
    <w:rsid w:val="00065DA0"/>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8655F"/>
    <w:rsid w:val="0009039F"/>
    <w:rsid w:val="000906E1"/>
    <w:rsid w:val="000907F9"/>
    <w:rsid w:val="0009083B"/>
    <w:rsid w:val="00091A27"/>
    <w:rsid w:val="00091C4C"/>
    <w:rsid w:val="0009200E"/>
    <w:rsid w:val="00092910"/>
    <w:rsid w:val="000952FD"/>
    <w:rsid w:val="00095621"/>
    <w:rsid w:val="00095FAB"/>
    <w:rsid w:val="00096ACB"/>
    <w:rsid w:val="00097B2C"/>
    <w:rsid w:val="000A2EAF"/>
    <w:rsid w:val="000A56D4"/>
    <w:rsid w:val="000A5A22"/>
    <w:rsid w:val="000A691D"/>
    <w:rsid w:val="000A7A45"/>
    <w:rsid w:val="000B0A7F"/>
    <w:rsid w:val="000B1438"/>
    <w:rsid w:val="000B1D01"/>
    <w:rsid w:val="000B69AA"/>
    <w:rsid w:val="000C12F8"/>
    <w:rsid w:val="000C2766"/>
    <w:rsid w:val="000C4405"/>
    <w:rsid w:val="000C56F1"/>
    <w:rsid w:val="000C6277"/>
    <w:rsid w:val="000C7F71"/>
    <w:rsid w:val="000D0C9A"/>
    <w:rsid w:val="000D0D41"/>
    <w:rsid w:val="000D35DD"/>
    <w:rsid w:val="000D42DB"/>
    <w:rsid w:val="000D67DE"/>
    <w:rsid w:val="000E0B48"/>
    <w:rsid w:val="000E19E6"/>
    <w:rsid w:val="000E2F30"/>
    <w:rsid w:val="000E3622"/>
    <w:rsid w:val="000E5EC9"/>
    <w:rsid w:val="000E7CE8"/>
    <w:rsid w:val="000E7E1B"/>
    <w:rsid w:val="000F0EDD"/>
    <w:rsid w:val="000F1286"/>
    <w:rsid w:val="000F1644"/>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39C0"/>
    <w:rsid w:val="0011415B"/>
    <w:rsid w:val="00115F5D"/>
    <w:rsid w:val="001204FE"/>
    <w:rsid w:val="00120FB5"/>
    <w:rsid w:val="00122099"/>
    <w:rsid w:val="0012232D"/>
    <w:rsid w:val="00122BB3"/>
    <w:rsid w:val="00123EE2"/>
    <w:rsid w:val="00124116"/>
    <w:rsid w:val="00125F6B"/>
    <w:rsid w:val="00126E85"/>
    <w:rsid w:val="0013223B"/>
    <w:rsid w:val="0013225C"/>
    <w:rsid w:val="001332C7"/>
    <w:rsid w:val="00133CF7"/>
    <w:rsid w:val="001373DF"/>
    <w:rsid w:val="00137A46"/>
    <w:rsid w:val="00137C36"/>
    <w:rsid w:val="001412E2"/>
    <w:rsid w:val="00143A21"/>
    <w:rsid w:val="0014505C"/>
    <w:rsid w:val="001459CB"/>
    <w:rsid w:val="00146FB4"/>
    <w:rsid w:val="0014727D"/>
    <w:rsid w:val="00147ED6"/>
    <w:rsid w:val="00150337"/>
    <w:rsid w:val="001519AD"/>
    <w:rsid w:val="00152CFB"/>
    <w:rsid w:val="001538B2"/>
    <w:rsid w:val="00153D99"/>
    <w:rsid w:val="00154A10"/>
    <w:rsid w:val="00156EFC"/>
    <w:rsid w:val="00162A72"/>
    <w:rsid w:val="00164EAE"/>
    <w:rsid w:val="00165738"/>
    <w:rsid w:val="00166158"/>
    <w:rsid w:val="001679DC"/>
    <w:rsid w:val="00167F71"/>
    <w:rsid w:val="001701AE"/>
    <w:rsid w:val="00170D7F"/>
    <w:rsid w:val="00174CFB"/>
    <w:rsid w:val="00175F20"/>
    <w:rsid w:val="00176547"/>
    <w:rsid w:val="00176C56"/>
    <w:rsid w:val="00180580"/>
    <w:rsid w:val="00181496"/>
    <w:rsid w:val="00182533"/>
    <w:rsid w:val="00182BA9"/>
    <w:rsid w:val="00183D7F"/>
    <w:rsid w:val="001843D8"/>
    <w:rsid w:val="00185A10"/>
    <w:rsid w:val="00190646"/>
    <w:rsid w:val="0019184A"/>
    <w:rsid w:val="00191B78"/>
    <w:rsid w:val="00191DAC"/>
    <w:rsid w:val="001926A6"/>
    <w:rsid w:val="00192B16"/>
    <w:rsid w:val="00192CFC"/>
    <w:rsid w:val="0019348F"/>
    <w:rsid w:val="00193CD7"/>
    <w:rsid w:val="001A0425"/>
    <w:rsid w:val="001A0FB0"/>
    <w:rsid w:val="001A10F1"/>
    <w:rsid w:val="001A11D0"/>
    <w:rsid w:val="001A122C"/>
    <w:rsid w:val="001A170B"/>
    <w:rsid w:val="001A35D1"/>
    <w:rsid w:val="001A35DC"/>
    <w:rsid w:val="001A511B"/>
    <w:rsid w:val="001A66A9"/>
    <w:rsid w:val="001A68AB"/>
    <w:rsid w:val="001A767E"/>
    <w:rsid w:val="001B03EC"/>
    <w:rsid w:val="001B32E1"/>
    <w:rsid w:val="001B3A91"/>
    <w:rsid w:val="001B517F"/>
    <w:rsid w:val="001B569F"/>
    <w:rsid w:val="001B5845"/>
    <w:rsid w:val="001B5C12"/>
    <w:rsid w:val="001B5F1C"/>
    <w:rsid w:val="001B7F98"/>
    <w:rsid w:val="001C1986"/>
    <w:rsid w:val="001C1A06"/>
    <w:rsid w:val="001C2783"/>
    <w:rsid w:val="001C2A01"/>
    <w:rsid w:val="001C2D97"/>
    <w:rsid w:val="001C2FE0"/>
    <w:rsid w:val="001C44D2"/>
    <w:rsid w:val="001C4F45"/>
    <w:rsid w:val="001C5BF3"/>
    <w:rsid w:val="001C6AE9"/>
    <w:rsid w:val="001C6B00"/>
    <w:rsid w:val="001C6D93"/>
    <w:rsid w:val="001D0111"/>
    <w:rsid w:val="001D01BF"/>
    <w:rsid w:val="001D079B"/>
    <w:rsid w:val="001D1521"/>
    <w:rsid w:val="001D1813"/>
    <w:rsid w:val="001D3D2B"/>
    <w:rsid w:val="001D7C2C"/>
    <w:rsid w:val="001E0B77"/>
    <w:rsid w:val="001E0B94"/>
    <w:rsid w:val="001E19D7"/>
    <w:rsid w:val="001E21D7"/>
    <w:rsid w:val="001E2EA3"/>
    <w:rsid w:val="001E4503"/>
    <w:rsid w:val="001E5650"/>
    <w:rsid w:val="001E5807"/>
    <w:rsid w:val="001F02F3"/>
    <w:rsid w:val="001F27B7"/>
    <w:rsid w:val="001F30FB"/>
    <w:rsid w:val="001F597E"/>
    <w:rsid w:val="001F5FDD"/>
    <w:rsid w:val="001F61B1"/>
    <w:rsid w:val="001F667D"/>
    <w:rsid w:val="001F687E"/>
    <w:rsid w:val="00200334"/>
    <w:rsid w:val="0020068F"/>
    <w:rsid w:val="00200D68"/>
    <w:rsid w:val="00201B1A"/>
    <w:rsid w:val="00201F6E"/>
    <w:rsid w:val="00202AD7"/>
    <w:rsid w:val="00202D16"/>
    <w:rsid w:val="002037DF"/>
    <w:rsid w:val="00203E5A"/>
    <w:rsid w:val="002050B9"/>
    <w:rsid w:val="00205D7B"/>
    <w:rsid w:val="00205E02"/>
    <w:rsid w:val="00206878"/>
    <w:rsid w:val="002069DD"/>
    <w:rsid w:val="002102EF"/>
    <w:rsid w:val="00212619"/>
    <w:rsid w:val="002131E4"/>
    <w:rsid w:val="00214040"/>
    <w:rsid w:val="00214621"/>
    <w:rsid w:val="00214FAA"/>
    <w:rsid w:val="002155ED"/>
    <w:rsid w:val="0021563E"/>
    <w:rsid w:val="00216777"/>
    <w:rsid w:val="002179D1"/>
    <w:rsid w:val="00220641"/>
    <w:rsid w:val="0022149D"/>
    <w:rsid w:val="002244CF"/>
    <w:rsid w:val="00224770"/>
    <w:rsid w:val="00225057"/>
    <w:rsid w:val="00225522"/>
    <w:rsid w:val="00225B1E"/>
    <w:rsid w:val="00225C8A"/>
    <w:rsid w:val="00226A63"/>
    <w:rsid w:val="00227005"/>
    <w:rsid w:val="00227BD5"/>
    <w:rsid w:val="002304AD"/>
    <w:rsid w:val="00230C3B"/>
    <w:rsid w:val="00230EF5"/>
    <w:rsid w:val="00231103"/>
    <w:rsid w:val="002314FF"/>
    <w:rsid w:val="00231E3B"/>
    <w:rsid w:val="00233AFE"/>
    <w:rsid w:val="00233C6B"/>
    <w:rsid w:val="00234272"/>
    <w:rsid w:val="002364A1"/>
    <w:rsid w:val="00236B31"/>
    <w:rsid w:val="00236D23"/>
    <w:rsid w:val="0023798E"/>
    <w:rsid w:val="00237E80"/>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80C"/>
    <w:rsid w:val="00262E53"/>
    <w:rsid w:val="002643AF"/>
    <w:rsid w:val="00264588"/>
    <w:rsid w:val="0026558B"/>
    <w:rsid w:val="00265C23"/>
    <w:rsid w:val="00267859"/>
    <w:rsid w:val="00267F8C"/>
    <w:rsid w:val="00270B47"/>
    <w:rsid w:val="00271BF5"/>
    <w:rsid w:val="00271D85"/>
    <w:rsid w:val="002721E6"/>
    <w:rsid w:val="0027221A"/>
    <w:rsid w:val="0027284F"/>
    <w:rsid w:val="002730BA"/>
    <w:rsid w:val="00273AA5"/>
    <w:rsid w:val="002750A6"/>
    <w:rsid w:val="002750C0"/>
    <w:rsid w:val="00276196"/>
    <w:rsid w:val="00276366"/>
    <w:rsid w:val="0027783A"/>
    <w:rsid w:val="0028466D"/>
    <w:rsid w:val="00286574"/>
    <w:rsid w:val="002865E8"/>
    <w:rsid w:val="00286AD2"/>
    <w:rsid w:val="00290451"/>
    <w:rsid w:val="002906CE"/>
    <w:rsid w:val="002912FB"/>
    <w:rsid w:val="00291912"/>
    <w:rsid w:val="00292B13"/>
    <w:rsid w:val="00293147"/>
    <w:rsid w:val="00294D49"/>
    <w:rsid w:val="00296F21"/>
    <w:rsid w:val="0029738B"/>
    <w:rsid w:val="002A0E3C"/>
    <w:rsid w:val="002A36DF"/>
    <w:rsid w:val="002A4110"/>
    <w:rsid w:val="002A47FE"/>
    <w:rsid w:val="002A518F"/>
    <w:rsid w:val="002A540F"/>
    <w:rsid w:val="002A5E73"/>
    <w:rsid w:val="002A6759"/>
    <w:rsid w:val="002B2A47"/>
    <w:rsid w:val="002B3476"/>
    <w:rsid w:val="002B4234"/>
    <w:rsid w:val="002B5ADB"/>
    <w:rsid w:val="002B662D"/>
    <w:rsid w:val="002B6A55"/>
    <w:rsid w:val="002B6F2C"/>
    <w:rsid w:val="002B78AC"/>
    <w:rsid w:val="002C0C55"/>
    <w:rsid w:val="002C0C71"/>
    <w:rsid w:val="002C0D49"/>
    <w:rsid w:val="002C3C86"/>
    <w:rsid w:val="002C568C"/>
    <w:rsid w:val="002C5DE5"/>
    <w:rsid w:val="002C5E88"/>
    <w:rsid w:val="002D012B"/>
    <w:rsid w:val="002D06F7"/>
    <w:rsid w:val="002D18BF"/>
    <w:rsid w:val="002D1CC3"/>
    <w:rsid w:val="002D39AC"/>
    <w:rsid w:val="002D48C1"/>
    <w:rsid w:val="002D51DC"/>
    <w:rsid w:val="002D5E75"/>
    <w:rsid w:val="002D5F7A"/>
    <w:rsid w:val="002D7A93"/>
    <w:rsid w:val="002E225F"/>
    <w:rsid w:val="002E3CEF"/>
    <w:rsid w:val="002E46AB"/>
    <w:rsid w:val="002E5CA9"/>
    <w:rsid w:val="002F0337"/>
    <w:rsid w:val="002F1F1B"/>
    <w:rsid w:val="002F3CDD"/>
    <w:rsid w:val="002F5878"/>
    <w:rsid w:val="002F5B1B"/>
    <w:rsid w:val="002F7B99"/>
    <w:rsid w:val="00301D82"/>
    <w:rsid w:val="00302D3F"/>
    <w:rsid w:val="003030AA"/>
    <w:rsid w:val="00303DD8"/>
    <w:rsid w:val="00303EE3"/>
    <w:rsid w:val="003049DE"/>
    <w:rsid w:val="00306307"/>
    <w:rsid w:val="003065C2"/>
    <w:rsid w:val="0030785A"/>
    <w:rsid w:val="003078B4"/>
    <w:rsid w:val="003079EC"/>
    <w:rsid w:val="00307F98"/>
    <w:rsid w:val="003103B0"/>
    <w:rsid w:val="00310487"/>
    <w:rsid w:val="00310CF1"/>
    <w:rsid w:val="00312739"/>
    <w:rsid w:val="00312A19"/>
    <w:rsid w:val="00314CC4"/>
    <w:rsid w:val="003154DF"/>
    <w:rsid w:val="00315B23"/>
    <w:rsid w:val="00317580"/>
    <w:rsid w:val="00320371"/>
    <w:rsid w:val="003245F0"/>
    <w:rsid w:val="00324696"/>
    <w:rsid w:val="0032484D"/>
    <w:rsid w:val="00325B8C"/>
    <w:rsid w:val="00325C01"/>
    <w:rsid w:val="00327903"/>
    <w:rsid w:val="00327EAC"/>
    <w:rsid w:val="00331E8E"/>
    <w:rsid w:val="00332A40"/>
    <w:rsid w:val="00332C4B"/>
    <w:rsid w:val="003339EF"/>
    <w:rsid w:val="00333E04"/>
    <w:rsid w:val="0033473A"/>
    <w:rsid w:val="003350D7"/>
    <w:rsid w:val="003354AB"/>
    <w:rsid w:val="00335F54"/>
    <w:rsid w:val="00336346"/>
    <w:rsid w:val="00340166"/>
    <w:rsid w:val="00342240"/>
    <w:rsid w:val="00343A83"/>
    <w:rsid w:val="00344402"/>
    <w:rsid w:val="00344528"/>
    <w:rsid w:val="00344DAC"/>
    <w:rsid w:val="00345F1B"/>
    <w:rsid w:val="00346884"/>
    <w:rsid w:val="00346FEF"/>
    <w:rsid w:val="003506AE"/>
    <w:rsid w:val="0035196E"/>
    <w:rsid w:val="003522D7"/>
    <w:rsid w:val="003533CA"/>
    <w:rsid w:val="00353C44"/>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0834"/>
    <w:rsid w:val="00372520"/>
    <w:rsid w:val="003733E5"/>
    <w:rsid w:val="003741E5"/>
    <w:rsid w:val="00375F14"/>
    <w:rsid w:val="003764DE"/>
    <w:rsid w:val="003765A6"/>
    <w:rsid w:val="003769AF"/>
    <w:rsid w:val="00380361"/>
    <w:rsid w:val="00380B28"/>
    <w:rsid w:val="00380BB5"/>
    <w:rsid w:val="00380E08"/>
    <w:rsid w:val="003813A0"/>
    <w:rsid w:val="00381CBF"/>
    <w:rsid w:val="00382217"/>
    <w:rsid w:val="00382F9A"/>
    <w:rsid w:val="00384767"/>
    <w:rsid w:val="0038699A"/>
    <w:rsid w:val="00387527"/>
    <w:rsid w:val="00391911"/>
    <w:rsid w:val="00392D76"/>
    <w:rsid w:val="00393F8C"/>
    <w:rsid w:val="00394105"/>
    <w:rsid w:val="00395F3D"/>
    <w:rsid w:val="0039698B"/>
    <w:rsid w:val="00397CC6"/>
    <w:rsid w:val="003A1793"/>
    <w:rsid w:val="003A2B5B"/>
    <w:rsid w:val="003A36B2"/>
    <w:rsid w:val="003A3C60"/>
    <w:rsid w:val="003A4882"/>
    <w:rsid w:val="003A4DC6"/>
    <w:rsid w:val="003A5F8B"/>
    <w:rsid w:val="003A7217"/>
    <w:rsid w:val="003A7AB8"/>
    <w:rsid w:val="003B0073"/>
    <w:rsid w:val="003B0533"/>
    <w:rsid w:val="003B0A98"/>
    <w:rsid w:val="003B0D30"/>
    <w:rsid w:val="003B1445"/>
    <w:rsid w:val="003B4D42"/>
    <w:rsid w:val="003B4E86"/>
    <w:rsid w:val="003B575F"/>
    <w:rsid w:val="003B5953"/>
    <w:rsid w:val="003C1787"/>
    <w:rsid w:val="003C2495"/>
    <w:rsid w:val="003C28D0"/>
    <w:rsid w:val="003C3117"/>
    <w:rsid w:val="003C37FC"/>
    <w:rsid w:val="003C38F5"/>
    <w:rsid w:val="003C3B18"/>
    <w:rsid w:val="003C3FFC"/>
    <w:rsid w:val="003C5C5D"/>
    <w:rsid w:val="003C6F58"/>
    <w:rsid w:val="003C7A7B"/>
    <w:rsid w:val="003C7C67"/>
    <w:rsid w:val="003C7D2A"/>
    <w:rsid w:val="003C7E6C"/>
    <w:rsid w:val="003D0F39"/>
    <w:rsid w:val="003D14BA"/>
    <w:rsid w:val="003D2A24"/>
    <w:rsid w:val="003D31FD"/>
    <w:rsid w:val="003D3D7D"/>
    <w:rsid w:val="003D4A6F"/>
    <w:rsid w:val="003D50D2"/>
    <w:rsid w:val="003D5D6C"/>
    <w:rsid w:val="003D7315"/>
    <w:rsid w:val="003D7942"/>
    <w:rsid w:val="003E0045"/>
    <w:rsid w:val="003E0B57"/>
    <w:rsid w:val="003E4BD2"/>
    <w:rsid w:val="003E4F87"/>
    <w:rsid w:val="003E5576"/>
    <w:rsid w:val="003E5688"/>
    <w:rsid w:val="003E7E87"/>
    <w:rsid w:val="003F1211"/>
    <w:rsid w:val="003F159E"/>
    <w:rsid w:val="003F334D"/>
    <w:rsid w:val="003F3E85"/>
    <w:rsid w:val="003F5EF2"/>
    <w:rsid w:val="003F616B"/>
    <w:rsid w:val="003F665D"/>
    <w:rsid w:val="003F7754"/>
    <w:rsid w:val="00401947"/>
    <w:rsid w:val="00402AC2"/>
    <w:rsid w:val="00403118"/>
    <w:rsid w:val="004035C4"/>
    <w:rsid w:val="00403F89"/>
    <w:rsid w:val="00404913"/>
    <w:rsid w:val="00407E19"/>
    <w:rsid w:val="004102C5"/>
    <w:rsid w:val="00411D30"/>
    <w:rsid w:val="004141A0"/>
    <w:rsid w:val="00415EFC"/>
    <w:rsid w:val="00416E6F"/>
    <w:rsid w:val="0041770C"/>
    <w:rsid w:val="004178DE"/>
    <w:rsid w:val="0042031C"/>
    <w:rsid w:val="00421844"/>
    <w:rsid w:val="00421B81"/>
    <w:rsid w:val="00421C21"/>
    <w:rsid w:val="00422255"/>
    <w:rsid w:val="004253AA"/>
    <w:rsid w:val="00426884"/>
    <w:rsid w:val="00431EC4"/>
    <w:rsid w:val="00432D19"/>
    <w:rsid w:val="00433BD8"/>
    <w:rsid w:val="0043468F"/>
    <w:rsid w:val="0043588D"/>
    <w:rsid w:val="00435E97"/>
    <w:rsid w:val="004365EF"/>
    <w:rsid w:val="00436DA5"/>
    <w:rsid w:val="00437DC5"/>
    <w:rsid w:val="00441ECA"/>
    <w:rsid w:val="00441F3E"/>
    <w:rsid w:val="0044387A"/>
    <w:rsid w:val="004449E1"/>
    <w:rsid w:val="00444A21"/>
    <w:rsid w:val="00445B4E"/>
    <w:rsid w:val="00447333"/>
    <w:rsid w:val="0045317B"/>
    <w:rsid w:val="004537FA"/>
    <w:rsid w:val="00455504"/>
    <w:rsid w:val="00456B10"/>
    <w:rsid w:val="00456FCF"/>
    <w:rsid w:val="004571B9"/>
    <w:rsid w:val="00463824"/>
    <w:rsid w:val="00464ACB"/>
    <w:rsid w:val="00465F4D"/>
    <w:rsid w:val="00470202"/>
    <w:rsid w:val="00470E1E"/>
    <w:rsid w:val="004739A3"/>
    <w:rsid w:val="004753FE"/>
    <w:rsid w:val="00475A83"/>
    <w:rsid w:val="0047711A"/>
    <w:rsid w:val="00480049"/>
    <w:rsid w:val="00480B73"/>
    <w:rsid w:val="00481ADC"/>
    <w:rsid w:val="004821A3"/>
    <w:rsid w:val="0048249B"/>
    <w:rsid w:val="00484231"/>
    <w:rsid w:val="00484A85"/>
    <w:rsid w:val="00485C1D"/>
    <w:rsid w:val="0048661D"/>
    <w:rsid w:val="004873F3"/>
    <w:rsid w:val="00487B97"/>
    <w:rsid w:val="004901A5"/>
    <w:rsid w:val="00490846"/>
    <w:rsid w:val="00491AA3"/>
    <w:rsid w:val="00491CD3"/>
    <w:rsid w:val="00491F61"/>
    <w:rsid w:val="004921DF"/>
    <w:rsid w:val="004931F9"/>
    <w:rsid w:val="00497513"/>
    <w:rsid w:val="0049782E"/>
    <w:rsid w:val="004A09D4"/>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475B"/>
    <w:rsid w:val="004C7C09"/>
    <w:rsid w:val="004D036D"/>
    <w:rsid w:val="004D0BF9"/>
    <w:rsid w:val="004D12EB"/>
    <w:rsid w:val="004D293C"/>
    <w:rsid w:val="004D7C5C"/>
    <w:rsid w:val="004E166A"/>
    <w:rsid w:val="004E5C7C"/>
    <w:rsid w:val="004E6482"/>
    <w:rsid w:val="004E7C9D"/>
    <w:rsid w:val="004F432A"/>
    <w:rsid w:val="004F590F"/>
    <w:rsid w:val="004F6BB4"/>
    <w:rsid w:val="004F7C51"/>
    <w:rsid w:val="005002DE"/>
    <w:rsid w:val="005006E2"/>
    <w:rsid w:val="00500B09"/>
    <w:rsid w:val="00501A2F"/>
    <w:rsid w:val="00502404"/>
    <w:rsid w:val="00506B4E"/>
    <w:rsid w:val="00507039"/>
    <w:rsid w:val="00510EC8"/>
    <w:rsid w:val="005125A3"/>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6A9"/>
    <w:rsid w:val="005257D0"/>
    <w:rsid w:val="00525D26"/>
    <w:rsid w:val="00526724"/>
    <w:rsid w:val="00527788"/>
    <w:rsid w:val="005301FC"/>
    <w:rsid w:val="00530477"/>
    <w:rsid w:val="005325F4"/>
    <w:rsid w:val="00532D6E"/>
    <w:rsid w:val="005338A0"/>
    <w:rsid w:val="00534C78"/>
    <w:rsid w:val="005356C2"/>
    <w:rsid w:val="00535A15"/>
    <w:rsid w:val="00536A69"/>
    <w:rsid w:val="00536B22"/>
    <w:rsid w:val="005379D8"/>
    <w:rsid w:val="00540589"/>
    <w:rsid w:val="00541395"/>
    <w:rsid w:val="00541E48"/>
    <w:rsid w:val="005430C8"/>
    <w:rsid w:val="0054339D"/>
    <w:rsid w:val="00543E57"/>
    <w:rsid w:val="00544B77"/>
    <w:rsid w:val="00546917"/>
    <w:rsid w:val="00546A83"/>
    <w:rsid w:val="00547324"/>
    <w:rsid w:val="005475AF"/>
    <w:rsid w:val="00547FF2"/>
    <w:rsid w:val="005506E6"/>
    <w:rsid w:val="00551569"/>
    <w:rsid w:val="00553833"/>
    <w:rsid w:val="00554017"/>
    <w:rsid w:val="00554544"/>
    <w:rsid w:val="00554CF4"/>
    <w:rsid w:val="005559F1"/>
    <w:rsid w:val="00555A05"/>
    <w:rsid w:val="00555BAF"/>
    <w:rsid w:val="005560CC"/>
    <w:rsid w:val="00560536"/>
    <w:rsid w:val="00561790"/>
    <w:rsid w:val="00561BCC"/>
    <w:rsid w:val="0056282F"/>
    <w:rsid w:val="00564C1B"/>
    <w:rsid w:val="00564F33"/>
    <w:rsid w:val="0056515A"/>
    <w:rsid w:val="00566687"/>
    <w:rsid w:val="00567A48"/>
    <w:rsid w:val="00570873"/>
    <w:rsid w:val="00572884"/>
    <w:rsid w:val="00573656"/>
    <w:rsid w:val="005738D2"/>
    <w:rsid w:val="005759B7"/>
    <w:rsid w:val="00575CEB"/>
    <w:rsid w:val="005768C9"/>
    <w:rsid w:val="00577AA7"/>
    <w:rsid w:val="00577B19"/>
    <w:rsid w:val="00580CB5"/>
    <w:rsid w:val="00580E2B"/>
    <w:rsid w:val="0058155B"/>
    <w:rsid w:val="00581E7E"/>
    <w:rsid w:val="005855CF"/>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AF1"/>
    <w:rsid w:val="005A2F6B"/>
    <w:rsid w:val="005A390D"/>
    <w:rsid w:val="005A3A68"/>
    <w:rsid w:val="005A5F29"/>
    <w:rsid w:val="005A71F5"/>
    <w:rsid w:val="005B24C1"/>
    <w:rsid w:val="005C0240"/>
    <w:rsid w:val="005C1745"/>
    <w:rsid w:val="005C1922"/>
    <w:rsid w:val="005C1E0B"/>
    <w:rsid w:val="005C3394"/>
    <w:rsid w:val="005C4433"/>
    <w:rsid w:val="005C4EB9"/>
    <w:rsid w:val="005C5476"/>
    <w:rsid w:val="005C6BDF"/>
    <w:rsid w:val="005C7D0C"/>
    <w:rsid w:val="005D4244"/>
    <w:rsid w:val="005D543B"/>
    <w:rsid w:val="005D5CB9"/>
    <w:rsid w:val="005E07A8"/>
    <w:rsid w:val="005E1AEF"/>
    <w:rsid w:val="005E3669"/>
    <w:rsid w:val="005E6826"/>
    <w:rsid w:val="005E72B7"/>
    <w:rsid w:val="005F130B"/>
    <w:rsid w:val="005F2E76"/>
    <w:rsid w:val="005F5F80"/>
    <w:rsid w:val="005F62ED"/>
    <w:rsid w:val="005F6760"/>
    <w:rsid w:val="005F7339"/>
    <w:rsid w:val="00605067"/>
    <w:rsid w:val="006054A8"/>
    <w:rsid w:val="0060594E"/>
    <w:rsid w:val="00605AB6"/>
    <w:rsid w:val="00607E0F"/>
    <w:rsid w:val="00610F50"/>
    <w:rsid w:val="006113E0"/>
    <w:rsid w:val="00611813"/>
    <w:rsid w:val="0061268C"/>
    <w:rsid w:val="00612D41"/>
    <w:rsid w:val="006149B7"/>
    <w:rsid w:val="00615C75"/>
    <w:rsid w:val="0061763B"/>
    <w:rsid w:val="00621087"/>
    <w:rsid w:val="00623AD7"/>
    <w:rsid w:val="00624F1A"/>
    <w:rsid w:val="006269A1"/>
    <w:rsid w:val="00626EB3"/>
    <w:rsid w:val="00626EC5"/>
    <w:rsid w:val="00627A68"/>
    <w:rsid w:val="006303FF"/>
    <w:rsid w:val="00631829"/>
    <w:rsid w:val="006325B1"/>
    <w:rsid w:val="00632AEC"/>
    <w:rsid w:val="00636A3D"/>
    <w:rsid w:val="006403D2"/>
    <w:rsid w:val="00643123"/>
    <w:rsid w:val="00643226"/>
    <w:rsid w:val="00643D57"/>
    <w:rsid w:val="0064499E"/>
    <w:rsid w:val="00645592"/>
    <w:rsid w:val="00647FA9"/>
    <w:rsid w:val="006513CC"/>
    <w:rsid w:val="0065176F"/>
    <w:rsid w:val="006520E7"/>
    <w:rsid w:val="006533A2"/>
    <w:rsid w:val="0065372D"/>
    <w:rsid w:val="00653F65"/>
    <w:rsid w:val="00654471"/>
    <w:rsid w:val="00654942"/>
    <w:rsid w:val="00654E2F"/>
    <w:rsid w:val="006555AB"/>
    <w:rsid w:val="006560F8"/>
    <w:rsid w:val="00656E81"/>
    <w:rsid w:val="00660793"/>
    <w:rsid w:val="006650CD"/>
    <w:rsid w:val="00665BF5"/>
    <w:rsid w:val="0066694A"/>
    <w:rsid w:val="006702E4"/>
    <w:rsid w:val="006705F7"/>
    <w:rsid w:val="006706B2"/>
    <w:rsid w:val="006708F8"/>
    <w:rsid w:val="006713BD"/>
    <w:rsid w:val="00671403"/>
    <w:rsid w:val="006733D5"/>
    <w:rsid w:val="00674E0A"/>
    <w:rsid w:val="00677D6C"/>
    <w:rsid w:val="00680AD8"/>
    <w:rsid w:val="006814E7"/>
    <w:rsid w:val="00682042"/>
    <w:rsid w:val="00682275"/>
    <w:rsid w:val="006826AF"/>
    <w:rsid w:val="00684458"/>
    <w:rsid w:val="00687E3F"/>
    <w:rsid w:val="00690480"/>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5EF"/>
    <w:rsid w:val="006B4E04"/>
    <w:rsid w:val="006B5BEF"/>
    <w:rsid w:val="006B68C4"/>
    <w:rsid w:val="006B7171"/>
    <w:rsid w:val="006B7423"/>
    <w:rsid w:val="006C0583"/>
    <w:rsid w:val="006C1B8D"/>
    <w:rsid w:val="006C3ED5"/>
    <w:rsid w:val="006C4ED1"/>
    <w:rsid w:val="006C552B"/>
    <w:rsid w:val="006D01D3"/>
    <w:rsid w:val="006D4303"/>
    <w:rsid w:val="006D501C"/>
    <w:rsid w:val="006D537A"/>
    <w:rsid w:val="006D57FC"/>
    <w:rsid w:val="006D59E7"/>
    <w:rsid w:val="006D6315"/>
    <w:rsid w:val="006D650D"/>
    <w:rsid w:val="006D6994"/>
    <w:rsid w:val="006D7054"/>
    <w:rsid w:val="006E112C"/>
    <w:rsid w:val="006E1D4C"/>
    <w:rsid w:val="006E279C"/>
    <w:rsid w:val="006E29DE"/>
    <w:rsid w:val="006E45D4"/>
    <w:rsid w:val="006E4E00"/>
    <w:rsid w:val="006E5156"/>
    <w:rsid w:val="006E5304"/>
    <w:rsid w:val="006E5486"/>
    <w:rsid w:val="006E567F"/>
    <w:rsid w:val="006E5CDF"/>
    <w:rsid w:val="006E66FC"/>
    <w:rsid w:val="006E6DA9"/>
    <w:rsid w:val="006F0472"/>
    <w:rsid w:val="006F4EF5"/>
    <w:rsid w:val="006F5D61"/>
    <w:rsid w:val="006F7519"/>
    <w:rsid w:val="007013CB"/>
    <w:rsid w:val="00703ED5"/>
    <w:rsid w:val="0070409F"/>
    <w:rsid w:val="0070755F"/>
    <w:rsid w:val="007113DC"/>
    <w:rsid w:val="00711700"/>
    <w:rsid w:val="00712FA6"/>
    <w:rsid w:val="0071352B"/>
    <w:rsid w:val="00713C4E"/>
    <w:rsid w:val="0071402E"/>
    <w:rsid w:val="0071563E"/>
    <w:rsid w:val="00715918"/>
    <w:rsid w:val="007172F6"/>
    <w:rsid w:val="007200B2"/>
    <w:rsid w:val="00722F8A"/>
    <w:rsid w:val="007230BC"/>
    <w:rsid w:val="00723188"/>
    <w:rsid w:val="00723E74"/>
    <w:rsid w:val="007242B4"/>
    <w:rsid w:val="0072480D"/>
    <w:rsid w:val="00724BED"/>
    <w:rsid w:val="00726F4F"/>
    <w:rsid w:val="0073005B"/>
    <w:rsid w:val="00730E81"/>
    <w:rsid w:val="00733520"/>
    <w:rsid w:val="00733BDE"/>
    <w:rsid w:val="00733E21"/>
    <w:rsid w:val="0073404F"/>
    <w:rsid w:val="00734A0C"/>
    <w:rsid w:val="00736D9B"/>
    <w:rsid w:val="00740B16"/>
    <w:rsid w:val="00742E67"/>
    <w:rsid w:val="0074357F"/>
    <w:rsid w:val="00743924"/>
    <w:rsid w:val="00743F50"/>
    <w:rsid w:val="00747EF6"/>
    <w:rsid w:val="007508EF"/>
    <w:rsid w:val="00750B62"/>
    <w:rsid w:val="0075159B"/>
    <w:rsid w:val="007525CA"/>
    <w:rsid w:val="007531D5"/>
    <w:rsid w:val="0075373D"/>
    <w:rsid w:val="00753F14"/>
    <w:rsid w:val="00757106"/>
    <w:rsid w:val="00760F5C"/>
    <w:rsid w:val="00761997"/>
    <w:rsid w:val="0076213B"/>
    <w:rsid w:val="00762CA1"/>
    <w:rsid w:val="00766B76"/>
    <w:rsid w:val="00771621"/>
    <w:rsid w:val="007718DA"/>
    <w:rsid w:val="00773850"/>
    <w:rsid w:val="00774FA6"/>
    <w:rsid w:val="00775A18"/>
    <w:rsid w:val="00777580"/>
    <w:rsid w:val="00780836"/>
    <w:rsid w:val="007871AD"/>
    <w:rsid w:val="00787CB4"/>
    <w:rsid w:val="00791B92"/>
    <w:rsid w:val="00792DB0"/>
    <w:rsid w:val="007931E8"/>
    <w:rsid w:val="007934D2"/>
    <w:rsid w:val="00795B9D"/>
    <w:rsid w:val="00795E61"/>
    <w:rsid w:val="00795E6A"/>
    <w:rsid w:val="007966DB"/>
    <w:rsid w:val="007A0879"/>
    <w:rsid w:val="007A0A04"/>
    <w:rsid w:val="007A0F2C"/>
    <w:rsid w:val="007A130C"/>
    <w:rsid w:val="007A3BAE"/>
    <w:rsid w:val="007A5D56"/>
    <w:rsid w:val="007B3A5E"/>
    <w:rsid w:val="007B504D"/>
    <w:rsid w:val="007B529A"/>
    <w:rsid w:val="007B541B"/>
    <w:rsid w:val="007B57B1"/>
    <w:rsid w:val="007B5C83"/>
    <w:rsid w:val="007B6286"/>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D42A0"/>
    <w:rsid w:val="007E0AC9"/>
    <w:rsid w:val="007E0DEF"/>
    <w:rsid w:val="007E26DE"/>
    <w:rsid w:val="007E5FE7"/>
    <w:rsid w:val="007E6854"/>
    <w:rsid w:val="007E7154"/>
    <w:rsid w:val="007F1021"/>
    <w:rsid w:val="007F2825"/>
    <w:rsid w:val="007F3C05"/>
    <w:rsid w:val="007F43D4"/>
    <w:rsid w:val="007F5301"/>
    <w:rsid w:val="007F561D"/>
    <w:rsid w:val="007F5C97"/>
    <w:rsid w:val="007F5DD1"/>
    <w:rsid w:val="007F6742"/>
    <w:rsid w:val="008006D1"/>
    <w:rsid w:val="0080170E"/>
    <w:rsid w:val="008031C1"/>
    <w:rsid w:val="00803785"/>
    <w:rsid w:val="00803DCE"/>
    <w:rsid w:val="008050B8"/>
    <w:rsid w:val="00805A8E"/>
    <w:rsid w:val="008061A3"/>
    <w:rsid w:val="00807D3F"/>
    <w:rsid w:val="00810C49"/>
    <w:rsid w:val="0081127C"/>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3A79"/>
    <w:rsid w:val="008244F6"/>
    <w:rsid w:val="008263DF"/>
    <w:rsid w:val="00826574"/>
    <w:rsid w:val="00830723"/>
    <w:rsid w:val="0083116D"/>
    <w:rsid w:val="008320BF"/>
    <w:rsid w:val="00833925"/>
    <w:rsid w:val="0083393C"/>
    <w:rsid w:val="00834607"/>
    <w:rsid w:val="00835493"/>
    <w:rsid w:val="00842E61"/>
    <w:rsid w:val="00843356"/>
    <w:rsid w:val="008434C8"/>
    <w:rsid w:val="008440E4"/>
    <w:rsid w:val="008443E7"/>
    <w:rsid w:val="00844841"/>
    <w:rsid w:val="008449E3"/>
    <w:rsid w:val="0084640D"/>
    <w:rsid w:val="008464B2"/>
    <w:rsid w:val="00847411"/>
    <w:rsid w:val="00847665"/>
    <w:rsid w:val="00847BE1"/>
    <w:rsid w:val="00851136"/>
    <w:rsid w:val="008519A8"/>
    <w:rsid w:val="00851EBF"/>
    <w:rsid w:val="00852964"/>
    <w:rsid w:val="00854496"/>
    <w:rsid w:val="008552B3"/>
    <w:rsid w:val="00856939"/>
    <w:rsid w:val="0085695E"/>
    <w:rsid w:val="00856DEB"/>
    <w:rsid w:val="00857981"/>
    <w:rsid w:val="0086021D"/>
    <w:rsid w:val="008604D5"/>
    <w:rsid w:val="00860B0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90231"/>
    <w:rsid w:val="0089063F"/>
    <w:rsid w:val="008906F3"/>
    <w:rsid w:val="008922CA"/>
    <w:rsid w:val="00894B37"/>
    <w:rsid w:val="00894D5C"/>
    <w:rsid w:val="00894FE1"/>
    <w:rsid w:val="008955B8"/>
    <w:rsid w:val="00895B40"/>
    <w:rsid w:val="00897A92"/>
    <w:rsid w:val="008A0455"/>
    <w:rsid w:val="008A0B8C"/>
    <w:rsid w:val="008A1722"/>
    <w:rsid w:val="008A1BCF"/>
    <w:rsid w:val="008A2AAC"/>
    <w:rsid w:val="008A4AEA"/>
    <w:rsid w:val="008A4C64"/>
    <w:rsid w:val="008A5923"/>
    <w:rsid w:val="008A6BAF"/>
    <w:rsid w:val="008A6D0C"/>
    <w:rsid w:val="008A7920"/>
    <w:rsid w:val="008A7D64"/>
    <w:rsid w:val="008B18BD"/>
    <w:rsid w:val="008B53B3"/>
    <w:rsid w:val="008B75B8"/>
    <w:rsid w:val="008B7668"/>
    <w:rsid w:val="008C07AB"/>
    <w:rsid w:val="008C121E"/>
    <w:rsid w:val="008C1253"/>
    <w:rsid w:val="008C205C"/>
    <w:rsid w:val="008C5B77"/>
    <w:rsid w:val="008C5D7E"/>
    <w:rsid w:val="008C698B"/>
    <w:rsid w:val="008D0B54"/>
    <w:rsid w:val="008D2B88"/>
    <w:rsid w:val="008D2D7E"/>
    <w:rsid w:val="008D5182"/>
    <w:rsid w:val="008D5359"/>
    <w:rsid w:val="008D6D5E"/>
    <w:rsid w:val="008D7435"/>
    <w:rsid w:val="008D7B97"/>
    <w:rsid w:val="008E0484"/>
    <w:rsid w:val="008E0608"/>
    <w:rsid w:val="008E187B"/>
    <w:rsid w:val="008E234D"/>
    <w:rsid w:val="008E39DC"/>
    <w:rsid w:val="008E39EB"/>
    <w:rsid w:val="008E3C7A"/>
    <w:rsid w:val="008E455C"/>
    <w:rsid w:val="008E4FB8"/>
    <w:rsid w:val="008E6DF2"/>
    <w:rsid w:val="008E7355"/>
    <w:rsid w:val="008E73FF"/>
    <w:rsid w:val="008E7E5A"/>
    <w:rsid w:val="008F1860"/>
    <w:rsid w:val="008F2137"/>
    <w:rsid w:val="008F4E1B"/>
    <w:rsid w:val="008F5981"/>
    <w:rsid w:val="008F5DB6"/>
    <w:rsid w:val="008F67D8"/>
    <w:rsid w:val="008F73F5"/>
    <w:rsid w:val="00900ED6"/>
    <w:rsid w:val="00901BE4"/>
    <w:rsid w:val="0090264F"/>
    <w:rsid w:val="009032E4"/>
    <w:rsid w:val="00906CCD"/>
    <w:rsid w:val="0090727A"/>
    <w:rsid w:val="0091156F"/>
    <w:rsid w:val="009115D8"/>
    <w:rsid w:val="00911747"/>
    <w:rsid w:val="00913164"/>
    <w:rsid w:val="009135B7"/>
    <w:rsid w:val="009143F1"/>
    <w:rsid w:val="00914855"/>
    <w:rsid w:val="00915C11"/>
    <w:rsid w:val="00915F05"/>
    <w:rsid w:val="00916634"/>
    <w:rsid w:val="009171CE"/>
    <w:rsid w:val="009178DF"/>
    <w:rsid w:val="00924A83"/>
    <w:rsid w:val="009250A0"/>
    <w:rsid w:val="009251F4"/>
    <w:rsid w:val="00925E85"/>
    <w:rsid w:val="009260CC"/>
    <w:rsid w:val="00931374"/>
    <w:rsid w:val="009317D3"/>
    <w:rsid w:val="00931AA1"/>
    <w:rsid w:val="00933B5D"/>
    <w:rsid w:val="00934706"/>
    <w:rsid w:val="00935FF4"/>
    <w:rsid w:val="0093616A"/>
    <w:rsid w:val="0093644B"/>
    <w:rsid w:val="009366A5"/>
    <w:rsid w:val="00936CCC"/>
    <w:rsid w:val="009376A5"/>
    <w:rsid w:val="00937C51"/>
    <w:rsid w:val="00937DF4"/>
    <w:rsid w:val="00940929"/>
    <w:rsid w:val="00943AD5"/>
    <w:rsid w:val="00943EBF"/>
    <w:rsid w:val="0094400A"/>
    <w:rsid w:val="00944815"/>
    <w:rsid w:val="009448F4"/>
    <w:rsid w:val="0094528E"/>
    <w:rsid w:val="00950BA9"/>
    <w:rsid w:val="0095109F"/>
    <w:rsid w:val="00951254"/>
    <w:rsid w:val="00951485"/>
    <w:rsid w:val="009528C0"/>
    <w:rsid w:val="00955B27"/>
    <w:rsid w:val="00955D10"/>
    <w:rsid w:val="00956F13"/>
    <w:rsid w:val="00960DBC"/>
    <w:rsid w:val="00963347"/>
    <w:rsid w:val="009637E5"/>
    <w:rsid w:val="00963826"/>
    <w:rsid w:val="00963B87"/>
    <w:rsid w:val="009644E7"/>
    <w:rsid w:val="00965101"/>
    <w:rsid w:val="009656E3"/>
    <w:rsid w:val="00965AEA"/>
    <w:rsid w:val="009672C2"/>
    <w:rsid w:val="00967BD5"/>
    <w:rsid w:val="00967D55"/>
    <w:rsid w:val="00970D87"/>
    <w:rsid w:val="009723AD"/>
    <w:rsid w:val="00974468"/>
    <w:rsid w:val="009760F0"/>
    <w:rsid w:val="0097656A"/>
    <w:rsid w:val="0097742B"/>
    <w:rsid w:val="00982647"/>
    <w:rsid w:val="00982829"/>
    <w:rsid w:val="00982B4D"/>
    <w:rsid w:val="009859C9"/>
    <w:rsid w:val="00985A22"/>
    <w:rsid w:val="009865DB"/>
    <w:rsid w:val="00986A89"/>
    <w:rsid w:val="00987B47"/>
    <w:rsid w:val="009910CE"/>
    <w:rsid w:val="00994000"/>
    <w:rsid w:val="009A4BB1"/>
    <w:rsid w:val="009A5373"/>
    <w:rsid w:val="009A57F1"/>
    <w:rsid w:val="009A5D5E"/>
    <w:rsid w:val="009A5FCA"/>
    <w:rsid w:val="009B0139"/>
    <w:rsid w:val="009B046C"/>
    <w:rsid w:val="009B122A"/>
    <w:rsid w:val="009B1C56"/>
    <w:rsid w:val="009B23D4"/>
    <w:rsid w:val="009B287F"/>
    <w:rsid w:val="009B320B"/>
    <w:rsid w:val="009B36CA"/>
    <w:rsid w:val="009B372B"/>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70"/>
    <w:rsid w:val="009D7BC6"/>
    <w:rsid w:val="009E1C94"/>
    <w:rsid w:val="009E2663"/>
    <w:rsid w:val="009E2706"/>
    <w:rsid w:val="009E2754"/>
    <w:rsid w:val="009E3746"/>
    <w:rsid w:val="009F10DE"/>
    <w:rsid w:val="009F2325"/>
    <w:rsid w:val="009F3593"/>
    <w:rsid w:val="009F3886"/>
    <w:rsid w:val="009F4BCF"/>
    <w:rsid w:val="009F7263"/>
    <w:rsid w:val="00A04393"/>
    <w:rsid w:val="00A05AE5"/>
    <w:rsid w:val="00A07020"/>
    <w:rsid w:val="00A0707E"/>
    <w:rsid w:val="00A07187"/>
    <w:rsid w:val="00A071D8"/>
    <w:rsid w:val="00A0730F"/>
    <w:rsid w:val="00A07682"/>
    <w:rsid w:val="00A1097B"/>
    <w:rsid w:val="00A109EC"/>
    <w:rsid w:val="00A144A7"/>
    <w:rsid w:val="00A14B99"/>
    <w:rsid w:val="00A15C5C"/>
    <w:rsid w:val="00A15FC6"/>
    <w:rsid w:val="00A1708E"/>
    <w:rsid w:val="00A17248"/>
    <w:rsid w:val="00A17E54"/>
    <w:rsid w:val="00A20179"/>
    <w:rsid w:val="00A21B40"/>
    <w:rsid w:val="00A23564"/>
    <w:rsid w:val="00A256D6"/>
    <w:rsid w:val="00A26001"/>
    <w:rsid w:val="00A266C5"/>
    <w:rsid w:val="00A26FE6"/>
    <w:rsid w:val="00A27237"/>
    <w:rsid w:val="00A27C1B"/>
    <w:rsid w:val="00A32048"/>
    <w:rsid w:val="00A32499"/>
    <w:rsid w:val="00A33B33"/>
    <w:rsid w:val="00A350ED"/>
    <w:rsid w:val="00A35384"/>
    <w:rsid w:val="00A369EC"/>
    <w:rsid w:val="00A36EB2"/>
    <w:rsid w:val="00A40A01"/>
    <w:rsid w:val="00A40ACC"/>
    <w:rsid w:val="00A41584"/>
    <w:rsid w:val="00A41BBA"/>
    <w:rsid w:val="00A42F5D"/>
    <w:rsid w:val="00A43080"/>
    <w:rsid w:val="00A43B47"/>
    <w:rsid w:val="00A44911"/>
    <w:rsid w:val="00A45EBA"/>
    <w:rsid w:val="00A4674F"/>
    <w:rsid w:val="00A50902"/>
    <w:rsid w:val="00A50B75"/>
    <w:rsid w:val="00A52BF6"/>
    <w:rsid w:val="00A52D05"/>
    <w:rsid w:val="00A530E9"/>
    <w:rsid w:val="00A550CF"/>
    <w:rsid w:val="00A57E50"/>
    <w:rsid w:val="00A628AF"/>
    <w:rsid w:val="00A63B2C"/>
    <w:rsid w:val="00A63B34"/>
    <w:rsid w:val="00A65D21"/>
    <w:rsid w:val="00A71F8B"/>
    <w:rsid w:val="00A72A1B"/>
    <w:rsid w:val="00A7342F"/>
    <w:rsid w:val="00A73660"/>
    <w:rsid w:val="00A74634"/>
    <w:rsid w:val="00A7645F"/>
    <w:rsid w:val="00A80684"/>
    <w:rsid w:val="00A81BCA"/>
    <w:rsid w:val="00A82823"/>
    <w:rsid w:val="00A83C91"/>
    <w:rsid w:val="00A8439B"/>
    <w:rsid w:val="00A84E87"/>
    <w:rsid w:val="00A85369"/>
    <w:rsid w:val="00A8624C"/>
    <w:rsid w:val="00A864E1"/>
    <w:rsid w:val="00A9164D"/>
    <w:rsid w:val="00A91AB7"/>
    <w:rsid w:val="00A92183"/>
    <w:rsid w:val="00A940EE"/>
    <w:rsid w:val="00A941F2"/>
    <w:rsid w:val="00A94BDA"/>
    <w:rsid w:val="00A94C41"/>
    <w:rsid w:val="00A94DFA"/>
    <w:rsid w:val="00A97108"/>
    <w:rsid w:val="00A9711D"/>
    <w:rsid w:val="00A97218"/>
    <w:rsid w:val="00A979E2"/>
    <w:rsid w:val="00AA0462"/>
    <w:rsid w:val="00AA04A0"/>
    <w:rsid w:val="00AA0B17"/>
    <w:rsid w:val="00AA12C8"/>
    <w:rsid w:val="00AA1A15"/>
    <w:rsid w:val="00AA35A1"/>
    <w:rsid w:val="00AA5AD2"/>
    <w:rsid w:val="00AB004E"/>
    <w:rsid w:val="00AB0B0A"/>
    <w:rsid w:val="00AB0CDE"/>
    <w:rsid w:val="00AB1643"/>
    <w:rsid w:val="00AB4891"/>
    <w:rsid w:val="00AB525B"/>
    <w:rsid w:val="00AB5699"/>
    <w:rsid w:val="00AB56AA"/>
    <w:rsid w:val="00AB76B3"/>
    <w:rsid w:val="00AC08F8"/>
    <w:rsid w:val="00AC2CEE"/>
    <w:rsid w:val="00AC34FD"/>
    <w:rsid w:val="00AC3823"/>
    <w:rsid w:val="00AC6BF5"/>
    <w:rsid w:val="00AC7702"/>
    <w:rsid w:val="00AD2C45"/>
    <w:rsid w:val="00AD3FD8"/>
    <w:rsid w:val="00AD4AF3"/>
    <w:rsid w:val="00AD4D0A"/>
    <w:rsid w:val="00AD4F6B"/>
    <w:rsid w:val="00AD7A33"/>
    <w:rsid w:val="00AE0014"/>
    <w:rsid w:val="00AE0C95"/>
    <w:rsid w:val="00AE1619"/>
    <w:rsid w:val="00AE1ADE"/>
    <w:rsid w:val="00AE1E9E"/>
    <w:rsid w:val="00AE1F14"/>
    <w:rsid w:val="00AE2E70"/>
    <w:rsid w:val="00AE3E40"/>
    <w:rsid w:val="00AE6CA3"/>
    <w:rsid w:val="00AE72CC"/>
    <w:rsid w:val="00AE7CBF"/>
    <w:rsid w:val="00AF01F5"/>
    <w:rsid w:val="00AF1414"/>
    <w:rsid w:val="00AF2AD0"/>
    <w:rsid w:val="00AF2C4C"/>
    <w:rsid w:val="00AF3336"/>
    <w:rsid w:val="00AF34AC"/>
    <w:rsid w:val="00AF4579"/>
    <w:rsid w:val="00AF760E"/>
    <w:rsid w:val="00AF78D6"/>
    <w:rsid w:val="00B00949"/>
    <w:rsid w:val="00B00ADD"/>
    <w:rsid w:val="00B011F9"/>
    <w:rsid w:val="00B0197E"/>
    <w:rsid w:val="00B01E81"/>
    <w:rsid w:val="00B0435F"/>
    <w:rsid w:val="00B04766"/>
    <w:rsid w:val="00B0601D"/>
    <w:rsid w:val="00B06DF0"/>
    <w:rsid w:val="00B079A7"/>
    <w:rsid w:val="00B10DB9"/>
    <w:rsid w:val="00B11C9E"/>
    <w:rsid w:val="00B11DF8"/>
    <w:rsid w:val="00B15D82"/>
    <w:rsid w:val="00B17A76"/>
    <w:rsid w:val="00B2056A"/>
    <w:rsid w:val="00B20D4C"/>
    <w:rsid w:val="00B2238E"/>
    <w:rsid w:val="00B231D9"/>
    <w:rsid w:val="00B23473"/>
    <w:rsid w:val="00B23AE4"/>
    <w:rsid w:val="00B24C4E"/>
    <w:rsid w:val="00B252A7"/>
    <w:rsid w:val="00B271C5"/>
    <w:rsid w:val="00B303DD"/>
    <w:rsid w:val="00B32ED5"/>
    <w:rsid w:val="00B3432C"/>
    <w:rsid w:val="00B34854"/>
    <w:rsid w:val="00B34BE7"/>
    <w:rsid w:val="00B3678C"/>
    <w:rsid w:val="00B37E4B"/>
    <w:rsid w:val="00B40D0D"/>
    <w:rsid w:val="00B40EAB"/>
    <w:rsid w:val="00B4119B"/>
    <w:rsid w:val="00B41B3F"/>
    <w:rsid w:val="00B42417"/>
    <w:rsid w:val="00B42880"/>
    <w:rsid w:val="00B440D9"/>
    <w:rsid w:val="00B45060"/>
    <w:rsid w:val="00B45447"/>
    <w:rsid w:val="00B473EC"/>
    <w:rsid w:val="00B47940"/>
    <w:rsid w:val="00B47B6B"/>
    <w:rsid w:val="00B47C7E"/>
    <w:rsid w:val="00B50946"/>
    <w:rsid w:val="00B50C3E"/>
    <w:rsid w:val="00B511B6"/>
    <w:rsid w:val="00B512E6"/>
    <w:rsid w:val="00B52DAC"/>
    <w:rsid w:val="00B5326E"/>
    <w:rsid w:val="00B53AB1"/>
    <w:rsid w:val="00B605C6"/>
    <w:rsid w:val="00B608E6"/>
    <w:rsid w:val="00B63DE0"/>
    <w:rsid w:val="00B650E2"/>
    <w:rsid w:val="00B65FB4"/>
    <w:rsid w:val="00B70B72"/>
    <w:rsid w:val="00B715B4"/>
    <w:rsid w:val="00B73CA9"/>
    <w:rsid w:val="00B750AE"/>
    <w:rsid w:val="00B7599B"/>
    <w:rsid w:val="00B75AFF"/>
    <w:rsid w:val="00B765CA"/>
    <w:rsid w:val="00B772BD"/>
    <w:rsid w:val="00B77DF7"/>
    <w:rsid w:val="00B77E4C"/>
    <w:rsid w:val="00B851A8"/>
    <w:rsid w:val="00B856DA"/>
    <w:rsid w:val="00B8618F"/>
    <w:rsid w:val="00B8765D"/>
    <w:rsid w:val="00B93245"/>
    <w:rsid w:val="00B96371"/>
    <w:rsid w:val="00B965DF"/>
    <w:rsid w:val="00B97B4C"/>
    <w:rsid w:val="00BA1261"/>
    <w:rsid w:val="00BA1F76"/>
    <w:rsid w:val="00BA2559"/>
    <w:rsid w:val="00BA2DC2"/>
    <w:rsid w:val="00BA49FE"/>
    <w:rsid w:val="00BA5DC1"/>
    <w:rsid w:val="00BA6C3B"/>
    <w:rsid w:val="00BB0119"/>
    <w:rsid w:val="00BB0F4E"/>
    <w:rsid w:val="00BB1906"/>
    <w:rsid w:val="00BB2D8B"/>
    <w:rsid w:val="00BB2FBD"/>
    <w:rsid w:val="00BB372A"/>
    <w:rsid w:val="00BB42EF"/>
    <w:rsid w:val="00BB55DF"/>
    <w:rsid w:val="00BB68A0"/>
    <w:rsid w:val="00BB758B"/>
    <w:rsid w:val="00BB76AA"/>
    <w:rsid w:val="00BC09B3"/>
    <w:rsid w:val="00BC1DD2"/>
    <w:rsid w:val="00BC5571"/>
    <w:rsid w:val="00BC5676"/>
    <w:rsid w:val="00BC689E"/>
    <w:rsid w:val="00BD1BBA"/>
    <w:rsid w:val="00BD1E7E"/>
    <w:rsid w:val="00BD2346"/>
    <w:rsid w:val="00BD2FF4"/>
    <w:rsid w:val="00BD3B34"/>
    <w:rsid w:val="00BD5D70"/>
    <w:rsid w:val="00BD66E6"/>
    <w:rsid w:val="00BD782E"/>
    <w:rsid w:val="00BE0D9C"/>
    <w:rsid w:val="00BE0E8F"/>
    <w:rsid w:val="00BE1885"/>
    <w:rsid w:val="00BE30DE"/>
    <w:rsid w:val="00BE395B"/>
    <w:rsid w:val="00BE466E"/>
    <w:rsid w:val="00BE47F4"/>
    <w:rsid w:val="00BE5B4B"/>
    <w:rsid w:val="00BE5D9B"/>
    <w:rsid w:val="00BE67C3"/>
    <w:rsid w:val="00BE68D6"/>
    <w:rsid w:val="00BE7434"/>
    <w:rsid w:val="00BF0682"/>
    <w:rsid w:val="00BF1147"/>
    <w:rsid w:val="00BF23D2"/>
    <w:rsid w:val="00BF349C"/>
    <w:rsid w:val="00BF3831"/>
    <w:rsid w:val="00BF3848"/>
    <w:rsid w:val="00BF4BB3"/>
    <w:rsid w:val="00BF57F0"/>
    <w:rsid w:val="00BF6A10"/>
    <w:rsid w:val="00C010A7"/>
    <w:rsid w:val="00C015DC"/>
    <w:rsid w:val="00C045E9"/>
    <w:rsid w:val="00C048DB"/>
    <w:rsid w:val="00C11483"/>
    <w:rsid w:val="00C130E7"/>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4074"/>
    <w:rsid w:val="00C354EB"/>
    <w:rsid w:val="00C40A1F"/>
    <w:rsid w:val="00C40AA5"/>
    <w:rsid w:val="00C41902"/>
    <w:rsid w:val="00C41ABA"/>
    <w:rsid w:val="00C42388"/>
    <w:rsid w:val="00C42715"/>
    <w:rsid w:val="00C4285D"/>
    <w:rsid w:val="00C42F6D"/>
    <w:rsid w:val="00C44809"/>
    <w:rsid w:val="00C44C22"/>
    <w:rsid w:val="00C45CB9"/>
    <w:rsid w:val="00C465B1"/>
    <w:rsid w:val="00C46878"/>
    <w:rsid w:val="00C46BCC"/>
    <w:rsid w:val="00C47389"/>
    <w:rsid w:val="00C510C2"/>
    <w:rsid w:val="00C5224B"/>
    <w:rsid w:val="00C52979"/>
    <w:rsid w:val="00C52F6D"/>
    <w:rsid w:val="00C539F0"/>
    <w:rsid w:val="00C55E62"/>
    <w:rsid w:val="00C562BF"/>
    <w:rsid w:val="00C563AA"/>
    <w:rsid w:val="00C56FD7"/>
    <w:rsid w:val="00C57747"/>
    <w:rsid w:val="00C60878"/>
    <w:rsid w:val="00C625DD"/>
    <w:rsid w:val="00C65414"/>
    <w:rsid w:val="00C6753A"/>
    <w:rsid w:val="00C70920"/>
    <w:rsid w:val="00C70D92"/>
    <w:rsid w:val="00C7150E"/>
    <w:rsid w:val="00C72E70"/>
    <w:rsid w:val="00C73799"/>
    <w:rsid w:val="00C75012"/>
    <w:rsid w:val="00C763C6"/>
    <w:rsid w:val="00C773B9"/>
    <w:rsid w:val="00C77B17"/>
    <w:rsid w:val="00C80AF1"/>
    <w:rsid w:val="00C814D9"/>
    <w:rsid w:val="00C821F5"/>
    <w:rsid w:val="00C8280E"/>
    <w:rsid w:val="00C83FA6"/>
    <w:rsid w:val="00C843B2"/>
    <w:rsid w:val="00C850B6"/>
    <w:rsid w:val="00C85712"/>
    <w:rsid w:val="00C86045"/>
    <w:rsid w:val="00C8665D"/>
    <w:rsid w:val="00C86A46"/>
    <w:rsid w:val="00C8763F"/>
    <w:rsid w:val="00C907D9"/>
    <w:rsid w:val="00C90FB6"/>
    <w:rsid w:val="00C921DF"/>
    <w:rsid w:val="00C938D8"/>
    <w:rsid w:val="00C93E8E"/>
    <w:rsid w:val="00C95555"/>
    <w:rsid w:val="00C95F6B"/>
    <w:rsid w:val="00C9659D"/>
    <w:rsid w:val="00C96658"/>
    <w:rsid w:val="00CA0FB3"/>
    <w:rsid w:val="00CA280B"/>
    <w:rsid w:val="00CA3412"/>
    <w:rsid w:val="00CA49B1"/>
    <w:rsid w:val="00CA4F7B"/>
    <w:rsid w:val="00CA58C2"/>
    <w:rsid w:val="00CA5B40"/>
    <w:rsid w:val="00CA691E"/>
    <w:rsid w:val="00CA6EEC"/>
    <w:rsid w:val="00CA7229"/>
    <w:rsid w:val="00CA7E20"/>
    <w:rsid w:val="00CB07CD"/>
    <w:rsid w:val="00CB088C"/>
    <w:rsid w:val="00CB139E"/>
    <w:rsid w:val="00CB3899"/>
    <w:rsid w:val="00CB3DC0"/>
    <w:rsid w:val="00CB4136"/>
    <w:rsid w:val="00CB4C5C"/>
    <w:rsid w:val="00CB573E"/>
    <w:rsid w:val="00CB7D84"/>
    <w:rsid w:val="00CC0E30"/>
    <w:rsid w:val="00CC11B8"/>
    <w:rsid w:val="00CC184A"/>
    <w:rsid w:val="00CC2555"/>
    <w:rsid w:val="00CC38FF"/>
    <w:rsid w:val="00CC4C68"/>
    <w:rsid w:val="00CC576D"/>
    <w:rsid w:val="00CC61A0"/>
    <w:rsid w:val="00CC6C74"/>
    <w:rsid w:val="00CC71D1"/>
    <w:rsid w:val="00CD1315"/>
    <w:rsid w:val="00CD2F8C"/>
    <w:rsid w:val="00CD3D45"/>
    <w:rsid w:val="00CD48D5"/>
    <w:rsid w:val="00CD5EE9"/>
    <w:rsid w:val="00CD72FB"/>
    <w:rsid w:val="00CE1A74"/>
    <w:rsid w:val="00CE2263"/>
    <w:rsid w:val="00CE304C"/>
    <w:rsid w:val="00CE6956"/>
    <w:rsid w:val="00CE722D"/>
    <w:rsid w:val="00CE782C"/>
    <w:rsid w:val="00CE7C72"/>
    <w:rsid w:val="00CE7CF8"/>
    <w:rsid w:val="00CF0F40"/>
    <w:rsid w:val="00CF1A54"/>
    <w:rsid w:val="00CF20FD"/>
    <w:rsid w:val="00CF2AD9"/>
    <w:rsid w:val="00CF3097"/>
    <w:rsid w:val="00CF3442"/>
    <w:rsid w:val="00CF3BA4"/>
    <w:rsid w:val="00CF3E33"/>
    <w:rsid w:val="00CF3F4C"/>
    <w:rsid w:val="00CF5DDA"/>
    <w:rsid w:val="00CF612D"/>
    <w:rsid w:val="00CF63EB"/>
    <w:rsid w:val="00CF69FA"/>
    <w:rsid w:val="00D008ED"/>
    <w:rsid w:val="00D00CC7"/>
    <w:rsid w:val="00D01766"/>
    <w:rsid w:val="00D02802"/>
    <w:rsid w:val="00D03465"/>
    <w:rsid w:val="00D048B7"/>
    <w:rsid w:val="00D054A2"/>
    <w:rsid w:val="00D05578"/>
    <w:rsid w:val="00D11825"/>
    <w:rsid w:val="00D11BF8"/>
    <w:rsid w:val="00D124F9"/>
    <w:rsid w:val="00D12AEB"/>
    <w:rsid w:val="00D13800"/>
    <w:rsid w:val="00D142B2"/>
    <w:rsid w:val="00D1440E"/>
    <w:rsid w:val="00D148CE"/>
    <w:rsid w:val="00D15494"/>
    <w:rsid w:val="00D15AA5"/>
    <w:rsid w:val="00D1799E"/>
    <w:rsid w:val="00D17C2F"/>
    <w:rsid w:val="00D17D0B"/>
    <w:rsid w:val="00D223EB"/>
    <w:rsid w:val="00D225AC"/>
    <w:rsid w:val="00D234A6"/>
    <w:rsid w:val="00D2376D"/>
    <w:rsid w:val="00D23E55"/>
    <w:rsid w:val="00D24403"/>
    <w:rsid w:val="00D248EF"/>
    <w:rsid w:val="00D24AF2"/>
    <w:rsid w:val="00D25722"/>
    <w:rsid w:val="00D25D55"/>
    <w:rsid w:val="00D27182"/>
    <w:rsid w:val="00D279F2"/>
    <w:rsid w:val="00D3234B"/>
    <w:rsid w:val="00D32B11"/>
    <w:rsid w:val="00D32D37"/>
    <w:rsid w:val="00D33210"/>
    <w:rsid w:val="00D33B9C"/>
    <w:rsid w:val="00D35DF3"/>
    <w:rsid w:val="00D37D26"/>
    <w:rsid w:val="00D37E5D"/>
    <w:rsid w:val="00D37EAE"/>
    <w:rsid w:val="00D4103C"/>
    <w:rsid w:val="00D41E4A"/>
    <w:rsid w:val="00D41FAA"/>
    <w:rsid w:val="00D422E3"/>
    <w:rsid w:val="00D436C9"/>
    <w:rsid w:val="00D44530"/>
    <w:rsid w:val="00D44532"/>
    <w:rsid w:val="00D4453A"/>
    <w:rsid w:val="00D45185"/>
    <w:rsid w:val="00D506CF"/>
    <w:rsid w:val="00D51950"/>
    <w:rsid w:val="00D54676"/>
    <w:rsid w:val="00D54AD2"/>
    <w:rsid w:val="00D54B26"/>
    <w:rsid w:val="00D560C0"/>
    <w:rsid w:val="00D568F8"/>
    <w:rsid w:val="00D56AEF"/>
    <w:rsid w:val="00D57899"/>
    <w:rsid w:val="00D60585"/>
    <w:rsid w:val="00D6142C"/>
    <w:rsid w:val="00D6254B"/>
    <w:rsid w:val="00D63B4A"/>
    <w:rsid w:val="00D64C10"/>
    <w:rsid w:val="00D653C6"/>
    <w:rsid w:val="00D67AD8"/>
    <w:rsid w:val="00D713EA"/>
    <w:rsid w:val="00D7310E"/>
    <w:rsid w:val="00D7316E"/>
    <w:rsid w:val="00D753F8"/>
    <w:rsid w:val="00D75C50"/>
    <w:rsid w:val="00D76F45"/>
    <w:rsid w:val="00D76F97"/>
    <w:rsid w:val="00D849A9"/>
    <w:rsid w:val="00D851C5"/>
    <w:rsid w:val="00D85B70"/>
    <w:rsid w:val="00D86248"/>
    <w:rsid w:val="00D866CA"/>
    <w:rsid w:val="00D902C9"/>
    <w:rsid w:val="00D93BBE"/>
    <w:rsid w:val="00D94501"/>
    <w:rsid w:val="00D95A4C"/>
    <w:rsid w:val="00DA30C7"/>
    <w:rsid w:val="00DA349F"/>
    <w:rsid w:val="00DA6574"/>
    <w:rsid w:val="00DA6F3F"/>
    <w:rsid w:val="00DB181C"/>
    <w:rsid w:val="00DB2A50"/>
    <w:rsid w:val="00DB2E40"/>
    <w:rsid w:val="00DB3F4F"/>
    <w:rsid w:val="00DB499A"/>
    <w:rsid w:val="00DB53A3"/>
    <w:rsid w:val="00DB53EB"/>
    <w:rsid w:val="00DB6498"/>
    <w:rsid w:val="00DB685D"/>
    <w:rsid w:val="00DB6A78"/>
    <w:rsid w:val="00DB76A2"/>
    <w:rsid w:val="00DB78F7"/>
    <w:rsid w:val="00DC1D70"/>
    <w:rsid w:val="00DC3F91"/>
    <w:rsid w:val="00DC48F2"/>
    <w:rsid w:val="00DC58E1"/>
    <w:rsid w:val="00DD0C1E"/>
    <w:rsid w:val="00DD1419"/>
    <w:rsid w:val="00DD15B6"/>
    <w:rsid w:val="00DD1B5C"/>
    <w:rsid w:val="00DD707B"/>
    <w:rsid w:val="00DD7384"/>
    <w:rsid w:val="00DD74BE"/>
    <w:rsid w:val="00DE083F"/>
    <w:rsid w:val="00DE1DC5"/>
    <w:rsid w:val="00DE32AE"/>
    <w:rsid w:val="00DE53D8"/>
    <w:rsid w:val="00DE6121"/>
    <w:rsid w:val="00DE7675"/>
    <w:rsid w:val="00DF07AB"/>
    <w:rsid w:val="00DF2150"/>
    <w:rsid w:val="00DF2366"/>
    <w:rsid w:val="00DF2716"/>
    <w:rsid w:val="00DF302A"/>
    <w:rsid w:val="00DF3BCD"/>
    <w:rsid w:val="00DF40C8"/>
    <w:rsid w:val="00DF54A7"/>
    <w:rsid w:val="00DF61D9"/>
    <w:rsid w:val="00DF733C"/>
    <w:rsid w:val="00DF7544"/>
    <w:rsid w:val="00DF7DD6"/>
    <w:rsid w:val="00DF7F14"/>
    <w:rsid w:val="00E0011C"/>
    <w:rsid w:val="00E001B4"/>
    <w:rsid w:val="00E004B1"/>
    <w:rsid w:val="00E0057B"/>
    <w:rsid w:val="00E011F4"/>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0CD"/>
    <w:rsid w:val="00E14CF2"/>
    <w:rsid w:val="00E15BF1"/>
    <w:rsid w:val="00E15C5B"/>
    <w:rsid w:val="00E20E96"/>
    <w:rsid w:val="00E25B24"/>
    <w:rsid w:val="00E2616F"/>
    <w:rsid w:val="00E27352"/>
    <w:rsid w:val="00E306F3"/>
    <w:rsid w:val="00E33041"/>
    <w:rsid w:val="00E34127"/>
    <w:rsid w:val="00E34361"/>
    <w:rsid w:val="00E34D75"/>
    <w:rsid w:val="00E35DF4"/>
    <w:rsid w:val="00E36A96"/>
    <w:rsid w:val="00E36FE4"/>
    <w:rsid w:val="00E375B1"/>
    <w:rsid w:val="00E44060"/>
    <w:rsid w:val="00E45650"/>
    <w:rsid w:val="00E45681"/>
    <w:rsid w:val="00E4579E"/>
    <w:rsid w:val="00E466BA"/>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541"/>
    <w:rsid w:val="00E72C72"/>
    <w:rsid w:val="00E73075"/>
    <w:rsid w:val="00E73907"/>
    <w:rsid w:val="00E765D3"/>
    <w:rsid w:val="00E765E9"/>
    <w:rsid w:val="00E77E02"/>
    <w:rsid w:val="00E806BC"/>
    <w:rsid w:val="00E80919"/>
    <w:rsid w:val="00E83BFE"/>
    <w:rsid w:val="00E84BDB"/>
    <w:rsid w:val="00E85FDE"/>
    <w:rsid w:val="00E86334"/>
    <w:rsid w:val="00E86ACC"/>
    <w:rsid w:val="00E8740C"/>
    <w:rsid w:val="00E9046F"/>
    <w:rsid w:val="00E9257E"/>
    <w:rsid w:val="00E92858"/>
    <w:rsid w:val="00E92D51"/>
    <w:rsid w:val="00E932CC"/>
    <w:rsid w:val="00E94723"/>
    <w:rsid w:val="00E95167"/>
    <w:rsid w:val="00E951C0"/>
    <w:rsid w:val="00E973AC"/>
    <w:rsid w:val="00E97DEA"/>
    <w:rsid w:val="00E97E89"/>
    <w:rsid w:val="00EA0562"/>
    <w:rsid w:val="00EA177F"/>
    <w:rsid w:val="00EA5364"/>
    <w:rsid w:val="00EA589C"/>
    <w:rsid w:val="00EA63D9"/>
    <w:rsid w:val="00EA7C07"/>
    <w:rsid w:val="00EB2071"/>
    <w:rsid w:val="00EB3372"/>
    <w:rsid w:val="00EB3A91"/>
    <w:rsid w:val="00EB60B1"/>
    <w:rsid w:val="00EB63FE"/>
    <w:rsid w:val="00EB7E7C"/>
    <w:rsid w:val="00EC0FF2"/>
    <w:rsid w:val="00EC102F"/>
    <w:rsid w:val="00EC1382"/>
    <w:rsid w:val="00EC1C49"/>
    <w:rsid w:val="00EC2145"/>
    <w:rsid w:val="00EC39D3"/>
    <w:rsid w:val="00EC5F2B"/>
    <w:rsid w:val="00EC7F18"/>
    <w:rsid w:val="00ED11A7"/>
    <w:rsid w:val="00ED4A6A"/>
    <w:rsid w:val="00ED55BC"/>
    <w:rsid w:val="00EE0262"/>
    <w:rsid w:val="00EE062E"/>
    <w:rsid w:val="00EE0E26"/>
    <w:rsid w:val="00EE15A4"/>
    <w:rsid w:val="00EE5976"/>
    <w:rsid w:val="00EF104D"/>
    <w:rsid w:val="00EF1AF6"/>
    <w:rsid w:val="00EF1CF3"/>
    <w:rsid w:val="00EF2595"/>
    <w:rsid w:val="00EF43C6"/>
    <w:rsid w:val="00EF7B23"/>
    <w:rsid w:val="00F017A9"/>
    <w:rsid w:val="00F03079"/>
    <w:rsid w:val="00F038A9"/>
    <w:rsid w:val="00F05531"/>
    <w:rsid w:val="00F055F8"/>
    <w:rsid w:val="00F05F24"/>
    <w:rsid w:val="00F065A1"/>
    <w:rsid w:val="00F06B13"/>
    <w:rsid w:val="00F0780E"/>
    <w:rsid w:val="00F079ED"/>
    <w:rsid w:val="00F101A5"/>
    <w:rsid w:val="00F11FE3"/>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97B"/>
    <w:rsid w:val="00F44AC8"/>
    <w:rsid w:val="00F4550A"/>
    <w:rsid w:val="00F456CE"/>
    <w:rsid w:val="00F456FF"/>
    <w:rsid w:val="00F45A79"/>
    <w:rsid w:val="00F50CED"/>
    <w:rsid w:val="00F51EAF"/>
    <w:rsid w:val="00F5250D"/>
    <w:rsid w:val="00F52B8A"/>
    <w:rsid w:val="00F54301"/>
    <w:rsid w:val="00F54F74"/>
    <w:rsid w:val="00F5589B"/>
    <w:rsid w:val="00F5646B"/>
    <w:rsid w:val="00F564AF"/>
    <w:rsid w:val="00F60382"/>
    <w:rsid w:val="00F60603"/>
    <w:rsid w:val="00F60A0D"/>
    <w:rsid w:val="00F648BC"/>
    <w:rsid w:val="00F65C63"/>
    <w:rsid w:val="00F66881"/>
    <w:rsid w:val="00F67645"/>
    <w:rsid w:val="00F729F3"/>
    <w:rsid w:val="00F7311B"/>
    <w:rsid w:val="00F747E9"/>
    <w:rsid w:val="00F75B25"/>
    <w:rsid w:val="00F76C99"/>
    <w:rsid w:val="00F76E2C"/>
    <w:rsid w:val="00F804A0"/>
    <w:rsid w:val="00F805AF"/>
    <w:rsid w:val="00F8212F"/>
    <w:rsid w:val="00F840AD"/>
    <w:rsid w:val="00F84D44"/>
    <w:rsid w:val="00F84FEC"/>
    <w:rsid w:val="00F85E32"/>
    <w:rsid w:val="00F86335"/>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45"/>
    <w:rsid w:val="00FA2790"/>
    <w:rsid w:val="00FA2CD1"/>
    <w:rsid w:val="00FA59CA"/>
    <w:rsid w:val="00FA5F90"/>
    <w:rsid w:val="00FA7C14"/>
    <w:rsid w:val="00FB1E9F"/>
    <w:rsid w:val="00FB374D"/>
    <w:rsid w:val="00FB3938"/>
    <w:rsid w:val="00FB5624"/>
    <w:rsid w:val="00FB6B1B"/>
    <w:rsid w:val="00FB7714"/>
    <w:rsid w:val="00FB7800"/>
    <w:rsid w:val="00FB7A04"/>
    <w:rsid w:val="00FC3E50"/>
    <w:rsid w:val="00FC40E5"/>
    <w:rsid w:val="00FC4760"/>
    <w:rsid w:val="00FC498E"/>
    <w:rsid w:val="00FC549D"/>
    <w:rsid w:val="00FC5A2B"/>
    <w:rsid w:val="00FC6EEA"/>
    <w:rsid w:val="00FD0471"/>
    <w:rsid w:val="00FD1088"/>
    <w:rsid w:val="00FD1CC4"/>
    <w:rsid w:val="00FD2549"/>
    <w:rsid w:val="00FD4BAD"/>
    <w:rsid w:val="00FE0B49"/>
    <w:rsid w:val="00FE2D21"/>
    <w:rsid w:val="00FE3604"/>
    <w:rsid w:val="00FE3934"/>
    <w:rsid w:val="00FE4527"/>
    <w:rsid w:val="00FE4B35"/>
    <w:rsid w:val="00FE67BC"/>
    <w:rsid w:val="00FE6E1B"/>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1">
    <w:name w:val="heading 1"/>
    <w:basedOn w:val="ListParagraph"/>
    <w:next w:val="Normal"/>
    <w:link w:val="Heading1Char"/>
    <w:uiPriority w:val="9"/>
    <w:qFormat/>
    <w:rsid w:val="001373DF"/>
    <w:pPr>
      <w:numPr>
        <w:numId w:val="5"/>
      </w:numPr>
      <w:outlineLvl w:val="0"/>
    </w:pPr>
    <w:rPr>
      <w:rFonts w:ascii="Aptos" w:hAnsi="Apto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1A35D1"/>
    <w:pPr>
      <w:suppressAutoHyphens/>
      <w:spacing w:after="0" w:line="240" w:lineRule="auto"/>
    </w:pPr>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1373DF"/>
    <w:rPr>
      <w:rFonts w:ascii="Aptos" w:hAnsi="Apto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782457477">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71189433">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07089232">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34041949">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Clarke\AppData\Local\Microsoft\Windows\INetCache\Content.MSO\BA1840CA.xls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PH.DON@mass.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LClarke\AppData\Local\Microsoft\Windows\INetCache\Content.MSO\BA1840CA.xls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1093</Words>
  <Characters>6233</Characters>
  <Application>Microsoft Office Word</Application>
  <DocSecurity>0</DocSecurity>
  <Lines>51</Lines>
  <Paragraphs>14</Paragraphs>
  <ScaleCrop>false</ScaleCrop>
  <Company>Commonwealth of Massachusetts</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3</cp:revision>
  <cp:lastPrinted>1900-01-01T06:00:00Z</cp:lastPrinted>
  <dcterms:created xsi:type="dcterms:W3CDTF">1900-01-01T06:00:00Z</dcterms:created>
  <dcterms:modified xsi:type="dcterms:W3CDTF">2026-01-09T17:00:00Z</dcterms:modified>
</cp:coreProperties>
</file>