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EB1A" w14:textId="77777777" w:rsidR="0060745D" w:rsidRPr="00665920" w:rsidRDefault="0060745D" w:rsidP="00D45CF3">
      <w:pPr>
        <w:jc w:val="center"/>
        <w:rPr>
          <w:rFonts w:cstheme="minorHAnsi"/>
          <w:b/>
          <w:bCs/>
        </w:rPr>
      </w:pPr>
    </w:p>
    <w:p w14:paraId="26D9C4F2" w14:textId="06696E3D" w:rsidR="00D45CF3" w:rsidRPr="00665920" w:rsidRDefault="006878B8" w:rsidP="00D45CF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AMENDMENT</w:t>
      </w:r>
      <w:r w:rsidR="00D45CF3" w:rsidRPr="00665920">
        <w:rPr>
          <w:rFonts w:cstheme="minorHAnsi"/>
          <w:b/>
          <w:bCs/>
        </w:rPr>
        <w:t xml:space="preserve"> QUESTIONS</w:t>
      </w:r>
      <w:r w:rsidR="00006750" w:rsidRPr="00665920">
        <w:rPr>
          <w:rFonts w:cstheme="minorHAnsi"/>
          <w:b/>
          <w:bCs/>
        </w:rPr>
        <w:t xml:space="preserve"> #</w:t>
      </w:r>
      <w:r w:rsidR="00FC4618">
        <w:rPr>
          <w:rFonts w:cstheme="minorHAnsi"/>
          <w:b/>
          <w:bCs/>
        </w:rPr>
        <w:t>3</w:t>
      </w:r>
    </w:p>
    <w:p w14:paraId="0B653DC0" w14:textId="77777777" w:rsidR="00D45CF3" w:rsidRPr="00665920" w:rsidRDefault="00D45CF3" w:rsidP="00D45CF3">
      <w:pPr>
        <w:jc w:val="center"/>
        <w:rPr>
          <w:rFonts w:cstheme="minorHAnsi"/>
        </w:rPr>
      </w:pPr>
      <w:r w:rsidRPr="00665920">
        <w:rPr>
          <w:rFonts w:cstheme="minorHAnsi"/>
          <w:i/>
          <w:iCs/>
        </w:rPr>
        <w:t xml:space="preserve">Responses should be sent to </w:t>
      </w:r>
      <w:proofErr w:type="spellStart"/>
      <w:r w:rsidRPr="00665920">
        <w:rPr>
          <w:rFonts w:cstheme="minorHAnsi"/>
          <w:i/>
          <w:iCs/>
        </w:rPr>
        <w:t>DoN</w:t>
      </w:r>
      <w:proofErr w:type="spellEnd"/>
      <w:r w:rsidRPr="00665920">
        <w:rPr>
          <w:rFonts w:cstheme="minorHAnsi"/>
          <w:i/>
          <w:iCs/>
        </w:rPr>
        <w:t xml:space="preserve"> staff at </w:t>
      </w:r>
      <w:hyperlink r:id="rId8" w:history="1">
        <w:r w:rsidRPr="00665920">
          <w:rPr>
            <w:rStyle w:val="Hyperlink"/>
            <w:rFonts w:cstheme="minorHAnsi"/>
          </w:rPr>
          <w:t>DPH.DON@State.MA.US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45CF3" w:rsidRPr="00665920" w14:paraId="0DA3F6A5" w14:textId="77777777" w:rsidTr="005C13BE">
        <w:trPr>
          <w:jc w:val="center"/>
        </w:trPr>
        <w:tc>
          <w:tcPr>
            <w:tcW w:w="9350" w:type="dxa"/>
          </w:tcPr>
          <w:p w14:paraId="45FEAD51" w14:textId="77777777" w:rsidR="00D45CF3" w:rsidRPr="00665920" w:rsidRDefault="00D45CF3" w:rsidP="005C13BE">
            <w:pPr>
              <w:rPr>
                <w:rFonts w:cstheme="minorHAnsi"/>
                <w:bCs/>
              </w:rPr>
            </w:pPr>
            <w:proofErr w:type="gramStart"/>
            <w:r w:rsidRPr="00665920">
              <w:rPr>
                <w:rFonts w:cstheme="minorHAnsi"/>
                <w:bCs/>
              </w:rPr>
              <w:t>While</w:t>
            </w:r>
            <w:proofErr w:type="gramEnd"/>
            <w:r w:rsidRPr="00665920">
              <w:rPr>
                <w:rFonts w:cstheme="minorHAnsi"/>
                <w:bCs/>
              </w:rPr>
              <w:t xml:space="preserve"> you may submit each answer as available, please </w:t>
            </w:r>
          </w:p>
          <w:p w14:paraId="564BC99A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665920">
              <w:rPr>
                <w:rFonts w:cstheme="minorHAnsi"/>
                <w:bCs/>
              </w:rPr>
              <w:t xml:space="preserve">List question number and question for each answer you provide </w:t>
            </w:r>
          </w:p>
          <w:p w14:paraId="3481F63B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665920">
              <w:rPr>
                <w:rFonts w:cstheme="minorHAnsi"/>
                <w:bCs/>
              </w:rPr>
              <w:t xml:space="preserve">Submit responses as a separate word document, using the above application title and number as a running header and page numbers in the footer </w:t>
            </w:r>
          </w:p>
          <w:p w14:paraId="78D014BD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665920">
              <w:rPr>
                <w:rFonts w:cstheme="minorHAnsi"/>
                <w:bCs/>
              </w:rPr>
              <w:t xml:space="preserve">When providing the answer to the final question, submit all questions and answers in one final document </w:t>
            </w:r>
          </w:p>
          <w:p w14:paraId="61B898A9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665920">
              <w:rPr>
                <w:rFonts w:cstheme="minorHAnsi"/>
                <w:bCs/>
              </w:rPr>
              <w:t xml:space="preserve">Submit responses in WORD or EXCEL; only use PDF’s if </w:t>
            </w:r>
            <w:proofErr w:type="gramStart"/>
            <w:r w:rsidRPr="00665920">
              <w:rPr>
                <w:rFonts w:cstheme="minorHAnsi"/>
                <w:bCs/>
              </w:rPr>
              <w:t>absolutely necessary</w:t>
            </w:r>
            <w:proofErr w:type="gramEnd"/>
            <w:r w:rsidRPr="00665920">
              <w:rPr>
                <w:rFonts w:cstheme="minorHAnsi"/>
                <w:bCs/>
              </w:rPr>
              <w:t>. If “cutting and pasting” charts, provide them in a PDF so they can be clearly seen</w:t>
            </w:r>
          </w:p>
          <w:p w14:paraId="70F1F40B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665920">
              <w:rPr>
                <w:rFonts w:cstheme="minorHAnsi"/>
                <w:b/>
              </w:rPr>
              <w:t>Whenever possible, include a table with the response</w:t>
            </w:r>
          </w:p>
          <w:p w14:paraId="01C56AEF" w14:textId="30C3F16C" w:rsidR="001A32EA" w:rsidRPr="00665920" w:rsidRDefault="001A32EA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665920">
              <w:rPr>
                <w:rFonts w:cstheme="minorHAnsi"/>
                <w:b/>
              </w:rPr>
              <w:t>For HIPAA compliance Do not include numbers &lt;11.</w:t>
            </w:r>
          </w:p>
        </w:tc>
      </w:tr>
    </w:tbl>
    <w:p w14:paraId="0A81B0B9" w14:textId="2966E733" w:rsidR="0066604A" w:rsidRPr="00665920" w:rsidRDefault="0066604A">
      <w:pPr>
        <w:rPr>
          <w:rFonts w:cstheme="minorHAnsi"/>
        </w:rPr>
      </w:pPr>
    </w:p>
    <w:p w14:paraId="6813671A" w14:textId="1C794ECE" w:rsidR="00360E9D" w:rsidRDefault="007D75D5" w:rsidP="007D75D5">
      <w:pPr>
        <w:pStyle w:val="ListParagraph"/>
        <w:numPr>
          <w:ilvl w:val="0"/>
          <w:numId w:val="29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Responses to </w:t>
      </w:r>
      <w:proofErr w:type="spellStart"/>
      <w:r>
        <w:rPr>
          <w:rFonts w:cstheme="minorHAnsi"/>
          <w:lang w:bidi="en-US"/>
        </w:rPr>
        <w:t>DoN</w:t>
      </w:r>
      <w:proofErr w:type="spellEnd"/>
      <w:r>
        <w:rPr>
          <w:rFonts w:cstheme="minorHAnsi"/>
          <w:lang w:bidi="en-US"/>
        </w:rPr>
        <w:t xml:space="preserve"> Questions #1 states that t</w:t>
      </w:r>
      <w:r w:rsidRPr="007D75D5">
        <w:rPr>
          <w:rFonts w:cstheme="minorHAnsi"/>
          <w:lang w:bidi="en-US"/>
        </w:rPr>
        <w:t>he goal is to accommodate critical cases between seven and ten days of referral, based</w:t>
      </w:r>
      <w:r>
        <w:rPr>
          <w:rFonts w:cstheme="minorHAnsi"/>
          <w:lang w:bidi="en-US"/>
        </w:rPr>
        <w:t xml:space="preserve"> </w:t>
      </w:r>
      <w:r w:rsidRPr="007D75D5">
        <w:rPr>
          <w:rFonts w:cstheme="minorHAnsi"/>
          <w:lang w:bidi="en-US"/>
        </w:rPr>
        <w:t>on severity. Insurance clearance related delays not considered</w:t>
      </w:r>
      <w:r>
        <w:rPr>
          <w:rFonts w:cstheme="minorHAnsi"/>
          <w:lang w:bidi="en-US"/>
        </w:rPr>
        <w:t xml:space="preserve"> (pg.2)</w:t>
      </w:r>
      <w:r w:rsidRPr="007D75D5">
        <w:rPr>
          <w:rFonts w:cstheme="minorHAnsi"/>
          <w:lang w:bidi="en-US"/>
        </w:rPr>
        <w:t>.</w:t>
      </w:r>
    </w:p>
    <w:p w14:paraId="0EBD679B" w14:textId="2F822D2D" w:rsidR="007D75D5" w:rsidRDefault="00FB2B9A" w:rsidP="007D75D5">
      <w:pPr>
        <w:pStyle w:val="ListParagraph"/>
        <w:numPr>
          <w:ilvl w:val="1"/>
          <w:numId w:val="29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>With the addition of 5 additional days of PET-CT service, what is the projected wait time for non-critical cases?</w:t>
      </w:r>
    </w:p>
    <w:p w14:paraId="7DF17C97" w14:textId="6EA020F0" w:rsidR="004635CB" w:rsidRPr="00964D11" w:rsidRDefault="004635CB" w:rsidP="004635CB">
      <w:pPr>
        <w:ind w:left="1800"/>
        <w:rPr>
          <w:rFonts w:cstheme="minorHAnsi"/>
          <w:color w:val="0070C0"/>
          <w:lang w:bidi="en-US"/>
        </w:rPr>
      </w:pPr>
      <w:r>
        <w:rPr>
          <w:rFonts w:cstheme="minorHAnsi"/>
          <w:color w:val="0070C0"/>
          <w:lang w:bidi="en-US"/>
        </w:rPr>
        <w:t>T</w:t>
      </w:r>
      <w:r w:rsidRPr="00964D11">
        <w:rPr>
          <w:rFonts w:cstheme="minorHAnsi"/>
          <w:color w:val="0070C0"/>
          <w:lang w:bidi="en-US"/>
        </w:rPr>
        <w:t xml:space="preserve">he goal </w:t>
      </w:r>
      <w:r w:rsidR="00F36779">
        <w:rPr>
          <w:rFonts w:cstheme="minorHAnsi"/>
          <w:color w:val="0070C0"/>
          <w:lang w:bidi="en-US"/>
        </w:rPr>
        <w:t>is to reduce overall</w:t>
      </w:r>
      <w:r>
        <w:rPr>
          <w:rFonts w:cstheme="minorHAnsi"/>
          <w:color w:val="0070C0"/>
          <w:lang w:bidi="en-US"/>
        </w:rPr>
        <w:t xml:space="preserve"> wait time</w:t>
      </w:r>
      <w:r w:rsidR="00F36779">
        <w:rPr>
          <w:rFonts w:cstheme="minorHAnsi"/>
          <w:color w:val="0070C0"/>
          <w:lang w:bidi="en-US"/>
        </w:rPr>
        <w:t>s</w:t>
      </w:r>
      <w:r w:rsidR="009213E1">
        <w:rPr>
          <w:rFonts w:cstheme="minorHAnsi"/>
          <w:color w:val="0070C0"/>
          <w:lang w:bidi="en-US"/>
        </w:rPr>
        <w:t>,</w:t>
      </w:r>
      <w:r>
        <w:rPr>
          <w:rFonts w:cstheme="minorHAnsi"/>
          <w:color w:val="0070C0"/>
          <w:lang w:bidi="en-US"/>
        </w:rPr>
        <w:t xml:space="preserve"> </w:t>
      </w:r>
      <w:r w:rsidR="00F36779">
        <w:rPr>
          <w:rFonts w:cstheme="minorHAnsi"/>
          <w:color w:val="0070C0"/>
          <w:lang w:bidi="en-US"/>
        </w:rPr>
        <w:t xml:space="preserve">defined as referral to date of </w:t>
      </w:r>
      <w:r>
        <w:rPr>
          <w:rFonts w:cstheme="minorHAnsi"/>
          <w:color w:val="0070C0"/>
          <w:lang w:bidi="en-US"/>
        </w:rPr>
        <w:t xml:space="preserve">scan, </w:t>
      </w:r>
      <w:r w:rsidR="009213E1">
        <w:rPr>
          <w:rFonts w:cstheme="minorHAnsi"/>
          <w:color w:val="0070C0"/>
          <w:lang w:bidi="en-US"/>
        </w:rPr>
        <w:t>from 15 days to</w:t>
      </w:r>
      <w:r>
        <w:rPr>
          <w:rFonts w:cstheme="minorHAnsi"/>
          <w:color w:val="0070C0"/>
          <w:lang w:bidi="en-US"/>
        </w:rPr>
        <w:t xml:space="preserve"> </w:t>
      </w:r>
      <w:r w:rsidR="00F36779">
        <w:rPr>
          <w:rFonts w:cstheme="minorHAnsi"/>
          <w:color w:val="0070C0"/>
          <w:lang w:bidi="en-US"/>
        </w:rPr>
        <w:t xml:space="preserve">between </w:t>
      </w:r>
      <w:r>
        <w:rPr>
          <w:rFonts w:cstheme="minorHAnsi"/>
          <w:color w:val="0070C0"/>
          <w:lang w:bidi="en-US"/>
        </w:rPr>
        <w:t>7 to 10 days</w:t>
      </w:r>
      <w:r w:rsidR="009213E1">
        <w:rPr>
          <w:rFonts w:cstheme="minorHAnsi"/>
          <w:color w:val="0070C0"/>
          <w:lang w:bidi="en-US"/>
        </w:rPr>
        <w:t>, inclusive of non-critical cases.</w:t>
      </w:r>
      <w:r w:rsidRPr="00964D11">
        <w:rPr>
          <w:rFonts w:cstheme="minorHAnsi"/>
          <w:color w:val="0070C0"/>
          <w:lang w:bidi="en-US"/>
        </w:rPr>
        <w:t xml:space="preserve"> </w:t>
      </w:r>
    </w:p>
    <w:p w14:paraId="79956B01" w14:textId="77777777" w:rsidR="004635CB" w:rsidRPr="00964D11" w:rsidRDefault="004635CB" w:rsidP="00964D11">
      <w:pPr>
        <w:ind w:left="1800"/>
        <w:rPr>
          <w:rFonts w:cstheme="minorHAnsi"/>
          <w:color w:val="0070C0"/>
          <w:lang w:bidi="en-US"/>
        </w:rPr>
      </w:pPr>
    </w:p>
    <w:p w14:paraId="7E113A62" w14:textId="77777777" w:rsidR="0021599E" w:rsidRDefault="0021599E" w:rsidP="0021599E">
      <w:pPr>
        <w:pStyle w:val="ListParagraph"/>
        <w:ind w:left="1080"/>
        <w:rPr>
          <w:rFonts w:cstheme="minorHAnsi"/>
          <w:lang w:bidi="en-US"/>
        </w:rPr>
      </w:pPr>
    </w:p>
    <w:p w14:paraId="027B7A6D" w14:textId="2EEABAE9" w:rsidR="00FB2B9A" w:rsidRDefault="00FB2B9A" w:rsidP="00FB2B9A">
      <w:pPr>
        <w:pStyle w:val="ListParagraph"/>
        <w:numPr>
          <w:ilvl w:val="0"/>
          <w:numId w:val="29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The application provides projected scan volume for </w:t>
      </w:r>
      <w:r w:rsidR="001E13BD">
        <w:rPr>
          <w:rFonts w:cstheme="minorHAnsi"/>
          <w:lang w:bidi="en-US"/>
        </w:rPr>
        <w:t>2025 to 2028 (pg.</w:t>
      </w:r>
      <w:r w:rsidR="00566114">
        <w:rPr>
          <w:rFonts w:cstheme="minorHAnsi"/>
          <w:lang w:bidi="en-US"/>
        </w:rPr>
        <w:t>4)</w:t>
      </w:r>
    </w:p>
    <w:p w14:paraId="59EB9BF4" w14:textId="0834A229" w:rsidR="00566114" w:rsidRDefault="00566114" w:rsidP="00566114">
      <w:pPr>
        <w:pStyle w:val="ListParagraph"/>
        <w:numPr>
          <w:ilvl w:val="1"/>
          <w:numId w:val="29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Provide a breakdown of projected scan volume by clinical specialty for each year of the projections. </w:t>
      </w:r>
    </w:p>
    <w:tbl>
      <w:tblPr>
        <w:tblStyle w:val="TableGrid"/>
        <w:tblW w:w="0" w:type="auto"/>
        <w:tblInd w:w="2047" w:type="dxa"/>
        <w:tblLook w:val="04A0" w:firstRow="1" w:lastRow="0" w:firstColumn="1" w:lastColumn="0" w:noHBand="0" w:noVBand="1"/>
      </w:tblPr>
      <w:tblGrid>
        <w:gridCol w:w="1780"/>
        <w:gridCol w:w="960"/>
        <w:gridCol w:w="960"/>
        <w:gridCol w:w="960"/>
        <w:gridCol w:w="960"/>
      </w:tblGrid>
      <w:tr w:rsidR="00964D11" w:rsidRPr="00964D11" w14:paraId="643F8228" w14:textId="77777777" w:rsidTr="006E6BA0">
        <w:trPr>
          <w:cantSplit/>
          <w:trHeight w:val="290"/>
          <w:tblHeader/>
        </w:trPr>
        <w:tc>
          <w:tcPr>
            <w:tcW w:w="1780" w:type="dxa"/>
            <w:noWrap/>
            <w:hideMark/>
          </w:tcPr>
          <w:p w14:paraId="382C9DCA" w14:textId="77777777" w:rsidR="00D70C15" w:rsidRPr="00964D11" w:rsidRDefault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Type</w:t>
            </w:r>
          </w:p>
        </w:tc>
        <w:tc>
          <w:tcPr>
            <w:tcW w:w="960" w:type="dxa"/>
            <w:noWrap/>
            <w:hideMark/>
          </w:tcPr>
          <w:p w14:paraId="22AE2C45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2025</w:t>
            </w:r>
          </w:p>
        </w:tc>
        <w:tc>
          <w:tcPr>
            <w:tcW w:w="960" w:type="dxa"/>
            <w:noWrap/>
            <w:hideMark/>
          </w:tcPr>
          <w:p w14:paraId="0EE51D66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2026</w:t>
            </w:r>
          </w:p>
        </w:tc>
        <w:tc>
          <w:tcPr>
            <w:tcW w:w="960" w:type="dxa"/>
            <w:noWrap/>
            <w:hideMark/>
          </w:tcPr>
          <w:p w14:paraId="06A58CBA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2027</w:t>
            </w:r>
          </w:p>
        </w:tc>
        <w:tc>
          <w:tcPr>
            <w:tcW w:w="960" w:type="dxa"/>
            <w:noWrap/>
            <w:hideMark/>
          </w:tcPr>
          <w:p w14:paraId="181477AA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2028</w:t>
            </w:r>
          </w:p>
        </w:tc>
      </w:tr>
      <w:tr w:rsidR="00964D11" w:rsidRPr="00964D11" w14:paraId="2B3CE0AC" w14:textId="77777777" w:rsidTr="006E6BA0">
        <w:trPr>
          <w:cantSplit/>
          <w:trHeight w:val="290"/>
        </w:trPr>
        <w:tc>
          <w:tcPr>
            <w:tcW w:w="1780" w:type="dxa"/>
            <w:noWrap/>
            <w:hideMark/>
          </w:tcPr>
          <w:p w14:paraId="581ECD17" w14:textId="77777777" w:rsidR="00D70C15" w:rsidRPr="00964D11" w:rsidRDefault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Oncology</w:t>
            </w:r>
          </w:p>
        </w:tc>
        <w:tc>
          <w:tcPr>
            <w:tcW w:w="960" w:type="dxa"/>
            <w:noWrap/>
            <w:hideMark/>
          </w:tcPr>
          <w:p w14:paraId="30AECB1D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2096</w:t>
            </w:r>
          </w:p>
        </w:tc>
        <w:tc>
          <w:tcPr>
            <w:tcW w:w="960" w:type="dxa"/>
            <w:noWrap/>
            <w:hideMark/>
          </w:tcPr>
          <w:p w14:paraId="3CB2F69F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2127</w:t>
            </w:r>
          </w:p>
        </w:tc>
        <w:tc>
          <w:tcPr>
            <w:tcW w:w="960" w:type="dxa"/>
            <w:noWrap/>
            <w:hideMark/>
          </w:tcPr>
          <w:p w14:paraId="38ABF87F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2205</w:t>
            </w:r>
          </w:p>
        </w:tc>
        <w:tc>
          <w:tcPr>
            <w:tcW w:w="960" w:type="dxa"/>
            <w:noWrap/>
            <w:hideMark/>
          </w:tcPr>
          <w:p w14:paraId="3868E599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2275</w:t>
            </w:r>
          </w:p>
        </w:tc>
      </w:tr>
      <w:tr w:rsidR="00964D11" w:rsidRPr="00964D11" w14:paraId="260919D5" w14:textId="77777777" w:rsidTr="006E6BA0">
        <w:trPr>
          <w:cantSplit/>
          <w:trHeight w:val="290"/>
        </w:trPr>
        <w:tc>
          <w:tcPr>
            <w:tcW w:w="1780" w:type="dxa"/>
            <w:noWrap/>
            <w:hideMark/>
          </w:tcPr>
          <w:p w14:paraId="5983E1E7" w14:textId="77777777" w:rsidR="00D70C15" w:rsidRPr="00964D11" w:rsidRDefault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Urology</w:t>
            </w:r>
          </w:p>
        </w:tc>
        <w:tc>
          <w:tcPr>
            <w:tcW w:w="960" w:type="dxa"/>
            <w:noWrap/>
            <w:hideMark/>
          </w:tcPr>
          <w:p w14:paraId="337E3655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681</w:t>
            </w:r>
          </w:p>
        </w:tc>
        <w:tc>
          <w:tcPr>
            <w:tcW w:w="960" w:type="dxa"/>
            <w:noWrap/>
            <w:hideMark/>
          </w:tcPr>
          <w:p w14:paraId="0BF72570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817</w:t>
            </w:r>
          </w:p>
        </w:tc>
        <w:tc>
          <w:tcPr>
            <w:tcW w:w="960" w:type="dxa"/>
            <w:noWrap/>
            <w:hideMark/>
          </w:tcPr>
          <w:p w14:paraId="2363E2E6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981</w:t>
            </w:r>
          </w:p>
        </w:tc>
        <w:tc>
          <w:tcPr>
            <w:tcW w:w="960" w:type="dxa"/>
            <w:noWrap/>
            <w:hideMark/>
          </w:tcPr>
          <w:p w14:paraId="4A0467A6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1177</w:t>
            </w:r>
          </w:p>
        </w:tc>
      </w:tr>
      <w:tr w:rsidR="00964D11" w:rsidRPr="00964D11" w14:paraId="7FE16188" w14:textId="77777777" w:rsidTr="006E6BA0">
        <w:trPr>
          <w:cantSplit/>
          <w:trHeight w:val="290"/>
        </w:trPr>
        <w:tc>
          <w:tcPr>
            <w:tcW w:w="1780" w:type="dxa"/>
            <w:noWrap/>
            <w:hideMark/>
          </w:tcPr>
          <w:p w14:paraId="4630C1A4" w14:textId="77777777" w:rsidR="00D70C15" w:rsidRPr="00964D11" w:rsidRDefault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Endocrinology</w:t>
            </w:r>
          </w:p>
        </w:tc>
        <w:tc>
          <w:tcPr>
            <w:tcW w:w="960" w:type="dxa"/>
            <w:noWrap/>
            <w:hideMark/>
          </w:tcPr>
          <w:p w14:paraId="5781926F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20DB8EB5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21FE7C30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54</w:t>
            </w:r>
          </w:p>
        </w:tc>
        <w:tc>
          <w:tcPr>
            <w:tcW w:w="960" w:type="dxa"/>
            <w:noWrap/>
            <w:hideMark/>
          </w:tcPr>
          <w:p w14:paraId="3AEF0D63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59</w:t>
            </w:r>
          </w:p>
        </w:tc>
      </w:tr>
      <w:tr w:rsidR="00964D11" w:rsidRPr="00964D11" w14:paraId="4CC7ACE6" w14:textId="77777777" w:rsidTr="006E6BA0">
        <w:trPr>
          <w:cantSplit/>
          <w:trHeight w:val="290"/>
        </w:trPr>
        <w:tc>
          <w:tcPr>
            <w:tcW w:w="1780" w:type="dxa"/>
            <w:noWrap/>
            <w:hideMark/>
          </w:tcPr>
          <w:p w14:paraId="0467A50E" w14:textId="77777777" w:rsidR="00D70C15" w:rsidRPr="00964D11" w:rsidRDefault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Neurology</w:t>
            </w:r>
          </w:p>
        </w:tc>
        <w:tc>
          <w:tcPr>
            <w:tcW w:w="960" w:type="dxa"/>
            <w:noWrap/>
            <w:hideMark/>
          </w:tcPr>
          <w:p w14:paraId="1733CD4D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185</w:t>
            </w:r>
          </w:p>
        </w:tc>
        <w:tc>
          <w:tcPr>
            <w:tcW w:w="960" w:type="dxa"/>
            <w:noWrap/>
            <w:hideMark/>
          </w:tcPr>
          <w:p w14:paraId="3957B3D4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222</w:t>
            </w:r>
          </w:p>
        </w:tc>
        <w:tc>
          <w:tcPr>
            <w:tcW w:w="960" w:type="dxa"/>
            <w:noWrap/>
            <w:hideMark/>
          </w:tcPr>
          <w:p w14:paraId="749A8FF9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266</w:t>
            </w:r>
          </w:p>
        </w:tc>
        <w:tc>
          <w:tcPr>
            <w:tcW w:w="960" w:type="dxa"/>
            <w:noWrap/>
            <w:hideMark/>
          </w:tcPr>
          <w:p w14:paraId="689239FE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320</w:t>
            </w:r>
          </w:p>
        </w:tc>
      </w:tr>
      <w:tr w:rsidR="00964D11" w:rsidRPr="00964D11" w14:paraId="19943E80" w14:textId="77777777" w:rsidTr="006E6BA0">
        <w:trPr>
          <w:cantSplit/>
          <w:trHeight w:val="290"/>
        </w:trPr>
        <w:tc>
          <w:tcPr>
            <w:tcW w:w="1780" w:type="dxa"/>
            <w:noWrap/>
            <w:hideMark/>
          </w:tcPr>
          <w:p w14:paraId="2340D56A" w14:textId="77777777" w:rsidR="00D70C15" w:rsidRPr="00964D11" w:rsidRDefault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Cardiology</w:t>
            </w:r>
          </w:p>
        </w:tc>
        <w:tc>
          <w:tcPr>
            <w:tcW w:w="960" w:type="dxa"/>
            <w:noWrap/>
            <w:hideMark/>
          </w:tcPr>
          <w:p w14:paraId="0947FF87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2A22A47A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0E0CAC46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250</w:t>
            </w:r>
          </w:p>
        </w:tc>
        <w:tc>
          <w:tcPr>
            <w:tcW w:w="960" w:type="dxa"/>
            <w:noWrap/>
            <w:hideMark/>
          </w:tcPr>
          <w:p w14:paraId="1739A5A4" w14:textId="77777777" w:rsidR="00D70C15" w:rsidRPr="00964D11" w:rsidRDefault="00D70C15" w:rsidP="00D70C1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300</w:t>
            </w:r>
          </w:p>
        </w:tc>
      </w:tr>
      <w:tr w:rsidR="00964D11" w:rsidRPr="00964D11" w14:paraId="463E8E0E" w14:textId="77777777" w:rsidTr="006E6BA0">
        <w:trPr>
          <w:cantSplit/>
          <w:trHeight w:val="290"/>
        </w:trPr>
        <w:tc>
          <w:tcPr>
            <w:tcW w:w="1780" w:type="dxa"/>
            <w:noWrap/>
          </w:tcPr>
          <w:p w14:paraId="5B7FC31F" w14:textId="30756EBC" w:rsidR="00964D11" w:rsidRPr="00964D11" w:rsidRDefault="00964D11" w:rsidP="00964D11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Total Volume</w:t>
            </w:r>
          </w:p>
        </w:tc>
        <w:tc>
          <w:tcPr>
            <w:tcW w:w="960" w:type="dxa"/>
            <w:noWrap/>
          </w:tcPr>
          <w:p w14:paraId="4F6D592C" w14:textId="2425F4A5" w:rsidR="00964D11" w:rsidRPr="00964D11" w:rsidRDefault="00964D11" w:rsidP="00964D11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3104</w:t>
            </w:r>
          </w:p>
        </w:tc>
        <w:tc>
          <w:tcPr>
            <w:tcW w:w="960" w:type="dxa"/>
            <w:noWrap/>
          </w:tcPr>
          <w:p w14:paraId="3102CFD1" w14:textId="5F272951" w:rsidR="00964D11" w:rsidRPr="00964D11" w:rsidRDefault="00964D11" w:rsidP="00964D11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3414</w:t>
            </w:r>
          </w:p>
        </w:tc>
        <w:tc>
          <w:tcPr>
            <w:tcW w:w="960" w:type="dxa"/>
            <w:noWrap/>
          </w:tcPr>
          <w:p w14:paraId="53EB4ECE" w14:textId="7C68FE49" w:rsidR="00964D11" w:rsidRPr="00964D11" w:rsidRDefault="00964D11" w:rsidP="00964D11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3756</w:t>
            </w:r>
          </w:p>
        </w:tc>
        <w:tc>
          <w:tcPr>
            <w:tcW w:w="960" w:type="dxa"/>
            <w:noWrap/>
          </w:tcPr>
          <w:p w14:paraId="053B126D" w14:textId="62F02C01" w:rsidR="00964D11" w:rsidRPr="00964D11" w:rsidRDefault="00964D11" w:rsidP="00964D11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4131</w:t>
            </w:r>
          </w:p>
        </w:tc>
      </w:tr>
    </w:tbl>
    <w:p w14:paraId="3566C638" w14:textId="77777777" w:rsidR="00914EC6" w:rsidRPr="00914EC6" w:rsidRDefault="00914EC6" w:rsidP="00914EC6">
      <w:pPr>
        <w:rPr>
          <w:rFonts w:cstheme="minorHAnsi"/>
          <w:lang w:bidi="en-US"/>
        </w:rPr>
      </w:pPr>
    </w:p>
    <w:p w14:paraId="6A469D48" w14:textId="0599DF27" w:rsidR="00566114" w:rsidRDefault="00226B10" w:rsidP="00566114">
      <w:pPr>
        <w:pStyle w:val="ListParagraph"/>
        <w:numPr>
          <w:ilvl w:val="1"/>
          <w:numId w:val="29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Provide anticipated utilization for each year of </w:t>
      </w:r>
      <w:r w:rsidR="00802447">
        <w:rPr>
          <w:rFonts w:cstheme="minorHAnsi"/>
          <w:lang w:bidi="en-US"/>
        </w:rPr>
        <w:t>the projections</w:t>
      </w:r>
      <w:r>
        <w:rPr>
          <w:rFonts w:cstheme="minorHAnsi"/>
          <w:lang w:bidi="en-US"/>
        </w:rPr>
        <w:t xml:space="preserve">. </w:t>
      </w:r>
    </w:p>
    <w:p w14:paraId="0F4DE044" w14:textId="77777777" w:rsidR="0021599E" w:rsidRDefault="0021599E" w:rsidP="0021599E">
      <w:pPr>
        <w:pStyle w:val="ListParagraph"/>
        <w:ind w:left="1800"/>
        <w:rPr>
          <w:rFonts w:cstheme="minorHAnsi"/>
          <w:lang w:bidi="en-US"/>
        </w:rPr>
      </w:pPr>
    </w:p>
    <w:p w14:paraId="3A11EED7" w14:textId="074D336D" w:rsidR="009213E1" w:rsidRDefault="00F36779" w:rsidP="0021599E">
      <w:pPr>
        <w:pStyle w:val="ListParagraph"/>
        <w:ind w:left="1800"/>
        <w:rPr>
          <w:rFonts w:cstheme="minorHAnsi"/>
          <w:color w:val="0070C0"/>
          <w:lang w:bidi="en-US"/>
        </w:rPr>
      </w:pPr>
      <w:r>
        <w:rPr>
          <w:rFonts w:cstheme="minorHAnsi"/>
          <w:color w:val="0070C0"/>
          <w:lang w:bidi="en-US"/>
        </w:rPr>
        <w:t>Utilization is expected to average 70%</w:t>
      </w:r>
      <w:r w:rsidR="00467279">
        <w:rPr>
          <w:rFonts w:cstheme="minorHAnsi"/>
          <w:color w:val="0070C0"/>
          <w:lang w:bidi="en-US"/>
        </w:rPr>
        <w:t>.</w:t>
      </w:r>
    </w:p>
    <w:p w14:paraId="512F3402" w14:textId="77777777" w:rsidR="00467279" w:rsidRDefault="00467279" w:rsidP="0021599E">
      <w:pPr>
        <w:pStyle w:val="ListParagraph"/>
        <w:ind w:left="1800"/>
        <w:rPr>
          <w:rFonts w:cstheme="minorHAnsi"/>
          <w:color w:val="0070C0"/>
          <w:lang w:bidi="en-US"/>
        </w:rPr>
      </w:pPr>
    </w:p>
    <w:p w14:paraId="1AEB1A14" w14:textId="3A266B76" w:rsidR="00467279" w:rsidRDefault="00467279" w:rsidP="0021599E">
      <w:pPr>
        <w:pStyle w:val="ListParagraph"/>
        <w:ind w:left="1800"/>
        <w:rPr>
          <w:rFonts w:cstheme="minorHAnsi"/>
          <w:color w:val="0070C0"/>
          <w:lang w:bidi="en-US"/>
        </w:rPr>
      </w:pPr>
    </w:p>
    <w:p w14:paraId="34493BE9" w14:textId="77777777" w:rsidR="009213E1" w:rsidRPr="009213E1" w:rsidRDefault="009213E1" w:rsidP="0021599E">
      <w:pPr>
        <w:pStyle w:val="ListParagraph"/>
        <w:ind w:left="1800"/>
        <w:rPr>
          <w:rFonts w:cstheme="minorHAnsi"/>
          <w:color w:val="0070C0"/>
          <w:lang w:bidi="en-US"/>
        </w:rPr>
      </w:pPr>
    </w:p>
    <w:p w14:paraId="45D2EE83" w14:textId="0F7A49F3" w:rsidR="00566114" w:rsidRDefault="00C66EA3" w:rsidP="008F3BD7">
      <w:pPr>
        <w:pStyle w:val="ListParagraph"/>
        <w:numPr>
          <w:ilvl w:val="0"/>
          <w:numId w:val="29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lastRenderedPageBreak/>
        <w:t>In the application, t</w:t>
      </w:r>
      <w:r w:rsidR="008F3BD7">
        <w:rPr>
          <w:rFonts w:cstheme="minorHAnsi"/>
          <w:lang w:bidi="en-US"/>
        </w:rPr>
        <w:t xml:space="preserve">he Holder attributes increasing need for PET-CT services in part to </w:t>
      </w:r>
      <w:r w:rsidR="006477A6">
        <w:rPr>
          <w:rFonts w:cstheme="minorHAnsi"/>
          <w:lang w:bidi="en-US"/>
        </w:rPr>
        <w:t xml:space="preserve">the addition of Amyloid brain scans in 2024, and </w:t>
      </w:r>
      <w:r w:rsidR="00EE027B">
        <w:rPr>
          <w:rFonts w:cstheme="minorHAnsi"/>
          <w:lang w:bidi="en-US"/>
        </w:rPr>
        <w:t xml:space="preserve">the Holder’s </w:t>
      </w:r>
      <w:r w:rsidR="00EE027B" w:rsidRPr="00EE027B">
        <w:rPr>
          <w:rFonts w:cstheme="minorHAnsi"/>
          <w:lang w:bidi="en-US"/>
        </w:rPr>
        <w:t>plans to offer cardiac PET perfusion scans in 2025</w:t>
      </w:r>
      <w:r w:rsidR="00B63603">
        <w:rPr>
          <w:rFonts w:cstheme="minorHAnsi"/>
          <w:lang w:bidi="en-US"/>
        </w:rPr>
        <w:t xml:space="preserve"> (pg.4)</w:t>
      </w:r>
      <w:r w:rsidR="00EE027B">
        <w:rPr>
          <w:rFonts w:cstheme="minorHAnsi"/>
          <w:lang w:bidi="en-US"/>
        </w:rPr>
        <w:t xml:space="preserve">. </w:t>
      </w:r>
    </w:p>
    <w:p w14:paraId="57F16E9C" w14:textId="316DA219" w:rsidR="00B63603" w:rsidRDefault="00B011F2" w:rsidP="00B63603">
      <w:pPr>
        <w:pStyle w:val="ListParagraph"/>
        <w:numPr>
          <w:ilvl w:val="1"/>
          <w:numId w:val="29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>Provide projected scan volume increases from 202</w:t>
      </w:r>
      <w:r w:rsidR="00D66D8B">
        <w:rPr>
          <w:rFonts w:cstheme="minorHAnsi"/>
          <w:lang w:bidi="en-US"/>
        </w:rPr>
        <w:t>5</w:t>
      </w:r>
      <w:r>
        <w:rPr>
          <w:rFonts w:cstheme="minorHAnsi"/>
          <w:lang w:bidi="en-US"/>
        </w:rPr>
        <w:t xml:space="preserve">-2028 </w:t>
      </w:r>
      <w:r w:rsidR="00785A82">
        <w:rPr>
          <w:rFonts w:cstheme="minorHAnsi"/>
          <w:lang w:bidi="en-US"/>
        </w:rPr>
        <w:t xml:space="preserve">separately </w:t>
      </w:r>
      <w:r>
        <w:rPr>
          <w:rFonts w:cstheme="minorHAnsi"/>
          <w:lang w:bidi="en-US"/>
        </w:rPr>
        <w:t xml:space="preserve">for Amyloid brain scans, and for cardiac PET perfusion scans. </w:t>
      </w:r>
    </w:p>
    <w:tbl>
      <w:tblPr>
        <w:tblStyle w:val="TableGrid"/>
        <w:tblW w:w="0" w:type="auto"/>
        <w:tblInd w:w="2047" w:type="dxa"/>
        <w:tblLook w:val="04A0" w:firstRow="1" w:lastRow="0" w:firstColumn="1" w:lastColumn="0" w:noHBand="0" w:noVBand="1"/>
      </w:tblPr>
      <w:tblGrid>
        <w:gridCol w:w="1780"/>
        <w:gridCol w:w="960"/>
        <w:gridCol w:w="960"/>
        <w:gridCol w:w="960"/>
        <w:gridCol w:w="960"/>
      </w:tblGrid>
      <w:tr w:rsidR="00964D11" w:rsidRPr="00964D11" w14:paraId="6DA19E28" w14:textId="77777777" w:rsidTr="006E6BA0">
        <w:trPr>
          <w:cantSplit/>
          <w:trHeight w:val="290"/>
          <w:tblHeader/>
        </w:trPr>
        <w:tc>
          <w:tcPr>
            <w:tcW w:w="1780" w:type="dxa"/>
            <w:noWrap/>
            <w:hideMark/>
          </w:tcPr>
          <w:p w14:paraId="1D2F707F" w14:textId="77777777" w:rsidR="00B846FD" w:rsidRPr="00964D11" w:rsidRDefault="00B846FD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Type</w:t>
            </w:r>
          </w:p>
        </w:tc>
        <w:tc>
          <w:tcPr>
            <w:tcW w:w="960" w:type="dxa"/>
            <w:noWrap/>
            <w:hideMark/>
          </w:tcPr>
          <w:p w14:paraId="3FFB6E4F" w14:textId="77777777" w:rsidR="00B846FD" w:rsidRPr="00964D11" w:rsidRDefault="00B846FD" w:rsidP="00B846FD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2025</w:t>
            </w:r>
          </w:p>
        </w:tc>
        <w:tc>
          <w:tcPr>
            <w:tcW w:w="960" w:type="dxa"/>
            <w:noWrap/>
            <w:hideMark/>
          </w:tcPr>
          <w:p w14:paraId="2BC3B30E" w14:textId="77777777" w:rsidR="00B846FD" w:rsidRPr="00964D11" w:rsidRDefault="00B846FD" w:rsidP="00B846FD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2026</w:t>
            </w:r>
          </w:p>
        </w:tc>
        <w:tc>
          <w:tcPr>
            <w:tcW w:w="960" w:type="dxa"/>
            <w:noWrap/>
            <w:hideMark/>
          </w:tcPr>
          <w:p w14:paraId="0DB8D836" w14:textId="77777777" w:rsidR="00B846FD" w:rsidRPr="00964D11" w:rsidRDefault="00B846FD" w:rsidP="00B846FD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2027</w:t>
            </w:r>
          </w:p>
        </w:tc>
        <w:tc>
          <w:tcPr>
            <w:tcW w:w="960" w:type="dxa"/>
            <w:noWrap/>
            <w:hideMark/>
          </w:tcPr>
          <w:p w14:paraId="074B44F8" w14:textId="77777777" w:rsidR="00B846FD" w:rsidRPr="00964D11" w:rsidRDefault="00B846FD" w:rsidP="00B846FD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2028</w:t>
            </w:r>
          </w:p>
        </w:tc>
      </w:tr>
      <w:tr w:rsidR="00964D11" w:rsidRPr="00964D11" w14:paraId="75E6F864" w14:textId="77777777" w:rsidTr="006E6BA0">
        <w:trPr>
          <w:cantSplit/>
          <w:trHeight w:val="290"/>
        </w:trPr>
        <w:tc>
          <w:tcPr>
            <w:tcW w:w="1780" w:type="dxa"/>
            <w:noWrap/>
            <w:hideMark/>
          </w:tcPr>
          <w:p w14:paraId="6C3D49FB" w14:textId="77777777" w:rsidR="00B846FD" w:rsidRPr="00964D11" w:rsidRDefault="00B846FD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Amyloid Brain</w:t>
            </w:r>
          </w:p>
        </w:tc>
        <w:tc>
          <w:tcPr>
            <w:tcW w:w="960" w:type="dxa"/>
            <w:noWrap/>
            <w:hideMark/>
          </w:tcPr>
          <w:p w14:paraId="064C204B" w14:textId="77777777" w:rsidR="00B846FD" w:rsidRPr="00964D11" w:rsidRDefault="00B846FD" w:rsidP="00B846FD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185</w:t>
            </w:r>
          </w:p>
        </w:tc>
        <w:tc>
          <w:tcPr>
            <w:tcW w:w="960" w:type="dxa"/>
            <w:noWrap/>
            <w:hideMark/>
          </w:tcPr>
          <w:p w14:paraId="317F8555" w14:textId="77777777" w:rsidR="00B846FD" w:rsidRPr="00964D11" w:rsidRDefault="00B846FD" w:rsidP="00B846FD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222</w:t>
            </w:r>
          </w:p>
        </w:tc>
        <w:tc>
          <w:tcPr>
            <w:tcW w:w="960" w:type="dxa"/>
            <w:noWrap/>
            <w:hideMark/>
          </w:tcPr>
          <w:p w14:paraId="042AEE8A" w14:textId="77777777" w:rsidR="00B846FD" w:rsidRPr="00964D11" w:rsidRDefault="00B846FD" w:rsidP="00B846FD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266</w:t>
            </w:r>
          </w:p>
        </w:tc>
        <w:tc>
          <w:tcPr>
            <w:tcW w:w="960" w:type="dxa"/>
            <w:noWrap/>
            <w:hideMark/>
          </w:tcPr>
          <w:p w14:paraId="7E0DE3BE" w14:textId="77777777" w:rsidR="00B846FD" w:rsidRPr="00964D11" w:rsidRDefault="00B846FD" w:rsidP="00B846FD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320</w:t>
            </w:r>
          </w:p>
        </w:tc>
      </w:tr>
      <w:tr w:rsidR="00964D11" w:rsidRPr="00964D11" w14:paraId="4728461D" w14:textId="77777777" w:rsidTr="006E6BA0">
        <w:trPr>
          <w:cantSplit/>
          <w:trHeight w:val="290"/>
        </w:trPr>
        <w:tc>
          <w:tcPr>
            <w:tcW w:w="1780" w:type="dxa"/>
            <w:noWrap/>
            <w:hideMark/>
          </w:tcPr>
          <w:p w14:paraId="38D404A5" w14:textId="77777777" w:rsidR="00B846FD" w:rsidRPr="00964D11" w:rsidRDefault="00B846FD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Cardiac Perfusion</w:t>
            </w:r>
          </w:p>
        </w:tc>
        <w:tc>
          <w:tcPr>
            <w:tcW w:w="960" w:type="dxa"/>
            <w:noWrap/>
            <w:hideMark/>
          </w:tcPr>
          <w:p w14:paraId="38C31292" w14:textId="77777777" w:rsidR="00B846FD" w:rsidRPr="00964D11" w:rsidRDefault="00B846FD" w:rsidP="00B846FD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2EAC42B5" w14:textId="77777777" w:rsidR="00B846FD" w:rsidRPr="00964D11" w:rsidRDefault="00B846FD" w:rsidP="00B846FD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2187E12A" w14:textId="77777777" w:rsidR="00B846FD" w:rsidRPr="00964D11" w:rsidRDefault="00B846FD" w:rsidP="00B846FD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250</w:t>
            </w:r>
          </w:p>
        </w:tc>
        <w:tc>
          <w:tcPr>
            <w:tcW w:w="960" w:type="dxa"/>
            <w:noWrap/>
            <w:hideMark/>
          </w:tcPr>
          <w:p w14:paraId="74D5BFB4" w14:textId="77777777" w:rsidR="00B846FD" w:rsidRPr="00964D11" w:rsidRDefault="00B846FD" w:rsidP="00B846FD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300</w:t>
            </w:r>
          </w:p>
        </w:tc>
      </w:tr>
    </w:tbl>
    <w:p w14:paraId="07F92375" w14:textId="77777777" w:rsidR="00914EC6" w:rsidRPr="00914EC6" w:rsidRDefault="00914EC6" w:rsidP="00914EC6">
      <w:pPr>
        <w:rPr>
          <w:rFonts w:cstheme="minorHAnsi"/>
          <w:lang w:bidi="en-US"/>
        </w:rPr>
      </w:pPr>
    </w:p>
    <w:p w14:paraId="44118F36" w14:textId="77777777" w:rsidR="0021599E" w:rsidRDefault="0021599E" w:rsidP="0021599E">
      <w:pPr>
        <w:pStyle w:val="ListParagraph"/>
        <w:ind w:left="1080"/>
        <w:rPr>
          <w:rFonts w:cstheme="minorHAnsi"/>
          <w:lang w:bidi="en-US"/>
        </w:rPr>
      </w:pPr>
    </w:p>
    <w:p w14:paraId="331D3D5E" w14:textId="3C7837F9" w:rsidR="00B222BD" w:rsidRDefault="00B222BD" w:rsidP="00C861DA">
      <w:pPr>
        <w:pStyle w:val="ListParagraph"/>
        <w:numPr>
          <w:ilvl w:val="0"/>
          <w:numId w:val="29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In responses to </w:t>
      </w:r>
      <w:proofErr w:type="spellStart"/>
      <w:r>
        <w:rPr>
          <w:rFonts w:cstheme="minorHAnsi"/>
          <w:lang w:bidi="en-US"/>
        </w:rPr>
        <w:t>DoN</w:t>
      </w:r>
      <w:proofErr w:type="spellEnd"/>
      <w:r>
        <w:rPr>
          <w:rFonts w:cstheme="minorHAnsi"/>
          <w:lang w:bidi="en-US"/>
        </w:rPr>
        <w:t xml:space="preserve"> Questions #1</w:t>
      </w:r>
      <w:r w:rsidR="00C66EA3">
        <w:rPr>
          <w:rFonts w:cstheme="minorHAnsi"/>
          <w:lang w:bidi="en-US"/>
        </w:rPr>
        <w:t xml:space="preserve"> (pg.</w:t>
      </w:r>
      <w:r w:rsidR="001D5E3D">
        <w:rPr>
          <w:rFonts w:cstheme="minorHAnsi"/>
          <w:lang w:bidi="en-US"/>
        </w:rPr>
        <w:t xml:space="preserve">2) </w:t>
      </w:r>
      <w:r>
        <w:rPr>
          <w:rFonts w:cstheme="minorHAnsi"/>
          <w:lang w:bidi="en-US"/>
        </w:rPr>
        <w:t xml:space="preserve">and </w:t>
      </w:r>
      <w:proofErr w:type="spellStart"/>
      <w:r w:rsidR="001D5E3D">
        <w:rPr>
          <w:rFonts w:cstheme="minorHAnsi"/>
          <w:lang w:bidi="en-US"/>
        </w:rPr>
        <w:t>DoN</w:t>
      </w:r>
      <w:proofErr w:type="spellEnd"/>
      <w:r w:rsidR="001D5E3D">
        <w:rPr>
          <w:rFonts w:cstheme="minorHAnsi"/>
          <w:lang w:bidi="en-US"/>
        </w:rPr>
        <w:t xml:space="preserve"> Questions </w:t>
      </w:r>
      <w:r>
        <w:rPr>
          <w:rFonts w:cstheme="minorHAnsi"/>
          <w:lang w:bidi="en-US"/>
        </w:rPr>
        <w:t xml:space="preserve">#2, the Holder explained the methodology used to determine </w:t>
      </w:r>
      <w:proofErr w:type="gramStart"/>
      <w:r>
        <w:rPr>
          <w:rFonts w:cstheme="minorHAnsi"/>
          <w:lang w:bidi="en-US"/>
        </w:rPr>
        <w:t>need</w:t>
      </w:r>
      <w:proofErr w:type="gramEnd"/>
      <w:r>
        <w:rPr>
          <w:rFonts w:cstheme="minorHAnsi"/>
          <w:lang w:bidi="en-US"/>
        </w:rPr>
        <w:t xml:space="preserve"> for 5 additional days of PET-CT services. The Holder is projecting 346 additional scans in 2025.</w:t>
      </w:r>
    </w:p>
    <w:p w14:paraId="31AE672B" w14:textId="5B2C627C" w:rsidR="00C861DA" w:rsidRDefault="00B222BD" w:rsidP="00B222BD">
      <w:pPr>
        <w:pStyle w:val="ListParagraph"/>
        <w:numPr>
          <w:ilvl w:val="1"/>
          <w:numId w:val="29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Explain how </w:t>
      </w:r>
      <w:r w:rsidR="00785A82">
        <w:rPr>
          <w:rFonts w:cstheme="minorHAnsi"/>
          <w:lang w:bidi="en-US"/>
        </w:rPr>
        <w:t xml:space="preserve">the </w:t>
      </w:r>
      <w:r>
        <w:rPr>
          <w:rFonts w:cstheme="minorHAnsi"/>
          <w:lang w:bidi="en-US"/>
        </w:rPr>
        <w:t xml:space="preserve">six areas that the Holder examined when determining need for </w:t>
      </w:r>
      <w:r w:rsidR="0019548D">
        <w:rPr>
          <w:rFonts w:cstheme="minorHAnsi"/>
          <w:lang w:bidi="en-US"/>
        </w:rPr>
        <w:t xml:space="preserve">5 </w:t>
      </w:r>
      <w:r>
        <w:rPr>
          <w:rFonts w:cstheme="minorHAnsi"/>
          <w:lang w:bidi="en-US"/>
        </w:rPr>
        <w:t>additional days</w:t>
      </w:r>
      <w:r w:rsidR="00B37979">
        <w:rPr>
          <w:rFonts w:cstheme="minorHAnsi"/>
          <w:lang w:bidi="en-US"/>
        </w:rPr>
        <w:t xml:space="preserve"> of PET-CT services</w:t>
      </w:r>
      <w:r>
        <w:rPr>
          <w:rFonts w:cstheme="minorHAnsi"/>
          <w:lang w:bidi="en-US"/>
        </w:rPr>
        <w:t xml:space="preserve"> translate into a projection of 346 additional scans in 2025 as compared to 2024?</w:t>
      </w:r>
    </w:p>
    <w:p w14:paraId="4DCFF5A7" w14:textId="64176BFB" w:rsidR="005F3275" w:rsidRPr="00964D11" w:rsidRDefault="005F3275" w:rsidP="00964D11">
      <w:pPr>
        <w:ind w:left="1800"/>
        <w:rPr>
          <w:rFonts w:cstheme="minorHAnsi"/>
          <w:color w:val="0070C0"/>
          <w:lang w:bidi="en-US"/>
        </w:rPr>
      </w:pPr>
      <w:proofErr w:type="gramStart"/>
      <w:r w:rsidRPr="00964D11">
        <w:rPr>
          <w:rFonts w:cstheme="minorHAnsi"/>
          <w:color w:val="0070C0"/>
          <w:lang w:bidi="en-US"/>
        </w:rPr>
        <w:t>Year over year</w:t>
      </w:r>
      <w:proofErr w:type="gramEnd"/>
      <w:r w:rsidRPr="00964D11">
        <w:rPr>
          <w:rFonts w:cstheme="minorHAnsi"/>
          <w:color w:val="0070C0"/>
          <w:lang w:bidi="en-US"/>
        </w:rPr>
        <w:t xml:space="preserve"> growth per specialty is as follows:</w:t>
      </w:r>
    </w:p>
    <w:tbl>
      <w:tblPr>
        <w:tblStyle w:val="TableGrid"/>
        <w:tblW w:w="0" w:type="auto"/>
        <w:tblInd w:w="2047" w:type="dxa"/>
        <w:tblLook w:val="04A0" w:firstRow="1" w:lastRow="0" w:firstColumn="1" w:lastColumn="0" w:noHBand="0" w:noVBand="1"/>
      </w:tblPr>
      <w:tblGrid>
        <w:gridCol w:w="1780"/>
        <w:gridCol w:w="1478"/>
      </w:tblGrid>
      <w:tr w:rsidR="00964D11" w:rsidRPr="00964D11" w14:paraId="41C37374" w14:textId="77777777" w:rsidTr="006E6BA0">
        <w:trPr>
          <w:cantSplit/>
          <w:trHeight w:val="580"/>
          <w:tblHeader/>
        </w:trPr>
        <w:tc>
          <w:tcPr>
            <w:tcW w:w="1780" w:type="dxa"/>
            <w:noWrap/>
            <w:hideMark/>
          </w:tcPr>
          <w:p w14:paraId="694A2711" w14:textId="77777777" w:rsidR="005F3275" w:rsidRPr="00964D11" w:rsidRDefault="005F327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Specialty</w:t>
            </w:r>
          </w:p>
        </w:tc>
        <w:tc>
          <w:tcPr>
            <w:tcW w:w="1478" w:type="dxa"/>
            <w:hideMark/>
          </w:tcPr>
          <w:p w14:paraId="5CC9B8CD" w14:textId="77777777" w:rsidR="005F3275" w:rsidRPr="00964D11" w:rsidRDefault="005F327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24 to '25 growth</w:t>
            </w:r>
          </w:p>
        </w:tc>
      </w:tr>
      <w:tr w:rsidR="00964D11" w:rsidRPr="00964D11" w14:paraId="3C5B07E7" w14:textId="77777777" w:rsidTr="006E6BA0">
        <w:trPr>
          <w:cantSplit/>
          <w:trHeight w:val="290"/>
        </w:trPr>
        <w:tc>
          <w:tcPr>
            <w:tcW w:w="1780" w:type="dxa"/>
            <w:noWrap/>
            <w:hideMark/>
          </w:tcPr>
          <w:p w14:paraId="023100F6" w14:textId="77777777" w:rsidR="005F3275" w:rsidRPr="00964D11" w:rsidRDefault="005F327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Oncology</w:t>
            </w:r>
          </w:p>
        </w:tc>
        <w:tc>
          <w:tcPr>
            <w:tcW w:w="1478" w:type="dxa"/>
            <w:noWrap/>
            <w:hideMark/>
          </w:tcPr>
          <w:p w14:paraId="2CFE8C59" w14:textId="77777777" w:rsidR="005F3275" w:rsidRPr="00964D11" w:rsidRDefault="005F3275" w:rsidP="005F327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84</w:t>
            </w:r>
          </w:p>
        </w:tc>
      </w:tr>
      <w:tr w:rsidR="00964D11" w:rsidRPr="00964D11" w14:paraId="402DF956" w14:textId="77777777" w:rsidTr="006E6BA0">
        <w:trPr>
          <w:cantSplit/>
          <w:trHeight w:val="290"/>
        </w:trPr>
        <w:tc>
          <w:tcPr>
            <w:tcW w:w="1780" w:type="dxa"/>
            <w:noWrap/>
            <w:hideMark/>
          </w:tcPr>
          <w:p w14:paraId="0B4B0409" w14:textId="77777777" w:rsidR="005F3275" w:rsidRPr="00964D11" w:rsidRDefault="005F327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Urology</w:t>
            </w:r>
          </w:p>
        </w:tc>
        <w:tc>
          <w:tcPr>
            <w:tcW w:w="1478" w:type="dxa"/>
            <w:noWrap/>
            <w:hideMark/>
          </w:tcPr>
          <w:p w14:paraId="57E67BF3" w14:textId="77777777" w:rsidR="005F3275" w:rsidRPr="00964D11" w:rsidRDefault="005F3275" w:rsidP="005F327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147</w:t>
            </w:r>
          </w:p>
        </w:tc>
      </w:tr>
      <w:tr w:rsidR="00964D11" w:rsidRPr="00964D11" w14:paraId="587A6C04" w14:textId="77777777" w:rsidTr="006E6BA0">
        <w:trPr>
          <w:cantSplit/>
          <w:trHeight w:val="290"/>
        </w:trPr>
        <w:tc>
          <w:tcPr>
            <w:tcW w:w="1780" w:type="dxa"/>
            <w:noWrap/>
            <w:hideMark/>
          </w:tcPr>
          <w:p w14:paraId="3EC32CD6" w14:textId="77777777" w:rsidR="005F3275" w:rsidRPr="00964D11" w:rsidRDefault="005F327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Endocrinology</w:t>
            </w:r>
          </w:p>
        </w:tc>
        <w:tc>
          <w:tcPr>
            <w:tcW w:w="1478" w:type="dxa"/>
            <w:noWrap/>
            <w:hideMark/>
          </w:tcPr>
          <w:p w14:paraId="609BEA5A" w14:textId="77777777" w:rsidR="005F3275" w:rsidRPr="00964D11" w:rsidRDefault="005F3275" w:rsidP="005F327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3</w:t>
            </w:r>
          </w:p>
        </w:tc>
      </w:tr>
      <w:tr w:rsidR="00964D11" w:rsidRPr="00964D11" w14:paraId="64287311" w14:textId="77777777" w:rsidTr="006E6BA0">
        <w:trPr>
          <w:cantSplit/>
          <w:trHeight w:val="290"/>
        </w:trPr>
        <w:tc>
          <w:tcPr>
            <w:tcW w:w="1780" w:type="dxa"/>
            <w:noWrap/>
            <w:hideMark/>
          </w:tcPr>
          <w:p w14:paraId="6B8EAFD0" w14:textId="77777777" w:rsidR="005F3275" w:rsidRPr="00964D11" w:rsidRDefault="005F327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Neurology</w:t>
            </w:r>
          </w:p>
        </w:tc>
        <w:tc>
          <w:tcPr>
            <w:tcW w:w="1478" w:type="dxa"/>
            <w:noWrap/>
            <w:hideMark/>
          </w:tcPr>
          <w:p w14:paraId="5BFBC103" w14:textId="77777777" w:rsidR="005F3275" w:rsidRPr="00964D11" w:rsidRDefault="005F3275" w:rsidP="005F327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12</w:t>
            </w:r>
          </w:p>
        </w:tc>
      </w:tr>
      <w:tr w:rsidR="00964D11" w:rsidRPr="00964D11" w14:paraId="6741760F" w14:textId="77777777" w:rsidTr="006E6BA0">
        <w:trPr>
          <w:cantSplit/>
          <w:trHeight w:val="290"/>
        </w:trPr>
        <w:tc>
          <w:tcPr>
            <w:tcW w:w="1780" w:type="dxa"/>
            <w:noWrap/>
            <w:hideMark/>
          </w:tcPr>
          <w:p w14:paraId="7ED3515A" w14:textId="77777777" w:rsidR="005F3275" w:rsidRPr="00964D11" w:rsidRDefault="005F327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Cardiology</w:t>
            </w:r>
          </w:p>
        </w:tc>
        <w:tc>
          <w:tcPr>
            <w:tcW w:w="1478" w:type="dxa"/>
            <w:noWrap/>
            <w:hideMark/>
          </w:tcPr>
          <w:p w14:paraId="0BE4E568" w14:textId="77777777" w:rsidR="005F3275" w:rsidRPr="00964D11" w:rsidRDefault="005F3275" w:rsidP="005F3275">
            <w:pPr>
              <w:rPr>
                <w:rFonts w:cstheme="minorHAnsi"/>
                <w:color w:val="0070C0"/>
                <w:lang w:bidi="en-US"/>
              </w:rPr>
            </w:pPr>
            <w:r w:rsidRPr="00964D11">
              <w:rPr>
                <w:rFonts w:cstheme="minorHAnsi"/>
                <w:color w:val="0070C0"/>
                <w:lang w:bidi="en-US"/>
              </w:rPr>
              <w:t>100</w:t>
            </w:r>
          </w:p>
        </w:tc>
      </w:tr>
    </w:tbl>
    <w:p w14:paraId="33DB82E6" w14:textId="77777777" w:rsidR="005F3275" w:rsidRDefault="005F3275" w:rsidP="005F3275">
      <w:pPr>
        <w:rPr>
          <w:rFonts w:cstheme="minorHAnsi"/>
          <w:lang w:bidi="en-US"/>
        </w:rPr>
      </w:pPr>
    </w:p>
    <w:p w14:paraId="4B85ADFE" w14:textId="77F95BE1" w:rsidR="005F3275" w:rsidRPr="005F3275" w:rsidRDefault="005F3275" w:rsidP="005F3275">
      <w:pPr>
        <w:rPr>
          <w:rFonts w:cstheme="minorHAnsi"/>
          <w:lang w:bidi="en-US"/>
        </w:rPr>
      </w:pPr>
      <w:r>
        <w:rPr>
          <w:rFonts w:cstheme="minorHAnsi"/>
          <w:lang w:bidi="en-US"/>
        </w:rPr>
        <w:t>Year over year increases in tumors registered by a cancer program affiliated with a Shield</w:t>
      </w:r>
      <w:r w:rsidR="00A01CEE">
        <w:rPr>
          <w:rFonts w:cstheme="minorHAnsi"/>
          <w:lang w:bidi="en-US"/>
        </w:rPr>
        <w:t>s</w:t>
      </w:r>
      <w:r>
        <w:rPr>
          <w:rFonts w:cstheme="minorHAnsi"/>
          <w:lang w:bidi="en-US"/>
        </w:rPr>
        <w:t xml:space="preserve"> PET/CT progr</w:t>
      </w:r>
      <w:r w:rsidR="00A01CEE">
        <w:rPr>
          <w:rFonts w:cstheme="minorHAnsi"/>
          <w:lang w:bidi="en-US"/>
        </w:rPr>
        <w:t xml:space="preserve">am </w:t>
      </w:r>
      <w:r>
        <w:rPr>
          <w:rFonts w:cstheme="minorHAnsi"/>
          <w:lang w:bidi="en-US"/>
        </w:rPr>
        <w:t xml:space="preserve">tend to increase from five to seven percent per year. </w:t>
      </w:r>
      <w:r w:rsidR="00A01CEE">
        <w:rPr>
          <w:rFonts w:cstheme="minorHAnsi"/>
          <w:lang w:bidi="en-US"/>
        </w:rPr>
        <w:t xml:space="preserve">This data is requested </w:t>
      </w:r>
      <w:proofErr w:type="gramStart"/>
      <w:r w:rsidR="00A01CEE">
        <w:rPr>
          <w:rFonts w:cstheme="minorHAnsi"/>
          <w:lang w:bidi="en-US"/>
        </w:rPr>
        <w:t>from</w:t>
      </w:r>
      <w:proofErr w:type="gramEnd"/>
      <w:r w:rsidR="00A01CEE">
        <w:rPr>
          <w:rFonts w:cstheme="minorHAnsi"/>
          <w:lang w:bidi="en-US"/>
        </w:rPr>
        <w:t xml:space="preserve"> PET/CT partners periodically to plan program needs in staffing, costs, and access, as previously described. </w:t>
      </w:r>
      <w:proofErr w:type="gramStart"/>
      <w:r>
        <w:rPr>
          <w:rFonts w:cstheme="minorHAnsi"/>
          <w:lang w:bidi="en-US"/>
        </w:rPr>
        <w:t>Advisory</w:t>
      </w:r>
      <w:proofErr w:type="gramEnd"/>
      <w:r>
        <w:rPr>
          <w:rFonts w:cstheme="minorHAnsi"/>
          <w:lang w:bidi="en-US"/>
        </w:rPr>
        <w:t xml:space="preserve"> board </w:t>
      </w:r>
      <w:r w:rsidR="00D55F98">
        <w:rPr>
          <w:rFonts w:cstheme="minorHAnsi"/>
          <w:lang w:bidi="en-US"/>
        </w:rPr>
        <w:t>suggests</w:t>
      </w:r>
      <w:r>
        <w:rPr>
          <w:rFonts w:cstheme="minorHAnsi"/>
          <w:lang w:bidi="en-US"/>
        </w:rPr>
        <w:t xml:space="preserve"> PET</w:t>
      </w:r>
      <w:r w:rsidR="00A01CEE">
        <w:rPr>
          <w:rFonts w:cstheme="minorHAnsi"/>
          <w:lang w:bidi="en-US"/>
        </w:rPr>
        <w:t>/</w:t>
      </w:r>
      <w:r>
        <w:rPr>
          <w:rFonts w:cstheme="minorHAnsi"/>
          <w:lang w:bidi="en-US"/>
        </w:rPr>
        <w:t>CT utilization increases nationally by nine percent.</w:t>
      </w:r>
      <w:r w:rsidR="00C97981" w:rsidRPr="00C97981">
        <w:rPr>
          <w:rFonts w:cstheme="minorHAnsi"/>
          <w:lang w:bidi="en-US"/>
        </w:rPr>
        <w:t xml:space="preserve"> </w:t>
      </w:r>
      <w:r w:rsidR="00C97981">
        <w:rPr>
          <w:rFonts w:cstheme="minorHAnsi"/>
          <w:lang w:bidi="en-US"/>
        </w:rPr>
        <w:t xml:space="preserve">The projections show an initial year of cardiac perfusion will 100 patients.  Neurologic exams are conservatively projected as the therapy industry is </w:t>
      </w:r>
      <w:r w:rsidR="005F58B7">
        <w:rPr>
          <w:rFonts w:cstheme="minorHAnsi"/>
          <w:lang w:bidi="en-US"/>
        </w:rPr>
        <w:t>evolving</w:t>
      </w:r>
      <w:r w:rsidR="00C97981">
        <w:rPr>
          <w:rFonts w:cstheme="minorHAnsi"/>
          <w:lang w:bidi="en-US"/>
        </w:rPr>
        <w:t xml:space="preserve"> after one year of access.</w:t>
      </w:r>
    </w:p>
    <w:p w14:paraId="739465DB" w14:textId="77777777" w:rsidR="007F0EB0" w:rsidRDefault="007F0EB0" w:rsidP="007F0EB0">
      <w:pPr>
        <w:pStyle w:val="ListParagraph"/>
        <w:ind w:left="1080"/>
        <w:rPr>
          <w:rFonts w:cstheme="minorHAnsi"/>
          <w:lang w:bidi="en-US"/>
        </w:rPr>
      </w:pPr>
    </w:p>
    <w:p w14:paraId="008C7F96" w14:textId="32BCA9F7" w:rsidR="007F0EB0" w:rsidRDefault="007F0EB0" w:rsidP="007F0EB0">
      <w:pPr>
        <w:pStyle w:val="ListParagraph"/>
        <w:numPr>
          <w:ilvl w:val="0"/>
          <w:numId w:val="29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Responses to </w:t>
      </w:r>
      <w:proofErr w:type="spellStart"/>
      <w:r>
        <w:rPr>
          <w:rFonts w:cstheme="minorHAnsi"/>
          <w:lang w:bidi="en-US"/>
        </w:rPr>
        <w:t>DoN</w:t>
      </w:r>
      <w:proofErr w:type="spellEnd"/>
      <w:r>
        <w:rPr>
          <w:rFonts w:cstheme="minorHAnsi"/>
          <w:lang w:bidi="en-US"/>
        </w:rPr>
        <w:t xml:space="preserve"> Questions # 1 states that the Holder’s experience in the market</w:t>
      </w:r>
      <w:r w:rsidRPr="007F0EB0">
        <w:rPr>
          <w:rFonts w:cstheme="minorHAnsi"/>
          <w:lang w:bidi="en-US"/>
        </w:rPr>
        <w:t>,</w:t>
      </w:r>
      <w:r w:rsidR="002B3185">
        <w:rPr>
          <w:rFonts w:cstheme="minorHAnsi"/>
          <w:lang w:bidi="en-US"/>
        </w:rPr>
        <w:t xml:space="preserve"> suggests that</w:t>
      </w:r>
      <w:r w:rsidRPr="007F0EB0">
        <w:rPr>
          <w:rFonts w:cstheme="minorHAnsi"/>
          <w:lang w:bidi="en-US"/>
        </w:rPr>
        <w:t xml:space="preserve"> patients in the hospital setting are waiting up to 30 days for a PET-CT scan</w:t>
      </w:r>
      <w:r>
        <w:rPr>
          <w:rFonts w:cstheme="minorHAnsi"/>
          <w:lang w:bidi="en-US"/>
        </w:rPr>
        <w:t xml:space="preserve"> (pg.2)</w:t>
      </w:r>
      <w:r w:rsidRPr="007F0EB0">
        <w:rPr>
          <w:rFonts w:cstheme="minorHAnsi"/>
          <w:lang w:bidi="en-US"/>
        </w:rPr>
        <w:t>.</w:t>
      </w:r>
    </w:p>
    <w:p w14:paraId="4C9A474C" w14:textId="77777777" w:rsidR="00CF1264" w:rsidRDefault="007F0EB0" w:rsidP="00403405">
      <w:pPr>
        <w:pStyle w:val="ListParagraph"/>
        <w:numPr>
          <w:ilvl w:val="1"/>
          <w:numId w:val="29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Please explain </w:t>
      </w:r>
      <w:r w:rsidR="00DA1C7C">
        <w:rPr>
          <w:rFonts w:cstheme="minorHAnsi"/>
          <w:lang w:bidi="en-US"/>
        </w:rPr>
        <w:t>what is meant by</w:t>
      </w:r>
      <w:r w:rsidR="002B3185">
        <w:rPr>
          <w:rFonts w:cstheme="minorHAnsi"/>
          <w:lang w:bidi="en-US"/>
        </w:rPr>
        <w:t xml:space="preserve"> the </w:t>
      </w:r>
      <w:proofErr w:type="gramStart"/>
      <w:r w:rsidR="002B3185">
        <w:rPr>
          <w:rFonts w:cstheme="minorHAnsi"/>
          <w:lang w:bidi="en-US"/>
        </w:rPr>
        <w:t xml:space="preserve">Holder’s </w:t>
      </w:r>
      <w:r w:rsidR="00DA1C7C">
        <w:rPr>
          <w:rFonts w:cstheme="minorHAnsi"/>
          <w:lang w:bidi="en-US"/>
        </w:rPr>
        <w:t xml:space="preserve"> </w:t>
      </w:r>
      <w:r w:rsidR="002B3185">
        <w:rPr>
          <w:rFonts w:cstheme="minorHAnsi"/>
          <w:lang w:bidi="en-US"/>
        </w:rPr>
        <w:t>“</w:t>
      </w:r>
      <w:proofErr w:type="gramEnd"/>
      <w:r w:rsidR="00DA1C7C">
        <w:rPr>
          <w:rFonts w:cstheme="minorHAnsi"/>
          <w:lang w:bidi="en-US"/>
        </w:rPr>
        <w:t xml:space="preserve">experience </w:t>
      </w:r>
      <w:r w:rsidR="0021599E">
        <w:rPr>
          <w:rFonts w:cstheme="minorHAnsi"/>
          <w:lang w:bidi="en-US"/>
        </w:rPr>
        <w:t xml:space="preserve">in the market” and how </w:t>
      </w:r>
      <w:r w:rsidR="000C1743">
        <w:rPr>
          <w:rFonts w:cstheme="minorHAnsi"/>
          <w:lang w:bidi="en-US"/>
        </w:rPr>
        <w:t>th</w:t>
      </w:r>
      <w:r w:rsidR="002B3185">
        <w:rPr>
          <w:rFonts w:cstheme="minorHAnsi"/>
          <w:lang w:bidi="en-US"/>
        </w:rPr>
        <w:t>at</w:t>
      </w:r>
      <w:r w:rsidR="000C1743">
        <w:rPr>
          <w:rFonts w:cstheme="minorHAnsi"/>
          <w:lang w:bidi="en-US"/>
        </w:rPr>
        <w:t xml:space="preserve"> experience</w:t>
      </w:r>
      <w:r w:rsidR="0021599E">
        <w:rPr>
          <w:rFonts w:cstheme="minorHAnsi"/>
          <w:lang w:bidi="en-US"/>
        </w:rPr>
        <w:t xml:space="preserve"> provides an understanding of hospital wait times</w:t>
      </w:r>
      <w:r w:rsidR="000C1743">
        <w:rPr>
          <w:rFonts w:cstheme="minorHAnsi"/>
          <w:lang w:bidi="en-US"/>
        </w:rPr>
        <w:t xml:space="preserve"> for PET-CT services. </w:t>
      </w:r>
      <w:r w:rsidR="0021599E">
        <w:rPr>
          <w:rFonts w:cstheme="minorHAnsi"/>
          <w:lang w:bidi="en-US"/>
        </w:rPr>
        <w:t xml:space="preserve"> </w:t>
      </w:r>
    </w:p>
    <w:p w14:paraId="07DF19B1" w14:textId="0CFD8F90" w:rsidR="009213E1" w:rsidRPr="00964D11" w:rsidRDefault="009213E1" w:rsidP="009213E1">
      <w:pPr>
        <w:ind w:left="1800"/>
        <w:rPr>
          <w:rFonts w:cstheme="minorHAnsi"/>
          <w:color w:val="0070C0"/>
          <w:lang w:bidi="en-US"/>
        </w:rPr>
      </w:pPr>
      <w:r>
        <w:rPr>
          <w:rFonts w:cstheme="minorHAnsi"/>
          <w:color w:val="0070C0"/>
          <w:lang w:bidi="en-US"/>
        </w:rPr>
        <w:t>The holder’s</w:t>
      </w:r>
      <w:r w:rsidR="00CF1264" w:rsidRPr="00964D11">
        <w:rPr>
          <w:rFonts w:cstheme="minorHAnsi"/>
          <w:color w:val="0070C0"/>
          <w:lang w:bidi="en-US"/>
        </w:rPr>
        <w:t xml:space="preserve"> experience in the market</w:t>
      </w:r>
      <w:r>
        <w:rPr>
          <w:rFonts w:cstheme="minorHAnsi"/>
          <w:color w:val="0070C0"/>
          <w:lang w:bidi="en-US"/>
        </w:rPr>
        <w:t xml:space="preserve"> refers to the Applicant’s more than 20 </w:t>
      </w:r>
      <w:proofErr w:type="gramStart"/>
      <w:r>
        <w:rPr>
          <w:rFonts w:cstheme="minorHAnsi"/>
          <w:color w:val="0070C0"/>
          <w:lang w:bidi="en-US"/>
        </w:rPr>
        <w:t>years</w:t>
      </w:r>
      <w:proofErr w:type="gramEnd"/>
      <w:r>
        <w:rPr>
          <w:rFonts w:cstheme="minorHAnsi"/>
          <w:color w:val="0070C0"/>
          <w:lang w:bidi="en-US"/>
        </w:rPr>
        <w:t xml:space="preserve"> providing PETCT via its joint venture partnership model in the Massachusetts and New England markets</w:t>
      </w:r>
      <w:r w:rsidR="00467279">
        <w:rPr>
          <w:rFonts w:cstheme="minorHAnsi"/>
          <w:color w:val="0070C0"/>
          <w:lang w:bidi="en-US"/>
        </w:rPr>
        <w:t>, inclusive of proprietary data</w:t>
      </w:r>
      <w:r>
        <w:rPr>
          <w:rFonts w:cstheme="minorHAnsi"/>
          <w:color w:val="0070C0"/>
          <w:lang w:bidi="en-US"/>
        </w:rPr>
        <w:t xml:space="preserve">. </w:t>
      </w:r>
    </w:p>
    <w:p w14:paraId="076AC128" w14:textId="1A3C8B54" w:rsidR="0005564A" w:rsidRPr="00964D11" w:rsidRDefault="0005564A" w:rsidP="00964D11">
      <w:pPr>
        <w:ind w:left="1800"/>
        <w:rPr>
          <w:rFonts w:cstheme="minorHAnsi"/>
          <w:color w:val="0070C0"/>
          <w:lang w:bidi="en-US"/>
        </w:rPr>
      </w:pPr>
    </w:p>
    <w:sectPr w:rsidR="0005564A" w:rsidRPr="00964D11" w:rsidSect="00C04577">
      <w:headerReference w:type="even" r:id="rId9"/>
      <w:headerReference w:type="default" r:id="rId10"/>
      <w:foot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23311" w14:textId="77777777" w:rsidR="00E26D70" w:rsidRDefault="00E26D70" w:rsidP="00E45D1C">
      <w:pPr>
        <w:spacing w:after="0" w:line="240" w:lineRule="auto"/>
      </w:pPr>
      <w:r>
        <w:separator/>
      </w:r>
    </w:p>
  </w:endnote>
  <w:endnote w:type="continuationSeparator" w:id="0">
    <w:p w14:paraId="717ED4E1" w14:textId="77777777" w:rsidR="00E26D70" w:rsidRDefault="00E26D70" w:rsidP="00E45D1C">
      <w:pPr>
        <w:spacing w:after="0" w:line="240" w:lineRule="auto"/>
      </w:pPr>
      <w:r>
        <w:continuationSeparator/>
      </w:r>
    </w:p>
  </w:endnote>
  <w:endnote w:type="continuationNotice" w:id="1">
    <w:p w14:paraId="5277E03C" w14:textId="77777777" w:rsidR="00E26D70" w:rsidRDefault="00E26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346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1571C" w14:textId="7E3E47DF" w:rsidR="005E5080" w:rsidRDefault="005E50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7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584798" w14:textId="77777777" w:rsidR="005E5080" w:rsidRDefault="005E5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F7AFB" w14:textId="77777777" w:rsidR="00E26D70" w:rsidRDefault="00E26D70" w:rsidP="00E45D1C">
      <w:pPr>
        <w:spacing w:after="0" w:line="240" w:lineRule="auto"/>
      </w:pPr>
      <w:r>
        <w:separator/>
      </w:r>
    </w:p>
  </w:footnote>
  <w:footnote w:type="continuationSeparator" w:id="0">
    <w:p w14:paraId="7229449C" w14:textId="77777777" w:rsidR="00E26D70" w:rsidRDefault="00E26D70" w:rsidP="00E45D1C">
      <w:pPr>
        <w:spacing w:after="0" w:line="240" w:lineRule="auto"/>
      </w:pPr>
      <w:r>
        <w:continuationSeparator/>
      </w:r>
    </w:p>
  </w:footnote>
  <w:footnote w:type="continuationNotice" w:id="1">
    <w:p w14:paraId="2FFE0CA1" w14:textId="77777777" w:rsidR="00E26D70" w:rsidRDefault="00E26D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4985" w14:textId="0C4CEAE6" w:rsidR="00101DAD" w:rsidRDefault="00000000">
    <w:pPr>
      <w:pStyle w:val="Header"/>
    </w:pPr>
    <w:r>
      <w:rPr>
        <w:noProof/>
      </w:rPr>
      <w:pict w14:anchorId="4C7929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CA975" w14:textId="65C4012E" w:rsidR="00ED1D5D" w:rsidRDefault="00856033" w:rsidP="00B371F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Shields </w:t>
    </w:r>
    <w:r w:rsidR="009F057B">
      <w:rPr>
        <w:b/>
        <w:bCs/>
        <w:sz w:val="28"/>
        <w:szCs w:val="28"/>
      </w:rPr>
      <w:t>Imaging of Eastern Massachusetts, LLC</w:t>
    </w:r>
    <w:r w:rsidR="006C427A">
      <w:rPr>
        <w:b/>
        <w:bCs/>
        <w:sz w:val="28"/>
        <w:szCs w:val="28"/>
      </w:rPr>
      <w:t xml:space="preserve"> (SIEM)</w:t>
    </w:r>
  </w:p>
  <w:p w14:paraId="49E1965E" w14:textId="7A41AC94" w:rsidR="00856033" w:rsidRPr="00092585" w:rsidRDefault="00856033" w:rsidP="00B371F2">
    <w:pPr>
      <w:pStyle w:val="Header"/>
      <w:jc w:val="center"/>
      <w:rPr>
        <w:b/>
        <w:bCs/>
        <w:sz w:val="28"/>
        <w:szCs w:val="28"/>
      </w:rPr>
    </w:pPr>
    <w:proofErr w:type="spellStart"/>
    <w:r>
      <w:rPr>
        <w:b/>
        <w:bCs/>
        <w:sz w:val="28"/>
        <w:szCs w:val="28"/>
      </w:rPr>
      <w:t>DoN</w:t>
    </w:r>
    <w:proofErr w:type="spellEnd"/>
    <w:r>
      <w:rPr>
        <w:b/>
        <w:bCs/>
        <w:sz w:val="28"/>
        <w:szCs w:val="28"/>
      </w:rPr>
      <w:t xml:space="preserve"> # </w:t>
    </w:r>
    <w:r w:rsidR="009F057B">
      <w:rPr>
        <w:b/>
        <w:bCs/>
        <w:sz w:val="28"/>
        <w:szCs w:val="28"/>
      </w:rPr>
      <w:t>25020312-AM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56C8"/>
    <w:multiLevelType w:val="hybridMultilevel"/>
    <w:tmpl w:val="C8FC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24AF"/>
    <w:multiLevelType w:val="hybridMultilevel"/>
    <w:tmpl w:val="0B587142"/>
    <w:lvl w:ilvl="0" w:tplc="4B964E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20A4"/>
    <w:multiLevelType w:val="hybridMultilevel"/>
    <w:tmpl w:val="270C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0564"/>
    <w:multiLevelType w:val="hybridMultilevel"/>
    <w:tmpl w:val="9454D19E"/>
    <w:lvl w:ilvl="0" w:tplc="4CA8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28E2"/>
    <w:multiLevelType w:val="hybridMultilevel"/>
    <w:tmpl w:val="AC9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57954"/>
    <w:multiLevelType w:val="hybridMultilevel"/>
    <w:tmpl w:val="42F07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16C56"/>
    <w:multiLevelType w:val="hybridMultilevel"/>
    <w:tmpl w:val="AC9EB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60CC8"/>
    <w:multiLevelType w:val="hybridMultilevel"/>
    <w:tmpl w:val="42F07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80CD8"/>
    <w:multiLevelType w:val="hybridMultilevel"/>
    <w:tmpl w:val="90A44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E1607"/>
    <w:multiLevelType w:val="hybridMultilevel"/>
    <w:tmpl w:val="E8EC4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A3199"/>
    <w:multiLevelType w:val="hybridMultilevel"/>
    <w:tmpl w:val="2A02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E305D"/>
    <w:multiLevelType w:val="hybridMultilevel"/>
    <w:tmpl w:val="5F02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C40B6"/>
    <w:multiLevelType w:val="hybridMultilevel"/>
    <w:tmpl w:val="0E8A0CF6"/>
    <w:lvl w:ilvl="0" w:tplc="4CA8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76FC6"/>
    <w:multiLevelType w:val="hybridMultilevel"/>
    <w:tmpl w:val="A406F108"/>
    <w:lvl w:ilvl="0" w:tplc="952C2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60517"/>
    <w:multiLevelType w:val="hybridMultilevel"/>
    <w:tmpl w:val="DE54E63E"/>
    <w:lvl w:ilvl="0" w:tplc="F3D86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54924"/>
    <w:multiLevelType w:val="hybridMultilevel"/>
    <w:tmpl w:val="5BDC8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3076BA"/>
    <w:multiLevelType w:val="multilevel"/>
    <w:tmpl w:val="3C98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9B384F"/>
    <w:multiLevelType w:val="hybridMultilevel"/>
    <w:tmpl w:val="A98C0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935E7"/>
    <w:multiLevelType w:val="hybridMultilevel"/>
    <w:tmpl w:val="7C16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8658D"/>
    <w:multiLevelType w:val="hybridMultilevel"/>
    <w:tmpl w:val="F55ED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C4313"/>
    <w:multiLevelType w:val="hybridMultilevel"/>
    <w:tmpl w:val="E49E3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8E752A"/>
    <w:multiLevelType w:val="hybridMultilevel"/>
    <w:tmpl w:val="ED42AE84"/>
    <w:lvl w:ilvl="0" w:tplc="7C402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A348E"/>
    <w:multiLevelType w:val="hybridMultilevel"/>
    <w:tmpl w:val="496C4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B2B48"/>
    <w:multiLevelType w:val="hybridMultilevel"/>
    <w:tmpl w:val="A406F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51F02"/>
    <w:multiLevelType w:val="hybridMultilevel"/>
    <w:tmpl w:val="7C16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11E21"/>
    <w:multiLevelType w:val="hybridMultilevel"/>
    <w:tmpl w:val="8AEAC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E2FD2"/>
    <w:multiLevelType w:val="hybridMultilevel"/>
    <w:tmpl w:val="9186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3572353">
    <w:abstractNumId w:val="22"/>
  </w:num>
  <w:num w:numId="2" w16cid:durableId="900402913">
    <w:abstractNumId w:val="6"/>
  </w:num>
  <w:num w:numId="3" w16cid:durableId="1239511635">
    <w:abstractNumId w:val="21"/>
  </w:num>
  <w:num w:numId="4" w16cid:durableId="1892225470">
    <w:abstractNumId w:val="27"/>
  </w:num>
  <w:num w:numId="5" w16cid:durableId="1354260624">
    <w:abstractNumId w:val="23"/>
  </w:num>
  <w:num w:numId="6" w16cid:durableId="1954288138">
    <w:abstractNumId w:val="25"/>
  </w:num>
  <w:num w:numId="7" w16cid:durableId="13072012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8856948">
    <w:abstractNumId w:val="19"/>
  </w:num>
  <w:num w:numId="9" w16cid:durableId="1502575327">
    <w:abstractNumId w:val="2"/>
  </w:num>
  <w:num w:numId="10" w16cid:durableId="527451503">
    <w:abstractNumId w:val="11"/>
  </w:num>
  <w:num w:numId="11" w16cid:durableId="1059860346">
    <w:abstractNumId w:val="1"/>
  </w:num>
  <w:num w:numId="12" w16cid:durableId="1977297776">
    <w:abstractNumId w:val="20"/>
  </w:num>
  <w:num w:numId="13" w16cid:durableId="882061732">
    <w:abstractNumId w:val="13"/>
  </w:num>
  <w:num w:numId="14" w16cid:durableId="1146167684">
    <w:abstractNumId w:val="17"/>
  </w:num>
  <w:num w:numId="15" w16cid:durableId="212082286">
    <w:abstractNumId w:val="3"/>
  </w:num>
  <w:num w:numId="16" w16cid:durableId="113334203">
    <w:abstractNumId w:val="14"/>
  </w:num>
  <w:num w:numId="17" w16cid:durableId="1697805816">
    <w:abstractNumId w:val="9"/>
  </w:num>
  <w:num w:numId="18" w16cid:durableId="215240999">
    <w:abstractNumId w:val="18"/>
  </w:num>
  <w:num w:numId="19" w16cid:durableId="103422199">
    <w:abstractNumId w:val="24"/>
  </w:num>
  <w:num w:numId="20" w16cid:durableId="738791813">
    <w:abstractNumId w:val="12"/>
  </w:num>
  <w:num w:numId="21" w16cid:durableId="471796259">
    <w:abstractNumId w:val="5"/>
  </w:num>
  <w:num w:numId="22" w16cid:durableId="1859737397">
    <w:abstractNumId w:val="8"/>
  </w:num>
  <w:num w:numId="23" w16cid:durableId="328874858">
    <w:abstractNumId w:val="5"/>
  </w:num>
  <w:num w:numId="24" w16cid:durableId="1875581498">
    <w:abstractNumId w:val="10"/>
  </w:num>
  <w:num w:numId="25" w16cid:durableId="251207523">
    <w:abstractNumId w:val="4"/>
  </w:num>
  <w:num w:numId="26" w16cid:durableId="678585676">
    <w:abstractNumId w:val="7"/>
  </w:num>
  <w:num w:numId="27" w16cid:durableId="2068646624">
    <w:abstractNumId w:val="0"/>
  </w:num>
  <w:num w:numId="28" w16cid:durableId="1155728629">
    <w:abstractNumId w:val="16"/>
  </w:num>
  <w:num w:numId="29" w16cid:durableId="20420467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7D"/>
    <w:rsid w:val="00005616"/>
    <w:rsid w:val="00006750"/>
    <w:rsid w:val="000115B7"/>
    <w:rsid w:val="00011E91"/>
    <w:rsid w:val="00015AB6"/>
    <w:rsid w:val="0001602B"/>
    <w:rsid w:val="0001718E"/>
    <w:rsid w:val="000201A4"/>
    <w:rsid w:val="000204BD"/>
    <w:rsid w:val="00020571"/>
    <w:rsid w:val="0002247D"/>
    <w:rsid w:val="00023287"/>
    <w:rsid w:val="000232C8"/>
    <w:rsid w:val="000246A5"/>
    <w:rsid w:val="00025270"/>
    <w:rsid w:val="00026890"/>
    <w:rsid w:val="000305E0"/>
    <w:rsid w:val="00030EF5"/>
    <w:rsid w:val="00033CB3"/>
    <w:rsid w:val="00037DBC"/>
    <w:rsid w:val="00042007"/>
    <w:rsid w:val="0004417D"/>
    <w:rsid w:val="000441F8"/>
    <w:rsid w:val="00047E6B"/>
    <w:rsid w:val="0005118D"/>
    <w:rsid w:val="0005564A"/>
    <w:rsid w:val="00055D9B"/>
    <w:rsid w:val="00057914"/>
    <w:rsid w:val="00057BAA"/>
    <w:rsid w:val="00062F8C"/>
    <w:rsid w:val="00062FC0"/>
    <w:rsid w:val="000631D6"/>
    <w:rsid w:val="00064CD2"/>
    <w:rsid w:val="00065A3D"/>
    <w:rsid w:val="00071FC9"/>
    <w:rsid w:val="00074284"/>
    <w:rsid w:val="000747D7"/>
    <w:rsid w:val="000750FC"/>
    <w:rsid w:val="00075B8D"/>
    <w:rsid w:val="00077704"/>
    <w:rsid w:val="00080B4C"/>
    <w:rsid w:val="00080C65"/>
    <w:rsid w:val="000814DA"/>
    <w:rsid w:val="000819BE"/>
    <w:rsid w:val="00083BD7"/>
    <w:rsid w:val="00084492"/>
    <w:rsid w:val="0008545A"/>
    <w:rsid w:val="00086FF9"/>
    <w:rsid w:val="00090684"/>
    <w:rsid w:val="00092585"/>
    <w:rsid w:val="00092E82"/>
    <w:rsid w:val="00093B92"/>
    <w:rsid w:val="00094963"/>
    <w:rsid w:val="00095A0E"/>
    <w:rsid w:val="00096556"/>
    <w:rsid w:val="000968DB"/>
    <w:rsid w:val="000A33BD"/>
    <w:rsid w:val="000A3493"/>
    <w:rsid w:val="000A4C12"/>
    <w:rsid w:val="000A6E13"/>
    <w:rsid w:val="000A7C7B"/>
    <w:rsid w:val="000B205E"/>
    <w:rsid w:val="000B33AC"/>
    <w:rsid w:val="000B4C1D"/>
    <w:rsid w:val="000C0238"/>
    <w:rsid w:val="000C0FF4"/>
    <w:rsid w:val="000C1743"/>
    <w:rsid w:val="000C4F63"/>
    <w:rsid w:val="000D568B"/>
    <w:rsid w:val="000D6C30"/>
    <w:rsid w:val="000E1A2B"/>
    <w:rsid w:val="000E3F88"/>
    <w:rsid w:val="000E7B9E"/>
    <w:rsid w:val="000E7BB1"/>
    <w:rsid w:val="000F1308"/>
    <w:rsid w:val="000F4352"/>
    <w:rsid w:val="000F76B5"/>
    <w:rsid w:val="00101DAD"/>
    <w:rsid w:val="001036A2"/>
    <w:rsid w:val="00104021"/>
    <w:rsid w:val="00106F8B"/>
    <w:rsid w:val="00107578"/>
    <w:rsid w:val="0011132B"/>
    <w:rsid w:val="001119A9"/>
    <w:rsid w:val="00114641"/>
    <w:rsid w:val="001147F0"/>
    <w:rsid w:val="00117D7A"/>
    <w:rsid w:val="00120B70"/>
    <w:rsid w:val="0012138E"/>
    <w:rsid w:val="001215CE"/>
    <w:rsid w:val="00121E3F"/>
    <w:rsid w:val="00122AC1"/>
    <w:rsid w:val="00124E01"/>
    <w:rsid w:val="00130034"/>
    <w:rsid w:val="00131E01"/>
    <w:rsid w:val="001321E8"/>
    <w:rsid w:val="00134607"/>
    <w:rsid w:val="00137228"/>
    <w:rsid w:val="001418CE"/>
    <w:rsid w:val="001439D9"/>
    <w:rsid w:val="00144AAB"/>
    <w:rsid w:val="0014570F"/>
    <w:rsid w:val="001470B4"/>
    <w:rsid w:val="00150334"/>
    <w:rsid w:val="001514FF"/>
    <w:rsid w:val="001526EC"/>
    <w:rsid w:val="001542DA"/>
    <w:rsid w:val="00154DFC"/>
    <w:rsid w:val="001561A4"/>
    <w:rsid w:val="00157D38"/>
    <w:rsid w:val="00161633"/>
    <w:rsid w:val="00163C19"/>
    <w:rsid w:val="001649EA"/>
    <w:rsid w:val="00164C8A"/>
    <w:rsid w:val="0016653F"/>
    <w:rsid w:val="001665EA"/>
    <w:rsid w:val="00170092"/>
    <w:rsid w:val="00170BF0"/>
    <w:rsid w:val="001745F4"/>
    <w:rsid w:val="00175714"/>
    <w:rsid w:val="00183328"/>
    <w:rsid w:val="001840D3"/>
    <w:rsid w:val="0018422C"/>
    <w:rsid w:val="00185E42"/>
    <w:rsid w:val="00187159"/>
    <w:rsid w:val="001873ED"/>
    <w:rsid w:val="001912C7"/>
    <w:rsid w:val="00193038"/>
    <w:rsid w:val="00193B1B"/>
    <w:rsid w:val="0019409A"/>
    <w:rsid w:val="0019518B"/>
    <w:rsid w:val="0019548D"/>
    <w:rsid w:val="0019751B"/>
    <w:rsid w:val="0019763E"/>
    <w:rsid w:val="001A0238"/>
    <w:rsid w:val="001A32EA"/>
    <w:rsid w:val="001A338F"/>
    <w:rsid w:val="001B4571"/>
    <w:rsid w:val="001B4F20"/>
    <w:rsid w:val="001B524B"/>
    <w:rsid w:val="001C05B6"/>
    <w:rsid w:val="001C4126"/>
    <w:rsid w:val="001C4B4A"/>
    <w:rsid w:val="001C58CB"/>
    <w:rsid w:val="001C5A2D"/>
    <w:rsid w:val="001C6825"/>
    <w:rsid w:val="001D14BE"/>
    <w:rsid w:val="001D22EE"/>
    <w:rsid w:val="001D3878"/>
    <w:rsid w:val="001D42BE"/>
    <w:rsid w:val="001D4B13"/>
    <w:rsid w:val="001D5E3D"/>
    <w:rsid w:val="001D775B"/>
    <w:rsid w:val="001D7789"/>
    <w:rsid w:val="001E13BD"/>
    <w:rsid w:val="001E39D5"/>
    <w:rsid w:val="001E4287"/>
    <w:rsid w:val="001E739B"/>
    <w:rsid w:val="001E7FB4"/>
    <w:rsid w:val="001F1181"/>
    <w:rsid w:val="001F1A68"/>
    <w:rsid w:val="001F1E8A"/>
    <w:rsid w:val="001F1F84"/>
    <w:rsid w:val="001F798F"/>
    <w:rsid w:val="0020210C"/>
    <w:rsid w:val="00203870"/>
    <w:rsid w:val="002059BD"/>
    <w:rsid w:val="002059E0"/>
    <w:rsid w:val="00207205"/>
    <w:rsid w:val="00210EBE"/>
    <w:rsid w:val="0021156F"/>
    <w:rsid w:val="0021599E"/>
    <w:rsid w:val="00215F63"/>
    <w:rsid w:val="00216515"/>
    <w:rsid w:val="002179EC"/>
    <w:rsid w:val="00220612"/>
    <w:rsid w:val="00220874"/>
    <w:rsid w:val="002215BB"/>
    <w:rsid w:val="00221DD3"/>
    <w:rsid w:val="00226B10"/>
    <w:rsid w:val="0022759C"/>
    <w:rsid w:val="0023173B"/>
    <w:rsid w:val="002318C5"/>
    <w:rsid w:val="00234610"/>
    <w:rsid w:val="0023702D"/>
    <w:rsid w:val="00237494"/>
    <w:rsid w:val="00237D71"/>
    <w:rsid w:val="00245ECA"/>
    <w:rsid w:val="002468A2"/>
    <w:rsid w:val="00247513"/>
    <w:rsid w:val="00250A27"/>
    <w:rsid w:val="00251C67"/>
    <w:rsid w:val="00253A90"/>
    <w:rsid w:val="002549E8"/>
    <w:rsid w:val="0025668D"/>
    <w:rsid w:val="002600A8"/>
    <w:rsid w:val="0026193A"/>
    <w:rsid w:val="00264904"/>
    <w:rsid w:val="002652EE"/>
    <w:rsid w:val="00267062"/>
    <w:rsid w:val="002711C8"/>
    <w:rsid w:val="00272D23"/>
    <w:rsid w:val="0028035A"/>
    <w:rsid w:val="0028203A"/>
    <w:rsid w:val="00282E35"/>
    <w:rsid w:val="002842EA"/>
    <w:rsid w:val="0028570D"/>
    <w:rsid w:val="00290185"/>
    <w:rsid w:val="00291B41"/>
    <w:rsid w:val="0029201E"/>
    <w:rsid w:val="0029547F"/>
    <w:rsid w:val="002957A3"/>
    <w:rsid w:val="0029685E"/>
    <w:rsid w:val="00296A97"/>
    <w:rsid w:val="002A1CEE"/>
    <w:rsid w:val="002A3B81"/>
    <w:rsid w:val="002A49B1"/>
    <w:rsid w:val="002A7141"/>
    <w:rsid w:val="002B0B0C"/>
    <w:rsid w:val="002B20FF"/>
    <w:rsid w:val="002B3185"/>
    <w:rsid w:val="002B333C"/>
    <w:rsid w:val="002B4626"/>
    <w:rsid w:val="002B79D0"/>
    <w:rsid w:val="002C0853"/>
    <w:rsid w:val="002C0F9E"/>
    <w:rsid w:val="002C2587"/>
    <w:rsid w:val="002C4CDD"/>
    <w:rsid w:val="002C6757"/>
    <w:rsid w:val="002D1EB2"/>
    <w:rsid w:val="002D3A78"/>
    <w:rsid w:val="002E1DF0"/>
    <w:rsid w:val="002E2029"/>
    <w:rsid w:val="002F04D1"/>
    <w:rsid w:val="002F1A9F"/>
    <w:rsid w:val="002F40F6"/>
    <w:rsid w:val="002F4542"/>
    <w:rsid w:val="002F4573"/>
    <w:rsid w:val="002F4F3C"/>
    <w:rsid w:val="002F5E31"/>
    <w:rsid w:val="003054CD"/>
    <w:rsid w:val="00305770"/>
    <w:rsid w:val="003065B2"/>
    <w:rsid w:val="00306967"/>
    <w:rsid w:val="00311F78"/>
    <w:rsid w:val="00312975"/>
    <w:rsid w:val="0031310D"/>
    <w:rsid w:val="00313D95"/>
    <w:rsid w:val="00313E62"/>
    <w:rsid w:val="0031511B"/>
    <w:rsid w:val="00316EC3"/>
    <w:rsid w:val="00317099"/>
    <w:rsid w:val="003237E9"/>
    <w:rsid w:val="003250DC"/>
    <w:rsid w:val="0033289B"/>
    <w:rsid w:val="0033773E"/>
    <w:rsid w:val="00342413"/>
    <w:rsid w:val="003435C8"/>
    <w:rsid w:val="003538AF"/>
    <w:rsid w:val="00360E9D"/>
    <w:rsid w:val="0036169E"/>
    <w:rsid w:val="003662A0"/>
    <w:rsid w:val="00372069"/>
    <w:rsid w:val="003724CF"/>
    <w:rsid w:val="00372914"/>
    <w:rsid w:val="0037508A"/>
    <w:rsid w:val="0037562D"/>
    <w:rsid w:val="003802D2"/>
    <w:rsid w:val="00381C32"/>
    <w:rsid w:val="003872A8"/>
    <w:rsid w:val="003878E1"/>
    <w:rsid w:val="00387BB6"/>
    <w:rsid w:val="003949CE"/>
    <w:rsid w:val="003A0FFD"/>
    <w:rsid w:val="003A1DF2"/>
    <w:rsid w:val="003A1F93"/>
    <w:rsid w:val="003A2DC1"/>
    <w:rsid w:val="003A42C0"/>
    <w:rsid w:val="003A5DE9"/>
    <w:rsid w:val="003A5F00"/>
    <w:rsid w:val="003A62B4"/>
    <w:rsid w:val="003A6733"/>
    <w:rsid w:val="003B0E66"/>
    <w:rsid w:val="003B22DA"/>
    <w:rsid w:val="003B472F"/>
    <w:rsid w:val="003B4A51"/>
    <w:rsid w:val="003C64F4"/>
    <w:rsid w:val="003D0850"/>
    <w:rsid w:val="003D2987"/>
    <w:rsid w:val="003D56C4"/>
    <w:rsid w:val="003D6D46"/>
    <w:rsid w:val="003D78E0"/>
    <w:rsid w:val="003D7D1C"/>
    <w:rsid w:val="003E1923"/>
    <w:rsid w:val="003E2363"/>
    <w:rsid w:val="003E29F6"/>
    <w:rsid w:val="003E561D"/>
    <w:rsid w:val="003E5DAD"/>
    <w:rsid w:val="003E77B9"/>
    <w:rsid w:val="003F052A"/>
    <w:rsid w:val="003F2940"/>
    <w:rsid w:val="003F3FD9"/>
    <w:rsid w:val="003F722F"/>
    <w:rsid w:val="00400B33"/>
    <w:rsid w:val="00403405"/>
    <w:rsid w:val="00404016"/>
    <w:rsid w:val="00405764"/>
    <w:rsid w:val="00406D5D"/>
    <w:rsid w:val="0040735A"/>
    <w:rsid w:val="00407A93"/>
    <w:rsid w:val="004111B0"/>
    <w:rsid w:val="00411981"/>
    <w:rsid w:val="004123DB"/>
    <w:rsid w:val="00414903"/>
    <w:rsid w:val="00416671"/>
    <w:rsid w:val="00416A5C"/>
    <w:rsid w:val="004171A9"/>
    <w:rsid w:val="00420EE4"/>
    <w:rsid w:val="004216D3"/>
    <w:rsid w:val="00422B3E"/>
    <w:rsid w:val="0042381E"/>
    <w:rsid w:val="004309CD"/>
    <w:rsid w:val="00430D4A"/>
    <w:rsid w:val="00431FF9"/>
    <w:rsid w:val="00432AEC"/>
    <w:rsid w:val="004340C2"/>
    <w:rsid w:val="004372D5"/>
    <w:rsid w:val="00437907"/>
    <w:rsid w:val="00441B9C"/>
    <w:rsid w:val="00442E58"/>
    <w:rsid w:val="00444549"/>
    <w:rsid w:val="004464D7"/>
    <w:rsid w:val="004519C2"/>
    <w:rsid w:val="00452A64"/>
    <w:rsid w:val="00453A6F"/>
    <w:rsid w:val="00454856"/>
    <w:rsid w:val="0045541D"/>
    <w:rsid w:val="00457ABD"/>
    <w:rsid w:val="004605D8"/>
    <w:rsid w:val="00460A29"/>
    <w:rsid w:val="004633FD"/>
    <w:rsid w:val="004635CB"/>
    <w:rsid w:val="00467022"/>
    <w:rsid w:val="00467279"/>
    <w:rsid w:val="0047061C"/>
    <w:rsid w:val="00471E4D"/>
    <w:rsid w:val="004722DA"/>
    <w:rsid w:val="00472621"/>
    <w:rsid w:val="0047404C"/>
    <w:rsid w:val="0047485E"/>
    <w:rsid w:val="00482A3A"/>
    <w:rsid w:val="004859DC"/>
    <w:rsid w:val="00487F71"/>
    <w:rsid w:val="00491C09"/>
    <w:rsid w:val="00492CE8"/>
    <w:rsid w:val="004938AD"/>
    <w:rsid w:val="0049644D"/>
    <w:rsid w:val="004A206E"/>
    <w:rsid w:val="004A3DDB"/>
    <w:rsid w:val="004A6DDB"/>
    <w:rsid w:val="004A743E"/>
    <w:rsid w:val="004A76F7"/>
    <w:rsid w:val="004A7AC3"/>
    <w:rsid w:val="004B35D9"/>
    <w:rsid w:val="004B4C63"/>
    <w:rsid w:val="004B53ED"/>
    <w:rsid w:val="004B5D2E"/>
    <w:rsid w:val="004B616C"/>
    <w:rsid w:val="004C19E2"/>
    <w:rsid w:val="004C3E58"/>
    <w:rsid w:val="004C40EF"/>
    <w:rsid w:val="004C5FF3"/>
    <w:rsid w:val="004C6954"/>
    <w:rsid w:val="004D4F2A"/>
    <w:rsid w:val="004D5803"/>
    <w:rsid w:val="004E0B9F"/>
    <w:rsid w:val="004E0F87"/>
    <w:rsid w:val="004E2285"/>
    <w:rsid w:val="004E3CEE"/>
    <w:rsid w:val="004E4515"/>
    <w:rsid w:val="004E4580"/>
    <w:rsid w:val="004E6F4B"/>
    <w:rsid w:val="004F133B"/>
    <w:rsid w:val="004F1F61"/>
    <w:rsid w:val="004F2E15"/>
    <w:rsid w:val="004F3770"/>
    <w:rsid w:val="004F3E54"/>
    <w:rsid w:val="004F5731"/>
    <w:rsid w:val="004F5AEF"/>
    <w:rsid w:val="004F64B3"/>
    <w:rsid w:val="004F7F34"/>
    <w:rsid w:val="004F7FCC"/>
    <w:rsid w:val="00500425"/>
    <w:rsid w:val="005012A9"/>
    <w:rsid w:val="00502780"/>
    <w:rsid w:val="00504EE4"/>
    <w:rsid w:val="0050594A"/>
    <w:rsid w:val="005125ED"/>
    <w:rsid w:val="005162D4"/>
    <w:rsid w:val="00516E5B"/>
    <w:rsid w:val="00522EFA"/>
    <w:rsid w:val="00530092"/>
    <w:rsid w:val="005320CC"/>
    <w:rsid w:val="005335A2"/>
    <w:rsid w:val="00533F7E"/>
    <w:rsid w:val="005365BC"/>
    <w:rsid w:val="00537988"/>
    <w:rsid w:val="00545E14"/>
    <w:rsid w:val="005462CF"/>
    <w:rsid w:val="0054691E"/>
    <w:rsid w:val="00547298"/>
    <w:rsid w:val="00550CD0"/>
    <w:rsid w:val="00556043"/>
    <w:rsid w:val="005565A0"/>
    <w:rsid w:val="00560F6F"/>
    <w:rsid w:val="00565661"/>
    <w:rsid w:val="005660A2"/>
    <w:rsid w:val="00566114"/>
    <w:rsid w:val="00566392"/>
    <w:rsid w:val="005672AD"/>
    <w:rsid w:val="00567E03"/>
    <w:rsid w:val="00567EAE"/>
    <w:rsid w:val="00571DB5"/>
    <w:rsid w:val="005723FC"/>
    <w:rsid w:val="005756F8"/>
    <w:rsid w:val="0057795A"/>
    <w:rsid w:val="00580403"/>
    <w:rsid w:val="0058133A"/>
    <w:rsid w:val="00592633"/>
    <w:rsid w:val="00593BD5"/>
    <w:rsid w:val="00593D09"/>
    <w:rsid w:val="00597C1C"/>
    <w:rsid w:val="005A09EA"/>
    <w:rsid w:val="005A2195"/>
    <w:rsid w:val="005A3EB8"/>
    <w:rsid w:val="005A5B88"/>
    <w:rsid w:val="005A67B9"/>
    <w:rsid w:val="005B2002"/>
    <w:rsid w:val="005B3EED"/>
    <w:rsid w:val="005B41AC"/>
    <w:rsid w:val="005B5F2F"/>
    <w:rsid w:val="005C0AF5"/>
    <w:rsid w:val="005C13BE"/>
    <w:rsid w:val="005C361E"/>
    <w:rsid w:val="005C415C"/>
    <w:rsid w:val="005C50BA"/>
    <w:rsid w:val="005C6635"/>
    <w:rsid w:val="005C772F"/>
    <w:rsid w:val="005D0ED5"/>
    <w:rsid w:val="005D1437"/>
    <w:rsid w:val="005D3014"/>
    <w:rsid w:val="005D6560"/>
    <w:rsid w:val="005D6895"/>
    <w:rsid w:val="005E1E6E"/>
    <w:rsid w:val="005E2B35"/>
    <w:rsid w:val="005E2DD7"/>
    <w:rsid w:val="005E3294"/>
    <w:rsid w:val="005E5080"/>
    <w:rsid w:val="005E5577"/>
    <w:rsid w:val="005E784A"/>
    <w:rsid w:val="005F2CC0"/>
    <w:rsid w:val="005F3275"/>
    <w:rsid w:val="005F3A24"/>
    <w:rsid w:val="005F48D7"/>
    <w:rsid w:val="005F58B7"/>
    <w:rsid w:val="0060093A"/>
    <w:rsid w:val="00604B74"/>
    <w:rsid w:val="00606EE8"/>
    <w:rsid w:val="0060745D"/>
    <w:rsid w:val="00607662"/>
    <w:rsid w:val="00610861"/>
    <w:rsid w:val="006124F9"/>
    <w:rsid w:val="00613CDD"/>
    <w:rsid w:val="006155C9"/>
    <w:rsid w:val="006174A7"/>
    <w:rsid w:val="00620026"/>
    <w:rsid w:val="006231EE"/>
    <w:rsid w:val="00626439"/>
    <w:rsid w:val="00627715"/>
    <w:rsid w:val="00631B65"/>
    <w:rsid w:val="006345D0"/>
    <w:rsid w:val="00637B05"/>
    <w:rsid w:val="006414D7"/>
    <w:rsid w:val="006414FA"/>
    <w:rsid w:val="0064412C"/>
    <w:rsid w:val="00645A9F"/>
    <w:rsid w:val="0064691A"/>
    <w:rsid w:val="006477A6"/>
    <w:rsid w:val="0064794B"/>
    <w:rsid w:val="006515CF"/>
    <w:rsid w:val="00651B37"/>
    <w:rsid w:val="00651E60"/>
    <w:rsid w:val="00656842"/>
    <w:rsid w:val="00665920"/>
    <w:rsid w:val="0066604A"/>
    <w:rsid w:val="0066746F"/>
    <w:rsid w:val="00671A4C"/>
    <w:rsid w:val="00676C6C"/>
    <w:rsid w:val="006813D8"/>
    <w:rsid w:val="00682421"/>
    <w:rsid w:val="006832D4"/>
    <w:rsid w:val="006878B8"/>
    <w:rsid w:val="0068795C"/>
    <w:rsid w:val="006900CC"/>
    <w:rsid w:val="006911C3"/>
    <w:rsid w:val="006979BE"/>
    <w:rsid w:val="006A0B44"/>
    <w:rsid w:val="006A0E12"/>
    <w:rsid w:val="006A15F2"/>
    <w:rsid w:val="006A2082"/>
    <w:rsid w:val="006A2C18"/>
    <w:rsid w:val="006A4298"/>
    <w:rsid w:val="006A6499"/>
    <w:rsid w:val="006A680C"/>
    <w:rsid w:val="006B063E"/>
    <w:rsid w:val="006B28E2"/>
    <w:rsid w:val="006B7D5A"/>
    <w:rsid w:val="006C18E2"/>
    <w:rsid w:val="006C1C43"/>
    <w:rsid w:val="006C427A"/>
    <w:rsid w:val="006C44F3"/>
    <w:rsid w:val="006C5DC0"/>
    <w:rsid w:val="006C6604"/>
    <w:rsid w:val="006C6F27"/>
    <w:rsid w:val="006D06AC"/>
    <w:rsid w:val="006D2806"/>
    <w:rsid w:val="006D5FA5"/>
    <w:rsid w:val="006D61EB"/>
    <w:rsid w:val="006D67BA"/>
    <w:rsid w:val="006D67C1"/>
    <w:rsid w:val="006D6EFC"/>
    <w:rsid w:val="006D7B04"/>
    <w:rsid w:val="006E49A5"/>
    <w:rsid w:val="006E6BA0"/>
    <w:rsid w:val="006F0FDE"/>
    <w:rsid w:val="006F272F"/>
    <w:rsid w:val="006F4E13"/>
    <w:rsid w:val="006F508A"/>
    <w:rsid w:val="00700759"/>
    <w:rsid w:val="00702AC9"/>
    <w:rsid w:val="00702D67"/>
    <w:rsid w:val="0070429A"/>
    <w:rsid w:val="00705F72"/>
    <w:rsid w:val="007073E9"/>
    <w:rsid w:val="007077C0"/>
    <w:rsid w:val="00710539"/>
    <w:rsid w:val="007111FF"/>
    <w:rsid w:val="007117A4"/>
    <w:rsid w:val="00714363"/>
    <w:rsid w:val="0071442D"/>
    <w:rsid w:val="007204F8"/>
    <w:rsid w:val="007214CD"/>
    <w:rsid w:val="0072258B"/>
    <w:rsid w:val="007227E7"/>
    <w:rsid w:val="007231BB"/>
    <w:rsid w:val="007245D3"/>
    <w:rsid w:val="007312C2"/>
    <w:rsid w:val="007370BC"/>
    <w:rsid w:val="00743517"/>
    <w:rsid w:val="007469D8"/>
    <w:rsid w:val="007503CE"/>
    <w:rsid w:val="00752C1B"/>
    <w:rsid w:val="00754A13"/>
    <w:rsid w:val="007629DA"/>
    <w:rsid w:val="00762C24"/>
    <w:rsid w:val="007641EC"/>
    <w:rsid w:val="00766B15"/>
    <w:rsid w:val="00766E97"/>
    <w:rsid w:val="00767DB8"/>
    <w:rsid w:val="00770D89"/>
    <w:rsid w:val="00777966"/>
    <w:rsid w:val="007808E9"/>
    <w:rsid w:val="00781702"/>
    <w:rsid w:val="00785A82"/>
    <w:rsid w:val="0078781C"/>
    <w:rsid w:val="00790371"/>
    <w:rsid w:val="00791931"/>
    <w:rsid w:val="007933C8"/>
    <w:rsid w:val="00793566"/>
    <w:rsid w:val="00796150"/>
    <w:rsid w:val="007A1963"/>
    <w:rsid w:val="007A19B2"/>
    <w:rsid w:val="007A6756"/>
    <w:rsid w:val="007B1AF4"/>
    <w:rsid w:val="007B48AC"/>
    <w:rsid w:val="007B7107"/>
    <w:rsid w:val="007C1208"/>
    <w:rsid w:val="007C1CAE"/>
    <w:rsid w:val="007C2A52"/>
    <w:rsid w:val="007C31A5"/>
    <w:rsid w:val="007C392B"/>
    <w:rsid w:val="007C4499"/>
    <w:rsid w:val="007D0C4C"/>
    <w:rsid w:val="007D0F53"/>
    <w:rsid w:val="007D14E2"/>
    <w:rsid w:val="007D309E"/>
    <w:rsid w:val="007D399B"/>
    <w:rsid w:val="007D4FB8"/>
    <w:rsid w:val="007D6F84"/>
    <w:rsid w:val="007D716F"/>
    <w:rsid w:val="007D75D5"/>
    <w:rsid w:val="007E515A"/>
    <w:rsid w:val="007F0EB0"/>
    <w:rsid w:val="007F18F5"/>
    <w:rsid w:val="007F2CAC"/>
    <w:rsid w:val="007F539B"/>
    <w:rsid w:val="007F5758"/>
    <w:rsid w:val="007F7113"/>
    <w:rsid w:val="00800525"/>
    <w:rsid w:val="00802447"/>
    <w:rsid w:val="00805000"/>
    <w:rsid w:val="00806316"/>
    <w:rsid w:val="00814BA2"/>
    <w:rsid w:val="00816BF8"/>
    <w:rsid w:val="0081758A"/>
    <w:rsid w:val="00820E1A"/>
    <w:rsid w:val="008233CC"/>
    <w:rsid w:val="008249B3"/>
    <w:rsid w:val="00826C1D"/>
    <w:rsid w:val="00832477"/>
    <w:rsid w:val="00832690"/>
    <w:rsid w:val="008343FE"/>
    <w:rsid w:val="0084044F"/>
    <w:rsid w:val="008411DB"/>
    <w:rsid w:val="00842A12"/>
    <w:rsid w:val="008441D2"/>
    <w:rsid w:val="00844887"/>
    <w:rsid w:val="00853808"/>
    <w:rsid w:val="008547AC"/>
    <w:rsid w:val="008558AA"/>
    <w:rsid w:val="00856033"/>
    <w:rsid w:val="00856C65"/>
    <w:rsid w:val="008628D0"/>
    <w:rsid w:val="00863DED"/>
    <w:rsid w:val="00865A56"/>
    <w:rsid w:val="00870B9C"/>
    <w:rsid w:val="00872E44"/>
    <w:rsid w:val="0087532E"/>
    <w:rsid w:val="00876B13"/>
    <w:rsid w:val="00880B05"/>
    <w:rsid w:val="008816DE"/>
    <w:rsid w:val="00884889"/>
    <w:rsid w:val="0088529C"/>
    <w:rsid w:val="008858B5"/>
    <w:rsid w:val="0088594F"/>
    <w:rsid w:val="00890411"/>
    <w:rsid w:val="008A4D39"/>
    <w:rsid w:val="008A5D59"/>
    <w:rsid w:val="008A6940"/>
    <w:rsid w:val="008B0020"/>
    <w:rsid w:val="008B02DF"/>
    <w:rsid w:val="008B4A42"/>
    <w:rsid w:val="008B762F"/>
    <w:rsid w:val="008C13D3"/>
    <w:rsid w:val="008C1BC1"/>
    <w:rsid w:val="008C1D6D"/>
    <w:rsid w:val="008C4A85"/>
    <w:rsid w:val="008D4DCA"/>
    <w:rsid w:val="008D648C"/>
    <w:rsid w:val="008E63C4"/>
    <w:rsid w:val="008E6545"/>
    <w:rsid w:val="008F1E32"/>
    <w:rsid w:val="008F1EB6"/>
    <w:rsid w:val="008F3BD7"/>
    <w:rsid w:val="008F4EC3"/>
    <w:rsid w:val="008F5195"/>
    <w:rsid w:val="008F5A1B"/>
    <w:rsid w:val="008F5D9F"/>
    <w:rsid w:val="008F6DF2"/>
    <w:rsid w:val="0090315D"/>
    <w:rsid w:val="00903338"/>
    <w:rsid w:val="0090431E"/>
    <w:rsid w:val="009050B0"/>
    <w:rsid w:val="009070E4"/>
    <w:rsid w:val="00910CA6"/>
    <w:rsid w:val="00914EC6"/>
    <w:rsid w:val="00917ED9"/>
    <w:rsid w:val="009213E1"/>
    <w:rsid w:val="009235C2"/>
    <w:rsid w:val="00924725"/>
    <w:rsid w:val="00925EA0"/>
    <w:rsid w:val="009317C0"/>
    <w:rsid w:val="00931F5D"/>
    <w:rsid w:val="0093360D"/>
    <w:rsid w:val="00935A39"/>
    <w:rsid w:val="00935F5B"/>
    <w:rsid w:val="00942A8A"/>
    <w:rsid w:val="00943320"/>
    <w:rsid w:val="00950571"/>
    <w:rsid w:val="00950B02"/>
    <w:rsid w:val="009565C2"/>
    <w:rsid w:val="00956827"/>
    <w:rsid w:val="00956A3F"/>
    <w:rsid w:val="00957375"/>
    <w:rsid w:val="0096109A"/>
    <w:rsid w:val="009648F0"/>
    <w:rsid w:val="00964D11"/>
    <w:rsid w:val="00964F5E"/>
    <w:rsid w:val="00964F91"/>
    <w:rsid w:val="00965110"/>
    <w:rsid w:val="00967B5B"/>
    <w:rsid w:val="00971489"/>
    <w:rsid w:val="009717FD"/>
    <w:rsid w:val="00972FFF"/>
    <w:rsid w:val="009748E0"/>
    <w:rsid w:val="0097558A"/>
    <w:rsid w:val="009764DF"/>
    <w:rsid w:val="009815D7"/>
    <w:rsid w:val="00985C39"/>
    <w:rsid w:val="00991C78"/>
    <w:rsid w:val="009925F8"/>
    <w:rsid w:val="009961E1"/>
    <w:rsid w:val="009964C9"/>
    <w:rsid w:val="00996619"/>
    <w:rsid w:val="00997CD2"/>
    <w:rsid w:val="009A107B"/>
    <w:rsid w:val="009A305D"/>
    <w:rsid w:val="009A306A"/>
    <w:rsid w:val="009A36D7"/>
    <w:rsid w:val="009A3EB1"/>
    <w:rsid w:val="009A49D5"/>
    <w:rsid w:val="009A4DCE"/>
    <w:rsid w:val="009B0CBF"/>
    <w:rsid w:val="009B1C36"/>
    <w:rsid w:val="009B3AD9"/>
    <w:rsid w:val="009B3D14"/>
    <w:rsid w:val="009B3FB7"/>
    <w:rsid w:val="009B766D"/>
    <w:rsid w:val="009B7DDC"/>
    <w:rsid w:val="009B7F1F"/>
    <w:rsid w:val="009C1049"/>
    <w:rsid w:val="009C157F"/>
    <w:rsid w:val="009C49C8"/>
    <w:rsid w:val="009C5A5A"/>
    <w:rsid w:val="009C6AC2"/>
    <w:rsid w:val="009C774C"/>
    <w:rsid w:val="009D23CF"/>
    <w:rsid w:val="009D2693"/>
    <w:rsid w:val="009D4D27"/>
    <w:rsid w:val="009D5819"/>
    <w:rsid w:val="009D7430"/>
    <w:rsid w:val="009D7FE4"/>
    <w:rsid w:val="009E092D"/>
    <w:rsid w:val="009E351A"/>
    <w:rsid w:val="009E4464"/>
    <w:rsid w:val="009E70CA"/>
    <w:rsid w:val="009E7B07"/>
    <w:rsid w:val="009F057B"/>
    <w:rsid w:val="009F14A8"/>
    <w:rsid w:val="009F4FDA"/>
    <w:rsid w:val="009F6AC5"/>
    <w:rsid w:val="009F7F1E"/>
    <w:rsid w:val="00A003CF"/>
    <w:rsid w:val="00A005EA"/>
    <w:rsid w:val="00A01CEE"/>
    <w:rsid w:val="00A032FE"/>
    <w:rsid w:val="00A03630"/>
    <w:rsid w:val="00A0414A"/>
    <w:rsid w:val="00A059C1"/>
    <w:rsid w:val="00A10811"/>
    <w:rsid w:val="00A12D89"/>
    <w:rsid w:val="00A13A35"/>
    <w:rsid w:val="00A159F2"/>
    <w:rsid w:val="00A15D95"/>
    <w:rsid w:val="00A169F5"/>
    <w:rsid w:val="00A171D2"/>
    <w:rsid w:val="00A20622"/>
    <w:rsid w:val="00A2150D"/>
    <w:rsid w:val="00A2358F"/>
    <w:rsid w:val="00A27739"/>
    <w:rsid w:val="00A30B85"/>
    <w:rsid w:val="00A321CE"/>
    <w:rsid w:val="00A3290D"/>
    <w:rsid w:val="00A34468"/>
    <w:rsid w:val="00A40530"/>
    <w:rsid w:val="00A41C5A"/>
    <w:rsid w:val="00A44EA2"/>
    <w:rsid w:val="00A4648C"/>
    <w:rsid w:val="00A47E94"/>
    <w:rsid w:val="00A5271A"/>
    <w:rsid w:val="00A53C46"/>
    <w:rsid w:val="00A56887"/>
    <w:rsid w:val="00A648BD"/>
    <w:rsid w:val="00A67BBD"/>
    <w:rsid w:val="00A700BA"/>
    <w:rsid w:val="00A70E69"/>
    <w:rsid w:val="00A725EF"/>
    <w:rsid w:val="00A75E59"/>
    <w:rsid w:val="00A760C1"/>
    <w:rsid w:val="00A766C3"/>
    <w:rsid w:val="00A81D30"/>
    <w:rsid w:val="00A82237"/>
    <w:rsid w:val="00A83D76"/>
    <w:rsid w:val="00A92066"/>
    <w:rsid w:val="00A97891"/>
    <w:rsid w:val="00AA0B69"/>
    <w:rsid w:val="00AB117F"/>
    <w:rsid w:val="00AB235E"/>
    <w:rsid w:val="00AB5C56"/>
    <w:rsid w:val="00AB6659"/>
    <w:rsid w:val="00AC08DF"/>
    <w:rsid w:val="00AC3B94"/>
    <w:rsid w:val="00AC66B9"/>
    <w:rsid w:val="00AC6DC0"/>
    <w:rsid w:val="00AD0749"/>
    <w:rsid w:val="00AD0C34"/>
    <w:rsid w:val="00AD13BC"/>
    <w:rsid w:val="00AD18E4"/>
    <w:rsid w:val="00AD47D4"/>
    <w:rsid w:val="00AD4C61"/>
    <w:rsid w:val="00AE07E6"/>
    <w:rsid w:val="00AF2121"/>
    <w:rsid w:val="00AF26E6"/>
    <w:rsid w:val="00AF2D10"/>
    <w:rsid w:val="00AF4A4A"/>
    <w:rsid w:val="00AF5D07"/>
    <w:rsid w:val="00B00290"/>
    <w:rsid w:val="00B011F2"/>
    <w:rsid w:val="00B03B4E"/>
    <w:rsid w:val="00B06C7D"/>
    <w:rsid w:val="00B15223"/>
    <w:rsid w:val="00B17E81"/>
    <w:rsid w:val="00B222BD"/>
    <w:rsid w:val="00B25870"/>
    <w:rsid w:val="00B35BDB"/>
    <w:rsid w:val="00B371F2"/>
    <w:rsid w:val="00B37979"/>
    <w:rsid w:val="00B41866"/>
    <w:rsid w:val="00B4368C"/>
    <w:rsid w:val="00B44DFC"/>
    <w:rsid w:val="00B46497"/>
    <w:rsid w:val="00B54D93"/>
    <w:rsid w:val="00B55440"/>
    <w:rsid w:val="00B60C82"/>
    <w:rsid w:val="00B60F75"/>
    <w:rsid w:val="00B61620"/>
    <w:rsid w:val="00B62348"/>
    <w:rsid w:val="00B63603"/>
    <w:rsid w:val="00B6535D"/>
    <w:rsid w:val="00B6792D"/>
    <w:rsid w:val="00B70864"/>
    <w:rsid w:val="00B71821"/>
    <w:rsid w:val="00B73E05"/>
    <w:rsid w:val="00B74C9C"/>
    <w:rsid w:val="00B74C9D"/>
    <w:rsid w:val="00B74F20"/>
    <w:rsid w:val="00B76741"/>
    <w:rsid w:val="00B82AD4"/>
    <w:rsid w:val="00B845CB"/>
    <w:rsid w:val="00B845E2"/>
    <w:rsid w:val="00B846FD"/>
    <w:rsid w:val="00B861CC"/>
    <w:rsid w:val="00B90FBA"/>
    <w:rsid w:val="00B917E5"/>
    <w:rsid w:val="00B9779C"/>
    <w:rsid w:val="00B97E48"/>
    <w:rsid w:val="00BA1744"/>
    <w:rsid w:val="00BA5E8C"/>
    <w:rsid w:val="00BA69C8"/>
    <w:rsid w:val="00BA6BEA"/>
    <w:rsid w:val="00BB1EDC"/>
    <w:rsid w:val="00BB2A76"/>
    <w:rsid w:val="00BB52C7"/>
    <w:rsid w:val="00BB76E3"/>
    <w:rsid w:val="00BC1907"/>
    <w:rsid w:val="00BC40AF"/>
    <w:rsid w:val="00BC491E"/>
    <w:rsid w:val="00BC6BB6"/>
    <w:rsid w:val="00BD0495"/>
    <w:rsid w:val="00BD0DF8"/>
    <w:rsid w:val="00BD5574"/>
    <w:rsid w:val="00BD57B0"/>
    <w:rsid w:val="00BD62A5"/>
    <w:rsid w:val="00BD6601"/>
    <w:rsid w:val="00BE2412"/>
    <w:rsid w:val="00BE2759"/>
    <w:rsid w:val="00BE44A0"/>
    <w:rsid w:val="00BE533B"/>
    <w:rsid w:val="00BE723C"/>
    <w:rsid w:val="00BE7404"/>
    <w:rsid w:val="00BE7935"/>
    <w:rsid w:val="00BF0140"/>
    <w:rsid w:val="00BF1098"/>
    <w:rsid w:val="00BF1270"/>
    <w:rsid w:val="00BF4723"/>
    <w:rsid w:val="00BF6977"/>
    <w:rsid w:val="00BF6C9E"/>
    <w:rsid w:val="00BF7597"/>
    <w:rsid w:val="00C02728"/>
    <w:rsid w:val="00C03143"/>
    <w:rsid w:val="00C04577"/>
    <w:rsid w:val="00C04986"/>
    <w:rsid w:val="00C067EA"/>
    <w:rsid w:val="00C10FE9"/>
    <w:rsid w:val="00C1401B"/>
    <w:rsid w:val="00C1425D"/>
    <w:rsid w:val="00C16875"/>
    <w:rsid w:val="00C17ADD"/>
    <w:rsid w:val="00C2006B"/>
    <w:rsid w:val="00C20650"/>
    <w:rsid w:val="00C22980"/>
    <w:rsid w:val="00C34108"/>
    <w:rsid w:val="00C36BC2"/>
    <w:rsid w:val="00C37224"/>
    <w:rsid w:val="00C37B96"/>
    <w:rsid w:val="00C4294C"/>
    <w:rsid w:val="00C4348D"/>
    <w:rsid w:val="00C44CC2"/>
    <w:rsid w:val="00C452E9"/>
    <w:rsid w:val="00C5137E"/>
    <w:rsid w:val="00C620A0"/>
    <w:rsid w:val="00C62870"/>
    <w:rsid w:val="00C62DA2"/>
    <w:rsid w:val="00C63FF9"/>
    <w:rsid w:val="00C6610D"/>
    <w:rsid w:val="00C66EA3"/>
    <w:rsid w:val="00C66F5E"/>
    <w:rsid w:val="00C67427"/>
    <w:rsid w:val="00C675A0"/>
    <w:rsid w:val="00C7092D"/>
    <w:rsid w:val="00C7161C"/>
    <w:rsid w:val="00C74D28"/>
    <w:rsid w:val="00C77F12"/>
    <w:rsid w:val="00C80667"/>
    <w:rsid w:val="00C81D4B"/>
    <w:rsid w:val="00C828C4"/>
    <w:rsid w:val="00C829BD"/>
    <w:rsid w:val="00C8546B"/>
    <w:rsid w:val="00C861DA"/>
    <w:rsid w:val="00C86D34"/>
    <w:rsid w:val="00C925C4"/>
    <w:rsid w:val="00C933BA"/>
    <w:rsid w:val="00C97981"/>
    <w:rsid w:val="00C97C94"/>
    <w:rsid w:val="00CA1C1B"/>
    <w:rsid w:val="00CA36EF"/>
    <w:rsid w:val="00CA4ABB"/>
    <w:rsid w:val="00CA68C1"/>
    <w:rsid w:val="00CB3CD6"/>
    <w:rsid w:val="00CB5FD7"/>
    <w:rsid w:val="00CB64A6"/>
    <w:rsid w:val="00CB77EB"/>
    <w:rsid w:val="00CC1784"/>
    <w:rsid w:val="00CC1E0F"/>
    <w:rsid w:val="00CC47F4"/>
    <w:rsid w:val="00CC4F1C"/>
    <w:rsid w:val="00CC50AB"/>
    <w:rsid w:val="00CD7788"/>
    <w:rsid w:val="00CD7BAE"/>
    <w:rsid w:val="00CE0F2A"/>
    <w:rsid w:val="00CE32B2"/>
    <w:rsid w:val="00CE38D9"/>
    <w:rsid w:val="00CE5DCB"/>
    <w:rsid w:val="00CF0D93"/>
    <w:rsid w:val="00CF1264"/>
    <w:rsid w:val="00CF1E16"/>
    <w:rsid w:val="00CF310E"/>
    <w:rsid w:val="00CF4088"/>
    <w:rsid w:val="00CF6CE6"/>
    <w:rsid w:val="00CF7C97"/>
    <w:rsid w:val="00D05D9F"/>
    <w:rsid w:val="00D06A2B"/>
    <w:rsid w:val="00D07FD7"/>
    <w:rsid w:val="00D105C6"/>
    <w:rsid w:val="00D1364E"/>
    <w:rsid w:val="00D20720"/>
    <w:rsid w:val="00D2129E"/>
    <w:rsid w:val="00D22872"/>
    <w:rsid w:val="00D26B57"/>
    <w:rsid w:val="00D27A7C"/>
    <w:rsid w:val="00D308A3"/>
    <w:rsid w:val="00D33CA5"/>
    <w:rsid w:val="00D34822"/>
    <w:rsid w:val="00D35A68"/>
    <w:rsid w:val="00D365D5"/>
    <w:rsid w:val="00D41C77"/>
    <w:rsid w:val="00D42185"/>
    <w:rsid w:val="00D42BB5"/>
    <w:rsid w:val="00D42CC4"/>
    <w:rsid w:val="00D43E9B"/>
    <w:rsid w:val="00D45CF3"/>
    <w:rsid w:val="00D461CC"/>
    <w:rsid w:val="00D47F6A"/>
    <w:rsid w:val="00D50B19"/>
    <w:rsid w:val="00D5322E"/>
    <w:rsid w:val="00D5329D"/>
    <w:rsid w:val="00D5504B"/>
    <w:rsid w:val="00D551E8"/>
    <w:rsid w:val="00D55E02"/>
    <w:rsid w:val="00D55F98"/>
    <w:rsid w:val="00D57DA9"/>
    <w:rsid w:val="00D609DF"/>
    <w:rsid w:val="00D63837"/>
    <w:rsid w:val="00D66B98"/>
    <w:rsid w:val="00D66D8B"/>
    <w:rsid w:val="00D67E1C"/>
    <w:rsid w:val="00D70C15"/>
    <w:rsid w:val="00D81F53"/>
    <w:rsid w:val="00D82539"/>
    <w:rsid w:val="00D92955"/>
    <w:rsid w:val="00D93B6A"/>
    <w:rsid w:val="00D949B3"/>
    <w:rsid w:val="00D94F5E"/>
    <w:rsid w:val="00D95865"/>
    <w:rsid w:val="00DA0180"/>
    <w:rsid w:val="00DA0274"/>
    <w:rsid w:val="00DA1C7C"/>
    <w:rsid w:val="00DA1F3A"/>
    <w:rsid w:val="00DA2F76"/>
    <w:rsid w:val="00DA3673"/>
    <w:rsid w:val="00DA763B"/>
    <w:rsid w:val="00DB023D"/>
    <w:rsid w:val="00DB1027"/>
    <w:rsid w:val="00DB1D96"/>
    <w:rsid w:val="00DB2779"/>
    <w:rsid w:val="00DB33F9"/>
    <w:rsid w:val="00DB413D"/>
    <w:rsid w:val="00DB5C66"/>
    <w:rsid w:val="00DC02B9"/>
    <w:rsid w:val="00DC099C"/>
    <w:rsid w:val="00DC33EB"/>
    <w:rsid w:val="00DC356D"/>
    <w:rsid w:val="00DC3594"/>
    <w:rsid w:val="00DC3FF1"/>
    <w:rsid w:val="00DC591D"/>
    <w:rsid w:val="00DD129B"/>
    <w:rsid w:val="00DD69D7"/>
    <w:rsid w:val="00DD7C1A"/>
    <w:rsid w:val="00DD7EC0"/>
    <w:rsid w:val="00DE273B"/>
    <w:rsid w:val="00DE4555"/>
    <w:rsid w:val="00DE5271"/>
    <w:rsid w:val="00DE6EF5"/>
    <w:rsid w:val="00DE7F77"/>
    <w:rsid w:val="00DF1384"/>
    <w:rsid w:val="00DF14BD"/>
    <w:rsid w:val="00DF23A5"/>
    <w:rsid w:val="00DF46ED"/>
    <w:rsid w:val="00DF69BB"/>
    <w:rsid w:val="00E05118"/>
    <w:rsid w:val="00E06F11"/>
    <w:rsid w:val="00E07092"/>
    <w:rsid w:val="00E076EE"/>
    <w:rsid w:val="00E13803"/>
    <w:rsid w:val="00E14513"/>
    <w:rsid w:val="00E161B2"/>
    <w:rsid w:val="00E16714"/>
    <w:rsid w:val="00E20641"/>
    <w:rsid w:val="00E226C4"/>
    <w:rsid w:val="00E23559"/>
    <w:rsid w:val="00E26D70"/>
    <w:rsid w:val="00E30B76"/>
    <w:rsid w:val="00E30F62"/>
    <w:rsid w:val="00E316DB"/>
    <w:rsid w:val="00E320DD"/>
    <w:rsid w:val="00E322E2"/>
    <w:rsid w:val="00E3248B"/>
    <w:rsid w:val="00E35518"/>
    <w:rsid w:val="00E37A64"/>
    <w:rsid w:val="00E42F6C"/>
    <w:rsid w:val="00E43D85"/>
    <w:rsid w:val="00E45906"/>
    <w:rsid w:val="00E45D1C"/>
    <w:rsid w:val="00E46C32"/>
    <w:rsid w:val="00E507AA"/>
    <w:rsid w:val="00E52965"/>
    <w:rsid w:val="00E64CA8"/>
    <w:rsid w:val="00E66473"/>
    <w:rsid w:val="00E70E72"/>
    <w:rsid w:val="00E71C35"/>
    <w:rsid w:val="00E74AA6"/>
    <w:rsid w:val="00E75E62"/>
    <w:rsid w:val="00E767D9"/>
    <w:rsid w:val="00E83374"/>
    <w:rsid w:val="00E87852"/>
    <w:rsid w:val="00E901E8"/>
    <w:rsid w:val="00E92687"/>
    <w:rsid w:val="00E92FF3"/>
    <w:rsid w:val="00E94536"/>
    <w:rsid w:val="00E951A6"/>
    <w:rsid w:val="00E957E5"/>
    <w:rsid w:val="00E96526"/>
    <w:rsid w:val="00E970FF"/>
    <w:rsid w:val="00EA46D1"/>
    <w:rsid w:val="00EA739F"/>
    <w:rsid w:val="00EB1208"/>
    <w:rsid w:val="00EB426A"/>
    <w:rsid w:val="00EC36BE"/>
    <w:rsid w:val="00EC3700"/>
    <w:rsid w:val="00EC7968"/>
    <w:rsid w:val="00ED063D"/>
    <w:rsid w:val="00ED0C5D"/>
    <w:rsid w:val="00ED1D5D"/>
    <w:rsid w:val="00ED3214"/>
    <w:rsid w:val="00ED5169"/>
    <w:rsid w:val="00ED5446"/>
    <w:rsid w:val="00ED671D"/>
    <w:rsid w:val="00ED7726"/>
    <w:rsid w:val="00EE027B"/>
    <w:rsid w:val="00EE2200"/>
    <w:rsid w:val="00EE2326"/>
    <w:rsid w:val="00EE3C2D"/>
    <w:rsid w:val="00EE550C"/>
    <w:rsid w:val="00EE6DD8"/>
    <w:rsid w:val="00EE744F"/>
    <w:rsid w:val="00EF24AB"/>
    <w:rsid w:val="00EF4A86"/>
    <w:rsid w:val="00EF5B9C"/>
    <w:rsid w:val="00EF6C77"/>
    <w:rsid w:val="00F10AA4"/>
    <w:rsid w:val="00F111C5"/>
    <w:rsid w:val="00F1179E"/>
    <w:rsid w:val="00F12400"/>
    <w:rsid w:val="00F132D2"/>
    <w:rsid w:val="00F1358D"/>
    <w:rsid w:val="00F14B36"/>
    <w:rsid w:val="00F1598A"/>
    <w:rsid w:val="00F22E61"/>
    <w:rsid w:val="00F2571A"/>
    <w:rsid w:val="00F30C35"/>
    <w:rsid w:val="00F31732"/>
    <w:rsid w:val="00F32F98"/>
    <w:rsid w:val="00F359E2"/>
    <w:rsid w:val="00F36779"/>
    <w:rsid w:val="00F370B8"/>
    <w:rsid w:val="00F40703"/>
    <w:rsid w:val="00F45C80"/>
    <w:rsid w:val="00F4688B"/>
    <w:rsid w:val="00F46FA8"/>
    <w:rsid w:val="00F4700E"/>
    <w:rsid w:val="00F47956"/>
    <w:rsid w:val="00F57E75"/>
    <w:rsid w:val="00F6091C"/>
    <w:rsid w:val="00F62A12"/>
    <w:rsid w:val="00F70CC0"/>
    <w:rsid w:val="00F7158B"/>
    <w:rsid w:val="00F71A35"/>
    <w:rsid w:val="00F77D62"/>
    <w:rsid w:val="00F801D9"/>
    <w:rsid w:val="00F81BF6"/>
    <w:rsid w:val="00F84F51"/>
    <w:rsid w:val="00F9419E"/>
    <w:rsid w:val="00F94FAE"/>
    <w:rsid w:val="00F9581E"/>
    <w:rsid w:val="00F95D48"/>
    <w:rsid w:val="00FA08A0"/>
    <w:rsid w:val="00FA0E87"/>
    <w:rsid w:val="00FA1EDA"/>
    <w:rsid w:val="00FA40A9"/>
    <w:rsid w:val="00FA7461"/>
    <w:rsid w:val="00FB0A84"/>
    <w:rsid w:val="00FB2B9A"/>
    <w:rsid w:val="00FC3EBF"/>
    <w:rsid w:val="00FC4618"/>
    <w:rsid w:val="00FC610F"/>
    <w:rsid w:val="00FC67D7"/>
    <w:rsid w:val="00FC7B85"/>
    <w:rsid w:val="00FD110B"/>
    <w:rsid w:val="00FD2660"/>
    <w:rsid w:val="00FE02CA"/>
    <w:rsid w:val="00FE0CCE"/>
    <w:rsid w:val="00FE1D24"/>
    <w:rsid w:val="00FE245E"/>
    <w:rsid w:val="00FE5678"/>
    <w:rsid w:val="00FE6398"/>
    <w:rsid w:val="00FF7F68"/>
    <w:rsid w:val="6A39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43FFC"/>
  <w15:chartTrackingRefBased/>
  <w15:docId w15:val="{2920012A-EF24-4055-8F24-9FC4B31E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link w:val="Heading7Char"/>
    <w:uiPriority w:val="1"/>
    <w:qFormat/>
    <w:rsid w:val="00B46497"/>
    <w:pPr>
      <w:widowControl w:val="0"/>
      <w:autoSpaceDE w:val="0"/>
      <w:autoSpaceDN w:val="0"/>
      <w:spacing w:before="1" w:after="0" w:line="240" w:lineRule="auto"/>
      <w:ind w:left="216"/>
      <w:outlineLvl w:val="6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45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D1C"/>
  </w:style>
  <w:style w:type="paragraph" w:styleId="Footer">
    <w:name w:val="footer"/>
    <w:basedOn w:val="Normal"/>
    <w:link w:val="FooterChar"/>
    <w:uiPriority w:val="99"/>
    <w:unhideWhenUsed/>
    <w:rsid w:val="00E45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D1C"/>
  </w:style>
  <w:style w:type="table" w:styleId="TableGrid">
    <w:name w:val="Table Grid"/>
    <w:basedOn w:val="TableNormal"/>
    <w:uiPriority w:val="59"/>
    <w:rsid w:val="00D4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C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9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7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7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7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7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B0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5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F77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1"/>
    <w:rsid w:val="00B46497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464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6497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4649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DON@State.MA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1648-F6B9-4BBF-8EA5-A3EC70FC07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630</Words>
  <Characters>3210</Characters>
  <Application>Microsoft Office Word</Application>
  <DocSecurity>0</DocSecurity>
  <Lines>133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Lucy (DPH)</dc:creator>
  <cp:keywords/>
  <dc:description/>
  <cp:lastModifiedBy>Marks, Brett (DPH)</cp:lastModifiedBy>
  <cp:revision>4</cp:revision>
  <cp:lastPrinted>2023-01-27T21:51:00Z</cp:lastPrinted>
  <dcterms:created xsi:type="dcterms:W3CDTF">2025-04-28T15:34:00Z</dcterms:created>
  <dcterms:modified xsi:type="dcterms:W3CDTF">2025-05-12T14:04:00Z</dcterms:modified>
</cp:coreProperties>
</file>