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5A7F" w14:textId="491E8DF0" w:rsidR="0062211A" w:rsidRPr="00E80DB7" w:rsidRDefault="0062211A" w:rsidP="00246DCE">
      <w:pPr>
        <w:pStyle w:val="Heading1"/>
        <w:rPr>
          <w:sz w:val="24"/>
          <w:szCs w:val="24"/>
        </w:rPr>
      </w:pPr>
      <w:r w:rsidRPr="00E80DB7">
        <w:rPr>
          <w:sz w:val="24"/>
          <w:szCs w:val="24"/>
        </w:rPr>
        <w:t xml:space="preserve">Response to Questions in Email from Lucy Clark on May 4, </w:t>
      </w:r>
      <w:proofErr w:type="gramStart"/>
      <w:r w:rsidRPr="00E80DB7">
        <w:rPr>
          <w:sz w:val="24"/>
          <w:szCs w:val="24"/>
        </w:rPr>
        <w:t>2026</w:t>
      </w:r>
      <w:proofErr w:type="gramEnd"/>
      <w:r w:rsidRPr="00E80DB7">
        <w:rPr>
          <w:sz w:val="24"/>
          <w:szCs w:val="24"/>
        </w:rPr>
        <w:t xml:space="preserve"> 1:07 pm</w:t>
      </w:r>
    </w:p>
    <w:p w14:paraId="466D626A" w14:textId="77777777" w:rsidR="00D97FAA" w:rsidRPr="00E80DB7" w:rsidRDefault="00D97FAA">
      <w:pPr>
        <w:rPr>
          <w:sz w:val="24"/>
          <w:szCs w:val="24"/>
        </w:rPr>
      </w:pPr>
    </w:p>
    <w:p w14:paraId="35D06B74" w14:textId="19FF2C76" w:rsidR="00F83178" w:rsidRPr="00E80DB7" w:rsidRDefault="00F83178" w:rsidP="00DF2DA5">
      <w:pPr>
        <w:pStyle w:val="Heading2"/>
        <w:rPr>
          <w:sz w:val="24"/>
          <w:szCs w:val="24"/>
        </w:rPr>
      </w:pPr>
      <w:r w:rsidRPr="00E80DB7">
        <w:rPr>
          <w:sz w:val="24"/>
          <w:szCs w:val="24"/>
        </w:rPr>
        <w:t xml:space="preserve"> If transport time is not included in the </w:t>
      </w:r>
      <w:r w:rsidR="00D47AB1">
        <w:rPr>
          <w:sz w:val="24"/>
          <w:szCs w:val="24"/>
        </w:rPr>
        <w:t>Business Intelligence (</w:t>
      </w:r>
      <w:r w:rsidRPr="00E80DB7">
        <w:rPr>
          <w:sz w:val="24"/>
          <w:szCs w:val="24"/>
        </w:rPr>
        <w:t>BI</w:t>
      </w:r>
      <w:r w:rsidR="00D47AB1">
        <w:rPr>
          <w:sz w:val="24"/>
          <w:szCs w:val="24"/>
        </w:rPr>
        <w:t>)</w:t>
      </w:r>
      <w:r w:rsidRPr="00E80DB7">
        <w:rPr>
          <w:sz w:val="24"/>
          <w:szCs w:val="24"/>
        </w:rPr>
        <w:t xml:space="preserve"> tool’s calculation of utilization, and utilization was 81</w:t>
      </w:r>
      <w:r w:rsidR="00774AD4">
        <w:rPr>
          <w:sz w:val="24"/>
          <w:szCs w:val="24"/>
        </w:rPr>
        <w:t xml:space="preserve"> percent</w:t>
      </w:r>
      <w:r w:rsidRPr="00E80DB7">
        <w:rPr>
          <w:sz w:val="24"/>
          <w:szCs w:val="24"/>
        </w:rPr>
        <w:t xml:space="preserve"> in 2025, why isn’t there additional capacity or slots available to increase utilization within the unit's current days and hours of operation?</w:t>
      </w:r>
    </w:p>
    <w:p w14:paraId="21CF5143" w14:textId="34C0A1B8" w:rsidR="00F83178" w:rsidRPr="00E80DB7" w:rsidRDefault="00F83178" w:rsidP="0062211A">
      <w:pPr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Response: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The Applicant begins each service day with a fully booked 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template of exam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s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.  For reasons such as patient cancellations, 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patient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failure to follow exam prep 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requirements including NPO (no food or drink, except water),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or 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patients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having a glucose level above 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a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recommended level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, 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patients may not be able to be scanned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during their scheduled time, leaving open slots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.  </w:t>
      </w:r>
      <w:r w:rsidR="008E07A7" w:rsidRPr="008E07A7">
        <w:rPr>
          <w:rFonts w:cstheme="minorHAnsi"/>
          <w:color w:val="0070C0"/>
          <w:kern w:val="0"/>
          <w:sz w:val="24"/>
          <w:szCs w:val="24"/>
          <w14:ligatures w14:val="none"/>
        </w:rPr>
        <w:t>Positron Emission Tomography-Computed Tomography</w:t>
      </w:r>
      <w:r w:rsidR="008E07A7" w:rsidRPr="008E07A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</w:t>
      </w:r>
      <w:r w:rsidR="008E07A7">
        <w:rPr>
          <w:rFonts w:cstheme="minorHAnsi"/>
          <w:color w:val="0070C0"/>
          <w:kern w:val="0"/>
          <w:sz w:val="24"/>
          <w:szCs w:val="24"/>
          <w14:ligatures w14:val="none"/>
        </w:rPr>
        <w:t>(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PETCT</w:t>
      </w:r>
      <w:r w:rsidR="006813C6">
        <w:rPr>
          <w:rFonts w:cstheme="minorHAnsi"/>
          <w:color w:val="0070C0"/>
          <w:kern w:val="0"/>
          <w:sz w:val="24"/>
          <w:szCs w:val="24"/>
          <w14:ligatures w14:val="none"/>
        </w:rPr>
        <w:t>)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exam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preparations require that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patients not eat </w:t>
      </w:r>
      <w:r w:rsidR="000C76A7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or drink (other than water) 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before 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an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exam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.  This requirement does not allow the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Applicant to backfill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</w:t>
      </w:r>
      <w:r w:rsidR="00701B1A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same day 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abandoned exam slot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s</w:t>
      </w:r>
      <w:r w:rsidR="00DE3B4F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with another patient</w:t>
      </w:r>
      <w:r w:rsidR="004056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.</w:t>
      </w:r>
    </w:p>
    <w:p w14:paraId="155B9753" w14:textId="40AD7A57" w:rsidR="00F83178" w:rsidRPr="00E80DB7" w:rsidRDefault="00F83178" w:rsidP="004056AC">
      <w:pPr>
        <w:rPr>
          <w:rFonts w:ascii="Aptos" w:hAnsi="Aptos"/>
          <w:color w:val="4472C4" w:themeColor="accent1"/>
          <w:sz w:val="28"/>
          <w:szCs w:val="28"/>
        </w:rPr>
      </w:pPr>
    </w:p>
    <w:p w14:paraId="17B710F1" w14:textId="5635DF37" w:rsidR="00F83178" w:rsidRPr="00E80DB7" w:rsidRDefault="00F83178" w:rsidP="00DF2DA5">
      <w:pPr>
        <w:pStyle w:val="Heading2"/>
        <w:rPr>
          <w:sz w:val="24"/>
          <w:szCs w:val="24"/>
        </w:rPr>
      </w:pPr>
      <w:r w:rsidRPr="00E80DB7">
        <w:rPr>
          <w:sz w:val="24"/>
          <w:szCs w:val="24"/>
        </w:rPr>
        <w:t>Explain why 81</w:t>
      </w:r>
      <w:r w:rsidR="006813C6">
        <w:rPr>
          <w:sz w:val="24"/>
          <w:szCs w:val="24"/>
        </w:rPr>
        <w:t xml:space="preserve"> percent</w:t>
      </w:r>
      <w:r w:rsidRPr="00E80DB7">
        <w:rPr>
          <w:sz w:val="24"/>
          <w:szCs w:val="24"/>
        </w:rPr>
        <w:t xml:space="preserve"> utilization is considered the maximum utilization (indicating need for additional days) for the current number of PET-CT days and operating hours when utilization previously increased to 85</w:t>
      </w:r>
      <w:r w:rsidR="006813C6">
        <w:rPr>
          <w:sz w:val="24"/>
          <w:szCs w:val="24"/>
        </w:rPr>
        <w:t xml:space="preserve"> percent</w:t>
      </w:r>
      <w:r w:rsidRPr="00E80DB7">
        <w:rPr>
          <w:sz w:val="24"/>
          <w:szCs w:val="24"/>
        </w:rPr>
        <w:t xml:space="preserve"> in 2023. What factors allowed for the increase in utilization without additional days?</w:t>
      </w:r>
    </w:p>
    <w:p w14:paraId="6D7B3C23" w14:textId="5181F0ED" w:rsidR="00F83178" w:rsidRPr="00E80DB7" w:rsidRDefault="00F83178" w:rsidP="00B539AF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b/>
          <w:bCs/>
          <w:color w:val="0070C0"/>
          <w:kern w:val="0"/>
          <w:sz w:val="24"/>
          <w:szCs w:val="24"/>
          <w14:ligatures w14:val="none"/>
        </w:rPr>
        <w:t xml:space="preserve">Response: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81</w:t>
      </w:r>
      <w:r w:rsidR="00A072A2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percent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is the Applicant’s </w:t>
      </w:r>
      <w:r w:rsidR="005141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current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average utilization</w:t>
      </w:r>
      <w:r w:rsidR="00B539AF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, not the maximum utilization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. This </w:t>
      </w:r>
      <w:r w:rsidR="00B539AF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average utilization </w:t>
      </w:r>
      <w:r w:rsidR="005141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can fluctuate based on the 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factors outlined above</w:t>
      </w:r>
      <w:r w:rsidR="005141A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.  The Applicant cannot schedule more exams without additional days as the Applicant begins each day with a fully booked template of exams.  </w:t>
      </w:r>
    </w:p>
    <w:p w14:paraId="20649713" w14:textId="77777777" w:rsidR="007E1CA9" w:rsidRPr="00E80DB7" w:rsidRDefault="007E1CA9" w:rsidP="007E1CA9">
      <w:pPr>
        <w:ind w:left="360" w:hanging="360"/>
        <w:contextualSpacing/>
        <w:rPr>
          <w:rFonts w:ascii="Aptos" w:hAnsi="Aptos"/>
          <w:color w:val="4472C4" w:themeColor="accent1"/>
          <w:sz w:val="28"/>
          <w:szCs w:val="28"/>
        </w:rPr>
      </w:pPr>
    </w:p>
    <w:p w14:paraId="208B49CB" w14:textId="70AEA785" w:rsidR="007E1CA9" w:rsidRPr="00E80DB7" w:rsidRDefault="00650A1C" w:rsidP="00B539AF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Timeliness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to scan rather than utilization may better reflect the need for increased days of </w:t>
      </w:r>
    </w:p>
    <w:p w14:paraId="39D3F3F7" w14:textId="5539653D" w:rsidR="002C0079" w:rsidRPr="00E80DB7" w:rsidRDefault="002C0079" w:rsidP="00B539AF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service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.  PETCT is used primarily to diagnose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, </w:t>
      </w:r>
      <w:r w:rsidR="007E1CA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stage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and monitor treatment efficacy of </w:t>
      </w:r>
    </w:p>
    <w:p w14:paraId="16737A31" w14:textId="573607CF" w:rsidR="002C0079" w:rsidRPr="00E80DB7" w:rsidRDefault="002C0079" w:rsidP="00B539AF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cancer. Research consistently illustrates that timeliness of diagnosis and care is </w:t>
      </w:r>
    </w:p>
    <w:p w14:paraId="26C27EE6" w14:textId="77777777" w:rsidR="002C0079" w:rsidRPr="00E80DB7" w:rsidRDefault="002C0079" w:rsidP="00B539AF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a critical factor in cancer outcomes.  The Applicant is currently experiencing a backlog of </w:t>
      </w:r>
    </w:p>
    <w:p w14:paraId="5EB52073" w14:textId="33EAEE2E" w:rsidR="00650A1C" w:rsidRPr="00E80DB7" w:rsidRDefault="00EC17B5" w:rsidP="00717330">
      <w:pPr>
        <w:spacing w:after="0"/>
        <w:ind w:left="360"/>
        <w:rPr>
          <w:rFonts w:cstheme="minorHAnsi"/>
          <w:color w:val="0070C0"/>
          <w:kern w:val="0"/>
          <w:sz w:val="24"/>
          <w:szCs w:val="24"/>
          <w14:ligatures w14:val="none"/>
        </w:rPr>
      </w:pP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17.1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days for PETCT exams and </w:t>
      </w:r>
      <w:r w:rsidR="00CE29D0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is 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forecasting increasing demand for PETCT services</w:t>
      </w:r>
      <w:r w:rsidR="00CE29D0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in the service area</w:t>
      </w:r>
      <w:r w:rsidR="002C0079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.  </w:t>
      </w:r>
      <w:r w:rsidR="00650A1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Without an increase in services days, patients </w:t>
      </w:r>
      <w:r w:rsidR="00CE29D0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will</w:t>
      </w:r>
      <w:r w:rsidR="00650A1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experience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longer </w:t>
      </w:r>
      <w:proofErr w:type="gramStart"/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wait</w:t>
      </w:r>
      <w:proofErr w:type="gramEnd"/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</w:t>
      </w:r>
      <w:proofErr w:type="gramStart"/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times</w:t>
      </w:r>
      <w:r w:rsidR="00650A1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, or</w:t>
      </w:r>
      <w:proofErr w:type="gramEnd"/>
      <w:r w:rsidR="00650A1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 be forced to seek care outside of the health care system </w:t>
      </w:r>
      <w:r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 xml:space="preserve">through </w:t>
      </w:r>
      <w:r w:rsidR="00650A1C" w:rsidRPr="00E80DB7">
        <w:rPr>
          <w:rFonts w:cstheme="minorHAnsi"/>
          <w:color w:val="0070C0"/>
          <w:kern w:val="0"/>
          <w:sz w:val="24"/>
          <w:szCs w:val="24"/>
          <w14:ligatures w14:val="none"/>
        </w:rPr>
        <w:t>which they are receiving services. This can also lead to delays to care and therefore worsening health outcomes.</w:t>
      </w:r>
    </w:p>
    <w:p w14:paraId="4A9583C6" w14:textId="77777777" w:rsidR="00F83178" w:rsidRPr="00E80DB7" w:rsidRDefault="00F83178">
      <w:pPr>
        <w:rPr>
          <w:sz w:val="24"/>
          <w:szCs w:val="24"/>
        </w:rPr>
      </w:pPr>
    </w:p>
    <w:sectPr w:rsidR="00F83178" w:rsidRPr="00E80D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5ADC" w14:textId="77777777" w:rsidR="007471BA" w:rsidRDefault="007471BA" w:rsidP="0062211A">
      <w:pPr>
        <w:spacing w:after="0" w:line="240" w:lineRule="auto"/>
      </w:pPr>
      <w:r>
        <w:separator/>
      </w:r>
    </w:p>
  </w:endnote>
  <w:endnote w:type="continuationSeparator" w:id="0">
    <w:p w14:paraId="59D74534" w14:textId="77777777" w:rsidR="007471BA" w:rsidRDefault="007471BA" w:rsidP="0062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17AD" w14:textId="77777777" w:rsidR="007471BA" w:rsidRDefault="007471BA" w:rsidP="0062211A">
      <w:pPr>
        <w:spacing w:after="0" w:line="240" w:lineRule="auto"/>
      </w:pPr>
      <w:r>
        <w:separator/>
      </w:r>
    </w:p>
  </w:footnote>
  <w:footnote w:type="continuationSeparator" w:id="0">
    <w:p w14:paraId="3A4EB44D" w14:textId="77777777" w:rsidR="007471BA" w:rsidRDefault="007471BA" w:rsidP="0062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CBD8" w14:textId="77777777" w:rsidR="0062211A" w:rsidRDefault="0062211A" w:rsidP="0062211A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Baystate MRI and Imaging Center, LLC</w:t>
    </w:r>
  </w:p>
  <w:p w14:paraId="4D76E9D2" w14:textId="77777777" w:rsidR="0062211A" w:rsidRPr="00092585" w:rsidRDefault="0062211A" w:rsidP="0062211A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# </w:t>
    </w:r>
    <w:r w:rsidRPr="00224BE5">
      <w:rPr>
        <w:b/>
        <w:bCs/>
        <w:sz w:val="28"/>
        <w:szCs w:val="28"/>
      </w:rPr>
      <w:t>BMIC-26010717-AM</w:t>
    </w:r>
  </w:p>
  <w:p w14:paraId="33A501C6" w14:textId="77777777" w:rsidR="0062211A" w:rsidRDefault="00622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C60"/>
    <w:multiLevelType w:val="hybridMultilevel"/>
    <w:tmpl w:val="6A76BF4C"/>
    <w:lvl w:ilvl="0" w:tplc="47223CCA">
      <w:start w:val="1"/>
      <w:numFmt w:val="decimal"/>
      <w:pStyle w:val="Heading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10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8"/>
    <w:rsid w:val="000C76A7"/>
    <w:rsid w:val="00246DCE"/>
    <w:rsid w:val="002C0079"/>
    <w:rsid w:val="004056AC"/>
    <w:rsid w:val="004373B6"/>
    <w:rsid w:val="004510B4"/>
    <w:rsid w:val="005141AC"/>
    <w:rsid w:val="005649F5"/>
    <w:rsid w:val="005D2253"/>
    <w:rsid w:val="0062211A"/>
    <w:rsid w:val="00650A1C"/>
    <w:rsid w:val="006813C6"/>
    <w:rsid w:val="0070079F"/>
    <w:rsid w:val="00701B1A"/>
    <w:rsid w:val="00717330"/>
    <w:rsid w:val="007471BA"/>
    <w:rsid w:val="00774AD4"/>
    <w:rsid w:val="007E1CA9"/>
    <w:rsid w:val="007F4A2D"/>
    <w:rsid w:val="008E07A7"/>
    <w:rsid w:val="00A072A2"/>
    <w:rsid w:val="00A727E6"/>
    <w:rsid w:val="00B539AF"/>
    <w:rsid w:val="00CE29D0"/>
    <w:rsid w:val="00CF062F"/>
    <w:rsid w:val="00D47AB1"/>
    <w:rsid w:val="00D97FAA"/>
    <w:rsid w:val="00DE1DC3"/>
    <w:rsid w:val="00DE367F"/>
    <w:rsid w:val="00DE3B4F"/>
    <w:rsid w:val="00DF2DA5"/>
    <w:rsid w:val="00E80DB7"/>
    <w:rsid w:val="00EC17B5"/>
    <w:rsid w:val="00F8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2F0EC"/>
  <w15:chartTrackingRefBased/>
  <w15:docId w15:val="{F65F70B8-E2B2-460F-9A69-B707074A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DCE"/>
    <w:pPr>
      <w:jc w:val="center"/>
      <w:outlineLvl w:val="0"/>
    </w:pPr>
    <w:rPr>
      <w:rFonts w:cstheme="minorHAnsi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F2DA5"/>
    <w:pPr>
      <w:numPr>
        <w:numId w:val="1"/>
      </w:numPr>
      <w:ind w:left="360"/>
      <w:outlineLvl w:val="1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1A"/>
  </w:style>
  <w:style w:type="paragraph" w:styleId="Footer">
    <w:name w:val="footer"/>
    <w:basedOn w:val="Normal"/>
    <w:link w:val="FooterChar"/>
    <w:uiPriority w:val="99"/>
    <w:unhideWhenUsed/>
    <w:rsid w:val="0062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1A"/>
  </w:style>
  <w:style w:type="paragraph" w:styleId="ListParagraph">
    <w:name w:val="List Paragraph"/>
    <w:basedOn w:val="Normal"/>
    <w:uiPriority w:val="1"/>
    <w:qFormat/>
    <w:rsid w:val="0062211A"/>
    <w:pPr>
      <w:ind w:left="720"/>
      <w:contextualSpacing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46DCE"/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F2DA5"/>
    <w:rPr>
      <w:rFonts w:cs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Shields Health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BMIC Responses to Questions 3a</dc:title>
  <dc:subject/>
  <dc:creator>Kerry Whelan</dc:creator>
  <cp:keywords/>
  <dc:description/>
  <cp:lastModifiedBy>Marks, Brett (DPH)</cp:lastModifiedBy>
  <cp:revision>16</cp:revision>
  <dcterms:created xsi:type="dcterms:W3CDTF">2026-05-13T16:33:00Z</dcterms:created>
  <dcterms:modified xsi:type="dcterms:W3CDTF">2026-05-15T19:04:00Z</dcterms:modified>
</cp:coreProperties>
</file>