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C944E" w14:textId="77777777" w:rsidR="0060745D" w:rsidRDefault="0060745D" w:rsidP="00D45CF3">
      <w:pPr>
        <w:jc w:val="center"/>
        <w:rPr>
          <w:rFonts w:cstheme="minorHAnsi"/>
          <w:b/>
          <w:bCs/>
        </w:rPr>
      </w:pPr>
    </w:p>
    <w:p w14:paraId="7CA231A0" w14:textId="77777777" w:rsidR="00D45CF3" w:rsidRPr="00054FF4" w:rsidRDefault="00D45CF3" w:rsidP="00D45CF3">
      <w:pPr>
        <w:jc w:val="center"/>
        <w:rPr>
          <w:rFonts w:cstheme="minorHAnsi"/>
          <w:b/>
          <w:bCs/>
        </w:rPr>
      </w:pPr>
      <w:r w:rsidRPr="00054FF4">
        <w:rPr>
          <w:rFonts w:cstheme="minorHAnsi"/>
          <w:b/>
          <w:bCs/>
        </w:rPr>
        <w:t>APPLICANT QUESTIONS</w:t>
      </w:r>
      <w:r w:rsidR="00006750">
        <w:rPr>
          <w:rFonts w:cstheme="minorHAnsi"/>
          <w:b/>
          <w:bCs/>
        </w:rPr>
        <w:t xml:space="preserve"> #</w:t>
      </w:r>
      <w:r w:rsidR="004561E2">
        <w:rPr>
          <w:rFonts w:cstheme="minorHAnsi"/>
          <w:b/>
          <w:bCs/>
        </w:rPr>
        <w:t>3</w:t>
      </w:r>
    </w:p>
    <w:p w14:paraId="7556B74A" w14:textId="77777777" w:rsidR="00D45CF3" w:rsidRPr="00054FF4" w:rsidRDefault="00D45CF3" w:rsidP="00D45CF3">
      <w:pPr>
        <w:jc w:val="center"/>
        <w:rPr>
          <w:rFonts w:cstheme="minorHAnsi"/>
        </w:rPr>
      </w:pPr>
      <w:r w:rsidRPr="00054FF4">
        <w:rPr>
          <w:rFonts w:cstheme="minorHAnsi"/>
          <w:i/>
          <w:iCs/>
        </w:rPr>
        <w:t xml:space="preserve">Responses should be sent to DoN staff at </w:t>
      </w:r>
      <w:hyperlink r:id="rId8" w:history="1">
        <w:r w:rsidRPr="00054FF4">
          <w:rPr>
            <w:rStyle w:val="Hyperlink"/>
            <w:rFonts w:cstheme="minorHAnsi"/>
          </w:rPr>
          <w:t>DPH.DON@State.MA.US</w:t>
        </w:r>
      </w:hyperlink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D45CF3" w:rsidRPr="00054FF4" w14:paraId="527D5498" w14:textId="77777777">
        <w:trPr>
          <w:jc w:val="center"/>
        </w:trPr>
        <w:tc>
          <w:tcPr>
            <w:tcW w:w="9350" w:type="dxa"/>
          </w:tcPr>
          <w:p w14:paraId="1AC28EF1" w14:textId="77777777" w:rsidR="00D45CF3" w:rsidRPr="00054FF4" w:rsidRDefault="00D45CF3">
            <w:p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While you may submit each answer as available, please </w:t>
            </w:r>
          </w:p>
          <w:p w14:paraId="34F26D2C" w14:textId="77777777" w:rsidR="00D45CF3" w:rsidRPr="00054FF4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List question number and question for each answer you provide </w:t>
            </w:r>
          </w:p>
          <w:p w14:paraId="5352FE9C" w14:textId="77777777" w:rsidR="00D45CF3" w:rsidRPr="00054FF4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Submit responses as a separate word document, using the above application title and number as a running header and page numbers in the footer </w:t>
            </w:r>
          </w:p>
          <w:p w14:paraId="31FE8768" w14:textId="77777777" w:rsidR="00D45CF3" w:rsidRPr="00054FF4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When providing the answer to the final question, submit all questions and answers in one final document </w:t>
            </w:r>
          </w:p>
          <w:p w14:paraId="0C9D675E" w14:textId="77777777" w:rsidR="00D45CF3" w:rsidRPr="00054FF4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054FF4">
              <w:rPr>
                <w:rFonts w:cstheme="minorHAnsi"/>
                <w:bCs/>
              </w:rPr>
              <w:t>Submit responses in WORD or EXCEL; only use PDF’s if absolutely necessary. If “cutting and pasting” charts, provide them in a PDF so they can be clearly seen</w:t>
            </w:r>
          </w:p>
          <w:p w14:paraId="0D9338AC" w14:textId="77777777" w:rsidR="00D45CF3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054FF4">
              <w:rPr>
                <w:rFonts w:cstheme="minorHAnsi"/>
                <w:b/>
              </w:rPr>
              <w:t>Whenever possible, include a table with the response</w:t>
            </w:r>
          </w:p>
          <w:p w14:paraId="63F1E8D0" w14:textId="77777777" w:rsidR="001A32EA" w:rsidRPr="00054FF4" w:rsidRDefault="001A32EA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1A32EA">
              <w:rPr>
                <w:rFonts w:cstheme="minorHAnsi"/>
                <w:b/>
              </w:rPr>
              <w:t>For HIPAA compliance Do not include numbers &lt;11.</w:t>
            </w:r>
          </w:p>
        </w:tc>
      </w:tr>
    </w:tbl>
    <w:p w14:paraId="2D232DAD" w14:textId="77777777" w:rsidR="0066604A" w:rsidRDefault="0066604A"/>
    <w:p w14:paraId="399C1340" w14:textId="77777777" w:rsidR="008E6545" w:rsidRDefault="001D7789" w:rsidP="0060745D">
      <w:pPr>
        <w:rPr>
          <w:rFonts w:cstheme="minorHAnsi"/>
          <w:b/>
          <w:bCs/>
        </w:rPr>
      </w:pPr>
      <w:r w:rsidRPr="006345D0">
        <w:rPr>
          <w:rFonts w:cstheme="minorHAnsi"/>
          <w:b/>
          <w:bCs/>
        </w:rPr>
        <w:t>Factor 1a: Patient Panel Need</w:t>
      </w:r>
    </w:p>
    <w:p w14:paraId="339B4A14" w14:textId="77777777" w:rsidR="00185F20" w:rsidRPr="003A24AF" w:rsidRDefault="005429D0" w:rsidP="005429D0">
      <w:pPr>
        <w:pStyle w:val="ListParagraph"/>
        <w:numPr>
          <w:ilvl w:val="0"/>
          <w:numId w:val="20"/>
        </w:numPr>
        <w:rPr>
          <w:rFonts w:cstheme="minorHAnsi"/>
          <w:b/>
          <w:bCs/>
        </w:rPr>
      </w:pPr>
      <w:r w:rsidRPr="003A24AF">
        <w:rPr>
          <w:rFonts w:cstheme="minorHAnsi"/>
          <w:b/>
          <w:bCs/>
        </w:rPr>
        <w:t xml:space="preserve">The proposed facility does not include a procedure room. </w:t>
      </w:r>
    </w:p>
    <w:p w14:paraId="6775B436" w14:textId="77777777" w:rsidR="004561E2" w:rsidRPr="003A24AF" w:rsidRDefault="005429D0" w:rsidP="00185F20">
      <w:pPr>
        <w:pStyle w:val="ListParagraph"/>
        <w:numPr>
          <w:ilvl w:val="1"/>
          <w:numId w:val="20"/>
        </w:numPr>
        <w:rPr>
          <w:rFonts w:cstheme="minorHAnsi"/>
          <w:b/>
          <w:bCs/>
        </w:rPr>
      </w:pPr>
      <w:r w:rsidRPr="003A24AF">
        <w:rPr>
          <w:rFonts w:cstheme="minorHAnsi"/>
          <w:b/>
          <w:bCs/>
        </w:rPr>
        <w:t>Why is the Applicant eliminating the procedure room?</w:t>
      </w:r>
    </w:p>
    <w:p w14:paraId="298F5861" w14:textId="77777777" w:rsidR="005429D0" w:rsidRPr="003A24AF" w:rsidRDefault="005429D0" w:rsidP="005429D0">
      <w:pPr>
        <w:pStyle w:val="ListParagraph"/>
        <w:numPr>
          <w:ilvl w:val="1"/>
          <w:numId w:val="20"/>
        </w:numPr>
        <w:rPr>
          <w:rFonts w:cstheme="minorHAnsi"/>
          <w:b/>
          <w:bCs/>
        </w:rPr>
      </w:pPr>
      <w:r w:rsidRPr="003A24AF">
        <w:rPr>
          <w:rFonts w:cstheme="minorHAnsi"/>
          <w:b/>
          <w:bCs/>
        </w:rPr>
        <w:t>How will the volume from the procedure room be accommodated in the new facility</w:t>
      </w:r>
      <w:r w:rsidR="00015CE8" w:rsidRPr="003A24AF">
        <w:rPr>
          <w:rFonts w:cstheme="minorHAnsi"/>
          <w:b/>
          <w:bCs/>
        </w:rPr>
        <w:t>?</w:t>
      </w:r>
      <w:r w:rsidRPr="003A24AF">
        <w:rPr>
          <w:rFonts w:cstheme="minorHAnsi"/>
          <w:b/>
          <w:bCs/>
        </w:rPr>
        <w:t xml:space="preserve"> </w:t>
      </w:r>
    </w:p>
    <w:p w14:paraId="7B3E5621" w14:textId="77777777" w:rsidR="005429D0" w:rsidRPr="003A24AF" w:rsidRDefault="005429D0" w:rsidP="009F5E25">
      <w:pPr>
        <w:pStyle w:val="ListParagraph"/>
        <w:numPr>
          <w:ilvl w:val="1"/>
          <w:numId w:val="20"/>
        </w:numPr>
        <w:spacing w:after="0"/>
        <w:rPr>
          <w:rFonts w:cstheme="minorHAnsi"/>
          <w:b/>
          <w:bCs/>
        </w:rPr>
      </w:pPr>
      <w:r w:rsidRPr="003A24AF">
        <w:rPr>
          <w:rFonts w:cstheme="minorHAnsi"/>
          <w:b/>
          <w:bCs/>
        </w:rPr>
        <w:t xml:space="preserve">Are there any </w:t>
      </w:r>
      <w:r w:rsidR="00F233A7" w:rsidRPr="003A24AF">
        <w:rPr>
          <w:rFonts w:cstheme="minorHAnsi"/>
          <w:b/>
          <w:bCs/>
        </w:rPr>
        <w:t>throughput</w:t>
      </w:r>
      <w:r w:rsidRPr="003A24AF">
        <w:rPr>
          <w:rFonts w:cstheme="minorHAnsi"/>
          <w:b/>
          <w:bCs/>
        </w:rPr>
        <w:t xml:space="preserve"> or cost implications</w:t>
      </w:r>
      <w:r w:rsidR="009E7725" w:rsidRPr="003A24AF">
        <w:rPr>
          <w:rFonts w:cstheme="minorHAnsi"/>
          <w:b/>
          <w:bCs/>
        </w:rPr>
        <w:t xml:space="preserve"> that will result from</w:t>
      </w:r>
      <w:r w:rsidRPr="003A24AF">
        <w:rPr>
          <w:rFonts w:cstheme="minorHAnsi"/>
          <w:b/>
          <w:bCs/>
        </w:rPr>
        <w:t xml:space="preserve"> the </w:t>
      </w:r>
      <w:r w:rsidR="009E7725" w:rsidRPr="003A24AF">
        <w:rPr>
          <w:rFonts w:cstheme="minorHAnsi"/>
          <w:b/>
          <w:bCs/>
        </w:rPr>
        <w:t xml:space="preserve">elimination of the </w:t>
      </w:r>
      <w:r w:rsidRPr="003A24AF">
        <w:rPr>
          <w:rFonts w:cstheme="minorHAnsi"/>
          <w:b/>
          <w:bCs/>
        </w:rPr>
        <w:t>procedure room?</w:t>
      </w:r>
    </w:p>
    <w:p w14:paraId="217B287A" w14:textId="77777777" w:rsidR="009F5E25" w:rsidRPr="009F5E25" w:rsidRDefault="009F5E25" w:rsidP="009F5E25">
      <w:pPr>
        <w:spacing w:after="0"/>
        <w:ind w:left="1080"/>
        <w:rPr>
          <w:rFonts w:cstheme="minorHAnsi"/>
        </w:rPr>
      </w:pPr>
    </w:p>
    <w:p w14:paraId="0CCC86CC" w14:textId="5C355F89" w:rsidR="004530B0" w:rsidRDefault="00C12EB8">
      <w:pPr>
        <w:pStyle w:val="ListParagraph"/>
        <w:rPr>
          <w:rFonts w:cstheme="minorHAnsi"/>
          <w:color w:val="4472C4" w:themeColor="accent1"/>
        </w:rPr>
      </w:pPr>
      <w:r w:rsidRPr="00DE2793">
        <w:rPr>
          <w:rFonts w:cstheme="minorHAnsi"/>
          <w:b/>
          <w:bCs/>
        </w:rPr>
        <w:t>Applicant Response</w:t>
      </w:r>
      <w:r w:rsidRPr="00DE2793">
        <w:rPr>
          <w:rFonts w:cstheme="minorHAnsi"/>
        </w:rPr>
        <w:t xml:space="preserve">:  </w:t>
      </w:r>
      <w:r w:rsidR="003F7B11" w:rsidRPr="00DE2793">
        <w:rPr>
          <w:rFonts w:cstheme="minorHAnsi"/>
        </w:rPr>
        <w:t xml:space="preserve">The Applicant did not include a procedure room in its plans for the proposed ASC in order to </w:t>
      </w:r>
      <w:r w:rsidR="00DE2793">
        <w:rPr>
          <w:rFonts w:cstheme="minorHAnsi"/>
        </w:rPr>
        <w:t>maximize</w:t>
      </w:r>
      <w:r w:rsidR="003F7B11" w:rsidRPr="00DE2793">
        <w:rPr>
          <w:rFonts w:cstheme="minorHAnsi"/>
        </w:rPr>
        <w:t xml:space="preserve"> versatility and flexibility for </w:t>
      </w:r>
      <w:r w:rsidR="00DE2793">
        <w:rPr>
          <w:rFonts w:cstheme="minorHAnsi"/>
        </w:rPr>
        <w:t xml:space="preserve">all </w:t>
      </w:r>
      <w:r w:rsidR="000D7CB2">
        <w:rPr>
          <w:rFonts w:cstheme="minorHAnsi"/>
        </w:rPr>
        <w:t xml:space="preserve">ASC </w:t>
      </w:r>
      <w:r w:rsidR="003F7B11" w:rsidRPr="00DE2793">
        <w:rPr>
          <w:rFonts w:cstheme="minorHAnsi"/>
        </w:rPr>
        <w:t xml:space="preserve">cases.  </w:t>
      </w:r>
      <w:r w:rsidR="00DE2793" w:rsidRPr="00DE2793">
        <w:rPr>
          <w:rFonts w:cstheme="minorHAnsi"/>
        </w:rPr>
        <w:t xml:space="preserve">Currently, pain cases can be performed in one of the Applicant's ORs or in a procedure room; however the </w:t>
      </w:r>
      <w:r w:rsidR="00700C61">
        <w:rPr>
          <w:rFonts w:cstheme="minorHAnsi"/>
        </w:rPr>
        <w:t xml:space="preserve">majority of </w:t>
      </w:r>
      <w:r w:rsidR="008F491B">
        <w:rPr>
          <w:rFonts w:cstheme="minorHAnsi"/>
        </w:rPr>
        <w:t>orthopedics</w:t>
      </w:r>
      <w:r w:rsidR="008F491B" w:rsidRPr="00DE2793">
        <w:rPr>
          <w:rFonts w:cstheme="minorHAnsi"/>
        </w:rPr>
        <w:t xml:space="preserve"> </w:t>
      </w:r>
      <w:r w:rsidR="00DE2793" w:rsidRPr="00DE2793">
        <w:rPr>
          <w:rFonts w:cstheme="minorHAnsi"/>
        </w:rPr>
        <w:t xml:space="preserve">cases can only be performed in an OR.  </w:t>
      </w:r>
      <w:r w:rsidR="008F491B">
        <w:rPr>
          <w:rFonts w:cstheme="minorHAnsi"/>
        </w:rPr>
        <w:t xml:space="preserve">If the project were to include a procedure room instead of an OR, </w:t>
      </w:r>
      <w:r w:rsidR="00DE2793">
        <w:rPr>
          <w:rFonts w:cstheme="minorHAnsi"/>
        </w:rPr>
        <w:t xml:space="preserve">the procedure room </w:t>
      </w:r>
      <w:r w:rsidR="00E325C9">
        <w:rPr>
          <w:rFonts w:cstheme="minorHAnsi"/>
        </w:rPr>
        <w:t>might</w:t>
      </w:r>
      <w:r w:rsidR="00A10120">
        <w:rPr>
          <w:rFonts w:cstheme="minorHAnsi"/>
        </w:rPr>
        <w:t xml:space="preserve"> be</w:t>
      </w:r>
      <w:r w:rsidR="00DE2793">
        <w:rPr>
          <w:rFonts w:cstheme="minorHAnsi"/>
        </w:rPr>
        <w:t xml:space="preserve"> </w:t>
      </w:r>
      <w:r w:rsidR="008D1825">
        <w:rPr>
          <w:rFonts w:cstheme="minorHAnsi"/>
        </w:rPr>
        <w:t>underutilized while</w:t>
      </w:r>
      <w:r w:rsidR="00A10120">
        <w:rPr>
          <w:rFonts w:cstheme="minorHAnsi"/>
        </w:rPr>
        <w:t xml:space="preserve"> at the same time the Applicant’s ability to accommodate the anticipated growth of its orthopedic case volume</w:t>
      </w:r>
      <w:r w:rsidR="00F92E2A">
        <w:rPr>
          <w:rFonts w:cstheme="minorHAnsi"/>
        </w:rPr>
        <w:t xml:space="preserve"> would be constrained</w:t>
      </w:r>
      <w:r w:rsidR="00A10120">
        <w:rPr>
          <w:rFonts w:cstheme="minorHAnsi"/>
        </w:rPr>
        <w:t xml:space="preserve"> (</w:t>
      </w:r>
      <w:r w:rsidR="00F92E2A">
        <w:rPr>
          <w:rFonts w:cstheme="minorHAnsi"/>
        </w:rPr>
        <w:t xml:space="preserve">since some of that </w:t>
      </w:r>
      <w:r w:rsidR="00A10120">
        <w:rPr>
          <w:rFonts w:cstheme="minorHAnsi"/>
        </w:rPr>
        <w:t>growth c</w:t>
      </w:r>
      <w:r w:rsidR="00F92E2A">
        <w:rPr>
          <w:rFonts w:cstheme="minorHAnsi"/>
        </w:rPr>
        <w:t>ould otherwise</w:t>
      </w:r>
      <w:r w:rsidR="00A10120">
        <w:rPr>
          <w:rFonts w:cstheme="minorHAnsi"/>
        </w:rPr>
        <w:t xml:space="preserve"> be accommodated in </w:t>
      </w:r>
      <w:r w:rsidR="00700949">
        <w:rPr>
          <w:rFonts w:cstheme="minorHAnsi"/>
        </w:rPr>
        <w:t xml:space="preserve">an </w:t>
      </w:r>
      <w:r w:rsidR="00A10120">
        <w:rPr>
          <w:rFonts w:cstheme="minorHAnsi"/>
        </w:rPr>
        <w:t>OR when not fully utilized for pain cases)</w:t>
      </w:r>
      <w:r w:rsidR="00DE2793">
        <w:rPr>
          <w:rFonts w:cstheme="minorHAnsi"/>
        </w:rPr>
        <w:t xml:space="preserve">.  </w:t>
      </w:r>
      <w:r w:rsidR="00DE2793" w:rsidRPr="00DE2793">
        <w:rPr>
          <w:rFonts w:cstheme="minorHAnsi"/>
        </w:rPr>
        <w:t>In the proposed facility, all cases will be performed in an OR at no additional cost to the patients or payers</w:t>
      </w:r>
      <w:r w:rsidR="00700949">
        <w:rPr>
          <w:rFonts w:cstheme="minorHAnsi"/>
        </w:rPr>
        <w:t>,</w:t>
      </w:r>
      <w:r w:rsidR="00DE2793" w:rsidRPr="00DE2793">
        <w:rPr>
          <w:rFonts w:cstheme="minorHAnsi"/>
        </w:rPr>
        <w:t xml:space="preserve"> as the Applicant is paid based on an ASC fee schedule, regardless of whether the case is performed in an OR or a procedure room.  The</w:t>
      </w:r>
      <w:r w:rsidR="008F491B">
        <w:rPr>
          <w:rFonts w:cstheme="minorHAnsi"/>
        </w:rPr>
        <w:t xml:space="preserve"> Applicant does</w:t>
      </w:r>
      <w:r w:rsidR="00DE2793" w:rsidRPr="00DE2793">
        <w:rPr>
          <w:rFonts w:cstheme="minorHAnsi"/>
        </w:rPr>
        <w:t xml:space="preserve"> not</w:t>
      </w:r>
      <w:r w:rsidR="008F491B">
        <w:rPr>
          <w:rFonts w:cstheme="minorHAnsi"/>
        </w:rPr>
        <w:t xml:space="preserve"> </w:t>
      </w:r>
      <w:r w:rsidR="00F92E2A">
        <w:rPr>
          <w:rFonts w:cstheme="minorHAnsi"/>
        </w:rPr>
        <w:t>expect</w:t>
      </w:r>
      <w:r w:rsidR="00DE2793" w:rsidRPr="00DE2793">
        <w:rPr>
          <w:rFonts w:cstheme="minorHAnsi"/>
        </w:rPr>
        <w:t xml:space="preserve"> any </w:t>
      </w:r>
      <w:r w:rsidR="00F92E2A">
        <w:rPr>
          <w:rFonts w:cstheme="minorHAnsi"/>
        </w:rPr>
        <w:t xml:space="preserve">negative </w:t>
      </w:r>
      <w:r w:rsidR="00DE2793" w:rsidRPr="00DE2793">
        <w:rPr>
          <w:rFonts w:cstheme="minorHAnsi"/>
        </w:rPr>
        <w:t>throughput implications resulting from the elimination of the procedure room</w:t>
      </w:r>
      <w:r w:rsidR="00DE2793">
        <w:rPr>
          <w:rFonts w:cstheme="minorHAnsi"/>
        </w:rPr>
        <w:t xml:space="preserve">.  </w:t>
      </w:r>
    </w:p>
    <w:p w14:paraId="1D5BF59C" w14:textId="77777777" w:rsidR="00DE2793" w:rsidRPr="00DE2793" w:rsidRDefault="00DE2793">
      <w:pPr>
        <w:pStyle w:val="ListParagraph"/>
        <w:rPr>
          <w:rFonts w:cstheme="minorHAnsi"/>
        </w:rPr>
      </w:pPr>
    </w:p>
    <w:p w14:paraId="6BEA2FAB" w14:textId="77777777" w:rsidR="00267BCF" w:rsidRPr="003A24AF" w:rsidRDefault="00267BCF" w:rsidP="006D4085">
      <w:pPr>
        <w:pStyle w:val="ListParagraph"/>
        <w:numPr>
          <w:ilvl w:val="0"/>
          <w:numId w:val="20"/>
        </w:numPr>
        <w:spacing w:after="0"/>
        <w:rPr>
          <w:rFonts w:cstheme="minorHAnsi"/>
          <w:b/>
          <w:bCs/>
        </w:rPr>
      </w:pPr>
      <w:r w:rsidRPr="003A24AF">
        <w:rPr>
          <w:rFonts w:cstheme="minorHAnsi"/>
          <w:b/>
          <w:bCs/>
        </w:rPr>
        <w:t xml:space="preserve">The Applicant’s Patient Panel was </w:t>
      </w:r>
      <w:r w:rsidR="005F3228" w:rsidRPr="003A24AF">
        <w:rPr>
          <w:rFonts w:cstheme="minorHAnsi"/>
          <w:b/>
          <w:bCs/>
        </w:rPr>
        <w:t xml:space="preserve">3,282 in </w:t>
      </w:r>
      <w:r w:rsidR="00E46DB6" w:rsidRPr="003A24AF">
        <w:rPr>
          <w:rFonts w:cstheme="minorHAnsi"/>
          <w:b/>
          <w:bCs/>
        </w:rPr>
        <w:t xml:space="preserve">CY2023, and the number of cases was </w:t>
      </w:r>
      <w:r w:rsidR="004530B0" w:rsidRPr="003A24AF">
        <w:rPr>
          <w:rFonts w:cstheme="minorHAnsi"/>
          <w:b/>
          <w:bCs/>
        </w:rPr>
        <w:t xml:space="preserve">3,388 in CY2023. Please explain the reason for the </w:t>
      </w:r>
      <w:r w:rsidR="0012699F" w:rsidRPr="003A24AF">
        <w:rPr>
          <w:rFonts w:cstheme="minorHAnsi"/>
          <w:b/>
          <w:bCs/>
        </w:rPr>
        <w:t xml:space="preserve">higher number of cases </w:t>
      </w:r>
      <w:r w:rsidR="00C844EF" w:rsidRPr="003A24AF">
        <w:rPr>
          <w:rFonts w:cstheme="minorHAnsi"/>
          <w:b/>
          <w:bCs/>
        </w:rPr>
        <w:t>than</w:t>
      </w:r>
      <w:r w:rsidR="0012699F" w:rsidRPr="003A24AF">
        <w:rPr>
          <w:rFonts w:cstheme="minorHAnsi"/>
          <w:b/>
          <w:bCs/>
        </w:rPr>
        <w:t xml:space="preserve"> patients</w:t>
      </w:r>
      <w:r w:rsidR="004530B0" w:rsidRPr="003A24AF">
        <w:rPr>
          <w:rFonts w:cstheme="minorHAnsi"/>
          <w:b/>
          <w:bCs/>
        </w:rPr>
        <w:t xml:space="preserve">. </w:t>
      </w:r>
    </w:p>
    <w:p w14:paraId="1233B6B3" w14:textId="77777777" w:rsidR="00C12EB8" w:rsidRPr="00C12EB8" w:rsidRDefault="00C12EB8" w:rsidP="009F5E25">
      <w:pPr>
        <w:spacing w:after="0"/>
        <w:ind w:left="360"/>
        <w:rPr>
          <w:rFonts w:cstheme="minorHAnsi"/>
        </w:rPr>
      </w:pPr>
    </w:p>
    <w:p w14:paraId="64F4A301" w14:textId="248772CC" w:rsidR="00F80E52" w:rsidRPr="00776A98" w:rsidRDefault="00C12EB8" w:rsidP="00F80E52">
      <w:pPr>
        <w:pStyle w:val="ListParagraph"/>
        <w:rPr>
          <w:rFonts w:cstheme="minorHAnsi"/>
          <w:color w:val="FF0000"/>
        </w:rPr>
      </w:pPr>
      <w:r w:rsidRPr="00C12EB8">
        <w:rPr>
          <w:rFonts w:cstheme="minorHAnsi"/>
          <w:b/>
          <w:bCs/>
        </w:rPr>
        <w:t>Applicant Response</w:t>
      </w:r>
      <w:r>
        <w:rPr>
          <w:rFonts w:cstheme="minorHAnsi"/>
        </w:rPr>
        <w:t xml:space="preserve">:  </w:t>
      </w:r>
      <w:r w:rsidR="00E43FD8">
        <w:rPr>
          <w:rFonts w:cstheme="minorHAnsi"/>
          <w:color w:val="000000" w:themeColor="text1"/>
        </w:rPr>
        <w:t>The Applicant's cases in CY2023 were higher than the Applicant's patient panel in CY 2023 because some patients have more than one surgery in a year.</w:t>
      </w:r>
      <w:r w:rsidR="009461BA">
        <w:rPr>
          <w:rFonts w:cstheme="minorHAnsi"/>
          <w:color w:val="000000" w:themeColor="text1"/>
        </w:rPr>
        <w:t xml:space="preserve">  For example, a patient may require bilateral knee replacement and have surgery on her left knee in one month and return a few months later to replace her right knee.  Another patient may have shoulder surgery one month with an orthopedic surgeon and have a bunion surgery with a podiatrist </w:t>
      </w:r>
      <w:r w:rsidR="009461BA">
        <w:rPr>
          <w:rFonts w:cstheme="minorHAnsi"/>
          <w:color w:val="000000" w:themeColor="text1"/>
        </w:rPr>
        <w:lastRenderedPageBreak/>
        <w:t xml:space="preserve">months later but in the same year. </w:t>
      </w:r>
      <w:r w:rsidR="00E43FD8">
        <w:rPr>
          <w:rFonts w:cstheme="minorHAnsi"/>
          <w:color w:val="000000" w:themeColor="text1"/>
        </w:rPr>
        <w:t xml:space="preserve">The count of cases is higher than </w:t>
      </w:r>
      <w:r w:rsidR="00700949">
        <w:rPr>
          <w:rFonts w:cstheme="minorHAnsi"/>
          <w:color w:val="000000" w:themeColor="text1"/>
        </w:rPr>
        <w:t xml:space="preserve">the </w:t>
      </w:r>
      <w:r w:rsidR="00E43FD8">
        <w:rPr>
          <w:rFonts w:cstheme="minorHAnsi"/>
          <w:color w:val="000000" w:themeColor="text1"/>
        </w:rPr>
        <w:t>count of patients in prior years as well</w:t>
      </w:r>
      <w:r w:rsidR="00700949">
        <w:rPr>
          <w:rFonts w:cstheme="minorHAnsi"/>
          <w:color w:val="000000" w:themeColor="text1"/>
        </w:rPr>
        <w:t>.</w:t>
      </w:r>
      <w:r w:rsidR="005A7FCF">
        <w:rPr>
          <w:rFonts w:cstheme="minorHAnsi"/>
          <w:color w:val="000000" w:themeColor="text1"/>
        </w:rPr>
        <w:t xml:space="preserve"> </w:t>
      </w:r>
    </w:p>
    <w:p w14:paraId="181E3D20" w14:textId="77777777" w:rsidR="00AC0417" w:rsidRDefault="00AC0417" w:rsidP="00F80E52">
      <w:pPr>
        <w:pStyle w:val="ListParagraph"/>
        <w:rPr>
          <w:rFonts w:cstheme="minorHAnsi"/>
          <w:color w:val="000000" w:themeColor="text1"/>
        </w:rPr>
      </w:pPr>
    </w:p>
    <w:tbl>
      <w:tblPr>
        <w:tblStyle w:val="TableGrid"/>
        <w:tblW w:w="4592" w:type="dxa"/>
        <w:tblInd w:w="1705" w:type="dxa"/>
        <w:tblLook w:val="04A0" w:firstRow="1" w:lastRow="0" w:firstColumn="1" w:lastColumn="0" w:noHBand="0" w:noVBand="1"/>
      </w:tblPr>
      <w:tblGrid>
        <w:gridCol w:w="1037"/>
        <w:gridCol w:w="1045"/>
        <w:gridCol w:w="1264"/>
        <w:gridCol w:w="1246"/>
      </w:tblGrid>
      <w:tr w:rsidR="00AC0417" w:rsidRPr="00607184" w14:paraId="50B642A0" w14:textId="77777777" w:rsidTr="0000342D">
        <w:trPr>
          <w:cantSplit/>
          <w:tblHeader/>
        </w:trPr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5B1BAD58" w14:textId="77777777" w:rsidR="00AC0417" w:rsidRDefault="00AC0417" w:rsidP="00CC11EC">
            <w:pPr>
              <w:rPr>
                <w:rFonts w:cstheme="minorHAnsi"/>
                <w:color w:val="000000" w:themeColor="text1"/>
              </w:rPr>
            </w:pPr>
          </w:p>
          <w:p w14:paraId="4FD5F610" w14:textId="77777777" w:rsidR="00AC0417" w:rsidRPr="00607184" w:rsidRDefault="00AC0417" w:rsidP="00CC11E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607184">
              <w:rPr>
                <w:rFonts w:cstheme="minorHAnsi"/>
                <w:b/>
                <w:bCs/>
                <w:color w:val="000000" w:themeColor="text1"/>
              </w:rPr>
              <w:t xml:space="preserve">Year 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5E4DAFA2" w14:textId="77777777" w:rsidR="00AC0417" w:rsidRDefault="00AC0417" w:rsidP="00CC11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6557C24D" w14:textId="77777777" w:rsidR="00AC0417" w:rsidRPr="00607184" w:rsidRDefault="00AC0417" w:rsidP="00CC11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607184">
              <w:rPr>
                <w:rFonts w:cstheme="minorHAnsi"/>
                <w:b/>
                <w:bCs/>
                <w:color w:val="000000" w:themeColor="text1"/>
              </w:rPr>
              <w:t xml:space="preserve"># </w:t>
            </w:r>
            <w:r>
              <w:rPr>
                <w:rFonts w:cstheme="minorHAnsi"/>
                <w:b/>
                <w:bCs/>
                <w:color w:val="000000" w:themeColor="text1"/>
              </w:rPr>
              <w:t>Patients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2C5E5C0" w14:textId="77777777" w:rsidR="00AC0417" w:rsidRDefault="00AC0417" w:rsidP="00CC11EC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2D0BF887" w14:textId="77777777" w:rsidR="00AC0417" w:rsidRDefault="00AC0417" w:rsidP="00CC11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# </w:t>
            </w:r>
          </w:p>
          <w:p w14:paraId="3F4A1D99" w14:textId="77777777" w:rsidR="00AC0417" w:rsidRPr="00607184" w:rsidRDefault="00AC0417" w:rsidP="00CC11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Cases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95E4629" w14:textId="77777777" w:rsidR="00AC0417" w:rsidRPr="00607184" w:rsidRDefault="00AC0417" w:rsidP="00CC11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Ratio of Procedures per Case</w:t>
            </w:r>
          </w:p>
        </w:tc>
      </w:tr>
      <w:tr w:rsidR="00AC0417" w:rsidRPr="00815C78" w14:paraId="2FA83786" w14:textId="77777777" w:rsidTr="0000342D">
        <w:trPr>
          <w:cantSplit/>
        </w:trPr>
        <w:tc>
          <w:tcPr>
            <w:tcW w:w="1037" w:type="dxa"/>
            <w:tcBorders>
              <w:top w:val="single" w:sz="4" w:space="0" w:color="000000" w:themeColor="text1"/>
            </w:tcBorders>
          </w:tcPr>
          <w:p w14:paraId="7B26C2A6" w14:textId="77777777" w:rsidR="00AC0417" w:rsidRPr="00815C78" w:rsidRDefault="00AC0417" w:rsidP="00AC0417">
            <w:pPr>
              <w:rPr>
                <w:rFonts w:cstheme="minorHAnsi"/>
                <w:color w:val="000000" w:themeColor="text1"/>
              </w:rPr>
            </w:pPr>
            <w:r w:rsidRPr="00815C78">
              <w:rPr>
                <w:rFonts w:cstheme="minorHAnsi"/>
                <w:color w:val="000000" w:themeColor="text1"/>
              </w:rPr>
              <w:t>2019</w:t>
            </w:r>
          </w:p>
        </w:tc>
        <w:tc>
          <w:tcPr>
            <w:tcW w:w="1045" w:type="dxa"/>
            <w:tcBorders>
              <w:top w:val="single" w:sz="4" w:space="0" w:color="000000" w:themeColor="text1"/>
            </w:tcBorders>
          </w:tcPr>
          <w:p w14:paraId="190641EF" w14:textId="77777777" w:rsidR="00AC0417" w:rsidRPr="00815C78" w:rsidRDefault="004C24BF" w:rsidP="00AC041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3,618</w:t>
            </w:r>
          </w:p>
        </w:tc>
        <w:tc>
          <w:tcPr>
            <w:tcW w:w="1264" w:type="dxa"/>
            <w:tcBorders>
              <w:top w:val="single" w:sz="4" w:space="0" w:color="000000" w:themeColor="text1"/>
            </w:tcBorders>
          </w:tcPr>
          <w:p w14:paraId="201C2965" w14:textId="77777777" w:rsidR="00AC0417" w:rsidRPr="00815C78" w:rsidRDefault="00AC0417" w:rsidP="00AC041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4,794</w:t>
            </w:r>
          </w:p>
        </w:tc>
        <w:tc>
          <w:tcPr>
            <w:tcW w:w="1246" w:type="dxa"/>
            <w:tcBorders>
              <w:top w:val="single" w:sz="4" w:space="0" w:color="000000" w:themeColor="text1"/>
            </w:tcBorders>
          </w:tcPr>
          <w:p w14:paraId="736CCAAD" w14:textId="77777777" w:rsidR="00AC0417" w:rsidRPr="00815C78" w:rsidRDefault="004C24BF" w:rsidP="00AC041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1.33</w:t>
            </w:r>
            <w:r w:rsidR="00AC0417">
              <w:rPr>
                <w:rFonts w:cstheme="minorHAnsi"/>
                <w:color w:val="000000" w:themeColor="text1"/>
              </w:rPr>
              <w:t xml:space="preserve"> to 1</w:t>
            </w:r>
          </w:p>
        </w:tc>
      </w:tr>
      <w:tr w:rsidR="00AC0417" w:rsidRPr="00815C78" w14:paraId="574656A8" w14:textId="77777777" w:rsidTr="0000342D">
        <w:trPr>
          <w:cantSplit/>
        </w:trPr>
        <w:tc>
          <w:tcPr>
            <w:tcW w:w="1037" w:type="dxa"/>
          </w:tcPr>
          <w:p w14:paraId="6366E013" w14:textId="77777777" w:rsidR="00AC0417" w:rsidRPr="00815C78" w:rsidRDefault="00AC0417" w:rsidP="00AC0417">
            <w:pPr>
              <w:rPr>
                <w:rFonts w:cstheme="minorHAnsi"/>
                <w:color w:val="000000" w:themeColor="text1"/>
              </w:rPr>
            </w:pPr>
            <w:r w:rsidRPr="00815C78">
              <w:rPr>
                <w:rFonts w:cstheme="minorHAnsi"/>
                <w:color w:val="000000" w:themeColor="text1"/>
              </w:rPr>
              <w:t>2020</w:t>
            </w:r>
          </w:p>
        </w:tc>
        <w:tc>
          <w:tcPr>
            <w:tcW w:w="1045" w:type="dxa"/>
          </w:tcPr>
          <w:p w14:paraId="7CAF3548" w14:textId="77777777" w:rsidR="00AC0417" w:rsidRPr="00815C78" w:rsidRDefault="00AC0417" w:rsidP="00AC041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3,</w:t>
            </w:r>
            <w:r w:rsidR="004C24BF">
              <w:rPr>
                <w:rFonts w:cstheme="minorHAnsi"/>
                <w:color w:val="000000" w:themeColor="text1"/>
              </w:rPr>
              <w:t>221</w:t>
            </w:r>
          </w:p>
        </w:tc>
        <w:tc>
          <w:tcPr>
            <w:tcW w:w="1264" w:type="dxa"/>
          </w:tcPr>
          <w:p w14:paraId="689BF913" w14:textId="77777777" w:rsidR="00AC0417" w:rsidRPr="00815C78" w:rsidRDefault="00AC0417" w:rsidP="00AC041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3,711</w:t>
            </w:r>
          </w:p>
        </w:tc>
        <w:tc>
          <w:tcPr>
            <w:tcW w:w="1246" w:type="dxa"/>
          </w:tcPr>
          <w:p w14:paraId="42AF39B9" w14:textId="77777777" w:rsidR="00AC0417" w:rsidRPr="00815C78" w:rsidRDefault="004C24BF" w:rsidP="00AC041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1.15</w:t>
            </w:r>
            <w:r w:rsidR="00AC0417">
              <w:rPr>
                <w:rFonts w:cstheme="minorHAnsi"/>
                <w:color w:val="000000" w:themeColor="text1"/>
              </w:rPr>
              <w:t xml:space="preserve"> to 1</w:t>
            </w:r>
          </w:p>
        </w:tc>
      </w:tr>
      <w:tr w:rsidR="00AC0417" w:rsidRPr="00815C78" w14:paraId="70626EDE" w14:textId="77777777" w:rsidTr="0000342D">
        <w:trPr>
          <w:cantSplit/>
        </w:trPr>
        <w:tc>
          <w:tcPr>
            <w:tcW w:w="1037" w:type="dxa"/>
          </w:tcPr>
          <w:p w14:paraId="40774CD0" w14:textId="77777777" w:rsidR="00AC0417" w:rsidRPr="00815C78" w:rsidRDefault="00AC0417" w:rsidP="00AC0417">
            <w:pPr>
              <w:rPr>
                <w:rFonts w:cstheme="minorHAnsi"/>
                <w:color w:val="000000" w:themeColor="text1"/>
              </w:rPr>
            </w:pPr>
            <w:r w:rsidRPr="00815C78">
              <w:rPr>
                <w:rFonts w:cstheme="minorHAnsi"/>
                <w:color w:val="000000" w:themeColor="text1"/>
              </w:rPr>
              <w:t>2021</w:t>
            </w:r>
          </w:p>
        </w:tc>
        <w:tc>
          <w:tcPr>
            <w:tcW w:w="1045" w:type="dxa"/>
          </w:tcPr>
          <w:p w14:paraId="3BCAA2FA" w14:textId="77777777" w:rsidR="00AC0417" w:rsidRPr="00815C78" w:rsidRDefault="004C24BF" w:rsidP="00AC041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2,719</w:t>
            </w:r>
          </w:p>
        </w:tc>
        <w:tc>
          <w:tcPr>
            <w:tcW w:w="1264" w:type="dxa"/>
          </w:tcPr>
          <w:p w14:paraId="67DB1B5F" w14:textId="77777777" w:rsidR="00AC0417" w:rsidRPr="00815C78" w:rsidRDefault="00AC0417" w:rsidP="00AC041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3,353</w:t>
            </w:r>
          </w:p>
        </w:tc>
        <w:tc>
          <w:tcPr>
            <w:tcW w:w="1246" w:type="dxa"/>
          </w:tcPr>
          <w:p w14:paraId="5BB60173" w14:textId="77777777" w:rsidR="00AC0417" w:rsidRPr="00815C78" w:rsidRDefault="004C24BF" w:rsidP="00AC041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1.23</w:t>
            </w:r>
            <w:r w:rsidR="00AC0417">
              <w:rPr>
                <w:rFonts w:cstheme="minorHAnsi"/>
                <w:color w:val="000000" w:themeColor="text1"/>
              </w:rPr>
              <w:t xml:space="preserve"> to 1</w:t>
            </w:r>
          </w:p>
        </w:tc>
      </w:tr>
      <w:tr w:rsidR="00AC0417" w:rsidRPr="00815C78" w14:paraId="161707F5" w14:textId="77777777" w:rsidTr="0000342D">
        <w:trPr>
          <w:cantSplit/>
        </w:trPr>
        <w:tc>
          <w:tcPr>
            <w:tcW w:w="1037" w:type="dxa"/>
          </w:tcPr>
          <w:p w14:paraId="0B442F8A" w14:textId="77777777" w:rsidR="00AC0417" w:rsidRPr="00815C78" w:rsidRDefault="00AC0417" w:rsidP="00AC0417">
            <w:pPr>
              <w:rPr>
                <w:rFonts w:cstheme="minorHAnsi"/>
                <w:color w:val="000000" w:themeColor="text1"/>
              </w:rPr>
            </w:pPr>
            <w:r w:rsidRPr="00815C78">
              <w:rPr>
                <w:rFonts w:cstheme="minorHAnsi"/>
                <w:color w:val="000000" w:themeColor="text1"/>
              </w:rPr>
              <w:t>2022</w:t>
            </w:r>
          </w:p>
        </w:tc>
        <w:tc>
          <w:tcPr>
            <w:tcW w:w="1045" w:type="dxa"/>
          </w:tcPr>
          <w:p w14:paraId="51E08265" w14:textId="77777777" w:rsidR="00AC0417" w:rsidRPr="00815C78" w:rsidRDefault="004C24BF" w:rsidP="00AC041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3,239</w:t>
            </w:r>
          </w:p>
        </w:tc>
        <w:tc>
          <w:tcPr>
            <w:tcW w:w="1264" w:type="dxa"/>
          </w:tcPr>
          <w:p w14:paraId="2CF73E8D" w14:textId="77777777" w:rsidR="00AC0417" w:rsidRPr="00815C78" w:rsidRDefault="00AC0417" w:rsidP="00AC041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3,310</w:t>
            </w:r>
          </w:p>
        </w:tc>
        <w:tc>
          <w:tcPr>
            <w:tcW w:w="1246" w:type="dxa"/>
          </w:tcPr>
          <w:p w14:paraId="2427633E" w14:textId="77777777" w:rsidR="00AC0417" w:rsidRPr="00815C78" w:rsidRDefault="004C24BF" w:rsidP="00AC041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1.02</w:t>
            </w:r>
            <w:r w:rsidR="00AC0417">
              <w:rPr>
                <w:rFonts w:cstheme="minorHAnsi"/>
                <w:color w:val="000000" w:themeColor="text1"/>
              </w:rPr>
              <w:t xml:space="preserve"> to 1</w:t>
            </w:r>
          </w:p>
        </w:tc>
      </w:tr>
      <w:tr w:rsidR="00AC0417" w:rsidRPr="00815C78" w14:paraId="3F98E556" w14:textId="77777777" w:rsidTr="0000342D">
        <w:trPr>
          <w:cantSplit/>
        </w:trPr>
        <w:tc>
          <w:tcPr>
            <w:tcW w:w="1037" w:type="dxa"/>
          </w:tcPr>
          <w:p w14:paraId="0C9911F5" w14:textId="77777777" w:rsidR="00AC0417" w:rsidRPr="00815C78" w:rsidRDefault="00AC0417" w:rsidP="00AC0417">
            <w:pPr>
              <w:rPr>
                <w:rFonts w:cstheme="minorHAnsi"/>
                <w:color w:val="000000" w:themeColor="text1"/>
              </w:rPr>
            </w:pPr>
            <w:r w:rsidRPr="00815C78">
              <w:rPr>
                <w:rFonts w:cstheme="minorHAnsi"/>
                <w:color w:val="000000" w:themeColor="text1"/>
              </w:rPr>
              <w:t>2023</w:t>
            </w:r>
          </w:p>
        </w:tc>
        <w:tc>
          <w:tcPr>
            <w:tcW w:w="1045" w:type="dxa"/>
          </w:tcPr>
          <w:p w14:paraId="67529036" w14:textId="77777777" w:rsidR="00AC0417" w:rsidRPr="00815C78" w:rsidRDefault="00AC0417" w:rsidP="00AC041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3,</w:t>
            </w:r>
            <w:r w:rsidR="004C24BF">
              <w:rPr>
                <w:rFonts w:cstheme="minorHAnsi"/>
                <w:color w:val="000000" w:themeColor="text1"/>
              </w:rPr>
              <w:t>282</w:t>
            </w:r>
          </w:p>
        </w:tc>
        <w:tc>
          <w:tcPr>
            <w:tcW w:w="1264" w:type="dxa"/>
          </w:tcPr>
          <w:p w14:paraId="657347E6" w14:textId="77777777" w:rsidR="00AC0417" w:rsidRPr="00815C78" w:rsidRDefault="00AC0417" w:rsidP="00AC041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3,388</w:t>
            </w:r>
          </w:p>
        </w:tc>
        <w:tc>
          <w:tcPr>
            <w:tcW w:w="1246" w:type="dxa"/>
          </w:tcPr>
          <w:p w14:paraId="129A2C0F" w14:textId="77777777" w:rsidR="00AC0417" w:rsidRPr="00815C78" w:rsidRDefault="004C24BF" w:rsidP="00AC041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1.03</w:t>
            </w:r>
            <w:r w:rsidR="00AC0417">
              <w:rPr>
                <w:rFonts w:cstheme="minorHAnsi"/>
                <w:color w:val="000000" w:themeColor="text1"/>
              </w:rPr>
              <w:t xml:space="preserve"> to 1</w:t>
            </w:r>
          </w:p>
        </w:tc>
      </w:tr>
    </w:tbl>
    <w:p w14:paraId="67A2DC52" w14:textId="77777777" w:rsidR="00AC0417" w:rsidRDefault="00AC0417" w:rsidP="00F80E52">
      <w:pPr>
        <w:pStyle w:val="ListParagraph"/>
        <w:rPr>
          <w:rFonts w:cstheme="minorHAnsi"/>
          <w:color w:val="000000" w:themeColor="text1"/>
        </w:rPr>
      </w:pPr>
    </w:p>
    <w:p w14:paraId="6DEB2BF3" w14:textId="77777777" w:rsidR="002166C8" w:rsidRDefault="002166C8" w:rsidP="00F80E52">
      <w:pPr>
        <w:pStyle w:val="ListParagraph"/>
        <w:rPr>
          <w:rFonts w:cstheme="minorHAnsi"/>
        </w:rPr>
      </w:pPr>
    </w:p>
    <w:p w14:paraId="7201F446" w14:textId="77777777" w:rsidR="00534A6B" w:rsidRPr="003A24AF" w:rsidRDefault="00FD7924" w:rsidP="00534A6B">
      <w:pPr>
        <w:pStyle w:val="ListParagraph"/>
        <w:numPr>
          <w:ilvl w:val="0"/>
          <w:numId w:val="20"/>
        </w:numPr>
        <w:rPr>
          <w:rFonts w:cstheme="minorHAnsi"/>
          <w:b/>
          <w:bCs/>
        </w:rPr>
      </w:pPr>
      <w:r w:rsidRPr="003A24AF">
        <w:rPr>
          <w:rFonts w:cstheme="minorHAnsi"/>
          <w:b/>
          <w:bCs/>
        </w:rPr>
        <w:t>The responses to DON questions states that</w:t>
      </w:r>
      <w:r w:rsidR="00534A6B" w:rsidRPr="003A24AF">
        <w:rPr>
          <w:rFonts w:cstheme="minorHAnsi"/>
          <w:b/>
          <w:bCs/>
        </w:rPr>
        <w:t xml:space="preserve"> the decrease in cases between 2019 and 2023 was due in part to </w:t>
      </w:r>
      <w:r w:rsidR="00340888" w:rsidRPr="003A24AF">
        <w:rPr>
          <w:rFonts w:cstheme="minorHAnsi"/>
          <w:b/>
          <w:bCs/>
        </w:rPr>
        <w:t>surgical cases becoming more complex, requiring</w:t>
      </w:r>
      <w:r w:rsidR="00534A6B" w:rsidRPr="003A24AF">
        <w:rPr>
          <w:rFonts w:cstheme="minorHAnsi"/>
          <w:b/>
          <w:bCs/>
        </w:rPr>
        <w:t xml:space="preserve"> longer OR time</w:t>
      </w:r>
      <w:r w:rsidR="00FF50D6" w:rsidRPr="003A24AF">
        <w:rPr>
          <w:rFonts w:cstheme="minorHAnsi"/>
          <w:b/>
          <w:bCs/>
        </w:rPr>
        <w:t xml:space="preserve"> (pg. 2 Reponses to DoN Questions #2)</w:t>
      </w:r>
      <w:r w:rsidR="00534A6B" w:rsidRPr="003A24AF">
        <w:rPr>
          <w:rFonts w:cstheme="minorHAnsi"/>
          <w:b/>
          <w:bCs/>
        </w:rPr>
        <w:t>.</w:t>
      </w:r>
    </w:p>
    <w:p w14:paraId="500509F4" w14:textId="77777777" w:rsidR="00534A6B" w:rsidRPr="003A24AF" w:rsidRDefault="00534A6B" w:rsidP="00D603A8">
      <w:pPr>
        <w:pStyle w:val="ListParagraph"/>
        <w:numPr>
          <w:ilvl w:val="1"/>
          <w:numId w:val="20"/>
        </w:numPr>
        <w:spacing w:after="0"/>
        <w:rPr>
          <w:rFonts w:cstheme="minorHAnsi"/>
          <w:b/>
          <w:bCs/>
        </w:rPr>
      </w:pPr>
      <w:r w:rsidRPr="003A24AF">
        <w:rPr>
          <w:rFonts w:cstheme="minorHAnsi"/>
          <w:b/>
          <w:bCs/>
        </w:rPr>
        <w:t xml:space="preserve">Do you have the ability to </w:t>
      </w:r>
      <w:r w:rsidR="00815C78" w:rsidRPr="003A24AF">
        <w:rPr>
          <w:rFonts w:cstheme="minorHAnsi"/>
          <w:b/>
          <w:bCs/>
        </w:rPr>
        <w:t xml:space="preserve">use </w:t>
      </w:r>
      <w:r w:rsidRPr="003A24AF">
        <w:rPr>
          <w:rFonts w:cstheme="minorHAnsi"/>
          <w:b/>
          <w:bCs/>
        </w:rPr>
        <w:t xml:space="preserve">data to demonstrate increasing OR time due to </w:t>
      </w:r>
      <w:r w:rsidR="00D87E67" w:rsidRPr="003A24AF">
        <w:rPr>
          <w:rFonts w:cstheme="minorHAnsi"/>
          <w:b/>
          <w:bCs/>
        </w:rPr>
        <w:t xml:space="preserve">increasing </w:t>
      </w:r>
      <w:r w:rsidRPr="003A24AF">
        <w:rPr>
          <w:rFonts w:cstheme="minorHAnsi"/>
          <w:b/>
          <w:bCs/>
        </w:rPr>
        <w:t>case complexity?</w:t>
      </w:r>
    </w:p>
    <w:p w14:paraId="6C5BBE77" w14:textId="77777777" w:rsidR="00C12EB8" w:rsidRPr="00C12EB8" w:rsidRDefault="00C12EB8" w:rsidP="006D4085">
      <w:pPr>
        <w:spacing w:after="0"/>
        <w:ind w:left="1080"/>
        <w:rPr>
          <w:rFonts w:cstheme="minorHAnsi"/>
        </w:rPr>
      </w:pPr>
    </w:p>
    <w:p w14:paraId="16A6B97E" w14:textId="04206221" w:rsidR="00C12EB8" w:rsidRPr="00A55DF7" w:rsidRDefault="00C12EB8" w:rsidP="00DB5EB5">
      <w:pPr>
        <w:pStyle w:val="ListParagraph"/>
        <w:numPr>
          <w:ilvl w:val="0"/>
          <w:numId w:val="25"/>
        </w:numPr>
        <w:rPr>
          <w:rFonts w:cstheme="minorHAnsi"/>
          <w:color w:val="000000" w:themeColor="text1"/>
        </w:rPr>
      </w:pPr>
      <w:r w:rsidRPr="00A55DF7">
        <w:rPr>
          <w:rFonts w:cstheme="minorHAnsi"/>
          <w:b/>
          <w:bCs/>
          <w:color w:val="000000" w:themeColor="text1"/>
        </w:rPr>
        <w:t>Applicant Response</w:t>
      </w:r>
      <w:r w:rsidRPr="00A55DF7">
        <w:rPr>
          <w:rFonts w:cstheme="minorHAnsi"/>
          <w:color w:val="000000" w:themeColor="text1"/>
        </w:rPr>
        <w:t xml:space="preserve">:  </w:t>
      </w:r>
      <w:r w:rsidR="00815C78" w:rsidRPr="00A55DF7">
        <w:rPr>
          <w:rFonts w:cstheme="minorHAnsi"/>
          <w:color w:val="000000" w:themeColor="text1"/>
        </w:rPr>
        <w:t xml:space="preserve">The Applicant </w:t>
      </w:r>
      <w:r w:rsidR="00A55DF7" w:rsidRPr="00A55DF7">
        <w:rPr>
          <w:rFonts w:cstheme="minorHAnsi"/>
          <w:color w:val="000000" w:themeColor="text1"/>
        </w:rPr>
        <w:t>has</w:t>
      </w:r>
      <w:r w:rsidR="00A55DF7">
        <w:rPr>
          <w:rFonts w:cstheme="minorHAnsi"/>
          <w:color w:val="000000" w:themeColor="text1"/>
        </w:rPr>
        <w:t xml:space="preserve"> </w:t>
      </w:r>
      <w:r w:rsidR="00E1742C" w:rsidRPr="00A55DF7">
        <w:rPr>
          <w:rFonts w:cstheme="minorHAnsi"/>
          <w:color w:val="000000" w:themeColor="text1"/>
        </w:rPr>
        <w:t>document</w:t>
      </w:r>
      <w:r w:rsidR="00A55DF7" w:rsidRPr="00A55DF7">
        <w:rPr>
          <w:rFonts w:cstheme="minorHAnsi"/>
          <w:color w:val="000000" w:themeColor="text1"/>
        </w:rPr>
        <w:t>ed</w:t>
      </w:r>
      <w:r w:rsidR="00E1742C" w:rsidRPr="00A55DF7">
        <w:rPr>
          <w:rFonts w:cstheme="minorHAnsi"/>
          <w:color w:val="000000" w:themeColor="text1"/>
        </w:rPr>
        <w:t xml:space="preserve"> the </w:t>
      </w:r>
      <w:r w:rsidR="00815C78" w:rsidRPr="00A55DF7">
        <w:rPr>
          <w:rFonts w:cstheme="minorHAnsi"/>
          <w:color w:val="000000" w:themeColor="text1"/>
        </w:rPr>
        <w:t xml:space="preserve">year-over-year increases in average OR time </w:t>
      </w:r>
      <w:r w:rsidR="00E1742C" w:rsidRPr="00A55DF7">
        <w:rPr>
          <w:rFonts w:cstheme="minorHAnsi"/>
          <w:color w:val="000000" w:themeColor="text1"/>
        </w:rPr>
        <w:t xml:space="preserve">from </w:t>
      </w:r>
      <w:r w:rsidR="00815C78" w:rsidRPr="00A55DF7">
        <w:rPr>
          <w:rFonts w:cstheme="minorHAnsi"/>
          <w:color w:val="000000" w:themeColor="text1"/>
        </w:rPr>
        <w:t xml:space="preserve">2019 </w:t>
      </w:r>
      <w:r w:rsidR="00E1742C" w:rsidRPr="00A55DF7">
        <w:rPr>
          <w:rFonts w:cstheme="minorHAnsi"/>
          <w:color w:val="000000" w:themeColor="text1"/>
        </w:rPr>
        <w:t>–</w:t>
      </w:r>
      <w:r w:rsidR="00815C78" w:rsidRPr="00A55DF7">
        <w:rPr>
          <w:rFonts w:cstheme="minorHAnsi"/>
          <w:color w:val="000000" w:themeColor="text1"/>
        </w:rPr>
        <w:t xml:space="preserve"> 2023</w:t>
      </w:r>
      <w:r w:rsidR="00E1742C" w:rsidRPr="00A55DF7">
        <w:rPr>
          <w:rFonts w:cstheme="minorHAnsi"/>
          <w:color w:val="000000" w:themeColor="text1"/>
        </w:rPr>
        <w:t xml:space="preserve">, as reflected in the table below.  </w:t>
      </w:r>
      <w:r w:rsidR="00815C78" w:rsidRPr="00A55DF7">
        <w:rPr>
          <w:rFonts w:cstheme="minorHAnsi"/>
          <w:color w:val="000000" w:themeColor="text1"/>
        </w:rPr>
        <w:t xml:space="preserve"> </w:t>
      </w:r>
    </w:p>
    <w:tbl>
      <w:tblPr>
        <w:tblStyle w:val="TableGrid"/>
        <w:tblW w:w="5856" w:type="dxa"/>
        <w:tblInd w:w="1705" w:type="dxa"/>
        <w:tblLook w:val="04A0" w:firstRow="1" w:lastRow="0" w:firstColumn="1" w:lastColumn="0" w:noHBand="0" w:noVBand="1"/>
      </w:tblPr>
      <w:tblGrid>
        <w:gridCol w:w="1080"/>
        <w:gridCol w:w="1082"/>
        <w:gridCol w:w="1264"/>
        <w:gridCol w:w="1266"/>
        <w:gridCol w:w="1164"/>
      </w:tblGrid>
      <w:tr w:rsidR="00607184" w:rsidRPr="00815C78" w14:paraId="01AD64B0" w14:textId="77777777" w:rsidTr="00AE7600">
        <w:trPr>
          <w:cantSplit/>
          <w:tblHeader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526DDBC" w14:textId="77777777" w:rsidR="00607184" w:rsidRDefault="00607184" w:rsidP="00815C78">
            <w:pPr>
              <w:rPr>
                <w:rFonts w:cstheme="minorHAnsi"/>
                <w:color w:val="000000" w:themeColor="text1"/>
              </w:rPr>
            </w:pPr>
          </w:p>
          <w:p w14:paraId="0F15294D" w14:textId="77777777" w:rsidR="00815C78" w:rsidRPr="00607184" w:rsidRDefault="00607184" w:rsidP="00815C78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607184">
              <w:rPr>
                <w:rFonts w:cstheme="minorHAnsi"/>
                <w:b/>
                <w:bCs/>
                <w:color w:val="000000" w:themeColor="text1"/>
              </w:rPr>
              <w:t xml:space="preserve">Year 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9DE24B2" w14:textId="77777777" w:rsidR="00607184" w:rsidRDefault="00607184" w:rsidP="00607184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1A32A392" w14:textId="77777777" w:rsidR="00AC0417" w:rsidRDefault="00815C78" w:rsidP="00607184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607184">
              <w:rPr>
                <w:rFonts w:cstheme="minorHAnsi"/>
                <w:b/>
                <w:bCs/>
                <w:color w:val="000000" w:themeColor="text1"/>
              </w:rPr>
              <w:t xml:space="preserve"># </w:t>
            </w:r>
          </w:p>
          <w:p w14:paraId="23B9E8E4" w14:textId="77777777" w:rsidR="00815C78" w:rsidRPr="00607184" w:rsidRDefault="00AC0417" w:rsidP="00607184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C</w:t>
            </w:r>
            <w:r w:rsidR="00815C78" w:rsidRPr="00607184">
              <w:rPr>
                <w:rFonts w:cstheme="minorHAnsi"/>
                <w:b/>
                <w:bCs/>
                <w:color w:val="000000" w:themeColor="text1"/>
              </w:rPr>
              <w:t>ases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E2825EE" w14:textId="77777777" w:rsidR="00607184" w:rsidRDefault="00607184" w:rsidP="00607184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5543F0A7" w14:textId="77777777" w:rsidR="00815C78" w:rsidRPr="00607184" w:rsidRDefault="000D3DB9" w:rsidP="00607184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% </w:t>
            </w:r>
            <w:r w:rsidRPr="00607184">
              <w:rPr>
                <w:rFonts w:cstheme="minorHAnsi"/>
                <w:b/>
                <w:bCs/>
                <w:color w:val="000000" w:themeColor="text1"/>
              </w:rPr>
              <w:t>YOY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607184">
              <w:rPr>
                <w:rFonts w:cstheme="minorHAnsi"/>
                <w:b/>
                <w:bCs/>
                <w:color w:val="000000" w:themeColor="text1"/>
              </w:rPr>
              <w:t>change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A7424AA" w14:textId="77777777" w:rsidR="00815C78" w:rsidRPr="00607184" w:rsidRDefault="00815C78" w:rsidP="000D3DB9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607184">
              <w:rPr>
                <w:rFonts w:cstheme="minorHAnsi"/>
                <w:b/>
                <w:bCs/>
                <w:color w:val="000000" w:themeColor="text1"/>
              </w:rPr>
              <w:t>Average OR time in minutes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4AF5A1C" w14:textId="77777777" w:rsidR="00607184" w:rsidRDefault="00607184" w:rsidP="00607184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1620C189" w14:textId="77777777" w:rsidR="00815C78" w:rsidRPr="00607184" w:rsidRDefault="000D3DB9" w:rsidP="00607184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% </w:t>
            </w:r>
            <w:r w:rsidRPr="00607184">
              <w:rPr>
                <w:rFonts w:cstheme="minorHAnsi"/>
                <w:b/>
                <w:bCs/>
                <w:color w:val="000000" w:themeColor="text1"/>
              </w:rPr>
              <w:t>YOY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607184">
              <w:rPr>
                <w:rFonts w:cstheme="minorHAnsi"/>
                <w:b/>
                <w:bCs/>
                <w:color w:val="000000" w:themeColor="text1"/>
              </w:rPr>
              <w:t>change</w:t>
            </w:r>
          </w:p>
        </w:tc>
      </w:tr>
      <w:tr w:rsidR="00607184" w:rsidRPr="00815C78" w14:paraId="7E279E49" w14:textId="77777777" w:rsidTr="00AE7600">
        <w:trPr>
          <w:cantSplit/>
        </w:trPr>
        <w:tc>
          <w:tcPr>
            <w:tcW w:w="1080" w:type="dxa"/>
            <w:tcBorders>
              <w:top w:val="single" w:sz="4" w:space="0" w:color="000000" w:themeColor="text1"/>
            </w:tcBorders>
          </w:tcPr>
          <w:p w14:paraId="73FC6516" w14:textId="77777777" w:rsidR="00815C78" w:rsidRPr="00815C78" w:rsidRDefault="00815C78" w:rsidP="00815C78">
            <w:pPr>
              <w:rPr>
                <w:rFonts w:cstheme="minorHAnsi"/>
                <w:color w:val="000000" w:themeColor="text1"/>
              </w:rPr>
            </w:pPr>
            <w:r w:rsidRPr="00815C78">
              <w:rPr>
                <w:rFonts w:cstheme="minorHAnsi"/>
                <w:color w:val="000000" w:themeColor="text1"/>
              </w:rPr>
              <w:t>2019</w:t>
            </w:r>
          </w:p>
        </w:tc>
        <w:tc>
          <w:tcPr>
            <w:tcW w:w="1082" w:type="dxa"/>
            <w:tcBorders>
              <w:top w:val="single" w:sz="4" w:space="0" w:color="000000" w:themeColor="text1"/>
            </w:tcBorders>
          </w:tcPr>
          <w:p w14:paraId="34BF0331" w14:textId="77777777" w:rsidR="00815C78" w:rsidRPr="00815C78" w:rsidRDefault="00815C78" w:rsidP="00A74B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4,794</w:t>
            </w:r>
          </w:p>
        </w:tc>
        <w:tc>
          <w:tcPr>
            <w:tcW w:w="1264" w:type="dxa"/>
            <w:tcBorders>
              <w:top w:val="single" w:sz="4" w:space="0" w:color="000000" w:themeColor="text1"/>
            </w:tcBorders>
          </w:tcPr>
          <w:p w14:paraId="1EEA457F" w14:textId="77777777" w:rsidR="00815C78" w:rsidRPr="00815C78" w:rsidRDefault="00815C78" w:rsidP="00A74B2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</w:tcBorders>
          </w:tcPr>
          <w:p w14:paraId="1C78D2AF" w14:textId="77777777" w:rsidR="00815C78" w:rsidRPr="00815C78" w:rsidRDefault="00815C78" w:rsidP="00A74B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39.35</w:t>
            </w:r>
          </w:p>
        </w:tc>
        <w:tc>
          <w:tcPr>
            <w:tcW w:w="1164" w:type="dxa"/>
            <w:tcBorders>
              <w:top w:val="single" w:sz="4" w:space="0" w:color="000000" w:themeColor="text1"/>
            </w:tcBorders>
          </w:tcPr>
          <w:p w14:paraId="62374A3B" w14:textId="77777777" w:rsidR="00815C78" w:rsidRPr="00815C78" w:rsidRDefault="00815C78" w:rsidP="00A74B2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07184" w:rsidRPr="00815C78" w14:paraId="24427828" w14:textId="77777777" w:rsidTr="00AE7600">
        <w:trPr>
          <w:cantSplit/>
        </w:trPr>
        <w:tc>
          <w:tcPr>
            <w:tcW w:w="1080" w:type="dxa"/>
          </w:tcPr>
          <w:p w14:paraId="50F04317" w14:textId="77777777" w:rsidR="00C01F28" w:rsidRPr="00815C78" w:rsidRDefault="00C01F28" w:rsidP="00C01F28">
            <w:pPr>
              <w:rPr>
                <w:rFonts w:cstheme="minorHAnsi"/>
                <w:color w:val="000000" w:themeColor="text1"/>
              </w:rPr>
            </w:pPr>
            <w:r w:rsidRPr="00815C78">
              <w:rPr>
                <w:rFonts w:cstheme="minorHAnsi"/>
                <w:color w:val="000000" w:themeColor="text1"/>
              </w:rPr>
              <w:t>2020</w:t>
            </w:r>
          </w:p>
        </w:tc>
        <w:tc>
          <w:tcPr>
            <w:tcW w:w="1082" w:type="dxa"/>
          </w:tcPr>
          <w:p w14:paraId="2C4AAAD7" w14:textId="77777777" w:rsidR="00C01F28" w:rsidRPr="00815C78" w:rsidRDefault="00C01F28" w:rsidP="00A74B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3,711</w:t>
            </w:r>
          </w:p>
        </w:tc>
        <w:tc>
          <w:tcPr>
            <w:tcW w:w="1264" w:type="dxa"/>
          </w:tcPr>
          <w:p w14:paraId="4788B9A5" w14:textId="77777777" w:rsidR="00C01F28" w:rsidRPr="00815C78" w:rsidRDefault="00C01F28" w:rsidP="00A74B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-22.59%</w:t>
            </w:r>
          </w:p>
        </w:tc>
        <w:tc>
          <w:tcPr>
            <w:tcW w:w="1266" w:type="dxa"/>
          </w:tcPr>
          <w:p w14:paraId="6346C9FA" w14:textId="77777777" w:rsidR="00C01F28" w:rsidRPr="00815C78" w:rsidRDefault="00C01F28" w:rsidP="00A74B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49.25</w:t>
            </w:r>
          </w:p>
        </w:tc>
        <w:tc>
          <w:tcPr>
            <w:tcW w:w="1164" w:type="dxa"/>
          </w:tcPr>
          <w:p w14:paraId="2DBF7043" w14:textId="77777777" w:rsidR="00C01F28" w:rsidRPr="00815C78" w:rsidRDefault="00C01F28" w:rsidP="00A74B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+25.15%</w:t>
            </w:r>
          </w:p>
        </w:tc>
      </w:tr>
      <w:tr w:rsidR="00607184" w:rsidRPr="00815C78" w14:paraId="224E26F9" w14:textId="77777777" w:rsidTr="00AE7600">
        <w:trPr>
          <w:cantSplit/>
        </w:trPr>
        <w:tc>
          <w:tcPr>
            <w:tcW w:w="1080" w:type="dxa"/>
          </w:tcPr>
          <w:p w14:paraId="25086AC1" w14:textId="77777777" w:rsidR="00C01F28" w:rsidRPr="00815C78" w:rsidRDefault="00C01F28" w:rsidP="00C01F28">
            <w:pPr>
              <w:rPr>
                <w:rFonts w:cstheme="minorHAnsi"/>
                <w:color w:val="000000" w:themeColor="text1"/>
              </w:rPr>
            </w:pPr>
            <w:r w:rsidRPr="00815C78">
              <w:rPr>
                <w:rFonts w:cstheme="minorHAnsi"/>
                <w:color w:val="000000" w:themeColor="text1"/>
              </w:rPr>
              <w:t>2021</w:t>
            </w:r>
          </w:p>
        </w:tc>
        <w:tc>
          <w:tcPr>
            <w:tcW w:w="1082" w:type="dxa"/>
          </w:tcPr>
          <w:p w14:paraId="4EF427E2" w14:textId="77777777" w:rsidR="00C01F28" w:rsidRPr="00815C78" w:rsidRDefault="00C01F28" w:rsidP="00A74B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3,353</w:t>
            </w:r>
          </w:p>
        </w:tc>
        <w:tc>
          <w:tcPr>
            <w:tcW w:w="1264" w:type="dxa"/>
          </w:tcPr>
          <w:p w14:paraId="07AAE4AB" w14:textId="77777777" w:rsidR="00C01F28" w:rsidRPr="00815C78" w:rsidRDefault="00C01F28" w:rsidP="00A74B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-9.65%</w:t>
            </w:r>
          </w:p>
        </w:tc>
        <w:tc>
          <w:tcPr>
            <w:tcW w:w="1266" w:type="dxa"/>
          </w:tcPr>
          <w:p w14:paraId="42132640" w14:textId="77777777" w:rsidR="00C01F28" w:rsidRPr="00815C78" w:rsidRDefault="00C01F28" w:rsidP="00A74B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59.09</w:t>
            </w:r>
          </w:p>
        </w:tc>
        <w:tc>
          <w:tcPr>
            <w:tcW w:w="1164" w:type="dxa"/>
          </w:tcPr>
          <w:p w14:paraId="73AF2C94" w14:textId="77777777" w:rsidR="00C01F28" w:rsidRPr="00815C78" w:rsidRDefault="00C01F28" w:rsidP="00A74B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+19.98%</w:t>
            </w:r>
          </w:p>
        </w:tc>
      </w:tr>
      <w:tr w:rsidR="00607184" w:rsidRPr="00815C78" w14:paraId="028EDE32" w14:textId="77777777" w:rsidTr="00AE7600">
        <w:trPr>
          <w:cantSplit/>
        </w:trPr>
        <w:tc>
          <w:tcPr>
            <w:tcW w:w="1080" w:type="dxa"/>
          </w:tcPr>
          <w:p w14:paraId="2B39E604" w14:textId="77777777" w:rsidR="00C01F28" w:rsidRPr="00815C78" w:rsidRDefault="00C01F28" w:rsidP="00C01F28">
            <w:pPr>
              <w:rPr>
                <w:rFonts w:cstheme="minorHAnsi"/>
                <w:color w:val="000000" w:themeColor="text1"/>
              </w:rPr>
            </w:pPr>
            <w:r w:rsidRPr="00815C78">
              <w:rPr>
                <w:rFonts w:cstheme="minorHAnsi"/>
                <w:color w:val="000000" w:themeColor="text1"/>
              </w:rPr>
              <w:t>2022</w:t>
            </w:r>
          </w:p>
        </w:tc>
        <w:tc>
          <w:tcPr>
            <w:tcW w:w="1082" w:type="dxa"/>
          </w:tcPr>
          <w:p w14:paraId="6739ECD6" w14:textId="77777777" w:rsidR="00C01F28" w:rsidRPr="00815C78" w:rsidRDefault="00C01F28" w:rsidP="00A74B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3,310</w:t>
            </w:r>
          </w:p>
        </w:tc>
        <w:tc>
          <w:tcPr>
            <w:tcW w:w="1264" w:type="dxa"/>
          </w:tcPr>
          <w:p w14:paraId="343FAF3A" w14:textId="77777777" w:rsidR="00C01F28" w:rsidRPr="00815C78" w:rsidRDefault="00C01F28" w:rsidP="00A74B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-1.28%</w:t>
            </w:r>
          </w:p>
        </w:tc>
        <w:tc>
          <w:tcPr>
            <w:tcW w:w="1266" w:type="dxa"/>
          </w:tcPr>
          <w:p w14:paraId="0A32039D" w14:textId="77777777" w:rsidR="00C01F28" w:rsidRPr="00815C78" w:rsidRDefault="00C01F28" w:rsidP="00A74B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62.81</w:t>
            </w:r>
          </w:p>
        </w:tc>
        <w:tc>
          <w:tcPr>
            <w:tcW w:w="1164" w:type="dxa"/>
          </w:tcPr>
          <w:p w14:paraId="3BC152B6" w14:textId="77777777" w:rsidR="00C01F28" w:rsidRPr="00815C78" w:rsidRDefault="00C01F28" w:rsidP="00A74B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+6.30%</w:t>
            </w:r>
          </w:p>
        </w:tc>
      </w:tr>
      <w:tr w:rsidR="00607184" w:rsidRPr="00815C78" w14:paraId="4AF2472C" w14:textId="77777777" w:rsidTr="00AE7600">
        <w:trPr>
          <w:cantSplit/>
        </w:trPr>
        <w:tc>
          <w:tcPr>
            <w:tcW w:w="1080" w:type="dxa"/>
          </w:tcPr>
          <w:p w14:paraId="3DEEE1FB" w14:textId="77777777" w:rsidR="00C01F28" w:rsidRPr="00815C78" w:rsidRDefault="00C01F28" w:rsidP="00C01F28">
            <w:pPr>
              <w:rPr>
                <w:rFonts w:cstheme="minorHAnsi"/>
                <w:color w:val="000000" w:themeColor="text1"/>
              </w:rPr>
            </w:pPr>
            <w:r w:rsidRPr="00815C78">
              <w:rPr>
                <w:rFonts w:cstheme="minorHAnsi"/>
                <w:color w:val="000000" w:themeColor="text1"/>
              </w:rPr>
              <w:t>2023</w:t>
            </w:r>
          </w:p>
        </w:tc>
        <w:tc>
          <w:tcPr>
            <w:tcW w:w="1082" w:type="dxa"/>
          </w:tcPr>
          <w:p w14:paraId="10602E69" w14:textId="77777777" w:rsidR="00C01F28" w:rsidRPr="00815C78" w:rsidRDefault="00C01F28" w:rsidP="00A74B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3,388</w:t>
            </w:r>
          </w:p>
        </w:tc>
        <w:tc>
          <w:tcPr>
            <w:tcW w:w="1264" w:type="dxa"/>
          </w:tcPr>
          <w:p w14:paraId="54E11C8E" w14:textId="77777777" w:rsidR="00C01F28" w:rsidRPr="00815C78" w:rsidRDefault="00C01F28" w:rsidP="00A74B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+2.36%</w:t>
            </w:r>
          </w:p>
        </w:tc>
        <w:tc>
          <w:tcPr>
            <w:tcW w:w="1266" w:type="dxa"/>
          </w:tcPr>
          <w:p w14:paraId="5B114615" w14:textId="77777777" w:rsidR="00C01F28" w:rsidRPr="00815C78" w:rsidRDefault="00C01F28" w:rsidP="00A74B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68.00</w:t>
            </w:r>
          </w:p>
        </w:tc>
        <w:tc>
          <w:tcPr>
            <w:tcW w:w="1164" w:type="dxa"/>
          </w:tcPr>
          <w:p w14:paraId="40BA6CF2" w14:textId="77777777" w:rsidR="00C01F28" w:rsidRPr="00815C78" w:rsidRDefault="00C01F28" w:rsidP="00A74B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+8.26%</w:t>
            </w:r>
          </w:p>
        </w:tc>
      </w:tr>
    </w:tbl>
    <w:p w14:paraId="4BA132DC" w14:textId="77777777" w:rsidR="00256080" w:rsidRDefault="00256080" w:rsidP="00256080">
      <w:pPr>
        <w:pStyle w:val="ListParagraph"/>
        <w:ind w:left="1440"/>
        <w:rPr>
          <w:rFonts w:cstheme="minorHAnsi"/>
        </w:rPr>
      </w:pPr>
    </w:p>
    <w:p w14:paraId="6C1F6385" w14:textId="773E2B0A" w:rsidR="00AD7070" w:rsidRDefault="005079F7" w:rsidP="005079F7">
      <w:pPr>
        <w:pStyle w:val="ListParagrap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Due to data limitations, however, the Applicant is not able to explicitly correlate increased average OR time to increasing case complexity</w:t>
      </w:r>
      <w:r w:rsidR="00A462AF">
        <w:rPr>
          <w:rFonts w:cstheme="minorHAnsi"/>
          <w:color w:val="000000" w:themeColor="text1"/>
        </w:rPr>
        <w:t>.  However, as examples of complex cases that have increased in volume, the Applicant</w:t>
      </w:r>
      <w:r>
        <w:rPr>
          <w:rFonts w:cstheme="minorHAnsi"/>
          <w:color w:val="000000" w:themeColor="text1"/>
        </w:rPr>
        <w:t xml:space="preserve"> can report that from 2019-2023, there were significant increases in the numbers of </w:t>
      </w:r>
      <w:r w:rsidR="001A1A50">
        <w:rPr>
          <w:rFonts w:cstheme="minorHAnsi"/>
          <w:color w:val="000000" w:themeColor="text1"/>
        </w:rPr>
        <w:t xml:space="preserve">at least the </w:t>
      </w:r>
      <w:r>
        <w:rPr>
          <w:rFonts w:cstheme="minorHAnsi"/>
          <w:color w:val="000000" w:themeColor="text1"/>
        </w:rPr>
        <w:t xml:space="preserve">following complex </w:t>
      </w:r>
      <w:r w:rsidR="00A55DF7">
        <w:rPr>
          <w:rFonts w:cstheme="minorHAnsi"/>
          <w:color w:val="000000" w:themeColor="text1"/>
        </w:rPr>
        <w:t>cases</w:t>
      </w:r>
      <w:r>
        <w:rPr>
          <w:rFonts w:cstheme="minorHAnsi"/>
          <w:color w:val="000000" w:themeColor="text1"/>
        </w:rPr>
        <w:t xml:space="preserve"> at Applicant’s current site</w:t>
      </w:r>
      <w:r w:rsidR="00A55DF7">
        <w:rPr>
          <w:rFonts w:cstheme="minorHAnsi"/>
          <w:color w:val="000000" w:themeColor="text1"/>
        </w:rPr>
        <w:t xml:space="preserve">.  </w:t>
      </w:r>
    </w:p>
    <w:p w14:paraId="2DB26396" w14:textId="77777777" w:rsidR="00A55DF7" w:rsidRDefault="00A55DF7" w:rsidP="005079F7">
      <w:pPr>
        <w:pStyle w:val="ListParagraph"/>
        <w:rPr>
          <w:rFonts w:cstheme="minorHAnsi"/>
          <w:color w:val="000000" w:themeColor="text1"/>
        </w:rPr>
      </w:pPr>
    </w:p>
    <w:tbl>
      <w:tblPr>
        <w:tblStyle w:val="TableGrid"/>
        <w:tblW w:w="5856" w:type="dxa"/>
        <w:tblInd w:w="1705" w:type="dxa"/>
        <w:tblLook w:val="04A0" w:firstRow="1" w:lastRow="0" w:firstColumn="1" w:lastColumn="0" w:noHBand="0" w:noVBand="1"/>
      </w:tblPr>
      <w:tblGrid>
        <w:gridCol w:w="1333"/>
        <w:gridCol w:w="1003"/>
        <w:gridCol w:w="1181"/>
        <w:gridCol w:w="1213"/>
        <w:gridCol w:w="1126"/>
      </w:tblGrid>
      <w:tr w:rsidR="004D1D36" w:rsidRPr="00607184" w14:paraId="7870E0BA" w14:textId="77777777" w:rsidTr="00AE7600">
        <w:trPr>
          <w:cantSplit/>
          <w:tblHeader/>
        </w:trPr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8DF7085" w14:textId="77777777" w:rsidR="00A55DF7" w:rsidRDefault="00A55DF7" w:rsidP="005A31D6">
            <w:pPr>
              <w:rPr>
                <w:rFonts w:cstheme="minorHAnsi"/>
                <w:color w:val="000000" w:themeColor="text1"/>
              </w:rPr>
            </w:pPr>
          </w:p>
          <w:p w14:paraId="2EEC8AAA" w14:textId="77777777" w:rsidR="00A55DF7" w:rsidRPr="00607184" w:rsidRDefault="00A55DF7" w:rsidP="005A31D6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607184">
              <w:rPr>
                <w:rFonts w:cstheme="minorHAnsi"/>
                <w:b/>
                <w:bCs/>
                <w:color w:val="000000" w:themeColor="text1"/>
              </w:rPr>
              <w:t xml:space="preserve">Year 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3906869" w14:textId="77777777" w:rsidR="00A55DF7" w:rsidRDefault="00A55DF7" w:rsidP="005A31D6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72D10A3E" w14:textId="2A9A5327" w:rsidR="00A55DF7" w:rsidRPr="00607184" w:rsidRDefault="00A55DF7" w:rsidP="005A31D6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2019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5882EBE6" w14:textId="77777777" w:rsidR="00A55DF7" w:rsidRDefault="00A55DF7" w:rsidP="005A31D6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31A0CEAA" w14:textId="2DE9FB59" w:rsidR="00A55DF7" w:rsidRPr="00607184" w:rsidRDefault="00A55DF7" w:rsidP="005A31D6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2023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5E24B79" w14:textId="77777777" w:rsidR="00A55DF7" w:rsidRDefault="00A55DF7" w:rsidP="005A31D6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0125301F" w14:textId="5C511625" w:rsidR="00A55DF7" w:rsidRPr="00607184" w:rsidRDefault="00A55DF7" w:rsidP="005A31D6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Increase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AB3B902" w14:textId="568122F2" w:rsidR="00A55DF7" w:rsidRDefault="00A55DF7" w:rsidP="005A31D6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  <w:p w14:paraId="2BCD277E" w14:textId="1185B5CB" w:rsidR="00A55DF7" w:rsidRPr="00607184" w:rsidRDefault="00A55DF7" w:rsidP="005A31D6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Increase </w:t>
            </w:r>
          </w:p>
        </w:tc>
      </w:tr>
      <w:tr w:rsidR="004D1D36" w:rsidRPr="00815C78" w14:paraId="5B3D9D23" w14:textId="77777777" w:rsidTr="00AE7600">
        <w:trPr>
          <w:cantSplit/>
        </w:trPr>
        <w:tc>
          <w:tcPr>
            <w:tcW w:w="1333" w:type="dxa"/>
            <w:tcBorders>
              <w:top w:val="single" w:sz="4" w:space="0" w:color="000000" w:themeColor="text1"/>
            </w:tcBorders>
          </w:tcPr>
          <w:p w14:paraId="1D6A40DD" w14:textId="142D8F59" w:rsidR="00A55DF7" w:rsidRPr="00815C78" w:rsidRDefault="004D1D36" w:rsidP="005A31D6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Total Joint Arthroplasty</w:t>
            </w:r>
          </w:p>
        </w:tc>
        <w:tc>
          <w:tcPr>
            <w:tcW w:w="1003" w:type="dxa"/>
            <w:tcBorders>
              <w:top w:val="single" w:sz="4" w:space="0" w:color="000000" w:themeColor="text1"/>
            </w:tcBorders>
          </w:tcPr>
          <w:p w14:paraId="10470EC4" w14:textId="7DCC01E3" w:rsidR="00A55DF7" w:rsidRPr="00815C78" w:rsidRDefault="00A55DF7" w:rsidP="005A31D6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44</w:t>
            </w:r>
          </w:p>
        </w:tc>
        <w:tc>
          <w:tcPr>
            <w:tcW w:w="1181" w:type="dxa"/>
            <w:tcBorders>
              <w:top w:val="single" w:sz="4" w:space="0" w:color="000000" w:themeColor="text1"/>
            </w:tcBorders>
          </w:tcPr>
          <w:p w14:paraId="110E3CB0" w14:textId="35E1D3C5" w:rsidR="00A55DF7" w:rsidRPr="00815C78" w:rsidRDefault="00A55DF7" w:rsidP="005A31D6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108</w:t>
            </w:r>
          </w:p>
        </w:tc>
        <w:tc>
          <w:tcPr>
            <w:tcW w:w="1213" w:type="dxa"/>
            <w:tcBorders>
              <w:top w:val="single" w:sz="4" w:space="0" w:color="000000" w:themeColor="text1"/>
            </w:tcBorders>
          </w:tcPr>
          <w:p w14:paraId="6A3AEA5A" w14:textId="256FD057" w:rsidR="00A55DF7" w:rsidRPr="00815C78" w:rsidRDefault="00A55DF7" w:rsidP="005A31D6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64</w:t>
            </w:r>
          </w:p>
        </w:tc>
        <w:tc>
          <w:tcPr>
            <w:tcW w:w="1126" w:type="dxa"/>
            <w:tcBorders>
              <w:top w:val="single" w:sz="4" w:space="0" w:color="000000" w:themeColor="text1"/>
            </w:tcBorders>
          </w:tcPr>
          <w:p w14:paraId="713D644C" w14:textId="3FE85D0A" w:rsidR="00A55DF7" w:rsidRPr="00815C78" w:rsidRDefault="00025435" w:rsidP="005A31D6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D66302">
              <w:rPr>
                <w:rFonts w:cstheme="minorHAnsi"/>
                <w:color w:val="000000" w:themeColor="text1"/>
              </w:rPr>
              <w:t>45%</w:t>
            </w:r>
          </w:p>
        </w:tc>
      </w:tr>
      <w:tr w:rsidR="004D1D36" w:rsidRPr="00815C78" w14:paraId="18CE077B" w14:textId="77777777" w:rsidTr="00AE7600">
        <w:trPr>
          <w:cantSplit/>
        </w:trPr>
        <w:tc>
          <w:tcPr>
            <w:tcW w:w="1333" w:type="dxa"/>
          </w:tcPr>
          <w:p w14:paraId="65C22659" w14:textId="2F0962CE" w:rsidR="00A55DF7" w:rsidRPr="00815C78" w:rsidRDefault="00A55DF7" w:rsidP="005A31D6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Hip </w:t>
            </w:r>
            <w:r w:rsidR="004D1D36">
              <w:rPr>
                <w:rFonts w:cstheme="minorHAnsi"/>
                <w:color w:val="000000" w:themeColor="text1"/>
              </w:rPr>
              <w:t>Arthroscopy</w:t>
            </w:r>
          </w:p>
        </w:tc>
        <w:tc>
          <w:tcPr>
            <w:tcW w:w="1003" w:type="dxa"/>
          </w:tcPr>
          <w:p w14:paraId="64460DFB" w14:textId="21FD1B82" w:rsidR="00A55DF7" w:rsidRPr="00815C78" w:rsidRDefault="00A55DF7" w:rsidP="005A31D6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16</w:t>
            </w:r>
          </w:p>
        </w:tc>
        <w:tc>
          <w:tcPr>
            <w:tcW w:w="1181" w:type="dxa"/>
          </w:tcPr>
          <w:p w14:paraId="6E93345E" w14:textId="212E5F6C" w:rsidR="00A55DF7" w:rsidRPr="00815C78" w:rsidRDefault="00A55DF7" w:rsidP="005A31D6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43</w:t>
            </w:r>
          </w:p>
        </w:tc>
        <w:tc>
          <w:tcPr>
            <w:tcW w:w="1213" w:type="dxa"/>
          </w:tcPr>
          <w:p w14:paraId="204CE05A" w14:textId="5DDE2142" w:rsidR="00A55DF7" w:rsidRPr="00815C78" w:rsidRDefault="00A55DF7" w:rsidP="005A31D6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</w:t>
            </w:r>
          </w:p>
        </w:tc>
        <w:tc>
          <w:tcPr>
            <w:tcW w:w="1126" w:type="dxa"/>
          </w:tcPr>
          <w:p w14:paraId="4047AD3E" w14:textId="2BF0614A" w:rsidR="00A55DF7" w:rsidRPr="00815C78" w:rsidRDefault="00025435" w:rsidP="005A31D6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D66302">
              <w:rPr>
                <w:rFonts w:cstheme="minorHAnsi"/>
                <w:color w:val="000000" w:themeColor="text1"/>
              </w:rPr>
              <w:t>69%</w:t>
            </w:r>
          </w:p>
        </w:tc>
      </w:tr>
      <w:tr w:rsidR="004D1D36" w:rsidRPr="00815C78" w14:paraId="1B0EAB2F" w14:textId="77777777" w:rsidTr="00AE7600">
        <w:trPr>
          <w:cantSplit/>
        </w:trPr>
        <w:tc>
          <w:tcPr>
            <w:tcW w:w="1333" w:type="dxa"/>
          </w:tcPr>
          <w:p w14:paraId="3301B900" w14:textId="3DA30209" w:rsidR="00A55DF7" w:rsidRPr="00815C78" w:rsidRDefault="00A55DF7" w:rsidP="005A31D6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Spine</w:t>
            </w:r>
          </w:p>
        </w:tc>
        <w:tc>
          <w:tcPr>
            <w:tcW w:w="1003" w:type="dxa"/>
          </w:tcPr>
          <w:p w14:paraId="6422FB22" w14:textId="1C988D2B" w:rsidR="00A55DF7" w:rsidRPr="00815C78" w:rsidRDefault="00A55DF7" w:rsidP="005A31D6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181" w:type="dxa"/>
          </w:tcPr>
          <w:p w14:paraId="2D0921CB" w14:textId="4F23532D" w:rsidR="00A55DF7" w:rsidRPr="00815C78" w:rsidRDefault="00A55DF7" w:rsidP="005A31D6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213" w:type="dxa"/>
          </w:tcPr>
          <w:p w14:paraId="52622570" w14:textId="7034437D" w:rsidR="00A55DF7" w:rsidRPr="00815C78" w:rsidRDefault="00A55DF7" w:rsidP="005A31D6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126" w:type="dxa"/>
          </w:tcPr>
          <w:p w14:paraId="1A431879" w14:textId="3FD1137F" w:rsidR="00A55DF7" w:rsidRPr="00815C78" w:rsidRDefault="00025435" w:rsidP="005A31D6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</w:t>
            </w:r>
            <w:r w:rsidR="00D66302">
              <w:rPr>
                <w:rFonts w:cstheme="minorHAnsi"/>
                <w:color w:val="000000" w:themeColor="text1"/>
              </w:rPr>
              <w:t>75%</w:t>
            </w:r>
          </w:p>
        </w:tc>
      </w:tr>
      <w:tr w:rsidR="004D1D36" w:rsidRPr="00815C78" w14:paraId="71020567" w14:textId="77777777" w:rsidTr="00AE7600">
        <w:trPr>
          <w:cantSplit/>
        </w:trPr>
        <w:tc>
          <w:tcPr>
            <w:tcW w:w="1333" w:type="dxa"/>
          </w:tcPr>
          <w:p w14:paraId="1CC9D9A8" w14:textId="78050D12" w:rsidR="00A55DF7" w:rsidRPr="00014F28" w:rsidRDefault="00A55DF7" w:rsidP="005A31D6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014F28">
              <w:rPr>
                <w:rFonts w:cstheme="minorHAnsi"/>
                <w:b/>
                <w:bCs/>
                <w:color w:val="000000" w:themeColor="text1"/>
              </w:rPr>
              <w:t>Total</w:t>
            </w:r>
          </w:p>
        </w:tc>
        <w:tc>
          <w:tcPr>
            <w:tcW w:w="1003" w:type="dxa"/>
          </w:tcPr>
          <w:p w14:paraId="06AFC2A0" w14:textId="66ACF845" w:rsidR="00A55DF7" w:rsidRPr="00014F28" w:rsidRDefault="00A55DF7" w:rsidP="005A31D6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4F28">
              <w:rPr>
                <w:rFonts w:cstheme="minorHAnsi"/>
                <w:b/>
                <w:bCs/>
                <w:color w:val="000000" w:themeColor="text1"/>
              </w:rPr>
              <w:t>64</w:t>
            </w:r>
          </w:p>
        </w:tc>
        <w:tc>
          <w:tcPr>
            <w:tcW w:w="1181" w:type="dxa"/>
          </w:tcPr>
          <w:p w14:paraId="1FCA1745" w14:textId="69191B4E" w:rsidR="00A55DF7" w:rsidRPr="00014F28" w:rsidRDefault="00A55DF7" w:rsidP="005A31D6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4F28">
              <w:rPr>
                <w:rFonts w:cstheme="minorHAnsi"/>
                <w:b/>
                <w:bCs/>
                <w:color w:val="000000" w:themeColor="text1"/>
              </w:rPr>
              <w:t>158</w:t>
            </w:r>
          </w:p>
        </w:tc>
        <w:tc>
          <w:tcPr>
            <w:tcW w:w="1213" w:type="dxa"/>
          </w:tcPr>
          <w:p w14:paraId="26EB6CD0" w14:textId="01F908AD" w:rsidR="00A55DF7" w:rsidRPr="00014F28" w:rsidRDefault="00A55DF7" w:rsidP="005A31D6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4F28">
              <w:rPr>
                <w:rFonts w:cstheme="minorHAnsi"/>
                <w:b/>
                <w:bCs/>
                <w:color w:val="000000" w:themeColor="text1"/>
              </w:rPr>
              <w:t>94</w:t>
            </w:r>
          </w:p>
        </w:tc>
        <w:tc>
          <w:tcPr>
            <w:tcW w:w="1126" w:type="dxa"/>
          </w:tcPr>
          <w:p w14:paraId="30BA2AA0" w14:textId="151248E2" w:rsidR="00A55DF7" w:rsidRPr="00014F28" w:rsidRDefault="00D66302" w:rsidP="005A31D6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4F28">
              <w:rPr>
                <w:rFonts w:cstheme="minorHAnsi"/>
                <w:b/>
                <w:bCs/>
                <w:color w:val="000000" w:themeColor="text1"/>
              </w:rPr>
              <w:t>147%</w:t>
            </w:r>
          </w:p>
        </w:tc>
      </w:tr>
    </w:tbl>
    <w:p w14:paraId="67FA16EE" w14:textId="77777777" w:rsidR="00A55DF7" w:rsidRDefault="00A55DF7" w:rsidP="00607947">
      <w:pPr>
        <w:pStyle w:val="ListParagraph"/>
        <w:rPr>
          <w:rFonts w:cstheme="minorHAnsi"/>
          <w:color w:val="000000" w:themeColor="text1"/>
        </w:rPr>
      </w:pPr>
    </w:p>
    <w:p w14:paraId="01D96C7F" w14:textId="77777777" w:rsidR="005079F7" w:rsidRDefault="005079F7" w:rsidP="00256080">
      <w:pPr>
        <w:pStyle w:val="ListParagraph"/>
        <w:ind w:left="1440"/>
        <w:rPr>
          <w:rFonts w:cstheme="minorHAnsi"/>
        </w:rPr>
      </w:pPr>
    </w:p>
    <w:p w14:paraId="0228ED87" w14:textId="77777777" w:rsidR="00534A6B" w:rsidRPr="003A24AF" w:rsidRDefault="00534A6B" w:rsidP="00534A6B">
      <w:pPr>
        <w:pStyle w:val="ListParagraph"/>
        <w:numPr>
          <w:ilvl w:val="0"/>
          <w:numId w:val="20"/>
        </w:numPr>
        <w:rPr>
          <w:rFonts w:cstheme="minorHAnsi"/>
          <w:b/>
          <w:bCs/>
        </w:rPr>
      </w:pPr>
      <w:r w:rsidRPr="003A24AF">
        <w:rPr>
          <w:rFonts w:cstheme="minorHAnsi"/>
          <w:b/>
          <w:bCs/>
        </w:rPr>
        <w:t xml:space="preserve">Procedures decreased between 2019 and 2023 </w:t>
      </w:r>
      <w:r w:rsidR="00256080" w:rsidRPr="003A24AF">
        <w:rPr>
          <w:rFonts w:cstheme="minorHAnsi"/>
          <w:b/>
          <w:bCs/>
        </w:rPr>
        <w:t>(</w:t>
      </w:r>
      <w:r w:rsidR="00FF50D6" w:rsidRPr="003A24AF">
        <w:rPr>
          <w:rFonts w:cstheme="minorHAnsi"/>
          <w:b/>
          <w:bCs/>
        </w:rPr>
        <w:t>pg. 3 Responses</w:t>
      </w:r>
      <w:r w:rsidR="00256080" w:rsidRPr="003A24AF">
        <w:rPr>
          <w:rFonts w:cstheme="minorHAnsi"/>
          <w:b/>
          <w:bCs/>
        </w:rPr>
        <w:t xml:space="preserve"> to DoN Questions #2)</w:t>
      </w:r>
      <w:r w:rsidRPr="003A24AF">
        <w:rPr>
          <w:rFonts w:cstheme="minorHAnsi"/>
          <w:b/>
          <w:bCs/>
        </w:rPr>
        <w:t xml:space="preserve">. </w:t>
      </w:r>
    </w:p>
    <w:p w14:paraId="772D1215" w14:textId="77777777" w:rsidR="00534A6B" w:rsidRPr="003A24AF" w:rsidRDefault="00534A6B" w:rsidP="00D317AD">
      <w:pPr>
        <w:pStyle w:val="ListParagraph"/>
        <w:numPr>
          <w:ilvl w:val="1"/>
          <w:numId w:val="20"/>
        </w:numPr>
        <w:spacing w:after="0"/>
        <w:rPr>
          <w:rFonts w:cstheme="minorHAnsi"/>
          <w:b/>
          <w:bCs/>
        </w:rPr>
      </w:pPr>
      <w:r w:rsidRPr="003A24AF">
        <w:rPr>
          <w:rFonts w:cstheme="minorHAnsi"/>
          <w:b/>
          <w:bCs/>
        </w:rPr>
        <w:t>Please explain the reason for the decrease.</w:t>
      </w:r>
    </w:p>
    <w:p w14:paraId="171B98C2" w14:textId="77777777" w:rsidR="003B60A0" w:rsidRPr="003B60A0" w:rsidRDefault="003B60A0" w:rsidP="003B60A0">
      <w:pPr>
        <w:spacing w:after="0"/>
        <w:ind w:left="1080"/>
        <w:rPr>
          <w:rFonts w:cstheme="minorHAnsi"/>
        </w:rPr>
      </w:pPr>
    </w:p>
    <w:p w14:paraId="18C00EE4" w14:textId="4894AE4C" w:rsidR="00084F2C" w:rsidRPr="002B2385" w:rsidRDefault="00DB5EB5" w:rsidP="002B2385">
      <w:pPr>
        <w:pStyle w:val="ListParagraph"/>
        <w:numPr>
          <w:ilvl w:val="0"/>
          <w:numId w:val="25"/>
        </w:numPr>
        <w:rPr>
          <w:rFonts w:cstheme="minorHAnsi"/>
          <w:color w:val="000000" w:themeColor="text1"/>
        </w:rPr>
      </w:pPr>
      <w:r w:rsidRPr="00C12EB8">
        <w:rPr>
          <w:rFonts w:cstheme="minorHAnsi"/>
          <w:b/>
          <w:bCs/>
        </w:rPr>
        <w:t>Applicant Response</w:t>
      </w:r>
      <w:r>
        <w:rPr>
          <w:rFonts w:cstheme="minorHAnsi"/>
        </w:rPr>
        <w:t xml:space="preserve">:  </w:t>
      </w:r>
      <w:r w:rsidR="00A60462">
        <w:rPr>
          <w:rFonts w:cstheme="minorHAnsi"/>
          <w:color w:val="000000" w:themeColor="text1"/>
        </w:rPr>
        <w:t>The Applicant's procedure</w:t>
      </w:r>
      <w:r w:rsidR="00CE09BA">
        <w:rPr>
          <w:rFonts w:cstheme="minorHAnsi"/>
          <w:color w:val="000000" w:themeColor="text1"/>
        </w:rPr>
        <w:t xml:space="preserve"> count </w:t>
      </w:r>
      <w:r w:rsidR="00A60462">
        <w:rPr>
          <w:rFonts w:cstheme="minorHAnsi"/>
          <w:color w:val="000000" w:themeColor="text1"/>
        </w:rPr>
        <w:t xml:space="preserve">declined between 2019 and 2023 </w:t>
      </w:r>
      <w:r w:rsidR="002067D5">
        <w:rPr>
          <w:rFonts w:cstheme="minorHAnsi"/>
          <w:color w:val="000000" w:themeColor="text1"/>
        </w:rPr>
        <w:t xml:space="preserve">due to </w:t>
      </w:r>
      <w:r w:rsidR="0017622C">
        <w:rPr>
          <w:rFonts w:cstheme="minorHAnsi"/>
          <w:color w:val="000000" w:themeColor="text1"/>
        </w:rPr>
        <w:t xml:space="preserve">a </w:t>
      </w:r>
      <w:r w:rsidR="002067D5">
        <w:rPr>
          <w:rFonts w:cstheme="minorHAnsi"/>
          <w:color w:val="000000" w:themeColor="text1"/>
        </w:rPr>
        <w:t xml:space="preserve">combination of more complex cases and limited OR capacity, </w:t>
      </w:r>
      <w:r w:rsidR="00B03BCB">
        <w:rPr>
          <w:rFonts w:cstheme="minorHAnsi"/>
          <w:color w:val="000000" w:themeColor="text1"/>
        </w:rPr>
        <w:t xml:space="preserve">the same reasons </w:t>
      </w:r>
      <w:r w:rsidR="00106743">
        <w:rPr>
          <w:rFonts w:cstheme="minorHAnsi"/>
          <w:color w:val="000000" w:themeColor="text1"/>
        </w:rPr>
        <w:t xml:space="preserve">noted above and previously </w:t>
      </w:r>
      <w:r w:rsidR="00B03BCB">
        <w:rPr>
          <w:rFonts w:cstheme="minorHAnsi"/>
          <w:color w:val="000000" w:themeColor="text1"/>
        </w:rPr>
        <w:t>for the decline in the Applicant's case count and patient count.</w:t>
      </w:r>
      <w:r w:rsidR="00A60462">
        <w:rPr>
          <w:rFonts w:cstheme="minorHAnsi"/>
          <w:color w:val="000000" w:themeColor="text1"/>
        </w:rPr>
        <w:t xml:space="preserve"> </w:t>
      </w:r>
      <w:r w:rsidR="00F01E30">
        <w:rPr>
          <w:rFonts w:cstheme="minorHAnsi"/>
          <w:color w:val="000000" w:themeColor="text1"/>
        </w:rPr>
        <w:t xml:space="preserve">The </w:t>
      </w:r>
      <w:r w:rsidR="0053764F" w:rsidRPr="00815C78">
        <w:rPr>
          <w:rFonts w:cstheme="minorHAnsi"/>
          <w:color w:val="000000" w:themeColor="text1"/>
        </w:rPr>
        <w:t>Applicant</w:t>
      </w:r>
      <w:r w:rsidR="00F01E30">
        <w:rPr>
          <w:rFonts w:cstheme="minorHAnsi"/>
          <w:color w:val="000000" w:themeColor="text1"/>
        </w:rPr>
        <w:t xml:space="preserve"> has experienced a consistent ratio of procedures per case from 2019 to 202</w:t>
      </w:r>
      <w:r w:rsidR="00B03BCB">
        <w:rPr>
          <w:rFonts w:cstheme="minorHAnsi"/>
          <w:color w:val="000000" w:themeColor="text1"/>
        </w:rPr>
        <w:t>3</w:t>
      </w:r>
      <w:r w:rsidR="00A74B21">
        <w:rPr>
          <w:rFonts w:cstheme="minorHAnsi"/>
          <w:color w:val="000000" w:themeColor="text1"/>
        </w:rPr>
        <w:t xml:space="preserve">. </w:t>
      </w:r>
      <w:r w:rsidR="001A4F47">
        <w:rPr>
          <w:rFonts w:cstheme="minorHAnsi"/>
          <w:color w:val="000000" w:themeColor="text1"/>
        </w:rPr>
        <w:t xml:space="preserve">Please see the table below. </w:t>
      </w:r>
      <w:r w:rsidR="0053764F">
        <w:rPr>
          <w:rFonts w:cstheme="minorHAnsi"/>
          <w:color w:val="000000" w:themeColor="text1"/>
        </w:rPr>
        <w:t xml:space="preserve"> </w:t>
      </w:r>
    </w:p>
    <w:tbl>
      <w:tblPr>
        <w:tblStyle w:val="TableGrid"/>
        <w:tblW w:w="4592" w:type="dxa"/>
        <w:tblInd w:w="1705" w:type="dxa"/>
        <w:tblLook w:val="04A0" w:firstRow="1" w:lastRow="0" w:firstColumn="1" w:lastColumn="0" w:noHBand="0" w:noVBand="1"/>
      </w:tblPr>
      <w:tblGrid>
        <w:gridCol w:w="1037"/>
        <w:gridCol w:w="1045"/>
        <w:gridCol w:w="1264"/>
        <w:gridCol w:w="1246"/>
      </w:tblGrid>
      <w:tr w:rsidR="009C114E" w:rsidRPr="00607184" w14:paraId="25CD8FA1" w14:textId="77777777" w:rsidTr="00AE7600">
        <w:trPr>
          <w:cantSplit/>
          <w:tblHeader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B07EE16" w14:textId="77777777" w:rsidR="009C114E" w:rsidRDefault="009C114E" w:rsidP="00CC11EC">
            <w:pPr>
              <w:rPr>
                <w:rFonts w:cstheme="minorHAnsi"/>
                <w:color w:val="000000" w:themeColor="text1"/>
              </w:rPr>
            </w:pPr>
          </w:p>
          <w:p w14:paraId="1A4590BF" w14:textId="77777777" w:rsidR="009C114E" w:rsidRPr="00607184" w:rsidRDefault="009C114E" w:rsidP="00CC11E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607184">
              <w:rPr>
                <w:rFonts w:cstheme="minorHAnsi"/>
                <w:b/>
                <w:bCs/>
                <w:color w:val="000000" w:themeColor="text1"/>
              </w:rPr>
              <w:t xml:space="preserve">Year 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9CE9F30" w14:textId="77777777" w:rsidR="009C114E" w:rsidRDefault="009C114E" w:rsidP="00CC11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06BDF04C" w14:textId="77777777" w:rsidR="00AC0417" w:rsidRDefault="009C114E" w:rsidP="00CC11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607184">
              <w:rPr>
                <w:rFonts w:cstheme="minorHAnsi"/>
                <w:b/>
                <w:bCs/>
                <w:color w:val="000000" w:themeColor="text1"/>
              </w:rPr>
              <w:t xml:space="preserve"># </w:t>
            </w:r>
          </w:p>
          <w:p w14:paraId="3FB850D3" w14:textId="77777777" w:rsidR="009C114E" w:rsidRPr="00607184" w:rsidRDefault="00AC0417" w:rsidP="00CC11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C</w:t>
            </w:r>
            <w:r w:rsidR="009C114E" w:rsidRPr="00607184">
              <w:rPr>
                <w:rFonts w:cstheme="minorHAnsi"/>
                <w:b/>
                <w:bCs/>
                <w:color w:val="000000" w:themeColor="text1"/>
              </w:rPr>
              <w:t>ases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D0197DB" w14:textId="77777777" w:rsidR="009C114E" w:rsidRDefault="009C114E" w:rsidP="00CC11EC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612B60EF" w14:textId="77777777" w:rsidR="009C114E" w:rsidRPr="00607184" w:rsidRDefault="009C114E" w:rsidP="000D3DB9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# Procedures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58328963" w14:textId="77777777" w:rsidR="009C114E" w:rsidRPr="00607184" w:rsidRDefault="009C114E" w:rsidP="00CC11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Ratio of Procedures per Case</w:t>
            </w:r>
          </w:p>
        </w:tc>
      </w:tr>
      <w:tr w:rsidR="009C114E" w:rsidRPr="00815C78" w14:paraId="2F5DF039" w14:textId="77777777" w:rsidTr="00AE7600">
        <w:trPr>
          <w:cantSplit/>
        </w:trPr>
        <w:tc>
          <w:tcPr>
            <w:tcW w:w="1080" w:type="dxa"/>
            <w:tcBorders>
              <w:top w:val="single" w:sz="4" w:space="0" w:color="000000" w:themeColor="text1"/>
            </w:tcBorders>
          </w:tcPr>
          <w:p w14:paraId="5A0BE635" w14:textId="77777777" w:rsidR="009C114E" w:rsidRPr="00815C78" w:rsidRDefault="009C114E" w:rsidP="00CC11EC">
            <w:pPr>
              <w:rPr>
                <w:rFonts w:cstheme="minorHAnsi"/>
                <w:color w:val="000000" w:themeColor="text1"/>
              </w:rPr>
            </w:pPr>
            <w:r w:rsidRPr="00815C78">
              <w:rPr>
                <w:rFonts w:cstheme="minorHAnsi"/>
                <w:color w:val="000000" w:themeColor="text1"/>
              </w:rPr>
              <w:t>2019</w:t>
            </w:r>
          </w:p>
        </w:tc>
        <w:tc>
          <w:tcPr>
            <w:tcW w:w="1082" w:type="dxa"/>
            <w:tcBorders>
              <w:top w:val="single" w:sz="4" w:space="0" w:color="000000" w:themeColor="text1"/>
            </w:tcBorders>
          </w:tcPr>
          <w:p w14:paraId="158B6D7A" w14:textId="77777777" w:rsidR="009C114E" w:rsidRPr="00815C78" w:rsidRDefault="009C114E" w:rsidP="00A74B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4,794</w:t>
            </w:r>
          </w:p>
        </w:tc>
        <w:tc>
          <w:tcPr>
            <w:tcW w:w="1266" w:type="dxa"/>
            <w:tcBorders>
              <w:top w:val="single" w:sz="4" w:space="0" w:color="000000" w:themeColor="text1"/>
            </w:tcBorders>
          </w:tcPr>
          <w:p w14:paraId="20F39C37" w14:textId="77777777" w:rsidR="009C114E" w:rsidRPr="00815C78" w:rsidRDefault="009C114E" w:rsidP="00A74B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11,188</w:t>
            </w:r>
          </w:p>
        </w:tc>
        <w:tc>
          <w:tcPr>
            <w:tcW w:w="1164" w:type="dxa"/>
            <w:tcBorders>
              <w:top w:val="single" w:sz="4" w:space="0" w:color="000000" w:themeColor="text1"/>
            </w:tcBorders>
          </w:tcPr>
          <w:p w14:paraId="3CBCBAFA" w14:textId="77777777" w:rsidR="009C114E" w:rsidRPr="00815C78" w:rsidRDefault="009C114E" w:rsidP="00A74B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2.3 to 1</w:t>
            </w:r>
          </w:p>
        </w:tc>
      </w:tr>
      <w:tr w:rsidR="009C114E" w:rsidRPr="00815C78" w14:paraId="51E63587" w14:textId="77777777" w:rsidTr="00AE7600">
        <w:trPr>
          <w:cantSplit/>
        </w:trPr>
        <w:tc>
          <w:tcPr>
            <w:tcW w:w="1080" w:type="dxa"/>
          </w:tcPr>
          <w:p w14:paraId="41D587A9" w14:textId="77777777" w:rsidR="009C114E" w:rsidRPr="00815C78" w:rsidRDefault="009C114E" w:rsidP="00CC11EC">
            <w:pPr>
              <w:rPr>
                <w:rFonts w:cstheme="minorHAnsi"/>
                <w:color w:val="000000" w:themeColor="text1"/>
              </w:rPr>
            </w:pPr>
            <w:r w:rsidRPr="00815C78">
              <w:rPr>
                <w:rFonts w:cstheme="minorHAnsi"/>
                <w:color w:val="000000" w:themeColor="text1"/>
              </w:rPr>
              <w:t>2020</w:t>
            </w:r>
          </w:p>
        </w:tc>
        <w:tc>
          <w:tcPr>
            <w:tcW w:w="1082" w:type="dxa"/>
          </w:tcPr>
          <w:p w14:paraId="37C226C7" w14:textId="77777777" w:rsidR="009C114E" w:rsidRPr="00815C78" w:rsidRDefault="009C114E" w:rsidP="00A74B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3,711</w:t>
            </w:r>
          </w:p>
        </w:tc>
        <w:tc>
          <w:tcPr>
            <w:tcW w:w="1266" w:type="dxa"/>
          </w:tcPr>
          <w:p w14:paraId="2E56659A" w14:textId="77777777" w:rsidR="009C114E" w:rsidRPr="00815C78" w:rsidRDefault="009C114E" w:rsidP="00A74B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8,917</w:t>
            </w:r>
          </w:p>
        </w:tc>
        <w:tc>
          <w:tcPr>
            <w:tcW w:w="1164" w:type="dxa"/>
          </w:tcPr>
          <w:p w14:paraId="43849F75" w14:textId="77777777" w:rsidR="009C114E" w:rsidRPr="00815C78" w:rsidRDefault="009C114E" w:rsidP="00A74B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2.4 to 1</w:t>
            </w:r>
          </w:p>
        </w:tc>
      </w:tr>
      <w:tr w:rsidR="009C114E" w:rsidRPr="00815C78" w14:paraId="02F19B58" w14:textId="77777777" w:rsidTr="00AE7600">
        <w:trPr>
          <w:cantSplit/>
        </w:trPr>
        <w:tc>
          <w:tcPr>
            <w:tcW w:w="1080" w:type="dxa"/>
          </w:tcPr>
          <w:p w14:paraId="07A056B6" w14:textId="77777777" w:rsidR="009C114E" w:rsidRPr="00815C78" w:rsidRDefault="009C114E" w:rsidP="00CC11EC">
            <w:pPr>
              <w:rPr>
                <w:rFonts w:cstheme="minorHAnsi"/>
                <w:color w:val="000000" w:themeColor="text1"/>
              </w:rPr>
            </w:pPr>
            <w:r w:rsidRPr="00815C78">
              <w:rPr>
                <w:rFonts w:cstheme="minorHAnsi"/>
                <w:color w:val="000000" w:themeColor="text1"/>
              </w:rPr>
              <w:t>2021</w:t>
            </w:r>
          </w:p>
        </w:tc>
        <w:tc>
          <w:tcPr>
            <w:tcW w:w="1082" w:type="dxa"/>
          </w:tcPr>
          <w:p w14:paraId="2D2B2F5A" w14:textId="77777777" w:rsidR="009C114E" w:rsidRPr="00815C78" w:rsidRDefault="009C114E" w:rsidP="00A74B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3,353</w:t>
            </w:r>
          </w:p>
        </w:tc>
        <w:tc>
          <w:tcPr>
            <w:tcW w:w="1266" w:type="dxa"/>
          </w:tcPr>
          <w:p w14:paraId="6CC4621D" w14:textId="77777777" w:rsidR="009C114E" w:rsidRPr="00815C78" w:rsidRDefault="009C114E" w:rsidP="00A74B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8,227</w:t>
            </w:r>
          </w:p>
        </w:tc>
        <w:tc>
          <w:tcPr>
            <w:tcW w:w="1164" w:type="dxa"/>
          </w:tcPr>
          <w:p w14:paraId="44F4EB3F" w14:textId="77777777" w:rsidR="009C114E" w:rsidRPr="00815C78" w:rsidRDefault="009C114E" w:rsidP="00A74B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2.5 to 1</w:t>
            </w:r>
          </w:p>
        </w:tc>
      </w:tr>
      <w:tr w:rsidR="009C114E" w:rsidRPr="00815C78" w14:paraId="0A1D0B63" w14:textId="77777777" w:rsidTr="00AE7600">
        <w:trPr>
          <w:cantSplit/>
        </w:trPr>
        <w:tc>
          <w:tcPr>
            <w:tcW w:w="1080" w:type="dxa"/>
          </w:tcPr>
          <w:p w14:paraId="09E12F14" w14:textId="77777777" w:rsidR="009C114E" w:rsidRPr="00815C78" w:rsidRDefault="009C114E" w:rsidP="00CC11EC">
            <w:pPr>
              <w:rPr>
                <w:rFonts w:cstheme="minorHAnsi"/>
                <w:color w:val="000000" w:themeColor="text1"/>
              </w:rPr>
            </w:pPr>
            <w:r w:rsidRPr="00815C78">
              <w:rPr>
                <w:rFonts w:cstheme="minorHAnsi"/>
                <w:color w:val="000000" w:themeColor="text1"/>
              </w:rPr>
              <w:t>2022</w:t>
            </w:r>
          </w:p>
        </w:tc>
        <w:tc>
          <w:tcPr>
            <w:tcW w:w="1082" w:type="dxa"/>
          </w:tcPr>
          <w:p w14:paraId="1ED7B6E9" w14:textId="77777777" w:rsidR="009C114E" w:rsidRPr="00815C78" w:rsidRDefault="009C114E" w:rsidP="00A74B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3,310</w:t>
            </w:r>
          </w:p>
        </w:tc>
        <w:tc>
          <w:tcPr>
            <w:tcW w:w="1266" w:type="dxa"/>
          </w:tcPr>
          <w:p w14:paraId="5490CC4B" w14:textId="77777777" w:rsidR="009C114E" w:rsidRPr="00815C78" w:rsidRDefault="009C114E" w:rsidP="00A74B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8,003</w:t>
            </w:r>
          </w:p>
        </w:tc>
        <w:tc>
          <w:tcPr>
            <w:tcW w:w="1164" w:type="dxa"/>
          </w:tcPr>
          <w:p w14:paraId="51FA4B06" w14:textId="77777777" w:rsidR="009C114E" w:rsidRPr="00815C78" w:rsidRDefault="009C114E" w:rsidP="00A74B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2.4 to 1</w:t>
            </w:r>
          </w:p>
        </w:tc>
      </w:tr>
      <w:tr w:rsidR="009C114E" w:rsidRPr="00815C78" w14:paraId="49CAD832" w14:textId="77777777" w:rsidTr="00AE7600">
        <w:trPr>
          <w:cantSplit/>
        </w:trPr>
        <w:tc>
          <w:tcPr>
            <w:tcW w:w="1080" w:type="dxa"/>
          </w:tcPr>
          <w:p w14:paraId="174A7F27" w14:textId="77777777" w:rsidR="009C114E" w:rsidRPr="00815C78" w:rsidRDefault="009C114E" w:rsidP="00CC11EC">
            <w:pPr>
              <w:rPr>
                <w:rFonts w:cstheme="minorHAnsi"/>
                <w:color w:val="000000" w:themeColor="text1"/>
              </w:rPr>
            </w:pPr>
            <w:r w:rsidRPr="00815C78">
              <w:rPr>
                <w:rFonts w:cstheme="minorHAnsi"/>
                <w:color w:val="000000" w:themeColor="text1"/>
              </w:rPr>
              <w:t>2023</w:t>
            </w:r>
          </w:p>
        </w:tc>
        <w:tc>
          <w:tcPr>
            <w:tcW w:w="1082" w:type="dxa"/>
          </w:tcPr>
          <w:p w14:paraId="1FFCB8C3" w14:textId="77777777" w:rsidR="009C114E" w:rsidRPr="00815C78" w:rsidRDefault="009C114E" w:rsidP="00A74B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3,388</w:t>
            </w:r>
          </w:p>
        </w:tc>
        <w:tc>
          <w:tcPr>
            <w:tcW w:w="1266" w:type="dxa"/>
          </w:tcPr>
          <w:p w14:paraId="3D48D028" w14:textId="77777777" w:rsidR="009C114E" w:rsidRPr="00815C78" w:rsidRDefault="009C114E" w:rsidP="00A74B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7,894</w:t>
            </w:r>
          </w:p>
        </w:tc>
        <w:tc>
          <w:tcPr>
            <w:tcW w:w="1164" w:type="dxa"/>
          </w:tcPr>
          <w:p w14:paraId="2D6654AA" w14:textId="77777777" w:rsidR="009C114E" w:rsidRPr="00815C78" w:rsidRDefault="009C114E" w:rsidP="00A74B2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2.3 to 1</w:t>
            </w:r>
          </w:p>
        </w:tc>
      </w:tr>
    </w:tbl>
    <w:p w14:paraId="05D4D939" w14:textId="77777777" w:rsidR="00F65552" w:rsidRDefault="00F65552" w:rsidP="002166C8">
      <w:pPr>
        <w:spacing w:after="0"/>
        <w:ind w:left="1080"/>
        <w:rPr>
          <w:rFonts w:cstheme="minorHAnsi"/>
        </w:rPr>
      </w:pPr>
    </w:p>
    <w:p w14:paraId="033268F6" w14:textId="6F231820" w:rsidR="00D46D0B" w:rsidRDefault="00D46D0B" w:rsidP="00607947">
      <w:pPr>
        <w:spacing w:after="0"/>
        <w:ind w:left="720"/>
        <w:rPr>
          <w:rFonts w:cstheme="minorHAnsi"/>
        </w:rPr>
      </w:pPr>
      <w:r>
        <w:rPr>
          <w:rFonts w:cstheme="minorHAnsi"/>
          <w:color w:val="000000" w:themeColor="text1"/>
        </w:rPr>
        <w:t xml:space="preserve">The number of procedures performed by </w:t>
      </w:r>
      <w:r w:rsidR="0017622C">
        <w:rPr>
          <w:rFonts w:cstheme="minorHAnsi"/>
          <w:color w:val="000000" w:themeColor="text1"/>
        </w:rPr>
        <w:t xml:space="preserve">a </w:t>
      </w:r>
      <w:r>
        <w:rPr>
          <w:rFonts w:cstheme="minorHAnsi"/>
          <w:color w:val="000000" w:themeColor="text1"/>
        </w:rPr>
        <w:t xml:space="preserve">surgeon within each case can vary based on the type of case.  For example, there may be 5 different procedure codes used in one shoulder surgical case (e.g., </w:t>
      </w:r>
      <w:r w:rsidR="009617A2">
        <w:rPr>
          <w:rFonts w:cstheme="minorHAnsi"/>
          <w:color w:val="000000" w:themeColor="text1"/>
        </w:rPr>
        <w:t xml:space="preserve">arthroscopy with </w:t>
      </w:r>
      <w:r w:rsidRPr="005A31D6">
        <w:rPr>
          <w:rFonts w:cstheme="minorHAnsi"/>
          <w:color w:val="000000" w:themeColor="text1"/>
        </w:rPr>
        <w:t xml:space="preserve">rotator cuff repair, sub-acromial decompression, extensive debridement, </w:t>
      </w:r>
      <w:r w:rsidR="005C7342" w:rsidRPr="005A31D6">
        <w:rPr>
          <w:rFonts w:cstheme="minorHAnsi"/>
          <w:color w:val="000000" w:themeColor="text1"/>
        </w:rPr>
        <w:t>synovectomy,</w:t>
      </w:r>
      <w:r w:rsidRPr="005A31D6">
        <w:rPr>
          <w:rFonts w:cstheme="minorHAnsi"/>
          <w:color w:val="000000" w:themeColor="text1"/>
        </w:rPr>
        <w:t xml:space="preserve"> and biceps tenodesis</w:t>
      </w:r>
      <w:r w:rsidR="009617A2">
        <w:rPr>
          <w:rFonts w:cstheme="minorHAnsi"/>
          <w:color w:val="000000" w:themeColor="text1"/>
        </w:rPr>
        <w:t>- all have distinct Current Procedural Terminology (CPT) procedure codes</w:t>
      </w:r>
      <w:r>
        <w:rPr>
          <w:rFonts w:cstheme="minorHAnsi"/>
          <w:color w:val="000000" w:themeColor="text1"/>
        </w:rPr>
        <w:t xml:space="preserve">), whereas there may be only 1 procedure code for a total knee </w:t>
      </w:r>
      <w:r w:rsidR="004D1D36">
        <w:rPr>
          <w:rFonts w:cstheme="minorHAnsi"/>
          <w:color w:val="000000" w:themeColor="text1"/>
        </w:rPr>
        <w:t>arthroplasty,</w:t>
      </w:r>
      <w:r>
        <w:rPr>
          <w:rFonts w:cstheme="minorHAnsi"/>
          <w:color w:val="000000" w:themeColor="text1"/>
        </w:rPr>
        <w:t xml:space="preserve"> </w:t>
      </w:r>
      <w:r w:rsidR="00C51814">
        <w:rPr>
          <w:rFonts w:cstheme="minorHAnsi"/>
          <w:color w:val="000000" w:themeColor="text1"/>
        </w:rPr>
        <w:t xml:space="preserve">and </w:t>
      </w:r>
      <w:r>
        <w:rPr>
          <w:rFonts w:cstheme="minorHAnsi"/>
          <w:color w:val="000000" w:themeColor="text1"/>
        </w:rPr>
        <w:t xml:space="preserve">1 procedure code </w:t>
      </w:r>
      <w:r w:rsidR="00C51814">
        <w:rPr>
          <w:rFonts w:cstheme="minorHAnsi"/>
          <w:color w:val="000000" w:themeColor="text1"/>
        </w:rPr>
        <w:t>for</w:t>
      </w:r>
      <w:r>
        <w:rPr>
          <w:rFonts w:cstheme="minorHAnsi"/>
          <w:color w:val="000000" w:themeColor="text1"/>
        </w:rPr>
        <w:t xml:space="preserve"> a pain case.</w:t>
      </w:r>
    </w:p>
    <w:p w14:paraId="1D7A6EA2" w14:textId="77777777" w:rsidR="00A848D6" w:rsidRPr="00C12EB8" w:rsidRDefault="00A848D6" w:rsidP="002166C8">
      <w:pPr>
        <w:spacing w:after="0"/>
        <w:ind w:left="1080"/>
        <w:rPr>
          <w:rFonts w:cstheme="minorHAnsi"/>
        </w:rPr>
      </w:pPr>
    </w:p>
    <w:p w14:paraId="519E1821" w14:textId="77777777" w:rsidR="00D87E67" w:rsidRPr="003A24AF" w:rsidRDefault="000673C4" w:rsidP="000673C4">
      <w:pPr>
        <w:pStyle w:val="ListParagraph"/>
        <w:numPr>
          <w:ilvl w:val="0"/>
          <w:numId w:val="20"/>
        </w:numPr>
        <w:rPr>
          <w:rFonts w:cstheme="minorHAnsi"/>
          <w:b/>
          <w:bCs/>
        </w:rPr>
      </w:pPr>
      <w:r w:rsidRPr="003A24AF">
        <w:rPr>
          <w:rFonts w:cstheme="minorHAnsi"/>
          <w:b/>
          <w:bCs/>
        </w:rPr>
        <w:t xml:space="preserve">The Applicant projects that increasing prevalence of obesity and arthritis will contribute to increasing need for BOSS’ services. </w:t>
      </w:r>
    </w:p>
    <w:p w14:paraId="39107B36" w14:textId="77777777" w:rsidR="000673C4" w:rsidRPr="003A24AF" w:rsidRDefault="00A0295F" w:rsidP="00D87E67">
      <w:pPr>
        <w:pStyle w:val="ListParagraph"/>
        <w:numPr>
          <w:ilvl w:val="1"/>
          <w:numId w:val="20"/>
        </w:numPr>
        <w:rPr>
          <w:rFonts w:cstheme="minorHAnsi"/>
          <w:b/>
          <w:bCs/>
        </w:rPr>
      </w:pPr>
      <w:r w:rsidRPr="003A24AF">
        <w:rPr>
          <w:rFonts w:cstheme="minorHAnsi"/>
          <w:b/>
          <w:bCs/>
        </w:rPr>
        <w:t>Are</w:t>
      </w:r>
      <w:r w:rsidR="000673C4" w:rsidRPr="003A24AF">
        <w:rPr>
          <w:rFonts w:cstheme="minorHAnsi"/>
          <w:b/>
          <w:bCs/>
        </w:rPr>
        <w:t xml:space="preserve"> there any data</w:t>
      </w:r>
      <w:r w:rsidR="00B654DE" w:rsidRPr="003A24AF">
        <w:rPr>
          <w:rFonts w:cstheme="minorHAnsi"/>
          <w:b/>
          <w:bCs/>
        </w:rPr>
        <w:t xml:space="preserve"> showing the portion of a population with one of these conditions that translates into a surgical case?</w:t>
      </w:r>
    </w:p>
    <w:p w14:paraId="48539C8F" w14:textId="77777777" w:rsidR="00D87E67" w:rsidRDefault="00D87E67" w:rsidP="00D87E67">
      <w:pPr>
        <w:pStyle w:val="ListParagraph"/>
        <w:rPr>
          <w:rFonts w:cstheme="minorHAnsi"/>
        </w:rPr>
      </w:pPr>
    </w:p>
    <w:p w14:paraId="76F1676B" w14:textId="162E2570" w:rsidR="008C3CD3" w:rsidRPr="0034190E" w:rsidRDefault="00A16A0C" w:rsidP="00FC4E81">
      <w:pPr>
        <w:pStyle w:val="ListParagraph"/>
        <w:numPr>
          <w:ilvl w:val="0"/>
          <w:numId w:val="25"/>
        </w:numPr>
        <w:rPr>
          <w:rFonts w:cstheme="minorHAnsi"/>
        </w:rPr>
      </w:pPr>
      <w:r w:rsidRPr="00FC4E81">
        <w:rPr>
          <w:rFonts w:cstheme="minorHAnsi"/>
          <w:b/>
          <w:bCs/>
        </w:rPr>
        <w:t>Applicant Response</w:t>
      </w:r>
      <w:r w:rsidRPr="00FC4E81">
        <w:rPr>
          <w:rFonts w:cstheme="minorHAnsi"/>
        </w:rPr>
        <w:t xml:space="preserve">:  </w:t>
      </w:r>
      <w:r w:rsidR="00B609A2" w:rsidRPr="00FC4E81">
        <w:rPr>
          <w:rFonts w:cstheme="minorHAnsi"/>
        </w:rPr>
        <w:t xml:space="preserve">The Applicant is not aware of data that specifies the portion of the population with one of these conditions that translates into a </w:t>
      </w:r>
      <w:r w:rsidR="0040030F" w:rsidRPr="00FC4E81">
        <w:rPr>
          <w:rFonts w:cstheme="minorHAnsi"/>
        </w:rPr>
        <w:t xml:space="preserve">particular type of </w:t>
      </w:r>
      <w:r w:rsidR="00B609A2" w:rsidRPr="00FC4E81">
        <w:rPr>
          <w:rFonts w:cstheme="minorHAnsi"/>
        </w:rPr>
        <w:t xml:space="preserve">surgical case.   </w:t>
      </w:r>
      <w:r w:rsidR="006273B0" w:rsidRPr="00FC4E81">
        <w:rPr>
          <w:rFonts w:cstheme="minorHAnsi"/>
        </w:rPr>
        <w:t>However, t</w:t>
      </w:r>
      <w:r w:rsidR="00B609A2" w:rsidRPr="00FC4E81">
        <w:rPr>
          <w:rFonts w:cstheme="minorHAnsi"/>
        </w:rPr>
        <w:t xml:space="preserve">he Applicant </w:t>
      </w:r>
      <w:r w:rsidR="00015D45" w:rsidRPr="00FC4E81">
        <w:rPr>
          <w:rFonts w:cstheme="minorHAnsi"/>
        </w:rPr>
        <w:t xml:space="preserve">has </w:t>
      </w:r>
      <w:r w:rsidR="00B609A2" w:rsidRPr="00FC4E81">
        <w:rPr>
          <w:rFonts w:cstheme="minorHAnsi"/>
        </w:rPr>
        <w:t xml:space="preserve">provided multiple references </w:t>
      </w:r>
      <w:r w:rsidR="00C85526" w:rsidRPr="00FC4E81">
        <w:rPr>
          <w:rFonts w:cstheme="minorHAnsi"/>
        </w:rPr>
        <w:t xml:space="preserve">within the Applicant's </w:t>
      </w:r>
      <w:r w:rsidR="009A7A9C" w:rsidRPr="00FC4E81">
        <w:rPr>
          <w:rFonts w:cstheme="minorHAnsi"/>
        </w:rPr>
        <w:t>Application N</w:t>
      </w:r>
      <w:r w:rsidR="00C85526" w:rsidRPr="00FC4E81">
        <w:rPr>
          <w:rFonts w:cstheme="minorHAnsi"/>
        </w:rPr>
        <w:t xml:space="preserve">arrative (pages 11-13) </w:t>
      </w:r>
      <w:r w:rsidR="00B609A2" w:rsidRPr="00FC4E81">
        <w:rPr>
          <w:rFonts w:cstheme="minorHAnsi"/>
        </w:rPr>
        <w:t xml:space="preserve">to support the correlation of </w:t>
      </w:r>
      <w:r w:rsidR="00C85526" w:rsidRPr="00FC4E81">
        <w:rPr>
          <w:rFonts w:cstheme="minorHAnsi"/>
        </w:rPr>
        <w:t>obesity and arthritis to conditions requiring orthopedic surgery, including t</w:t>
      </w:r>
      <w:r w:rsidR="00C85526">
        <w:t>he American Academy of Orthopaedic Surgeons position statement that estimates that obesity increases the likelihood of an individual needing a knee replacement by a factor of twenty. Patients with a higher BMI may also require greater operative time.</w:t>
      </w:r>
      <w:r w:rsidR="00C85526" w:rsidRPr="004D1D36">
        <w:rPr>
          <w:rFonts w:cs="Times New Roman (Body CS)"/>
          <w:vertAlign w:val="superscript"/>
        </w:rPr>
        <w:footnoteReference w:id="1"/>
      </w:r>
      <w:r w:rsidR="00086422">
        <w:t xml:space="preserve">  </w:t>
      </w:r>
      <w:r w:rsidR="00015D45">
        <w:t xml:space="preserve">In addition to what has been shared in the narrative, the Applicant </w:t>
      </w:r>
      <w:r w:rsidR="0029265F">
        <w:t xml:space="preserve">cites below a Journal of Arthroscopy, American Association of Hip and Knee Surgeons article </w:t>
      </w:r>
      <w:r w:rsidR="008A5EA7">
        <w:t>stating,</w:t>
      </w:r>
      <w:r w:rsidR="0029265F">
        <w:t xml:space="preserve"> </w:t>
      </w:r>
      <w:r w:rsidR="00015D45">
        <w:t xml:space="preserve"> "b</w:t>
      </w:r>
      <w:r w:rsidR="00086422" w:rsidRPr="0029265F">
        <w:t xml:space="preserve">y </w:t>
      </w:r>
      <w:r w:rsidR="00086422" w:rsidRPr="0029265F">
        <w:lastRenderedPageBreak/>
        <w:t xml:space="preserve">2029, </w:t>
      </w:r>
      <w:r w:rsidR="00015D45">
        <w:t>.</w:t>
      </w:r>
      <w:r w:rsidR="00E27554">
        <w:t>.</w:t>
      </w:r>
      <w:r w:rsidR="00015D45">
        <w:t>.</w:t>
      </w:r>
      <w:r w:rsidR="00086422" w:rsidRPr="0029265F">
        <w:t xml:space="preserve"> ≥69% of primary TKA </w:t>
      </w:r>
      <w:r w:rsidR="00015D45">
        <w:t xml:space="preserve">(Total Knee Arthroplasty) is estimated </w:t>
      </w:r>
      <w:r w:rsidR="00086422" w:rsidRPr="0029265F">
        <w:t>to be obese/morbidly obese.</w:t>
      </w:r>
      <w:r w:rsidR="009D6637">
        <w:t>"</w:t>
      </w:r>
      <w:r w:rsidR="00015D45">
        <w:rPr>
          <w:rStyle w:val="FootnoteReference"/>
        </w:rPr>
        <w:footnoteReference w:id="2"/>
      </w:r>
      <w:r w:rsidR="009D6637">
        <w:t xml:space="preserve">  </w:t>
      </w:r>
      <w:r w:rsidR="00976244">
        <w:t xml:space="preserve">Approximately 28% of the Applicant's </w:t>
      </w:r>
      <w:r w:rsidR="00B17D30">
        <w:t xml:space="preserve">current overall </w:t>
      </w:r>
      <w:r w:rsidR="00976244">
        <w:t xml:space="preserve">patients are obese or extremely obese and 42% are overweight. </w:t>
      </w:r>
      <w:r w:rsidR="00B17D30">
        <w:t>Also, "o</w:t>
      </w:r>
      <w:r w:rsidR="00B17D30" w:rsidRPr="005A31D6">
        <w:t>besity is the major driver of increased operative time in total hip arthroplasty.</w:t>
      </w:r>
      <w:r w:rsidR="00B17D30">
        <w:t>"</w:t>
      </w:r>
      <w:r w:rsidR="00B17D30">
        <w:rPr>
          <w:rStyle w:val="FootnoteReference"/>
        </w:rPr>
        <w:footnoteReference w:id="3"/>
      </w:r>
      <w:r w:rsidR="00B17D30">
        <w:t xml:space="preserve">  </w:t>
      </w:r>
    </w:p>
    <w:p w14:paraId="5D83676C" w14:textId="77777777" w:rsidR="0034190E" w:rsidRPr="0034190E" w:rsidRDefault="0034190E" w:rsidP="0034190E">
      <w:pPr>
        <w:spacing w:after="0"/>
        <w:ind w:left="360"/>
        <w:rPr>
          <w:rFonts w:cstheme="minorHAnsi"/>
        </w:rPr>
      </w:pPr>
    </w:p>
    <w:p w14:paraId="26197B58" w14:textId="77777777" w:rsidR="00E576D5" w:rsidRPr="003A24AF" w:rsidRDefault="00E576D5" w:rsidP="00E576D5">
      <w:pPr>
        <w:pStyle w:val="ListParagraph"/>
        <w:numPr>
          <w:ilvl w:val="0"/>
          <w:numId w:val="20"/>
        </w:numPr>
        <w:rPr>
          <w:rFonts w:cstheme="minorHAnsi"/>
          <w:b/>
          <w:bCs/>
        </w:rPr>
      </w:pPr>
      <w:r w:rsidRPr="003A24AF">
        <w:rPr>
          <w:rFonts w:cstheme="minorHAnsi"/>
          <w:b/>
          <w:bCs/>
        </w:rPr>
        <w:t>The Applicant’s</w:t>
      </w:r>
      <w:r w:rsidR="001C0434" w:rsidRPr="003A24AF">
        <w:rPr>
          <w:rFonts w:cstheme="minorHAnsi"/>
          <w:b/>
          <w:bCs/>
        </w:rPr>
        <w:t xml:space="preserve"> ASC Volume Forecast </w:t>
      </w:r>
      <w:r w:rsidR="00010545" w:rsidRPr="003A24AF">
        <w:rPr>
          <w:rFonts w:cstheme="minorHAnsi"/>
          <w:b/>
          <w:bCs/>
        </w:rPr>
        <w:t xml:space="preserve">includes </w:t>
      </w:r>
      <w:r w:rsidR="00D87E67" w:rsidRPr="003A24AF">
        <w:rPr>
          <w:rFonts w:cstheme="minorHAnsi"/>
          <w:b/>
          <w:bCs/>
        </w:rPr>
        <w:t>estimated</w:t>
      </w:r>
      <w:r w:rsidR="00010545" w:rsidRPr="003A24AF">
        <w:rPr>
          <w:rFonts w:cstheme="minorHAnsi"/>
          <w:b/>
          <w:bCs/>
        </w:rPr>
        <w:t xml:space="preserve"> volume based on existing cases for Years 1-5. </w:t>
      </w:r>
      <w:r w:rsidR="00010545" w:rsidRPr="003A24AF">
        <w:rPr>
          <w:rFonts w:cstheme="minorHAnsi"/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80"/>
        <w:gridCol w:w="790"/>
        <w:gridCol w:w="790"/>
        <w:gridCol w:w="790"/>
        <w:gridCol w:w="790"/>
        <w:gridCol w:w="790"/>
      </w:tblGrid>
      <w:tr w:rsidR="00C7633D" w:rsidRPr="00446BEF" w14:paraId="150EEBA3" w14:textId="77777777" w:rsidTr="00C7633D">
        <w:trPr>
          <w:jc w:val="center"/>
        </w:trPr>
        <w:tc>
          <w:tcPr>
            <w:tcW w:w="0" w:type="auto"/>
          </w:tcPr>
          <w:p w14:paraId="3A9DA208" w14:textId="77777777" w:rsidR="00C7633D" w:rsidRPr="00446BEF" w:rsidRDefault="00C7633D"/>
        </w:tc>
        <w:tc>
          <w:tcPr>
            <w:tcW w:w="0" w:type="auto"/>
            <w:shd w:val="clear" w:color="auto" w:fill="D9E2F3" w:themeFill="accent1" w:themeFillTint="33"/>
          </w:tcPr>
          <w:p w14:paraId="4C5DD630" w14:textId="77777777" w:rsidR="00C7633D" w:rsidRDefault="00C7633D">
            <w:pPr>
              <w:jc w:val="center"/>
              <w:rPr>
                <w:b/>
                <w:bCs/>
              </w:rPr>
            </w:pPr>
            <w:r w:rsidRPr="00446BEF">
              <w:rPr>
                <w:b/>
                <w:bCs/>
              </w:rPr>
              <w:t>Year 1</w:t>
            </w:r>
          </w:p>
          <w:p w14:paraId="46EEBBA4" w14:textId="77777777" w:rsidR="00C7633D" w:rsidRPr="00446BEF" w:rsidRDefault="00C763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FA15200" w14:textId="77777777" w:rsidR="00C7633D" w:rsidRDefault="00C7633D">
            <w:pPr>
              <w:jc w:val="center"/>
              <w:rPr>
                <w:b/>
                <w:bCs/>
              </w:rPr>
            </w:pPr>
            <w:r w:rsidRPr="00446BEF">
              <w:rPr>
                <w:b/>
                <w:bCs/>
              </w:rPr>
              <w:t>Year 2</w:t>
            </w:r>
          </w:p>
          <w:p w14:paraId="7AD3B884" w14:textId="77777777" w:rsidR="00C7633D" w:rsidRPr="00446BEF" w:rsidRDefault="00C763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275A9D16" w14:textId="77777777" w:rsidR="00C7633D" w:rsidRDefault="00C7633D">
            <w:pPr>
              <w:jc w:val="center"/>
              <w:rPr>
                <w:b/>
                <w:bCs/>
              </w:rPr>
            </w:pPr>
            <w:r w:rsidRPr="00446BEF">
              <w:rPr>
                <w:b/>
                <w:bCs/>
              </w:rPr>
              <w:t>Year 3</w:t>
            </w:r>
          </w:p>
          <w:p w14:paraId="5A4915A7" w14:textId="77777777" w:rsidR="00C7633D" w:rsidRPr="00446BEF" w:rsidRDefault="00C763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0D09E81" w14:textId="77777777" w:rsidR="00C7633D" w:rsidRDefault="00C7633D">
            <w:pPr>
              <w:jc w:val="center"/>
              <w:rPr>
                <w:b/>
                <w:bCs/>
              </w:rPr>
            </w:pPr>
            <w:r w:rsidRPr="00446BEF">
              <w:rPr>
                <w:b/>
                <w:bCs/>
              </w:rPr>
              <w:t>Year 4</w:t>
            </w:r>
          </w:p>
          <w:p w14:paraId="1E5D97DA" w14:textId="77777777" w:rsidR="00C7633D" w:rsidRPr="00446BEF" w:rsidRDefault="00C763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079749A2" w14:textId="77777777" w:rsidR="00C7633D" w:rsidRDefault="00C7633D">
            <w:pPr>
              <w:jc w:val="center"/>
              <w:rPr>
                <w:b/>
                <w:bCs/>
              </w:rPr>
            </w:pPr>
            <w:r w:rsidRPr="00446BEF">
              <w:rPr>
                <w:b/>
                <w:bCs/>
              </w:rPr>
              <w:t>Year 5</w:t>
            </w:r>
          </w:p>
          <w:p w14:paraId="51F0919C" w14:textId="77777777" w:rsidR="00C7633D" w:rsidRPr="00446BEF" w:rsidRDefault="00C763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2029</w:t>
            </w:r>
          </w:p>
        </w:tc>
      </w:tr>
      <w:tr w:rsidR="00C7633D" w:rsidRPr="00446BEF" w14:paraId="0A78BEED" w14:textId="77777777" w:rsidTr="00C7633D">
        <w:trPr>
          <w:jc w:val="center"/>
        </w:trPr>
        <w:tc>
          <w:tcPr>
            <w:tcW w:w="0" w:type="auto"/>
          </w:tcPr>
          <w:p w14:paraId="78727725" w14:textId="77777777" w:rsidR="00C7633D" w:rsidRPr="00446BEF" w:rsidRDefault="00C7633D">
            <w:pPr>
              <w:rPr>
                <w:b/>
                <w:bCs/>
              </w:rPr>
            </w:pPr>
            <w:r w:rsidRPr="00446BEF">
              <w:rPr>
                <w:b/>
                <w:bCs/>
              </w:rPr>
              <w:t>Existing Cases</w:t>
            </w:r>
          </w:p>
        </w:tc>
        <w:tc>
          <w:tcPr>
            <w:tcW w:w="0" w:type="auto"/>
          </w:tcPr>
          <w:p w14:paraId="5A51C9B7" w14:textId="77777777" w:rsidR="00C7633D" w:rsidRPr="00446BEF" w:rsidRDefault="00C7633D">
            <w:r w:rsidRPr="00446BEF">
              <w:t>3,472</w:t>
            </w:r>
          </w:p>
        </w:tc>
        <w:tc>
          <w:tcPr>
            <w:tcW w:w="0" w:type="auto"/>
          </w:tcPr>
          <w:p w14:paraId="0EB45450" w14:textId="77777777" w:rsidR="00C7633D" w:rsidRPr="00446BEF" w:rsidRDefault="00C7633D">
            <w:r w:rsidRPr="00446BEF">
              <w:t>3,611</w:t>
            </w:r>
          </w:p>
        </w:tc>
        <w:tc>
          <w:tcPr>
            <w:tcW w:w="0" w:type="auto"/>
          </w:tcPr>
          <w:p w14:paraId="37134AF1" w14:textId="77777777" w:rsidR="00C7633D" w:rsidRPr="00446BEF" w:rsidRDefault="00C7633D">
            <w:r w:rsidRPr="00446BEF">
              <w:t>3,755</w:t>
            </w:r>
          </w:p>
        </w:tc>
        <w:tc>
          <w:tcPr>
            <w:tcW w:w="0" w:type="auto"/>
          </w:tcPr>
          <w:p w14:paraId="7A2EDD22" w14:textId="77777777" w:rsidR="00C7633D" w:rsidRPr="00446BEF" w:rsidRDefault="00C7633D">
            <w:r w:rsidRPr="00446BEF">
              <w:t>3,906</w:t>
            </w:r>
          </w:p>
        </w:tc>
        <w:tc>
          <w:tcPr>
            <w:tcW w:w="0" w:type="auto"/>
          </w:tcPr>
          <w:p w14:paraId="72E65C88" w14:textId="77777777" w:rsidR="00C7633D" w:rsidRPr="00446BEF" w:rsidRDefault="00C7633D">
            <w:r w:rsidRPr="00446BEF">
              <w:t>4,062</w:t>
            </w:r>
          </w:p>
        </w:tc>
      </w:tr>
    </w:tbl>
    <w:p w14:paraId="554144C4" w14:textId="77777777" w:rsidR="00010545" w:rsidRPr="00010545" w:rsidRDefault="00010545" w:rsidP="00010545">
      <w:pPr>
        <w:rPr>
          <w:rFonts w:cstheme="minorHAnsi"/>
        </w:rPr>
      </w:pPr>
    </w:p>
    <w:p w14:paraId="43F7F5A9" w14:textId="77777777" w:rsidR="00010545" w:rsidRPr="003A24AF" w:rsidRDefault="00ED6326" w:rsidP="00C7633D">
      <w:pPr>
        <w:pStyle w:val="ListParagraph"/>
        <w:numPr>
          <w:ilvl w:val="0"/>
          <w:numId w:val="22"/>
        </w:numPr>
        <w:rPr>
          <w:rFonts w:cstheme="minorHAnsi"/>
          <w:b/>
          <w:bCs/>
        </w:rPr>
      </w:pPr>
      <w:r w:rsidRPr="003A24AF">
        <w:rPr>
          <w:rFonts w:cstheme="minorHAnsi"/>
          <w:b/>
          <w:bCs/>
        </w:rPr>
        <w:t xml:space="preserve">To better understand need for OR capacity based on estimated increases in existing cases, </w:t>
      </w:r>
      <w:r w:rsidR="00916204" w:rsidRPr="003A24AF">
        <w:rPr>
          <w:rFonts w:cstheme="minorHAnsi"/>
          <w:b/>
          <w:bCs/>
        </w:rPr>
        <w:t xml:space="preserve">explain </w:t>
      </w:r>
      <w:r w:rsidRPr="003A24AF">
        <w:rPr>
          <w:rFonts w:cstheme="minorHAnsi"/>
          <w:b/>
          <w:bCs/>
        </w:rPr>
        <w:t>h</w:t>
      </w:r>
      <w:r w:rsidR="00C7633D" w:rsidRPr="003A24AF">
        <w:rPr>
          <w:rFonts w:cstheme="minorHAnsi"/>
          <w:b/>
          <w:bCs/>
        </w:rPr>
        <w:t xml:space="preserve">ow many </w:t>
      </w:r>
      <w:r w:rsidR="00AA1F63" w:rsidRPr="003A24AF">
        <w:rPr>
          <w:rFonts w:cstheme="minorHAnsi"/>
          <w:b/>
          <w:bCs/>
        </w:rPr>
        <w:t>ORs</w:t>
      </w:r>
      <w:r w:rsidR="00C7633D" w:rsidRPr="003A24AF">
        <w:rPr>
          <w:rFonts w:cstheme="minorHAnsi"/>
          <w:b/>
          <w:bCs/>
        </w:rPr>
        <w:t xml:space="preserve"> </w:t>
      </w:r>
      <w:r w:rsidR="00916204" w:rsidRPr="003A24AF">
        <w:rPr>
          <w:rFonts w:cstheme="minorHAnsi"/>
          <w:b/>
          <w:bCs/>
        </w:rPr>
        <w:t>would be</w:t>
      </w:r>
      <w:r w:rsidR="00C7633D" w:rsidRPr="003A24AF">
        <w:rPr>
          <w:rFonts w:cstheme="minorHAnsi"/>
          <w:b/>
          <w:bCs/>
        </w:rPr>
        <w:t xml:space="preserve"> </w:t>
      </w:r>
      <w:r w:rsidR="00E66AD4" w:rsidRPr="003A24AF">
        <w:rPr>
          <w:rFonts w:cstheme="minorHAnsi"/>
          <w:b/>
          <w:bCs/>
        </w:rPr>
        <w:t>needed</w:t>
      </w:r>
      <w:r w:rsidR="00C7633D" w:rsidRPr="003A24AF">
        <w:rPr>
          <w:rFonts w:cstheme="minorHAnsi"/>
          <w:b/>
          <w:bCs/>
        </w:rPr>
        <w:t xml:space="preserve"> to </w:t>
      </w:r>
      <w:r w:rsidR="00916204" w:rsidRPr="003A24AF">
        <w:rPr>
          <w:rFonts w:cstheme="minorHAnsi"/>
          <w:b/>
          <w:bCs/>
        </w:rPr>
        <w:t>accommodate</w:t>
      </w:r>
      <w:r w:rsidR="00C7633D" w:rsidRPr="003A24AF">
        <w:rPr>
          <w:rFonts w:cstheme="minorHAnsi"/>
          <w:b/>
          <w:bCs/>
        </w:rPr>
        <w:t xml:space="preserve"> Existing Cases shown in </w:t>
      </w:r>
      <w:r w:rsidR="009F6018" w:rsidRPr="003A24AF">
        <w:rPr>
          <w:rFonts w:cstheme="minorHAnsi"/>
          <w:b/>
          <w:bCs/>
        </w:rPr>
        <w:t>the volume f</w:t>
      </w:r>
      <w:r w:rsidR="00C7633D" w:rsidRPr="003A24AF">
        <w:rPr>
          <w:rFonts w:cstheme="minorHAnsi"/>
          <w:b/>
          <w:bCs/>
        </w:rPr>
        <w:t>orecast</w:t>
      </w:r>
      <w:r w:rsidR="004526D2" w:rsidRPr="003A24AF">
        <w:rPr>
          <w:rFonts w:cstheme="minorHAnsi"/>
          <w:b/>
          <w:bCs/>
        </w:rPr>
        <w:t xml:space="preserve"> for Years 1-5</w:t>
      </w:r>
      <w:r w:rsidR="00825FA7" w:rsidRPr="003A24AF">
        <w:rPr>
          <w:rFonts w:cstheme="minorHAnsi"/>
          <w:b/>
          <w:bCs/>
        </w:rPr>
        <w:t>.</w:t>
      </w:r>
      <w:r w:rsidR="00E66AD4" w:rsidRPr="003A24AF">
        <w:rPr>
          <w:rFonts w:cstheme="minorHAnsi"/>
          <w:b/>
          <w:bCs/>
        </w:rPr>
        <w:t xml:space="preserve"> Please include an explanation of methodology used. </w:t>
      </w:r>
    </w:p>
    <w:p w14:paraId="1A9821CC" w14:textId="77777777" w:rsidR="00B654DE" w:rsidRPr="00B654DE" w:rsidRDefault="00B654DE" w:rsidP="00B654DE">
      <w:pPr>
        <w:pStyle w:val="ListParagraph"/>
        <w:rPr>
          <w:rFonts w:cstheme="minorHAnsi"/>
        </w:rPr>
      </w:pPr>
    </w:p>
    <w:p w14:paraId="23142795" w14:textId="208EFF9F" w:rsidR="00A4715F" w:rsidRPr="00A4715F" w:rsidRDefault="000F1168" w:rsidP="00A4715F">
      <w:pPr>
        <w:pStyle w:val="ListParagraph"/>
        <w:numPr>
          <w:ilvl w:val="0"/>
          <w:numId w:val="26"/>
        </w:numPr>
        <w:rPr>
          <w:rFonts w:cstheme="minorHAnsi"/>
        </w:rPr>
      </w:pPr>
      <w:r w:rsidRPr="00C12EB8">
        <w:rPr>
          <w:rFonts w:cstheme="minorHAnsi"/>
          <w:b/>
          <w:bCs/>
        </w:rPr>
        <w:t>Applicant Response</w:t>
      </w:r>
      <w:r>
        <w:rPr>
          <w:rFonts w:cstheme="minorHAnsi"/>
        </w:rPr>
        <w:t xml:space="preserve">:  </w:t>
      </w:r>
      <w:r w:rsidR="00785DB9">
        <w:rPr>
          <w:rFonts w:cstheme="minorHAnsi"/>
        </w:rPr>
        <w:t xml:space="preserve">The Applicant assumed 3,472 existing cases from its current operations would transition to its new facility in year one of the Proposed Project and applied a 4% year-over-year multiplier for growth as noted in the forecast table on page 9 of the Applicant's Application Narrative.  The </w:t>
      </w:r>
      <w:r w:rsidR="00785DB9" w:rsidRPr="00E55AF3">
        <w:rPr>
          <w:rFonts w:cstheme="minorHAnsi"/>
          <w:u w:val="single"/>
        </w:rPr>
        <w:t>existing</w:t>
      </w:r>
      <w:r w:rsidR="00785DB9">
        <w:rPr>
          <w:rFonts w:cstheme="minorHAnsi"/>
        </w:rPr>
        <w:t xml:space="preserve"> case volume represents cases from existing surgeons within the limitations of the existing ORs </w:t>
      </w:r>
      <w:r w:rsidR="0068120E">
        <w:rPr>
          <w:rFonts w:cstheme="minorHAnsi"/>
        </w:rPr>
        <w:t xml:space="preserve">and limitations on </w:t>
      </w:r>
      <w:r w:rsidR="00785DB9">
        <w:rPr>
          <w:rFonts w:cstheme="minorHAnsi"/>
        </w:rPr>
        <w:t xml:space="preserve">block time assignments of the Applicant's current site.  The Applicant also assumed </w:t>
      </w:r>
      <w:r w:rsidR="0068120E">
        <w:rPr>
          <w:rFonts w:cstheme="minorHAnsi"/>
        </w:rPr>
        <w:t xml:space="preserve">an </w:t>
      </w:r>
      <w:r w:rsidR="00785DB9">
        <w:rPr>
          <w:rFonts w:cstheme="minorHAnsi"/>
        </w:rPr>
        <w:t xml:space="preserve">additional 4,258 </w:t>
      </w:r>
      <w:r w:rsidR="00F25367" w:rsidRPr="00E55AF3">
        <w:rPr>
          <w:rFonts w:cstheme="minorHAnsi"/>
          <w:u w:val="single"/>
        </w:rPr>
        <w:t>new</w:t>
      </w:r>
      <w:r w:rsidR="00F25367">
        <w:rPr>
          <w:rFonts w:cstheme="minorHAnsi"/>
        </w:rPr>
        <w:t xml:space="preserve"> </w:t>
      </w:r>
      <w:r w:rsidR="00785DB9">
        <w:rPr>
          <w:rFonts w:cstheme="minorHAnsi"/>
        </w:rPr>
        <w:t xml:space="preserve">cases in its year </w:t>
      </w:r>
      <w:r w:rsidR="00F25367">
        <w:rPr>
          <w:rFonts w:cstheme="minorHAnsi"/>
        </w:rPr>
        <w:t xml:space="preserve">one volume assumptions, that represent new cases from existing surgeons </w:t>
      </w:r>
      <w:r w:rsidR="00A4715F">
        <w:rPr>
          <w:rFonts w:cstheme="minorHAnsi"/>
        </w:rPr>
        <w:t xml:space="preserve">who have requested additional OR time to perform more cases at the Applicant's ASC </w:t>
      </w:r>
      <w:r w:rsidR="00F25367">
        <w:rPr>
          <w:rFonts w:cstheme="minorHAnsi"/>
        </w:rPr>
        <w:t xml:space="preserve">as well as new surgeons </w:t>
      </w:r>
      <w:r w:rsidR="0068120E">
        <w:rPr>
          <w:rFonts w:cstheme="minorHAnsi"/>
        </w:rPr>
        <w:t xml:space="preserve">(including surgeons in the existing surgeons’ practices and others) </w:t>
      </w:r>
      <w:r w:rsidR="00F25367">
        <w:rPr>
          <w:rFonts w:cstheme="minorHAnsi"/>
        </w:rPr>
        <w:t>who would like to join the Applicant's medical staff</w:t>
      </w:r>
      <w:r w:rsidR="00A4715F">
        <w:rPr>
          <w:rFonts w:cstheme="minorHAnsi"/>
        </w:rPr>
        <w:t xml:space="preserve"> to perform cases at its ASC</w:t>
      </w:r>
      <w:r w:rsidR="00F25367">
        <w:rPr>
          <w:rFonts w:cstheme="minorHAnsi"/>
        </w:rPr>
        <w:t xml:space="preserve">.  This question asks the Applicant to estimate the number of ORs needed to </w:t>
      </w:r>
      <w:r w:rsidR="00A4715F">
        <w:rPr>
          <w:rFonts w:cstheme="minorHAnsi"/>
        </w:rPr>
        <w:t>accommodate</w:t>
      </w:r>
      <w:r w:rsidR="00F25367">
        <w:rPr>
          <w:rFonts w:cstheme="minorHAnsi"/>
        </w:rPr>
        <w:t xml:space="preserve"> </w:t>
      </w:r>
      <w:r w:rsidR="00A4715F">
        <w:rPr>
          <w:rFonts w:cstheme="minorHAnsi"/>
        </w:rPr>
        <w:t xml:space="preserve">only </w:t>
      </w:r>
      <w:r w:rsidR="00F25367">
        <w:rPr>
          <w:rFonts w:cstheme="minorHAnsi"/>
        </w:rPr>
        <w:t xml:space="preserve">Existing Cases </w:t>
      </w:r>
      <w:r w:rsidR="00A3637B">
        <w:rPr>
          <w:rFonts w:cstheme="minorHAnsi"/>
        </w:rPr>
        <w:t>in year</w:t>
      </w:r>
      <w:r w:rsidR="00042076">
        <w:rPr>
          <w:rFonts w:cstheme="minorHAnsi"/>
        </w:rPr>
        <w:t>s</w:t>
      </w:r>
      <w:r w:rsidR="00A3637B">
        <w:rPr>
          <w:rFonts w:cstheme="minorHAnsi"/>
        </w:rPr>
        <w:t xml:space="preserve"> 1 to </w:t>
      </w:r>
      <w:r w:rsidR="00A4715F">
        <w:rPr>
          <w:rFonts w:cstheme="minorHAnsi"/>
        </w:rPr>
        <w:t>5</w:t>
      </w:r>
      <w:r w:rsidR="0068120E">
        <w:rPr>
          <w:rFonts w:cstheme="minorHAnsi"/>
        </w:rPr>
        <w:t xml:space="preserve">—and not the number </w:t>
      </w:r>
      <w:r w:rsidR="00AA3737">
        <w:rPr>
          <w:rFonts w:cstheme="minorHAnsi"/>
        </w:rPr>
        <w:t xml:space="preserve">needed to </w:t>
      </w:r>
      <w:proofErr w:type="gramStart"/>
      <w:r w:rsidR="00AA3737">
        <w:rPr>
          <w:rFonts w:cstheme="minorHAnsi"/>
        </w:rPr>
        <w:t>also fully accommodate the anticipated increas</w:t>
      </w:r>
      <w:r w:rsidR="008958A2">
        <w:rPr>
          <w:rFonts w:cstheme="minorHAnsi"/>
        </w:rPr>
        <w:t>es</w:t>
      </w:r>
      <w:proofErr w:type="gramEnd"/>
      <w:r w:rsidR="00AA3737">
        <w:rPr>
          <w:rFonts w:cstheme="minorHAnsi"/>
        </w:rPr>
        <w:t xml:space="preserve"> </w:t>
      </w:r>
      <w:r w:rsidR="00042076">
        <w:rPr>
          <w:rFonts w:cstheme="minorHAnsi"/>
        </w:rPr>
        <w:t xml:space="preserve">in </w:t>
      </w:r>
      <w:r w:rsidR="00AA3737">
        <w:rPr>
          <w:rFonts w:cstheme="minorHAnsi"/>
        </w:rPr>
        <w:t>complexity of the Applicant’s cases</w:t>
      </w:r>
      <w:r w:rsidR="006B2C60">
        <w:rPr>
          <w:rFonts w:cstheme="minorHAnsi"/>
        </w:rPr>
        <w:t>,</w:t>
      </w:r>
      <w:r w:rsidR="00AA3737">
        <w:rPr>
          <w:rFonts w:cstheme="minorHAnsi"/>
        </w:rPr>
        <w:t xml:space="preserve"> </w:t>
      </w:r>
      <w:r w:rsidR="00042076">
        <w:rPr>
          <w:rFonts w:cstheme="minorHAnsi"/>
        </w:rPr>
        <w:t xml:space="preserve">and </w:t>
      </w:r>
      <w:r w:rsidR="00AA3737">
        <w:rPr>
          <w:rFonts w:cstheme="minorHAnsi"/>
        </w:rPr>
        <w:t>in the Applicant’s surgical staff</w:t>
      </w:r>
      <w:r w:rsidR="00A4715F">
        <w:rPr>
          <w:rFonts w:cstheme="minorHAnsi"/>
        </w:rPr>
        <w:t xml:space="preserve">.  </w:t>
      </w:r>
      <w:r w:rsidR="00F25367">
        <w:rPr>
          <w:rFonts w:cstheme="minorHAnsi"/>
        </w:rPr>
        <w:t xml:space="preserve"> </w:t>
      </w:r>
      <w:r w:rsidR="00785DB9">
        <w:rPr>
          <w:rFonts w:cstheme="minorHAnsi"/>
        </w:rPr>
        <w:t xml:space="preserve"> </w:t>
      </w:r>
    </w:p>
    <w:p w14:paraId="616B8280" w14:textId="03AD0537" w:rsidR="00A4715F" w:rsidRDefault="00A4715F" w:rsidP="00A4715F">
      <w:pPr>
        <w:ind w:left="720"/>
        <w:rPr>
          <w:rFonts w:cstheme="minorHAnsi"/>
        </w:rPr>
      </w:pPr>
      <w:r>
        <w:rPr>
          <w:rFonts w:cstheme="minorHAnsi"/>
        </w:rPr>
        <w:t>In order to estimate the number of ORs</w:t>
      </w:r>
      <w:r w:rsidR="0068120E">
        <w:rPr>
          <w:rFonts w:cstheme="minorHAnsi"/>
        </w:rPr>
        <w:t xml:space="preserve"> needed to accommodate only Existing Cases</w:t>
      </w:r>
      <w:r>
        <w:rPr>
          <w:rFonts w:cstheme="minorHAnsi"/>
        </w:rPr>
        <w:t>, the Applicant has applied the following assumptions to its methodology:</w:t>
      </w:r>
    </w:p>
    <w:p w14:paraId="59059711" w14:textId="0CDE81F7" w:rsidR="00795BC0" w:rsidRDefault="00795BC0" w:rsidP="00A4715F">
      <w:pPr>
        <w:pStyle w:val="ListParagraph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>The applicant operates 250 days a year, 8 hours per day.</w:t>
      </w:r>
    </w:p>
    <w:p w14:paraId="2A1D88C2" w14:textId="0BEA0B6B" w:rsidR="00795BC0" w:rsidRDefault="00A4715F" w:rsidP="00A4715F">
      <w:pPr>
        <w:pStyle w:val="ListParagraph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 xml:space="preserve">One OR has 100% utilization potential of 2,000 hours or </w:t>
      </w:r>
      <w:r w:rsidR="00795BC0">
        <w:rPr>
          <w:rFonts w:cstheme="minorHAnsi"/>
        </w:rPr>
        <w:t>120,000 minutes in a year.</w:t>
      </w:r>
    </w:p>
    <w:p w14:paraId="71A8FAB6" w14:textId="5201D028" w:rsidR="00795BC0" w:rsidRDefault="00795BC0" w:rsidP="00795BC0">
      <w:pPr>
        <w:pStyle w:val="ListParagraph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 xml:space="preserve">Three ORs have 100% utilization potential of 6,000 hours or 360,000 minutes in a year. </w:t>
      </w:r>
    </w:p>
    <w:p w14:paraId="3EE891D7" w14:textId="38F2FBE9" w:rsidR="00263B71" w:rsidRDefault="00263B71" w:rsidP="00263B71">
      <w:pPr>
        <w:pStyle w:val="ListParagraph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 xml:space="preserve">Four ORs have 100% utilization potential of 8,000 hours or 480,000 minutes in a year. </w:t>
      </w:r>
    </w:p>
    <w:p w14:paraId="721F9F69" w14:textId="6CBAFDAE" w:rsidR="00263B71" w:rsidRPr="00263B71" w:rsidRDefault="00263B71" w:rsidP="00263B71">
      <w:pPr>
        <w:pStyle w:val="ListParagraph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lastRenderedPageBreak/>
        <w:t xml:space="preserve">Five ORs have 100% utilization potential of 10,000 hours or 600,000 minutes in a year. </w:t>
      </w:r>
    </w:p>
    <w:p w14:paraId="0654D0A7" w14:textId="2F591825" w:rsidR="00795BC0" w:rsidRDefault="00795BC0" w:rsidP="00795BC0">
      <w:pPr>
        <w:pStyle w:val="ListParagraph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 xml:space="preserve">The Applicant's </w:t>
      </w:r>
      <w:r w:rsidR="00866D94">
        <w:rPr>
          <w:rFonts w:cstheme="minorHAnsi"/>
        </w:rPr>
        <w:t xml:space="preserve">count </w:t>
      </w:r>
      <w:r>
        <w:rPr>
          <w:rFonts w:cstheme="minorHAnsi"/>
        </w:rPr>
        <w:t xml:space="preserve">of </w:t>
      </w:r>
      <w:r w:rsidR="00866D94">
        <w:rPr>
          <w:rFonts w:cstheme="minorHAnsi"/>
        </w:rPr>
        <w:t>joint arthroplasty</w:t>
      </w:r>
      <w:r>
        <w:rPr>
          <w:rFonts w:cstheme="minorHAnsi"/>
        </w:rPr>
        <w:t xml:space="preserve"> cases </w:t>
      </w:r>
      <w:r w:rsidR="00866D94">
        <w:rPr>
          <w:rFonts w:cstheme="minorHAnsi"/>
        </w:rPr>
        <w:t xml:space="preserve">will increase </w:t>
      </w:r>
      <w:r w:rsidR="006B2C60">
        <w:rPr>
          <w:rFonts w:cstheme="minorHAnsi"/>
        </w:rPr>
        <w:t xml:space="preserve">by 856 cases </w:t>
      </w:r>
      <w:r w:rsidR="00866D94">
        <w:rPr>
          <w:rFonts w:cstheme="minorHAnsi"/>
        </w:rPr>
        <w:t>to meet its year one forecast for joint arthroplasty, replacing other cases, and the proportion of joint arthroplasty cases to other cases will increase accordingly</w:t>
      </w:r>
      <w:r w:rsidR="006B2C60">
        <w:rPr>
          <w:rFonts w:cstheme="minorHAnsi"/>
        </w:rPr>
        <w:t>, without changing the total number of existing cases.</w:t>
      </w:r>
    </w:p>
    <w:p w14:paraId="16F25C7C" w14:textId="3094DDEE" w:rsidR="00795BC0" w:rsidRDefault="001A695C" w:rsidP="00A4715F">
      <w:pPr>
        <w:pStyle w:val="ListParagraph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>Average OR time for Arthroplasty cases equals 150 minutes including turnover time.</w:t>
      </w:r>
    </w:p>
    <w:p w14:paraId="29109C75" w14:textId="4B4A1655" w:rsidR="00795BC0" w:rsidRPr="00DF6CC5" w:rsidRDefault="001A695C" w:rsidP="00DF6CC5">
      <w:pPr>
        <w:pStyle w:val="ListParagraph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>Average OR time for Other cases equals 90 minutes including turnover time.</w:t>
      </w:r>
    </w:p>
    <w:p w14:paraId="5AEF0E45" w14:textId="715206F2" w:rsidR="00795BC0" w:rsidRDefault="00701943" w:rsidP="00A4715F">
      <w:pPr>
        <w:ind w:left="720"/>
        <w:rPr>
          <w:rFonts w:cstheme="minorHAnsi"/>
        </w:rPr>
      </w:pPr>
      <w:r>
        <w:rPr>
          <w:rFonts w:cstheme="minorHAnsi"/>
        </w:rPr>
        <w:t xml:space="preserve">Given, these assumptions, the Applicant would require 5 ORs to accommodate </w:t>
      </w:r>
      <w:r w:rsidR="00042076">
        <w:rPr>
          <w:rFonts w:cstheme="minorHAnsi"/>
        </w:rPr>
        <w:t xml:space="preserve">just the </w:t>
      </w:r>
      <w:r w:rsidR="00866D94">
        <w:rPr>
          <w:rFonts w:cstheme="minorHAnsi"/>
        </w:rPr>
        <w:t>Existing</w:t>
      </w:r>
      <w:r>
        <w:rPr>
          <w:rFonts w:cstheme="minorHAnsi"/>
        </w:rPr>
        <w:t xml:space="preserve"> cases</w:t>
      </w:r>
      <w:r w:rsidR="00763711">
        <w:rPr>
          <w:rFonts w:cstheme="minorHAnsi"/>
        </w:rPr>
        <w:t xml:space="preserve"> through year 5</w:t>
      </w:r>
      <w:r>
        <w:rPr>
          <w:rFonts w:cstheme="minorHAnsi"/>
        </w:rPr>
        <w:t>. Please see table below: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02"/>
        <w:gridCol w:w="790"/>
        <w:gridCol w:w="790"/>
        <w:gridCol w:w="790"/>
        <w:gridCol w:w="790"/>
        <w:gridCol w:w="790"/>
      </w:tblGrid>
      <w:tr w:rsidR="006A24F7" w:rsidRPr="00446BEF" w14:paraId="1E6024FC" w14:textId="77777777" w:rsidTr="004B688D">
        <w:trPr>
          <w:cantSplit/>
          <w:tblHeader/>
          <w:jc w:val="center"/>
        </w:trPr>
        <w:tc>
          <w:tcPr>
            <w:tcW w:w="0" w:type="auto"/>
          </w:tcPr>
          <w:p w14:paraId="0AC6143D" w14:textId="77777777" w:rsidR="00701943" w:rsidRPr="00446BEF" w:rsidRDefault="00701943" w:rsidP="005A31D6"/>
        </w:tc>
        <w:tc>
          <w:tcPr>
            <w:tcW w:w="0" w:type="auto"/>
            <w:shd w:val="clear" w:color="auto" w:fill="D9E2F3" w:themeFill="accent1" w:themeFillTint="33"/>
          </w:tcPr>
          <w:p w14:paraId="6C0327D9" w14:textId="77777777" w:rsidR="00701943" w:rsidRDefault="00701943" w:rsidP="005A31D6">
            <w:pPr>
              <w:jc w:val="center"/>
              <w:rPr>
                <w:b/>
                <w:bCs/>
              </w:rPr>
            </w:pPr>
            <w:r w:rsidRPr="00446BEF">
              <w:rPr>
                <w:b/>
                <w:bCs/>
              </w:rPr>
              <w:t>Year 1</w:t>
            </w:r>
          </w:p>
          <w:p w14:paraId="501C98CE" w14:textId="77777777" w:rsidR="00701943" w:rsidRPr="00446BEF" w:rsidRDefault="00701943" w:rsidP="005A31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741F031B" w14:textId="77777777" w:rsidR="00701943" w:rsidRDefault="00701943" w:rsidP="005A31D6">
            <w:pPr>
              <w:jc w:val="center"/>
              <w:rPr>
                <w:b/>
                <w:bCs/>
              </w:rPr>
            </w:pPr>
            <w:r w:rsidRPr="00446BEF">
              <w:rPr>
                <w:b/>
                <w:bCs/>
              </w:rPr>
              <w:t>Year 2</w:t>
            </w:r>
          </w:p>
          <w:p w14:paraId="64C70EB4" w14:textId="77777777" w:rsidR="00701943" w:rsidRPr="00446BEF" w:rsidRDefault="00701943" w:rsidP="005A31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38BFECF" w14:textId="77777777" w:rsidR="00701943" w:rsidRDefault="00701943" w:rsidP="005A31D6">
            <w:pPr>
              <w:jc w:val="center"/>
              <w:rPr>
                <w:b/>
                <w:bCs/>
              </w:rPr>
            </w:pPr>
            <w:r w:rsidRPr="00446BEF">
              <w:rPr>
                <w:b/>
                <w:bCs/>
              </w:rPr>
              <w:t>Year 3</w:t>
            </w:r>
          </w:p>
          <w:p w14:paraId="6CBB28DB" w14:textId="77777777" w:rsidR="00701943" w:rsidRPr="00446BEF" w:rsidRDefault="00701943" w:rsidP="005A31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631B5BB5" w14:textId="77777777" w:rsidR="00701943" w:rsidRDefault="00701943" w:rsidP="005A31D6">
            <w:pPr>
              <w:jc w:val="center"/>
              <w:rPr>
                <w:b/>
                <w:bCs/>
              </w:rPr>
            </w:pPr>
            <w:r w:rsidRPr="00446BEF">
              <w:rPr>
                <w:b/>
                <w:bCs/>
              </w:rPr>
              <w:t>Year 4</w:t>
            </w:r>
          </w:p>
          <w:p w14:paraId="2B9A1C3A" w14:textId="77777777" w:rsidR="00701943" w:rsidRPr="00446BEF" w:rsidRDefault="00701943" w:rsidP="005A31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52399F02" w14:textId="77777777" w:rsidR="00701943" w:rsidRDefault="00701943" w:rsidP="005A31D6">
            <w:pPr>
              <w:jc w:val="center"/>
              <w:rPr>
                <w:b/>
                <w:bCs/>
              </w:rPr>
            </w:pPr>
            <w:r w:rsidRPr="00446BEF">
              <w:rPr>
                <w:b/>
                <w:bCs/>
              </w:rPr>
              <w:t>Year 5</w:t>
            </w:r>
          </w:p>
          <w:p w14:paraId="0795E393" w14:textId="77777777" w:rsidR="00701943" w:rsidRPr="00446BEF" w:rsidRDefault="00701943" w:rsidP="005A31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2029</w:t>
            </w:r>
          </w:p>
        </w:tc>
      </w:tr>
      <w:tr w:rsidR="00701943" w:rsidRPr="00446BEF" w14:paraId="55C910A9" w14:textId="77777777" w:rsidTr="004B688D">
        <w:trPr>
          <w:cantSplit/>
          <w:jc w:val="center"/>
        </w:trPr>
        <w:tc>
          <w:tcPr>
            <w:tcW w:w="0" w:type="auto"/>
          </w:tcPr>
          <w:p w14:paraId="1A26E579" w14:textId="029F41BE" w:rsidR="00701943" w:rsidRPr="006A24F7" w:rsidRDefault="00701943" w:rsidP="005A31D6">
            <w:pPr>
              <w:rPr>
                <w:b/>
                <w:bCs/>
              </w:rPr>
            </w:pPr>
            <w:r w:rsidRPr="006A24F7">
              <w:rPr>
                <w:b/>
                <w:bCs/>
              </w:rPr>
              <w:t>Existing Case</w:t>
            </w:r>
            <w:r w:rsidR="0044652A">
              <w:rPr>
                <w:b/>
                <w:bCs/>
              </w:rPr>
              <w:t xml:space="preserve"> Count</w:t>
            </w:r>
          </w:p>
        </w:tc>
        <w:tc>
          <w:tcPr>
            <w:tcW w:w="0" w:type="auto"/>
          </w:tcPr>
          <w:p w14:paraId="613E0336" w14:textId="77777777" w:rsidR="00701943" w:rsidRPr="00BC3B51" w:rsidRDefault="00701943" w:rsidP="005A31D6">
            <w:pPr>
              <w:jc w:val="center"/>
              <w:rPr>
                <w:b/>
                <w:bCs/>
              </w:rPr>
            </w:pPr>
            <w:r w:rsidRPr="00BC3B51">
              <w:rPr>
                <w:b/>
                <w:bCs/>
              </w:rPr>
              <w:t>3,472</w:t>
            </w:r>
          </w:p>
        </w:tc>
        <w:tc>
          <w:tcPr>
            <w:tcW w:w="0" w:type="auto"/>
          </w:tcPr>
          <w:p w14:paraId="230E078F" w14:textId="77777777" w:rsidR="00701943" w:rsidRPr="00BC3B51" w:rsidRDefault="00701943" w:rsidP="005A31D6">
            <w:pPr>
              <w:jc w:val="center"/>
              <w:rPr>
                <w:b/>
                <w:bCs/>
              </w:rPr>
            </w:pPr>
            <w:r w:rsidRPr="00BC3B51">
              <w:rPr>
                <w:b/>
                <w:bCs/>
              </w:rPr>
              <w:t>3,611</w:t>
            </w:r>
          </w:p>
        </w:tc>
        <w:tc>
          <w:tcPr>
            <w:tcW w:w="0" w:type="auto"/>
          </w:tcPr>
          <w:p w14:paraId="6C44C3BA" w14:textId="77777777" w:rsidR="00701943" w:rsidRPr="00BC3B51" w:rsidRDefault="00701943" w:rsidP="005A31D6">
            <w:pPr>
              <w:jc w:val="center"/>
              <w:rPr>
                <w:b/>
                <w:bCs/>
              </w:rPr>
            </w:pPr>
            <w:r w:rsidRPr="00BC3B51">
              <w:rPr>
                <w:b/>
                <w:bCs/>
              </w:rPr>
              <w:t>3,755</w:t>
            </w:r>
          </w:p>
        </w:tc>
        <w:tc>
          <w:tcPr>
            <w:tcW w:w="0" w:type="auto"/>
          </w:tcPr>
          <w:p w14:paraId="25159B0D" w14:textId="77777777" w:rsidR="00701943" w:rsidRPr="00BC3B51" w:rsidRDefault="00701943" w:rsidP="005A31D6">
            <w:pPr>
              <w:jc w:val="center"/>
              <w:rPr>
                <w:b/>
                <w:bCs/>
              </w:rPr>
            </w:pPr>
            <w:r w:rsidRPr="00BC3B51">
              <w:rPr>
                <w:b/>
                <w:bCs/>
              </w:rPr>
              <w:t>3,906</w:t>
            </w:r>
          </w:p>
        </w:tc>
        <w:tc>
          <w:tcPr>
            <w:tcW w:w="0" w:type="auto"/>
          </w:tcPr>
          <w:p w14:paraId="48EA0B87" w14:textId="77777777" w:rsidR="00701943" w:rsidRPr="00BC3B51" w:rsidRDefault="00701943" w:rsidP="005A31D6">
            <w:pPr>
              <w:jc w:val="center"/>
              <w:rPr>
                <w:b/>
                <w:bCs/>
              </w:rPr>
            </w:pPr>
            <w:r w:rsidRPr="00BC3B51">
              <w:rPr>
                <w:b/>
                <w:bCs/>
              </w:rPr>
              <w:t>4,062</w:t>
            </w:r>
          </w:p>
        </w:tc>
      </w:tr>
      <w:tr w:rsidR="00701943" w:rsidRPr="00446BEF" w14:paraId="77EF8140" w14:textId="77777777" w:rsidTr="004B688D">
        <w:trPr>
          <w:cantSplit/>
          <w:jc w:val="center"/>
        </w:trPr>
        <w:tc>
          <w:tcPr>
            <w:tcW w:w="0" w:type="auto"/>
          </w:tcPr>
          <w:p w14:paraId="1D90FC56" w14:textId="77777777" w:rsidR="00701943" w:rsidRPr="00446BEF" w:rsidRDefault="00701943" w:rsidP="005A31D6">
            <w:pPr>
              <w:rPr>
                <w:b/>
                <w:bCs/>
              </w:rPr>
            </w:pPr>
            <w:r>
              <w:rPr>
                <w:b/>
                <w:bCs/>
              </w:rPr>
              <w:t>% Utilization – 3 ORs</w:t>
            </w:r>
          </w:p>
        </w:tc>
        <w:tc>
          <w:tcPr>
            <w:tcW w:w="0" w:type="auto"/>
          </w:tcPr>
          <w:p w14:paraId="5E2D3A05" w14:textId="0E32EFFD" w:rsidR="00701943" w:rsidRPr="00446BEF" w:rsidRDefault="00701943" w:rsidP="005A31D6">
            <w:pPr>
              <w:jc w:val="center"/>
            </w:pPr>
            <w:r>
              <w:t>102%</w:t>
            </w:r>
          </w:p>
        </w:tc>
        <w:tc>
          <w:tcPr>
            <w:tcW w:w="0" w:type="auto"/>
          </w:tcPr>
          <w:p w14:paraId="0817B64D" w14:textId="532D6F09" w:rsidR="00701943" w:rsidRPr="00446BEF" w:rsidRDefault="00701943" w:rsidP="005A31D6">
            <w:pPr>
              <w:jc w:val="center"/>
            </w:pPr>
            <w:r>
              <w:t>106%</w:t>
            </w:r>
          </w:p>
        </w:tc>
        <w:tc>
          <w:tcPr>
            <w:tcW w:w="0" w:type="auto"/>
          </w:tcPr>
          <w:p w14:paraId="10B94B58" w14:textId="110999F8" w:rsidR="00701943" w:rsidRPr="00446BEF" w:rsidRDefault="00701943" w:rsidP="005A31D6">
            <w:pPr>
              <w:jc w:val="center"/>
            </w:pPr>
            <w:r>
              <w:t>110%</w:t>
            </w:r>
          </w:p>
        </w:tc>
        <w:tc>
          <w:tcPr>
            <w:tcW w:w="0" w:type="auto"/>
          </w:tcPr>
          <w:p w14:paraId="2F8C1841" w14:textId="38646F93" w:rsidR="00701943" w:rsidRPr="00446BEF" w:rsidRDefault="00701943" w:rsidP="005A31D6">
            <w:pPr>
              <w:jc w:val="center"/>
            </w:pPr>
            <w:r>
              <w:t>115%</w:t>
            </w:r>
          </w:p>
        </w:tc>
        <w:tc>
          <w:tcPr>
            <w:tcW w:w="0" w:type="auto"/>
          </w:tcPr>
          <w:p w14:paraId="2C8B52AD" w14:textId="40910501" w:rsidR="00701943" w:rsidRPr="00446BEF" w:rsidRDefault="0080436F" w:rsidP="005A31D6">
            <w:pPr>
              <w:jc w:val="center"/>
            </w:pPr>
            <w:r>
              <w:t>119</w:t>
            </w:r>
            <w:r w:rsidR="00701943">
              <w:t>%</w:t>
            </w:r>
          </w:p>
        </w:tc>
      </w:tr>
      <w:tr w:rsidR="00701943" w:rsidRPr="00446BEF" w14:paraId="3FA035AF" w14:textId="77777777" w:rsidTr="004B688D">
        <w:trPr>
          <w:cantSplit/>
          <w:jc w:val="center"/>
        </w:trPr>
        <w:tc>
          <w:tcPr>
            <w:tcW w:w="0" w:type="auto"/>
          </w:tcPr>
          <w:p w14:paraId="3A3E5C40" w14:textId="77777777" w:rsidR="00701943" w:rsidRDefault="00701943" w:rsidP="005A31D6">
            <w:pPr>
              <w:rPr>
                <w:b/>
                <w:bCs/>
              </w:rPr>
            </w:pPr>
            <w:r>
              <w:rPr>
                <w:b/>
                <w:bCs/>
              </w:rPr>
              <w:t>% Utilization – 4 ORs</w:t>
            </w:r>
          </w:p>
        </w:tc>
        <w:tc>
          <w:tcPr>
            <w:tcW w:w="0" w:type="auto"/>
          </w:tcPr>
          <w:p w14:paraId="0565E197" w14:textId="001921E3" w:rsidR="00701943" w:rsidRPr="00446BEF" w:rsidRDefault="00701943" w:rsidP="005A31D6">
            <w:pPr>
              <w:jc w:val="center"/>
            </w:pPr>
            <w:r>
              <w:t>77%</w:t>
            </w:r>
          </w:p>
        </w:tc>
        <w:tc>
          <w:tcPr>
            <w:tcW w:w="0" w:type="auto"/>
          </w:tcPr>
          <w:p w14:paraId="308C0545" w14:textId="5F35BFE1" w:rsidR="00701943" w:rsidRPr="00446BEF" w:rsidRDefault="00701943" w:rsidP="005A31D6">
            <w:pPr>
              <w:jc w:val="center"/>
            </w:pPr>
            <w:r>
              <w:t>80%</w:t>
            </w:r>
          </w:p>
        </w:tc>
        <w:tc>
          <w:tcPr>
            <w:tcW w:w="0" w:type="auto"/>
          </w:tcPr>
          <w:p w14:paraId="06B2F060" w14:textId="2C0F0058" w:rsidR="00701943" w:rsidRPr="00446BEF" w:rsidRDefault="00701943" w:rsidP="005A31D6">
            <w:pPr>
              <w:jc w:val="center"/>
            </w:pPr>
            <w:r>
              <w:t>83%</w:t>
            </w:r>
          </w:p>
        </w:tc>
        <w:tc>
          <w:tcPr>
            <w:tcW w:w="0" w:type="auto"/>
          </w:tcPr>
          <w:p w14:paraId="19BC5138" w14:textId="568CFCC5" w:rsidR="00701943" w:rsidRPr="00446BEF" w:rsidRDefault="00701943" w:rsidP="005A31D6">
            <w:pPr>
              <w:jc w:val="center"/>
            </w:pPr>
            <w:r>
              <w:t>86%</w:t>
            </w:r>
          </w:p>
        </w:tc>
        <w:tc>
          <w:tcPr>
            <w:tcW w:w="0" w:type="auto"/>
          </w:tcPr>
          <w:p w14:paraId="6884899D" w14:textId="79C9F25F" w:rsidR="00701943" w:rsidRPr="00446BEF" w:rsidRDefault="00701943" w:rsidP="005A31D6">
            <w:pPr>
              <w:jc w:val="center"/>
            </w:pPr>
            <w:r>
              <w:t>90%</w:t>
            </w:r>
          </w:p>
        </w:tc>
      </w:tr>
      <w:tr w:rsidR="00701943" w:rsidRPr="00446BEF" w14:paraId="624A59B2" w14:textId="77777777" w:rsidTr="004B688D">
        <w:trPr>
          <w:cantSplit/>
          <w:jc w:val="center"/>
        </w:trPr>
        <w:tc>
          <w:tcPr>
            <w:tcW w:w="0" w:type="auto"/>
          </w:tcPr>
          <w:p w14:paraId="003858C3" w14:textId="77777777" w:rsidR="00701943" w:rsidRDefault="00701943" w:rsidP="005A31D6">
            <w:pPr>
              <w:rPr>
                <w:b/>
                <w:bCs/>
              </w:rPr>
            </w:pPr>
            <w:r>
              <w:rPr>
                <w:b/>
                <w:bCs/>
              </w:rPr>
              <w:t>% Utilization – 5 ORs</w:t>
            </w:r>
          </w:p>
        </w:tc>
        <w:tc>
          <w:tcPr>
            <w:tcW w:w="0" w:type="auto"/>
          </w:tcPr>
          <w:p w14:paraId="0CB1F0AF" w14:textId="53641A6D" w:rsidR="00701943" w:rsidRPr="00446BEF" w:rsidRDefault="00701943" w:rsidP="005A31D6">
            <w:pPr>
              <w:jc w:val="center"/>
            </w:pPr>
            <w:r>
              <w:t>61%</w:t>
            </w:r>
          </w:p>
        </w:tc>
        <w:tc>
          <w:tcPr>
            <w:tcW w:w="0" w:type="auto"/>
          </w:tcPr>
          <w:p w14:paraId="216B13C3" w14:textId="4256A170" w:rsidR="00701943" w:rsidRPr="00446BEF" w:rsidRDefault="00701943" w:rsidP="005A31D6">
            <w:pPr>
              <w:jc w:val="center"/>
            </w:pPr>
            <w:r>
              <w:t>64%</w:t>
            </w:r>
          </w:p>
        </w:tc>
        <w:tc>
          <w:tcPr>
            <w:tcW w:w="0" w:type="auto"/>
          </w:tcPr>
          <w:p w14:paraId="23E1EBCF" w14:textId="107C175D" w:rsidR="00701943" w:rsidRPr="00446BEF" w:rsidRDefault="00701943" w:rsidP="005A31D6">
            <w:pPr>
              <w:jc w:val="center"/>
            </w:pPr>
            <w:r>
              <w:t>66%</w:t>
            </w:r>
          </w:p>
        </w:tc>
        <w:tc>
          <w:tcPr>
            <w:tcW w:w="0" w:type="auto"/>
          </w:tcPr>
          <w:p w14:paraId="2D2035D6" w14:textId="0398FDD1" w:rsidR="00701943" w:rsidRPr="00446BEF" w:rsidRDefault="00701943" w:rsidP="005A31D6">
            <w:pPr>
              <w:jc w:val="center"/>
            </w:pPr>
            <w:r>
              <w:t>69%</w:t>
            </w:r>
          </w:p>
        </w:tc>
        <w:tc>
          <w:tcPr>
            <w:tcW w:w="0" w:type="auto"/>
          </w:tcPr>
          <w:p w14:paraId="47BE1577" w14:textId="1F4DE2CA" w:rsidR="00701943" w:rsidRPr="00446BEF" w:rsidRDefault="00701943" w:rsidP="005A31D6">
            <w:pPr>
              <w:jc w:val="center"/>
            </w:pPr>
            <w:r>
              <w:t>72%</w:t>
            </w:r>
          </w:p>
        </w:tc>
      </w:tr>
    </w:tbl>
    <w:p w14:paraId="4B421133" w14:textId="77777777" w:rsidR="00701943" w:rsidRDefault="00701943" w:rsidP="00A4715F">
      <w:pPr>
        <w:ind w:left="720"/>
        <w:rPr>
          <w:rFonts w:cstheme="minorHAnsi"/>
        </w:rPr>
      </w:pPr>
    </w:p>
    <w:p w14:paraId="65E9FE09" w14:textId="3DF72EF7" w:rsidR="00230DD7" w:rsidRPr="00E16F3B" w:rsidRDefault="00F738A2" w:rsidP="00E16F3B">
      <w:pPr>
        <w:ind w:left="720"/>
        <w:rPr>
          <w:rFonts w:cstheme="minorHAnsi"/>
        </w:rPr>
      </w:pPr>
      <w:r w:rsidRPr="00A4715F">
        <w:rPr>
          <w:rFonts w:cstheme="minorHAnsi"/>
        </w:rPr>
        <w:t xml:space="preserve">Operating at </w:t>
      </w:r>
      <w:r w:rsidR="00B24D72">
        <w:rPr>
          <w:rFonts w:cstheme="minorHAnsi"/>
        </w:rPr>
        <w:t xml:space="preserve">or </w:t>
      </w:r>
      <w:r w:rsidR="00866D94">
        <w:rPr>
          <w:rFonts w:cstheme="minorHAnsi"/>
        </w:rPr>
        <w:t>near</w:t>
      </w:r>
      <w:r w:rsidR="00866D94" w:rsidRPr="00A4715F">
        <w:rPr>
          <w:rFonts w:cstheme="minorHAnsi"/>
        </w:rPr>
        <w:t xml:space="preserve"> </w:t>
      </w:r>
      <w:r w:rsidRPr="00A4715F">
        <w:rPr>
          <w:rFonts w:cstheme="minorHAnsi"/>
        </w:rPr>
        <w:t xml:space="preserve">100% capacity every day is not realistic given many factors such as staffing, equipment, weather, cancellations, and other scheduling challenges.   </w:t>
      </w:r>
      <w:r w:rsidR="001A70FF" w:rsidRPr="00A4715F">
        <w:rPr>
          <w:rFonts w:cstheme="minorHAnsi"/>
        </w:rPr>
        <w:t xml:space="preserve">In fact, </w:t>
      </w:r>
      <w:r w:rsidR="00C854A9" w:rsidRPr="00A4715F">
        <w:rPr>
          <w:rFonts w:cstheme="minorHAnsi"/>
        </w:rPr>
        <w:t>"</w:t>
      </w:r>
      <w:r w:rsidRPr="00A4715F">
        <w:rPr>
          <w:rFonts w:cstheme="minorHAnsi"/>
        </w:rPr>
        <w:t xml:space="preserve">Many experts have targeted 70-80% as an optimal utilization rate" </w:t>
      </w:r>
      <w:r>
        <w:rPr>
          <w:rStyle w:val="FootnoteReference"/>
          <w:rFonts w:cstheme="minorHAnsi"/>
        </w:rPr>
        <w:footnoteReference w:id="4"/>
      </w:r>
      <w:r w:rsidRPr="00A4715F">
        <w:rPr>
          <w:rFonts w:cstheme="minorHAnsi"/>
        </w:rPr>
        <w:t xml:space="preserve"> as noted in page 8 of the Applicant's </w:t>
      </w:r>
      <w:r w:rsidR="009A7A9C" w:rsidRPr="00A4715F">
        <w:rPr>
          <w:rFonts w:cstheme="minorHAnsi"/>
        </w:rPr>
        <w:t>Application</w:t>
      </w:r>
      <w:r w:rsidRPr="00A4715F">
        <w:rPr>
          <w:rFonts w:cstheme="minorHAnsi"/>
        </w:rPr>
        <w:t xml:space="preserve"> Narrative. </w:t>
      </w:r>
      <w:r w:rsidR="000D18E0" w:rsidRPr="00A4715F">
        <w:rPr>
          <w:rFonts w:cstheme="minorHAnsi"/>
        </w:rPr>
        <w:t xml:space="preserve">  </w:t>
      </w:r>
    </w:p>
    <w:p w14:paraId="6E7062B8" w14:textId="0035D12B" w:rsidR="00F26B00" w:rsidRDefault="00104355" w:rsidP="00DE7A3B">
      <w:pPr>
        <w:pStyle w:val="ListParagraph"/>
        <w:rPr>
          <w:rFonts w:cstheme="minorHAnsi"/>
        </w:rPr>
      </w:pPr>
      <w:r>
        <w:rPr>
          <w:rFonts w:cstheme="minorHAnsi"/>
        </w:rPr>
        <w:t>As noted in the Applicant</w:t>
      </w:r>
      <w:r w:rsidR="00D71582">
        <w:rPr>
          <w:rFonts w:cstheme="minorHAnsi"/>
        </w:rPr>
        <w:t>’</w:t>
      </w:r>
      <w:r>
        <w:rPr>
          <w:rFonts w:cstheme="minorHAnsi"/>
        </w:rPr>
        <w:t xml:space="preserve">s </w:t>
      </w:r>
      <w:r w:rsidR="00337AAD">
        <w:rPr>
          <w:rFonts w:cstheme="minorHAnsi"/>
        </w:rPr>
        <w:t xml:space="preserve">Application </w:t>
      </w:r>
      <w:r>
        <w:rPr>
          <w:rFonts w:cstheme="minorHAnsi"/>
        </w:rPr>
        <w:t xml:space="preserve">Narrative, the Applicant is not able to remain in its current site because of the termination of its current lease and </w:t>
      </w:r>
      <w:r w:rsidR="00337AAD">
        <w:rPr>
          <w:rFonts w:cstheme="minorHAnsi"/>
        </w:rPr>
        <w:t xml:space="preserve">the </w:t>
      </w:r>
      <w:r>
        <w:rPr>
          <w:rFonts w:cstheme="minorHAnsi"/>
        </w:rPr>
        <w:t>repurposing of the</w:t>
      </w:r>
      <w:r w:rsidR="00337AAD">
        <w:rPr>
          <w:rFonts w:cstheme="minorHAnsi"/>
        </w:rPr>
        <w:t xml:space="preserve"> existing</w:t>
      </w:r>
      <w:r>
        <w:rPr>
          <w:rFonts w:cstheme="minorHAnsi"/>
        </w:rPr>
        <w:t xml:space="preserve"> property by the landlord.  </w:t>
      </w:r>
      <w:r w:rsidR="00306CAA">
        <w:rPr>
          <w:rFonts w:cstheme="minorHAnsi"/>
        </w:rPr>
        <w:t xml:space="preserve">Most </w:t>
      </w:r>
      <w:r>
        <w:rPr>
          <w:rFonts w:cstheme="minorHAnsi"/>
        </w:rPr>
        <w:t>of the surgeons on the Applicant</w:t>
      </w:r>
      <w:r w:rsidR="00D71582">
        <w:rPr>
          <w:rFonts w:cstheme="minorHAnsi"/>
        </w:rPr>
        <w:t>’</w:t>
      </w:r>
      <w:r>
        <w:rPr>
          <w:rFonts w:cstheme="minorHAnsi"/>
        </w:rPr>
        <w:t xml:space="preserve">s medical staff will </w:t>
      </w:r>
      <w:r w:rsidR="007F510C">
        <w:rPr>
          <w:rFonts w:cstheme="minorHAnsi"/>
        </w:rPr>
        <w:t xml:space="preserve">also </w:t>
      </w:r>
      <w:r>
        <w:rPr>
          <w:rFonts w:cstheme="minorHAnsi"/>
        </w:rPr>
        <w:t>be moving to the new site</w:t>
      </w:r>
      <w:r w:rsidR="00337AAD">
        <w:rPr>
          <w:rFonts w:cstheme="minorHAnsi"/>
        </w:rPr>
        <w:t xml:space="preserve">, along with other members of those surgeons’ </w:t>
      </w:r>
      <w:r w:rsidR="00DF6D89">
        <w:rPr>
          <w:rFonts w:cstheme="minorHAnsi"/>
        </w:rPr>
        <w:t xml:space="preserve">medical </w:t>
      </w:r>
      <w:r w:rsidR="00337AAD">
        <w:rPr>
          <w:rFonts w:cstheme="minorHAnsi"/>
        </w:rPr>
        <w:t>practices who have been seeking to, and are hoping to, perform</w:t>
      </w:r>
      <w:r w:rsidR="00DF6D89">
        <w:rPr>
          <w:rFonts w:cstheme="minorHAnsi"/>
        </w:rPr>
        <w:t xml:space="preserve"> their own </w:t>
      </w:r>
      <w:r w:rsidR="00F26B00">
        <w:rPr>
          <w:rFonts w:cstheme="minorHAnsi"/>
        </w:rPr>
        <w:t xml:space="preserve">cases </w:t>
      </w:r>
      <w:r w:rsidR="00DF6D89">
        <w:rPr>
          <w:rFonts w:cstheme="minorHAnsi"/>
        </w:rPr>
        <w:t>at the new location</w:t>
      </w:r>
      <w:r>
        <w:rPr>
          <w:rFonts w:cstheme="minorHAnsi"/>
        </w:rPr>
        <w:t xml:space="preserve">.  </w:t>
      </w:r>
      <w:r w:rsidR="007F510C">
        <w:rPr>
          <w:rFonts w:cstheme="minorHAnsi"/>
        </w:rPr>
        <w:t xml:space="preserve">The </w:t>
      </w:r>
      <w:r w:rsidR="00221E6D">
        <w:rPr>
          <w:rFonts w:cstheme="minorHAnsi"/>
        </w:rPr>
        <w:t xml:space="preserve">proposal to </w:t>
      </w:r>
      <w:r w:rsidR="007F510C">
        <w:rPr>
          <w:rFonts w:cstheme="minorHAnsi"/>
        </w:rPr>
        <w:t>locat</w:t>
      </w:r>
      <w:r w:rsidR="00221E6D">
        <w:rPr>
          <w:rFonts w:cstheme="minorHAnsi"/>
        </w:rPr>
        <w:t>e</w:t>
      </w:r>
      <w:r w:rsidR="007F510C">
        <w:rPr>
          <w:rFonts w:cstheme="minorHAnsi"/>
        </w:rPr>
        <w:t xml:space="preserve"> the ASC on the same property as the medical offices </w:t>
      </w:r>
      <w:r w:rsidR="00221E6D">
        <w:rPr>
          <w:rFonts w:cstheme="minorHAnsi"/>
        </w:rPr>
        <w:t>is</w:t>
      </w:r>
      <w:r w:rsidR="00DF6D89">
        <w:rPr>
          <w:rFonts w:cstheme="minorHAnsi"/>
        </w:rPr>
        <w:t>, among other things,</w:t>
      </w:r>
      <w:r w:rsidR="00221E6D">
        <w:rPr>
          <w:rFonts w:cstheme="minorHAnsi"/>
        </w:rPr>
        <w:t xml:space="preserve"> intended to</w:t>
      </w:r>
      <w:r w:rsidR="007F510C">
        <w:rPr>
          <w:rFonts w:cstheme="minorHAnsi"/>
        </w:rPr>
        <w:t xml:space="preserve"> improve access for the patients</w:t>
      </w:r>
      <w:r w:rsidR="00DF6D89">
        <w:rPr>
          <w:rFonts w:cstheme="minorHAnsi"/>
        </w:rPr>
        <w:t xml:space="preserve"> of those practices (including patients of additional members of th</w:t>
      </w:r>
      <w:r w:rsidR="00866430">
        <w:rPr>
          <w:rFonts w:cstheme="minorHAnsi"/>
        </w:rPr>
        <w:t>os</w:t>
      </w:r>
      <w:r w:rsidR="00DF6D89">
        <w:rPr>
          <w:rFonts w:cstheme="minorHAnsi"/>
        </w:rPr>
        <w:t>e practices)</w:t>
      </w:r>
      <w:r w:rsidR="00B11B82">
        <w:rPr>
          <w:rFonts w:cstheme="minorHAnsi"/>
        </w:rPr>
        <w:t>, as well as patients of other local physicians who have sought to, but have been unable to, utilize the Applicant’s current facility due to its limited capacity</w:t>
      </w:r>
      <w:r w:rsidR="007F510C">
        <w:rPr>
          <w:rFonts w:cstheme="minorHAnsi"/>
        </w:rPr>
        <w:t>.</w:t>
      </w:r>
      <w:r w:rsidR="00084FD9">
        <w:rPr>
          <w:rFonts w:cstheme="minorHAnsi"/>
        </w:rPr>
        <w:t xml:space="preserve">  </w:t>
      </w:r>
    </w:p>
    <w:p w14:paraId="576EEDF9" w14:textId="77777777" w:rsidR="00F26B00" w:rsidRDefault="00F26B00" w:rsidP="00DE7A3B">
      <w:pPr>
        <w:pStyle w:val="ListParagraph"/>
        <w:rPr>
          <w:rFonts w:cstheme="minorHAnsi"/>
        </w:rPr>
      </w:pPr>
    </w:p>
    <w:p w14:paraId="566DE647" w14:textId="3BCC172C" w:rsidR="002F3705" w:rsidRPr="00B654DE" w:rsidRDefault="00221E6D" w:rsidP="00DE7A3B">
      <w:pPr>
        <w:pStyle w:val="ListParagraph"/>
        <w:rPr>
          <w:rFonts w:cstheme="minorHAnsi"/>
        </w:rPr>
      </w:pPr>
      <w:r>
        <w:rPr>
          <w:rFonts w:cstheme="minorHAnsi"/>
        </w:rPr>
        <w:t xml:space="preserve">If the </w:t>
      </w:r>
      <w:r w:rsidR="00866430">
        <w:rPr>
          <w:rFonts w:cstheme="minorHAnsi"/>
        </w:rPr>
        <w:t xml:space="preserve">number of ORs in the </w:t>
      </w:r>
      <w:r>
        <w:rPr>
          <w:rFonts w:cstheme="minorHAnsi"/>
        </w:rPr>
        <w:t xml:space="preserve">Applicant's </w:t>
      </w:r>
      <w:r w:rsidR="00866430">
        <w:rPr>
          <w:rFonts w:cstheme="minorHAnsi"/>
        </w:rPr>
        <w:t xml:space="preserve">new facility </w:t>
      </w:r>
      <w:r>
        <w:rPr>
          <w:rFonts w:cstheme="minorHAnsi"/>
        </w:rPr>
        <w:t>is limited to meet only the needs of its existing case count</w:t>
      </w:r>
      <w:r w:rsidR="00F26B00">
        <w:rPr>
          <w:rFonts w:cstheme="minorHAnsi"/>
        </w:rPr>
        <w:t xml:space="preserve"> </w:t>
      </w:r>
      <w:r w:rsidR="00866430">
        <w:rPr>
          <w:rFonts w:cstheme="minorHAnsi"/>
        </w:rPr>
        <w:t>(</w:t>
      </w:r>
      <w:r w:rsidR="00F26B00">
        <w:rPr>
          <w:rFonts w:cstheme="minorHAnsi"/>
        </w:rPr>
        <w:t xml:space="preserve">and </w:t>
      </w:r>
      <w:r w:rsidR="00866430">
        <w:rPr>
          <w:rFonts w:cstheme="minorHAnsi"/>
        </w:rPr>
        <w:t>cannot accommodate</w:t>
      </w:r>
      <w:r w:rsidR="00F26B00">
        <w:rPr>
          <w:rFonts w:cstheme="minorHAnsi"/>
        </w:rPr>
        <w:t xml:space="preserve"> </w:t>
      </w:r>
      <w:r w:rsidR="00866430">
        <w:rPr>
          <w:rFonts w:cstheme="minorHAnsi"/>
        </w:rPr>
        <w:t xml:space="preserve">anticipated </w:t>
      </w:r>
      <w:r w:rsidR="00F26B00">
        <w:rPr>
          <w:rFonts w:cstheme="minorHAnsi"/>
        </w:rPr>
        <w:t xml:space="preserve">new cases from existing and new medical staff who want to perform </w:t>
      </w:r>
      <w:r w:rsidR="00E72549">
        <w:rPr>
          <w:rFonts w:cstheme="minorHAnsi"/>
        </w:rPr>
        <w:t>their cases at the proposed ASC</w:t>
      </w:r>
      <w:r w:rsidR="00F2606E">
        <w:rPr>
          <w:rFonts w:cstheme="minorHAnsi"/>
        </w:rPr>
        <w:t>)</w:t>
      </w:r>
      <w:r>
        <w:rPr>
          <w:rFonts w:cstheme="minorHAnsi"/>
        </w:rPr>
        <w:t xml:space="preserve">, many of the patients who </w:t>
      </w:r>
      <w:r w:rsidR="00DF6D89">
        <w:rPr>
          <w:rFonts w:cstheme="minorHAnsi"/>
        </w:rPr>
        <w:t xml:space="preserve">would benefit from </w:t>
      </w:r>
      <w:r>
        <w:rPr>
          <w:rFonts w:cstheme="minorHAnsi"/>
        </w:rPr>
        <w:t xml:space="preserve">the </w:t>
      </w:r>
      <w:r w:rsidR="00DF6D89">
        <w:rPr>
          <w:rFonts w:cstheme="minorHAnsi"/>
        </w:rPr>
        <w:t xml:space="preserve">efficiency and </w:t>
      </w:r>
      <w:r>
        <w:rPr>
          <w:rFonts w:cstheme="minorHAnsi"/>
        </w:rPr>
        <w:t xml:space="preserve">convenience of having their surgery in </w:t>
      </w:r>
      <w:r w:rsidR="0088398C">
        <w:rPr>
          <w:rFonts w:cstheme="minorHAnsi"/>
        </w:rPr>
        <w:t>a</w:t>
      </w:r>
      <w:r>
        <w:rPr>
          <w:rFonts w:cstheme="minorHAnsi"/>
        </w:rPr>
        <w:t xml:space="preserve"> location </w:t>
      </w:r>
      <w:r w:rsidR="0088398C">
        <w:rPr>
          <w:rFonts w:cstheme="minorHAnsi"/>
        </w:rPr>
        <w:t>that is proximate to</w:t>
      </w:r>
      <w:r>
        <w:rPr>
          <w:rFonts w:cstheme="minorHAnsi"/>
        </w:rPr>
        <w:t xml:space="preserve"> their surgeon</w:t>
      </w:r>
      <w:r w:rsidR="00DF6D89">
        <w:rPr>
          <w:rFonts w:cstheme="minorHAnsi"/>
        </w:rPr>
        <w:t>’s office</w:t>
      </w:r>
      <w:r w:rsidR="00F2606E">
        <w:rPr>
          <w:rFonts w:cstheme="minorHAnsi"/>
        </w:rPr>
        <w:t>,</w:t>
      </w:r>
      <w:r>
        <w:rPr>
          <w:rFonts w:cstheme="minorHAnsi"/>
        </w:rPr>
        <w:t xml:space="preserve"> and </w:t>
      </w:r>
      <w:r w:rsidR="0088398C">
        <w:rPr>
          <w:rFonts w:cstheme="minorHAnsi"/>
        </w:rPr>
        <w:t>proximate to</w:t>
      </w:r>
      <w:r w:rsidR="008F158D">
        <w:rPr>
          <w:rFonts w:cstheme="minorHAnsi"/>
        </w:rPr>
        <w:t xml:space="preserve"> </w:t>
      </w:r>
      <w:r w:rsidR="00311775">
        <w:rPr>
          <w:rFonts w:cstheme="minorHAnsi"/>
        </w:rPr>
        <w:t xml:space="preserve">needed </w:t>
      </w:r>
      <w:r>
        <w:rPr>
          <w:rFonts w:cstheme="minorHAnsi"/>
        </w:rPr>
        <w:t>therap</w:t>
      </w:r>
      <w:r w:rsidR="00342F5D">
        <w:rPr>
          <w:rFonts w:cstheme="minorHAnsi"/>
        </w:rPr>
        <w:t>y</w:t>
      </w:r>
      <w:r>
        <w:rPr>
          <w:rFonts w:cstheme="minorHAnsi"/>
        </w:rPr>
        <w:t xml:space="preserve"> and other services</w:t>
      </w:r>
      <w:r w:rsidR="0088398C">
        <w:rPr>
          <w:rFonts w:cstheme="minorHAnsi"/>
        </w:rPr>
        <w:t xml:space="preserve"> that will be located in the same building</w:t>
      </w:r>
      <w:r w:rsidR="00342F5D">
        <w:rPr>
          <w:rFonts w:cstheme="minorHAnsi"/>
        </w:rPr>
        <w:t>,</w:t>
      </w:r>
      <w:r>
        <w:rPr>
          <w:rFonts w:cstheme="minorHAnsi"/>
        </w:rPr>
        <w:t xml:space="preserve"> will </w:t>
      </w:r>
      <w:r w:rsidR="005D78D5">
        <w:rPr>
          <w:rFonts w:cstheme="minorHAnsi"/>
        </w:rPr>
        <w:t xml:space="preserve">not have that </w:t>
      </w:r>
      <w:r w:rsidR="00D71582">
        <w:rPr>
          <w:rFonts w:cstheme="minorHAnsi"/>
        </w:rPr>
        <w:t>opportunity</w:t>
      </w:r>
      <w:r w:rsidR="00464C5A">
        <w:rPr>
          <w:rFonts w:cstheme="minorHAnsi"/>
        </w:rPr>
        <w:t>;</w:t>
      </w:r>
      <w:r w:rsidR="00D71582">
        <w:rPr>
          <w:rFonts w:cstheme="minorHAnsi"/>
        </w:rPr>
        <w:t xml:space="preserve"> and </w:t>
      </w:r>
      <w:r w:rsidR="00311775">
        <w:rPr>
          <w:rFonts w:cstheme="minorHAnsi"/>
        </w:rPr>
        <w:t xml:space="preserve">the </w:t>
      </w:r>
      <w:r w:rsidR="00D71582">
        <w:rPr>
          <w:rFonts w:cstheme="minorHAnsi"/>
        </w:rPr>
        <w:t>practice</w:t>
      </w:r>
      <w:r w:rsidR="00311775">
        <w:rPr>
          <w:rFonts w:cstheme="minorHAnsi"/>
        </w:rPr>
        <w:t>s’</w:t>
      </w:r>
      <w:r w:rsidR="00464C5A">
        <w:rPr>
          <w:rFonts w:cstheme="minorHAnsi"/>
        </w:rPr>
        <w:t xml:space="preserve"> physicians </w:t>
      </w:r>
      <w:r w:rsidR="00464C5A">
        <w:rPr>
          <w:rFonts w:cstheme="minorHAnsi"/>
        </w:rPr>
        <w:lastRenderedPageBreak/>
        <w:t>will likely be obliged to use higher cost and/or less accessible facilities</w:t>
      </w:r>
      <w:r w:rsidR="005D78D5">
        <w:rPr>
          <w:rFonts w:cstheme="minorHAnsi"/>
        </w:rPr>
        <w:t xml:space="preserve">.  </w:t>
      </w:r>
      <w:r w:rsidR="00311775">
        <w:rPr>
          <w:rFonts w:cstheme="minorHAnsi"/>
        </w:rPr>
        <w:t>In addition</w:t>
      </w:r>
      <w:r w:rsidR="005D78D5">
        <w:rPr>
          <w:rFonts w:cstheme="minorHAnsi"/>
        </w:rPr>
        <w:t xml:space="preserve">, the Applicant’s ability to </w:t>
      </w:r>
      <w:r w:rsidR="00311775">
        <w:rPr>
          <w:rFonts w:cstheme="minorHAnsi"/>
        </w:rPr>
        <w:t xml:space="preserve">help </w:t>
      </w:r>
      <w:r w:rsidR="00763033">
        <w:rPr>
          <w:rFonts w:cstheme="minorHAnsi"/>
        </w:rPr>
        <w:t>relocate more complex procedures from hospital</w:t>
      </w:r>
      <w:r w:rsidR="00682B2C">
        <w:rPr>
          <w:rFonts w:cstheme="minorHAnsi"/>
        </w:rPr>
        <w:t>-based</w:t>
      </w:r>
      <w:r w:rsidR="00342F5D">
        <w:rPr>
          <w:rFonts w:cstheme="minorHAnsi"/>
        </w:rPr>
        <w:t xml:space="preserve"> facilities</w:t>
      </w:r>
      <w:r w:rsidR="00763033">
        <w:rPr>
          <w:rFonts w:cstheme="minorHAnsi"/>
        </w:rPr>
        <w:t xml:space="preserve"> to </w:t>
      </w:r>
      <w:r w:rsidR="00311775">
        <w:rPr>
          <w:rFonts w:cstheme="minorHAnsi"/>
        </w:rPr>
        <w:t xml:space="preserve">safe, efficient, </w:t>
      </w:r>
      <w:r w:rsidR="002C1907">
        <w:rPr>
          <w:rFonts w:cstheme="minorHAnsi"/>
        </w:rPr>
        <w:t>lower cost</w:t>
      </w:r>
      <w:r w:rsidR="00CE72FC">
        <w:rPr>
          <w:rFonts w:cstheme="minorHAnsi"/>
        </w:rPr>
        <w:t xml:space="preserve"> </w:t>
      </w:r>
      <w:r w:rsidR="00763033">
        <w:rPr>
          <w:rFonts w:cstheme="minorHAnsi"/>
        </w:rPr>
        <w:t xml:space="preserve">free-standing ASC </w:t>
      </w:r>
      <w:r w:rsidR="00342F5D">
        <w:rPr>
          <w:rFonts w:cstheme="minorHAnsi"/>
        </w:rPr>
        <w:t>facilities</w:t>
      </w:r>
      <w:r w:rsidR="005B580C">
        <w:rPr>
          <w:rFonts w:cstheme="minorHAnsi"/>
        </w:rPr>
        <w:t xml:space="preserve"> - </w:t>
      </w:r>
      <w:r w:rsidR="00B11B82">
        <w:rPr>
          <w:rFonts w:cstheme="minorHAnsi"/>
        </w:rPr>
        <w:t>a desirable trend</w:t>
      </w:r>
      <w:r w:rsidR="00311775">
        <w:rPr>
          <w:rFonts w:cstheme="minorHAnsi"/>
        </w:rPr>
        <w:t xml:space="preserve"> that</w:t>
      </w:r>
      <w:r w:rsidR="00AA73F0" w:rsidRPr="00AA73F0">
        <w:rPr>
          <w:rFonts w:cstheme="minorHAnsi"/>
        </w:rPr>
        <w:t xml:space="preserve"> </w:t>
      </w:r>
      <w:r w:rsidR="00AA73F0">
        <w:rPr>
          <w:rFonts w:cstheme="minorHAnsi"/>
        </w:rPr>
        <w:t>ha</w:t>
      </w:r>
      <w:r w:rsidR="00B11B82">
        <w:rPr>
          <w:rFonts w:cstheme="minorHAnsi"/>
        </w:rPr>
        <w:t>s</w:t>
      </w:r>
      <w:r w:rsidR="00AA73F0">
        <w:rPr>
          <w:rFonts w:cstheme="minorHAnsi"/>
        </w:rPr>
        <w:t xml:space="preserve"> been acknowledged by the HPC and payers (among others</w:t>
      </w:r>
      <w:r w:rsidR="00342F5D">
        <w:rPr>
          <w:rFonts w:cstheme="minorHAnsi"/>
        </w:rPr>
        <w:t xml:space="preserve">) </w:t>
      </w:r>
      <w:r w:rsidR="005B580C">
        <w:rPr>
          <w:rFonts w:cstheme="minorHAnsi"/>
        </w:rPr>
        <w:t xml:space="preserve">- </w:t>
      </w:r>
      <w:r w:rsidR="00763033">
        <w:rPr>
          <w:rFonts w:cstheme="minorHAnsi"/>
        </w:rPr>
        <w:t>will be constrained</w:t>
      </w:r>
      <w:r w:rsidR="009A7A9C">
        <w:rPr>
          <w:rFonts w:cstheme="minorHAnsi"/>
        </w:rPr>
        <w:t>.</w:t>
      </w:r>
      <w:r w:rsidR="004D7A72">
        <w:rPr>
          <w:rFonts w:cstheme="minorHAnsi"/>
        </w:rPr>
        <w:t xml:space="preserve"> </w:t>
      </w:r>
    </w:p>
    <w:sectPr w:rsidR="002F3705" w:rsidRPr="00B654DE" w:rsidSect="003F6C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CB791" w14:textId="77777777" w:rsidR="003F6C07" w:rsidRDefault="003F6C07" w:rsidP="00E45D1C">
      <w:pPr>
        <w:spacing w:after="0" w:line="240" w:lineRule="auto"/>
      </w:pPr>
      <w:r>
        <w:separator/>
      </w:r>
    </w:p>
  </w:endnote>
  <w:endnote w:type="continuationSeparator" w:id="0">
    <w:p w14:paraId="383C5C84" w14:textId="77777777" w:rsidR="003F6C07" w:rsidRDefault="003F6C07" w:rsidP="00E4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03C4E" w14:textId="77777777" w:rsidR="00BC3B51" w:rsidRDefault="00BC3B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3464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F2C489" w14:textId="77777777" w:rsidR="005E5080" w:rsidRDefault="005E50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6A9E27" w14:textId="77777777" w:rsidR="005E5080" w:rsidRDefault="005E50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1B20E" w14:textId="77777777" w:rsidR="00BC3B51" w:rsidRDefault="00BC3B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E6C52" w14:textId="77777777" w:rsidR="003F6C07" w:rsidRDefault="003F6C07" w:rsidP="00E45D1C">
      <w:pPr>
        <w:spacing w:after="0" w:line="240" w:lineRule="auto"/>
      </w:pPr>
      <w:r>
        <w:separator/>
      </w:r>
    </w:p>
  </w:footnote>
  <w:footnote w:type="continuationSeparator" w:id="0">
    <w:p w14:paraId="5221900F" w14:textId="77777777" w:rsidR="003F6C07" w:rsidRDefault="003F6C07" w:rsidP="00E45D1C">
      <w:pPr>
        <w:spacing w:after="0" w:line="240" w:lineRule="auto"/>
      </w:pPr>
      <w:r>
        <w:continuationSeparator/>
      </w:r>
    </w:p>
  </w:footnote>
  <w:footnote w:id="1">
    <w:p w14:paraId="700D1846" w14:textId="78653405" w:rsidR="00C85526" w:rsidRPr="001171BB" w:rsidRDefault="00C85526" w:rsidP="00C85526">
      <w:pPr>
        <w:pStyle w:val="FootnoteText"/>
        <w:rPr>
          <w:sz w:val="18"/>
          <w:szCs w:val="18"/>
        </w:rPr>
      </w:pPr>
      <w:r w:rsidRPr="001171BB">
        <w:rPr>
          <w:rStyle w:val="FootnoteReference"/>
          <w:sz w:val="18"/>
          <w:szCs w:val="18"/>
        </w:rPr>
        <w:footnoteRef/>
      </w:r>
      <w:r w:rsidRPr="001171BB">
        <w:rPr>
          <w:sz w:val="18"/>
          <w:szCs w:val="18"/>
        </w:rPr>
        <w:t xml:space="preserve"> Americ</w:t>
      </w:r>
      <w:r w:rsidRPr="00AE7600">
        <w:rPr>
          <w:sz w:val="18"/>
          <w:szCs w:val="18"/>
        </w:rPr>
        <w:t xml:space="preserve">an Academy of Orthopaedic Surgeons Position Statement, </w:t>
      </w:r>
      <w:hyperlink r:id="rId1" w:history="1">
        <w:r w:rsidRPr="00AE7600">
          <w:rPr>
            <w:rStyle w:val="Hyperlink"/>
            <w:color w:val="auto"/>
            <w:sz w:val="18"/>
            <w:szCs w:val="18"/>
            <w:u w:val="none"/>
          </w:rPr>
          <w:t>“The Impact of Obesity on Bone and Joint Health”</w:t>
        </w:r>
        <w:r w:rsidR="00C42E4C" w:rsidRPr="00AE7600">
          <w:rPr>
            <w:rStyle w:val="Hyperlink"/>
            <w:color w:val="auto"/>
            <w:sz w:val="18"/>
            <w:szCs w:val="18"/>
            <w:u w:val="none"/>
          </w:rPr>
          <w:t>,</w:t>
        </w:r>
      </w:hyperlink>
      <w:r w:rsidR="00C42E4C" w:rsidRPr="00AE7600">
        <w:rPr>
          <w:sz w:val="18"/>
          <w:szCs w:val="18"/>
        </w:rPr>
        <w:t xml:space="preserve"> viewed at </w:t>
      </w:r>
      <w:hyperlink r:id="rId2" w:history="1">
        <w:r w:rsidR="00AE7600" w:rsidRPr="00AE7600">
          <w:rPr>
            <w:rStyle w:val="Hyperlink"/>
            <w:color w:val="auto"/>
            <w:sz w:val="18"/>
            <w:szCs w:val="18"/>
            <w:u w:val="none"/>
          </w:rPr>
          <w:t>https://www.aaos.org/contentassets/1cd7f41417ec4dd4b5c4c48532183b96/1184-the-impact-of-obesity-on-bone-and-joint-health1.pdf</w:t>
        </w:r>
      </w:hyperlink>
      <w:r w:rsidR="00AE7600" w:rsidRPr="00AE7600">
        <w:rPr>
          <w:sz w:val="18"/>
          <w:szCs w:val="18"/>
        </w:rPr>
        <w:t xml:space="preserve"> </w:t>
      </w:r>
      <w:r w:rsidR="00C42E4C" w:rsidRPr="00AE7600">
        <w:rPr>
          <w:sz w:val="18"/>
          <w:szCs w:val="18"/>
        </w:rPr>
        <w:t xml:space="preserve"> </w:t>
      </w:r>
      <w:r w:rsidR="00C42E4C">
        <w:rPr>
          <w:sz w:val="18"/>
          <w:szCs w:val="18"/>
        </w:rPr>
        <w:t>on 3/28/24.</w:t>
      </w:r>
    </w:p>
  </w:footnote>
  <w:footnote w:id="2">
    <w:p w14:paraId="15292D22" w14:textId="0D67C77F" w:rsidR="00015D45" w:rsidRDefault="00015D4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 xml:space="preserve">The Journal of </w:t>
      </w:r>
      <w:r w:rsidRPr="00AE7600">
        <w:rPr>
          <w:sz w:val="18"/>
          <w:szCs w:val="18"/>
        </w:rPr>
        <w:t xml:space="preserve">Arthroplasty, American Association of Hip and Knee Surgeons, </w:t>
      </w:r>
      <w:hyperlink r:id="rId3" w:history="1">
        <w:r w:rsidRPr="00AE7600">
          <w:rPr>
            <w:rStyle w:val="Hyperlink"/>
            <w:color w:val="auto"/>
            <w:sz w:val="18"/>
            <w:szCs w:val="18"/>
            <w:u w:val="none"/>
          </w:rPr>
          <w:t xml:space="preserve">“Projected Prevalence of Obesity in Primary Total Knee </w:t>
        </w:r>
        <w:r w:rsidR="000244AC" w:rsidRPr="00AE7600">
          <w:rPr>
            <w:rStyle w:val="Hyperlink"/>
            <w:color w:val="auto"/>
            <w:sz w:val="18"/>
            <w:szCs w:val="18"/>
            <w:u w:val="none"/>
          </w:rPr>
          <w:t>Arthroplasty</w:t>
        </w:r>
        <w:r w:rsidRPr="00AE7600">
          <w:rPr>
            <w:rStyle w:val="Hyperlink"/>
            <w:color w:val="auto"/>
            <w:sz w:val="18"/>
            <w:szCs w:val="18"/>
            <w:u w:val="none"/>
          </w:rPr>
          <w:t>:  How Big will the Problem Get?”,</w:t>
        </w:r>
      </w:hyperlink>
      <w:r w:rsidRPr="00AE7600">
        <w:rPr>
          <w:sz w:val="18"/>
          <w:szCs w:val="18"/>
        </w:rPr>
        <w:t xml:space="preserve"> viewed at </w:t>
      </w:r>
      <w:hyperlink r:id="rId4" w:history="1">
        <w:r w:rsidR="00AE7600" w:rsidRPr="00AE7600">
          <w:rPr>
            <w:rStyle w:val="Hyperlink"/>
            <w:color w:val="auto"/>
            <w:sz w:val="18"/>
            <w:szCs w:val="18"/>
            <w:u w:val="none"/>
          </w:rPr>
          <w:t>https://www.arthroplastyjournal.org/article/S0883-5403(22)00273-X/abstract</w:t>
        </w:r>
      </w:hyperlink>
      <w:r w:rsidR="00AE7600" w:rsidRPr="00AE7600">
        <w:rPr>
          <w:sz w:val="18"/>
          <w:szCs w:val="18"/>
        </w:rPr>
        <w:t xml:space="preserve"> </w:t>
      </w:r>
      <w:r w:rsidRPr="00AE7600">
        <w:rPr>
          <w:sz w:val="18"/>
          <w:szCs w:val="18"/>
        </w:rPr>
        <w:t xml:space="preserve"> </w:t>
      </w:r>
      <w:r>
        <w:rPr>
          <w:sz w:val="18"/>
          <w:szCs w:val="18"/>
        </w:rPr>
        <w:t>on 3/28/24.</w:t>
      </w:r>
    </w:p>
  </w:footnote>
  <w:footnote w:id="3">
    <w:p w14:paraId="6E8FEE9C" w14:textId="57850036" w:rsidR="00B17D30" w:rsidRDefault="00B17D30" w:rsidP="00B17D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 xml:space="preserve">The Journal of Arthroplasty, American Association of Hip and </w:t>
      </w:r>
      <w:r w:rsidRPr="00AE7600">
        <w:rPr>
          <w:sz w:val="18"/>
          <w:szCs w:val="18"/>
        </w:rPr>
        <w:t>Knee Surgeons, “</w:t>
      </w:r>
      <w:hyperlink r:id="rId5" w:history="1">
        <w:r w:rsidRPr="00AE7600">
          <w:rPr>
            <w:rStyle w:val="Hyperlink"/>
            <w:color w:val="auto"/>
            <w:sz w:val="18"/>
            <w:szCs w:val="18"/>
            <w:u w:val="none"/>
          </w:rPr>
          <w:t>Morbid Obesity and Congestive Heart Failure Increase Operative Time and Room Time in Total Hip Arthroplasty."</w:t>
        </w:r>
      </w:hyperlink>
      <w:r w:rsidRPr="00AE7600">
        <w:rPr>
          <w:sz w:val="18"/>
          <w:szCs w:val="18"/>
        </w:rPr>
        <w:t xml:space="preserve"> viewed at </w:t>
      </w:r>
      <w:hyperlink r:id="rId6" w:history="1">
        <w:r w:rsidR="00AE7600" w:rsidRPr="00AE7600">
          <w:rPr>
            <w:rStyle w:val="Hyperlink"/>
            <w:color w:val="auto"/>
            <w:sz w:val="18"/>
            <w:szCs w:val="18"/>
            <w:u w:val="none"/>
          </w:rPr>
          <w:t>https://www.arthroplastyjournal.org/article/S0883-5403(15)00970-5/abstracton</w:t>
        </w:r>
      </w:hyperlink>
      <w:r w:rsidR="00AE7600" w:rsidRPr="00AE7600">
        <w:rPr>
          <w:sz w:val="18"/>
          <w:szCs w:val="18"/>
        </w:rPr>
        <w:t xml:space="preserve"> </w:t>
      </w:r>
      <w:r w:rsidRPr="00AE7600">
        <w:rPr>
          <w:sz w:val="18"/>
          <w:szCs w:val="18"/>
        </w:rPr>
        <w:t xml:space="preserve"> 3/</w:t>
      </w:r>
      <w:r>
        <w:rPr>
          <w:sz w:val="18"/>
          <w:szCs w:val="18"/>
        </w:rPr>
        <w:t>28/24.</w:t>
      </w:r>
    </w:p>
  </w:footnote>
  <w:footnote w:id="4">
    <w:p w14:paraId="6733E769" w14:textId="77777777" w:rsidR="00F738A2" w:rsidRPr="00CE51D8" w:rsidRDefault="00F738A2" w:rsidP="00F738A2">
      <w:pPr>
        <w:autoSpaceDE w:val="0"/>
        <w:autoSpaceDN w:val="0"/>
        <w:adjustRightInd w:val="0"/>
        <w:spacing w:after="0" w:line="240" w:lineRule="auto"/>
        <w:rPr>
          <w:sz w:val="18"/>
        </w:rPr>
      </w:pPr>
      <w:r>
        <w:rPr>
          <w:rStyle w:val="FootnoteReference"/>
        </w:rPr>
        <w:footnoteRef/>
      </w:r>
      <w:r>
        <w:t xml:space="preserve"> </w:t>
      </w:r>
      <w:r w:rsidRPr="00CE51D8">
        <w:rPr>
          <w:sz w:val="18"/>
        </w:rPr>
        <w:t>Many experts have targeted 70-80% as an optimal utilization rate, with single specialty ASCs in the higher end of that range. Rachel Fields,</w:t>
      </w:r>
    </w:p>
    <w:p w14:paraId="4D41A16D" w14:textId="77777777" w:rsidR="00F738A2" w:rsidRPr="00DF32CD" w:rsidRDefault="00F738A2" w:rsidP="00F738A2">
      <w:pPr>
        <w:autoSpaceDE w:val="0"/>
        <w:autoSpaceDN w:val="0"/>
        <w:adjustRightInd w:val="0"/>
        <w:spacing w:after="0" w:line="240" w:lineRule="auto"/>
        <w:rPr>
          <w:sz w:val="18"/>
        </w:rPr>
      </w:pPr>
      <w:r w:rsidRPr="00CE51D8">
        <w:rPr>
          <w:sz w:val="18"/>
        </w:rPr>
        <w:t>“</w:t>
      </w:r>
      <w:hyperlink r:id="rId7" w:history="1">
        <w:r w:rsidRPr="00DF32CD">
          <w:rPr>
            <w:rStyle w:val="Hyperlink"/>
            <w:sz w:val="18"/>
          </w:rPr>
          <w:t>Defining 'Full Utilization' of an Ambulatory Surgery Center: Q&amp;A With Jim Scarsella of Anesthesia Staffing Consultants</w:t>
        </w:r>
      </w:hyperlink>
      <w:r w:rsidRPr="00DF32CD">
        <w:rPr>
          <w:sz w:val="18"/>
        </w:rPr>
        <w:t>” Becker’s ASC Review,</w:t>
      </w:r>
    </w:p>
    <w:p w14:paraId="69DABD38" w14:textId="77777777" w:rsidR="00F738A2" w:rsidRDefault="00F738A2" w:rsidP="00F738A2">
      <w:pPr>
        <w:pStyle w:val="FootnoteText"/>
      </w:pPr>
      <w:r w:rsidRPr="00DF32CD">
        <w:rPr>
          <w:sz w:val="18"/>
        </w:rPr>
        <w:t xml:space="preserve">February 25, 2011, accessed at </w:t>
      </w:r>
      <w:hyperlink r:id="rId8" w:history="1">
        <w:r w:rsidRPr="00DF32CD">
          <w:rPr>
            <w:rStyle w:val="Hyperlink"/>
            <w:sz w:val="18"/>
          </w:rPr>
          <w:t>https://www.beckersasc.com/asc-news/defining-full-utilization-of-an-ambulatory-surgery-center-qaa-with-jimscarsella-of-anesthesia-staffingconsultants</w:t>
        </w:r>
      </w:hyperlink>
      <w:r w:rsidRPr="00DF32CD">
        <w:rPr>
          <w:sz w:val="18"/>
        </w:rPr>
        <w:t xml:space="preserve"> 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7799" w14:textId="77777777" w:rsidR="00101DAD" w:rsidRDefault="00C904C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31B0254" wp14:editId="4E3520B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0" r="0" b="0"/>
              <wp:wrapNone/>
              <wp:docPr id="167103142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014852" w14:textId="77777777" w:rsidR="00C904C6" w:rsidRDefault="00C904C6" w:rsidP="00C904C6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B0254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0;margin-top:0;width:412.4pt;height:247.4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" o:allowincell="f" filled="f" stroked="f">
              <v:stroke joinstyle="round"/>
              <v:path arrowok="t"/>
              <v:textbox>
                <w:txbxContent>
                  <w:p w14:paraId="39014852" w14:textId="77777777" w:rsidR="00C904C6" w:rsidRDefault="00C904C6" w:rsidP="00C904C6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CD5CF" w14:textId="77777777" w:rsidR="00ED1D5D" w:rsidRDefault="0045541D" w:rsidP="004B35D9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Boston Outpatient Surgical Suites, LLC</w:t>
    </w:r>
    <w:r w:rsidR="00ED1D5D">
      <w:rPr>
        <w:b/>
        <w:bCs/>
        <w:sz w:val="28"/>
        <w:szCs w:val="28"/>
      </w:rPr>
      <w:t xml:space="preserve"> </w:t>
    </w:r>
  </w:p>
  <w:p w14:paraId="65D32669" w14:textId="77777777" w:rsidR="00ED1D5D" w:rsidRDefault="00ED1D5D" w:rsidP="004B35D9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DoN # </w:t>
    </w:r>
    <w:r w:rsidR="0045541D">
      <w:rPr>
        <w:b/>
        <w:bCs/>
        <w:sz w:val="28"/>
        <w:szCs w:val="28"/>
      </w:rPr>
      <w:t>BOSS-22</w:t>
    </w:r>
    <w:r w:rsidR="00FE1D24">
      <w:rPr>
        <w:b/>
        <w:bCs/>
        <w:sz w:val="28"/>
        <w:szCs w:val="28"/>
      </w:rPr>
      <w:t>0</w:t>
    </w:r>
    <w:r w:rsidR="0045541D">
      <w:rPr>
        <w:b/>
        <w:bCs/>
        <w:sz w:val="28"/>
        <w:szCs w:val="28"/>
      </w:rPr>
      <w:t>51213-AS</w:t>
    </w:r>
  </w:p>
  <w:p w14:paraId="36F1FF17" w14:textId="77777777" w:rsidR="00975BAE" w:rsidRPr="00872E44" w:rsidRDefault="00975BAE" w:rsidP="004B35D9">
    <w:pPr>
      <w:pStyle w:val="Header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BF87E" w14:textId="77777777" w:rsidR="00BC3B51" w:rsidRDefault="00BC3B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6D22"/>
    <w:multiLevelType w:val="hybridMultilevel"/>
    <w:tmpl w:val="37EEF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0AD1"/>
    <w:multiLevelType w:val="hybridMultilevel"/>
    <w:tmpl w:val="518E1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7E24AF"/>
    <w:multiLevelType w:val="hybridMultilevel"/>
    <w:tmpl w:val="0B587142"/>
    <w:lvl w:ilvl="0" w:tplc="4B964E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704E0"/>
    <w:multiLevelType w:val="hybridMultilevel"/>
    <w:tmpl w:val="F21EE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220A4"/>
    <w:multiLevelType w:val="hybridMultilevel"/>
    <w:tmpl w:val="270C5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90564"/>
    <w:multiLevelType w:val="hybridMultilevel"/>
    <w:tmpl w:val="9454D19E"/>
    <w:lvl w:ilvl="0" w:tplc="4CA81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D0C41"/>
    <w:multiLevelType w:val="hybridMultilevel"/>
    <w:tmpl w:val="8F1A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80CD8"/>
    <w:multiLevelType w:val="hybridMultilevel"/>
    <w:tmpl w:val="90A44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A3199"/>
    <w:multiLevelType w:val="hybridMultilevel"/>
    <w:tmpl w:val="2A02E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B62CA"/>
    <w:multiLevelType w:val="hybridMultilevel"/>
    <w:tmpl w:val="A8568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C40B6"/>
    <w:multiLevelType w:val="hybridMultilevel"/>
    <w:tmpl w:val="0E8A0CF6"/>
    <w:lvl w:ilvl="0" w:tplc="4CA81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76FC6"/>
    <w:multiLevelType w:val="hybridMultilevel"/>
    <w:tmpl w:val="A406F108"/>
    <w:lvl w:ilvl="0" w:tplc="952C2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26593"/>
    <w:multiLevelType w:val="hybridMultilevel"/>
    <w:tmpl w:val="2968FC14"/>
    <w:lvl w:ilvl="0" w:tplc="4D226C2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83076BA"/>
    <w:multiLevelType w:val="multilevel"/>
    <w:tmpl w:val="3C98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9B384F"/>
    <w:multiLevelType w:val="hybridMultilevel"/>
    <w:tmpl w:val="A98C0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935E7"/>
    <w:multiLevelType w:val="hybridMultilevel"/>
    <w:tmpl w:val="7C16D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8658D"/>
    <w:multiLevelType w:val="hybridMultilevel"/>
    <w:tmpl w:val="F55ED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C4313"/>
    <w:multiLevelType w:val="hybridMultilevel"/>
    <w:tmpl w:val="E49E32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8E752A"/>
    <w:multiLevelType w:val="hybridMultilevel"/>
    <w:tmpl w:val="ED42AE84"/>
    <w:lvl w:ilvl="0" w:tplc="7C4027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A348E"/>
    <w:multiLevelType w:val="hybridMultilevel"/>
    <w:tmpl w:val="496C4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C0699"/>
    <w:multiLevelType w:val="hybridMultilevel"/>
    <w:tmpl w:val="F35E0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B2B48"/>
    <w:multiLevelType w:val="hybridMultilevel"/>
    <w:tmpl w:val="A406F1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51F02"/>
    <w:multiLevelType w:val="hybridMultilevel"/>
    <w:tmpl w:val="7C16D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11E21"/>
    <w:multiLevelType w:val="hybridMultilevel"/>
    <w:tmpl w:val="8AEAC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E2FD2"/>
    <w:multiLevelType w:val="hybridMultilevel"/>
    <w:tmpl w:val="91864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8E6BE5"/>
    <w:multiLevelType w:val="hybridMultilevel"/>
    <w:tmpl w:val="04E64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924746">
    <w:abstractNumId w:val="18"/>
  </w:num>
  <w:num w:numId="2" w16cid:durableId="449669609">
    <w:abstractNumId w:val="6"/>
  </w:num>
  <w:num w:numId="3" w16cid:durableId="1632975170">
    <w:abstractNumId w:val="17"/>
  </w:num>
  <w:num w:numId="4" w16cid:durableId="1183977095">
    <w:abstractNumId w:val="24"/>
  </w:num>
  <w:num w:numId="5" w16cid:durableId="1230916997">
    <w:abstractNumId w:val="19"/>
  </w:num>
  <w:num w:numId="6" w16cid:durableId="464589505">
    <w:abstractNumId w:val="22"/>
  </w:num>
  <w:num w:numId="7" w16cid:durableId="9821510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04245">
    <w:abstractNumId w:val="15"/>
  </w:num>
  <w:num w:numId="9" w16cid:durableId="1477533355">
    <w:abstractNumId w:val="4"/>
  </w:num>
  <w:num w:numId="10" w16cid:durableId="1828202636">
    <w:abstractNumId w:val="8"/>
  </w:num>
  <w:num w:numId="11" w16cid:durableId="1769345806">
    <w:abstractNumId w:val="2"/>
  </w:num>
  <w:num w:numId="12" w16cid:durableId="1426415847">
    <w:abstractNumId w:val="16"/>
  </w:num>
  <w:num w:numId="13" w16cid:durableId="1549880134">
    <w:abstractNumId w:val="10"/>
  </w:num>
  <w:num w:numId="14" w16cid:durableId="2131704504">
    <w:abstractNumId w:val="13"/>
  </w:num>
  <w:num w:numId="15" w16cid:durableId="1853495620">
    <w:abstractNumId w:val="5"/>
  </w:num>
  <w:num w:numId="16" w16cid:durableId="941954089">
    <w:abstractNumId w:val="11"/>
  </w:num>
  <w:num w:numId="17" w16cid:durableId="1650279753">
    <w:abstractNumId w:val="7"/>
  </w:num>
  <w:num w:numId="18" w16cid:durableId="1988584985">
    <w:abstractNumId w:val="14"/>
  </w:num>
  <w:num w:numId="19" w16cid:durableId="535700289">
    <w:abstractNumId w:val="21"/>
  </w:num>
  <w:num w:numId="20" w16cid:durableId="647054827">
    <w:abstractNumId w:val="3"/>
  </w:num>
  <w:num w:numId="21" w16cid:durableId="635574546">
    <w:abstractNumId w:val="1"/>
  </w:num>
  <w:num w:numId="22" w16cid:durableId="623660491">
    <w:abstractNumId w:val="12"/>
  </w:num>
  <w:num w:numId="23" w16cid:durableId="1597522190">
    <w:abstractNumId w:val="25"/>
  </w:num>
  <w:num w:numId="24" w16cid:durableId="1128009631">
    <w:abstractNumId w:val="20"/>
  </w:num>
  <w:num w:numId="25" w16cid:durableId="907501677">
    <w:abstractNumId w:val="9"/>
  </w:num>
  <w:num w:numId="26" w16cid:durableId="194048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7D"/>
    <w:rsid w:val="000032CA"/>
    <w:rsid w:val="0000342D"/>
    <w:rsid w:val="00005616"/>
    <w:rsid w:val="00006503"/>
    <w:rsid w:val="00006750"/>
    <w:rsid w:val="00010545"/>
    <w:rsid w:val="00011868"/>
    <w:rsid w:val="00014F28"/>
    <w:rsid w:val="00015CE8"/>
    <w:rsid w:val="00015D45"/>
    <w:rsid w:val="0001602B"/>
    <w:rsid w:val="0001619F"/>
    <w:rsid w:val="0001718E"/>
    <w:rsid w:val="000201A4"/>
    <w:rsid w:val="000204BD"/>
    <w:rsid w:val="00020571"/>
    <w:rsid w:val="00023287"/>
    <w:rsid w:val="000244AC"/>
    <w:rsid w:val="00025270"/>
    <w:rsid w:val="00025435"/>
    <w:rsid w:val="0003054D"/>
    <w:rsid w:val="00031E57"/>
    <w:rsid w:val="0003702E"/>
    <w:rsid w:val="00037DBC"/>
    <w:rsid w:val="00042076"/>
    <w:rsid w:val="00042D75"/>
    <w:rsid w:val="0004417D"/>
    <w:rsid w:val="000441F8"/>
    <w:rsid w:val="0005118D"/>
    <w:rsid w:val="00055D9B"/>
    <w:rsid w:val="00057914"/>
    <w:rsid w:val="00057BAA"/>
    <w:rsid w:val="00062F8C"/>
    <w:rsid w:val="00062FC0"/>
    <w:rsid w:val="000631D6"/>
    <w:rsid w:val="000673C4"/>
    <w:rsid w:val="00071892"/>
    <w:rsid w:val="00071A6A"/>
    <w:rsid w:val="00074284"/>
    <w:rsid w:val="000750FC"/>
    <w:rsid w:val="00075B8D"/>
    <w:rsid w:val="00077704"/>
    <w:rsid w:val="00080C65"/>
    <w:rsid w:val="000819BE"/>
    <w:rsid w:val="00084492"/>
    <w:rsid w:val="00084F2C"/>
    <w:rsid w:val="00084FD9"/>
    <w:rsid w:val="0008545A"/>
    <w:rsid w:val="00086422"/>
    <w:rsid w:val="00090684"/>
    <w:rsid w:val="00092001"/>
    <w:rsid w:val="00093B92"/>
    <w:rsid w:val="00094E2A"/>
    <w:rsid w:val="00095A0E"/>
    <w:rsid w:val="00096556"/>
    <w:rsid w:val="000968DB"/>
    <w:rsid w:val="000A33BD"/>
    <w:rsid w:val="000A3493"/>
    <w:rsid w:val="000A6E13"/>
    <w:rsid w:val="000B205E"/>
    <w:rsid w:val="000B4C1D"/>
    <w:rsid w:val="000C0238"/>
    <w:rsid w:val="000C029F"/>
    <w:rsid w:val="000C0FF4"/>
    <w:rsid w:val="000C4F63"/>
    <w:rsid w:val="000C5769"/>
    <w:rsid w:val="000C73E6"/>
    <w:rsid w:val="000D18E0"/>
    <w:rsid w:val="000D18FE"/>
    <w:rsid w:val="000D3DB9"/>
    <w:rsid w:val="000D568B"/>
    <w:rsid w:val="000D7CB2"/>
    <w:rsid w:val="000E1A2B"/>
    <w:rsid w:val="000E3F88"/>
    <w:rsid w:val="000E7B9E"/>
    <w:rsid w:val="000F1168"/>
    <w:rsid w:val="000F1308"/>
    <w:rsid w:val="000F2BC6"/>
    <w:rsid w:val="000F4352"/>
    <w:rsid w:val="000F76B5"/>
    <w:rsid w:val="00101DAD"/>
    <w:rsid w:val="0010314C"/>
    <w:rsid w:val="001036A2"/>
    <w:rsid w:val="00104355"/>
    <w:rsid w:val="00106743"/>
    <w:rsid w:val="00106F8B"/>
    <w:rsid w:val="00107578"/>
    <w:rsid w:val="001119A9"/>
    <w:rsid w:val="00114641"/>
    <w:rsid w:val="001147F0"/>
    <w:rsid w:val="00117D7A"/>
    <w:rsid w:val="0012138E"/>
    <w:rsid w:val="001215CE"/>
    <w:rsid w:val="00121E3F"/>
    <w:rsid w:val="00122AC1"/>
    <w:rsid w:val="001236D1"/>
    <w:rsid w:val="0012699F"/>
    <w:rsid w:val="00130034"/>
    <w:rsid w:val="00137228"/>
    <w:rsid w:val="001418CE"/>
    <w:rsid w:val="00144AAB"/>
    <w:rsid w:val="0014570F"/>
    <w:rsid w:val="00150334"/>
    <w:rsid w:val="001542DA"/>
    <w:rsid w:val="00154DFC"/>
    <w:rsid w:val="00157D38"/>
    <w:rsid w:val="00160BAA"/>
    <w:rsid w:val="00163C19"/>
    <w:rsid w:val="001649EA"/>
    <w:rsid w:val="0016653F"/>
    <w:rsid w:val="001665EA"/>
    <w:rsid w:val="00167C95"/>
    <w:rsid w:val="00170092"/>
    <w:rsid w:val="00170EED"/>
    <w:rsid w:val="00175714"/>
    <w:rsid w:val="0017622C"/>
    <w:rsid w:val="00182E0C"/>
    <w:rsid w:val="00183328"/>
    <w:rsid w:val="001840D3"/>
    <w:rsid w:val="001847A6"/>
    <w:rsid w:val="00184950"/>
    <w:rsid w:val="00184EB5"/>
    <w:rsid w:val="00185F20"/>
    <w:rsid w:val="00187159"/>
    <w:rsid w:val="001873ED"/>
    <w:rsid w:val="001912C7"/>
    <w:rsid w:val="00193038"/>
    <w:rsid w:val="0019409A"/>
    <w:rsid w:val="00195F1E"/>
    <w:rsid w:val="00196EAB"/>
    <w:rsid w:val="0019751B"/>
    <w:rsid w:val="0019763E"/>
    <w:rsid w:val="001A1A50"/>
    <w:rsid w:val="001A32EA"/>
    <w:rsid w:val="001A338F"/>
    <w:rsid w:val="001A4F47"/>
    <w:rsid w:val="001A695C"/>
    <w:rsid w:val="001A70A9"/>
    <w:rsid w:val="001A70FF"/>
    <w:rsid w:val="001B4571"/>
    <w:rsid w:val="001B4F20"/>
    <w:rsid w:val="001B524B"/>
    <w:rsid w:val="001C0434"/>
    <w:rsid w:val="001C05B6"/>
    <w:rsid w:val="001C4126"/>
    <w:rsid w:val="001C4B4A"/>
    <w:rsid w:val="001C58CB"/>
    <w:rsid w:val="001C6825"/>
    <w:rsid w:val="001C6A91"/>
    <w:rsid w:val="001D14BE"/>
    <w:rsid w:val="001D1941"/>
    <w:rsid w:val="001D3878"/>
    <w:rsid w:val="001D42BE"/>
    <w:rsid w:val="001D7789"/>
    <w:rsid w:val="001E4287"/>
    <w:rsid w:val="001E739B"/>
    <w:rsid w:val="001E7FD4"/>
    <w:rsid w:val="001F1181"/>
    <w:rsid w:val="001F1E8A"/>
    <w:rsid w:val="001F3300"/>
    <w:rsid w:val="0020210C"/>
    <w:rsid w:val="00203870"/>
    <w:rsid w:val="002059BD"/>
    <w:rsid w:val="002059E0"/>
    <w:rsid w:val="002067D5"/>
    <w:rsid w:val="00210EBE"/>
    <w:rsid w:val="0021156F"/>
    <w:rsid w:val="00215F63"/>
    <w:rsid w:val="00216515"/>
    <w:rsid w:val="002166C8"/>
    <w:rsid w:val="00220874"/>
    <w:rsid w:val="00221E6D"/>
    <w:rsid w:val="002244D0"/>
    <w:rsid w:val="00226456"/>
    <w:rsid w:val="00230DD7"/>
    <w:rsid w:val="0023113D"/>
    <w:rsid w:val="002314E2"/>
    <w:rsid w:val="0023173B"/>
    <w:rsid w:val="002318C5"/>
    <w:rsid w:val="00234610"/>
    <w:rsid w:val="0023702D"/>
    <w:rsid w:val="00237494"/>
    <w:rsid w:val="002402C9"/>
    <w:rsid w:val="00242355"/>
    <w:rsid w:val="00245ECA"/>
    <w:rsid w:val="0024634B"/>
    <w:rsid w:val="002468A2"/>
    <w:rsid w:val="00247513"/>
    <w:rsid w:val="00251C67"/>
    <w:rsid w:val="0025284D"/>
    <w:rsid w:val="00253A90"/>
    <w:rsid w:val="00253D74"/>
    <w:rsid w:val="002549E8"/>
    <w:rsid w:val="00256080"/>
    <w:rsid w:val="00256938"/>
    <w:rsid w:val="00263B71"/>
    <w:rsid w:val="00264904"/>
    <w:rsid w:val="002652EE"/>
    <w:rsid w:val="00267BCF"/>
    <w:rsid w:val="00272D23"/>
    <w:rsid w:val="0028035A"/>
    <w:rsid w:val="0028203A"/>
    <w:rsid w:val="00282E35"/>
    <w:rsid w:val="00287115"/>
    <w:rsid w:val="00290185"/>
    <w:rsid w:val="00291B41"/>
    <w:rsid w:val="0029265F"/>
    <w:rsid w:val="0029547F"/>
    <w:rsid w:val="002957A3"/>
    <w:rsid w:val="00296140"/>
    <w:rsid w:val="0029685E"/>
    <w:rsid w:val="00296A97"/>
    <w:rsid w:val="002A1CEE"/>
    <w:rsid w:val="002A3B81"/>
    <w:rsid w:val="002A7141"/>
    <w:rsid w:val="002B0B0C"/>
    <w:rsid w:val="002B2385"/>
    <w:rsid w:val="002B79D0"/>
    <w:rsid w:val="002C0853"/>
    <w:rsid w:val="002C0F9E"/>
    <w:rsid w:val="002C1907"/>
    <w:rsid w:val="002C6757"/>
    <w:rsid w:val="002C7F3C"/>
    <w:rsid w:val="002D3A78"/>
    <w:rsid w:val="002E2029"/>
    <w:rsid w:val="002E6A20"/>
    <w:rsid w:val="002F12D8"/>
    <w:rsid w:val="002F3705"/>
    <w:rsid w:val="002F40F6"/>
    <w:rsid w:val="002F4542"/>
    <w:rsid w:val="002F5E31"/>
    <w:rsid w:val="002F763B"/>
    <w:rsid w:val="003054CD"/>
    <w:rsid w:val="003065B2"/>
    <w:rsid w:val="00306967"/>
    <w:rsid w:val="00306CAA"/>
    <w:rsid w:val="00311775"/>
    <w:rsid w:val="00311F78"/>
    <w:rsid w:val="0031310D"/>
    <w:rsid w:val="00313D95"/>
    <w:rsid w:val="00313E62"/>
    <w:rsid w:val="0031511B"/>
    <w:rsid w:val="00316EC3"/>
    <w:rsid w:val="00317099"/>
    <w:rsid w:val="003237E9"/>
    <w:rsid w:val="003250DC"/>
    <w:rsid w:val="003278E6"/>
    <w:rsid w:val="00330BD5"/>
    <w:rsid w:val="0033289B"/>
    <w:rsid w:val="0033773E"/>
    <w:rsid w:val="00337AAD"/>
    <w:rsid w:val="00340424"/>
    <w:rsid w:val="00340888"/>
    <w:rsid w:val="0034190E"/>
    <w:rsid w:val="00341C9E"/>
    <w:rsid w:val="00342413"/>
    <w:rsid w:val="00342F5D"/>
    <w:rsid w:val="003435E6"/>
    <w:rsid w:val="00357E9C"/>
    <w:rsid w:val="0036169E"/>
    <w:rsid w:val="003623EE"/>
    <w:rsid w:val="003662A0"/>
    <w:rsid w:val="00370DE2"/>
    <w:rsid w:val="00372A32"/>
    <w:rsid w:val="00373F51"/>
    <w:rsid w:val="0037508A"/>
    <w:rsid w:val="0037562D"/>
    <w:rsid w:val="003802D2"/>
    <w:rsid w:val="00381C32"/>
    <w:rsid w:val="00383F12"/>
    <w:rsid w:val="003878E1"/>
    <w:rsid w:val="00394423"/>
    <w:rsid w:val="003949CE"/>
    <w:rsid w:val="00397719"/>
    <w:rsid w:val="003A1DF2"/>
    <w:rsid w:val="003A24AF"/>
    <w:rsid w:val="003A2DC1"/>
    <w:rsid w:val="003A42C0"/>
    <w:rsid w:val="003A5DE9"/>
    <w:rsid w:val="003A5F00"/>
    <w:rsid w:val="003B0E66"/>
    <w:rsid w:val="003B24B8"/>
    <w:rsid w:val="003B472F"/>
    <w:rsid w:val="003B4A51"/>
    <w:rsid w:val="003B60A0"/>
    <w:rsid w:val="003B6D53"/>
    <w:rsid w:val="003D0850"/>
    <w:rsid w:val="003D2F1E"/>
    <w:rsid w:val="003D78E0"/>
    <w:rsid w:val="003E1923"/>
    <w:rsid w:val="003E3154"/>
    <w:rsid w:val="003E561D"/>
    <w:rsid w:val="003E59E4"/>
    <w:rsid w:val="003E5DAD"/>
    <w:rsid w:val="003F052A"/>
    <w:rsid w:val="003F3FD9"/>
    <w:rsid w:val="003F6C07"/>
    <w:rsid w:val="003F722F"/>
    <w:rsid w:val="003F7B11"/>
    <w:rsid w:val="0040030F"/>
    <w:rsid w:val="00400B33"/>
    <w:rsid w:val="00404016"/>
    <w:rsid w:val="00405764"/>
    <w:rsid w:val="00406508"/>
    <w:rsid w:val="00413FC2"/>
    <w:rsid w:val="00416671"/>
    <w:rsid w:val="00416A5C"/>
    <w:rsid w:val="00422B3E"/>
    <w:rsid w:val="0042381E"/>
    <w:rsid w:val="004309CD"/>
    <w:rsid w:val="00430D4A"/>
    <w:rsid w:val="00431DBE"/>
    <w:rsid w:val="00431EE7"/>
    <w:rsid w:val="00431FF9"/>
    <w:rsid w:val="00432AEC"/>
    <w:rsid w:val="004338D7"/>
    <w:rsid w:val="004340C2"/>
    <w:rsid w:val="00441B9C"/>
    <w:rsid w:val="00442E58"/>
    <w:rsid w:val="00444549"/>
    <w:rsid w:val="004464D7"/>
    <w:rsid w:val="0044652A"/>
    <w:rsid w:val="004526D2"/>
    <w:rsid w:val="00452A64"/>
    <w:rsid w:val="004530B0"/>
    <w:rsid w:val="00453A6F"/>
    <w:rsid w:val="00454856"/>
    <w:rsid w:val="0045541D"/>
    <w:rsid w:val="004561E2"/>
    <w:rsid w:val="00460A29"/>
    <w:rsid w:val="00464C5A"/>
    <w:rsid w:val="00467022"/>
    <w:rsid w:val="0047061C"/>
    <w:rsid w:val="004722DA"/>
    <w:rsid w:val="00472621"/>
    <w:rsid w:val="00486C58"/>
    <w:rsid w:val="00487F71"/>
    <w:rsid w:val="00491C09"/>
    <w:rsid w:val="00492421"/>
    <w:rsid w:val="00492CE8"/>
    <w:rsid w:val="00495F6B"/>
    <w:rsid w:val="004A3DDB"/>
    <w:rsid w:val="004A595A"/>
    <w:rsid w:val="004A7AC3"/>
    <w:rsid w:val="004B35D9"/>
    <w:rsid w:val="004B4AF5"/>
    <w:rsid w:val="004B4C63"/>
    <w:rsid w:val="004B53ED"/>
    <w:rsid w:val="004B616C"/>
    <w:rsid w:val="004B688D"/>
    <w:rsid w:val="004C24BF"/>
    <w:rsid w:val="004C3E58"/>
    <w:rsid w:val="004C40EF"/>
    <w:rsid w:val="004C53EB"/>
    <w:rsid w:val="004C5FF3"/>
    <w:rsid w:val="004C648A"/>
    <w:rsid w:val="004C6954"/>
    <w:rsid w:val="004D1D36"/>
    <w:rsid w:val="004D4F2A"/>
    <w:rsid w:val="004D5803"/>
    <w:rsid w:val="004D6BFC"/>
    <w:rsid w:val="004D7A72"/>
    <w:rsid w:val="004E3CEE"/>
    <w:rsid w:val="004E4515"/>
    <w:rsid w:val="004E4580"/>
    <w:rsid w:val="004E6F4B"/>
    <w:rsid w:val="004F1F61"/>
    <w:rsid w:val="004F2E15"/>
    <w:rsid w:val="004F3E54"/>
    <w:rsid w:val="004F5731"/>
    <w:rsid w:val="004F64B3"/>
    <w:rsid w:val="004F7FCC"/>
    <w:rsid w:val="00500425"/>
    <w:rsid w:val="005012A9"/>
    <w:rsid w:val="00502309"/>
    <w:rsid w:val="00502780"/>
    <w:rsid w:val="00504EE4"/>
    <w:rsid w:val="0050594A"/>
    <w:rsid w:val="005079F7"/>
    <w:rsid w:val="00512286"/>
    <w:rsid w:val="005162D4"/>
    <w:rsid w:val="00521886"/>
    <w:rsid w:val="00530092"/>
    <w:rsid w:val="005320CC"/>
    <w:rsid w:val="005335A2"/>
    <w:rsid w:val="00533F7E"/>
    <w:rsid w:val="00534A6B"/>
    <w:rsid w:val="0053764F"/>
    <w:rsid w:val="005429D0"/>
    <w:rsid w:val="00545E14"/>
    <w:rsid w:val="005462CF"/>
    <w:rsid w:val="00547298"/>
    <w:rsid w:val="00550CD0"/>
    <w:rsid w:val="0055238B"/>
    <w:rsid w:val="00554879"/>
    <w:rsid w:val="005565A0"/>
    <w:rsid w:val="00561368"/>
    <w:rsid w:val="005660A2"/>
    <w:rsid w:val="005672AD"/>
    <w:rsid w:val="00571DB5"/>
    <w:rsid w:val="005723FC"/>
    <w:rsid w:val="00575035"/>
    <w:rsid w:val="005756F8"/>
    <w:rsid w:val="00580403"/>
    <w:rsid w:val="00581CB1"/>
    <w:rsid w:val="00593BD5"/>
    <w:rsid w:val="00594C31"/>
    <w:rsid w:val="0059791A"/>
    <w:rsid w:val="00597C1C"/>
    <w:rsid w:val="005A2195"/>
    <w:rsid w:val="005A5B88"/>
    <w:rsid w:val="005A7FCF"/>
    <w:rsid w:val="005B2002"/>
    <w:rsid w:val="005B3EED"/>
    <w:rsid w:val="005B41AC"/>
    <w:rsid w:val="005B5520"/>
    <w:rsid w:val="005B580C"/>
    <w:rsid w:val="005B5F2F"/>
    <w:rsid w:val="005B7AF5"/>
    <w:rsid w:val="005C3ED5"/>
    <w:rsid w:val="005C6635"/>
    <w:rsid w:val="005C7342"/>
    <w:rsid w:val="005C772F"/>
    <w:rsid w:val="005D0ED5"/>
    <w:rsid w:val="005D1437"/>
    <w:rsid w:val="005D4949"/>
    <w:rsid w:val="005D6895"/>
    <w:rsid w:val="005D78D5"/>
    <w:rsid w:val="005E1E6E"/>
    <w:rsid w:val="005E2B35"/>
    <w:rsid w:val="005E2DD7"/>
    <w:rsid w:val="005E3294"/>
    <w:rsid w:val="005E5080"/>
    <w:rsid w:val="005E5577"/>
    <w:rsid w:val="005E784A"/>
    <w:rsid w:val="005F20FF"/>
    <w:rsid w:val="005F3228"/>
    <w:rsid w:val="005F3A24"/>
    <w:rsid w:val="005F5ECE"/>
    <w:rsid w:val="00604B74"/>
    <w:rsid w:val="00606AEA"/>
    <w:rsid w:val="00606EE8"/>
    <w:rsid w:val="00607184"/>
    <w:rsid w:val="0060745D"/>
    <w:rsid w:val="00607947"/>
    <w:rsid w:val="00610861"/>
    <w:rsid w:val="00615706"/>
    <w:rsid w:val="00625B81"/>
    <w:rsid w:val="00626439"/>
    <w:rsid w:val="006273B0"/>
    <w:rsid w:val="00627443"/>
    <w:rsid w:val="00627715"/>
    <w:rsid w:val="00631B65"/>
    <w:rsid w:val="00632D7C"/>
    <w:rsid w:val="006345D0"/>
    <w:rsid w:val="0063554F"/>
    <w:rsid w:val="006356E9"/>
    <w:rsid w:val="00637B05"/>
    <w:rsid w:val="006414D7"/>
    <w:rsid w:val="00641970"/>
    <w:rsid w:val="0064439B"/>
    <w:rsid w:val="00644749"/>
    <w:rsid w:val="0064613E"/>
    <w:rsid w:val="00651B37"/>
    <w:rsid w:val="00656024"/>
    <w:rsid w:val="00663FC0"/>
    <w:rsid w:val="006649D4"/>
    <w:rsid w:val="0066604A"/>
    <w:rsid w:val="0066746F"/>
    <w:rsid w:val="00671A4C"/>
    <w:rsid w:val="00676C6C"/>
    <w:rsid w:val="0068120E"/>
    <w:rsid w:val="00682421"/>
    <w:rsid w:val="00682B2C"/>
    <w:rsid w:val="006832D4"/>
    <w:rsid w:val="0068795C"/>
    <w:rsid w:val="006900CC"/>
    <w:rsid w:val="006911C3"/>
    <w:rsid w:val="006913EA"/>
    <w:rsid w:val="006978FE"/>
    <w:rsid w:val="006A0E12"/>
    <w:rsid w:val="006A15F2"/>
    <w:rsid w:val="006A2082"/>
    <w:rsid w:val="006A24F7"/>
    <w:rsid w:val="006A3569"/>
    <w:rsid w:val="006A680C"/>
    <w:rsid w:val="006B2C60"/>
    <w:rsid w:val="006B6F5A"/>
    <w:rsid w:val="006C18E2"/>
    <w:rsid w:val="006C1F08"/>
    <w:rsid w:val="006C2FC4"/>
    <w:rsid w:val="006C421F"/>
    <w:rsid w:val="006C44F3"/>
    <w:rsid w:val="006C6F27"/>
    <w:rsid w:val="006D3175"/>
    <w:rsid w:val="006D3B75"/>
    <w:rsid w:val="006D4085"/>
    <w:rsid w:val="006D5FA5"/>
    <w:rsid w:val="006D61EB"/>
    <w:rsid w:val="006D6EFC"/>
    <w:rsid w:val="006D7B04"/>
    <w:rsid w:val="006E49A5"/>
    <w:rsid w:val="006E791D"/>
    <w:rsid w:val="006F0FDE"/>
    <w:rsid w:val="006F53A3"/>
    <w:rsid w:val="006F6E57"/>
    <w:rsid w:val="00700949"/>
    <w:rsid w:val="00700C61"/>
    <w:rsid w:val="00701943"/>
    <w:rsid w:val="00702AC9"/>
    <w:rsid w:val="00702D67"/>
    <w:rsid w:val="0070429A"/>
    <w:rsid w:val="00705F72"/>
    <w:rsid w:val="007077C0"/>
    <w:rsid w:val="00710539"/>
    <w:rsid w:val="007111FF"/>
    <w:rsid w:val="00714363"/>
    <w:rsid w:val="0071442D"/>
    <w:rsid w:val="007204F8"/>
    <w:rsid w:val="00720E58"/>
    <w:rsid w:val="0072258B"/>
    <w:rsid w:val="007227E7"/>
    <w:rsid w:val="007231BB"/>
    <w:rsid w:val="007245D3"/>
    <w:rsid w:val="00730D87"/>
    <w:rsid w:val="007312C2"/>
    <w:rsid w:val="00736156"/>
    <w:rsid w:val="007469D8"/>
    <w:rsid w:val="007503CE"/>
    <w:rsid w:val="00752C1B"/>
    <w:rsid w:val="00763033"/>
    <w:rsid w:val="00763711"/>
    <w:rsid w:val="007641EC"/>
    <w:rsid w:val="0076420C"/>
    <w:rsid w:val="00766B15"/>
    <w:rsid w:val="00774BCC"/>
    <w:rsid w:val="00776A98"/>
    <w:rsid w:val="007808E9"/>
    <w:rsid w:val="00781702"/>
    <w:rsid w:val="00785DB9"/>
    <w:rsid w:val="00791931"/>
    <w:rsid w:val="00793566"/>
    <w:rsid w:val="00795BC0"/>
    <w:rsid w:val="007A1963"/>
    <w:rsid w:val="007A3DAB"/>
    <w:rsid w:val="007A63AD"/>
    <w:rsid w:val="007A6756"/>
    <w:rsid w:val="007B1AF4"/>
    <w:rsid w:val="007B48AC"/>
    <w:rsid w:val="007C1208"/>
    <w:rsid w:val="007C1CAE"/>
    <w:rsid w:val="007C2A52"/>
    <w:rsid w:val="007C3500"/>
    <w:rsid w:val="007C4499"/>
    <w:rsid w:val="007D0C4C"/>
    <w:rsid w:val="007D0F53"/>
    <w:rsid w:val="007D4FB8"/>
    <w:rsid w:val="007E515A"/>
    <w:rsid w:val="007F18F5"/>
    <w:rsid w:val="007F510C"/>
    <w:rsid w:val="007F539B"/>
    <w:rsid w:val="007F5758"/>
    <w:rsid w:val="00800525"/>
    <w:rsid w:val="0080436F"/>
    <w:rsid w:val="00805000"/>
    <w:rsid w:val="00815C78"/>
    <w:rsid w:val="00816BF8"/>
    <w:rsid w:val="00820E1A"/>
    <w:rsid w:val="008233CC"/>
    <w:rsid w:val="008249B3"/>
    <w:rsid w:val="00825FA7"/>
    <w:rsid w:val="00826C1D"/>
    <w:rsid w:val="00832690"/>
    <w:rsid w:val="00834E55"/>
    <w:rsid w:val="00835A05"/>
    <w:rsid w:val="0084044F"/>
    <w:rsid w:val="00844887"/>
    <w:rsid w:val="00846EC8"/>
    <w:rsid w:val="00853127"/>
    <w:rsid w:val="008558AA"/>
    <w:rsid w:val="00856C65"/>
    <w:rsid w:val="008628D0"/>
    <w:rsid w:val="00863DED"/>
    <w:rsid w:val="00865A56"/>
    <w:rsid w:val="00866430"/>
    <w:rsid w:val="00866D94"/>
    <w:rsid w:val="00870B9C"/>
    <w:rsid w:val="00872E44"/>
    <w:rsid w:val="0087532E"/>
    <w:rsid w:val="00876B13"/>
    <w:rsid w:val="008816DE"/>
    <w:rsid w:val="0088398C"/>
    <w:rsid w:val="008858B5"/>
    <w:rsid w:val="0088594F"/>
    <w:rsid w:val="008932A3"/>
    <w:rsid w:val="008958A2"/>
    <w:rsid w:val="008A5D59"/>
    <w:rsid w:val="008A5EA7"/>
    <w:rsid w:val="008A6326"/>
    <w:rsid w:val="008B0020"/>
    <w:rsid w:val="008B02DF"/>
    <w:rsid w:val="008B4A42"/>
    <w:rsid w:val="008B5B74"/>
    <w:rsid w:val="008C13D3"/>
    <w:rsid w:val="008C1BC1"/>
    <w:rsid w:val="008C1D6D"/>
    <w:rsid w:val="008C3CD3"/>
    <w:rsid w:val="008C4A85"/>
    <w:rsid w:val="008D1825"/>
    <w:rsid w:val="008D4DCA"/>
    <w:rsid w:val="008D5F2B"/>
    <w:rsid w:val="008D648C"/>
    <w:rsid w:val="008E4D8A"/>
    <w:rsid w:val="008E63C4"/>
    <w:rsid w:val="008E6545"/>
    <w:rsid w:val="008F158D"/>
    <w:rsid w:val="008F1E32"/>
    <w:rsid w:val="008F491B"/>
    <w:rsid w:val="008F4EC3"/>
    <w:rsid w:val="008F5195"/>
    <w:rsid w:val="008F6DF2"/>
    <w:rsid w:val="0090315D"/>
    <w:rsid w:val="00903338"/>
    <w:rsid w:val="0090431E"/>
    <w:rsid w:val="009050B0"/>
    <w:rsid w:val="00910CA6"/>
    <w:rsid w:val="00911809"/>
    <w:rsid w:val="009118FE"/>
    <w:rsid w:val="00916204"/>
    <w:rsid w:val="00917ED9"/>
    <w:rsid w:val="009235C2"/>
    <w:rsid w:val="009256FE"/>
    <w:rsid w:val="00926ECB"/>
    <w:rsid w:val="009317C0"/>
    <w:rsid w:val="0093360D"/>
    <w:rsid w:val="009340A3"/>
    <w:rsid w:val="009348C1"/>
    <w:rsid w:val="00935F5B"/>
    <w:rsid w:val="00942A70"/>
    <w:rsid w:val="009461BA"/>
    <w:rsid w:val="00953A7C"/>
    <w:rsid w:val="009565C2"/>
    <w:rsid w:val="00956827"/>
    <w:rsid w:val="00957375"/>
    <w:rsid w:val="0096109A"/>
    <w:rsid w:val="009617A2"/>
    <w:rsid w:val="009648F0"/>
    <w:rsid w:val="00965110"/>
    <w:rsid w:val="00967A86"/>
    <w:rsid w:val="00967B5B"/>
    <w:rsid w:val="009717FD"/>
    <w:rsid w:val="00972032"/>
    <w:rsid w:val="00972FFF"/>
    <w:rsid w:val="00973936"/>
    <w:rsid w:val="00975BAE"/>
    <w:rsid w:val="00976244"/>
    <w:rsid w:val="009764DF"/>
    <w:rsid w:val="00976E0C"/>
    <w:rsid w:val="009925F8"/>
    <w:rsid w:val="009961E1"/>
    <w:rsid w:val="009964C9"/>
    <w:rsid w:val="009A107B"/>
    <w:rsid w:val="009A1D8A"/>
    <w:rsid w:val="009A305D"/>
    <w:rsid w:val="009A306A"/>
    <w:rsid w:val="009A36D7"/>
    <w:rsid w:val="009A3EB1"/>
    <w:rsid w:val="009A49D5"/>
    <w:rsid w:val="009A7A9C"/>
    <w:rsid w:val="009B3AD9"/>
    <w:rsid w:val="009B3D14"/>
    <w:rsid w:val="009B3FB7"/>
    <w:rsid w:val="009B766D"/>
    <w:rsid w:val="009C114E"/>
    <w:rsid w:val="009C157F"/>
    <w:rsid w:val="009C49C8"/>
    <w:rsid w:val="009C6605"/>
    <w:rsid w:val="009C6AC2"/>
    <w:rsid w:val="009C774C"/>
    <w:rsid w:val="009D2693"/>
    <w:rsid w:val="009D4D27"/>
    <w:rsid w:val="009D5819"/>
    <w:rsid w:val="009D6637"/>
    <w:rsid w:val="009D7C0C"/>
    <w:rsid w:val="009D7FE4"/>
    <w:rsid w:val="009E0B47"/>
    <w:rsid w:val="009E4464"/>
    <w:rsid w:val="009E4D82"/>
    <w:rsid w:val="009E6693"/>
    <w:rsid w:val="009E69EA"/>
    <w:rsid w:val="009E7725"/>
    <w:rsid w:val="009E7B07"/>
    <w:rsid w:val="009F14A8"/>
    <w:rsid w:val="009F5E25"/>
    <w:rsid w:val="009F6018"/>
    <w:rsid w:val="009F6AC5"/>
    <w:rsid w:val="00A005EA"/>
    <w:rsid w:val="00A00632"/>
    <w:rsid w:val="00A0295F"/>
    <w:rsid w:val="00A032FE"/>
    <w:rsid w:val="00A03630"/>
    <w:rsid w:val="00A10120"/>
    <w:rsid w:val="00A10811"/>
    <w:rsid w:val="00A12D89"/>
    <w:rsid w:val="00A13A35"/>
    <w:rsid w:val="00A1500F"/>
    <w:rsid w:val="00A15D95"/>
    <w:rsid w:val="00A169F5"/>
    <w:rsid w:val="00A16A0C"/>
    <w:rsid w:val="00A2150D"/>
    <w:rsid w:val="00A2358F"/>
    <w:rsid w:val="00A30B85"/>
    <w:rsid w:val="00A321CE"/>
    <w:rsid w:val="00A3290D"/>
    <w:rsid w:val="00A331E5"/>
    <w:rsid w:val="00A3637B"/>
    <w:rsid w:val="00A41C5A"/>
    <w:rsid w:val="00A438B3"/>
    <w:rsid w:val="00A462AF"/>
    <w:rsid w:val="00A4648C"/>
    <w:rsid w:val="00A4715F"/>
    <w:rsid w:val="00A55C73"/>
    <w:rsid w:val="00A55DF7"/>
    <w:rsid w:val="00A56887"/>
    <w:rsid w:val="00A60462"/>
    <w:rsid w:val="00A67BBD"/>
    <w:rsid w:val="00A700BA"/>
    <w:rsid w:val="00A704B6"/>
    <w:rsid w:val="00A70E69"/>
    <w:rsid w:val="00A725EF"/>
    <w:rsid w:val="00A74B21"/>
    <w:rsid w:val="00A760C1"/>
    <w:rsid w:val="00A766C3"/>
    <w:rsid w:val="00A82237"/>
    <w:rsid w:val="00A82FBE"/>
    <w:rsid w:val="00A83D76"/>
    <w:rsid w:val="00A848D6"/>
    <w:rsid w:val="00A8683E"/>
    <w:rsid w:val="00A92EEC"/>
    <w:rsid w:val="00A97891"/>
    <w:rsid w:val="00AA1F63"/>
    <w:rsid w:val="00AA3737"/>
    <w:rsid w:val="00AA73F0"/>
    <w:rsid w:val="00AB235E"/>
    <w:rsid w:val="00AB3103"/>
    <w:rsid w:val="00AB396F"/>
    <w:rsid w:val="00AC0417"/>
    <w:rsid w:val="00AC08DF"/>
    <w:rsid w:val="00AC1ACC"/>
    <w:rsid w:val="00AD0749"/>
    <w:rsid w:val="00AD388E"/>
    <w:rsid w:val="00AD4C61"/>
    <w:rsid w:val="00AD7070"/>
    <w:rsid w:val="00AE07E6"/>
    <w:rsid w:val="00AE27EC"/>
    <w:rsid w:val="00AE5260"/>
    <w:rsid w:val="00AE7600"/>
    <w:rsid w:val="00AF2121"/>
    <w:rsid w:val="00AF4A4A"/>
    <w:rsid w:val="00AF5D07"/>
    <w:rsid w:val="00B03BCB"/>
    <w:rsid w:val="00B06C7D"/>
    <w:rsid w:val="00B11B82"/>
    <w:rsid w:val="00B17D30"/>
    <w:rsid w:val="00B17E81"/>
    <w:rsid w:val="00B24005"/>
    <w:rsid w:val="00B24D72"/>
    <w:rsid w:val="00B25870"/>
    <w:rsid w:val="00B35BDB"/>
    <w:rsid w:val="00B40E89"/>
    <w:rsid w:val="00B54D93"/>
    <w:rsid w:val="00B569AA"/>
    <w:rsid w:val="00B609A2"/>
    <w:rsid w:val="00B60C82"/>
    <w:rsid w:val="00B61620"/>
    <w:rsid w:val="00B61727"/>
    <w:rsid w:val="00B65322"/>
    <w:rsid w:val="00B654DE"/>
    <w:rsid w:val="00B6616F"/>
    <w:rsid w:val="00B709DA"/>
    <w:rsid w:val="00B70C45"/>
    <w:rsid w:val="00B71821"/>
    <w:rsid w:val="00B720D2"/>
    <w:rsid w:val="00B74C9C"/>
    <w:rsid w:val="00B75475"/>
    <w:rsid w:val="00B76741"/>
    <w:rsid w:val="00B80DAD"/>
    <w:rsid w:val="00B82AD4"/>
    <w:rsid w:val="00B845CB"/>
    <w:rsid w:val="00B845E2"/>
    <w:rsid w:val="00B861CC"/>
    <w:rsid w:val="00B90FBA"/>
    <w:rsid w:val="00B917E5"/>
    <w:rsid w:val="00B967DA"/>
    <w:rsid w:val="00B9779C"/>
    <w:rsid w:val="00B97BAF"/>
    <w:rsid w:val="00B97E48"/>
    <w:rsid w:val="00BA1744"/>
    <w:rsid w:val="00BA4D70"/>
    <w:rsid w:val="00BA5E8C"/>
    <w:rsid w:val="00BA6BEA"/>
    <w:rsid w:val="00BB52C7"/>
    <w:rsid w:val="00BB76E3"/>
    <w:rsid w:val="00BC3B51"/>
    <w:rsid w:val="00BC4538"/>
    <w:rsid w:val="00BC491E"/>
    <w:rsid w:val="00BC6BB6"/>
    <w:rsid w:val="00BD0495"/>
    <w:rsid w:val="00BD0DF8"/>
    <w:rsid w:val="00BD1AEC"/>
    <w:rsid w:val="00BD5574"/>
    <w:rsid w:val="00BD57B0"/>
    <w:rsid w:val="00BD6601"/>
    <w:rsid w:val="00BD6695"/>
    <w:rsid w:val="00BE103F"/>
    <w:rsid w:val="00BE2759"/>
    <w:rsid w:val="00BE44A0"/>
    <w:rsid w:val="00BE7404"/>
    <w:rsid w:val="00BE7935"/>
    <w:rsid w:val="00BF0140"/>
    <w:rsid w:val="00BF0250"/>
    <w:rsid w:val="00BF0CA6"/>
    <w:rsid w:val="00BF1098"/>
    <w:rsid w:val="00BF1270"/>
    <w:rsid w:val="00BF3E17"/>
    <w:rsid w:val="00BF6977"/>
    <w:rsid w:val="00C01F28"/>
    <w:rsid w:val="00C02728"/>
    <w:rsid w:val="00C03143"/>
    <w:rsid w:val="00C05FF6"/>
    <w:rsid w:val="00C067EA"/>
    <w:rsid w:val="00C10413"/>
    <w:rsid w:val="00C10FE9"/>
    <w:rsid w:val="00C12EB8"/>
    <w:rsid w:val="00C13273"/>
    <w:rsid w:val="00C1425D"/>
    <w:rsid w:val="00C17ADD"/>
    <w:rsid w:val="00C20650"/>
    <w:rsid w:val="00C21870"/>
    <w:rsid w:val="00C22980"/>
    <w:rsid w:val="00C37B96"/>
    <w:rsid w:val="00C42A32"/>
    <w:rsid w:val="00C42E4C"/>
    <w:rsid w:val="00C4348D"/>
    <w:rsid w:val="00C44CC2"/>
    <w:rsid w:val="00C5137E"/>
    <w:rsid w:val="00C51814"/>
    <w:rsid w:val="00C620A0"/>
    <w:rsid w:val="00C62870"/>
    <w:rsid w:val="00C62C7F"/>
    <w:rsid w:val="00C63FF9"/>
    <w:rsid w:val="00C67427"/>
    <w:rsid w:val="00C675A0"/>
    <w:rsid w:val="00C74D28"/>
    <w:rsid w:val="00C7633D"/>
    <w:rsid w:val="00C77D7A"/>
    <w:rsid w:val="00C77F12"/>
    <w:rsid w:val="00C80667"/>
    <w:rsid w:val="00C81D4B"/>
    <w:rsid w:val="00C828C4"/>
    <w:rsid w:val="00C829BD"/>
    <w:rsid w:val="00C82DD0"/>
    <w:rsid w:val="00C844EF"/>
    <w:rsid w:val="00C8546B"/>
    <w:rsid w:val="00C854A9"/>
    <w:rsid w:val="00C85526"/>
    <w:rsid w:val="00C904C6"/>
    <w:rsid w:val="00C933BA"/>
    <w:rsid w:val="00C9578F"/>
    <w:rsid w:val="00CA6036"/>
    <w:rsid w:val="00CA68C1"/>
    <w:rsid w:val="00CB4345"/>
    <w:rsid w:val="00CB4843"/>
    <w:rsid w:val="00CB5FD7"/>
    <w:rsid w:val="00CB64A6"/>
    <w:rsid w:val="00CC1E0F"/>
    <w:rsid w:val="00CC50AB"/>
    <w:rsid w:val="00CD1437"/>
    <w:rsid w:val="00CE09BA"/>
    <w:rsid w:val="00CE0F2A"/>
    <w:rsid w:val="00CE38D9"/>
    <w:rsid w:val="00CE42C6"/>
    <w:rsid w:val="00CE4482"/>
    <w:rsid w:val="00CE72FC"/>
    <w:rsid w:val="00CF310E"/>
    <w:rsid w:val="00CF4088"/>
    <w:rsid w:val="00CF6CE6"/>
    <w:rsid w:val="00CF73F9"/>
    <w:rsid w:val="00D04D75"/>
    <w:rsid w:val="00D06A2B"/>
    <w:rsid w:val="00D07FD7"/>
    <w:rsid w:val="00D12FA5"/>
    <w:rsid w:val="00D1364E"/>
    <w:rsid w:val="00D16FDD"/>
    <w:rsid w:val="00D20720"/>
    <w:rsid w:val="00D2129E"/>
    <w:rsid w:val="00D22872"/>
    <w:rsid w:val="00D308A3"/>
    <w:rsid w:val="00D317AD"/>
    <w:rsid w:val="00D34822"/>
    <w:rsid w:val="00D350A7"/>
    <w:rsid w:val="00D35A68"/>
    <w:rsid w:val="00D40D65"/>
    <w:rsid w:val="00D42185"/>
    <w:rsid w:val="00D42BB5"/>
    <w:rsid w:val="00D42CC4"/>
    <w:rsid w:val="00D43E9B"/>
    <w:rsid w:val="00D45CF3"/>
    <w:rsid w:val="00D46D0B"/>
    <w:rsid w:val="00D47F6A"/>
    <w:rsid w:val="00D50B19"/>
    <w:rsid w:val="00D51523"/>
    <w:rsid w:val="00D52652"/>
    <w:rsid w:val="00D5329D"/>
    <w:rsid w:val="00D551E8"/>
    <w:rsid w:val="00D55E02"/>
    <w:rsid w:val="00D57DA9"/>
    <w:rsid w:val="00D603A8"/>
    <w:rsid w:val="00D609DF"/>
    <w:rsid w:val="00D63837"/>
    <w:rsid w:val="00D66302"/>
    <w:rsid w:val="00D67634"/>
    <w:rsid w:val="00D67E1C"/>
    <w:rsid w:val="00D70A63"/>
    <w:rsid w:val="00D71582"/>
    <w:rsid w:val="00D80966"/>
    <w:rsid w:val="00D81EC1"/>
    <w:rsid w:val="00D82539"/>
    <w:rsid w:val="00D87E67"/>
    <w:rsid w:val="00D92955"/>
    <w:rsid w:val="00D93B6A"/>
    <w:rsid w:val="00D949B3"/>
    <w:rsid w:val="00D94F5E"/>
    <w:rsid w:val="00D94F81"/>
    <w:rsid w:val="00DA0274"/>
    <w:rsid w:val="00DA1F3A"/>
    <w:rsid w:val="00DA763B"/>
    <w:rsid w:val="00DB023D"/>
    <w:rsid w:val="00DB1027"/>
    <w:rsid w:val="00DB1D96"/>
    <w:rsid w:val="00DB2779"/>
    <w:rsid w:val="00DB33F9"/>
    <w:rsid w:val="00DB5C66"/>
    <w:rsid w:val="00DB5EB5"/>
    <w:rsid w:val="00DC02B9"/>
    <w:rsid w:val="00DC099C"/>
    <w:rsid w:val="00DC3594"/>
    <w:rsid w:val="00DC3FF1"/>
    <w:rsid w:val="00DC591D"/>
    <w:rsid w:val="00DD129B"/>
    <w:rsid w:val="00DD2107"/>
    <w:rsid w:val="00DD7C1A"/>
    <w:rsid w:val="00DE0792"/>
    <w:rsid w:val="00DE2793"/>
    <w:rsid w:val="00DE5271"/>
    <w:rsid w:val="00DE6EF5"/>
    <w:rsid w:val="00DE7A3B"/>
    <w:rsid w:val="00DE7F77"/>
    <w:rsid w:val="00DF1384"/>
    <w:rsid w:val="00DF23A5"/>
    <w:rsid w:val="00DF46ED"/>
    <w:rsid w:val="00DF69BB"/>
    <w:rsid w:val="00DF6CC5"/>
    <w:rsid w:val="00DF6D89"/>
    <w:rsid w:val="00E040D5"/>
    <w:rsid w:val="00E076EE"/>
    <w:rsid w:val="00E104DC"/>
    <w:rsid w:val="00E14513"/>
    <w:rsid w:val="00E14ABC"/>
    <w:rsid w:val="00E161B2"/>
    <w:rsid w:val="00E16F3B"/>
    <w:rsid w:val="00E1742C"/>
    <w:rsid w:val="00E20641"/>
    <w:rsid w:val="00E226C4"/>
    <w:rsid w:val="00E23559"/>
    <w:rsid w:val="00E27554"/>
    <w:rsid w:val="00E30B76"/>
    <w:rsid w:val="00E30F62"/>
    <w:rsid w:val="00E316DB"/>
    <w:rsid w:val="00E320DD"/>
    <w:rsid w:val="00E325C9"/>
    <w:rsid w:val="00E32E63"/>
    <w:rsid w:val="00E37B18"/>
    <w:rsid w:val="00E42F6C"/>
    <w:rsid w:val="00E43FD8"/>
    <w:rsid w:val="00E445C5"/>
    <w:rsid w:val="00E45D1C"/>
    <w:rsid w:val="00E46C32"/>
    <w:rsid w:val="00E46DB6"/>
    <w:rsid w:val="00E507AA"/>
    <w:rsid w:val="00E510B6"/>
    <w:rsid w:val="00E51414"/>
    <w:rsid w:val="00E52965"/>
    <w:rsid w:val="00E55AF3"/>
    <w:rsid w:val="00E576D5"/>
    <w:rsid w:val="00E62A9E"/>
    <w:rsid w:val="00E64CA8"/>
    <w:rsid w:val="00E66AD4"/>
    <w:rsid w:val="00E70E72"/>
    <w:rsid w:val="00E72549"/>
    <w:rsid w:val="00E74AA6"/>
    <w:rsid w:val="00E75E62"/>
    <w:rsid w:val="00E76B9E"/>
    <w:rsid w:val="00E81B4C"/>
    <w:rsid w:val="00E87852"/>
    <w:rsid w:val="00E94536"/>
    <w:rsid w:val="00E94BBB"/>
    <w:rsid w:val="00E951A6"/>
    <w:rsid w:val="00E957E5"/>
    <w:rsid w:val="00EA28C1"/>
    <w:rsid w:val="00EA739F"/>
    <w:rsid w:val="00EB1208"/>
    <w:rsid w:val="00EB68BB"/>
    <w:rsid w:val="00EC36BE"/>
    <w:rsid w:val="00EC3700"/>
    <w:rsid w:val="00EC5FF3"/>
    <w:rsid w:val="00EC7968"/>
    <w:rsid w:val="00ED1D5D"/>
    <w:rsid w:val="00ED5446"/>
    <w:rsid w:val="00ED6326"/>
    <w:rsid w:val="00ED671D"/>
    <w:rsid w:val="00ED7726"/>
    <w:rsid w:val="00EE2200"/>
    <w:rsid w:val="00EE2326"/>
    <w:rsid w:val="00EE630A"/>
    <w:rsid w:val="00EE744F"/>
    <w:rsid w:val="00EF346B"/>
    <w:rsid w:val="00EF4A86"/>
    <w:rsid w:val="00EF4EB5"/>
    <w:rsid w:val="00EF5B9C"/>
    <w:rsid w:val="00EF6C77"/>
    <w:rsid w:val="00F01E30"/>
    <w:rsid w:val="00F10AA4"/>
    <w:rsid w:val="00F132D2"/>
    <w:rsid w:val="00F1358D"/>
    <w:rsid w:val="00F1598A"/>
    <w:rsid w:val="00F16243"/>
    <w:rsid w:val="00F233A7"/>
    <w:rsid w:val="00F24A19"/>
    <w:rsid w:val="00F25367"/>
    <w:rsid w:val="00F2571A"/>
    <w:rsid w:val="00F2606E"/>
    <w:rsid w:val="00F26B00"/>
    <w:rsid w:val="00F30C35"/>
    <w:rsid w:val="00F30EB0"/>
    <w:rsid w:val="00F31732"/>
    <w:rsid w:val="00F31CBE"/>
    <w:rsid w:val="00F338B5"/>
    <w:rsid w:val="00F354CA"/>
    <w:rsid w:val="00F359E2"/>
    <w:rsid w:val="00F4700E"/>
    <w:rsid w:val="00F47956"/>
    <w:rsid w:val="00F53F32"/>
    <w:rsid w:val="00F57E75"/>
    <w:rsid w:val="00F6091C"/>
    <w:rsid w:val="00F65552"/>
    <w:rsid w:val="00F70573"/>
    <w:rsid w:val="00F7133E"/>
    <w:rsid w:val="00F7158B"/>
    <w:rsid w:val="00F71A35"/>
    <w:rsid w:val="00F738A2"/>
    <w:rsid w:val="00F801D9"/>
    <w:rsid w:val="00F80E52"/>
    <w:rsid w:val="00F84F51"/>
    <w:rsid w:val="00F92E2A"/>
    <w:rsid w:val="00F94FAE"/>
    <w:rsid w:val="00F9581E"/>
    <w:rsid w:val="00F95D48"/>
    <w:rsid w:val="00F97657"/>
    <w:rsid w:val="00FA1EDA"/>
    <w:rsid w:val="00FA40A9"/>
    <w:rsid w:val="00FA564C"/>
    <w:rsid w:val="00FB0A84"/>
    <w:rsid w:val="00FC3EBF"/>
    <w:rsid w:val="00FC4E81"/>
    <w:rsid w:val="00FC610F"/>
    <w:rsid w:val="00FC67D7"/>
    <w:rsid w:val="00FC7B85"/>
    <w:rsid w:val="00FD63D3"/>
    <w:rsid w:val="00FD6F72"/>
    <w:rsid w:val="00FD7924"/>
    <w:rsid w:val="00FE0CCE"/>
    <w:rsid w:val="00FE183E"/>
    <w:rsid w:val="00FE1D24"/>
    <w:rsid w:val="00FE245E"/>
    <w:rsid w:val="00FE5678"/>
    <w:rsid w:val="00FE6398"/>
    <w:rsid w:val="00FF50D6"/>
    <w:rsid w:val="00FF7F68"/>
    <w:rsid w:val="6A39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10D49"/>
  <w15:docId w15:val="{62CE9340-B0BC-6B4A-BCDB-CADFFC23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45D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D1C"/>
  </w:style>
  <w:style w:type="paragraph" w:styleId="Footer">
    <w:name w:val="footer"/>
    <w:basedOn w:val="Normal"/>
    <w:link w:val="FooterChar"/>
    <w:uiPriority w:val="99"/>
    <w:unhideWhenUsed/>
    <w:rsid w:val="00E45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D1C"/>
  </w:style>
  <w:style w:type="table" w:styleId="TableGrid">
    <w:name w:val="Table Grid"/>
    <w:basedOn w:val="TableNormal"/>
    <w:uiPriority w:val="59"/>
    <w:rsid w:val="00D45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5CF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9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27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7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27E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D7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B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B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B0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35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7F77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3113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617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H.DON@State.MA.U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kersasc.com/asc-news/defining-full-utilization-of-an-ambulatory-surgery-center-qaa-with-jimscarsella-of-anesthesia-staffingconsultants" TargetMode="External"/><Relationship Id="rId3" Type="http://schemas.openxmlformats.org/officeDocument/2006/relationships/hyperlink" Target="https://www.arthroplastyjournal.org/article/S0883-5403(22)00273-X/abstract" TargetMode="External"/><Relationship Id="rId7" Type="http://schemas.openxmlformats.org/officeDocument/2006/relationships/hyperlink" Target="https://www.beckersasc.com/asc-news/defining-full-utilization-of-an-ambulatory-surgery-center-qaa-with-jimscarsella-of-anesthesia-staffingconsultants" TargetMode="External"/><Relationship Id="rId2" Type="http://schemas.openxmlformats.org/officeDocument/2006/relationships/hyperlink" Target="https://www.aaos.org/contentassets/1cd7f41417ec4dd4b5c4c48532183b96/1184-the-impact-of-obesity-on-bone-and-joint-health1.pdf" TargetMode="External"/><Relationship Id="rId1" Type="http://schemas.openxmlformats.org/officeDocument/2006/relationships/hyperlink" Target="https://www.aaos.org/contentassets/1cd7f41417ec4dd4b5c4c48532183b96/1184-the-impact-of-obesity-on-bone-and-joint-health1.pdf" TargetMode="External"/><Relationship Id="rId6" Type="http://schemas.openxmlformats.org/officeDocument/2006/relationships/hyperlink" Target="https://www.arthroplastyjournal.org/article/S0883-5403(15)00970-5/abstracton" TargetMode="External"/><Relationship Id="rId5" Type="http://schemas.openxmlformats.org/officeDocument/2006/relationships/hyperlink" Target="https://www.arthroplastyjournal.org/article/S0883-5403(15)00970-5/abstracton" TargetMode="External"/><Relationship Id="rId4" Type="http://schemas.openxmlformats.org/officeDocument/2006/relationships/hyperlink" Target="https://www.arthroplastyjournal.org/article/S0883-5403(22)00273-X/abstr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D8819-719C-4D55-963E-AE4FE60B0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Lucy (DPH)</dc:creator>
  <cp:keywords/>
  <dc:description/>
  <cp:lastModifiedBy>Marks, Brett (DPH)</cp:lastModifiedBy>
  <cp:revision>8</cp:revision>
  <cp:lastPrinted>2024-03-28T19:20:00Z</cp:lastPrinted>
  <dcterms:created xsi:type="dcterms:W3CDTF">2024-04-04T01:31:00Z</dcterms:created>
  <dcterms:modified xsi:type="dcterms:W3CDTF">2024-04-25T15:31:00Z</dcterms:modified>
</cp:coreProperties>
</file>