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700580" w14:textId="05FDE662" w:rsidR="00160414" w:rsidRDefault="00AE36E2" w:rsidP="00160414">
      <w:pPr>
        <w:jc w:val="center"/>
        <w:rPr>
          <w:b/>
          <w:bCs/>
          <w:sz w:val="24"/>
          <w:szCs w:val="24"/>
          <w:u w:val="single"/>
        </w:rPr>
      </w:pPr>
      <w:bookmarkStart w:id="0" w:name="_GoBack"/>
      <w:bookmarkEnd w:id="0"/>
      <w:r>
        <w:rPr>
          <w:b/>
          <w:bCs/>
          <w:sz w:val="24"/>
          <w:szCs w:val="24"/>
          <w:u w:val="single"/>
        </w:rPr>
        <w:t>Applicant’s Responses</w:t>
      </w:r>
    </w:p>
    <w:p w14:paraId="787BE682" w14:textId="0B9BC541" w:rsidR="00160414" w:rsidRPr="00AE36E2" w:rsidRDefault="00160414" w:rsidP="00160414">
      <w:pPr>
        <w:jc w:val="center"/>
        <w:rPr>
          <w:b/>
          <w:bCs/>
          <w:sz w:val="24"/>
          <w:szCs w:val="24"/>
          <w:u w:val="single"/>
        </w:rPr>
      </w:pPr>
      <w:r>
        <w:rPr>
          <w:b/>
          <w:bCs/>
          <w:sz w:val="24"/>
          <w:szCs w:val="24"/>
          <w:u w:val="single"/>
        </w:rPr>
        <w:t>9/30/2020</w:t>
      </w:r>
    </w:p>
    <w:p w14:paraId="7B002876" w14:textId="77777777" w:rsidR="005B585C" w:rsidRDefault="005B585C" w:rsidP="005B585C">
      <w:pPr>
        <w:jc w:val="center"/>
        <w:rPr>
          <w:b/>
          <w:sz w:val="24"/>
          <w:szCs w:val="24"/>
        </w:rPr>
      </w:pPr>
      <w:r>
        <w:rPr>
          <w:i/>
          <w:iCs/>
          <w:sz w:val="24"/>
          <w:szCs w:val="24"/>
        </w:rPr>
        <w:t xml:space="preserve">Responses should be sent to DoN staff at </w:t>
      </w:r>
      <w:hyperlink r:id="rId8" w:history="1">
        <w:r>
          <w:rPr>
            <w:rStyle w:val="Hyperlink"/>
            <w:sz w:val="24"/>
            <w:szCs w:val="24"/>
          </w:rPr>
          <w:t>DPH.DON@State.MA.US</w:t>
        </w:r>
      </w:hyperlink>
    </w:p>
    <w:tbl>
      <w:tblPr>
        <w:tblStyle w:val="TableGrid"/>
        <w:tblW w:w="0" w:type="auto"/>
        <w:tblInd w:w="628" w:type="dxa"/>
        <w:tblLook w:val="04A0" w:firstRow="1" w:lastRow="0" w:firstColumn="1" w:lastColumn="0" w:noHBand="0" w:noVBand="1"/>
      </w:tblPr>
      <w:tblGrid>
        <w:gridCol w:w="8948"/>
      </w:tblGrid>
      <w:tr w:rsidR="005B585C" w14:paraId="309CB9E1" w14:textId="77777777" w:rsidTr="005B585C">
        <w:tc>
          <w:tcPr>
            <w:tcW w:w="8948" w:type="dxa"/>
            <w:tcBorders>
              <w:top w:val="single" w:sz="4" w:space="0" w:color="auto"/>
              <w:left w:val="single" w:sz="4" w:space="0" w:color="auto"/>
              <w:bottom w:val="single" w:sz="4" w:space="0" w:color="auto"/>
              <w:right w:val="single" w:sz="4" w:space="0" w:color="auto"/>
            </w:tcBorders>
          </w:tcPr>
          <w:p w14:paraId="501D23BD" w14:textId="77777777" w:rsidR="005B585C" w:rsidRDefault="005B585C">
            <w:pPr>
              <w:pStyle w:val="Default"/>
              <w:rPr>
                <w:sz w:val="22"/>
                <w:szCs w:val="22"/>
              </w:rPr>
            </w:pPr>
          </w:p>
          <w:p w14:paraId="08F0E0A8" w14:textId="77777777" w:rsidR="005B585C" w:rsidRDefault="005B585C">
            <w:pPr>
              <w:pStyle w:val="Default"/>
              <w:rPr>
                <w:sz w:val="22"/>
                <w:szCs w:val="22"/>
              </w:rPr>
            </w:pPr>
            <w:r>
              <w:rPr>
                <w:sz w:val="22"/>
                <w:szCs w:val="22"/>
              </w:rPr>
              <w:t xml:space="preserve"> While you may submit each answer as available, please </w:t>
            </w:r>
          </w:p>
          <w:p w14:paraId="1BE73C17" w14:textId="77777777" w:rsidR="005B585C" w:rsidRDefault="005B585C" w:rsidP="002C7F8C">
            <w:pPr>
              <w:pStyle w:val="Default"/>
              <w:numPr>
                <w:ilvl w:val="0"/>
                <w:numId w:val="1"/>
              </w:numPr>
              <w:spacing w:after="45"/>
              <w:rPr>
                <w:sz w:val="22"/>
                <w:szCs w:val="22"/>
              </w:rPr>
            </w:pPr>
            <w:r>
              <w:rPr>
                <w:sz w:val="22"/>
                <w:szCs w:val="22"/>
              </w:rPr>
              <w:t xml:space="preserve">List question number and question for each answer you provide </w:t>
            </w:r>
          </w:p>
          <w:p w14:paraId="10F8F488" w14:textId="77777777" w:rsidR="005B585C" w:rsidRDefault="005B585C" w:rsidP="002C7F8C">
            <w:pPr>
              <w:pStyle w:val="Default"/>
              <w:numPr>
                <w:ilvl w:val="0"/>
                <w:numId w:val="1"/>
              </w:numPr>
              <w:spacing w:after="45"/>
              <w:rPr>
                <w:sz w:val="22"/>
                <w:szCs w:val="22"/>
              </w:rPr>
            </w:pPr>
            <w:r>
              <w:rPr>
                <w:sz w:val="22"/>
                <w:szCs w:val="22"/>
              </w:rPr>
              <w:t xml:space="preserve">Submit responses as a separate word document, using the above application title and number as a running header and page numbers in the footer </w:t>
            </w:r>
          </w:p>
          <w:p w14:paraId="39C9C565" w14:textId="77777777" w:rsidR="005B585C" w:rsidRDefault="005B585C" w:rsidP="002C7F8C">
            <w:pPr>
              <w:pStyle w:val="Default"/>
              <w:numPr>
                <w:ilvl w:val="0"/>
                <w:numId w:val="1"/>
              </w:numPr>
              <w:spacing w:after="45"/>
              <w:rPr>
                <w:sz w:val="22"/>
                <w:szCs w:val="22"/>
              </w:rPr>
            </w:pPr>
            <w:r>
              <w:rPr>
                <w:sz w:val="22"/>
                <w:szCs w:val="22"/>
              </w:rPr>
              <w:t xml:space="preserve">When providing the answer to the final question, submit all questions and answers in one final document </w:t>
            </w:r>
          </w:p>
          <w:p w14:paraId="0CA6922E" w14:textId="77777777" w:rsidR="005B585C" w:rsidRDefault="005B585C" w:rsidP="002C7F8C">
            <w:pPr>
              <w:pStyle w:val="Default"/>
              <w:numPr>
                <w:ilvl w:val="0"/>
                <w:numId w:val="1"/>
              </w:numPr>
              <w:rPr>
                <w:sz w:val="22"/>
                <w:szCs w:val="22"/>
              </w:rPr>
            </w:pPr>
            <w:r>
              <w:rPr>
                <w:sz w:val="22"/>
                <w:szCs w:val="22"/>
              </w:rPr>
              <w:t>Submit responses in WORD or EXCEL; only use PDF’s if absolutely necessary. If “cutting and pasting” charts, provide them in a PDF so they can be clearly seen</w:t>
            </w:r>
          </w:p>
          <w:p w14:paraId="6D42A40F" w14:textId="77777777" w:rsidR="005B585C" w:rsidRDefault="005B585C">
            <w:pPr>
              <w:tabs>
                <w:tab w:val="left" w:pos="6557"/>
              </w:tabs>
              <w:spacing w:after="0" w:line="240" w:lineRule="auto"/>
              <w:rPr>
                <w:rFonts w:ascii="Garamond" w:hAnsi="Garamond"/>
                <w:b/>
              </w:rPr>
            </w:pPr>
          </w:p>
        </w:tc>
      </w:tr>
    </w:tbl>
    <w:p w14:paraId="0793ABE8" w14:textId="77777777" w:rsidR="005B585C" w:rsidRDefault="005B585C" w:rsidP="005B585C">
      <w:pPr>
        <w:jc w:val="center"/>
      </w:pPr>
    </w:p>
    <w:p w14:paraId="14F77A01" w14:textId="77777777" w:rsidR="005B585C" w:rsidRDefault="005B585C" w:rsidP="005B585C">
      <w:pPr>
        <w:rPr>
          <w:b/>
        </w:rPr>
      </w:pPr>
      <w:r>
        <w:rPr>
          <w:b/>
        </w:rPr>
        <w:t>Questions</w:t>
      </w:r>
    </w:p>
    <w:p w14:paraId="7510344E" w14:textId="77777777" w:rsidR="005B585C" w:rsidRPr="00AE36E2" w:rsidRDefault="005B585C" w:rsidP="005B585C">
      <w:pPr>
        <w:pStyle w:val="ListParagraph"/>
        <w:numPr>
          <w:ilvl w:val="0"/>
          <w:numId w:val="2"/>
        </w:numPr>
        <w:rPr>
          <w:b/>
          <w:bCs/>
        </w:rPr>
      </w:pPr>
      <w:r w:rsidRPr="00AE36E2">
        <w:rPr>
          <w:b/>
          <w:bCs/>
        </w:rPr>
        <w:t>Based on your long term strategic planning, as we approach the end of the stated timeframe for the build-out of the Hospital of the Future (HOF) provide an account of the status by floor of the 7 story HOF:</w:t>
      </w:r>
    </w:p>
    <w:p w14:paraId="09B37A2B" w14:textId="0E3F1DF2" w:rsidR="005B585C" w:rsidRPr="00AE36E2" w:rsidRDefault="005B585C" w:rsidP="005B585C">
      <w:pPr>
        <w:pStyle w:val="ListParagraph"/>
        <w:numPr>
          <w:ilvl w:val="1"/>
          <w:numId w:val="2"/>
        </w:numPr>
        <w:rPr>
          <w:b/>
          <w:bCs/>
        </w:rPr>
      </w:pPr>
      <w:r w:rsidRPr="00AE36E2">
        <w:rPr>
          <w:b/>
          <w:bCs/>
        </w:rPr>
        <w:t>which areas are complete, what is in those spaces and will thus no longer be considered part of this long term project (DoN#1-3B36),</w:t>
      </w:r>
    </w:p>
    <w:p w14:paraId="45627167" w14:textId="77777777" w:rsidR="005B585C" w:rsidRDefault="005B585C" w:rsidP="005B585C">
      <w:pPr>
        <w:pStyle w:val="ListParagraph"/>
        <w:numPr>
          <w:ilvl w:val="2"/>
          <w:numId w:val="2"/>
        </w:numPr>
      </w:pPr>
      <w:r>
        <w:t>Basement – Will be complete after this DoN amendment; floor is fit-out as mechanical, electrical, locker rooms, support spaces, and SPD</w:t>
      </w:r>
    </w:p>
    <w:p w14:paraId="6CA55595" w14:textId="77777777" w:rsidR="005B585C" w:rsidRDefault="005B585C" w:rsidP="005B585C">
      <w:pPr>
        <w:pStyle w:val="ListParagraph"/>
        <w:numPr>
          <w:ilvl w:val="2"/>
          <w:numId w:val="2"/>
        </w:numPr>
      </w:pPr>
      <w:r>
        <w:t>First Floor – Will be complete after this DoN amendment; floor is fit-out as the emergency department with a small portion supporting the ORs above</w:t>
      </w:r>
    </w:p>
    <w:p w14:paraId="1DD114D1" w14:textId="77777777" w:rsidR="005B585C" w:rsidRDefault="005B585C" w:rsidP="005B585C">
      <w:pPr>
        <w:pStyle w:val="ListParagraph"/>
        <w:numPr>
          <w:ilvl w:val="2"/>
          <w:numId w:val="2"/>
        </w:numPr>
      </w:pPr>
      <w:r>
        <w:t>Second Floor – Will be complete after this DoN amendment; floor is fit-out as a surgical and procedure floor</w:t>
      </w:r>
    </w:p>
    <w:p w14:paraId="791847C0" w14:textId="77777777" w:rsidR="005B585C" w:rsidRDefault="005B585C" w:rsidP="005B585C">
      <w:pPr>
        <w:pStyle w:val="ListParagraph"/>
        <w:numPr>
          <w:ilvl w:val="2"/>
          <w:numId w:val="2"/>
        </w:numPr>
      </w:pPr>
      <w:r>
        <w:t>Third Floor – Mass Mutual Wing (fit-out as ICU) and South Wing (fit-out as Pediatric Procedure Unit) are complete; North Wing remains shell space</w:t>
      </w:r>
    </w:p>
    <w:p w14:paraId="338588F0" w14:textId="77777777" w:rsidR="005B585C" w:rsidRDefault="005B585C" w:rsidP="005B585C">
      <w:pPr>
        <w:pStyle w:val="ListParagraph"/>
        <w:numPr>
          <w:ilvl w:val="2"/>
          <w:numId w:val="2"/>
        </w:numPr>
      </w:pPr>
      <w:r>
        <w:t>Fourth Floor – South Wing (fit-out as Pharmacy) is complete; Mass Mutual Wing and North Wing remain shell space</w:t>
      </w:r>
    </w:p>
    <w:p w14:paraId="24E32027" w14:textId="77777777" w:rsidR="005B585C" w:rsidRDefault="005B585C" w:rsidP="005B585C">
      <w:pPr>
        <w:pStyle w:val="ListParagraph"/>
        <w:numPr>
          <w:ilvl w:val="2"/>
          <w:numId w:val="2"/>
        </w:numPr>
      </w:pPr>
      <w:r>
        <w:t>Fifth Floor – Complete; Mass Mutual Wing and South Wing are fit-out as patient bed floors</w:t>
      </w:r>
    </w:p>
    <w:p w14:paraId="38553E27" w14:textId="77777777" w:rsidR="005B585C" w:rsidRDefault="005B585C" w:rsidP="005B585C">
      <w:pPr>
        <w:pStyle w:val="ListParagraph"/>
        <w:numPr>
          <w:ilvl w:val="2"/>
          <w:numId w:val="2"/>
        </w:numPr>
      </w:pPr>
      <w:r>
        <w:t>Sixth Floor – Complete; Mass Mutual Wing and South Wing are fit-out as patient bed floors</w:t>
      </w:r>
    </w:p>
    <w:p w14:paraId="393E2AAC" w14:textId="77777777" w:rsidR="005B585C" w:rsidRDefault="005B585C" w:rsidP="005B585C">
      <w:pPr>
        <w:pStyle w:val="ListParagraph"/>
        <w:numPr>
          <w:ilvl w:val="2"/>
          <w:numId w:val="2"/>
        </w:numPr>
      </w:pPr>
      <w:r>
        <w:t>Seventh Floor – Complete; Mass Mutual Wing and South Wing are fit-out as patient bed floors</w:t>
      </w:r>
    </w:p>
    <w:p w14:paraId="20F7CD6C" w14:textId="77777777" w:rsidR="005B585C" w:rsidRPr="00AE36E2" w:rsidRDefault="005B585C" w:rsidP="005B585C">
      <w:pPr>
        <w:pStyle w:val="ListParagraph"/>
        <w:numPr>
          <w:ilvl w:val="1"/>
          <w:numId w:val="2"/>
        </w:numPr>
        <w:rPr>
          <w:b/>
          <w:bCs/>
        </w:rPr>
      </w:pPr>
      <w:r w:rsidRPr="00AE36E2">
        <w:rPr>
          <w:b/>
          <w:bCs/>
        </w:rPr>
        <w:t>which areas remain to be developed within the shell space of the HOF, and Include-</w:t>
      </w:r>
    </w:p>
    <w:p w14:paraId="5D905FE8" w14:textId="77777777" w:rsidR="005B585C" w:rsidRPr="00AE36E2" w:rsidRDefault="005B585C" w:rsidP="005B585C">
      <w:pPr>
        <w:pStyle w:val="ListParagraph"/>
        <w:numPr>
          <w:ilvl w:val="2"/>
          <w:numId w:val="2"/>
        </w:numPr>
        <w:rPr>
          <w:b/>
          <w:bCs/>
        </w:rPr>
      </w:pPr>
      <w:r w:rsidRPr="00AE36E2">
        <w:rPr>
          <w:b/>
          <w:bCs/>
        </w:rPr>
        <w:t xml:space="preserve">where and how much GSF remains to be built out, </w:t>
      </w:r>
    </w:p>
    <w:p w14:paraId="06BC1F8D" w14:textId="77777777" w:rsidR="005B585C" w:rsidRDefault="005B585C" w:rsidP="005B585C">
      <w:pPr>
        <w:pStyle w:val="ListParagraph"/>
        <w:numPr>
          <w:ilvl w:val="3"/>
          <w:numId w:val="2"/>
        </w:numPr>
      </w:pPr>
      <w:r>
        <w:t>Third Floor – North wing 20,777 SF</w:t>
      </w:r>
    </w:p>
    <w:p w14:paraId="7A1316A5" w14:textId="77777777" w:rsidR="005B585C" w:rsidRDefault="005B585C" w:rsidP="005B585C">
      <w:pPr>
        <w:pStyle w:val="ListParagraph"/>
        <w:numPr>
          <w:ilvl w:val="3"/>
          <w:numId w:val="2"/>
        </w:numPr>
      </w:pPr>
      <w:r>
        <w:lastRenderedPageBreak/>
        <w:t>Fourth Floor – Mass Mutual Wing 29,019 SF and North Wing 23,196 SF</w:t>
      </w:r>
    </w:p>
    <w:p w14:paraId="4958C182" w14:textId="266C79CC" w:rsidR="005B585C" w:rsidRPr="00AE36E2" w:rsidRDefault="005B585C" w:rsidP="005B585C">
      <w:pPr>
        <w:pStyle w:val="ListParagraph"/>
        <w:numPr>
          <w:ilvl w:val="2"/>
          <w:numId w:val="2"/>
        </w:numPr>
        <w:rPr>
          <w:b/>
          <w:bCs/>
        </w:rPr>
      </w:pPr>
      <w:r w:rsidRPr="00AE36E2">
        <w:rPr>
          <w:b/>
          <w:bCs/>
        </w:rPr>
        <w:t>what your intended uses for those areas  is, and</w:t>
      </w:r>
    </w:p>
    <w:p w14:paraId="6D0484F2" w14:textId="77777777" w:rsidR="005B585C" w:rsidRDefault="005B585C" w:rsidP="005B585C">
      <w:pPr>
        <w:pStyle w:val="ListParagraph"/>
        <w:numPr>
          <w:ilvl w:val="3"/>
          <w:numId w:val="2"/>
        </w:numPr>
      </w:pPr>
      <w:r>
        <w:t>Third Floor – Patient bed floor</w:t>
      </w:r>
    </w:p>
    <w:p w14:paraId="616D2741" w14:textId="77777777" w:rsidR="005B585C" w:rsidRDefault="005B585C" w:rsidP="005B585C">
      <w:pPr>
        <w:pStyle w:val="ListParagraph"/>
        <w:numPr>
          <w:ilvl w:val="3"/>
          <w:numId w:val="2"/>
        </w:numPr>
      </w:pPr>
      <w:r>
        <w:t>Fourth Floor – Mass Mutual Wing – ICU; North Wing – Patient bed floor</w:t>
      </w:r>
    </w:p>
    <w:p w14:paraId="3387E5D2" w14:textId="77777777" w:rsidR="005B585C" w:rsidRPr="00AE36E2" w:rsidRDefault="005B585C" w:rsidP="005B585C">
      <w:pPr>
        <w:pStyle w:val="ListParagraph"/>
        <w:numPr>
          <w:ilvl w:val="2"/>
          <w:numId w:val="2"/>
        </w:numPr>
        <w:rPr>
          <w:b/>
          <w:bCs/>
        </w:rPr>
      </w:pPr>
      <w:r w:rsidRPr="00AE36E2">
        <w:rPr>
          <w:b/>
          <w:bCs/>
        </w:rPr>
        <w:t>what your intended timeframe is.</w:t>
      </w:r>
    </w:p>
    <w:p w14:paraId="7F8870C4" w14:textId="2A895962" w:rsidR="005B585C" w:rsidRDefault="005B585C" w:rsidP="005B585C">
      <w:pPr>
        <w:pStyle w:val="ListParagraph"/>
        <w:numPr>
          <w:ilvl w:val="3"/>
          <w:numId w:val="2"/>
        </w:numPr>
      </w:pPr>
      <w:r>
        <w:t>The Baystate Medical Center facilities master plan was updated in 2019. This master plan identified the fit-out of these three patient bed floors to begin within 3-5 years. Due to the current COVID status, the previously agreed to timeframe has the potential to be re-evaluated pending available capital.</w:t>
      </w:r>
    </w:p>
    <w:p w14:paraId="7236C902" w14:textId="77777777" w:rsidR="00AE36E2" w:rsidRDefault="00AE36E2" w:rsidP="00AE36E2">
      <w:pPr>
        <w:pStyle w:val="ListParagraph"/>
        <w:ind w:left="2880"/>
      </w:pPr>
    </w:p>
    <w:p w14:paraId="305B1A59" w14:textId="77777777" w:rsidR="005B585C" w:rsidRPr="00AE36E2" w:rsidRDefault="005B585C" w:rsidP="005B585C">
      <w:pPr>
        <w:pStyle w:val="ListParagraph"/>
        <w:numPr>
          <w:ilvl w:val="0"/>
          <w:numId w:val="2"/>
        </w:numPr>
        <w:rPr>
          <w:b/>
          <w:bCs/>
        </w:rPr>
      </w:pPr>
      <w:r w:rsidRPr="00AE36E2">
        <w:rPr>
          <w:b/>
          <w:bCs/>
        </w:rPr>
        <w:t xml:space="preserve">What is the GSF of the vacated space for this Amendment? </w:t>
      </w:r>
      <w:r w:rsidRPr="00AE36E2">
        <w:t>Daly 1 – 43,194 SF</w:t>
      </w:r>
    </w:p>
    <w:p w14:paraId="320E87A6" w14:textId="77777777" w:rsidR="005B585C" w:rsidRDefault="005B585C" w:rsidP="005B585C">
      <w:pPr>
        <w:pStyle w:val="ListParagraph"/>
        <w:numPr>
          <w:ilvl w:val="1"/>
          <w:numId w:val="2"/>
        </w:numPr>
      </w:pPr>
      <w:r w:rsidRPr="00AE36E2">
        <w:rPr>
          <w:b/>
          <w:bCs/>
        </w:rPr>
        <w:t>How will it be used?</w:t>
      </w:r>
      <w:r>
        <w:t xml:space="preserve"> The backfill of the vacated space on Daly 1 has not been determined. Baystate Medical Center has identified that it will likely be support space for the hospital. This area was not included as part of this DoN amendment. Once the use has been confirmed, BMC will submit a DoN if required.</w:t>
      </w:r>
    </w:p>
    <w:p w14:paraId="7276B16F" w14:textId="2BAE295F" w:rsidR="005B585C" w:rsidRDefault="005B585C" w:rsidP="005B585C">
      <w:pPr>
        <w:pStyle w:val="ListParagraph"/>
        <w:numPr>
          <w:ilvl w:val="1"/>
          <w:numId w:val="2"/>
        </w:numPr>
      </w:pPr>
      <w:r w:rsidRPr="00AE36E2">
        <w:rPr>
          <w:b/>
          <w:bCs/>
        </w:rPr>
        <w:t>Is the renovation of these spaces included in this Amendment?</w:t>
      </w:r>
      <w:r>
        <w:t xml:space="preserve"> No</w:t>
      </w:r>
    </w:p>
    <w:p w14:paraId="5375E04D" w14:textId="77777777" w:rsidR="00E90D48" w:rsidRDefault="00E90D48" w:rsidP="00E90D48">
      <w:pPr>
        <w:pStyle w:val="ListParagraph"/>
        <w:ind w:left="1440"/>
      </w:pPr>
    </w:p>
    <w:p w14:paraId="4E81F020" w14:textId="77777777" w:rsidR="005B585C" w:rsidRPr="00E90D48" w:rsidRDefault="005B585C" w:rsidP="005B585C">
      <w:pPr>
        <w:pStyle w:val="ListParagraph"/>
        <w:numPr>
          <w:ilvl w:val="0"/>
          <w:numId w:val="2"/>
        </w:numPr>
        <w:rPr>
          <w:b/>
          <w:bCs/>
        </w:rPr>
      </w:pPr>
      <w:r w:rsidRPr="00E90D48">
        <w:rPr>
          <w:b/>
          <w:bCs/>
        </w:rPr>
        <w:t xml:space="preserve">With respect to Table 8 that depicts the various Amendment project and the net effect of this project, truncated below, staff has calculated the difference between the currently approved GSF of each column. Explain </w:t>
      </w:r>
    </w:p>
    <w:p w14:paraId="69E5DEC1" w14:textId="77777777" w:rsidR="005B585C" w:rsidRPr="00E90D48" w:rsidRDefault="005B585C" w:rsidP="005B585C">
      <w:pPr>
        <w:pStyle w:val="ListParagraph"/>
        <w:numPr>
          <w:ilvl w:val="1"/>
          <w:numId w:val="2"/>
        </w:numPr>
        <w:rPr>
          <w:b/>
          <w:bCs/>
        </w:rPr>
      </w:pPr>
      <w:r w:rsidRPr="00E90D48">
        <w:rPr>
          <w:b/>
          <w:bCs/>
        </w:rPr>
        <w:t xml:space="preserve">What renovations are you undertaking and where? </w:t>
      </w:r>
    </w:p>
    <w:p w14:paraId="329F77DE" w14:textId="77777777" w:rsidR="005B585C" w:rsidRDefault="005B585C" w:rsidP="005B585C">
      <w:pPr>
        <w:pStyle w:val="ListParagraph"/>
        <w:numPr>
          <w:ilvl w:val="2"/>
          <w:numId w:val="2"/>
        </w:numPr>
      </w:pPr>
      <w:r>
        <w:t>Basement Level, SPD – Installing new washers and sterilizer to support second floor build-out</w:t>
      </w:r>
    </w:p>
    <w:p w14:paraId="2AC64CC0" w14:textId="77777777" w:rsidR="005B585C" w:rsidRDefault="005B585C" w:rsidP="005B585C">
      <w:pPr>
        <w:pStyle w:val="ListParagraph"/>
        <w:numPr>
          <w:ilvl w:val="2"/>
          <w:numId w:val="2"/>
        </w:numPr>
      </w:pPr>
      <w:r>
        <w:t>First Floor, Lockers – Renovating the locker rooms, staff lounge space that serves the second floor to accommodate the larger volume of staff</w:t>
      </w:r>
    </w:p>
    <w:p w14:paraId="147B3812" w14:textId="77777777" w:rsidR="005B585C" w:rsidRDefault="005B585C" w:rsidP="005B585C">
      <w:pPr>
        <w:pStyle w:val="ListParagraph"/>
        <w:numPr>
          <w:ilvl w:val="2"/>
          <w:numId w:val="2"/>
        </w:numPr>
      </w:pPr>
      <w:r>
        <w:t>First Floor, Radiology – Renovating an existing reading room into a control room; replacing reading room in shell build-out</w:t>
      </w:r>
    </w:p>
    <w:p w14:paraId="5622C79B" w14:textId="77777777" w:rsidR="005B585C" w:rsidRDefault="005B585C" w:rsidP="005B585C">
      <w:pPr>
        <w:pStyle w:val="ListParagraph"/>
        <w:numPr>
          <w:ilvl w:val="2"/>
          <w:numId w:val="2"/>
        </w:numPr>
      </w:pPr>
      <w:r>
        <w:t>First Floor, Radiology – Renovating existing storage and tech area into an ultrasound room; relocating the tech area</w:t>
      </w:r>
    </w:p>
    <w:p w14:paraId="0F506093" w14:textId="77777777" w:rsidR="005B585C" w:rsidRDefault="005B585C" w:rsidP="005B585C">
      <w:pPr>
        <w:pStyle w:val="ListParagraph"/>
        <w:numPr>
          <w:ilvl w:val="2"/>
          <w:numId w:val="2"/>
        </w:numPr>
      </w:pPr>
      <w:r>
        <w:t>Second Floor, ORs – Converting two existing ORs into Cath Labs; ORs will be replaced in shell build-out</w:t>
      </w:r>
    </w:p>
    <w:p w14:paraId="1995A406" w14:textId="77777777" w:rsidR="005B585C" w:rsidRDefault="005B585C" w:rsidP="005B585C">
      <w:pPr>
        <w:pStyle w:val="ListParagraph"/>
        <w:numPr>
          <w:ilvl w:val="2"/>
          <w:numId w:val="2"/>
        </w:numPr>
      </w:pPr>
      <w:r>
        <w:t>Second Floor, Support Space – Support space serving the existing six ORs needs to be reconfigured to serve the full floor build-out; this will be done in a phased approach to allow ORs to be kept operational during construction</w:t>
      </w:r>
    </w:p>
    <w:p w14:paraId="1CC22BA3" w14:textId="77777777" w:rsidR="005B585C" w:rsidRDefault="005B585C" w:rsidP="005B585C">
      <w:pPr>
        <w:pStyle w:val="ListParagraph"/>
        <w:numPr>
          <w:ilvl w:val="2"/>
          <w:numId w:val="2"/>
        </w:numPr>
      </w:pPr>
      <w:r>
        <w:t>Third Floor, Vestibule/Corridor – Reconfiguration of existing entry vestibule and adjacent corridor to accommodate new surgical lobby and waiting room</w:t>
      </w:r>
    </w:p>
    <w:p w14:paraId="6010BB31" w14:textId="6C2ACC0D" w:rsidR="005B585C" w:rsidRPr="00E90D48" w:rsidRDefault="005B585C" w:rsidP="005B585C">
      <w:pPr>
        <w:pStyle w:val="ListParagraph"/>
        <w:numPr>
          <w:ilvl w:val="1"/>
          <w:numId w:val="2"/>
        </w:numPr>
        <w:rPr>
          <w:b/>
          <w:bCs/>
        </w:rPr>
      </w:pPr>
      <w:r w:rsidRPr="00E90D48">
        <w:rPr>
          <w:b/>
          <w:bCs/>
        </w:rPr>
        <w:t>On page 2 of your narrative, explain the difference in your statements of the build-out of 82,254GSF in the first paragraph and 60,921GSF in the chart below.</w:t>
      </w:r>
    </w:p>
    <w:p w14:paraId="7CEA42BB" w14:textId="77777777" w:rsidR="005B585C" w:rsidRDefault="005B585C" w:rsidP="005B585C">
      <w:pPr>
        <w:pStyle w:val="ListParagraph"/>
        <w:numPr>
          <w:ilvl w:val="2"/>
          <w:numId w:val="2"/>
        </w:numPr>
      </w:pPr>
      <w:r>
        <w:t xml:space="preserve">Refer to the paragraph at the bottom of page 2 of the narrative which states the 82,254 GSF includes the following: 60,921 GSF of shell space fit-out, 15,914 GSF of renovation, and 5,419 GSF of new addition for lobby/waiting expansion. The </w:t>
      </w:r>
      <w:r>
        <w:lastRenderedPageBreak/>
        <w:t xml:space="preserve">‘New Const GSF’ number in column B includes the 60,921 GSF of shell space fit-out and the 5,419 GSF for the new addition. The 15,914 GSF for the renovation is listed separately in column D. </w:t>
      </w:r>
    </w:p>
    <w:p w14:paraId="420EEA68" w14:textId="77777777" w:rsidR="005B585C" w:rsidRDefault="005B585C" w:rsidP="005B585C">
      <w:pPr>
        <w:pStyle w:val="ListParagraph"/>
        <w:ind w:left="1440"/>
      </w:pPr>
      <w:r>
        <w:t xml:space="preserve">     </w:t>
      </w:r>
    </w:p>
    <w:tbl>
      <w:tblPr>
        <w:tblW w:w="0" w:type="auto"/>
        <w:tblInd w:w="119" w:type="dxa"/>
        <w:tblLayout w:type="fixed"/>
        <w:tblCellMar>
          <w:left w:w="0" w:type="dxa"/>
          <w:right w:w="0" w:type="dxa"/>
        </w:tblCellMar>
        <w:tblLook w:val="01E0" w:firstRow="1" w:lastRow="1" w:firstColumn="1" w:lastColumn="1" w:noHBand="0" w:noVBand="0"/>
      </w:tblPr>
      <w:tblGrid>
        <w:gridCol w:w="1480"/>
        <w:gridCol w:w="1069"/>
        <w:gridCol w:w="1063"/>
        <w:gridCol w:w="1535"/>
        <w:gridCol w:w="1201"/>
        <w:gridCol w:w="1267"/>
        <w:gridCol w:w="1397"/>
      </w:tblGrid>
      <w:tr w:rsidR="005B585C" w14:paraId="207A11DB" w14:textId="77777777" w:rsidTr="005B585C">
        <w:trPr>
          <w:trHeight w:val="262"/>
        </w:trPr>
        <w:tc>
          <w:tcPr>
            <w:tcW w:w="1480" w:type="dxa"/>
            <w:shd w:val="clear" w:color="auto" w:fill="CBD7FD"/>
          </w:tcPr>
          <w:p w14:paraId="514375F7" w14:textId="77777777" w:rsidR="005B585C" w:rsidRDefault="005B585C">
            <w:pPr>
              <w:pStyle w:val="TableParagraph"/>
              <w:spacing w:line="276" w:lineRule="auto"/>
              <w:rPr>
                <w:rFonts w:asciiTheme="minorHAnsi" w:hAnsiTheme="minorHAnsi"/>
                <w:sz w:val="20"/>
                <w:szCs w:val="20"/>
              </w:rPr>
            </w:pPr>
          </w:p>
        </w:tc>
        <w:tc>
          <w:tcPr>
            <w:tcW w:w="1069" w:type="dxa"/>
            <w:shd w:val="clear" w:color="auto" w:fill="CBD7FD"/>
          </w:tcPr>
          <w:p w14:paraId="24116AEF" w14:textId="77777777" w:rsidR="005B585C" w:rsidRDefault="005B585C">
            <w:pPr>
              <w:pStyle w:val="TableParagraph"/>
              <w:spacing w:line="276" w:lineRule="auto"/>
              <w:rPr>
                <w:rFonts w:asciiTheme="minorHAnsi" w:hAnsiTheme="minorHAnsi"/>
                <w:sz w:val="20"/>
                <w:szCs w:val="20"/>
              </w:rPr>
            </w:pPr>
          </w:p>
        </w:tc>
        <w:tc>
          <w:tcPr>
            <w:tcW w:w="1063" w:type="dxa"/>
            <w:shd w:val="clear" w:color="auto" w:fill="CBD7FD"/>
          </w:tcPr>
          <w:p w14:paraId="4B40235F" w14:textId="77777777" w:rsidR="005B585C" w:rsidRDefault="005B585C">
            <w:pPr>
              <w:pStyle w:val="TableParagraph"/>
              <w:spacing w:line="276" w:lineRule="auto"/>
              <w:rPr>
                <w:rFonts w:asciiTheme="minorHAnsi" w:hAnsiTheme="minorHAnsi"/>
                <w:sz w:val="20"/>
                <w:szCs w:val="20"/>
              </w:rPr>
            </w:pPr>
          </w:p>
        </w:tc>
        <w:tc>
          <w:tcPr>
            <w:tcW w:w="4003" w:type="dxa"/>
            <w:gridSpan w:val="3"/>
            <w:shd w:val="clear" w:color="auto" w:fill="CBD7FD"/>
            <w:hideMark/>
          </w:tcPr>
          <w:p w14:paraId="7699D777" w14:textId="77777777" w:rsidR="005B585C" w:rsidRDefault="005B585C">
            <w:pPr>
              <w:pStyle w:val="TableParagraph"/>
              <w:spacing w:line="242" w:lineRule="exact"/>
              <w:ind w:left="489"/>
              <w:rPr>
                <w:rFonts w:asciiTheme="minorHAnsi" w:hAnsiTheme="minorHAnsi"/>
                <w:b/>
                <w:sz w:val="20"/>
                <w:szCs w:val="20"/>
              </w:rPr>
            </w:pPr>
            <w:r>
              <w:rPr>
                <w:rFonts w:asciiTheme="minorHAnsi" w:hAnsiTheme="minorHAnsi"/>
                <w:b/>
                <w:sz w:val="20"/>
                <w:szCs w:val="20"/>
              </w:rPr>
              <w:t>Approved Gross Square Footage (“GSF”)</w:t>
            </w:r>
          </w:p>
        </w:tc>
        <w:tc>
          <w:tcPr>
            <w:tcW w:w="1397" w:type="dxa"/>
            <w:shd w:val="clear" w:color="auto" w:fill="CBD7FD"/>
          </w:tcPr>
          <w:p w14:paraId="06EBD5E9" w14:textId="77777777" w:rsidR="005B585C" w:rsidRDefault="005B585C">
            <w:pPr>
              <w:pStyle w:val="TableParagraph"/>
              <w:spacing w:line="276" w:lineRule="auto"/>
              <w:rPr>
                <w:rFonts w:asciiTheme="minorHAnsi" w:hAnsiTheme="minorHAnsi"/>
                <w:sz w:val="20"/>
                <w:szCs w:val="20"/>
              </w:rPr>
            </w:pPr>
          </w:p>
        </w:tc>
      </w:tr>
      <w:tr w:rsidR="005B585C" w14:paraId="1EA73DDF" w14:textId="77777777" w:rsidTr="005B585C">
        <w:trPr>
          <w:trHeight w:val="469"/>
        </w:trPr>
        <w:tc>
          <w:tcPr>
            <w:tcW w:w="1480" w:type="dxa"/>
            <w:shd w:val="clear" w:color="auto" w:fill="CBD7FD"/>
          </w:tcPr>
          <w:p w14:paraId="060BB99B" w14:textId="77777777" w:rsidR="005B585C" w:rsidRDefault="005B585C">
            <w:pPr>
              <w:pStyle w:val="TableParagraph"/>
              <w:spacing w:line="276" w:lineRule="auto"/>
              <w:rPr>
                <w:rFonts w:asciiTheme="minorHAnsi" w:hAnsiTheme="minorHAnsi"/>
                <w:sz w:val="20"/>
                <w:szCs w:val="20"/>
              </w:rPr>
            </w:pPr>
          </w:p>
        </w:tc>
        <w:tc>
          <w:tcPr>
            <w:tcW w:w="1069" w:type="dxa"/>
            <w:shd w:val="clear" w:color="auto" w:fill="CBD7FD"/>
            <w:hideMark/>
          </w:tcPr>
          <w:p w14:paraId="0ADC27E2" w14:textId="77777777" w:rsidR="005B585C" w:rsidRDefault="005B585C">
            <w:pPr>
              <w:pStyle w:val="TableParagraph"/>
              <w:spacing w:line="226" w:lineRule="exact"/>
              <w:ind w:left="153" w:right="119"/>
              <w:jc w:val="center"/>
              <w:rPr>
                <w:rFonts w:asciiTheme="minorHAnsi" w:hAnsiTheme="minorHAnsi"/>
                <w:b/>
                <w:sz w:val="20"/>
                <w:szCs w:val="20"/>
              </w:rPr>
            </w:pPr>
            <w:r>
              <w:rPr>
                <w:rFonts w:asciiTheme="minorHAnsi" w:hAnsiTheme="minorHAnsi"/>
                <w:b/>
                <w:sz w:val="20"/>
                <w:szCs w:val="20"/>
              </w:rPr>
              <w:t>Approval</w:t>
            </w:r>
          </w:p>
          <w:p w14:paraId="3AF2C1E6" w14:textId="77777777" w:rsidR="005B585C" w:rsidRDefault="005B585C">
            <w:pPr>
              <w:pStyle w:val="TableParagraph"/>
              <w:spacing w:line="223" w:lineRule="exact"/>
              <w:ind w:left="150" w:right="119"/>
              <w:jc w:val="center"/>
              <w:rPr>
                <w:rFonts w:asciiTheme="minorHAnsi" w:hAnsiTheme="minorHAnsi"/>
                <w:b/>
                <w:sz w:val="20"/>
                <w:szCs w:val="20"/>
              </w:rPr>
            </w:pPr>
            <w:r>
              <w:rPr>
                <w:rFonts w:asciiTheme="minorHAnsi" w:hAnsiTheme="minorHAnsi"/>
                <w:b/>
                <w:sz w:val="20"/>
                <w:szCs w:val="20"/>
              </w:rPr>
              <w:t>Date</w:t>
            </w:r>
          </w:p>
        </w:tc>
        <w:tc>
          <w:tcPr>
            <w:tcW w:w="1063" w:type="dxa"/>
            <w:shd w:val="clear" w:color="auto" w:fill="CBD7FD"/>
            <w:hideMark/>
          </w:tcPr>
          <w:p w14:paraId="0E056242" w14:textId="77777777" w:rsidR="005B585C" w:rsidRDefault="005B585C">
            <w:pPr>
              <w:pStyle w:val="TableParagraph"/>
              <w:spacing w:before="104" w:line="276" w:lineRule="auto"/>
              <w:ind w:left="116" w:right="123"/>
              <w:jc w:val="center"/>
              <w:rPr>
                <w:rFonts w:asciiTheme="minorHAnsi" w:hAnsiTheme="minorHAnsi"/>
                <w:b/>
                <w:sz w:val="20"/>
                <w:szCs w:val="20"/>
              </w:rPr>
            </w:pPr>
            <w:r>
              <w:rPr>
                <w:rFonts w:asciiTheme="minorHAnsi" w:hAnsiTheme="minorHAnsi"/>
                <w:b/>
                <w:sz w:val="20"/>
                <w:szCs w:val="20"/>
              </w:rPr>
              <w:t>Total GSF</w:t>
            </w:r>
          </w:p>
        </w:tc>
        <w:tc>
          <w:tcPr>
            <w:tcW w:w="1535" w:type="dxa"/>
            <w:shd w:val="clear" w:color="auto" w:fill="CBD7FD"/>
            <w:hideMark/>
          </w:tcPr>
          <w:p w14:paraId="7F973F4F" w14:textId="77777777" w:rsidR="005B585C" w:rsidRDefault="005B585C">
            <w:pPr>
              <w:pStyle w:val="TableParagraph"/>
              <w:spacing w:line="226" w:lineRule="exact"/>
              <w:ind w:left="141"/>
              <w:rPr>
                <w:rFonts w:asciiTheme="minorHAnsi" w:hAnsiTheme="minorHAnsi"/>
                <w:b/>
                <w:sz w:val="20"/>
                <w:szCs w:val="20"/>
              </w:rPr>
            </w:pPr>
            <w:r>
              <w:rPr>
                <w:rFonts w:asciiTheme="minorHAnsi" w:hAnsiTheme="minorHAnsi"/>
                <w:b/>
                <w:sz w:val="20"/>
                <w:szCs w:val="20"/>
              </w:rPr>
              <w:t>New Const</w:t>
            </w:r>
            <w:r>
              <w:rPr>
                <w:rFonts w:asciiTheme="minorHAnsi" w:hAnsiTheme="minorHAnsi"/>
                <w:b/>
                <w:spacing w:val="-6"/>
                <w:sz w:val="20"/>
                <w:szCs w:val="20"/>
              </w:rPr>
              <w:t xml:space="preserve"> </w:t>
            </w:r>
            <w:r>
              <w:rPr>
                <w:rFonts w:asciiTheme="minorHAnsi" w:hAnsiTheme="minorHAnsi"/>
                <w:b/>
                <w:sz w:val="20"/>
                <w:szCs w:val="20"/>
              </w:rPr>
              <w:t>GSF</w:t>
            </w:r>
          </w:p>
          <w:p w14:paraId="6864C8E3" w14:textId="77777777" w:rsidR="005B585C" w:rsidRDefault="005B585C">
            <w:pPr>
              <w:pStyle w:val="TableParagraph"/>
              <w:spacing w:line="223" w:lineRule="exact"/>
              <w:ind w:left="163"/>
              <w:rPr>
                <w:rFonts w:asciiTheme="minorHAnsi" w:hAnsiTheme="minorHAnsi"/>
                <w:b/>
                <w:sz w:val="20"/>
                <w:szCs w:val="20"/>
              </w:rPr>
            </w:pPr>
            <w:r>
              <w:rPr>
                <w:rFonts w:asciiTheme="minorHAnsi" w:hAnsiTheme="minorHAnsi"/>
                <w:b/>
                <w:sz w:val="20"/>
                <w:szCs w:val="20"/>
              </w:rPr>
              <w:t>(without</w:t>
            </w:r>
            <w:r>
              <w:rPr>
                <w:rFonts w:asciiTheme="minorHAnsi" w:hAnsiTheme="minorHAnsi"/>
                <w:b/>
                <w:spacing w:val="-7"/>
                <w:sz w:val="20"/>
                <w:szCs w:val="20"/>
              </w:rPr>
              <w:t xml:space="preserve"> </w:t>
            </w:r>
            <w:r>
              <w:rPr>
                <w:rFonts w:asciiTheme="minorHAnsi" w:hAnsiTheme="minorHAnsi"/>
                <w:b/>
                <w:sz w:val="20"/>
                <w:szCs w:val="20"/>
              </w:rPr>
              <w:t>shell)</w:t>
            </w:r>
          </w:p>
        </w:tc>
        <w:tc>
          <w:tcPr>
            <w:tcW w:w="1201" w:type="dxa"/>
            <w:shd w:val="clear" w:color="auto" w:fill="CBD7FD"/>
            <w:hideMark/>
          </w:tcPr>
          <w:p w14:paraId="7D7B8ACC" w14:textId="77777777" w:rsidR="005B585C" w:rsidRDefault="005B585C">
            <w:pPr>
              <w:pStyle w:val="TableParagraph"/>
              <w:spacing w:line="226" w:lineRule="exact"/>
              <w:ind w:left="110" w:right="119"/>
              <w:jc w:val="center"/>
              <w:rPr>
                <w:rFonts w:asciiTheme="minorHAnsi" w:hAnsiTheme="minorHAnsi"/>
                <w:b/>
                <w:sz w:val="20"/>
                <w:szCs w:val="20"/>
              </w:rPr>
            </w:pPr>
            <w:r>
              <w:rPr>
                <w:rFonts w:asciiTheme="minorHAnsi" w:hAnsiTheme="minorHAnsi"/>
                <w:b/>
                <w:sz w:val="20"/>
                <w:szCs w:val="20"/>
              </w:rPr>
              <w:t>Shell Space</w:t>
            </w:r>
          </w:p>
          <w:p w14:paraId="0788A841" w14:textId="77777777" w:rsidR="005B585C" w:rsidRDefault="005B585C">
            <w:pPr>
              <w:pStyle w:val="TableParagraph"/>
              <w:spacing w:line="223" w:lineRule="exact"/>
              <w:ind w:left="108" w:right="119"/>
              <w:jc w:val="center"/>
              <w:rPr>
                <w:rFonts w:asciiTheme="minorHAnsi" w:hAnsiTheme="minorHAnsi"/>
                <w:b/>
                <w:sz w:val="20"/>
                <w:szCs w:val="20"/>
              </w:rPr>
            </w:pPr>
            <w:r>
              <w:rPr>
                <w:rFonts w:asciiTheme="minorHAnsi" w:hAnsiTheme="minorHAnsi"/>
                <w:b/>
                <w:sz w:val="20"/>
                <w:szCs w:val="20"/>
              </w:rPr>
              <w:t>GSF</w:t>
            </w:r>
          </w:p>
        </w:tc>
        <w:tc>
          <w:tcPr>
            <w:tcW w:w="1267" w:type="dxa"/>
            <w:shd w:val="clear" w:color="auto" w:fill="CBD7FD"/>
            <w:hideMark/>
          </w:tcPr>
          <w:p w14:paraId="20AB67B5" w14:textId="77777777" w:rsidR="005B585C" w:rsidRDefault="005B585C">
            <w:pPr>
              <w:pStyle w:val="TableParagraph"/>
              <w:spacing w:line="226" w:lineRule="exact"/>
              <w:ind w:left="113" w:right="159"/>
              <w:jc w:val="center"/>
              <w:rPr>
                <w:rFonts w:asciiTheme="minorHAnsi" w:hAnsiTheme="minorHAnsi"/>
                <w:b/>
                <w:sz w:val="20"/>
                <w:szCs w:val="20"/>
              </w:rPr>
            </w:pPr>
            <w:r>
              <w:rPr>
                <w:rFonts w:asciiTheme="minorHAnsi" w:hAnsiTheme="minorHAnsi"/>
                <w:b/>
                <w:sz w:val="20"/>
                <w:szCs w:val="20"/>
              </w:rPr>
              <w:t>Renovation</w:t>
            </w:r>
          </w:p>
          <w:p w14:paraId="6AB65707" w14:textId="77777777" w:rsidR="005B585C" w:rsidRDefault="005B585C">
            <w:pPr>
              <w:pStyle w:val="TableParagraph"/>
              <w:spacing w:line="223" w:lineRule="exact"/>
              <w:ind w:left="113" w:right="159"/>
              <w:jc w:val="center"/>
              <w:rPr>
                <w:rFonts w:asciiTheme="minorHAnsi" w:hAnsiTheme="minorHAnsi"/>
                <w:b/>
                <w:sz w:val="20"/>
                <w:szCs w:val="20"/>
              </w:rPr>
            </w:pPr>
            <w:r>
              <w:rPr>
                <w:rFonts w:asciiTheme="minorHAnsi" w:hAnsiTheme="minorHAnsi"/>
                <w:b/>
                <w:sz w:val="20"/>
                <w:szCs w:val="20"/>
              </w:rPr>
              <w:t>GSF</w:t>
            </w:r>
          </w:p>
        </w:tc>
        <w:tc>
          <w:tcPr>
            <w:tcW w:w="1397" w:type="dxa"/>
            <w:shd w:val="clear" w:color="auto" w:fill="CBD7FD"/>
            <w:hideMark/>
          </w:tcPr>
          <w:p w14:paraId="7035A44C" w14:textId="77777777" w:rsidR="005B585C" w:rsidRDefault="005B585C">
            <w:pPr>
              <w:pStyle w:val="TableParagraph"/>
              <w:spacing w:line="226" w:lineRule="exact"/>
              <w:ind w:left="35" w:right="94"/>
              <w:jc w:val="center"/>
              <w:rPr>
                <w:rFonts w:asciiTheme="minorHAnsi" w:hAnsiTheme="minorHAnsi"/>
                <w:b/>
                <w:sz w:val="20"/>
                <w:szCs w:val="20"/>
              </w:rPr>
            </w:pPr>
            <w:r>
              <w:rPr>
                <w:rFonts w:asciiTheme="minorHAnsi" w:hAnsiTheme="minorHAnsi"/>
                <w:b/>
                <w:sz w:val="20"/>
                <w:szCs w:val="20"/>
              </w:rPr>
              <w:t>Approved</w:t>
            </w:r>
          </w:p>
          <w:p w14:paraId="54ECE202" w14:textId="77777777" w:rsidR="005B585C" w:rsidRDefault="005B585C">
            <w:pPr>
              <w:pStyle w:val="TableParagraph"/>
              <w:spacing w:line="223" w:lineRule="exact"/>
              <w:ind w:left="38" w:right="94"/>
              <w:jc w:val="center"/>
              <w:rPr>
                <w:rFonts w:asciiTheme="minorHAnsi" w:hAnsiTheme="minorHAnsi"/>
                <w:b/>
                <w:sz w:val="20"/>
                <w:szCs w:val="20"/>
              </w:rPr>
            </w:pPr>
            <w:r>
              <w:rPr>
                <w:rFonts w:asciiTheme="minorHAnsi" w:hAnsiTheme="minorHAnsi"/>
                <w:b/>
                <w:sz w:val="20"/>
                <w:szCs w:val="20"/>
              </w:rPr>
              <w:t>MCE</w:t>
            </w:r>
          </w:p>
        </w:tc>
      </w:tr>
      <w:tr w:rsidR="005B585C" w14:paraId="6BC9D2D7" w14:textId="77777777" w:rsidTr="005B585C">
        <w:trPr>
          <w:trHeight w:val="469"/>
        </w:trPr>
        <w:tc>
          <w:tcPr>
            <w:tcW w:w="1480" w:type="dxa"/>
            <w:shd w:val="clear" w:color="auto" w:fill="CBD7FD"/>
          </w:tcPr>
          <w:p w14:paraId="10FD5102" w14:textId="77777777" w:rsidR="005B585C" w:rsidRDefault="005B585C">
            <w:pPr>
              <w:pStyle w:val="TableParagraph"/>
              <w:spacing w:line="276" w:lineRule="auto"/>
              <w:rPr>
                <w:rFonts w:asciiTheme="minorHAnsi" w:hAnsiTheme="minorHAnsi"/>
                <w:sz w:val="20"/>
                <w:szCs w:val="20"/>
              </w:rPr>
            </w:pPr>
          </w:p>
        </w:tc>
        <w:tc>
          <w:tcPr>
            <w:tcW w:w="1069" w:type="dxa"/>
            <w:shd w:val="clear" w:color="auto" w:fill="CBD7FD"/>
          </w:tcPr>
          <w:p w14:paraId="611967A8" w14:textId="77777777" w:rsidR="005B585C" w:rsidRDefault="005B585C">
            <w:pPr>
              <w:pStyle w:val="TableParagraph"/>
              <w:spacing w:line="226" w:lineRule="exact"/>
              <w:ind w:left="153" w:right="119"/>
              <w:jc w:val="center"/>
              <w:rPr>
                <w:rFonts w:asciiTheme="minorHAnsi" w:hAnsiTheme="minorHAnsi"/>
                <w:b/>
                <w:sz w:val="20"/>
                <w:szCs w:val="20"/>
              </w:rPr>
            </w:pPr>
          </w:p>
        </w:tc>
        <w:tc>
          <w:tcPr>
            <w:tcW w:w="1063" w:type="dxa"/>
            <w:shd w:val="clear" w:color="auto" w:fill="CBD7FD"/>
            <w:hideMark/>
          </w:tcPr>
          <w:p w14:paraId="26AA7F22" w14:textId="77777777" w:rsidR="005B585C" w:rsidRDefault="005B585C">
            <w:pPr>
              <w:pStyle w:val="TableParagraph"/>
              <w:spacing w:line="276" w:lineRule="auto"/>
              <w:ind w:left="116" w:right="123"/>
              <w:jc w:val="center"/>
              <w:rPr>
                <w:rFonts w:asciiTheme="minorHAnsi" w:hAnsiTheme="minorHAnsi"/>
                <w:b/>
                <w:sz w:val="20"/>
                <w:szCs w:val="20"/>
              </w:rPr>
            </w:pPr>
            <w:r>
              <w:rPr>
                <w:rFonts w:asciiTheme="minorHAnsi" w:hAnsiTheme="minorHAnsi"/>
                <w:b/>
                <w:sz w:val="20"/>
                <w:szCs w:val="20"/>
              </w:rPr>
              <w:t>A</w:t>
            </w:r>
          </w:p>
          <w:p w14:paraId="75DC12CA" w14:textId="77777777" w:rsidR="005B585C" w:rsidRDefault="005B585C">
            <w:pPr>
              <w:pStyle w:val="TableParagraph"/>
              <w:spacing w:line="276" w:lineRule="auto"/>
              <w:ind w:left="116" w:right="123"/>
              <w:jc w:val="center"/>
              <w:rPr>
                <w:rFonts w:asciiTheme="minorHAnsi" w:hAnsiTheme="minorHAnsi"/>
                <w:b/>
                <w:sz w:val="20"/>
                <w:szCs w:val="20"/>
              </w:rPr>
            </w:pPr>
            <w:r>
              <w:rPr>
                <w:rFonts w:asciiTheme="minorHAnsi" w:hAnsiTheme="minorHAnsi"/>
                <w:b/>
                <w:sz w:val="20"/>
                <w:szCs w:val="20"/>
              </w:rPr>
              <w:t>(B+C+D)</w:t>
            </w:r>
          </w:p>
        </w:tc>
        <w:tc>
          <w:tcPr>
            <w:tcW w:w="1535" w:type="dxa"/>
            <w:shd w:val="clear" w:color="auto" w:fill="CBD7FD"/>
            <w:hideMark/>
          </w:tcPr>
          <w:p w14:paraId="16C9CE9D" w14:textId="77777777" w:rsidR="005B585C" w:rsidRDefault="005B585C">
            <w:pPr>
              <w:pStyle w:val="TableParagraph"/>
              <w:spacing w:line="226" w:lineRule="exact"/>
              <w:ind w:left="141"/>
              <w:jc w:val="center"/>
              <w:rPr>
                <w:rFonts w:asciiTheme="minorHAnsi" w:hAnsiTheme="minorHAnsi"/>
                <w:b/>
                <w:sz w:val="20"/>
                <w:szCs w:val="20"/>
              </w:rPr>
            </w:pPr>
            <w:r>
              <w:rPr>
                <w:rFonts w:asciiTheme="minorHAnsi" w:hAnsiTheme="minorHAnsi"/>
                <w:b/>
                <w:sz w:val="20"/>
                <w:szCs w:val="20"/>
              </w:rPr>
              <w:t>B</w:t>
            </w:r>
          </w:p>
        </w:tc>
        <w:tc>
          <w:tcPr>
            <w:tcW w:w="1201" w:type="dxa"/>
            <w:shd w:val="clear" w:color="auto" w:fill="CBD7FD"/>
            <w:hideMark/>
          </w:tcPr>
          <w:p w14:paraId="570820FE" w14:textId="77777777" w:rsidR="005B585C" w:rsidRDefault="005B585C">
            <w:pPr>
              <w:pStyle w:val="TableParagraph"/>
              <w:spacing w:line="226" w:lineRule="exact"/>
              <w:ind w:left="110" w:right="119"/>
              <w:jc w:val="center"/>
              <w:rPr>
                <w:rFonts w:asciiTheme="minorHAnsi" w:hAnsiTheme="minorHAnsi"/>
                <w:b/>
                <w:sz w:val="20"/>
                <w:szCs w:val="20"/>
              </w:rPr>
            </w:pPr>
            <w:r>
              <w:rPr>
                <w:rFonts w:asciiTheme="minorHAnsi" w:hAnsiTheme="minorHAnsi"/>
                <w:b/>
                <w:sz w:val="20"/>
                <w:szCs w:val="20"/>
              </w:rPr>
              <w:t>C</w:t>
            </w:r>
          </w:p>
        </w:tc>
        <w:tc>
          <w:tcPr>
            <w:tcW w:w="1267" w:type="dxa"/>
            <w:shd w:val="clear" w:color="auto" w:fill="CBD7FD"/>
            <w:hideMark/>
          </w:tcPr>
          <w:p w14:paraId="6DE6A6CF" w14:textId="77777777" w:rsidR="005B585C" w:rsidRDefault="005B585C">
            <w:pPr>
              <w:pStyle w:val="TableParagraph"/>
              <w:spacing w:line="226" w:lineRule="exact"/>
              <w:ind w:left="113" w:right="159"/>
              <w:jc w:val="center"/>
              <w:rPr>
                <w:rFonts w:asciiTheme="minorHAnsi" w:hAnsiTheme="minorHAnsi"/>
                <w:b/>
                <w:sz w:val="20"/>
                <w:szCs w:val="20"/>
              </w:rPr>
            </w:pPr>
            <w:r>
              <w:rPr>
                <w:rFonts w:asciiTheme="minorHAnsi" w:hAnsiTheme="minorHAnsi"/>
                <w:b/>
                <w:sz w:val="20"/>
                <w:szCs w:val="20"/>
              </w:rPr>
              <w:t>D</w:t>
            </w:r>
          </w:p>
        </w:tc>
        <w:tc>
          <w:tcPr>
            <w:tcW w:w="1397" w:type="dxa"/>
            <w:shd w:val="clear" w:color="auto" w:fill="CBD7FD"/>
            <w:hideMark/>
          </w:tcPr>
          <w:p w14:paraId="449A3AAD" w14:textId="77777777" w:rsidR="005B585C" w:rsidRDefault="005B585C">
            <w:pPr>
              <w:pStyle w:val="TableParagraph"/>
              <w:spacing w:line="226" w:lineRule="exact"/>
              <w:ind w:left="35" w:right="94"/>
              <w:jc w:val="center"/>
              <w:rPr>
                <w:rFonts w:asciiTheme="minorHAnsi" w:hAnsiTheme="minorHAnsi"/>
                <w:b/>
                <w:sz w:val="20"/>
                <w:szCs w:val="20"/>
              </w:rPr>
            </w:pPr>
            <w:r>
              <w:rPr>
                <w:rFonts w:asciiTheme="minorHAnsi" w:hAnsiTheme="minorHAnsi"/>
                <w:b/>
                <w:sz w:val="20"/>
                <w:szCs w:val="20"/>
              </w:rPr>
              <w:t>E</w:t>
            </w:r>
          </w:p>
        </w:tc>
      </w:tr>
      <w:tr w:rsidR="005B585C" w14:paraId="504085D2" w14:textId="77777777" w:rsidTr="005B585C">
        <w:trPr>
          <w:trHeight w:val="262"/>
        </w:trPr>
        <w:tc>
          <w:tcPr>
            <w:tcW w:w="1480" w:type="dxa"/>
            <w:hideMark/>
          </w:tcPr>
          <w:p w14:paraId="38AA73B3" w14:textId="77777777" w:rsidR="005B585C" w:rsidRDefault="005B585C">
            <w:pPr>
              <w:pStyle w:val="TableParagraph"/>
              <w:spacing w:line="242" w:lineRule="exact"/>
              <w:ind w:left="107"/>
              <w:jc w:val="center"/>
              <w:rPr>
                <w:rFonts w:asciiTheme="minorHAnsi" w:hAnsiTheme="minorHAnsi"/>
                <w:sz w:val="20"/>
                <w:szCs w:val="20"/>
              </w:rPr>
            </w:pPr>
            <w:r>
              <w:rPr>
                <w:rFonts w:asciiTheme="minorHAnsi" w:hAnsiTheme="minorHAnsi"/>
                <w:sz w:val="20"/>
                <w:szCs w:val="20"/>
              </w:rPr>
              <w:t>DoN #1-3B36</w:t>
            </w:r>
          </w:p>
        </w:tc>
        <w:tc>
          <w:tcPr>
            <w:tcW w:w="1069" w:type="dxa"/>
            <w:hideMark/>
          </w:tcPr>
          <w:p w14:paraId="7E255B96" w14:textId="77777777" w:rsidR="005B585C" w:rsidRDefault="005B585C">
            <w:pPr>
              <w:pStyle w:val="TableParagraph"/>
              <w:spacing w:line="242" w:lineRule="exact"/>
              <w:ind w:left="153" w:right="119"/>
              <w:jc w:val="center"/>
              <w:rPr>
                <w:rFonts w:asciiTheme="minorHAnsi" w:hAnsiTheme="minorHAnsi"/>
                <w:sz w:val="20"/>
                <w:szCs w:val="20"/>
              </w:rPr>
            </w:pPr>
            <w:r>
              <w:rPr>
                <w:rFonts w:asciiTheme="minorHAnsi" w:hAnsiTheme="minorHAnsi"/>
                <w:sz w:val="20"/>
                <w:szCs w:val="20"/>
              </w:rPr>
              <w:t>11/2007</w:t>
            </w:r>
          </w:p>
        </w:tc>
        <w:tc>
          <w:tcPr>
            <w:tcW w:w="1063" w:type="dxa"/>
            <w:hideMark/>
          </w:tcPr>
          <w:p w14:paraId="7A378738" w14:textId="77777777" w:rsidR="005B585C" w:rsidRDefault="005B585C">
            <w:pPr>
              <w:pStyle w:val="TableParagraph"/>
              <w:spacing w:line="242" w:lineRule="exact"/>
              <w:ind w:left="116"/>
              <w:jc w:val="right"/>
              <w:rPr>
                <w:rFonts w:asciiTheme="minorHAnsi" w:hAnsiTheme="minorHAnsi"/>
                <w:sz w:val="20"/>
                <w:szCs w:val="20"/>
              </w:rPr>
            </w:pPr>
            <w:r>
              <w:rPr>
                <w:rFonts w:asciiTheme="minorHAnsi" w:hAnsiTheme="minorHAnsi"/>
                <w:sz w:val="20"/>
                <w:szCs w:val="20"/>
              </w:rPr>
              <w:t>641,250</w:t>
            </w:r>
          </w:p>
        </w:tc>
        <w:tc>
          <w:tcPr>
            <w:tcW w:w="1535" w:type="dxa"/>
            <w:hideMark/>
          </w:tcPr>
          <w:p w14:paraId="3F4B67C1" w14:textId="77777777" w:rsidR="005B585C" w:rsidRDefault="005B585C">
            <w:pPr>
              <w:pStyle w:val="TableParagraph"/>
              <w:tabs>
                <w:tab w:val="left" w:pos="1489"/>
              </w:tabs>
              <w:spacing w:line="242" w:lineRule="exact"/>
              <w:jc w:val="right"/>
              <w:rPr>
                <w:rFonts w:asciiTheme="minorHAnsi" w:hAnsiTheme="minorHAnsi"/>
                <w:sz w:val="20"/>
                <w:szCs w:val="20"/>
              </w:rPr>
            </w:pPr>
            <w:r>
              <w:rPr>
                <w:rFonts w:asciiTheme="minorHAnsi" w:hAnsiTheme="minorHAnsi"/>
                <w:w w:val="95"/>
                <w:sz w:val="20"/>
                <w:szCs w:val="20"/>
              </w:rPr>
              <w:t>303,300</w:t>
            </w:r>
          </w:p>
        </w:tc>
        <w:tc>
          <w:tcPr>
            <w:tcW w:w="1201" w:type="dxa"/>
            <w:hideMark/>
          </w:tcPr>
          <w:p w14:paraId="4AD82D0E" w14:textId="77777777" w:rsidR="005B585C" w:rsidRDefault="005B585C">
            <w:pPr>
              <w:pStyle w:val="TableParagraph"/>
              <w:tabs>
                <w:tab w:val="left" w:pos="1201"/>
              </w:tabs>
              <w:spacing w:line="242" w:lineRule="exact"/>
              <w:jc w:val="right"/>
              <w:rPr>
                <w:rFonts w:asciiTheme="minorHAnsi" w:hAnsiTheme="minorHAnsi"/>
                <w:sz w:val="20"/>
                <w:szCs w:val="20"/>
              </w:rPr>
            </w:pPr>
            <w:r>
              <w:rPr>
                <w:rFonts w:asciiTheme="minorHAnsi" w:hAnsiTheme="minorHAnsi"/>
                <w:w w:val="95"/>
                <w:sz w:val="20"/>
                <w:szCs w:val="20"/>
              </w:rPr>
              <w:t>295,800</w:t>
            </w:r>
          </w:p>
        </w:tc>
        <w:tc>
          <w:tcPr>
            <w:tcW w:w="1267" w:type="dxa"/>
            <w:hideMark/>
          </w:tcPr>
          <w:p w14:paraId="62455909" w14:textId="77777777" w:rsidR="005B585C" w:rsidRDefault="005B585C">
            <w:pPr>
              <w:pStyle w:val="TableParagraph"/>
              <w:spacing w:line="242" w:lineRule="exact"/>
              <w:ind w:right="-6"/>
              <w:jc w:val="right"/>
              <w:rPr>
                <w:rFonts w:asciiTheme="minorHAnsi" w:hAnsiTheme="minorHAnsi"/>
                <w:sz w:val="20"/>
                <w:szCs w:val="20"/>
              </w:rPr>
            </w:pPr>
            <w:r>
              <w:rPr>
                <w:rFonts w:asciiTheme="minorHAnsi" w:hAnsiTheme="minorHAnsi"/>
                <w:w w:val="95"/>
                <w:sz w:val="20"/>
                <w:szCs w:val="20"/>
              </w:rPr>
              <w:t>42,150</w:t>
            </w:r>
          </w:p>
        </w:tc>
        <w:tc>
          <w:tcPr>
            <w:tcW w:w="1397" w:type="dxa"/>
            <w:hideMark/>
          </w:tcPr>
          <w:p w14:paraId="19759E24" w14:textId="77777777" w:rsidR="005B585C" w:rsidRDefault="005B585C">
            <w:pPr>
              <w:pStyle w:val="TableParagraph"/>
              <w:spacing w:line="242" w:lineRule="exact"/>
              <w:ind w:left="146" w:right="91"/>
              <w:jc w:val="right"/>
              <w:rPr>
                <w:rFonts w:asciiTheme="minorHAnsi" w:hAnsiTheme="minorHAnsi"/>
                <w:sz w:val="20"/>
                <w:szCs w:val="20"/>
              </w:rPr>
            </w:pPr>
            <w:r>
              <w:rPr>
                <w:rFonts w:asciiTheme="minorHAnsi" w:hAnsiTheme="minorHAnsi"/>
                <w:sz w:val="20"/>
                <w:szCs w:val="20"/>
              </w:rPr>
              <w:t>$239,318,527</w:t>
            </w:r>
          </w:p>
        </w:tc>
      </w:tr>
      <w:tr w:rsidR="005B585C" w14:paraId="5CE85B18" w14:textId="77777777" w:rsidTr="005B585C">
        <w:trPr>
          <w:trHeight w:val="244"/>
        </w:trPr>
        <w:tc>
          <w:tcPr>
            <w:tcW w:w="1480" w:type="dxa"/>
            <w:hideMark/>
          </w:tcPr>
          <w:p w14:paraId="565AB2B6" w14:textId="77777777" w:rsidR="005B585C" w:rsidRDefault="005B585C">
            <w:pPr>
              <w:pStyle w:val="TableParagraph"/>
              <w:spacing w:line="225" w:lineRule="exact"/>
              <w:ind w:left="107"/>
              <w:jc w:val="center"/>
              <w:rPr>
                <w:rFonts w:asciiTheme="minorHAnsi" w:hAnsiTheme="minorHAnsi"/>
                <w:sz w:val="20"/>
                <w:szCs w:val="20"/>
              </w:rPr>
            </w:pPr>
            <w:r>
              <w:rPr>
                <w:rFonts w:asciiTheme="minorHAnsi" w:hAnsiTheme="minorHAnsi"/>
                <w:sz w:val="20"/>
                <w:szCs w:val="20"/>
              </w:rPr>
              <w:t>% change</w:t>
            </w:r>
          </w:p>
        </w:tc>
        <w:tc>
          <w:tcPr>
            <w:tcW w:w="1069" w:type="dxa"/>
          </w:tcPr>
          <w:p w14:paraId="7086DFC2" w14:textId="77777777" w:rsidR="005B585C" w:rsidRDefault="005B585C">
            <w:pPr>
              <w:pStyle w:val="TableParagraph"/>
              <w:spacing w:line="225" w:lineRule="exact"/>
              <w:ind w:left="153" w:right="119"/>
              <w:jc w:val="center"/>
              <w:rPr>
                <w:rFonts w:asciiTheme="minorHAnsi" w:hAnsiTheme="minorHAnsi"/>
                <w:sz w:val="20"/>
                <w:szCs w:val="20"/>
              </w:rPr>
            </w:pPr>
          </w:p>
        </w:tc>
        <w:tc>
          <w:tcPr>
            <w:tcW w:w="1063" w:type="dxa"/>
          </w:tcPr>
          <w:p w14:paraId="0143080C" w14:textId="77777777" w:rsidR="005B585C" w:rsidRDefault="005B585C">
            <w:pPr>
              <w:pStyle w:val="TableParagraph"/>
              <w:spacing w:line="225" w:lineRule="exact"/>
              <w:ind w:left="116"/>
              <w:jc w:val="right"/>
              <w:rPr>
                <w:rFonts w:asciiTheme="minorHAnsi" w:hAnsiTheme="minorHAnsi"/>
                <w:sz w:val="20"/>
                <w:szCs w:val="20"/>
              </w:rPr>
            </w:pPr>
          </w:p>
        </w:tc>
        <w:tc>
          <w:tcPr>
            <w:tcW w:w="1535" w:type="dxa"/>
          </w:tcPr>
          <w:p w14:paraId="03985D80" w14:textId="77777777" w:rsidR="005B585C" w:rsidRDefault="005B585C">
            <w:pPr>
              <w:pStyle w:val="TableParagraph"/>
              <w:tabs>
                <w:tab w:val="left" w:pos="1489"/>
              </w:tabs>
              <w:spacing w:line="225" w:lineRule="exact"/>
              <w:jc w:val="right"/>
              <w:rPr>
                <w:rFonts w:asciiTheme="minorHAnsi" w:hAnsiTheme="minorHAnsi"/>
                <w:sz w:val="20"/>
                <w:szCs w:val="20"/>
              </w:rPr>
            </w:pPr>
          </w:p>
        </w:tc>
        <w:tc>
          <w:tcPr>
            <w:tcW w:w="1201" w:type="dxa"/>
          </w:tcPr>
          <w:p w14:paraId="0747A044" w14:textId="77777777" w:rsidR="005B585C" w:rsidRDefault="005B585C">
            <w:pPr>
              <w:pStyle w:val="TableParagraph"/>
              <w:tabs>
                <w:tab w:val="left" w:pos="1201"/>
              </w:tabs>
              <w:spacing w:line="225" w:lineRule="exact"/>
              <w:jc w:val="right"/>
              <w:rPr>
                <w:rFonts w:asciiTheme="minorHAnsi" w:hAnsiTheme="minorHAnsi"/>
                <w:sz w:val="20"/>
                <w:szCs w:val="20"/>
              </w:rPr>
            </w:pPr>
          </w:p>
        </w:tc>
        <w:tc>
          <w:tcPr>
            <w:tcW w:w="1267" w:type="dxa"/>
          </w:tcPr>
          <w:p w14:paraId="61DC087B" w14:textId="77777777" w:rsidR="005B585C" w:rsidRDefault="005B585C">
            <w:pPr>
              <w:pStyle w:val="TableParagraph"/>
              <w:spacing w:line="225" w:lineRule="exact"/>
              <w:ind w:right="-6"/>
              <w:jc w:val="right"/>
              <w:rPr>
                <w:rFonts w:asciiTheme="minorHAnsi" w:hAnsiTheme="minorHAnsi"/>
                <w:sz w:val="20"/>
                <w:szCs w:val="20"/>
              </w:rPr>
            </w:pPr>
          </w:p>
        </w:tc>
        <w:tc>
          <w:tcPr>
            <w:tcW w:w="1397" w:type="dxa"/>
          </w:tcPr>
          <w:p w14:paraId="513E44F5" w14:textId="77777777" w:rsidR="005B585C" w:rsidRDefault="005B585C">
            <w:pPr>
              <w:pStyle w:val="TableParagraph"/>
              <w:spacing w:line="225" w:lineRule="exact"/>
              <w:ind w:left="146" w:right="91"/>
              <w:jc w:val="right"/>
              <w:rPr>
                <w:rFonts w:asciiTheme="minorHAnsi" w:hAnsiTheme="minorHAnsi"/>
                <w:sz w:val="20"/>
                <w:szCs w:val="20"/>
              </w:rPr>
            </w:pPr>
          </w:p>
        </w:tc>
      </w:tr>
      <w:tr w:rsidR="005B585C" w14:paraId="3112EA39" w14:textId="77777777" w:rsidTr="005B585C">
        <w:trPr>
          <w:trHeight w:val="270"/>
        </w:trPr>
        <w:tc>
          <w:tcPr>
            <w:tcW w:w="1480" w:type="dxa"/>
            <w:shd w:val="clear" w:color="auto" w:fill="DAEEF3"/>
            <w:hideMark/>
          </w:tcPr>
          <w:p w14:paraId="58FB9DBB" w14:textId="77777777" w:rsidR="005B585C" w:rsidRDefault="005B585C">
            <w:pPr>
              <w:pStyle w:val="TableParagraph"/>
              <w:spacing w:line="226" w:lineRule="exact"/>
              <w:ind w:left="107"/>
              <w:jc w:val="center"/>
              <w:rPr>
                <w:rFonts w:asciiTheme="minorHAnsi" w:hAnsiTheme="minorHAnsi"/>
                <w:sz w:val="20"/>
                <w:szCs w:val="20"/>
              </w:rPr>
            </w:pPr>
            <w:r>
              <w:rPr>
                <w:rFonts w:asciiTheme="minorHAnsi" w:hAnsiTheme="minorHAnsi"/>
                <w:sz w:val="20"/>
                <w:szCs w:val="20"/>
              </w:rPr>
              <w:t>Amendment 7</w:t>
            </w:r>
          </w:p>
        </w:tc>
        <w:tc>
          <w:tcPr>
            <w:tcW w:w="1069" w:type="dxa"/>
            <w:shd w:val="clear" w:color="auto" w:fill="DAEEF3"/>
            <w:hideMark/>
          </w:tcPr>
          <w:p w14:paraId="47DEEBFF" w14:textId="77777777" w:rsidR="005B585C" w:rsidRDefault="005B585C">
            <w:pPr>
              <w:pStyle w:val="TableParagraph"/>
              <w:spacing w:line="276" w:lineRule="auto"/>
              <w:jc w:val="center"/>
              <w:rPr>
                <w:rFonts w:asciiTheme="minorHAnsi" w:hAnsiTheme="minorHAnsi"/>
                <w:sz w:val="20"/>
                <w:szCs w:val="20"/>
              </w:rPr>
            </w:pPr>
            <w:r>
              <w:rPr>
                <w:rFonts w:asciiTheme="minorHAnsi" w:hAnsiTheme="minorHAnsi"/>
                <w:sz w:val="20"/>
                <w:szCs w:val="20"/>
              </w:rPr>
              <w:t>11/2018</w:t>
            </w:r>
          </w:p>
        </w:tc>
        <w:tc>
          <w:tcPr>
            <w:tcW w:w="1063" w:type="dxa"/>
            <w:shd w:val="clear" w:color="auto" w:fill="DAEEF3"/>
            <w:hideMark/>
          </w:tcPr>
          <w:p w14:paraId="4E10600A" w14:textId="77777777" w:rsidR="005B585C" w:rsidRDefault="005B585C">
            <w:pPr>
              <w:pStyle w:val="TableParagraph"/>
              <w:spacing w:line="226" w:lineRule="exact"/>
              <w:ind w:left="116"/>
              <w:jc w:val="right"/>
              <w:rPr>
                <w:rFonts w:asciiTheme="minorHAnsi" w:hAnsiTheme="minorHAnsi"/>
                <w:sz w:val="20"/>
                <w:szCs w:val="20"/>
              </w:rPr>
            </w:pPr>
            <w:r>
              <w:rPr>
                <w:rFonts w:asciiTheme="minorHAnsi" w:hAnsiTheme="minorHAnsi"/>
                <w:sz w:val="20"/>
                <w:szCs w:val="20"/>
              </w:rPr>
              <w:t>703,560</w:t>
            </w:r>
          </w:p>
        </w:tc>
        <w:tc>
          <w:tcPr>
            <w:tcW w:w="1535" w:type="dxa"/>
            <w:shd w:val="clear" w:color="auto" w:fill="DAEEF3"/>
            <w:hideMark/>
          </w:tcPr>
          <w:p w14:paraId="654147A2" w14:textId="77777777" w:rsidR="005B585C" w:rsidRDefault="005B585C">
            <w:pPr>
              <w:pStyle w:val="TableParagraph"/>
              <w:tabs>
                <w:tab w:val="left" w:pos="1489"/>
              </w:tabs>
              <w:spacing w:line="226" w:lineRule="exact"/>
              <w:jc w:val="right"/>
              <w:rPr>
                <w:rFonts w:asciiTheme="minorHAnsi" w:hAnsiTheme="minorHAnsi"/>
                <w:sz w:val="20"/>
                <w:szCs w:val="20"/>
              </w:rPr>
            </w:pPr>
            <w:r>
              <w:rPr>
                <w:rFonts w:asciiTheme="minorHAnsi" w:hAnsiTheme="minorHAnsi"/>
                <w:w w:val="95"/>
                <w:sz w:val="20"/>
                <w:szCs w:val="20"/>
              </w:rPr>
              <w:t>509,389</w:t>
            </w:r>
          </w:p>
        </w:tc>
        <w:tc>
          <w:tcPr>
            <w:tcW w:w="1201" w:type="dxa"/>
            <w:shd w:val="clear" w:color="auto" w:fill="DAEEF3"/>
            <w:hideMark/>
          </w:tcPr>
          <w:p w14:paraId="1465F030" w14:textId="77777777" w:rsidR="005B585C" w:rsidRDefault="005B585C">
            <w:pPr>
              <w:pStyle w:val="TableParagraph"/>
              <w:tabs>
                <w:tab w:val="left" w:pos="1201"/>
              </w:tabs>
              <w:spacing w:line="226" w:lineRule="exact"/>
              <w:jc w:val="right"/>
              <w:rPr>
                <w:rFonts w:asciiTheme="minorHAnsi" w:hAnsiTheme="minorHAnsi"/>
                <w:sz w:val="20"/>
                <w:szCs w:val="20"/>
              </w:rPr>
            </w:pPr>
            <w:r>
              <w:rPr>
                <w:rFonts w:asciiTheme="minorHAnsi" w:hAnsiTheme="minorHAnsi"/>
                <w:w w:val="95"/>
                <w:sz w:val="20"/>
                <w:szCs w:val="20"/>
              </w:rPr>
              <w:t>133,913</w:t>
            </w:r>
          </w:p>
        </w:tc>
        <w:tc>
          <w:tcPr>
            <w:tcW w:w="1267" w:type="dxa"/>
            <w:shd w:val="clear" w:color="auto" w:fill="DAEEF3"/>
            <w:hideMark/>
          </w:tcPr>
          <w:p w14:paraId="25BC2F37" w14:textId="77777777" w:rsidR="005B585C" w:rsidRDefault="005B585C">
            <w:pPr>
              <w:pStyle w:val="TableParagraph"/>
              <w:spacing w:line="226" w:lineRule="exact"/>
              <w:ind w:right="-6"/>
              <w:jc w:val="right"/>
              <w:rPr>
                <w:rFonts w:asciiTheme="minorHAnsi" w:hAnsiTheme="minorHAnsi"/>
                <w:sz w:val="20"/>
                <w:szCs w:val="20"/>
              </w:rPr>
            </w:pPr>
            <w:r>
              <w:rPr>
                <w:rFonts w:asciiTheme="minorHAnsi" w:hAnsiTheme="minorHAnsi"/>
                <w:w w:val="95"/>
                <w:sz w:val="20"/>
                <w:szCs w:val="20"/>
              </w:rPr>
              <w:t>60,258</w:t>
            </w:r>
          </w:p>
        </w:tc>
        <w:tc>
          <w:tcPr>
            <w:tcW w:w="1397" w:type="dxa"/>
            <w:shd w:val="clear" w:color="auto" w:fill="DAEEF3"/>
            <w:hideMark/>
          </w:tcPr>
          <w:p w14:paraId="3F6C1949" w14:textId="77777777" w:rsidR="005B585C" w:rsidRDefault="005B585C">
            <w:pPr>
              <w:pStyle w:val="TableParagraph"/>
              <w:spacing w:line="226" w:lineRule="exact"/>
              <w:ind w:left="146" w:right="91"/>
              <w:jc w:val="right"/>
              <w:rPr>
                <w:rFonts w:asciiTheme="minorHAnsi" w:hAnsiTheme="minorHAnsi"/>
                <w:sz w:val="20"/>
                <w:szCs w:val="20"/>
              </w:rPr>
            </w:pPr>
            <w:r>
              <w:rPr>
                <w:rFonts w:asciiTheme="minorHAnsi" w:hAnsiTheme="minorHAnsi"/>
                <w:sz w:val="20"/>
                <w:szCs w:val="20"/>
              </w:rPr>
              <w:t>$411,125,829</w:t>
            </w:r>
          </w:p>
        </w:tc>
      </w:tr>
      <w:tr w:rsidR="005B585C" w14:paraId="4EF905F8" w14:textId="77777777" w:rsidTr="005B585C">
        <w:trPr>
          <w:trHeight w:val="270"/>
        </w:trPr>
        <w:tc>
          <w:tcPr>
            <w:tcW w:w="1480" w:type="dxa"/>
            <w:shd w:val="clear" w:color="auto" w:fill="DAEEF3"/>
            <w:hideMark/>
          </w:tcPr>
          <w:p w14:paraId="3DB06B58" w14:textId="77777777" w:rsidR="005B585C" w:rsidRDefault="005B585C">
            <w:pPr>
              <w:pStyle w:val="TableParagraph"/>
              <w:spacing w:line="276" w:lineRule="auto"/>
              <w:jc w:val="center"/>
              <w:rPr>
                <w:rFonts w:asciiTheme="minorHAnsi" w:hAnsiTheme="minorHAnsi"/>
                <w:sz w:val="20"/>
                <w:szCs w:val="20"/>
              </w:rPr>
            </w:pPr>
            <w:r>
              <w:rPr>
                <w:rFonts w:asciiTheme="minorHAnsi" w:hAnsiTheme="minorHAnsi"/>
                <w:sz w:val="20"/>
                <w:szCs w:val="20"/>
              </w:rPr>
              <w:t>Proposed Project</w:t>
            </w:r>
          </w:p>
        </w:tc>
        <w:tc>
          <w:tcPr>
            <w:tcW w:w="1069" w:type="dxa"/>
            <w:shd w:val="clear" w:color="auto" w:fill="DAEEF3"/>
            <w:hideMark/>
          </w:tcPr>
          <w:p w14:paraId="3412D241" w14:textId="77777777" w:rsidR="005B585C" w:rsidRDefault="005B585C">
            <w:pPr>
              <w:pStyle w:val="TableParagraph"/>
              <w:spacing w:line="276" w:lineRule="auto"/>
              <w:jc w:val="center"/>
              <w:rPr>
                <w:rFonts w:asciiTheme="minorHAnsi" w:hAnsiTheme="minorHAnsi"/>
                <w:sz w:val="20"/>
                <w:szCs w:val="20"/>
              </w:rPr>
            </w:pPr>
            <w:r>
              <w:rPr>
                <w:rFonts w:asciiTheme="minorHAnsi" w:hAnsiTheme="minorHAnsi"/>
                <w:sz w:val="20"/>
                <w:szCs w:val="20"/>
              </w:rPr>
              <w:t>-</w:t>
            </w:r>
          </w:p>
        </w:tc>
        <w:tc>
          <w:tcPr>
            <w:tcW w:w="1063" w:type="dxa"/>
            <w:shd w:val="clear" w:color="auto" w:fill="DAEEF3"/>
            <w:hideMark/>
          </w:tcPr>
          <w:p w14:paraId="5118E5CC" w14:textId="77777777" w:rsidR="005B585C" w:rsidRDefault="005B585C">
            <w:pPr>
              <w:pStyle w:val="TableParagraph"/>
              <w:spacing w:before="12" w:line="276" w:lineRule="auto"/>
              <w:jc w:val="right"/>
              <w:rPr>
                <w:rFonts w:asciiTheme="minorHAnsi" w:hAnsiTheme="minorHAnsi"/>
                <w:sz w:val="20"/>
                <w:szCs w:val="20"/>
              </w:rPr>
            </w:pPr>
            <w:r>
              <w:rPr>
                <w:rFonts w:asciiTheme="minorHAnsi" w:hAnsiTheme="minorHAnsi"/>
                <w:sz w:val="20"/>
                <w:szCs w:val="20"/>
              </w:rPr>
              <w:t>724,893</w:t>
            </w:r>
          </w:p>
        </w:tc>
        <w:tc>
          <w:tcPr>
            <w:tcW w:w="1535" w:type="dxa"/>
            <w:shd w:val="clear" w:color="auto" w:fill="DAEEF3"/>
            <w:hideMark/>
          </w:tcPr>
          <w:p w14:paraId="4334A950" w14:textId="77777777" w:rsidR="005B585C" w:rsidRDefault="005B585C">
            <w:pPr>
              <w:pStyle w:val="TableParagraph"/>
              <w:spacing w:before="12" w:line="276" w:lineRule="auto"/>
              <w:jc w:val="right"/>
              <w:rPr>
                <w:rFonts w:asciiTheme="minorHAnsi" w:hAnsiTheme="minorHAnsi"/>
                <w:sz w:val="20"/>
                <w:szCs w:val="20"/>
              </w:rPr>
            </w:pPr>
            <w:r>
              <w:rPr>
                <w:rFonts w:asciiTheme="minorHAnsi" w:hAnsiTheme="minorHAnsi"/>
                <w:sz w:val="20"/>
                <w:szCs w:val="20"/>
              </w:rPr>
              <w:t>575,729</w:t>
            </w:r>
          </w:p>
        </w:tc>
        <w:tc>
          <w:tcPr>
            <w:tcW w:w="1201" w:type="dxa"/>
            <w:shd w:val="clear" w:color="auto" w:fill="DAEEF3"/>
            <w:hideMark/>
          </w:tcPr>
          <w:p w14:paraId="5650329C" w14:textId="77777777" w:rsidR="005B585C" w:rsidRDefault="005B585C">
            <w:pPr>
              <w:pStyle w:val="TableParagraph"/>
              <w:spacing w:before="12" w:line="276" w:lineRule="auto"/>
              <w:jc w:val="right"/>
              <w:rPr>
                <w:rFonts w:asciiTheme="minorHAnsi" w:hAnsiTheme="minorHAnsi"/>
                <w:sz w:val="20"/>
                <w:szCs w:val="20"/>
              </w:rPr>
            </w:pPr>
            <w:r>
              <w:rPr>
                <w:rFonts w:asciiTheme="minorHAnsi" w:hAnsiTheme="minorHAnsi"/>
                <w:sz w:val="20"/>
                <w:szCs w:val="20"/>
              </w:rPr>
              <w:t>72,992</w:t>
            </w:r>
          </w:p>
        </w:tc>
        <w:tc>
          <w:tcPr>
            <w:tcW w:w="1267" w:type="dxa"/>
            <w:shd w:val="clear" w:color="auto" w:fill="DAEEF3"/>
            <w:hideMark/>
          </w:tcPr>
          <w:p w14:paraId="5DB26EA0" w14:textId="77777777" w:rsidR="005B585C" w:rsidRDefault="005B585C">
            <w:pPr>
              <w:pStyle w:val="TableParagraph"/>
              <w:spacing w:before="12" w:line="276" w:lineRule="auto"/>
              <w:jc w:val="right"/>
              <w:rPr>
                <w:rFonts w:asciiTheme="minorHAnsi" w:hAnsiTheme="minorHAnsi"/>
                <w:sz w:val="20"/>
                <w:szCs w:val="20"/>
              </w:rPr>
            </w:pPr>
            <w:r>
              <w:rPr>
                <w:rFonts w:asciiTheme="minorHAnsi" w:hAnsiTheme="minorHAnsi"/>
                <w:sz w:val="20"/>
                <w:szCs w:val="20"/>
              </w:rPr>
              <w:t>76,172</w:t>
            </w:r>
          </w:p>
        </w:tc>
        <w:tc>
          <w:tcPr>
            <w:tcW w:w="1397" w:type="dxa"/>
            <w:shd w:val="clear" w:color="auto" w:fill="DAEEF3"/>
            <w:hideMark/>
          </w:tcPr>
          <w:p w14:paraId="214AD5CE" w14:textId="77777777" w:rsidR="005B585C" w:rsidRDefault="005B585C">
            <w:pPr>
              <w:pStyle w:val="TableParagraph"/>
              <w:spacing w:before="12" w:line="276" w:lineRule="auto"/>
              <w:jc w:val="right"/>
              <w:rPr>
                <w:rFonts w:asciiTheme="minorHAnsi" w:hAnsiTheme="minorHAnsi"/>
                <w:sz w:val="20"/>
                <w:szCs w:val="20"/>
              </w:rPr>
            </w:pPr>
            <w:r>
              <w:rPr>
                <w:rFonts w:asciiTheme="minorHAnsi" w:hAnsiTheme="minorHAnsi"/>
                <w:sz w:val="20"/>
                <w:szCs w:val="20"/>
              </w:rPr>
              <w:t>$481,007,406</w:t>
            </w:r>
          </w:p>
        </w:tc>
      </w:tr>
      <w:tr w:rsidR="005B585C" w14:paraId="77CA87C3" w14:textId="77777777" w:rsidTr="005B585C">
        <w:trPr>
          <w:trHeight w:val="270"/>
        </w:trPr>
        <w:tc>
          <w:tcPr>
            <w:tcW w:w="1480" w:type="dxa"/>
            <w:shd w:val="clear" w:color="auto" w:fill="00B0F0"/>
            <w:vAlign w:val="bottom"/>
            <w:hideMark/>
          </w:tcPr>
          <w:p w14:paraId="4266D588" w14:textId="77777777" w:rsidR="005B585C" w:rsidRDefault="005B585C">
            <w:pPr>
              <w:pStyle w:val="TableParagraph"/>
              <w:spacing w:line="276" w:lineRule="auto"/>
              <w:rPr>
                <w:rFonts w:asciiTheme="minorHAnsi" w:hAnsiTheme="minorHAnsi"/>
                <w:sz w:val="20"/>
                <w:szCs w:val="20"/>
              </w:rPr>
            </w:pPr>
            <w:r>
              <w:rPr>
                <w:rFonts w:asciiTheme="minorHAnsi" w:hAnsiTheme="minorHAnsi"/>
                <w:sz w:val="20"/>
                <w:szCs w:val="20"/>
              </w:rPr>
              <w:t>Difference</w:t>
            </w:r>
          </w:p>
          <w:p w14:paraId="7E1AA575" w14:textId="77777777" w:rsidR="005B585C" w:rsidRDefault="005B585C">
            <w:pPr>
              <w:pStyle w:val="TableParagraph"/>
              <w:spacing w:line="276" w:lineRule="auto"/>
              <w:rPr>
                <w:rFonts w:asciiTheme="minorHAnsi" w:hAnsiTheme="minorHAnsi"/>
                <w:sz w:val="20"/>
                <w:szCs w:val="20"/>
              </w:rPr>
            </w:pPr>
            <w:r>
              <w:rPr>
                <w:rFonts w:asciiTheme="minorHAnsi" w:hAnsiTheme="minorHAnsi"/>
                <w:sz w:val="20"/>
                <w:szCs w:val="20"/>
              </w:rPr>
              <w:t>Amend 7-project</w:t>
            </w:r>
          </w:p>
        </w:tc>
        <w:tc>
          <w:tcPr>
            <w:tcW w:w="1069" w:type="dxa"/>
            <w:shd w:val="clear" w:color="auto" w:fill="00B0F0"/>
          </w:tcPr>
          <w:p w14:paraId="5F4A7EA6" w14:textId="77777777" w:rsidR="005B585C" w:rsidRDefault="005B585C">
            <w:pPr>
              <w:pStyle w:val="TableParagraph"/>
              <w:spacing w:line="276" w:lineRule="auto"/>
              <w:jc w:val="center"/>
              <w:rPr>
                <w:rFonts w:asciiTheme="minorHAnsi" w:hAnsiTheme="minorHAnsi"/>
                <w:sz w:val="20"/>
                <w:szCs w:val="20"/>
              </w:rPr>
            </w:pPr>
          </w:p>
        </w:tc>
        <w:tc>
          <w:tcPr>
            <w:tcW w:w="1063" w:type="dxa"/>
            <w:shd w:val="clear" w:color="auto" w:fill="00B0F0"/>
            <w:vAlign w:val="bottom"/>
            <w:hideMark/>
          </w:tcPr>
          <w:p w14:paraId="47E99DF7" w14:textId="77777777" w:rsidR="005B585C" w:rsidRDefault="005B585C">
            <w:pPr>
              <w:spacing w:after="0"/>
              <w:jc w:val="right"/>
              <w:rPr>
                <w:rFonts w:ascii="Calibri" w:hAnsi="Calibri"/>
                <w:color w:val="000000"/>
              </w:rPr>
            </w:pPr>
            <w:r>
              <w:rPr>
                <w:rFonts w:ascii="Calibri" w:hAnsi="Calibri"/>
                <w:color w:val="000000"/>
              </w:rPr>
              <w:t>21,333</w:t>
            </w:r>
          </w:p>
        </w:tc>
        <w:tc>
          <w:tcPr>
            <w:tcW w:w="1535" w:type="dxa"/>
            <w:shd w:val="clear" w:color="auto" w:fill="00B0F0"/>
            <w:vAlign w:val="bottom"/>
            <w:hideMark/>
          </w:tcPr>
          <w:p w14:paraId="685DE9A4" w14:textId="77777777" w:rsidR="005B585C" w:rsidRDefault="005B585C">
            <w:pPr>
              <w:spacing w:after="0"/>
              <w:jc w:val="right"/>
              <w:rPr>
                <w:rFonts w:ascii="Calibri" w:hAnsi="Calibri"/>
                <w:color w:val="000000"/>
              </w:rPr>
            </w:pPr>
            <w:r>
              <w:rPr>
                <w:rFonts w:ascii="Calibri" w:hAnsi="Calibri"/>
                <w:color w:val="000000"/>
              </w:rPr>
              <w:t>66,340</w:t>
            </w:r>
          </w:p>
        </w:tc>
        <w:tc>
          <w:tcPr>
            <w:tcW w:w="1201" w:type="dxa"/>
            <w:shd w:val="clear" w:color="auto" w:fill="00B0F0"/>
            <w:vAlign w:val="bottom"/>
            <w:hideMark/>
          </w:tcPr>
          <w:p w14:paraId="75D91B68" w14:textId="77777777" w:rsidR="005B585C" w:rsidRDefault="005B585C">
            <w:pPr>
              <w:spacing w:after="0"/>
              <w:jc w:val="right"/>
              <w:rPr>
                <w:rFonts w:ascii="Calibri" w:hAnsi="Calibri"/>
                <w:color w:val="000000"/>
              </w:rPr>
            </w:pPr>
            <w:r>
              <w:rPr>
                <w:rFonts w:ascii="Calibri" w:hAnsi="Calibri"/>
                <w:color w:val="000000"/>
              </w:rPr>
              <w:t>-60,921</w:t>
            </w:r>
          </w:p>
        </w:tc>
        <w:tc>
          <w:tcPr>
            <w:tcW w:w="1267" w:type="dxa"/>
            <w:shd w:val="clear" w:color="auto" w:fill="00B0F0"/>
            <w:vAlign w:val="bottom"/>
            <w:hideMark/>
          </w:tcPr>
          <w:p w14:paraId="24FD5507" w14:textId="77777777" w:rsidR="005B585C" w:rsidRDefault="005B585C">
            <w:pPr>
              <w:spacing w:after="0"/>
              <w:jc w:val="right"/>
              <w:rPr>
                <w:rFonts w:ascii="Calibri" w:hAnsi="Calibri"/>
                <w:color w:val="000000"/>
              </w:rPr>
            </w:pPr>
            <w:r>
              <w:rPr>
                <w:rFonts w:ascii="Calibri" w:hAnsi="Calibri"/>
                <w:color w:val="000000"/>
              </w:rPr>
              <w:t>15,914</w:t>
            </w:r>
          </w:p>
        </w:tc>
        <w:tc>
          <w:tcPr>
            <w:tcW w:w="1397" w:type="dxa"/>
            <w:shd w:val="clear" w:color="auto" w:fill="00B0F0"/>
            <w:vAlign w:val="bottom"/>
            <w:hideMark/>
          </w:tcPr>
          <w:p w14:paraId="25B3A4EB" w14:textId="77777777" w:rsidR="005B585C" w:rsidRDefault="005B585C">
            <w:pPr>
              <w:spacing w:after="0"/>
              <w:jc w:val="right"/>
              <w:rPr>
                <w:rFonts w:ascii="Calibri" w:hAnsi="Calibri"/>
                <w:color w:val="000000"/>
              </w:rPr>
            </w:pPr>
            <w:r>
              <w:rPr>
                <w:rFonts w:ascii="Calibri" w:hAnsi="Calibri"/>
                <w:color w:val="000000"/>
              </w:rPr>
              <w:t>$69,881,577</w:t>
            </w:r>
          </w:p>
        </w:tc>
      </w:tr>
    </w:tbl>
    <w:p w14:paraId="2FC72D1E" w14:textId="77777777" w:rsidR="005B585C" w:rsidRDefault="005B585C" w:rsidP="005B585C">
      <w:pPr>
        <w:pStyle w:val="ListParagraph"/>
      </w:pPr>
    </w:p>
    <w:p w14:paraId="071A9352" w14:textId="77777777" w:rsidR="005B585C" w:rsidRDefault="005B585C" w:rsidP="005B585C">
      <w:pPr>
        <w:pStyle w:val="ListParagraph"/>
      </w:pPr>
    </w:p>
    <w:p w14:paraId="219265D7" w14:textId="77777777" w:rsidR="005B585C" w:rsidRPr="00E90D48" w:rsidRDefault="005B585C" w:rsidP="005B585C">
      <w:pPr>
        <w:pStyle w:val="ListParagraph"/>
        <w:numPr>
          <w:ilvl w:val="0"/>
          <w:numId w:val="2"/>
        </w:numPr>
        <w:rPr>
          <w:b/>
          <w:bCs/>
        </w:rPr>
      </w:pPr>
      <w:r w:rsidRPr="00E90D48">
        <w:rPr>
          <w:b/>
          <w:bCs/>
        </w:rPr>
        <w:t xml:space="preserve">On page 8 of your Application Narrative, you state that the Western MA region is underserved for the specialty of Neuro-interventional radiology. </w:t>
      </w:r>
    </w:p>
    <w:p w14:paraId="0859B3AA" w14:textId="08A7A394" w:rsidR="005B585C" w:rsidRPr="00E90D48" w:rsidRDefault="005B585C" w:rsidP="005B585C">
      <w:pPr>
        <w:pStyle w:val="ListParagraph"/>
        <w:numPr>
          <w:ilvl w:val="1"/>
          <w:numId w:val="3"/>
        </w:numPr>
        <w:rPr>
          <w:b/>
          <w:bCs/>
        </w:rPr>
      </w:pPr>
      <w:r w:rsidRPr="00E90D48">
        <w:rPr>
          <w:b/>
          <w:bCs/>
        </w:rPr>
        <w:t xml:space="preserve">What criteria have you used to determine this? Please provide supporting data such as wait times, referrals, or other such documentation. </w:t>
      </w:r>
    </w:p>
    <w:p w14:paraId="24839B0A" w14:textId="5F236619" w:rsidR="00AE36E2" w:rsidRDefault="00AE36E2" w:rsidP="00AE36E2">
      <w:pPr>
        <w:pStyle w:val="PlainText"/>
      </w:pPr>
      <w:r>
        <w:t>As previously stated, the hospital entered into a long-term arrangement for neurointerventional radiology physician services.  This arrangement will support the Hospital’s existing acute stroke service that serves emergent cases.  The additional physician support will also allow the Hospital to develop an elective service that is needed to serve patients who have had or are at risk of stroke and who may require further evaluation and intervention.  Once treated, such neurovascular patients require a regular cadence of radiology studies performed to ensure that their condition remains stable.</w:t>
      </w:r>
    </w:p>
    <w:p w14:paraId="250E69E4" w14:textId="77777777" w:rsidR="00AE36E2" w:rsidRDefault="00AE36E2" w:rsidP="00AE36E2">
      <w:pPr>
        <w:pStyle w:val="PlainText"/>
      </w:pPr>
    </w:p>
    <w:p w14:paraId="036493F1" w14:textId="24853351" w:rsidR="00AE36E2" w:rsidRDefault="00AE36E2" w:rsidP="00AE36E2">
      <w:pPr>
        <w:pStyle w:val="PlainText"/>
      </w:pPr>
      <w:r>
        <w:t>Prior this arrangement, approximately 100-150 patients were referred annually for care to other regional neurovascular centers located in Hartford, CT, Albany, NY, Boston or Worcester, MA. This requires patients in need of ongoing services to travel outside the Hospital’s service area. This is not convenient for patients and can result in non-compliance with regular appointments and lead to poor outcomes. The Hospital believes that access to elective neuro-interventional radiology and related physician services will ensure improved health outcomes and quality of life for stroke patients and patients at risk for stroke and other neurological conditions.</w:t>
      </w:r>
    </w:p>
    <w:p w14:paraId="20CA678B" w14:textId="77777777" w:rsidR="00AE36E2" w:rsidRDefault="00AE36E2" w:rsidP="00AE36E2">
      <w:pPr>
        <w:pStyle w:val="PlainText"/>
      </w:pPr>
    </w:p>
    <w:p w14:paraId="173277A6" w14:textId="6B61C4DE" w:rsidR="00AE36E2" w:rsidRDefault="00AE36E2" w:rsidP="00AE36E2">
      <w:pPr>
        <w:pStyle w:val="PlainText"/>
      </w:pPr>
      <w:r>
        <w:t>The Hospital plans to pursue Joint Commission accreditation as a Comprehensive Stroke Center.  The requirements for such accreditation includes the availability of two neurointerventional radiology suites to care for two acute stroke patients simultaneously. A dedicated neurointerventional suite and a shared suite will allow the Hospital to meet current accreditation standards.</w:t>
      </w:r>
    </w:p>
    <w:p w14:paraId="223B10D3" w14:textId="77777777" w:rsidR="00AE36E2" w:rsidRDefault="00AE36E2" w:rsidP="00AE36E2">
      <w:pPr>
        <w:pStyle w:val="ListParagraph"/>
        <w:ind w:left="1440"/>
      </w:pPr>
    </w:p>
    <w:p w14:paraId="744E29F7" w14:textId="2390565F" w:rsidR="005B585C" w:rsidRDefault="005B585C" w:rsidP="005B585C">
      <w:pPr>
        <w:pStyle w:val="ListParagraph"/>
        <w:numPr>
          <w:ilvl w:val="1"/>
          <w:numId w:val="3"/>
        </w:numPr>
        <w:rPr>
          <w:b/>
          <w:bCs/>
        </w:rPr>
      </w:pPr>
      <w:r w:rsidRPr="00E90D48">
        <w:rPr>
          <w:b/>
          <w:bCs/>
        </w:rPr>
        <w:t xml:space="preserve">What is the capacity of an interventional radiology room? </w:t>
      </w:r>
      <w:r w:rsidR="00E90D48" w:rsidRPr="00E90D48">
        <w:t>The capacity for the room once fully ramped up is estimated to be 500 procedures per year. The majority of cases will come from the elective clinic that will be established as noted above.</w:t>
      </w:r>
    </w:p>
    <w:p w14:paraId="5916986B" w14:textId="77777777" w:rsidR="00E90D48" w:rsidRPr="00E90D48" w:rsidRDefault="00E90D48" w:rsidP="00E90D48">
      <w:pPr>
        <w:ind w:left="1080"/>
        <w:rPr>
          <w:b/>
          <w:bCs/>
        </w:rPr>
      </w:pPr>
    </w:p>
    <w:p w14:paraId="75ACE52F" w14:textId="77777777" w:rsidR="005B585C" w:rsidRPr="00160414" w:rsidRDefault="005B585C" w:rsidP="005B585C">
      <w:pPr>
        <w:pStyle w:val="ListParagraph"/>
        <w:numPr>
          <w:ilvl w:val="0"/>
          <w:numId w:val="2"/>
        </w:numPr>
        <w:rPr>
          <w:b/>
          <w:bCs/>
        </w:rPr>
      </w:pPr>
      <w:r w:rsidRPr="00160414">
        <w:rPr>
          <w:b/>
          <w:bCs/>
        </w:rPr>
        <w:t xml:space="preserve">With respect to the addition of the CT in the ED at Baystate- </w:t>
      </w:r>
    </w:p>
    <w:p w14:paraId="04E1310B" w14:textId="01BEF914" w:rsidR="005B585C" w:rsidRDefault="005B585C" w:rsidP="005B585C">
      <w:pPr>
        <w:pStyle w:val="ListParagraph"/>
        <w:numPr>
          <w:ilvl w:val="1"/>
          <w:numId w:val="2"/>
        </w:numPr>
        <w:rPr>
          <w:b/>
          <w:bCs/>
        </w:rPr>
      </w:pPr>
      <w:r w:rsidRPr="00160414">
        <w:rPr>
          <w:b/>
          <w:bCs/>
        </w:rPr>
        <w:t xml:space="preserve">To what do you attribute the growth in CT volume of 15% from 2017-2019? Including, what is the reason for the 10% increase in cardiac patients. </w:t>
      </w:r>
    </w:p>
    <w:p w14:paraId="42725DE1" w14:textId="77777777" w:rsidR="00160414" w:rsidRPr="009A2248" w:rsidRDefault="00160414" w:rsidP="00160414">
      <w:pPr>
        <w:pStyle w:val="CommentText"/>
        <w:rPr>
          <w:rFonts w:cstheme="minorHAnsi"/>
          <w:sz w:val="22"/>
          <w:szCs w:val="22"/>
        </w:rPr>
      </w:pPr>
      <w:r w:rsidRPr="009A2248">
        <w:rPr>
          <w:rFonts w:cstheme="minorHAnsi"/>
          <w:bCs/>
          <w:sz w:val="22"/>
          <w:szCs w:val="22"/>
        </w:rPr>
        <w:t>The growth in CT volume by 15% from 2017-2019 was largely due to a number of factors. Such factors include the increasing complexity of ED patients presenting at BMC</w:t>
      </w:r>
      <w:r w:rsidRPr="009A2248">
        <w:rPr>
          <w:rStyle w:val="CommentReference"/>
          <w:rFonts w:cstheme="minorHAnsi"/>
          <w:sz w:val="22"/>
          <w:szCs w:val="22"/>
        </w:rPr>
        <w:t xml:space="preserve"> when compared</w:t>
      </w:r>
      <w:r w:rsidRPr="009A2248">
        <w:rPr>
          <w:rFonts w:cstheme="minorHAnsi"/>
          <w:bCs/>
          <w:sz w:val="22"/>
          <w:szCs w:val="22"/>
        </w:rPr>
        <w:t xml:space="preserve"> with peer institutions and the increased utilization of the BMC stroke program. In addition, CT angiography (“CTA”) of the head and neck is now being done for most potential stroke patients as a matter of protocol. </w:t>
      </w:r>
      <w:r w:rsidRPr="009A2248">
        <w:rPr>
          <w:rFonts w:cstheme="minorHAnsi"/>
          <w:sz w:val="22"/>
          <w:szCs w:val="22"/>
        </w:rPr>
        <w:t xml:space="preserve">With the advent of effective and more aggressive intra-arterial therapy, more patients are presenting to the ED with acute neurologic conditions, and the threshold for imaging with combined CT and CTA has diminished, dramatically increasing this volume. </w:t>
      </w:r>
      <w:r w:rsidRPr="009A2248">
        <w:rPr>
          <w:rFonts w:cstheme="minorHAnsi"/>
          <w:bCs/>
          <w:sz w:val="22"/>
          <w:szCs w:val="22"/>
        </w:rPr>
        <w:t xml:space="preserve"> </w:t>
      </w:r>
      <w:r w:rsidRPr="009A2248">
        <w:rPr>
          <w:rFonts w:cstheme="minorHAnsi"/>
          <w:sz w:val="22"/>
          <w:szCs w:val="22"/>
        </w:rPr>
        <w:t>Due to the need for rapid diagnosis and therapy of vessel occlusion, these patients are imaged with CT and CTA immediately as both a diagnostic and triage tool. This same protocol is used at most stroke centers.  Finally, s</w:t>
      </w:r>
      <w:r w:rsidRPr="009A2248">
        <w:rPr>
          <w:rFonts w:cstheme="minorHAnsi"/>
          <w:bCs/>
          <w:sz w:val="22"/>
          <w:szCs w:val="22"/>
        </w:rPr>
        <w:t xml:space="preserve">troke patients in the community hospital being considered for clot retrieval may get a CTA in the community hospital but the perfusion CT is performed at BMC. </w:t>
      </w:r>
      <w:r w:rsidRPr="009A2248">
        <w:rPr>
          <w:rFonts w:cstheme="minorHAnsi"/>
          <w:sz w:val="22"/>
          <w:szCs w:val="22"/>
        </w:rPr>
        <w:t>Perfusion CT provides greater detail about stroke size and the probability of improvement after intra-arterial therapy. It is not done in every stroke case but is used when the stoke is felt to be more than a few hours in age, which increases the risk of bleeding with therapy. CT perfusion can indicate the volume of salvageable brain and assists in the risk/benefit analysis of potential treatment.</w:t>
      </w:r>
    </w:p>
    <w:p w14:paraId="388867FE" w14:textId="77777777" w:rsidR="00160414" w:rsidRPr="00160414" w:rsidRDefault="00160414" w:rsidP="00160414">
      <w:pPr>
        <w:rPr>
          <w:bCs/>
        </w:rPr>
      </w:pPr>
      <w:r w:rsidRPr="00160414">
        <w:rPr>
          <w:bCs/>
        </w:rPr>
        <w:t xml:space="preserve">The increase in cardiac CT is due to continued growth of endovascular aortic and mitral valve replacements as well as left atrial appendage clips (less expensive/invasive than surgical alternatives). The introduction of higher sensitivity troponin test for acute myocardial ischemia will increase the number of patients referred for coronary artery CTA in the acute setting. The new CT scanners have significantly improved cardiac CT capabilities and will result in some shift from echocardiography and MRI to CT. Cardiac CT volume has been suppressed to date by limited cardiac CT capabilities. The aging local population will increase disease prevalence and increase demand for cardiac imaging. Additionally, the respected national consulting firm The Advisory Board predicts 46% growth in cardiac CT over next 5 years. This projected growth is consistent with what BMC is experiencing. </w:t>
      </w:r>
    </w:p>
    <w:p w14:paraId="5CD409FB" w14:textId="77777777" w:rsidR="00160414" w:rsidRDefault="005B585C" w:rsidP="001B3A0D">
      <w:pPr>
        <w:pStyle w:val="ListParagraph"/>
        <w:numPr>
          <w:ilvl w:val="1"/>
          <w:numId w:val="2"/>
        </w:numPr>
        <w:rPr>
          <w:b/>
          <w:bCs/>
        </w:rPr>
      </w:pPr>
      <w:r w:rsidRPr="00160414">
        <w:rPr>
          <w:b/>
          <w:bCs/>
        </w:rPr>
        <w:t xml:space="preserve">Provide the number of cases by specialty at the main campus. </w:t>
      </w:r>
    </w:p>
    <w:p w14:paraId="1842C96E" w14:textId="77777777" w:rsidR="00160414" w:rsidRPr="00160414" w:rsidRDefault="00160414" w:rsidP="00160414">
      <w:pPr>
        <w:ind w:left="360"/>
        <w:rPr>
          <w:b/>
        </w:rPr>
      </w:pPr>
      <w:r w:rsidRPr="00160414">
        <w:rPr>
          <w:bCs/>
        </w:rPr>
        <w:t>The number of cases by specialty at the main campus for FY19 is as follows:</w:t>
      </w:r>
      <w:r w:rsidRPr="00160414">
        <w:rPr>
          <w:b/>
        </w:rPr>
        <w:t xml:space="preserve"> </w:t>
      </w:r>
    </w:p>
    <w:p w14:paraId="55364405" w14:textId="77777777" w:rsidR="00160414" w:rsidRPr="00824713" w:rsidRDefault="00160414" w:rsidP="00160414">
      <w:pPr>
        <w:pStyle w:val="NoSpacing"/>
        <w:ind w:left="360"/>
      </w:pPr>
      <w:r w:rsidRPr="00824713">
        <w:t>Neuroradiology</w:t>
      </w:r>
      <w:r w:rsidRPr="00824713">
        <w:tab/>
      </w:r>
      <w:r w:rsidRPr="00824713">
        <w:tab/>
      </w:r>
      <w:r>
        <w:tab/>
      </w:r>
      <w:r w:rsidRPr="00824713">
        <w:t>32,848</w:t>
      </w:r>
      <w:r w:rsidRPr="0013072D">
        <w:rPr>
          <w:bCs/>
        </w:rPr>
        <w:t xml:space="preserve"> </w:t>
      </w:r>
    </w:p>
    <w:p w14:paraId="1DDC6376" w14:textId="418A3BA3" w:rsidR="00160414" w:rsidRPr="00824713" w:rsidRDefault="00160414" w:rsidP="00160414">
      <w:pPr>
        <w:pStyle w:val="NoSpacing"/>
        <w:ind w:left="360"/>
      </w:pPr>
      <w:r w:rsidRPr="00824713">
        <w:t xml:space="preserve">Abdomen </w:t>
      </w:r>
      <w:r w:rsidRPr="00824713">
        <w:tab/>
      </w:r>
      <w:r w:rsidRPr="00824713">
        <w:tab/>
      </w:r>
      <w:r>
        <w:tab/>
      </w:r>
      <w:r>
        <w:tab/>
      </w:r>
      <w:r w:rsidRPr="00824713">
        <w:t>15,201</w:t>
      </w:r>
    </w:p>
    <w:p w14:paraId="2AE07212" w14:textId="77777777" w:rsidR="00160414" w:rsidRPr="00824713" w:rsidRDefault="00160414" w:rsidP="00160414">
      <w:pPr>
        <w:pStyle w:val="NoSpacing"/>
        <w:ind w:left="360"/>
      </w:pPr>
      <w:r w:rsidRPr="00824713">
        <w:t xml:space="preserve">Cardiovascular </w:t>
      </w:r>
      <w:r w:rsidRPr="00824713">
        <w:tab/>
      </w:r>
      <w:r w:rsidRPr="00824713">
        <w:tab/>
      </w:r>
      <w:r>
        <w:tab/>
      </w:r>
      <w:r w:rsidRPr="00824713">
        <w:t>6,397</w:t>
      </w:r>
    </w:p>
    <w:p w14:paraId="7F84EBF6" w14:textId="77777777" w:rsidR="00160414" w:rsidRPr="00824713" w:rsidRDefault="00160414" w:rsidP="00160414">
      <w:pPr>
        <w:pStyle w:val="NoSpacing"/>
        <w:ind w:left="360"/>
      </w:pPr>
      <w:r w:rsidRPr="00824713">
        <w:t xml:space="preserve">Chest </w:t>
      </w:r>
      <w:r w:rsidRPr="00824713">
        <w:tab/>
      </w:r>
      <w:r w:rsidRPr="00824713">
        <w:tab/>
      </w:r>
      <w:r w:rsidRPr="00824713">
        <w:tab/>
      </w:r>
      <w:r>
        <w:tab/>
      </w:r>
      <w:r w:rsidRPr="00824713">
        <w:t>6,594</w:t>
      </w:r>
    </w:p>
    <w:p w14:paraId="295D2AE3" w14:textId="6F1EA5CB" w:rsidR="00160414" w:rsidRDefault="00160414" w:rsidP="00160414">
      <w:pPr>
        <w:pStyle w:val="NoSpacing"/>
        <w:ind w:left="360"/>
      </w:pPr>
      <w:r w:rsidRPr="00824713">
        <w:t>Musculoskeletal</w:t>
      </w:r>
      <w:r w:rsidRPr="00824713">
        <w:tab/>
      </w:r>
      <w:r>
        <w:tab/>
      </w:r>
      <w:r>
        <w:tab/>
      </w:r>
      <w:r w:rsidRPr="00824713">
        <w:t>1,102</w:t>
      </w:r>
    </w:p>
    <w:p w14:paraId="76431D4E" w14:textId="05CB44D3" w:rsidR="00160414" w:rsidRPr="00824713" w:rsidRDefault="00160414" w:rsidP="00160414">
      <w:pPr>
        <w:pStyle w:val="NoSpacing"/>
        <w:ind w:left="360"/>
      </w:pPr>
      <w:r>
        <w:t>CT guidance, unspecified</w:t>
      </w:r>
      <w:r>
        <w:tab/>
      </w:r>
      <w:r>
        <w:tab/>
        <w:t>903</w:t>
      </w:r>
      <w:r w:rsidRPr="00824713">
        <w:tab/>
      </w:r>
    </w:p>
    <w:p w14:paraId="07C8272F" w14:textId="77777777" w:rsidR="00160414" w:rsidRPr="00160414" w:rsidRDefault="00160414" w:rsidP="00160414">
      <w:pPr>
        <w:ind w:left="360"/>
        <w:rPr>
          <w:b/>
        </w:rPr>
      </w:pPr>
      <w:r w:rsidRPr="00160414">
        <w:rPr>
          <w:b/>
        </w:rPr>
        <w:t xml:space="preserve">Total </w:t>
      </w:r>
      <w:r w:rsidRPr="00160414">
        <w:rPr>
          <w:b/>
        </w:rPr>
        <w:tab/>
      </w:r>
      <w:r w:rsidRPr="00160414">
        <w:rPr>
          <w:b/>
        </w:rPr>
        <w:tab/>
      </w:r>
      <w:r w:rsidRPr="00160414">
        <w:rPr>
          <w:b/>
        </w:rPr>
        <w:tab/>
      </w:r>
      <w:r w:rsidRPr="00160414">
        <w:rPr>
          <w:b/>
        </w:rPr>
        <w:tab/>
        <w:t>63,072</w:t>
      </w:r>
    </w:p>
    <w:p w14:paraId="1E6F20E1" w14:textId="621C11AA" w:rsidR="00160414" w:rsidRDefault="00160414" w:rsidP="00160414">
      <w:pPr>
        <w:rPr>
          <w:b/>
          <w:bCs/>
        </w:rPr>
      </w:pPr>
    </w:p>
    <w:p w14:paraId="69DE9DBE" w14:textId="77777777" w:rsidR="00160414" w:rsidRPr="00160414" w:rsidRDefault="00160414" w:rsidP="00160414">
      <w:pPr>
        <w:rPr>
          <w:b/>
          <w:bCs/>
        </w:rPr>
      </w:pPr>
    </w:p>
    <w:p w14:paraId="14290E64" w14:textId="1B825029" w:rsidR="00160414" w:rsidRPr="00160414" w:rsidRDefault="005B585C" w:rsidP="00160414">
      <w:pPr>
        <w:pStyle w:val="ListParagraph"/>
        <w:numPr>
          <w:ilvl w:val="1"/>
          <w:numId w:val="2"/>
        </w:numPr>
        <w:rPr>
          <w:b/>
          <w:bCs/>
        </w:rPr>
      </w:pPr>
      <w:r w:rsidRPr="00160414">
        <w:rPr>
          <w:b/>
          <w:bCs/>
        </w:rPr>
        <w:t>Do you have an estimate of the number and percent of MRI’s for fractures that you describe might be avoided?</w:t>
      </w:r>
    </w:p>
    <w:p w14:paraId="65351060" w14:textId="3D1101F1" w:rsidR="00160414" w:rsidRPr="00160414" w:rsidRDefault="00160414" w:rsidP="00160414">
      <w:pPr>
        <w:rPr>
          <w:b/>
        </w:rPr>
      </w:pPr>
      <w:r>
        <w:rPr>
          <w:bCs/>
        </w:rPr>
        <w:t xml:space="preserve">MRI for fracture is used for injury to the hip. </w:t>
      </w:r>
      <w:r w:rsidRPr="00160414">
        <w:rPr>
          <w:bCs/>
        </w:rPr>
        <w:t>The estimated volume of hip MRI for occult fracture that could be avoided is relatively small, approximately 12 per year.</w:t>
      </w:r>
    </w:p>
    <w:p w14:paraId="67BF4C76" w14:textId="7C9B550B" w:rsidR="005B585C" w:rsidRDefault="005B585C" w:rsidP="005B585C">
      <w:pPr>
        <w:pStyle w:val="ListParagraph"/>
        <w:numPr>
          <w:ilvl w:val="1"/>
          <w:numId w:val="2"/>
        </w:numPr>
        <w:rPr>
          <w:b/>
          <w:bCs/>
        </w:rPr>
      </w:pPr>
      <w:r w:rsidRPr="00160414">
        <w:rPr>
          <w:b/>
          <w:bCs/>
        </w:rPr>
        <w:t>Do you have the number and percent of second kidney scans that you describe might be avoided?</w:t>
      </w:r>
    </w:p>
    <w:p w14:paraId="283DB557" w14:textId="16C2AD57" w:rsidR="00160414" w:rsidRPr="00160414" w:rsidRDefault="00160414" w:rsidP="00160414">
      <w:pPr>
        <w:rPr>
          <w:b/>
        </w:rPr>
      </w:pPr>
      <w:r w:rsidRPr="00160414">
        <w:rPr>
          <w:bCs/>
        </w:rPr>
        <w:t xml:space="preserve">The Applicant is acquiring a CT unit that allows the performance of </w:t>
      </w:r>
      <w:r w:rsidRPr="00160414">
        <w:rPr>
          <w:rFonts w:cstheme="minorHAnsi"/>
          <w:bCs/>
          <w:shd w:val="clear" w:color="auto" w:fill="FFFFFF"/>
        </w:rPr>
        <w:t>dual </w:t>
      </w:r>
      <w:r w:rsidRPr="00160414">
        <w:rPr>
          <w:rStyle w:val="Strong"/>
          <w:rFonts w:cstheme="minorHAnsi"/>
          <w:b w:val="0"/>
          <w:shd w:val="clear" w:color="auto" w:fill="FFFFFF"/>
        </w:rPr>
        <w:t>energy CT</w:t>
      </w:r>
      <w:r w:rsidRPr="00160414">
        <w:rPr>
          <w:rFonts w:cstheme="minorHAnsi"/>
          <w:b/>
          <w:shd w:val="clear" w:color="auto" w:fill="FFFFFF"/>
        </w:rPr>
        <w:t>,</w:t>
      </w:r>
      <w:r w:rsidRPr="00160414">
        <w:rPr>
          <w:rFonts w:cstheme="minorHAnsi"/>
          <w:bCs/>
          <w:shd w:val="clear" w:color="auto" w:fill="FFFFFF"/>
        </w:rPr>
        <w:t xml:space="preserve"> also known as </w:t>
      </w:r>
      <w:r w:rsidRPr="00160414">
        <w:rPr>
          <w:rStyle w:val="Strong"/>
          <w:rFonts w:cstheme="minorHAnsi"/>
          <w:b w:val="0"/>
          <w:shd w:val="clear" w:color="auto" w:fill="FFFFFF"/>
        </w:rPr>
        <w:t>spectral CT</w:t>
      </w:r>
      <w:r w:rsidRPr="00160414">
        <w:rPr>
          <w:rFonts w:cstheme="minorHAnsi"/>
          <w:bCs/>
          <w:shd w:val="clear" w:color="auto" w:fill="FFFFFF"/>
        </w:rPr>
        <w:t>.  A spectral CT is a computed tomography technique that uses two separate x-ray photon energy </w:t>
      </w:r>
      <w:r w:rsidRPr="00160414">
        <w:rPr>
          <w:rStyle w:val="Strong"/>
          <w:rFonts w:cstheme="minorHAnsi"/>
          <w:b w:val="0"/>
          <w:shd w:val="clear" w:color="auto" w:fill="FFFFFF"/>
        </w:rPr>
        <w:t>spectra</w:t>
      </w:r>
      <w:r w:rsidRPr="00160414">
        <w:rPr>
          <w:rFonts w:cstheme="minorHAnsi"/>
          <w:b/>
          <w:shd w:val="clear" w:color="auto" w:fill="FFFFFF"/>
        </w:rPr>
        <w:t>,</w:t>
      </w:r>
      <w:r w:rsidRPr="00160414">
        <w:rPr>
          <w:rFonts w:cstheme="minorHAnsi"/>
          <w:bCs/>
          <w:shd w:val="clear" w:color="auto" w:fill="FFFFFF"/>
        </w:rPr>
        <w:t xml:space="preserve"> allowing the interrogation of materials that have different attenuation properties at different energies.</w:t>
      </w:r>
      <w:r w:rsidRPr="00160414">
        <w:rPr>
          <w:bCs/>
        </w:rPr>
        <w:t xml:space="preserve">  At present, we estimate that 5-10% of all abdominal CT scans with intravenous contrast enhancement have “incidental” findings in the liver, kidney or adrenal glands requiring a second non-enhanced scan for characterization. The use of the new spectral CT could eliminate the need for 500-1000 CT scans/year as the information needed can be acquired during the abdominal CT without the need for a follow-up scan to characterize “incidental” findings.</w:t>
      </w:r>
    </w:p>
    <w:p w14:paraId="541B4847" w14:textId="258FF87D" w:rsidR="00160414" w:rsidRDefault="005B585C" w:rsidP="00160414">
      <w:pPr>
        <w:pStyle w:val="ListParagraph"/>
        <w:numPr>
          <w:ilvl w:val="1"/>
          <w:numId w:val="2"/>
        </w:numPr>
        <w:rPr>
          <w:b/>
          <w:bCs/>
        </w:rPr>
      </w:pPr>
      <w:r w:rsidRPr="00160414">
        <w:rPr>
          <w:b/>
          <w:bCs/>
        </w:rPr>
        <w:t>Will the reimbursement rate for Spect- CT scans increase?</w:t>
      </w:r>
    </w:p>
    <w:p w14:paraId="4556A5BC" w14:textId="77777777" w:rsidR="00160414" w:rsidRPr="00160414" w:rsidRDefault="00160414" w:rsidP="00160414">
      <w:pPr>
        <w:rPr>
          <w:b/>
        </w:rPr>
      </w:pPr>
      <w:r w:rsidRPr="00160414">
        <w:rPr>
          <w:bCs/>
        </w:rPr>
        <w:t xml:space="preserve">Please note that the Applicant is not acquiring a Spet-CT. It is acquiring a Spectral (dual energy) CT, which has no additional charge above standard CT. </w:t>
      </w:r>
    </w:p>
    <w:p w14:paraId="641C8A23" w14:textId="35EE8362" w:rsidR="005B585C" w:rsidRDefault="005B585C" w:rsidP="005B585C">
      <w:pPr>
        <w:pStyle w:val="ListParagraph"/>
        <w:numPr>
          <w:ilvl w:val="1"/>
          <w:numId w:val="2"/>
        </w:numPr>
        <w:rPr>
          <w:b/>
          <w:bCs/>
        </w:rPr>
      </w:pPr>
      <w:r w:rsidRPr="00160414">
        <w:rPr>
          <w:b/>
          <w:bCs/>
        </w:rPr>
        <w:t xml:space="preserve">What, if any, types of population health strategies does Baystate have, or anticipate implementing, to help decrease the incidence of heart disease in the patient population? </w:t>
      </w:r>
    </w:p>
    <w:p w14:paraId="1B5ADC07" w14:textId="77777777" w:rsidR="00160414" w:rsidRPr="00160414" w:rsidRDefault="00160414" w:rsidP="00160414">
      <w:pPr>
        <w:rPr>
          <w:b/>
        </w:rPr>
      </w:pPr>
      <w:r w:rsidRPr="00160414">
        <w:rPr>
          <w:bCs/>
        </w:rPr>
        <w:t>Baystate Health is committed to reducing heart disease through regular screening and risk factor reduction, including appropriate hypertension and lipid control across our populations through primary care.  Enhanced access to high quality coronary CT angiography, will allow us to reduce invasive cardiology procedures in accordance with the recently published ISCHEMIA trial, as well as identify subclinical coronary artery disease in our population.  The latter will allow more aggressive risk factor modification (for instance more aggressive lipid reduction in accordance with current</w:t>
      </w:r>
      <w:r w:rsidRPr="00160414">
        <w:rPr>
          <w:b/>
        </w:rPr>
        <w:t xml:space="preserve"> </w:t>
      </w:r>
      <w:r w:rsidRPr="00160414">
        <w:rPr>
          <w:bCs/>
        </w:rPr>
        <w:t>guidelines, which should reduce acute coronary events (MI’s, strokes)), as well as prevent vascular disease progression.</w:t>
      </w:r>
    </w:p>
    <w:p w14:paraId="35EC46EB" w14:textId="17E05886" w:rsidR="005B585C" w:rsidRDefault="005B585C" w:rsidP="00160414">
      <w:pPr>
        <w:pStyle w:val="ListParagraph"/>
        <w:numPr>
          <w:ilvl w:val="1"/>
          <w:numId w:val="2"/>
        </w:numPr>
      </w:pPr>
      <w:r w:rsidRPr="00160414">
        <w:rPr>
          <w:b/>
          <w:bCs/>
        </w:rPr>
        <w:t>You state that your 9% walkout rate would be diminished if the wait time from CT order to completion is reduced.  How do you determine how much of the walk out time is attributable to the CT wait time, and how will you demonstrate that it is reduced due to increased CT capacity?</w:t>
      </w:r>
      <w:r>
        <w:t xml:space="preserve">  </w:t>
      </w:r>
    </w:p>
    <w:p w14:paraId="2E62F0B1" w14:textId="77777777" w:rsidR="00160414" w:rsidRPr="00160414" w:rsidRDefault="00160414" w:rsidP="00160414">
      <w:pPr>
        <w:rPr>
          <w:bCs/>
        </w:rPr>
      </w:pPr>
      <w:r w:rsidRPr="00160414">
        <w:rPr>
          <w:bCs/>
        </w:rPr>
        <w:t xml:space="preserve">The Hospital currently tracks both CT Turnaround and ED walkout rate.  Our current CT turnaround averages from order to complete for a CT scan in the emergency room is between 90 minutes and 120 minutes.  It is our hope that with three CT scanners we will get this down closer to the industry goal of 60 minutes and this will have a positive effect on total ED turnaround and the walk out rate.  However, we do understand the walk out rate and ED total turnaround is multifactorial and impacted by a number of variables including acuity of the patients, trauma and stroke patients, as well as total volume. </w:t>
      </w:r>
    </w:p>
    <w:p w14:paraId="24B88CC5" w14:textId="77777777" w:rsidR="00160414" w:rsidRPr="00160414" w:rsidRDefault="00160414" w:rsidP="00160414">
      <w:pPr>
        <w:rPr>
          <w:bCs/>
        </w:rPr>
      </w:pPr>
      <w:r w:rsidRPr="00160414">
        <w:rPr>
          <w:bCs/>
        </w:rPr>
        <w:t>It should be noted that the two CT scanners in the ED support some of the inpatient volume as well as the total ED volume.  During peak times or during down time it is increasingly difficult to accommodate all the patients in a timely manner.  We will continue to track various parameters including CT turnaround time, ED wait times and ED walkout rates. Significant changes in the walk out rate temporally related to the introduction of the new scanner, particularly if there are matching decreases in the CT turnaround time and ED wait time, can be inferred to be secondary to the increased CT capacity.</w:t>
      </w:r>
    </w:p>
    <w:p w14:paraId="14B0BA9D" w14:textId="57F6585F" w:rsidR="00160414" w:rsidRDefault="00160414" w:rsidP="00160414"/>
    <w:p w14:paraId="446975EB" w14:textId="77777777" w:rsidR="005B585C" w:rsidRDefault="005B585C" w:rsidP="005B585C"/>
    <w:p w14:paraId="1CDD9C54" w14:textId="3BA63E66" w:rsidR="00160414" w:rsidRDefault="00160414">
      <w:pPr>
        <w:spacing w:after="160" w:line="259" w:lineRule="auto"/>
      </w:pPr>
    </w:p>
    <w:sectPr w:rsidR="00160414">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86EA7A" w14:textId="77777777" w:rsidR="00277240" w:rsidRDefault="00277240" w:rsidP="005B585C">
      <w:pPr>
        <w:spacing w:after="0" w:line="240" w:lineRule="auto"/>
      </w:pPr>
      <w:r>
        <w:separator/>
      </w:r>
    </w:p>
  </w:endnote>
  <w:endnote w:type="continuationSeparator" w:id="0">
    <w:p w14:paraId="34E79889" w14:textId="77777777" w:rsidR="00277240" w:rsidRDefault="00277240" w:rsidP="005B5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5463822"/>
      <w:docPartObj>
        <w:docPartGallery w:val="Page Numbers (Bottom of Page)"/>
        <w:docPartUnique/>
      </w:docPartObj>
    </w:sdtPr>
    <w:sdtEndPr>
      <w:rPr>
        <w:noProof/>
      </w:rPr>
    </w:sdtEndPr>
    <w:sdtContent>
      <w:p w14:paraId="27357E01" w14:textId="238C04D1" w:rsidR="005B585C" w:rsidRDefault="005B585C">
        <w:pPr>
          <w:pStyle w:val="Footer"/>
          <w:jc w:val="center"/>
        </w:pPr>
        <w:r>
          <w:fldChar w:fldCharType="begin"/>
        </w:r>
        <w:r>
          <w:instrText xml:space="preserve"> PAGE   \* MERGEFORMAT </w:instrText>
        </w:r>
        <w:r>
          <w:fldChar w:fldCharType="separate"/>
        </w:r>
        <w:r w:rsidR="0012027D">
          <w:rPr>
            <w:noProof/>
          </w:rPr>
          <w:t>2</w:t>
        </w:r>
        <w:r>
          <w:rPr>
            <w:noProof/>
          </w:rPr>
          <w:fldChar w:fldCharType="end"/>
        </w:r>
      </w:p>
    </w:sdtContent>
  </w:sdt>
  <w:p w14:paraId="703AF7D5" w14:textId="1BABA4BD" w:rsidR="005B585C" w:rsidRPr="00160414" w:rsidRDefault="0012027D" w:rsidP="00160414">
    <w:pPr>
      <w:pStyle w:val="DocID"/>
    </w:pPr>
    <w:r>
      <w:fldChar w:fldCharType="begin"/>
    </w:r>
    <w:r>
      <w:instrText xml:space="preserve"> DOCPROPERTY "DocID" </w:instrText>
    </w:r>
    <w:r>
      <w:fldChar w:fldCharType="separate"/>
    </w:r>
    <w:r w:rsidR="00160414">
      <w:t>750773.1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F5C7CD" w14:textId="77777777" w:rsidR="00277240" w:rsidRDefault="00277240" w:rsidP="005B585C">
      <w:pPr>
        <w:spacing w:after="0" w:line="240" w:lineRule="auto"/>
      </w:pPr>
      <w:r>
        <w:separator/>
      </w:r>
    </w:p>
  </w:footnote>
  <w:footnote w:type="continuationSeparator" w:id="0">
    <w:p w14:paraId="25832E7F" w14:textId="77777777" w:rsidR="00277240" w:rsidRDefault="00277240" w:rsidP="005B58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C6EEA" w14:textId="2729C642" w:rsidR="005B585C" w:rsidRPr="005B585C" w:rsidRDefault="005B585C" w:rsidP="00AE36E2">
    <w:pPr>
      <w:spacing w:after="120" w:line="240" w:lineRule="auto"/>
      <w:jc w:val="center"/>
      <w:rPr>
        <w:b/>
        <w:bCs/>
        <w:sz w:val="24"/>
        <w:szCs w:val="24"/>
      </w:rPr>
    </w:pPr>
    <w:r>
      <w:rPr>
        <w:b/>
        <w:bCs/>
        <w:sz w:val="24"/>
        <w:szCs w:val="24"/>
      </w:rPr>
      <w:t>Baystate Medical Center</w:t>
    </w:r>
    <w:r w:rsidR="00AE36E2">
      <w:rPr>
        <w:b/>
        <w:bCs/>
        <w:sz w:val="24"/>
        <w:szCs w:val="24"/>
      </w:rPr>
      <w:tab/>
    </w:r>
    <w:r w:rsidR="00AE36E2">
      <w:rPr>
        <w:b/>
        <w:bCs/>
        <w:sz w:val="24"/>
        <w:szCs w:val="24"/>
      </w:rPr>
      <w:tab/>
    </w:r>
    <w:r w:rsidR="00AE36E2">
      <w:rPr>
        <w:b/>
        <w:bCs/>
        <w:sz w:val="24"/>
        <w:szCs w:val="24"/>
      </w:rPr>
      <w:tab/>
    </w:r>
    <w:r w:rsidR="00AE36E2">
      <w:rPr>
        <w:b/>
        <w:bCs/>
        <w:sz w:val="24"/>
        <w:szCs w:val="24"/>
      </w:rPr>
      <w:tab/>
      <w:t xml:space="preserve">        </w:t>
    </w:r>
    <w:r w:rsidRPr="005B585C">
      <w:rPr>
        <w:b/>
        <w:bCs/>
        <w:sz w:val="24"/>
        <w:szCs w:val="24"/>
      </w:rPr>
      <w:t>DON APPLICATION # BH-20062607-AM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D77CA"/>
    <w:multiLevelType w:val="hybridMultilevel"/>
    <w:tmpl w:val="4142F0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62558A9"/>
    <w:multiLevelType w:val="hybridMultilevel"/>
    <w:tmpl w:val="54D62E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6E55106F"/>
    <w:multiLevelType w:val="hybridMultilevel"/>
    <w:tmpl w:val="43D6C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Info" w:val="F"/>
  </w:docVars>
  <w:rsids>
    <w:rsidRoot w:val="005B585C"/>
    <w:rsid w:val="0012027D"/>
    <w:rsid w:val="00160414"/>
    <w:rsid w:val="00277240"/>
    <w:rsid w:val="00304FA9"/>
    <w:rsid w:val="00390F93"/>
    <w:rsid w:val="005B585C"/>
    <w:rsid w:val="00966EF2"/>
    <w:rsid w:val="00AE36E2"/>
    <w:rsid w:val="00D54E9D"/>
    <w:rsid w:val="00E90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86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85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B585C"/>
    <w:rPr>
      <w:color w:val="0563C1" w:themeColor="hyperlink"/>
      <w:u w:val="single"/>
    </w:rPr>
  </w:style>
  <w:style w:type="paragraph" w:styleId="ListParagraph">
    <w:name w:val="List Paragraph"/>
    <w:basedOn w:val="Normal"/>
    <w:uiPriority w:val="34"/>
    <w:qFormat/>
    <w:rsid w:val="005B585C"/>
    <w:pPr>
      <w:ind w:left="720"/>
      <w:contextualSpacing/>
    </w:pPr>
  </w:style>
  <w:style w:type="paragraph" w:customStyle="1" w:styleId="TableParagraph">
    <w:name w:val="Table Paragraph"/>
    <w:basedOn w:val="Normal"/>
    <w:uiPriority w:val="1"/>
    <w:qFormat/>
    <w:rsid w:val="005B585C"/>
    <w:pPr>
      <w:widowControl w:val="0"/>
      <w:autoSpaceDE w:val="0"/>
      <w:autoSpaceDN w:val="0"/>
      <w:spacing w:after="0" w:line="240" w:lineRule="auto"/>
    </w:pPr>
    <w:rPr>
      <w:rFonts w:ascii="Arial" w:eastAsia="Arial" w:hAnsi="Arial" w:cs="Arial"/>
      <w:lang w:bidi="en-US"/>
    </w:rPr>
  </w:style>
  <w:style w:type="paragraph" w:customStyle="1" w:styleId="Default">
    <w:name w:val="Default"/>
    <w:uiPriority w:val="99"/>
    <w:rsid w:val="005B585C"/>
    <w:pPr>
      <w:autoSpaceDE w:val="0"/>
      <w:autoSpaceDN w:val="0"/>
      <w:adjustRightInd w:val="0"/>
      <w:spacing w:after="0" w:line="240" w:lineRule="auto"/>
    </w:pPr>
    <w:rPr>
      <w:rFonts w:ascii="Garamond" w:hAnsi="Garamond" w:cs="Garamond"/>
      <w:color w:val="000000"/>
      <w:sz w:val="24"/>
      <w:szCs w:val="24"/>
    </w:rPr>
  </w:style>
  <w:style w:type="table" w:styleId="TableGrid">
    <w:name w:val="Table Grid"/>
    <w:basedOn w:val="TableNormal"/>
    <w:uiPriority w:val="59"/>
    <w:rsid w:val="005B5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B5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85C"/>
  </w:style>
  <w:style w:type="paragraph" w:styleId="Footer">
    <w:name w:val="footer"/>
    <w:basedOn w:val="Normal"/>
    <w:link w:val="FooterChar"/>
    <w:uiPriority w:val="99"/>
    <w:unhideWhenUsed/>
    <w:rsid w:val="005B5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85C"/>
  </w:style>
  <w:style w:type="paragraph" w:customStyle="1" w:styleId="DocID">
    <w:name w:val="DocID"/>
    <w:basedOn w:val="Normal"/>
    <w:next w:val="Footer"/>
    <w:link w:val="DocIDChar"/>
    <w:rsid w:val="00160414"/>
    <w:pPr>
      <w:spacing w:after="0" w:line="240" w:lineRule="auto"/>
    </w:pPr>
    <w:rPr>
      <w:rFonts w:ascii="Arial" w:hAnsi="Arial" w:cs="Arial"/>
      <w:bCs/>
      <w:color w:val="000000"/>
      <w:sz w:val="16"/>
      <w:szCs w:val="24"/>
    </w:rPr>
  </w:style>
  <w:style w:type="character" w:customStyle="1" w:styleId="DocIDChar">
    <w:name w:val="DocID Char"/>
    <w:basedOn w:val="DefaultParagraphFont"/>
    <w:link w:val="DocID"/>
    <w:rsid w:val="00160414"/>
    <w:rPr>
      <w:rFonts w:ascii="Arial" w:hAnsi="Arial" w:cs="Arial"/>
      <w:bCs/>
      <w:color w:val="000000"/>
      <w:sz w:val="16"/>
      <w:szCs w:val="24"/>
    </w:rPr>
  </w:style>
  <w:style w:type="paragraph" w:styleId="PlainText">
    <w:name w:val="Plain Text"/>
    <w:basedOn w:val="Normal"/>
    <w:link w:val="PlainTextChar"/>
    <w:uiPriority w:val="99"/>
    <w:semiHidden/>
    <w:unhideWhenUsed/>
    <w:rsid w:val="00AE36E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AE36E2"/>
    <w:rPr>
      <w:rFonts w:ascii="Calibri" w:hAnsi="Calibri"/>
      <w:szCs w:val="21"/>
    </w:rPr>
  </w:style>
  <w:style w:type="paragraph" w:styleId="BalloonText">
    <w:name w:val="Balloon Text"/>
    <w:basedOn w:val="Normal"/>
    <w:link w:val="BalloonTextChar"/>
    <w:uiPriority w:val="99"/>
    <w:semiHidden/>
    <w:unhideWhenUsed/>
    <w:rsid w:val="001604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414"/>
    <w:rPr>
      <w:rFonts w:ascii="Segoe UI" w:hAnsi="Segoe UI" w:cs="Segoe UI"/>
      <w:sz w:val="18"/>
      <w:szCs w:val="18"/>
    </w:rPr>
  </w:style>
  <w:style w:type="character" w:styleId="CommentReference">
    <w:name w:val="annotation reference"/>
    <w:basedOn w:val="DefaultParagraphFont"/>
    <w:uiPriority w:val="99"/>
    <w:semiHidden/>
    <w:unhideWhenUsed/>
    <w:rsid w:val="00160414"/>
    <w:rPr>
      <w:sz w:val="16"/>
      <w:szCs w:val="16"/>
    </w:rPr>
  </w:style>
  <w:style w:type="paragraph" w:styleId="CommentText">
    <w:name w:val="annotation text"/>
    <w:basedOn w:val="Normal"/>
    <w:link w:val="CommentTextChar"/>
    <w:uiPriority w:val="99"/>
    <w:unhideWhenUsed/>
    <w:rsid w:val="00160414"/>
    <w:pPr>
      <w:spacing w:line="240" w:lineRule="auto"/>
    </w:pPr>
    <w:rPr>
      <w:sz w:val="20"/>
      <w:szCs w:val="20"/>
    </w:rPr>
  </w:style>
  <w:style w:type="character" w:customStyle="1" w:styleId="CommentTextChar">
    <w:name w:val="Comment Text Char"/>
    <w:basedOn w:val="DefaultParagraphFont"/>
    <w:link w:val="CommentText"/>
    <w:uiPriority w:val="99"/>
    <w:rsid w:val="00160414"/>
    <w:rPr>
      <w:sz w:val="20"/>
      <w:szCs w:val="20"/>
    </w:rPr>
  </w:style>
  <w:style w:type="paragraph" w:styleId="NoSpacing">
    <w:name w:val="No Spacing"/>
    <w:uiPriority w:val="1"/>
    <w:qFormat/>
    <w:rsid w:val="00160414"/>
    <w:pPr>
      <w:spacing w:after="0" w:line="240" w:lineRule="auto"/>
    </w:pPr>
  </w:style>
  <w:style w:type="character" w:styleId="Strong">
    <w:name w:val="Strong"/>
    <w:basedOn w:val="DefaultParagraphFont"/>
    <w:uiPriority w:val="22"/>
    <w:qFormat/>
    <w:rsid w:val="0016041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85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B585C"/>
    <w:rPr>
      <w:color w:val="0563C1" w:themeColor="hyperlink"/>
      <w:u w:val="single"/>
    </w:rPr>
  </w:style>
  <w:style w:type="paragraph" w:styleId="ListParagraph">
    <w:name w:val="List Paragraph"/>
    <w:basedOn w:val="Normal"/>
    <w:uiPriority w:val="34"/>
    <w:qFormat/>
    <w:rsid w:val="005B585C"/>
    <w:pPr>
      <w:ind w:left="720"/>
      <w:contextualSpacing/>
    </w:pPr>
  </w:style>
  <w:style w:type="paragraph" w:customStyle="1" w:styleId="TableParagraph">
    <w:name w:val="Table Paragraph"/>
    <w:basedOn w:val="Normal"/>
    <w:uiPriority w:val="1"/>
    <w:qFormat/>
    <w:rsid w:val="005B585C"/>
    <w:pPr>
      <w:widowControl w:val="0"/>
      <w:autoSpaceDE w:val="0"/>
      <w:autoSpaceDN w:val="0"/>
      <w:spacing w:after="0" w:line="240" w:lineRule="auto"/>
    </w:pPr>
    <w:rPr>
      <w:rFonts w:ascii="Arial" w:eastAsia="Arial" w:hAnsi="Arial" w:cs="Arial"/>
      <w:lang w:bidi="en-US"/>
    </w:rPr>
  </w:style>
  <w:style w:type="paragraph" w:customStyle="1" w:styleId="Default">
    <w:name w:val="Default"/>
    <w:uiPriority w:val="99"/>
    <w:rsid w:val="005B585C"/>
    <w:pPr>
      <w:autoSpaceDE w:val="0"/>
      <w:autoSpaceDN w:val="0"/>
      <w:adjustRightInd w:val="0"/>
      <w:spacing w:after="0" w:line="240" w:lineRule="auto"/>
    </w:pPr>
    <w:rPr>
      <w:rFonts w:ascii="Garamond" w:hAnsi="Garamond" w:cs="Garamond"/>
      <w:color w:val="000000"/>
      <w:sz w:val="24"/>
      <w:szCs w:val="24"/>
    </w:rPr>
  </w:style>
  <w:style w:type="table" w:styleId="TableGrid">
    <w:name w:val="Table Grid"/>
    <w:basedOn w:val="TableNormal"/>
    <w:uiPriority w:val="59"/>
    <w:rsid w:val="005B5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B5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85C"/>
  </w:style>
  <w:style w:type="paragraph" w:styleId="Footer">
    <w:name w:val="footer"/>
    <w:basedOn w:val="Normal"/>
    <w:link w:val="FooterChar"/>
    <w:uiPriority w:val="99"/>
    <w:unhideWhenUsed/>
    <w:rsid w:val="005B5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85C"/>
  </w:style>
  <w:style w:type="paragraph" w:customStyle="1" w:styleId="DocID">
    <w:name w:val="DocID"/>
    <w:basedOn w:val="Normal"/>
    <w:next w:val="Footer"/>
    <w:link w:val="DocIDChar"/>
    <w:rsid w:val="00160414"/>
    <w:pPr>
      <w:spacing w:after="0" w:line="240" w:lineRule="auto"/>
    </w:pPr>
    <w:rPr>
      <w:rFonts w:ascii="Arial" w:hAnsi="Arial" w:cs="Arial"/>
      <w:bCs/>
      <w:color w:val="000000"/>
      <w:sz w:val="16"/>
      <w:szCs w:val="24"/>
    </w:rPr>
  </w:style>
  <w:style w:type="character" w:customStyle="1" w:styleId="DocIDChar">
    <w:name w:val="DocID Char"/>
    <w:basedOn w:val="DefaultParagraphFont"/>
    <w:link w:val="DocID"/>
    <w:rsid w:val="00160414"/>
    <w:rPr>
      <w:rFonts w:ascii="Arial" w:hAnsi="Arial" w:cs="Arial"/>
      <w:bCs/>
      <w:color w:val="000000"/>
      <w:sz w:val="16"/>
      <w:szCs w:val="24"/>
    </w:rPr>
  </w:style>
  <w:style w:type="paragraph" w:styleId="PlainText">
    <w:name w:val="Plain Text"/>
    <w:basedOn w:val="Normal"/>
    <w:link w:val="PlainTextChar"/>
    <w:uiPriority w:val="99"/>
    <w:semiHidden/>
    <w:unhideWhenUsed/>
    <w:rsid w:val="00AE36E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AE36E2"/>
    <w:rPr>
      <w:rFonts w:ascii="Calibri" w:hAnsi="Calibri"/>
      <w:szCs w:val="21"/>
    </w:rPr>
  </w:style>
  <w:style w:type="paragraph" w:styleId="BalloonText">
    <w:name w:val="Balloon Text"/>
    <w:basedOn w:val="Normal"/>
    <w:link w:val="BalloonTextChar"/>
    <w:uiPriority w:val="99"/>
    <w:semiHidden/>
    <w:unhideWhenUsed/>
    <w:rsid w:val="001604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414"/>
    <w:rPr>
      <w:rFonts w:ascii="Segoe UI" w:hAnsi="Segoe UI" w:cs="Segoe UI"/>
      <w:sz w:val="18"/>
      <w:szCs w:val="18"/>
    </w:rPr>
  </w:style>
  <w:style w:type="character" w:styleId="CommentReference">
    <w:name w:val="annotation reference"/>
    <w:basedOn w:val="DefaultParagraphFont"/>
    <w:uiPriority w:val="99"/>
    <w:semiHidden/>
    <w:unhideWhenUsed/>
    <w:rsid w:val="00160414"/>
    <w:rPr>
      <w:sz w:val="16"/>
      <w:szCs w:val="16"/>
    </w:rPr>
  </w:style>
  <w:style w:type="paragraph" w:styleId="CommentText">
    <w:name w:val="annotation text"/>
    <w:basedOn w:val="Normal"/>
    <w:link w:val="CommentTextChar"/>
    <w:uiPriority w:val="99"/>
    <w:unhideWhenUsed/>
    <w:rsid w:val="00160414"/>
    <w:pPr>
      <w:spacing w:line="240" w:lineRule="auto"/>
    </w:pPr>
    <w:rPr>
      <w:sz w:val="20"/>
      <w:szCs w:val="20"/>
    </w:rPr>
  </w:style>
  <w:style w:type="character" w:customStyle="1" w:styleId="CommentTextChar">
    <w:name w:val="Comment Text Char"/>
    <w:basedOn w:val="DefaultParagraphFont"/>
    <w:link w:val="CommentText"/>
    <w:uiPriority w:val="99"/>
    <w:rsid w:val="00160414"/>
    <w:rPr>
      <w:sz w:val="20"/>
      <w:szCs w:val="20"/>
    </w:rPr>
  </w:style>
  <w:style w:type="paragraph" w:styleId="NoSpacing">
    <w:name w:val="No Spacing"/>
    <w:uiPriority w:val="1"/>
    <w:qFormat/>
    <w:rsid w:val="00160414"/>
    <w:pPr>
      <w:spacing w:after="0" w:line="240" w:lineRule="auto"/>
    </w:pPr>
  </w:style>
  <w:style w:type="character" w:styleId="Strong">
    <w:name w:val="Strong"/>
    <w:basedOn w:val="DefaultParagraphFont"/>
    <w:uiPriority w:val="22"/>
    <w:qFormat/>
    <w:rsid w:val="00160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342760">
      <w:bodyDiv w:val="1"/>
      <w:marLeft w:val="0"/>
      <w:marRight w:val="0"/>
      <w:marTop w:val="0"/>
      <w:marBottom w:val="0"/>
      <w:divBdr>
        <w:top w:val="none" w:sz="0" w:space="0" w:color="auto"/>
        <w:left w:val="none" w:sz="0" w:space="0" w:color="auto"/>
        <w:bottom w:val="none" w:sz="0" w:space="0" w:color="auto"/>
        <w:right w:val="none" w:sz="0" w:space="0" w:color="auto"/>
      </w:divBdr>
    </w:div>
    <w:div w:id="1222328289">
      <w:bodyDiv w:val="1"/>
      <w:marLeft w:val="0"/>
      <w:marRight w:val="0"/>
      <w:marTop w:val="0"/>
      <w:marBottom w:val="0"/>
      <w:divBdr>
        <w:top w:val="none" w:sz="0" w:space="0" w:color="auto"/>
        <w:left w:val="none" w:sz="0" w:space="0" w:color="auto"/>
        <w:bottom w:val="none" w:sz="0" w:space="0" w:color="auto"/>
        <w:right w:val="none" w:sz="0" w:space="0" w:color="auto"/>
      </w:divBdr>
    </w:div>
    <w:div w:id="130948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H.DON@State.MA.U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2108</Words>
  <Characters>12018</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Kasey Ciolfi</dc:creator>
  <cp:lastModifiedBy> Lynn</cp:lastModifiedBy>
  <cp:revision>2</cp:revision>
  <dcterms:created xsi:type="dcterms:W3CDTF">2020-10-14T20:15:00Z</dcterms:created>
  <dcterms:modified xsi:type="dcterms:W3CDTF">2020-10-14T20:15:00Z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Content">
    <vt:lpwstr>1|.|2|</vt:lpwstr>
  </property>
  <property fmtid="{D5CDD505-2E9C-101B-9397-08002B2CF9AE}" pid="3" name="DocID">
    <vt:lpwstr>750773.1</vt:lpwstr>
  </property>
</Properties>
</file>