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5E788" w14:textId="77777777" w:rsidR="00805000" w:rsidRDefault="00805000" w:rsidP="00D45CF3">
      <w:pPr>
        <w:jc w:val="center"/>
        <w:rPr>
          <w:rFonts w:cstheme="minorHAnsi"/>
          <w:b/>
          <w:bCs/>
        </w:rPr>
      </w:pPr>
    </w:p>
    <w:p w14:paraId="26D9C4F2" w14:textId="011352AA" w:rsidR="00D45CF3" w:rsidRDefault="00D45CF3" w:rsidP="00D45CF3">
      <w:pPr>
        <w:jc w:val="center"/>
        <w:rPr>
          <w:rFonts w:cstheme="minorHAnsi"/>
          <w:b/>
          <w:bCs/>
        </w:rPr>
      </w:pPr>
      <w:r w:rsidRPr="00054FF4">
        <w:rPr>
          <w:rFonts w:cstheme="minorHAnsi"/>
          <w:b/>
          <w:bCs/>
        </w:rPr>
        <w:t>APPLICANT QUESTIONS</w:t>
      </w:r>
      <w:r w:rsidR="00006750">
        <w:rPr>
          <w:rFonts w:cstheme="minorHAnsi"/>
          <w:b/>
          <w:bCs/>
        </w:rPr>
        <w:t xml:space="preserve"> #</w:t>
      </w:r>
      <w:r w:rsidR="00747A48">
        <w:rPr>
          <w:rFonts w:cstheme="minorHAnsi"/>
          <w:b/>
          <w:bCs/>
        </w:rPr>
        <w:t>5</w:t>
      </w:r>
      <w:r w:rsidR="00CF4068">
        <w:rPr>
          <w:rFonts w:cstheme="minorHAnsi"/>
          <w:b/>
          <w:bCs/>
        </w:rPr>
        <w:t xml:space="preserve"> – UPDATED </w:t>
      </w:r>
    </w:p>
    <w:p w14:paraId="09A273A1" w14:textId="19D8AA3C" w:rsidR="00671463" w:rsidRPr="00054FF4" w:rsidRDefault="00671463" w:rsidP="00D45CF3">
      <w:pPr>
        <w:jc w:val="center"/>
        <w:rPr>
          <w:rFonts w:cstheme="minorHAnsi"/>
          <w:b/>
          <w:bCs/>
        </w:rPr>
      </w:pPr>
      <w:r>
        <w:rPr>
          <w:rFonts w:cstheme="minorHAnsi"/>
          <w:b/>
          <w:bCs/>
        </w:rPr>
        <w:t>November 13, 2024</w:t>
      </w:r>
    </w:p>
    <w:p w14:paraId="0B653DC0" w14:textId="77777777" w:rsidR="00D45CF3" w:rsidRPr="00054FF4" w:rsidRDefault="00D45CF3" w:rsidP="00D45CF3">
      <w:pPr>
        <w:jc w:val="center"/>
        <w:rPr>
          <w:rFonts w:cstheme="minorHAnsi"/>
        </w:rPr>
      </w:pPr>
      <w:r w:rsidRPr="00054FF4">
        <w:rPr>
          <w:rFonts w:cstheme="minorHAnsi"/>
          <w:i/>
          <w:iCs/>
        </w:rPr>
        <w:t xml:space="preserve">Responses should be sent to </w:t>
      </w:r>
      <w:proofErr w:type="spellStart"/>
      <w:r w:rsidRPr="00054FF4">
        <w:rPr>
          <w:rFonts w:cstheme="minorHAnsi"/>
          <w:i/>
          <w:iCs/>
        </w:rPr>
        <w:t>DoN</w:t>
      </w:r>
      <w:proofErr w:type="spellEnd"/>
      <w:r w:rsidRPr="00054FF4">
        <w:rPr>
          <w:rFonts w:cstheme="minorHAnsi"/>
          <w:i/>
          <w:iCs/>
        </w:rPr>
        <w:t xml:space="preserve"> staff at </w:t>
      </w:r>
      <w:hyperlink r:id="rId7"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45CF3" w:rsidRPr="00054FF4" w14:paraId="0DA3F6A5" w14:textId="77777777" w:rsidTr="001D26CD">
        <w:trPr>
          <w:jc w:val="center"/>
        </w:trPr>
        <w:tc>
          <w:tcPr>
            <w:tcW w:w="9350" w:type="dxa"/>
          </w:tcPr>
          <w:p w14:paraId="45FEAD51" w14:textId="77777777" w:rsidR="00D45CF3" w:rsidRPr="00054FF4" w:rsidRDefault="00D45CF3" w:rsidP="001D26CD">
            <w:pPr>
              <w:rPr>
                <w:rFonts w:cstheme="minorHAnsi"/>
                <w:bCs/>
              </w:rPr>
            </w:pPr>
            <w:proofErr w:type="gramStart"/>
            <w:r w:rsidRPr="00054FF4">
              <w:rPr>
                <w:rFonts w:cstheme="minorHAnsi"/>
                <w:bCs/>
              </w:rPr>
              <w:t>While</w:t>
            </w:r>
            <w:proofErr w:type="gramEnd"/>
            <w:r w:rsidRPr="00054FF4">
              <w:rPr>
                <w:rFonts w:cstheme="minorHAnsi"/>
                <w:bCs/>
              </w:rPr>
              <w:t xml:space="preserve"> you may submit each answer as available, please </w:t>
            </w:r>
          </w:p>
          <w:p w14:paraId="564BC99A"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List question number and question for each answer you provide </w:t>
            </w:r>
          </w:p>
          <w:p w14:paraId="3481F63B"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Submit responses as a separate word document, using the above application title and number as a running header and page numbers in the footer </w:t>
            </w:r>
          </w:p>
          <w:p w14:paraId="78D014BD" w14:textId="58F13AFC" w:rsidR="00D45CF3" w:rsidRPr="00054FF4" w:rsidRDefault="00D45CF3" w:rsidP="00D45CF3">
            <w:pPr>
              <w:pStyle w:val="ListParagraph"/>
              <w:numPr>
                <w:ilvl w:val="0"/>
                <w:numId w:val="2"/>
              </w:numPr>
              <w:rPr>
                <w:rFonts w:cstheme="minorHAnsi"/>
                <w:bCs/>
              </w:rPr>
            </w:pPr>
            <w:r w:rsidRPr="00054FF4">
              <w:rPr>
                <w:rFonts w:cstheme="minorHAnsi"/>
                <w:bCs/>
              </w:rPr>
              <w:t xml:space="preserve">When providing the answer to the final question, submit all questions and answers in one final document </w:t>
            </w:r>
          </w:p>
          <w:p w14:paraId="61B898A9" w14:textId="77777777" w:rsidR="00D45CF3" w:rsidRPr="00054FF4" w:rsidRDefault="00D45CF3" w:rsidP="00D45CF3">
            <w:pPr>
              <w:pStyle w:val="ListParagraph"/>
              <w:numPr>
                <w:ilvl w:val="0"/>
                <w:numId w:val="2"/>
              </w:numPr>
              <w:rPr>
                <w:rFonts w:cstheme="minorHAnsi"/>
                <w:b/>
              </w:rPr>
            </w:pPr>
            <w:r w:rsidRPr="00054FF4">
              <w:rPr>
                <w:rFonts w:cstheme="minorHAnsi"/>
                <w:bCs/>
              </w:rPr>
              <w:t xml:space="preserve">Submit responses in WORD or EXCEL; only use PDF’s if </w:t>
            </w:r>
            <w:proofErr w:type="gramStart"/>
            <w:r w:rsidRPr="00054FF4">
              <w:rPr>
                <w:rFonts w:cstheme="minorHAnsi"/>
                <w:bCs/>
              </w:rPr>
              <w:t>absolutely necessary</w:t>
            </w:r>
            <w:proofErr w:type="gramEnd"/>
            <w:r w:rsidRPr="00054FF4">
              <w:rPr>
                <w:rFonts w:cstheme="minorHAnsi"/>
                <w:bCs/>
              </w:rPr>
              <w:t>. If “cutting and pasting” charts, provide them in a PDF so they can be clearly seen</w:t>
            </w:r>
          </w:p>
          <w:p w14:paraId="25F51456" w14:textId="77777777" w:rsidR="00D45CF3" w:rsidRDefault="00D45CF3" w:rsidP="00D45CF3">
            <w:pPr>
              <w:pStyle w:val="ListParagraph"/>
              <w:numPr>
                <w:ilvl w:val="0"/>
                <w:numId w:val="2"/>
              </w:numPr>
              <w:rPr>
                <w:rFonts w:cstheme="minorHAnsi"/>
                <w:b/>
              </w:rPr>
            </w:pPr>
            <w:r w:rsidRPr="00054FF4">
              <w:rPr>
                <w:rFonts w:cstheme="minorHAnsi"/>
                <w:b/>
              </w:rPr>
              <w:t>Whenever possible, include a table with the response</w:t>
            </w:r>
          </w:p>
          <w:p w14:paraId="0DB45C5E" w14:textId="77777777" w:rsidR="00B602AB" w:rsidRDefault="00EC1A36" w:rsidP="00B602AB">
            <w:pPr>
              <w:pStyle w:val="ListParagraph"/>
              <w:numPr>
                <w:ilvl w:val="0"/>
                <w:numId w:val="2"/>
              </w:numPr>
              <w:rPr>
                <w:rFonts w:cstheme="minorHAnsi"/>
                <w:b/>
              </w:rPr>
            </w:pPr>
            <w:r w:rsidRPr="00EC1A36">
              <w:rPr>
                <w:rFonts w:cstheme="minorHAnsi"/>
                <w:b/>
              </w:rPr>
              <w:t>For HIPAA compliance Do not include numbers &lt;11.</w:t>
            </w:r>
          </w:p>
          <w:p w14:paraId="01C56AEF" w14:textId="392172FD" w:rsidR="00ED387A" w:rsidRPr="005D61ED" w:rsidRDefault="00ED387A" w:rsidP="00B602AB">
            <w:pPr>
              <w:pStyle w:val="ListParagraph"/>
              <w:numPr>
                <w:ilvl w:val="0"/>
                <w:numId w:val="2"/>
              </w:numPr>
              <w:rPr>
                <w:rFonts w:cstheme="minorHAnsi"/>
                <w:b/>
              </w:rPr>
            </w:pPr>
            <w:r>
              <w:rPr>
                <w:rFonts w:cstheme="minorHAnsi"/>
                <w:b/>
              </w:rPr>
              <w:t xml:space="preserve">When providing data, includes dates, </w:t>
            </w:r>
            <w:r w:rsidR="002F7A2E">
              <w:rPr>
                <w:rFonts w:cstheme="minorHAnsi"/>
                <w:b/>
              </w:rPr>
              <w:t xml:space="preserve">and </w:t>
            </w:r>
            <w:r w:rsidR="00AE46B8">
              <w:rPr>
                <w:rFonts w:cstheme="minorHAnsi"/>
                <w:b/>
              </w:rPr>
              <w:t>indicate</w:t>
            </w:r>
            <w:r w:rsidR="002F7A2E">
              <w:rPr>
                <w:rFonts w:cstheme="minorHAnsi"/>
                <w:b/>
              </w:rPr>
              <w:t xml:space="preserve"> whether it is</w:t>
            </w:r>
            <w:r>
              <w:rPr>
                <w:rFonts w:cstheme="minorHAnsi"/>
                <w:b/>
              </w:rPr>
              <w:t xml:space="preserve"> </w:t>
            </w:r>
            <w:r w:rsidR="002F7A2E">
              <w:rPr>
                <w:rFonts w:cstheme="minorHAnsi"/>
                <w:b/>
              </w:rPr>
              <w:t>Calendar (</w:t>
            </w:r>
            <w:r>
              <w:rPr>
                <w:rFonts w:cstheme="minorHAnsi"/>
                <w:b/>
              </w:rPr>
              <w:t>CY</w:t>
            </w:r>
            <w:r w:rsidR="002F7A2E">
              <w:rPr>
                <w:rFonts w:cstheme="minorHAnsi"/>
                <w:b/>
              </w:rPr>
              <w:t>)</w:t>
            </w:r>
            <w:r>
              <w:rPr>
                <w:rFonts w:cstheme="minorHAnsi"/>
                <w:b/>
              </w:rPr>
              <w:t xml:space="preserve"> or </w:t>
            </w:r>
            <w:r w:rsidR="002F7A2E">
              <w:rPr>
                <w:rFonts w:cstheme="minorHAnsi"/>
                <w:b/>
              </w:rPr>
              <w:t>Fiscal Year (</w:t>
            </w:r>
            <w:r>
              <w:rPr>
                <w:rFonts w:cstheme="minorHAnsi"/>
                <w:b/>
              </w:rPr>
              <w:t>FY</w:t>
            </w:r>
            <w:r w:rsidR="002F7A2E">
              <w:rPr>
                <w:rFonts w:cstheme="minorHAnsi"/>
                <w:b/>
              </w:rPr>
              <w:t>)</w:t>
            </w:r>
            <w:r>
              <w:rPr>
                <w:rFonts w:cstheme="minorHAnsi"/>
                <w:b/>
              </w:rPr>
              <w:t>.</w:t>
            </w:r>
          </w:p>
        </w:tc>
      </w:tr>
    </w:tbl>
    <w:p w14:paraId="0A81B0B9" w14:textId="2966E733" w:rsidR="0066604A" w:rsidRDefault="0066604A"/>
    <w:p w14:paraId="6BC060AC" w14:textId="5853C18F" w:rsidR="00ED1D5D" w:rsidRPr="006F769C" w:rsidRDefault="001D7789">
      <w:pPr>
        <w:rPr>
          <w:rFonts w:cstheme="minorHAnsi"/>
          <w:b/>
          <w:bCs/>
        </w:rPr>
      </w:pPr>
      <w:r w:rsidRPr="006F769C">
        <w:rPr>
          <w:rFonts w:cstheme="minorHAnsi"/>
          <w:b/>
          <w:bCs/>
        </w:rPr>
        <w:t>Factor 1a: Patient Panel Need</w:t>
      </w:r>
    </w:p>
    <w:p w14:paraId="59BA33D6" w14:textId="3DA50A7A" w:rsidR="00566189" w:rsidRPr="006F769C" w:rsidRDefault="00566189" w:rsidP="0097597A">
      <w:pPr>
        <w:pStyle w:val="ListParagraph"/>
        <w:numPr>
          <w:ilvl w:val="0"/>
          <w:numId w:val="26"/>
        </w:numPr>
        <w:rPr>
          <w:rFonts w:cstheme="minorHAnsi"/>
        </w:rPr>
      </w:pPr>
      <w:r w:rsidRPr="006F769C">
        <w:rPr>
          <w:rFonts w:cstheme="minorHAnsi"/>
        </w:rPr>
        <w:t xml:space="preserve">The application states that the Applicant projects that by 2032, there will be a need by its </w:t>
      </w:r>
      <w:r w:rsidR="00A20808" w:rsidRPr="006F769C">
        <w:rPr>
          <w:rFonts w:cstheme="minorHAnsi"/>
        </w:rPr>
        <w:t>P</w:t>
      </w:r>
      <w:r w:rsidRPr="006F769C">
        <w:rPr>
          <w:rFonts w:cstheme="minorHAnsi"/>
        </w:rPr>
        <w:t xml:space="preserve">atient </w:t>
      </w:r>
      <w:r w:rsidR="00A20808" w:rsidRPr="006F769C">
        <w:rPr>
          <w:rFonts w:cstheme="minorHAnsi"/>
        </w:rPr>
        <w:t>P</w:t>
      </w:r>
      <w:r w:rsidRPr="006F769C">
        <w:rPr>
          <w:rFonts w:cstheme="minorHAnsi"/>
        </w:rPr>
        <w:t xml:space="preserve">anel for approximately 384 inpatient beds dedicated to the advanced cancer care provided by the Applicant (pg. 18). Responses to </w:t>
      </w:r>
      <w:proofErr w:type="spellStart"/>
      <w:r w:rsidRPr="006F769C">
        <w:rPr>
          <w:rFonts w:cstheme="minorHAnsi"/>
        </w:rPr>
        <w:t>DoN</w:t>
      </w:r>
      <w:proofErr w:type="spellEnd"/>
      <w:r w:rsidRPr="006F769C">
        <w:rPr>
          <w:rFonts w:cstheme="minorHAnsi"/>
        </w:rPr>
        <w:t xml:space="preserve"> Questions #2 state that a 300-bed inpatient hospital is all that can be accommodated on the land available, given applicable budgeting, design, and permitting constraints (pg.2).</w:t>
      </w:r>
      <w:r w:rsidR="0097597A" w:rsidRPr="006F769C">
        <w:rPr>
          <w:rFonts w:cstheme="minorHAnsi"/>
        </w:rPr>
        <w:t xml:space="preserve">  </w:t>
      </w:r>
      <w:r w:rsidR="004E163C" w:rsidRPr="006F769C">
        <w:rPr>
          <w:rFonts w:cstheme="minorHAnsi"/>
        </w:rPr>
        <w:t>I</w:t>
      </w:r>
      <w:r w:rsidR="0097597A" w:rsidRPr="006F769C">
        <w:rPr>
          <w:rFonts w:cstheme="minorHAnsi"/>
        </w:rPr>
        <w:t>n written comments provided to the Department, Dr. Bunnell states, “In addition, this number [300 beds] does not reflect any future growth, although we know the cancer census is growing as both cancer incidence and cancer prevalence are increasing at accelerating rates</w:t>
      </w:r>
      <w:r w:rsidR="00F362EC" w:rsidRPr="006F769C">
        <w:rPr>
          <w:rFonts w:cstheme="minorHAnsi"/>
        </w:rPr>
        <w:t>.</w:t>
      </w:r>
      <w:r w:rsidR="001F550E" w:rsidRPr="006F769C">
        <w:rPr>
          <w:rFonts w:cstheme="minorHAnsi"/>
        </w:rPr>
        <w:t>”</w:t>
      </w:r>
    </w:p>
    <w:p w14:paraId="311AAC3C" w14:textId="77777777" w:rsidR="006B4DF7" w:rsidRDefault="00566189" w:rsidP="004E4379">
      <w:pPr>
        <w:pStyle w:val="ListParagraph"/>
        <w:numPr>
          <w:ilvl w:val="1"/>
          <w:numId w:val="26"/>
        </w:numPr>
      </w:pPr>
      <w:r w:rsidRPr="1B91EE8E">
        <w:t xml:space="preserve">How does the Applicant plan to address the </w:t>
      </w:r>
      <w:r w:rsidR="00F33820" w:rsidRPr="1B91EE8E">
        <w:t xml:space="preserve">increasing </w:t>
      </w:r>
      <w:r w:rsidRPr="1B91EE8E">
        <w:t>need for inpatient beds</w:t>
      </w:r>
      <w:r w:rsidR="00F33820" w:rsidRPr="1B91EE8E">
        <w:t xml:space="preserve"> when the Proposed Project only has the capacity to address Dana-Farber’s and BIDMC’s current need for inpatient beds</w:t>
      </w:r>
      <w:r w:rsidRPr="1B91EE8E">
        <w:t>?</w:t>
      </w:r>
    </w:p>
    <w:p w14:paraId="22CF4653" w14:textId="3E5E29D4" w:rsidR="000C1298" w:rsidRPr="00903387" w:rsidRDefault="000C1298" w:rsidP="00CC2B9C">
      <w:pPr>
        <w:jc w:val="both"/>
        <w:rPr>
          <w:b/>
          <w:bCs/>
        </w:rPr>
      </w:pPr>
      <w:r w:rsidRPr="00903387">
        <w:rPr>
          <w:b/>
          <w:bCs/>
        </w:rPr>
        <w:t>Dana-Farber expects that</w:t>
      </w:r>
      <w:r w:rsidR="006742E9" w:rsidRPr="00903387">
        <w:rPr>
          <w:b/>
          <w:bCs/>
        </w:rPr>
        <w:t xml:space="preserve"> there</w:t>
      </w:r>
      <w:r w:rsidR="00967A1C" w:rsidRPr="00903387">
        <w:rPr>
          <w:b/>
          <w:bCs/>
        </w:rPr>
        <w:t xml:space="preserve"> will </w:t>
      </w:r>
      <w:r w:rsidR="006742E9" w:rsidRPr="00903387">
        <w:rPr>
          <w:b/>
          <w:bCs/>
        </w:rPr>
        <w:t xml:space="preserve">be some efficiency gains </w:t>
      </w:r>
      <w:r w:rsidR="00AF655C" w:rsidRPr="00903387">
        <w:rPr>
          <w:b/>
          <w:bCs/>
        </w:rPr>
        <w:t xml:space="preserve">because of the New Cancer Hospital’s exclusive focus on cancer and investments </w:t>
      </w:r>
      <w:r w:rsidR="006742E9" w:rsidRPr="00903387">
        <w:rPr>
          <w:b/>
          <w:bCs/>
        </w:rPr>
        <w:t>in care coordination</w:t>
      </w:r>
      <w:r w:rsidR="00AF655C" w:rsidRPr="00903387">
        <w:rPr>
          <w:b/>
          <w:bCs/>
        </w:rPr>
        <w:t>. Nonetheless</w:t>
      </w:r>
      <w:r w:rsidR="00967A1C" w:rsidRPr="00903387">
        <w:rPr>
          <w:b/>
          <w:bCs/>
        </w:rPr>
        <w:t xml:space="preserve">, </w:t>
      </w:r>
      <w:r w:rsidR="00AF655C" w:rsidRPr="00903387">
        <w:rPr>
          <w:b/>
          <w:bCs/>
        </w:rPr>
        <w:t xml:space="preserve">the New Cancer Hospital may not </w:t>
      </w:r>
      <w:r w:rsidR="00BD3589" w:rsidRPr="00903387">
        <w:rPr>
          <w:b/>
          <w:bCs/>
        </w:rPr>
        <w:t>satisfy the full need demonstrated by Dana-Farber in its Application. Dana-Farber</w:t>
      </w:r>
      <w:r w:rsidR="00CC2B9C" w:rsidRPr="00903387">
        <w:rPr>
          <w:b/>
          <w:bCs/>
        </w:rPr>
        <w:t xml:space="preserve"> </w:t>
      </w:r>
      <w:r w:rsidR="00AF655C" w:rsidRPr="00903387">
        <w:rPr>
          <w:b/>
          <w:bCs/>
        </w:rPr>
        <w:t xml:space="preserve">will </w:t>
      </w:r>
      <w:r w:rsidR="00CC2B9C" w:rsidRPr="00903387">
        <w:rPr>
          <w:b/>
          <w:bCs/>
        </w:rPr>
        <w:t>continu</w:t>
      </w:r>
      <w:r w:rsidR="00AF655C" w:rsidRPr="00903387">
        <w:rPr>
          <w:b/>
          <w:bCs/>
        </w:rPr>
        <w:t>e to</w:t>
      </w:r>
      <w:r w:rsidR="00CC2B9C" w:rsidRPr="00903387">
        <w:rPr>
          <w:b/>
          <w:bCs/>
        </w:rPr>
        <w:t xml:space="preserve"> assess how best </w:t>
      </w:r>
      <w:r w:rsidR="00AF655C" w:rsidRPr="00903387">
        <w:rPr>
          <w:b/>
          <w:bCs/>
        </w:rPr>
        <w:t xml:space="preserve">to </w:t>
      </w:r>
      <w:r w:rsidR="00CC2B9C" w:rsidRPr="00903387">
        <w:rPr>
          <w:b/>
          <w:bCs/>
        </w:rPr>
        <w:t xml:space="preserve">address the needs of its Patient Panel. </w:t>
      </w:r>
    </w:p>
    <w:p w14:paraId="013CD766" w14:textId="77777777" w:rsidR="00647BF6" w:rsidRPr="006F769C" w:rsidRDefault="00647BF6" w:rsidP="00647BF6">
      <w:pPr>
        <w:pStyle w:val="ListParagraph"/>
        <w:rPr>
          <w:rFonts w:cstheme="minorHAnsi"/>
        </w:rPr>
      </w:pPr>
    </w:p>
    <w:p w14:paraId="13DF593C" w14:textId="7AE6330D" w:rsidR="00647BF6" w:rsidRPr="006F769C" w:rsidRDefault="00647BF6" w:rsidP="00647BF6">
      <w:pPr>
        <w:pStyle w:val="ListParagraph"/>
        <w:numPr>
          <w:ilvl w:val="0"/>
          <w:numId w:val="26"/>
        </w:numPr>
        <w:rPr>
          <w:rFonts w:cstheme="minorHAnsi"/>
        </w:rPr>
      </w:pPr>
      <w:r w:rsidRPr="006F769C">
        <w:rPr>
          <w:rFonts w:cstheme="minorHAnsi"/>
        </w:rPr>
        <w:t xml:space="preserve">In written comments to the Department. Dr. Bunnell states. “Finally, I want to emphasize that the request for 300 beds is a conservative one. As noted, Dana-Farber currently utilizes 200 to 220 inpatient medical oncology beds </w:t>
      </w:r>
      <w:proofErr w:type="gramStart"/>
      <w:r w:rsidRPr="006F769C">
        <w:rPr>
          <w:rFonts w:cstheme="minorHAnsi"/>
        </w:rPr>
        <w:t>on a daily basis</w:t>
      </w:r>
      <w:proofErr w:type="gramEnd"/>
      <w:r w:rsidRPr="006F769C">
        <w:rPr>
          <w:rFonts w:cstheme="minorHAnsi"/>
        </w:rPr>
        <w:t>. Similarly, our new collaborative partner, BIDMC, utilizes 80-100 inpatient medical oncology beds on average.</w:t>
      </w:r>
      <w:r w:rsidR="001D0849" w:rsidRPr="006F769C">
        <w:rPr>
          <w:rFonts w:cstheme="minorHAnsi"/>
        </w:rPr>
        <w:t>”</w:t>
      </w:r>
    </w:p>
    <w:p w14:paraId="7A6F0A04" w14:textId="77777777" w:rsidR="00647BF6" w:rsidRPr="006F769C" w:rsidRDefault="00647BF6" w:rsidP="00647BF6">
      <w:pPr>
        <w:pStyle w:val="ListParagraph"/>
        <w:numPr>
          <w:ilvl w:val="1"/>
          <w:numId w:val="26"/>
        </w:numPr>
        <w:rPr>
          <w:rFonts w:cstheme="minorHAnsi"/>
        </w:rPr>
      </w:pPr>
      <w:r w:rsidRPr="006F769C">
        <w:rPr>
          <w:rFonts w:cstheme="minorHAnsi"/>
        </w:rPr>
        <w:lastRenderedPageBreak/>
        <w:t xml:space="preserve">Is the proposed hospital intended to absorb </w:t>
      </w:r>
      <w:proofErr w:type="gramStart"/>
      <w:r w:rsidRPr="006F769C">
        <w:rPr>
          <w:rFonts w:cstheme="minorHAnsi"/>
        </w:rPr>
        <w:t>all of</w:t>
      </w:r>
      <w:proofErr w:type="gramEnd"/>
      <w:r w:rsidRPr="006F769C">
        <w:rPr>
          <w:rFonts w:cstheme="minorHAnsi"/>
        </w:rPr>
        <w:t xml:space="preserve"> the inpatient cancer care that BIDMC currently provides, or will it supplement the current inpatient cancer care that BIDMC provides?</w:t>
      </w:r>
    </w:p>
    <w:p w14:paraId="51FF84B0" w14:textId="5FAB9775" w:rsidR="00093911" w:rsidRPr="000C1298" w:rsidRDefault="00093911" w:rsidP="005B7A95">
      <w:pPr>
        <w:jc w:val="both"/>
        <w:rPr>
          <w:rFonts w:cstheme="minorHAnsi"/>
          <w:b/>
          <w:bCs/>
          <w:i/>
          <w:iCs/>
        </w:rPr>
      </w:pPr>
      <w:r w:rsidRPr="000C1298">
        <w:rPr>
          <w:rFonts w:cstheme="minorHAnsi"/>
          <w:b/>
          <w:bCs/>
          <w:i/>
          <w:iCs/>
        </w:rPr>
        <w:t xml:space="preserve">Yes, </w:t>
      </w:r>
      <w:r w:rsidR="00ED767F" w:rsidRPr="000C1298">
        <w:rPr>
          <w:rFonts w:cstheme="minorHAnsi"/>
          <w:b/>
          <w:bCs/>
          <w:i/>
          <w:iCs/>
        </w:rPr>
        <w:t xml:space="preserve">the </w:t>
      </w:r>
      <w:r w:rsidR="00094DC0">
        <w:rPr>
          <w:rFonts w:cstheme="minorHAnsi"/>
          <w:b/>
          <w:bCs/>
          <w:i/>
          <w:iCs/>
        </w:rPr>
        <w:t>New Cancer Hospital is intended to absorb</w:t>
      </w:r>
      <w:r w:rsidRPr="000C1298">
        <w:rPr>
          <w:rFonts w:cstheme="minorHAnsi"/>
          <w:b/>
          <w:bCs/>
          <w:i/>
          <w:iCs/>
        </w:rPr>
        <w:t xml:space="preserve"> all inpatient </w:t>
      </w:r>
      <w:r w:rsidR="00DC0732" w:rsidRPr="000C1298">
        <w:rPr>
          <w:rFonts w:cstheme="minorHAnsi"/>
          <w:b/>
          <w:bCs/>
          <w:i/>
          <w:iCs/>
        </w:rPr>
        <w:t xml:space="preserve">medical oncology </w:t>
      </w:r>
      <w:r w:rsidR="00E5181E">
        <w:rPr>
          <w:rFonts w:cstheme="minorHAnsi"/>
          <w:b/>
          <w:bCs/>
          <w:i/>
          <w:iCs/>
        </w:rPr>
        <w:t>from</w:t>
      </w:r>
      <w:r w:rsidRPr="000C1298">
        <w:rPr>
          <w:rFonts w:cstheme="minorHAnsi"/>
          <w:b/>
          <w:bCs/>
          <w:i/>
          <w:iCs/>
        </w:rPr>
        <w:t xml:space="preserve"> BIDMC. </w:t>
      </w:r>
    </w:p>
    <w:p w14:paraId="0585D8FB" w14:textId="77777777" w:rsidR="00732BB8" w:rsidRPr="006F769C" w:rsidRDefault="00732BB8" w:rsidP="00732BB8">
      <w:pPr>
        <w:pStyle w:val="ListParagraph"/>
        <w:ind w:left="1440"/>
        <w:rPr>
          <w:rFonts w:cstheme="minorHAnsi"/>
        </w:rPr>
      </w:pPr>
    </w:p>
    <w:p w14:paraId="0811F9B9" w14:textId="3B4F6446" w:rsidR="00732BB8" w:rsidRPr="006F769C" w:rsidRDefault="00732BB8" w:rsidP="00732BB8">
      <w:pPr>
        <w:pStyle w:val="ListParagraph"/>
        <w:numPr>
          <w:ilvl w:val="0"/>
          <w:numId w:val="26"/>
        </w:numPr>
        <w:rPr>
          <w:rFonts w:cstheme="minorHAnsi"/>
        </w:rPr>
      </w:pPr>
      <w:r w:rsidRPr="006F769C">
        <w:rPr>
          <w:rFonts w:cstheme="minorHAnsi"/>
        </w:rPr>
        <w:t>The Application states, “Further, the Applicant’s inpatient structure in its existing unit and across the inpatient care it manages at BWH has been developed to continue this model of integrated, specialized, and subspecialized care across the care continuum from the outpatient setting into the acute care inpatient setting</w:t>
      </w:r>
      <w:r w:rsidR="00944E36" w:rsidRPr="006F769C">
        <w:rPr>
          <w:rFonts w:cstheme="minorHAnsi"/>
        </w:rPr>
        <w:t>”</w:t>
      </w:r>
      <w:r w:rsidR="002627A3" w:rsidRPr="006F769C">
        <w:rPr>
          <w:rFonts w:cstheme="minorHAnsi"/>
        </w:rPr>
        <w:t xml:space="preserve"> </w:t>
      </w:r>
      <w:r w:rsidRPr="006F769C">
        <w:rPr>
          <w:rFonts w:cstheme="minorHAnsi"/>
        </w:rPr>
        <w:t>(pg.35)</w:t>
      </w:r>
      <w:r w:rsidR="00C64E13" w:rsidRPr="006F769C">
        <w:rPr>
          <w:rFonts w:cstheme="minorHAnsi"/>
        </w:rPr>
        <w:t>.</w:t>
      </w:r>
      <w:r w:rsidRPr="006F769C">
        <w:rPr>
          <w:rFonts w:cstheme="minorHAnsi"/>
        </w:rPr>
        <w:t xml:space="preserve"> Additionally, the Applicant’s Total Unique Outpatients increased by 26% between FY18 and FY23. </w:t>
      </w:r>
    </w:p>
    <w:p w14:paraId="27BAAABA" w14:textId="39620277" w:rsidR="0097644F" w:rsidRPr="0097644F" w:rsidRDefault="00732BB8" w:rsidP="0097644F">
      <w:pPr>
        <w:pStyle w:val="ListParagraph"/>
        <w:numPr>
          <w:ilvl w:val="1"/>
          <w:numId w:val="26"/>
        </w:numPr>
        <w:rPr>
          <w:rFonts w:cstheme="minorHAnsi"/>
        </w:rPr>
      </w:pPr>
      <w:r w:rsidRPr="006F769C">
        <w:rPr>
          <w:rFonts w:cstheme="minorHAnsi"/>
        </w:rPr>
        <w:t xml:space="preserve">Using data, describe the Applicant’s experience with the growing shift in cancer care from the inpatient setting to the outpatient setting, and the subsequent impact on need for inpatient cancer care capacity. </w:t>
      </w:r>
    </w:p>
    <w:p w14:paraId="74985C35" w14:textId="3758765A" w:rsidR="00AD693F" w:rsidRPr="00903387" w:rsidRDefault="00063DFC" w:rsidP="00E30E27">
      <w:pPr>
        <w:jc w:val="both"/>
        <w:rPr>
          <w:rFonts w:cstheme="minorHAnsi"/>
          <w:b/>
          <w:bCs/>
        </w:rPr>
      </w:pPr>
      <w:r w:rsidRPr="00903387">
        <w:rPr>
          <w:rFonts w:cstheme="minorHAnsi"/>
          <w:b/>
          <w:bCs/>
        </w:rPr>
        <w:t>Over the past several decades</w:t>
      </w:r>
      <w:r w:rsidR="00A71FBE" w:rsidRPr="00903387">
        <w:rPr>
          <w:rFonts w:cstheme="minorHAnsi"/>
          <w:b/>
          <w:bCs/>
        </w:rPr>
        <w:t xml:space="preserve">, Dana-Farber </w:t>
      </w:r>
      <w:r w:rsidRPr="00903387">
        <w:rPr>
          <w:rFonts w:cstheme="minorHAnsi"/>
          <w:b/>
          <w:bCs/>
        </w:rPr>
        <w:t>ha</w:t>
      </w:r>
      <w:r w:rsidR="00A71FBE" w:rsidRPr="00903387">
        <w:rPr>
          <w:rFonts w:cstheme="minorHAnsi"/>
          <w:b/>
          <w:bCs/>
        </w:rPr>
        <w:t>s</w:t>
      </w:r>
      <w:r w:rsidRPr="00903387">
        <w:rPr>
          <w:rFonts w:cstheme="minorHAnsi"/>
          <w:b/>
          <w:bCs/>
        </w:rPr>
        <w:t xml:space="preserve"> made tremendous strides in </w:t>
      </w:r>
      <w:r w:rsidR="00E30E27" w:rsidRPr="00903387">
        <w:rPr>
          <w:rFonts w:cstheme="minorHAnsi"/>
          <w:b/>
          <w:bCs/>
        </w:rPr>
        <w:t>its</w:t>
      </w:r>
      <w:r w:rsidRPr="00903387">
        <w:rPr>
          <w:rFonts w:cstheme="minorHAnsi"/>
          <w:b/>
          <w:bCs/>
        </w:rPr>
        <w:t xml:space="preserve"> understanding of the basic science behind the development and growth of cancer. This has resulted in a substantial expansion of the types of therapies outside of traditional cytotoxic chemotherapy</w:t>
      </w:r>
      <w:r w:rsidR="00E30E27" w:rsidRPr="00903387">
        <w:rPr>
          <w:rFonts w:cstheme="minorHAnsi"/>
          <w:b/>
          <w:bCs/>
        </w:rPr>
        <w:t xml:space="preserve">, </w:t>
      </w:r>
      <w:r w:rsidRPr="00903387">
        <w:rPr>
          <w:rFonts w:cstheme="minorHAnsi"/>
          <w:b/>
          <w:bCs/>
        </w:rPr>
        <w:t xml:space="preserve">including targeted therapy, </w:t>
      </w:r>
      <w:r w:rsidR="00C917B5" w:rsidRPr="00903387">
        <w:rPr>
          <w:rFonts w:cstheme="minorHAnsi"/>
          <w:b/>
          <w:bCs/>
        </w:rPr>
        <w:t>immunotherapy,</w:t>
      </w:r>
      <w:r w:rsidRPr="00903387">
        <w:rPr>
          <w:rFonts w:cstheme="minorHAnsi"/>
          <w:b/>
          <w:bCs/>
        </w:rPr>
        <w:t xml:space="preserve"> and cellular therapy. This has led </w:t>
      </w:r>
      <w:r w:rsidR="003214CD" w:rsidRPr="00903387">
        <w:rPr>
          <w:rFonts w:cstheme="minorHAnsi"/>
          <w:b/>
          <w:bCs/>
        </w:rPr>
        <w:t>Dana-Farber</w:t>
      </w:r>
      <w:r w:rsidRPr="00903387">
        <w:rPr>
          <w:rFonts w:cstheme="minorHAnsi"/>
          <w:b/>
          <w:bCs/>
        </w:rPr>
        <w:t xml:space="preserve"> to critically examine how </w:t>
      </w:r>
      <w:r w:rsidR="003214CD" w:rsidRPr="00903387">
        <w:rPr>
          <w:rFonts w:cstheme="minorHAnsi"/>
          <w:b/>
          <w:bCs/>
        </w:rPr>
        <w:t>it</w:t>
      </w:r>
      <w:r w:rsidRPr="00903387">
        <w:rPr>
          <w:rFonts w:cstheme="minorHAnsi"/>
          <w:b/>
          <w:bCs/>
        </w:rPr>
        <w:t xml:space="preserve"> utilize</w:t>
      </w:r>
      <w:r w:rsidR="003214CD" w:rsidRPr="00903387">
        <w:rPr>
          <w:rFonts w:cstheme="minorHAnsi"/>
          <w:b/>
          <w:bCs/>
        </w:rPr>
        <w:t>s</w:t>
      </w:r>
      <w:r w:rsidRPr="00903387">
        <w:rPr>
          <w:rFonts w:cstheme="minorHAnsi"/>
          <w:b/>
          <w:bCs/>
        </w:rPr>
        <w:t xml:space="preserve"> </w:t>
      </w:r>
      <w:r w:rsidR="003214CD" w:rsidRPr="00903387">
        <w:rPr>
          <w:rFonts w:cstheme="minorHAnsi"/>
          <w:b/>
          <w:bCs/>
        </w:rPr>
        <w:t>its</w:t>
      </w:r>
      <w:r w:rsidRPr="00903387">
        <w:rPr>
          <w:rFonts w:cstheme="minorHAnsi"/>
          <w:b/>
          <w:bCs/>
        </w:rPr>
        <w:t xml:space="preserve"> inpatient capacity. In 2019, </w:t>
      </w:r>
      <w:r w:rsidR="0097644F" w:rsidRPr="00903387">
        <w:rPr>
          <w:rFonts w:cstheme="minorHAnsi"/>
          <w:b/>
          <w:bCs/>
        </w:rPr>
        <w:t>Dana-Farber</w:t>
      </w:r>
      <w:r w:rsidRPr="00903387">
        <w:rPr>
          <w:rFonts w:cstheme="minorHAnsi"/>
          <w:b/>
          <w:bCs/>
        </w:rPr>
        <w:t xml:space="preserve"> evaluated </w:t>
      </w:r>
      <w:r w:rsidR="003214CD" w:rsidRPr="00903387">
        <w:rPr>
          <w:rFonts w:cstheme="minorHAnsi"/>
          <w:b/>
          <w:bCs/>
        </w:rPr>
        <w:t>its</w:t>
      </w:r>
      <w:r w:rsidRPr="00903387">
        <w:rPr>
          <w:rFonts w:cstheme="minorHAnsi"/>
          <w:b/>
          <w:bCs/>
        </w:rPr>
        <w:t xml:space="preserve"> elective inpatient chemotherapy administrations and successfully moved several </w:t>
      </w:r>
      <w:r w:rsidR="000F4E2E" w:rsidRPr="00903387">
        <w:rPr>
          <w:rFonts w:cstheme="minorHAnsi"/>
          <w:b/>
          <w:bCs/>
        </w:rPr>
        <w:t>treatment regimens</w:t>
      </w:r>
      <w:r w:rsidRPr="00903387">
        <w:rPr>
          <w:rFonts w:cstheme="minorHAnsi"/>
          <w:b/>
          <w:bCs/>
        </w:rPr>
        <w:t xml:space="preserve"> for hematologic malignancies from the inpatient to the outpatient setting. </w:t>
      </w:r>
      <w:r w:rsidRPr="00903387">
        <w:rPr>
          <w:b/>
          <w:bCs/>
        </w:rPr>
        <w:t xml:space="preserve">Similarly, </w:t>
      </w:r>
      <w:r w:rsidR="0097644F" w:rsidRPr="00903387">
        <w:rPr>
          <w:b/>
          <w:bCs/>
        </w:rPr>
        <w:t>Dana-Farber</w:t>
      </w:r>
      <w:r w:rsidRPr="00903387">
        <w:rPr>
          <w:b/>
          <w:bCs/>
        </w:rPr>
        <w:t xml:space="preserve"> ha</w:t>
      </w:r>
      <w:r w:rsidR="0097644F" w:rsidRPr="00903387">
        <w:rPr>
          <w:b/>
          <w:bCs/>
        </w:rPr>
        <w:t>s</w:t>
      </w:r>
      <w:r w:rsidRPr="00903387">
        <w:rPr>
          <w:b/>
          <w:bCs/>
        </w:rPr>
        <w:t xml:space="preserve"> been able to move some cell therap</w:t>
      </w:r>
      <w:r w:rsidR="009961C7" w:rsidRPr="00903387">
        <w:rPr>
          <w:b/>
          <w:bCs/>
        </w:rPr>
        <w:t>y</w:t>
      </w:r>
      <w:r w:rsidR="0097644F" w:rsidRPr="00903387">
        <w:rPr>
          <w:b/>
          <w:bCs/>
        </w:rPr>
        <w:t xml:space="preserve"> treatments</w:t>
      </w:r>
      <w:r w:rsidRPr="00903387">
        <w:rPr>
          <w:b/>
          <w:bCs/>
        </w:rPr>
        <w:t xml:space="preserve"> into ambulatory </w:t>
      </w:r>
      <w:r w:rsidR="009961C7" w:rsidRPr="00903387">
        <w:rPr>
          <w:b/>
          <w:bCs/>
        </w:rPr>
        <w:t xml:space="preserve">settings </w:t>
      </w:r>
      <w:r w:rsidR="0097644F" w:rsidRPr="00903387">
        <w:rPr>
          <w:b/>
          <w:bCs/>
        </w:rPr>
        <w:t>in recent years</w:t>
      </w:r>
      <w:r w:rsidRPr="00903387">
        <w:rPr>
          <w:b/>
          <w:bCs/>
        </w:rPr>
        <w:t xml:space="preserve">. Cellular </w:t>
      </w:r>
      <w:r w:rsidR="0097644F" w:rsidRPr="00903387">
        <w:rPr>
          <w:b/>
          <w:bCs/>
        </w:rPr>
        <w:t>t</w:t>
      </w:r>
      <w:r w:rsidRPr="00903387">
        <w:rPr>
          <w:b/>
          <w:bCs/>
        </w:rPr>
        <w:t>herap</w:t>
      </w:r>
      <w:r w:rsidR="009961C7" w:rsidRPr="00903387">
        <w:rPr>
          <w:b/>
          <w:bCs/>
        </w:rPr>
        <w:t>y</w:t>
      </w:r>
      <w:r w:rsidR="009C11BA" w:rsidRPr="00903387">
        <w:rPr>
          <w:b/>
          <w:bCs/>
        </w:rPr>
        <w:t xml:space="preserve">, </w:t>
      </w:r>
      <w:r w:rsidRPr="00903387">
        <w:rPr>
          <w:b/>
          <w:bCs/>
        </w:rPr>
        <w:t>includ</w:t>
      </w:r>
      <w:r w:rsidR="009961C7" w:rsidRPr="00903387">
        <w:rPr>
          <w:b/>
          <w:bCs/>
        </w:rPr>
        <w:t>ing</w:t>
      </w:r>
      <w:r w:rsidRPr="00903387">
        <w:rPr>
          <w:b/>
          <w:bCs/>
        </w:rPr>
        <w:t xml:space="preserve"> stem cell transplant and immune effector cells</w:t>
      </w:r>
      <w:r w:rsidR="005C1468" w:rsidRPr="00903387">
        <w:rPr>
          <w:b/>
          <w:bCs/>
        </w:rPr>
        <w:t xml:space="preserve"> therapies,</w:t>
      </w:r>
      <w:r w:rsidRPr="00903387">
        <w:rPr>
          <w:b/>
          <w:bCs/>
        </w:rPr>
        <w:t xml:space="preserve"> like CAR T-Cell therapy, is a rapidly growing area within oncology</w:t>
      </w:r>
      <w:r w:rsidR="00FB4541" w:rsidRPr="00903387">
        <w:rPr>
          <w:b/>
          <w:bCs/>
        </w:rPr>
        <w:t>.</w:t>
      </w:r>
      <w:r w:rsidRPr="00903387">
        <w:rPr>
          <w:b/>
          <w:bCs/>
        </w:rPr>
        <w:t xml:space="preserve"> </w:t>
      </w:r>
      <w:r w:rsidR="0097644F" w:rsidRPr="00903387">
        <w:rPr>
          <w:b/>
          <w:bCs/>
        </w:rPr>
        <w:t xml:space="preserve">Historically, these </w:t>
      </w:r>
      <w:r w:rsidR="002E0B7E" w:rsidRPr="00903387">
        <w:rPr>
          <w:b/>
          <w:bCs/>
        </w:rPr>
        <w:t>therapies</w:t>
      </w:r>
      <w:r w:rsidR="0097644F" w:rsidRPr="00903387">
        <w:rPr>
          <w:b/>
          <w:bCs/>
        </w:rPr>
        <w:t xml:space="preserve"> were only administered in the inpatient setting. As described in the Application, Dana-Farber</w:t>
      </w:r>
      <w:r w:rsidR="002E0B7E" w:rsidRPr="00903387">
        <w:rPr>
          <w:b/>
          <w:bCs/>
        </w:rPr>
        <w:t>’s</w:t>
      </w:r>
      <w:r w:rsidR="0097644F" w:rsidRPr="00903387">
        <w:rPr>
          <w:rFonts w:eastAsia="Times New Roman"/>
          <w:b/>
          <w:bCs/>
        </w:rPr>
        <w:t xml:space="preserve"> historical average length of stay (or “ALOS”)</w:t>
      </w:r>
      <w:r w:rsidR="0097644F" w:rsidRPr="00903387">
        <w:rPr>
          <w:b/>
          <w:bCs/>
        </w:rPr>
        <w:t xml:space="preserve"> for patients receiving a cellular therapy is 23.9</w:t>
      </w:r>
      <w:r w:rsidR="00AD693F" w:rsidRPr="00903387">
        <w:rPr>
          <w:b/>
          <w:bCs/>
        </w:rPr>
        <w:t xml:space="preserve"> </w:t>
      </w:r>
      <w:r w:rsidR="0097644F" w:rsidRPr="00903387">
        <w:rPr>
          <w:b/>
          <w:bCs/>
        </w:rPr>
        <w:t>days</w:t>
      </w:r>
      <w:r w:rsidR="0097644F" w:rsidRPr="00903387">
        <w:rPr>
          <w:rStyle w:val="FootnoteReference"/>
          <w:b/>
          <w:bCs/>
        </w:rPr>
        <w:footnoteReference w:id="2"/>
      </w:r>
      <w:r w:rsidR="0097644F" w:rsidRPr="00903387">
        <w:rPr>
          <w:b/>
          <w:bCs/>
        </w:rPr>
        <w:t xml:space="preserve">, which is the highest </w:t>
      </w:r>
      <w:r w:rsidR="002E0B7E" w:rsidRPr="00903387">
        <w:rPr>
          <w:b/>
          <w:bCs/>
        </w:rPr>
        <w:t>A</w:t>
      </w:r>
      <w:r w:rsidR="0097644F" w:rsidRPr="00903387">
        <w:rPr>
          <w:b/>
          <w:bCs/>
        </w:rPr>
        <w:t>LOS</w:t>
      </w:r>
      <w:r w:rsidR="002E0B7E" w:rsidRPr="00903387">
        <w:rPr>
          <w:b/>
          <w:bCs/>
        </w:rPr>
        <w:t xml:space="preserve"> for any treatment provided by Dana-Farber</w:t>
      </w:r>
      <w:r w:rsidR="0097644F" w:rsidRPr="00903387">
        <w:rPr>
          <w:b/>
          <w:bCs/>
        </w:rPr>
        <w:t>.</w:t>
      </w:r>
      <w:r w:rsidR="002E0B7E" w:rsidRPr="00903387">
        <w:rPr>
          <w:b/>
          <w:bCs/>
        </w:rPr>
        <w:t xml:space="preserve"> Currently, however,</w:t>
      </w:r>
      <w:r w:rsidR="0097644F" w:rsidRPr="00903387">
        <w:rPr>
          <w:b/>
          <w:bCs/>
        </w:rPr>
        <w:t xml:space="preserve"> </w:t>
      </w:r>
      <w:r w:rsidRPr="00903387">
        <w:rPr>
          <w:b/>
          <w:bCs/>
        </w:rPr>
        <w:t xml:space="preserve">Dana-Farber has </w:t>
      </w:r>
      <w:r w:rsidR="00CF4068">
        <w:rPr>
          <w:b/>
          <w:bCs/>
        </w:rPr>
        <w:t>three</w:t>
      </w:r>
      <w:r w:rsidRPr="00903387">
        <w:rPr>
          <w:b/>
          <w:bCs/>
        </w:rPr>
        <w:t xml:space="preserve"> CAR-T cell products</w:t>
      </w:r>
      <w:r w:rsidR="00CF4068">
        <w:rPr>
          <w:b/>
          <w:bCs/>
        </w:rPr>
        <w:t xml:space="preserve"> and three</w:t>
      </w:r>
      <w:r w:rsidR="00617DB5">
        <w:rPr>
          <w:b/>
          <w:bCs/>
        </w:rPr>
        <w:t xml:space="preserve"> transplant options</w:t>
      </w:r>
      <w:r w:rsidRPr="00903387">
        <w:rPr>
          <w:b/>
          <w:bCs/>
        </w:rPr>
        <w:t xml:space="preserve"> available for outpatient administration and</w:t>
      </w:r>
      <w:r w:rsidR="0097644F" w:rsidRPr="00903387">
        <w:rPr>
          <w:b/>
          <w:bCs/>
        </w:rPr>
        <w:t xml:space="preserve"> </w:t>
      </w:r>
      <w:r w:rsidRPr="00903387">
        <w:rPr>
          <w:b/>
          <w:bCs/>
        </w:rPr>
        <w:t xml:space="preserve">in FY24 administered 147 cellular infusions in the outpatient setting, a </w:t>
      </w:r>
      <w:r w:rsidR="005C1468" w:rsidRPr="00903387">
        <w:rPr>
          <w:b/>
          <w:bCs/>
        </w:rPr>
        <w:t xml:space="preserve">more than </w:t>
      </w:r>
      <w:r w:rsidR="0097644F" w:rsidRPr="00903387">
        <w:rPr>
          <w:b/>
          <w:bCs/>
        </w:rPr>
        <w:t>100%</w:t>
      </w:r>
      <w:r w:rsidRPr="00903387">
        <w:rPr>
          <w:b/>
          <w:bCs/>
        </w:rPr>
        <w:t xml:space="preserve"> </w:t>
      </w:r>
      <w:r w:rsidR="009961C7" w:rsidRPr="00903387">
        <w:rPr>
          <w:b/>
          <w:bCs/>
        </w:rPr>
        <w:t>increase from</w:t>
      </w:r>
      <w:r w:rsidR="0097644F" w:rsidRPr="00903387">
        <w:rPr>
          <w:b/>
          <w:bCs/>
        </w:rPr>
        <w:t xml:space="preserve"> </w:t>
      </w:r>
      <w:r w:rsidRPr="00903387">
        <w:rPr>
          <w:b/>
          <w:bCs/>
        </w:rPr>
        <w:t>FY23.</w:t>
      </w:r>
      <w:r w:rsidR="005C1468" w:rsidRPr="00903387">
        <w:rPr>
          <w:b/>
          <w:bCs/>
        </w:rPr>
        <w:t xml:space="preserve"> The hospital days saved were equivalent to </w:t>
      </w:r>
      <w:r w:rsidR="003D1F67">
        <w:rPr>
          <w:b/>
          <w:bCs/>
        </w:rPr>
        <w:t>five</w:t>
      </w:r>
      <w:r w:rsidR="005C1468" w:rsidRPr="00903387">
        <w:rPr>
          <w:b/>
          <w:bCs/>
        </w:rPr>
        <w:t xml:space="preserve"> inpatient beds saved. Dana-Farber has continued to invest in the outpatient infrastructure to continue to grow the ambulatory cell therapy program. </w:t>
      </w:r>
      <w:r w:rsidR="002E0B7E" w:rsidRPr="00903387">
        <w:rPr>
          <w:b/>
          <w:bCs/>
        </w:rPr>
        <w:t xml:space="preserve"> Dana-Farber has also made T-Cell engager and bispecific antibodies (a novel class of therapeutic oncology agents</w:t>
      </w:r>
      <w:r w:rsidR="00AD693F" w:rsidRPr="00903387">
        <w:rPr>
          <w:b/>
          <w:bCs/>
        </w:rPr>
        <w:t xml:space="preserve">) </w:t>
      </w:r>
      <w:r w:rsidR="002E0B7E" w:rsidRPr="00903387">
        <w:rPr>
          <w:b/>
          <w:bCs/>
        </w:rPr>
        <w:t xml:space="preserve">more available on an outpatient basis. </w:t>
      </w:r>
      <w:r w:rsidR="00AD693F" w:rsidRPr="00903387">
        <w:rPr>
          <w:b/>
          <w:bCs/>
        </w:rPr>
        <w:t>When using these agents in multiple myeloma treatment previously, patients were required to remain as inpatients in the hospital for at least a week’s time. Now, doses can be administered in the outpatient setting, so long as the patient stays in the local area for seven days to monitor for any adverse events.</w:t>
      </w:r>
      <w:r w:rsidR="002E0B7E" w:rsidRPr="00903387">
        <w:rPr>
          <w:b/>
          <w:bCs/>
        </w:rPr>
        <w:t xml:space="preserve"> </w:t>
      </w:r>
      <w:r w:rsidRPr="00903387">
        <w:rPr>
          <w:b/>
          <w:bCs/>
        </w:rPr>
        <w:t xml:space="preserve"> </w:t>
      </w:r>
    </w:p>
    <w:p w14:paraId="5D21E951" w14:textId="0CE5BA28" w:rsidR="0097644F" w:rsidRPr="00903387" w:rsidRDefault="000F4E2E" w:rsidP="004B67A8">
      <w:pPr>
        <w:jc w:val="both"/>
        <w:rPr>
          <w:b/>
          <w:bCs/>
        </w:rPr>
      </w:pPr>
      <w:r w:rsidRPr="00903387">
        <w:rPr>
          <w:b/>
          <w:bCs/>
        </w:rPr>
        <w:t xml:space="preserve">While Dana-Farber has successfully begun offering </w:t>
      </w:r>
      <w:proofErr w:type="gramStart"/>
      <w:r w:rsidRPr="00903387">
        <w:rPr>
          <w:b/>
          <w:bCs/>
        </w:rPr>
        <w:t>a number of</w:t>
      </w:r>
      <w:proofErr w:type="gramEnd"/>
      <w:r w:rsidRPr="00903387">
        <w:rPr>
          <w:b/>
          <w:bCs/>
        </w:rPr>
        <w:t xml:space="preserve"> treatments in the outpatient setting, many of those treatments continue to be offered in the inpatient setting, as well, to the extent doing so is determined to be in the best interest of the patient. Further, </w:t>
      </w:r>
      <w:r w:rsidR="002B0287" w:rsidRPr="00903387">
        <w:rPr>
          <w:b/>
          <w:bCs/>
        </w:rPr>
        <w:t>sufficient inpatient capacity plays a vital role in offering many of the state-of-the-art</w:t>
      </w:r>
      <w:r w:rsidR="005C1468" w:rsidRPr="00903387">
        <w:rPr>
          <w:b/>
          <w:bCs/>
        </w:rPr>
        <w:t>, novel</w:t>
      </w:r>
      <w:r w:rsidR="002B0287" w:rsidRPr="00903387">
        <w:rPr>
          <w:b/>
          <w:bCs/>
        </w:rPr>
        <w:t xml:space="preserve"> treatments Dana-Farber provides to its patients</w:t>
      </w:r>
      <w:r w:rsidRPr="00903387">
        <w:rPr>
          <w:b/>
          <w:bCs/>
        </w:rPr>
        <w:t xml:space="preserve">. </w:t>
      </w:r>
      <w:r w:rsidR="00C0092F" w:rsidRPr="00903387">
        <w:rPr>
          <w:b/>
          <w:bCs/>
        </w:rPr>
        <w:t xml:space="preserve">For example, </w:t>
      </w:r>
      <w:r w:rsidR="004B67A8" w:rsidRPr="00903387">
        <w:rPr>
          <w:b/>
          <w:bCs/>
        </w:rPr>
        <w:t xml:space="preserve">Dana-Farber uses a </w:t>
      </w:r>
      <w:r w:rsidRPr="00903387">
        <w:rPr>
          <w:b/>
          <w:bCs/>
        </w:rPr>
        <w:t>bispecific antibody</w:t>
      </w:r>
      <w:r w:rsidR="004B67A8" w:rsidRPr="00903387">
        <w:rPr>
          <w:b/>
          <w:bCs/>
        </w:rPr>
        <w:t xml:space="preserve"> known as Tarlatamab to treat patients with small </w:t>
      </w:r>
      <w:r w:rsidR="004B67A8" w:rsidRPr="00903387">
        <w:rPr>
          <w:b/>
          <w:bCs/>
        </w:rPr>
        <w:lastRenderedPageBreak/>
        <w:t xml:space="preserve">cell lung cancer. Currently, all patients receiving Tarlatamab are required to be admitted for at least 24 hours, as is recommended by its manufacturer. </w:t>
      </w:r>
    </w:p>
    <w:p w14:paraId="1A61E02C" w14:textId="45ECB658" w:rsidR="003214CD" w:rsidRPr="00903387" w:rsidRDefault="000F4E2E" w:rsidP="004B67A8">
      <w:pPr>
        <w:jc w:val="both"/>
        <w:rPr>
          <w:b/>
          <w:bCs/>
        </w:rPr>
      </w:pPr>
      <w:r w:rsidRPr="00903387">
        <w:rPr>
          <w:b/>
          <w:bCs/>
        </w:rPr>
        <w:t>Finally, a</w:t>
      </w:r>
      <w:r w:rsidR="003214CD" w:rsidRPr="00903387">
        <w:rPr>
          <w:b/>
          <w:bCs/>
        </w:rPr>
        <w:t>s noted in the Application, the incidence of cancer is increasing (particularly among young people</w:t>
      </w:r>
      <w:proofErr w:type="gramStart"/>
      <w:r w:rsidR="003214CD" w:rsidRPr="00903387">
        <w:rPr>
          <w:b/>
          <w:bCs/>
        </w:rPr>
        <w:t>)</w:t>
      </w:r>
      <w:proofErr w:type="gramEnd"/>
      <w:r w:rsidR="003214CD" w:rsidRPr="00903387">
        <w:rPr>
          <w:b/>
          <w:bCs/>
        </w:rPr>
        <w:t xml:space="preserve"> and people are living longer with cancer. Longer exposure to cancer treatments can lead to the development of toxicities and complications that require inpatient hospitalization. While these patients will receive </w:t>
      </w:r>
      <w:proofErr w:type="gramStart"/>
      <w:r w:rsidR="003214CD" w:rsidRPr="00903387">
        <w:rPr>
          <w:b/>
          <w:bCs/>
        </w:rPr>
        <w:t>the majority of</w:t>
      </w:r>
      <w:proofErr w:type="gramEnd"/>
      <w:r w:rsidR="003214CD" w:rsidRPr="00903387">
        <w:rPr>
          <w:b/>
          <w:bCs/>
        </w:rPr>
        <w:t xml:space="preserve"> their care in an outpatient setting, availability of adequate inpatient capacity will remain important.</w:t>
      </w:r>
    </w:p>
    <w:p w14:paraId="3F9F09F8" w14:textId="178D626E" w:rsidR="00B4116E" w:rsidRPr="006F769C" w:rsidRDefault="00B4116E" w:rsidP="00B4116E">
      <w:pPr>
        <w:pStyle w:val="ListParagraph"/>
        <w:numPr>
          <w:ilvl w:val="0"/>
          <w:numId w:val="26"/>
        </w:numPr>
        <w:rPr>
          <w:rFonts w:cstheme="minorHAnsi"/>
        </w:rPr>
      </w:pPr>
      <w:r w:rsidRPr="006F769C">
        <w:rPr>
          <w:rFonts w:cstheme="minorHAnsi"/>
        </w:rPr>
        <w:t xml:space="preserve">Responses to </w:t>
      </w:r>
      <w:proofErr w:type="spellStart"/>
      <w:r w:rsidRPr="006F769C">
        <w:rPr>
          <w:rFonts w:cstheme="minorHAnsi"/>
        </w:rPr>
        <w:t>DoN</w:t>
      </w:r>
      <w:proofErr w:type="spellEnd"/>
      <w:r w:rsidRPr="006F769C">
        <w:rPr>
          <w:rFonts w:cstheme="minorHAnsi"/>
        </w:rPr>
        <w:t xml:space="preserve"> Questions #4 state that as part of the existing collaboration between BWH and the Applicant, BWH provides surgical oncology services</w:t>
      </w:r>
      <w:r w:rsidRPr="006F769C">
        <w:rPr>
          <w:rFonts w:cstheme="minorHAnsi"/>
          <w:b/>
          <w:bCs/>
        </w:rPr>
        <w:t xml:space="preserve"> </w:t>
      </w:r>
      <w:r w:rsidRPr="006F769C">
        <w:rPr>
          <w:rFonts w:cstheme="minorHAnsi"/>
        </w:rPr>
        <w:t xml:space="preserve">(pg. 1). The application states </w:t>
      </w:r>
      <w:r w:rsidR="00397FF3" w:rsidRPr="006F769C">
        <w:rPr>
          <w:rFonts w:cstheme="minorHAnsi"/>
        </w:rPr>
        <w:t>that,</w:t>
      </w:r>
      <w:r w:rsidRPr="006F769C">
        <w:rPr>
          <w:rFonts w:cstheme="minorHAnsi"/>
        </w:rPr>
        <w:t xml:space="preserve"> similarly, the Applicant anticipates that a significant percentage of patients currently receiving surgical oncology services at BWH (and some receiving surgical oncology services at MGH) will begin receiving such services from BIDMC (pg.28)</w:t>
      </w:r>
      <w:r w:rsidR="00C64E13" w:rsidRPr="006F769C">
        <w:rPr>
          <w:rFonts w:cstheme="minorHAnsi"/>
        </w:rPr>
        <w:t>.</w:t>
      </w:r>
    </w:p>
    <w:p w14:paraId="6D14F227" w14:textId="417E75BF" w:rsidR="00F53F73" w:rsidRPr="006F769C" w:rsidRDefault="00B4116E" w:rsidP="00AE0F4F">
      <w:pPr>
        <w:pStyle w:val="ListParagraph"/>
        <w:numPr>
          <w:ilvl w:val="1"/>
          <w:numId w:val="26"/>
        </w:numPr>
        <w:rPr>
          <w:rFonts w:cstheme="minorHAnsi"/>
        </w:rPr>
      </w:pPr>
      <w:r w:rsidRPr="006F769C">
        <w:rPr>
          <w:rFonts w:cstheme="minorHAnsi"/>
        </w:rPr>
        <w:t xml:space="preserve">Describe any differences in the provision of surgical services between the existing setup with BWH and the proposed setup with BIDMC, such as the need for patient transfers to receive surgical </w:t>
      </w:r>
      <w:proofErr w:type="gramStart"/>
      <w:r w:rsidRPr="006F769C">
        <w:rPr>
          <w:rFonts w:cstheme="minorHAnsi"/>
        </w:rPr>
        <w:t>services, and</w:t>
      </w:r>
      <w:proofErr w:type="gramEnd"/>
      <w:r w:rsidRPr="006F769C">
        <w:rPr>
          <w:rFonts w:cstheme="minorHAnsi"/>
        </w:rPr>
        <w:t xml:space="preserve"> </w:t>
      </w:r>
      <w:proofErr w:type="gramStart"/>
      <w:r w:rsidRPr="006F769C">
        <w:rPr>
          <w:rFonts w:cstheme="minorHAnsi"/>
        </w:rPr>
        <w:t>wait</w:t>
      </w:r>
      <w:proofErr w:type="gramEnd"/>
      <w:r w:rsidRPr="006F769C">
        <w:rPr>
          <w:rFonts w:cstheme="minorHAnsi"/>
        </w:rPr>
        <w:t xml:space="preserve"> times to receive surgical services. </w:t>
      </w:r>
    </w:p>
    <w:p w14:paraId="14F89416" w14:textId="56F8FAE2" w:rsidR="0068118C" w:rsidRPr="00903387" w:rsidRDefault="00425ACE" w:rsidP="00B477BE">
      <w:pPr>
        <w:jc w:val="both"/>
        <w:rPr>
          <w:rFonts w:cstheme="minorHAnsi"/>
          <w:b/>
          <w:bCs/>
        </w:rPr>
      </w:pPr>
      <w:r w:rsidRPr="00903387">
        <w:rPr>
          <w:rFonts w:cstheme="minorHAnsi"/>
          <w:b/>
          <w:bCs/>
        </w:rPr>
        <w:t xml:space="preserve">Dana-Farber does not expect </w:t>
      </w:r>
      <w:r w:rsidR="00E36CB3" w:rsidRPr="00903387">
        <w:rPr>
          <w:rFonts w:cstheme="minorHAnsi"/>
          <w:b/>
          <w:bCs/>
        </w:rPr>
        <w:t xml:space="preserve">that </w:t>
      </w:r>
      <w:r w:rsidRPr="00903387">
        <w:rPr>
          <w:rFonts w:cstheme="minorHAnsi"/>
          <w:b/>
          <w:bCs/>
        </w:rPr>
        <w:t xml:space="preserve">the set-up </w:t>
      </w:r>
      <w:r w:rsidR="00E36CB3" w:rsidRPr="00903387">
        <w:rPr>
          <w:rFonts w:cstheme="minorHAnsi"/>
          <w:b/>
          <w:bCs/>
        </w:rPr>
        <w:t xml:space="preserve">will </w:t>
      </w:r>
      <w:r w:rsidRPr="00903387">
        <w:rPr>
          <w:rFonts w:cstheme="minorHAnsi"/>
          <w:b/>
          <w:bCs/>
        </w:rPr>
        <w:t>differ significantly.</w:t>
      </w:r>
      <w:r w:rsidR="00FE08EE" w:rsidRPr="00903387">
        <w:rPr>
          <w:rFonts w:cstheme="minorHAnsi"/>
          <w:b/>
          <w:bCs/>
        </w:rPr>
        <w:t xml:space="preserve"> </w:t>
      </w:r>
      <w:r w:rsidR="00E36CB3" w:rsidRPr="00903387">
        <w:rPr>
          <w:rFonts w:cstheme="minorHAnsi"/>
          <w:b/>
          <w:bCs/>
        </w:rPr>
        <w:t>Dana-Farber is limited in its ability to describe the specifics of its current collaboration d</w:t>
      </w:r>
      <w:r w:rsidR="004F1168" w:rsidRPr="00903387">
        <w:rPr>
          <w:rFonts w:cstheme="minorHAnsi"/>
          <w:b/>
          <w:bCs/>
        </w:rPr>
        <w:t xml:space="preserve">ue to confidentiality </w:t>
      </w:r>
      <w:r w:rsidRPr="00903387">
        <w:rPr>
          <w:rFonts w:cstheme="minorHAnsi"/>
          <w:b/>
          <w:bCs/>
        </w:rPr>
        <w:t>restrictions</w:t>
      </w:r>
      <w:r w:rsidR="004F1168" w:rsidRPr="00903387">
        <w:rPr>
          <w:rFonts w:cstheme="minorHAnsi"/>
          <w:b/>
          <w:bCs/>
        </w:rPr>
        <w:t xml:space="preserve"> in its </w:t>
      </w:r>
      <w:r w:rsidRPr="00903387">
        <w:rPr>
          <w:rFonts w:cstheme="minorHAnsi"/>
          <w:b/>
          <w:bCs/>
        </w:rPr>
        <w:t>agreements</w:t>
      </w:r>
      <w:r w:rsidR="008E2216" w:rsidRPr="00903387">
        <w:rPr>
          <w:rFonts w:cstheme="minorHAnsi"/>
          <w:b/>
          <w:bCs/>
        </w:rPr>
        <w:t xml:space="preserve"> with BWH.</w:t>
      </w:r>
      <w:r w:rsidR="00E36CB3" w:rsidRPr="00903387">
        <w:rPr>
          <w:rFonts w:cstheme="minorHAnsi"/>
          <w:b/>
          <w:bCs/>
        </w:rPr>
        <w:t xml:space="preserve"> Nonetheless, </w:t>
      </w:r>
      <w:proofErr w:type="gramStart"/>
      <w:r w:rsidR="00E36CB3" w:rsidRPr="00903387">
        <w:rPr>
          <w:rFonts w:cstheme="minorHAnsi"/>
          <w:b/>
          <w:bCs/>
        </w:rPr>
        <w:t>similar to</w:t>
      </w:r>
      <w:proofErr w:type="gramEnd"/>
      <w:r w:rsidR="00E36CB3" w:rsidRPr="00903387">
        <w:rPr>
          <w:rFonts w:cstheme="minorHAnsi"/>
          <w:b/>
          <w:bCs/>
        </w:rPr>
        <w:t xml:space="preserve"> its current arrangement, </w:t>
      </w:r>
      <w:r w:rsidR="00AB6361" w:rsidRPr="00903387">
        <w:rPr>
          <w:rFonts w:cstheme="minorHAnsi"/>
          <w:b/>
          <w:bCs/>
        </w:rPr>
        <w:t>Dana-Farber inpatients requiring</w:t>
      </w:r>
      <w:r w:rsidR="00E36CB3" w:rsidRPr="00903387">
        <w:rPr>
          <w:rFonts w:cstheme="minorHAnsi"/>
          <w:b/>
          <w:bCs/>
        </w:rPr>
        <w:t xml:space="preserve"> surgical services will be able to obtain </w:t>
      </w:r>
      <w:r w:rsidR="008E2216" w:rsidRPr="00903387">
        <w:rPr>
          <w:rFonts w:cstheme="minorHAnsi"/>
          <w:b/>
          <w:bCs/>
        </w:rPr>
        <w:t xml:space="preserve">those services </w:t>
      </w:r>
      <w:r w:rsidR="00E36CB3" w:rsidRPr="00903387">
        <w:rPr>
          <w:rFonts w:cstheme="minorHAnsi"/>
          <w:b/>
          <w:bCs/>
        </w:rPr>
        <w:t xml:space="preserve">from </w:t>
      </w:r>
      <w:r w:rsidR="008A483F" w:rsidRPr="00903387">
        <w:rPr>
          <w:rFonts w:cstheme="minorHAnsi"/>
          <w:b/>
          <w:bCs/>
        </w:rPr>
        <w:t>BIDMC</w:t>
      </w:r>
      <w:r w:rsidR="00AB6361" w:rsidRPr="00903387">
        <w:rPr>
          <w:rFonts w:cstheme="minorHAnsi"/>
          <w:b/>
          <w:bCs/>
        </w:rPr>
        <w:t>, while Dana-Farber beds will continue to be used, as they always have been, for the provision of medical oncology services. P</w:t>
      </w:r>
      <w:r w:rsidR="00E36CB3" w:rsidRPr="00903387">
        <w:rPr>
          <w:rFonts w:cstheme="minorHAnsi"/>
          <w:b/>
          <w:bCs/>
        </w:rPr>
        <w:t xml:space="preserve">atient transitions will be facilitated by the </w:t>
      </w:r>
      <w:r w:rsidR="008A483F" w:rsidRPr="00903387">
        <w:rPr>
          <w:rFonts w:cstheme="minorHAnsi"/>
          <w:b/>
          <w:bCs/>
        </w:rPr>
        <w:t xml:space="preserve">building design </w:t>
      </w:r>
      <w:r w:rsidR="00E36CB3" w:rsidRPr="00903387">
        <w:rPr>
          <w:rFonts w:cstheme="minorHAnsi"/>
          <w:b/>
          <w:bCs/>
        </w:rPr>
        <w:t xml:space="preserve">of the New Cancer Hospital, including </w:t>
      </w:r>
      <w:r w:rsidR="008E2216" w:rsidRPr="00903387">
        <w:rPr>
          <w:rFonts w:cstheme="minorHAnsi"/>
          <w:b/>
          <w:bCs/>
        </w:rPr>
        <w:t xml:space="preserve">connecting </w:t>
      </w:r>
      <w:r w:rsidR="008A483F" w:rsidRPr="00903387">
        <w:rPr>
          <w:rFonts w:cstheme="minorHAnsi"/>
          <w:b/>
          <w:bCs/>
        </w:rPr>
        <w:t>bridges and tunnels</w:t>
      </w:r>
      <w:r w:rsidR="00B477BE" w:rsidRPr="00903387">
        <w:rPr>
          <w:rFonts w:cstheme="minorHAnsi"/>
          <w:b/>
          <w:bCs/>
        </w:rPr>
        <w:t xml:space="preserve"> between </w:t>
      </w:r>
      <w:r w:rsidR="00E36CB3" w:rsidRPr="00903387">
        <w:rPr>
          <w:rFonts w:cstheme="minorHAnsi"/>
          <w:b/>
          <w:bCs/>
        </w:rPr>
        <w:t xml:space="preserve">the facilities </w:t>
      </w:r>
      <w:r w:rsidR="00B477BE" w:rsidRPr="00903387">
        <w:rPr>
          <w:rFonts w:cstheme="minorHAnsi"/>
          <w:b/>
          <w:bCs/>
        </w:rPr>
        <w:t xml:space="preserve">(subject to regulatory approval). </w:t>
      </w:r>
    </w:p>
    <w:p w14:paraId="3FB70A20" w14:textId="23C16F4C" w:rsidR="00FB378A" w:rsidRPr="006F769C" w:rsidRDefault="00FB378A" w:rsidP="00FB378A">
      <w:pPr>
        <w:pStyle w:val="ListParagraph"/>
        <w:numPr>
          <w:ilvl w:val="0"/>
          <w:numId w:val="26"/>
        </w:numPr>
        <w:rPr>
          <w:rFonts w:cstheme="minorHAnsi"/>
        </w:rPr>
      </w:pPr>
      <w:r w:rsidRPr="006F769C">
        <w:rPr>
          <w:rFonts w:cstheme="minorHAnsi"/>
        </w:rPr>
        <w:t xml:space="preserve">Responses to </w:t>
      </w:r>
      <w:proofErr w:type="spellStart"/>
      <w:r w:rsidRPr="006F769C">
        <w:rPr>
          <w:rFonts w:cstheme="minorHAnsi"/>
        </w:rPr>
        <w:t>DoN</w:t>
      </w:r>
      <w:proofErr w:type="spellEnd"/>
      <w:r w:rsidRPr="006F769C">
        <w:rPr>
          <w:rFonts w:cstheme="minorHAnsi"/>
        </w:rPr>
        <w:t xml:space="preserve"> Questions</w:t>
      </w:r>
      <w:r w:rsidR="00A93707" w:rsidRPr="006F769C">
        <w:rPr>
          <w:rFonts w:cstheme="minorHAnsi"/>
        </w:rPr>
        <w:t xml:space="preserve"> #2</w:t>
      </w:r>
      <w:r w:rsidRPr="006F769C">
        <w:rPr>
          <w:rFonts w:cstheme="minorHAnsi"/>
        </w:rPr>
        <w:t xml:space="preserve"> states, “</w:t>
      </w:r>
      <w:r w:rsidR="00A93707" w:rsidRPr="006F769C">
        <w:rPr>
          <w:rFonts w:cstheme="minorHAnsi"/>
        </w:rPr>
        <w:t xml:space="preserve">Dana-Farber cares for 200 to 230 inpatient oncology patients every day. Thirty of these beds </w:t>
      </w:r>
      <w:proofErr w:type="gramStart"/>
      <w:r w:rsidR="00A93707" w:rsidRPr="006F769C">
        <w:rPr>
          <w:rFonts w:cstheme="minorHAnsi"/>
        </w:rPr>
        <w:t>are located in</w:t>
      </w:r>
      <w:proofErr w:type="gramEnd"/>
      <w:r w:rsidR="00A93707" w:rsidRPr="006F769C">
        <w:rPr>
          <w:rFonts w:cstheme="minorHAnsi"/>
        </w:rPr>
        <w:t xml:space="preserve"> Dana-Farber-licensed space, while the remaining are located in BWH-licensed space. Regardless of licensee, these patients are all Dana-Farber patients. All have Dana-Farber medical record numbers. During their inpatient stay, Dana-Farber-employed medical oncologists and hospitalists direct the care of the patients in these beds.</w:t>
      </w:r>
      <w:r w:rsidR="005503A7" w:rsidRPr="006F769C">
        <w:rPr>
          <w:rFonts w:cstheme="minorHAnsi"/>
        </w:rPr>
        <w:t xml:space="preserve"> </w:t>
      </w:r>
      <w:r w:rsidR="00A93707" w:rsidRPr="006F769C">
        <w:rPr>
          <w:rFonts w:cstheme="minorHAnsi"/>
        </w:rPr>
        <w:t xml:space="preserve">No oncology patient in these beds is seen by a primary attending physician other than a Dana-Farber employee. Dana-Farber employs every physician assistant providing care to these patients. BWH does not employ any medical oncologists or medical oncology advanced practice providers of its own. The only BWH employees that are part of a patient’s clinical care team are individuals without specialties in medical oncology or, during their training by Dana-Farber medical oncologists, members of the BWH house staff (residents and interns). Their care and consultations of these inpatient patients are all immediately overseen by Dana-Farber-employed </w:t>
      </w:r>
      <w:proofErr w:type="gramStart"/>
      <w:r w:rsidR="00A93707" w:rsidRPr="006F769C">
        <w:rPr>
          <w:rFonts w:cstheme="minorHAnsi"/>
        </w:rPr>
        <w:t>clinicians</w:t>
      </w:r>
      <w:r w:rsidR="00B76E7A" w:rsidRPr="006F769C">
        <w:rPr>
          <w:rFonts w:cstheme="minorHAnsi"/>
        </w:rPr>
        <w:t>”</w:t>
      </w:r>
      <w:r w:rsidR="005503A7" w:rsidRPr="006F769C">
        <w:rPr>
          <w:rFonts w:cstheme="minorHAnsi"/>
        </w:rPr>
        <w:t>(</w:t>
      </w:r>
      <w:proofErr w:type="gramEnd"/>
      <w:r w:rsidR="005503A7" w:rsidRPr="006F769C">
        <w:rPr>
          <w:rFonts w:cstheme="minorHAnsi"/>
        </w:rPr>
        <w:t>pg.4)</w:t>
      </w:r>
      <w:r w:rsidR="002320A2" w:rsidRPr="006F769C">
        <w:rPr>
          <w:rFonts w:cstheme="minorHAnsi"/>
        </w:rPr>
        <w:t>.</w:t>
      </w:r>
    </w:p>
    <w:p w14:paraId="3FFCC06C" w14:textId="729F5158" w:rsidR="00C07BA7" w:rsidRPr="006F769C" w:rsidRDefault="00332EB1" w:rsidP="001B54EE">
      <w:pPr>
        <w:pStyle w:val="ListParagraph"/>
        <w:numPr>
          <w:ilvl w:val="1"/>
          <w:numId w:val="26"/>
        </w:numPr>
        <w:rPr>
          <w:rFonts w:cstheme="minorHAnsi"/>
        </w:rPr>
      </w:pPr>
      <w:r w:rsidRPr="006F769C">
        <w:rPr>
          <w:rFonts w:cstheme="minorHAnsi"/>
        </w:rPr>
        <w:t xml:space="preserve">Do Dana-Farber medical oncologists </w:t>
      </w:r>
      <w:r w:rsidR="006840CF" w:rsidRPr="006F769C">
        <w:rPr>
          <w:rFonts w:cstheme="minorHAnsi"/>
        </w:rPr>
        <w:t xml:space="preserve">and hospitalists </w:t>
      </w:r>
      <w:r w:rsidRPr="006F769C">
        <w:rPr>
          <w:rFonts w:cstheme="minorHAnsi"/>
        </w:rPr>
        <w:t xml:space="preserve">direct the care of patients </w:t>
      </w:r>
      <w:r w:rsidR="00384C90" w:rsidRPr="006F769C">
        <w:rPr>
          <w:rFonts w:cstheme="minorHAnsi"/>
        </w:rPr>
        <w:t>receiving surgery for cancer</w:t>
      </w:r>
      <w:r w:rsidRPr="006F769C">
        <w:rPr>
          <w:rFonts w:cstheme="minorHAnsi"/>
        </w:rPr>
        <w:t>,</w:t>
      </w:r>
      <w:r w:rsidR="006868A5" w:rsidRPr="006F769C">
        <w:rPr>
          <w:rFonts w:cstheme="minorHAnsi"/>
        </w:rPr>
        <w:t xml:space="preserve"> and </w:t>
      </w:r>
      <w:r w:rsidRPr="006F769C">
        <w:rPr>
          <w:rFonts w:cstheme="minorHAnsi"/>
        </w:rPr>
        <w:t xml:space="preserve">patients with cancer </w:t>
      </w:r>
      <w:r w:rsidR="00384C90" w:rsidRPr="006F769C">
        <w:rPr>
          <w:rFonts w:cstheme="minorHAnsi"/>
        </w:rPr>
        <w:t xml:space="preserve">who are cared for </w:t>
      </w:r>
      <w:r w:rsidRPr="006F769C">
        <w:rPr>
          <w:rFonts w:cstheme="minorHAnsi"/>
        </w:rPr>
        <w:t>in the</w:t>
      </w:r>
      <w:r w:rsidR="006868A5" w:rsidRPr="006F769C">
        <w:rPr>
          <w:rFonts w:cstheme="minorHAnsi"/>
        </w:rPr>
        <w:t xml:space="preserve"> ICU?</w:t>
      </w:r>
    </w:p>
    <w:p w14:paraId="7D57F0D7" w14:textId="59AA2144" w:rsidR="00E5181E" w:rsidRPr="00903387" w:rsidRDefault="00C07BA7" w:rsidP="00B477BE">
      <w:pPr>
        <w:jc w:val="both"/>
        <w:rPr>
          <w:rFonts w:ascii="Calibri" w:hAnsi="Calibri" w:cs="Calibri"/>
          <w:b/>
          <w:bCs/>
          <w:shd w:val="clear" w:color="auto" w:fill="FFFFFF"/>
        </w:rPr>
      </w:pPr>
      <w:r w:rsidRPr="00903387">
        <w:rPr>
          <w:rFonts w:ascii="Calibri" w:hAnsi="Calibri" w:cs="Calibri"/>
          <w:b/>
          <w:bCs/>
          <w:shd w:val="clear" w:color="auto" w:fill="FFFFFF"/>
        </w:rPr>
        <w:t xml:space="preserve">The medical oncologist is the </w:t>
      </w:r>
      <w:r w:rsidR="008E2216" w:rsidRPr="00903387">
        <w:rPr>
          <w:rFonts w:ascii="Calibri" w:hAnsi="Calibri" w:cs="Calibri"/>
          <w:b/>
          <w:bCs/>
          <w:shd w:val="clear" w:color="auto" w:fill="FFFFFF"/>
        </w:rPr>
        <w:t>“</w:t>
      </w:r>
      <w:r w:rsidRPr="00903387">
        <w:rPr>
          <w:rFonts w:ascii="Calibri" w:hAnsi="Calibri" w:cs="Calibri"/>
          <w:b/>
          <w:bCs/>
          <w:shd w:val="clear" w:color="auto" w:fill="FFFFFF"/>
        </w:rPr>
        <w:t>quarterback</w:t>
      </w:r>
      <w:r w:rsidR="008E2216" w:rsidRPr="00903387">
        <w:rPr>
          <w:rFonts w:ascii="Calibri" w:hAnsi="Calibri" w:cs="Calibri"/>
          <w:b/>
          <w:bCs/>
          <w:shd w:val="clear" w:color="auto" w:fill="FFFFFF"/>
        </w:rPr>
        <w:t>”</w:t>
      </w:r>
      <w:r w:rsidRPr="00903387">
        <w:rPr>
          <w:rFonts w:ascii="Calibri" w:hAnsi="Calibri" w:cs="Calibri"/>
          <w:b/>
          <w:bCs/>
          <w:shd w:val="clear" w:color="auto" w:fill="FFFFFF"/>
        </w:rPr>
        <w:t xml:space="preserve"> for the entire course of</w:t>
      </w:r>
      <w:r w:rsidR="00E5181E" w:rsidRPr="00903387">
        <w:rPr>
          <w:rFonts w:ascii="Calibri" w:hAnsi="Calibri" w:cs="Calibri"/>
          <w:b/>
          <w:bCs/>
          <w:shd w:val="clear" w:color="auto" w:fill="FFFFFF"/>
        </w:rPr>
        <w:t xml:space="preserve"> </w:t>
      </w:r>
      <w:r w:rsidR="00135D7A" w:rsidRPr="00903387">
        <w:rPr>
          <w:rFonts w:ascii="Calibri" w:hAnsi="Calibri" w:cs="Calibri"/>
          <w:b/>
          <w:bCs/>
          <w:shd w:val="clear" w:color="auto" w:fill="FFFFFF"/>
        </w:rPr>
        <w:t>a patient’s cancer care</w:t>
      </w:r>
      <w:r w:rsidRPr="00903387">
        <w:rPr>
          <w:rFonts w:ascii="Calibri" w:hAnsi="Calibri" w:cs="Calibri"/>
          <w:b/>
          <w:bCs/>
          <w:shd w:val="clear" w:color="auto" w:fill="FFFFFF"/>
        </w:rPr>
        <w:t xml:space="preserve">. </w:t>
      </w:r>
      <w:r w:rsidR="00135D7A" w:rsidRPr="00903387">
        <w:rPr>
          <w:rFonts w:ascii="Calibri" w:hAnsi="Calibri" w:cs="Calibri"/>
          <w:b/>
          <w:bCs/>
          <w:shd w:val="clear" w:color="auto" w:fill="FFFFFF"/>
        </w:rPr>
        <w:t xml:space="preserve">While </w:t>
      </w:r>
      <w:r w:rsidR="00FF1A4F" w:rsidRPr="00903387">
        <w:rPr>
          <w:rFonts w:ascii="Calibri" w:hAnsi="Calibri" w:cs="Calibri"/>
          <w:b/>
          <w:bCs/>
          <w:shd w:val="clear" w:color="auto" w:fill="FFFFFF"/>
        </w:rPr>
        <w:t xml:space="preserve">patients will receive care from different members of their care team (e.g., radiation oncologists and </w:t>
      </w:r>
      <w:r w:rsidR="00FF1A4F" w:rsidRPr="00903387">
        <w:rPr>
          <w:rFonts w:ascii="Calibri" w:hAnsi="Calibri" w:cs="Calibri"/>
          <w:b/>
          <w:bCs/>
          <w:shd w:val="clear" w:color="auto" w:fill="FFFFFF"/>
        </w:rPr>
        <w:lastRenderedPageBreak/>
        <w:t>surgical oncologists) at different points in their cancer care journey, the medical oncologist</w:t>
      </w:r>
      <w:r w:rsidR="008E2216" w:rsidRPr="00903387">
        <w:rPr>
          <w:rFonts w:ascii="Calibri" w:hAnsi="Calibri" w:cs="Calibri"/>
          <w:b/>
          <w:bCs/>
          <w:shd w:val="clear" w:color="auto" w:fill="FFFFFF"/>
        </w:rPr>
        <w:t xml:space="preserve">s are responsible </w:t>
      </w:r>
      <w:r w:rsidR="00FF1A4F" w:rsidRPr="00903387">
        <w:rPr>
          <w:rFonts w:ascii="Calibri" w:hAnsi="Calibri" w:cs="Calibri"/>
          <w:b/>
          <w:bCs/>
          <w:shd w:val="clear" w:color="auto" w:fill="FFFFFF"/>
        </w:rPr>
        <w:t>for effectively coordinating that care</w:t>
      </w:r>
      <w:r w:rsidR="00135D7A" w:rsidRPr="00903387">
        <w:rPr>
          <w:rFonts w:ascii="Calibri" w:hAnsi="Calibri" w:cs="Calibri"/>
          <w:b/>
          <w:bCs/>
          <w:shd w:val="clear" w:color="auto" w:fill="FFFFFF"/>
        </w:rPr>
        <w:t xml:space="preserve"> </w:t>
      </w:r>
      <w:r w:rsidR="008E2216" w:rsidRPr="00903387">
        <w:rPr>
          <w:rFonts w:ascii="Calibri" w:hAnsi="Calibri" w:cs="Calibri"/>
          <w:b/>
          <w:bCs/>
          <w:shd w:val="clear" w:color="auto" w:fill="FFFFFF"/>
        </w:rPr>
        <w:t xml:space="preserve">throughout their </w:t>
      </w:r>
      <w:r w:rsidR="00135D7A" w:rsidRPr="00903387">
        <w:rPr>
          <w:rFonts w:ascii="Calibri" w:hAnsi="Calibri" w:cs="Calibri"/>
          <w:b/>
          <w:bCs/>
          <w:shd w:val="clear" w:color="auto" w:fill="FFFFFF"/>
        </w:rPr>
        <w:t>patients</w:t>
      </w:r>
      <w:r w:rsidR="008E2216" w:rsidRPr="00903387">
        <w:rPr>
          <w:rFonts w:ascii="Calibri" w:hAnsi="Calibri" w:cs="Calibri"/>
          <w:b/>
          <w:bCs/>
          <w:shd w:val="clear" w:color="auto" w:fill="FFFFFF"/>
        </w:rPr>
        <w:t>’</w:t>
      </w:r>
      <w:r w:rsidR="00135D7A" w:rsidRPr="00903387">
        <w:rPr>
          <w:rFonts w:ascii="Calibri" w:hAnsi="Calibri" w:cs="Calibri"/>
          <w:b/>
          <w:bCs/>
          <w:shd w:val="clear" w:color="auto" w:fill="FFFFFF"/>
        </w:rPr>
        <w:t xml:space="preserve"> course of treatment</w:t>
      </w:r>
      <w:r w:rsidR="00560748" w:rsidRPr="00903387">
        <w:rPr>
          <w:rFonts w:ascii="Calibri" w:hAnsi="Calibri" w:cs="Calibri"/>
          <w:b/>
          <w:bCs/>
          <w:shd w:val="clear" w:color="auto" w:fill="FFFFFF"/>
        </w:rPr>
        <w:t>.</w:t>
      </w:r>
    </w:p>
    <w:p w14:paraId="521870E0" w14:textId="185CF00F" w:rsidR="00BB3E4F" w:rsidRPr="00903387" w:rsidRDefault="0014223B" w:rsidP="00B477BE">
      <w:pPr>
        <w:jc w:val="both"/>
        <w:rPr>
          <w:rFonts w:ascii="Calibri" w:hAnsi="Calibri" w:cs="Calibri"/>
          <w:b/>
          <w:bCs/>
          <w:shd w:val="clear" w:color="auto" w:fill="FFFFFF"/>
        </w:rPr>
      </w:pPr>
      <w:r w:rsidRPr="00903387">
        <w:rPr>
          <w:rFonts w:ascii="Calibri" w:hAnsi="Calibri" w:cs="Calibri"/>
          <w:b/>
          <w:bCs/>
          <w:shd w:val="clear" w:color="auto" w:fill="FFFFFF"/>
        </w:rPr>
        <w:t xml:space="preserve">With respect to surgical oncology specifically, if patients receive surgery as part of an inpatient stay at the New Cancer Hospital, the medical oncologist will direct the care of the patient and work closely with the surgical team performing the surgery at BIDMC. </w:t>
      </w:r>
      <w:r w:rsidR="008E2216" w:rsidRPr="00903387">
        <w:rPr>
          <w:rFonts w:ascii="Calibri" w:hAnsi="Calibri" w:cs="Calibri"/>
          <w:b/>
          <w:bCs/>
          <w:shd w:val="clear" w:color="auto" w:fill="FFFFFF"/>
        </w:rPr>
        <w:t>P</w:t>
      </w:r>
      <w:r w:rsidRPr="00903387">
        <w:rPr>
          <w:rFonts w:ascii="Calibri" w:hAnsi="Calibri" w:cs="Calibri"/>
          <w:b/>
          <w:bCs/>
          <w:shd w:val="clear" w:color="auto" w:fill="FFFFFF"/>
        </w:rPr>
        <w:t xml:space="preserve">atients </w:t>
      </w:r>
      <w:r w:rsidR="00BB3E4F" w:rsidRPr="00903387">
        <w:rPr>
          <w:rFonts w:ascii="Calibri" w:hAnsi="Calibri" w:cs="Calibri"/>
          <w:b/>
          <w:bCs/>
          <w:shd w:val="clear" w:color="auto" w:fill="FFFFFF"/>
        </w:rPr>
        <w:t>requir</w:t>
      </w:r>
      <w:r w:rsidR="008E2216" w:rsidRPr="00903387">
        <w:rPr>
          <w:rFonts w:ascii="Calibri" w:hAnsi="Calibri" w:cs="Calibri"/>
          <w:b/>
          <w:bCs/>
          <w:shd w:val="clear" w:color="auto" w:fill="FFFFFF"/>
        </w:rPr>
        <w:t>ing</w:t>
      </w:r>
      <w:r w:rsidR="00BB3E4F" w:rsidRPr="00903387">
        <w:rPr>
          <w:rFonts w:ascii="Calibri" w:hAnsi="Calibri" w:cs="Calibri"/>
          <w:b/>
          <w:bCs/>
          <w:shd w:val="clear" w:color="auto" w:fill="FFFFFF"/>
        </w:rPr>
        <w:t xml:space="preserve"> </w:t>
      </w:r>
      <w:r w:rsidR="008E2216" w:rsidRPr="00903387">
        <w:rPr>
          <w:rFonts w:ascii="Calibri" w:hAnsi="Calibri" w:cs="Calibri"/>
          <w:b/>
          <w:bCs/>
          <w:shd w:val="clear" w:color="auto" w:fill="FFFFFF"/>
        </w:rPr>
        <w:t xml:space="preserve">a </w:t>
      </w:r>
      <w:r w:rsidR="00BB3E4F" w:rsidRPr="00903387">
        <w:rPr>
          <w:rFonts w:ascii="Calibri" w:hAnsi="Calibri" w:cs="Calibri"/>
          <w:b/>
          <w:bCs/>
          <w:shd w:val="clear" w:color="auto" w:fill="FFFFFF"/>
        </w:rPr>
        <w:t>hospital stay for a cancer-related surgery</w:t>
      </w:r>
      <w:r w:rsidR="008E2216" w:rsidRPr="00903387">
        <w:rPr>
          <w:rFonts w:ascii="Calibri" w:hAnsi="Calibri" w:cs="Calibri"/>
          <w:b/>
          <w:bCs/>
          <w:shd w:val="clear" w:color="auto" w:fill="FFFFFF"/>
        </w:rPr>
        <w:t xml:space="preserve"> </w:t>
      </w:r>
      <w:r w:rsidR="00BB3E4F" w:rsidRPr="00903387">
        <w:rPr>
          <w:rFonts w:ascii="Calibri" w:hAnsi="Calibri" w:cs="Calibri"/>
          <w:b/>
          <w:bCs/>
          <w:shd w:val="clear" w:color="auto" w:fill="FFFFFF"/>
        </w:rPr>
        <w:t xml:space="preserve">would be admitted to BIDMC and the medical oncologist would act as a consultant during the patient’s stay. </w:t>
      </w:r>
    </w:p>
    <w:p w14:paraId="23714AC8" w14:textId="69E078F8" w:rsidR="00732BB8" w:rsidRPr="00903387" w:rsidRDefault="00BB3E4F" w:rsidP="0004487C">
      <w:pPr>
        <w:jc w:val="both"/>
        <w:rPr>
          <w:rFonts w:ascii="Calibri" w:hAnsi="Calibri" w:cs="Calibri"/>
          <w:b/>
          <w:bCs/>
          <w:shd w:val="clear" w:color="auto" w:fill="FFFFFF"/>
        </w:rPr>
      </w:pPr>
      <w:r w:rsidRPr="00903387">
        <w:rPr>
          <w:rFonts w:ascii="Calibri" w:hAnsi="Calibri" w:cs="Calibri"/>
          <w:b/>
          <w:bCs/>
          <w:shd w:val="clear" w:color="auto" w:fill="FFFFFF"/>
        </w:rPr>
        <w:t xml:space="preserve">With respect to the New Cancer Hospital’s ICU specifically, intensivists will be responsible for directing patient care. </w:t>
      </w:r>
      <w:r w:rsidR="008E2216" w:rsidRPr="00903387">
        <w:rPr>
          <w:rFonts w:ascii="Calibri" w:hAnsi="Calibri" w:cs="Calibri"/>
          <w:b/>
          <w:bCs/>
          <w:shd w:val="clear" w:color="auto" w:fill="FFFFFF"/>
        </w:rPr>
        <w:t xml:space="preserve">As </w:t>
      </w:r>
      <w:r w:rsidRPr="00903387">
        <w:rPr>
          <w:rFonts w:ascii="Calibri" w:hAnsi="Calibri" w:cs="Calibri"/>
          <w:b/>
          <w:bCs/>
          <w:shd w:val="clear" w:color="auto" w:fill="FFFFFF"/>
        </w:rPr>
        <w:t xml:space="preserve">with surgeries, the medical oncologist will </w:t>
      </w:r>
      <w:r w:rsidR="00E769E3" w:rsidRPr="00903387">
        <w:rPr>
          <w:rFonts w:ascii="Calibri" w:hAnsi="Calibri" w:cs="Calibri"/>
          <w:b/>
          <w:bCs/>
          <w:shd w:val="clear" w:color="auto" w:fill="FFFFFF"/>
        </w:rPr>
        <w:t xml:space="preserve">serve </w:t>
      </w:r>
      <w:r w:rsidR="0004487C" w:rsidRPr="00903387">
        <w:rPr>
          <w:rFonts w:ascii="Calibri" w:hAnsi="Calibri" w:cs="Calibri"/>
          <w:b/>
          <w:bCs/>
          <w:shd w:val="clear" w:color="auto" w:fill="FFFFFF"/>
        </w:rPr>
        <w:t>as a consultant to the intensivist</w:t>
      </w:r>
      <w:r w:rsidR="00E769E3" w:rsidRPr="00903387">
        <w:rPr>
          <w:rFonts w:ascii="Calibri" w:hAnsi="Calibri" w:cs="Calibri"/>
          <w:b/>
          <w:bCs/>
          <w:shd w:val="clear" w:color="auto" w:fill="FFFFFF"/>
        </w:rPr>
        <w:t>,</w:t>
      </w:r>
      <w:r w:rsidR="0004487C" w:rsidRPr="00903387">
        <w:rPr>
          <w:rFonts w:ascii="Calibri" w:hAnsi="Calibri" w:cs="Calibri"/>
          <w:b/>
          <w:bCs/>
          <w:shd w:val="clear" w:color="auto" w:fill="FFFFFF"/>
        </w:rPr>
        <w:t xml:space="preserve"> visiting with patients and their families </w:t>
      </w:r>
      <w:proofErr w:type="gramStart"/>
      <w:r w:rsidR="0004487C" w:rsidRPr="00903387">
        <w:rPr>
          <w:rFonts w:ascii="Calibri" w:hAnsi="Calibri" w:cs="Calibri"/>
          <w:b/>
          <w:bCs/>
          <w:shd w:val="clear" w:color="auto" w:fill="FFFFFF"/>
        </w:rPr>
        <w:t>during the course of</w:t>
      </w:r>
      <w:proofErr w:type="gramEnd"/>
      <w:r w:rsidR="0004487C" w:rsidRPr="00903387">
        <w:rPr>
          <w:rFonts w:ascii="Calibri" w:hAnsi="Calibri" w:cs="Calibri"/>
          <w:b/>
          <w:bCs/>
          <w:shd w:val="clear" w:color="auto" w:fill="FFFFFF"/>
        </w:rPr>
        <w:t xml:space="preserve"> an ICU stay. </w:t>
      </w:r>
    </w:p>
    <w:p w14:paraId="7A56FFFA" w14:textId="77777777" w:rsidR="007C249D" w:rsidRDefault="00732BB8" w:rsidP="007C249D">
      <w:pPr>
        <w:rPr>
          <w:b/>
          <w:bCs/>
        </w:rPr>
      </w:pPr>
      <w:r w:rsidRPr="006F769C">
        <w:rPr>
          <w:rFonts w:cstheme="minorHAnsi"/>
        </w:rPr>
        <w:t>Are all CT simulators used in the provision of care for Dana-Farber patients owned by BWH?</w:t>
      </w:r>
      <w:r w:rsidR="007C249D" w:rsidRPr="007C249D">
        <w:rPr>
          <w:b/>
          <w:bCs/>
        </w:rPr>
        <w:t xml:space="preserve"> </w:t>
      </w:r>
    </w:p>
    <w:p w14:paraId="4E4688F8" w14:textId="37079ABF" w:rsidR="007C249D" w:rsidRPr="00903387" w:rsidRDefault="007C249D" w:rsidP="00BD7FE2">
      <w:pPr>
        <w:jc w:val="both"/>
        <w:rPr>
          <w:b/>
          <w:bCs/>
        </w:rPr>
      </w:pPr>
      <w:r w:rsidRPr="00903387">
        <w:rPr>
          <w:b/>
          <w:bCs/>
        </w:rPr>
        <w:t xml:space="preserve">All CT simulators used by Dana-Farber on the Longwood Medical Campus are owned and operated by BWH. Dana-Farber owns and operates two CT simulators outside the Longwood Medical Campus </w:t>
      </w:r>
      <w:bookmarkStart w:id="0" w:name="_Hlk181798312"/>
      <w:r w:rsidRPr="00903387">
        <w:rPr>
          <w:b/>
          <w:bCs/>
        </w:rPr>
        <w:t xml:space="preserve">at </w:t>
      </w:r>
      <w:r w:rsidR="004B4C52" w:rsidRPr="00903387">
        <w:rPr>
          <w:b/>
          <w:bCs/>
        </w:rPr>
        <w:t xml:space="preserve">its </w:t>
      </w:r>
      <w:r w:rsidRPr="00903387">
        <w:rPr>
          <w:b/>
          <w:bCs/>
        </w:rPr>
        <w:t xml:space="preserve">Radiation Oncology </w:t>
      </w:r>
      <w:r w:rsidR="00BD7FE2" w:rsidRPr="00903387">
        <w:rPr>
          <w:b/>
          <w:bCs/>
        </w:rPr>
        <w:t>locations in Weymouth, Massachusetts</w:t>
      </w:r>
      <w:bookmarkEnd w:id="0"/>
      <w:r w:rsidRPr="00903387">
        <w:rPr>
          <w:b/>
          <w:bCs/>
        </w:rPr>
        <w:t xml:space="preserve">. </w:t>
      </w:r>
    </w:p>
    <w:p w14:paraId="0BAE14A6" w14:textId="2D60EB65" w:rsidR="00732BB8" w:rsidRPr="006F769C" w:rsidRDefault="00732BB8" w:rsidP="00732BB8">
      <w:pPr>
        <w:pStyle w:val="ListParagraph"/>
        <w:numPr>
          <w:ilvl w:val="0"/>
          <w:numId w:val="26"/>
        </w:numPr>
        <w:rPr>
          <w:rFonts w:cstheme="minorHAnsi"/>
        </w:rPr>
      </w:pPr>
      <w:r w:rsidRPr="006F769C">
        <w:rPr>
          <w:rFonts w:cstheme="minorHAnsi"/>
        </w:rPr>
        <w:t xml:space="preserve">Responses to </w:t>
      </w:r>
      <w:proofErr w:type="spellStart"/>
      <w:r w:rsidRPr="006F769C">
        <w:rPr>
          <w:rFonts w:cstheme="minorHAnsi"/>
        </w:rPr>
        <w:t>DoN</w:t>
      </w:r>
      <w:proofErr w:type="spellEnd"/>
      <w:r w:rsidRPr="006F769C">
        <w:rPr>
          <w:rFonts w:cstheme="minorHAnsi"/>
        </w:rPr>
        <w:t xml:space="preserve"> Questions #4 state that the Applicant collaborates with The Children’s Hospital Corporation (“Boston Children’s”) for the provision of pediatric oncology services on the Longwood Medical Campus. The Proposed Project and the Applicant’s proposed relationship with BIDMC will not impact the Applicant’s relationship with Boston Children’s (pg.1). </w:t>
      </w:r>
    </w:p>
    <w:p w14:paraId="7E78C7E0" w14:textId="7A8CD0B9" w:rsidR="0013637D" w:rsidRPr="00E5181E" w:rsidRDefault="00732BB8" w:rsidP="00AE0F4F">
      <w:pPr>
        <w:pStyle w:val="ListParagraph"/>
        <w:numPr>
          <w:ilvl w:val="1"/>
          <w:numId w:val="26"/>
        </w:numPr>
        <w:rPr>
          <w:rFonts w:cstheme="minorHAnsi"/>
        </w:rPr>
      </w:pPr>
      <w:r w:rsidRPr="006F769C">
        <w:rPr>
          <w:rFonts w:cstheme="minorHAnsi"/>
        </w:rPr>
        <w:t>Explain with data why new inpatient beds dedicated to pediatric cancer care are not needed at the proposed hospital?</w:t>
      </w:r>
    </w:p>
    <w:p w14:paraId="5D485DFE" w14:textId="77FB0848" w:rsidR="007F1A7B" w:rsidRPr="00903387" w:rsidRDefault="00B477BE" w:rsidP="00FC67FF">
      <w:pPr>
        <w:jc w:val="both"/>
        <w:rPr>
          <w:rFonts w:ascii="Calibri" w:hAnsi="Calibri" w:cs="Calibri"/>
          <w:b/>
          <w:bCs/>
        </w:rPr>
      </w:pPr>
      <w:r w:rsidRPr="00903387">
        <w:rPr>
          <w:rFonts w:ascii="Calibri" w:hAnsi="Calibri" w:cs="Calibri"/>
          <w:b/>
          <w:bCs/>
        </w:rPr>
        <w:t xml:space="preserve">Dana-Farber has a longstanding </w:t>
      </w:r>
      <w:r w:rsidR="00170511" w:rsidRPr="00903387">
        <w:rPr>
          <w:rFonts w:ascii="Calibri" w:hAnsi="Calibri" w:cs="Calibri"/>
          <w:b/>
          <w:bCs/>
        </w:rPr>
        <w:t>collaboration</w:t>
      </w:r>
      <w:r w:rsidRPr="00903387">
        <w:rPr>
          <w:rFonts w:ascii="Calibri" w:hAnsi="Calibri" w:cs="Calibri"/>
          <w:b/>
          <w:bCs/>
        </w:rPr>
        <w:t xml:space="preserve"> with Boston Children’s</w:t>
      </w:r>
      <w:r w:rsidR="00170511" w:rsidRPr="00903387">
        <w:rPr>
          <w:rFonts w:ascii="Calibri" w:hAnsi="Calibri" w:cs="Calibri"/>
          <w:b/>
          <w:bCs/>
        </w:rPr>
        <w:t xml:space="preserve"> pursuant to which inpatient pediatric oncology care is provided at Boston Children’s. Both Dana-Farber and Boston Children’s </w:t>
      </w:r>
      <w:r w:rsidR="002B0907" w:rsidRPr="00903387">
        <w:rPr>
          <w:rFonts w:ascii="Calibri" w:hAnsi="Calibri" w:cs="Calibri"/>
          <w:b/>
          <w:bCs/>
        </w:rPr>
        <w:t>assert, with the support of published research,</w:t>
      </w:r>
      <w:r w:rsidR="002B0907" w:rsidRPr="00903387">
        <w:rPr>
          <w:rStyle w:val="FootnoteReference"/>
          <w:rFonts w:ascii="Calibri" w:hAnsi="Calibri" w:cs="Calibri"/>
          <w:b/>
          <w:bCs/>
        </w:rPr>
        <w:footnoteReference w:id="3"/>
      </w:r>
      <w:r w:rsidR="00170511" w:rsidRPr="00903387">
        <w:rPr>
          <w:rFonts w:ascii="Calibri" w:hAnsi="Calibri" w:cs="Calibri"/>
          <w:b/>
          <w:bCs/>
        </w:rPr>
        <w:t xml:space="preserve"> that pediatric inpatient oncology care is unique and is best provided in a facility, like Boston Children’s, that is specifically designed for the provision of care to children. </w:t>
      </w:r>
      <w:r w:rsidR="00FC67FF" w:rsidRPr="00903387">
        <w:rPr>
          <w:rFonts w:ascii="Calibri" w:hAnsi="Calibri" w:cs="Calibri"/>
          <w:b/>
          <w:bCs/>
        </w:rPr>
        <w:t>Dana-Farber and Boston Children’s continually evaluate and address the needs of their shared</w:t>
      </w:r>
      <w:r w:rsidR="002B0907" w:rsidRPr="00903387">
        <w:rPr>
          <w:rFonts w:ascii="Calibri" w:hAnsi="Calibri" w:cs="Calibri"/>
          <w:b/>
          <w:bCs/>
        </w:rPr>
        <w:t xml:space="preserve">, specific </w:t>
      </w:r>
      <w:r w:rsidR="00FC67FF" w:rsidRPr="00903387">
        <w:rPr>
          <w:rFonts w:ascii="Calibri" w:hAnsi="Calibri" w:cs="Calibri"/>
          <w:b/>
          <w:bCs/>
        </w:rPr>
        <w:t xml:space="preserve">patient population through their collaboration.  </w:t>
      </w:r>
    </w:p>
    <w:p w14:paraId="62CCE189" w14:textId="6BD00779" w:rsidR="00AE4C6C" w:rsidRPr="006F769C" w:rsidRDefault="00AE4C6C">
      <w:pPr>
        <w:rPr>
          <w:rFonts w:cstheme="minorHAnsi"/>
          <w:b/>
          <w:bCs/>
        </w:rPr>
      </w:pPr>
      <w:r w:rsidRPr="006F769C">
        <w:rPr>
          <w:rFonts w:cstheme="minorHAnsi"/>
          <w:b/>
          <w:bCs/>
        </w:rPr>
        <w:t>Factor 1b: Public Health Value/Health Equity</w:t>
      </w:r>
    </w:p>
    <w:p w14:paraId="1A587D5C" w14:textId="1568CCA7" w:rsidR="00AE4C6C" w:rsidRPr="006F769C" w:rsidRDefault="002F3CB3" w:rsidP="002F3CB3">
      <w:pPr>
        <w:pStyle w:val="ListParagraph"/>
        <w:numPr>
          <w:ilvl w:val="0"/>
          <w:numId w:val="26"/>
        </w:numPr>
        <w:rPr>
          <w:rFonts w:cstheme="minorHAnsi"/>
        </w:rPr>
      </w:pPr>
      <w:r w:rsidRPr="006F769C">
        <w:rPr>
          <w:rFonts w:cstheme="minorHAnsi"/>
        </w:rPr>
        <w:t>The application states, “To further these efforts, the Applicant maintains a strategic alliance with Boston Medical Center (“BMC”), which allows BMC patients and physicians to access Applicant’s clinical trials, thereby promoting access to innovative studies and investigational products</w:t>
      </w:r>
      <w:r w:rsidR="00B76E7A" w:rsidRPr="006F769C">
        <w:rPr>
          <w:rFonts w:cstheme="minorHAnsi"/>
        </w:rPr>
        <w:t>”</w:t>
      </w:r>
      <w:r w:rsidR="008855CA" w:rsidRPr="006F769C">
        <w:rPr>
          <w:rFonts w:cstheme="minorHAnsi"/>
        </w:rPr>
        <w:t xml:space="preserve"> </w:t>
      </w:r>
      <w:r w:rsidRPr="006F769C">
        <w:rPr>
          <w:rFonts w:cstheme="minorHAnsi"/>
        </w:rPr>
        <w:t>(pg.33)</w:t>
      </w:r>
      <w:r w:rsidR="008855CA" w:rsidRPr="006F769C">
        <w:rPr>
          <w:rFonts w:cstheme="minorHAnsi"/>
        </w:rPr>
        <w:t>.</w:t>
      </w:r>
    </w:p>
    <w:p w14:paraId="270558E1" w14:textId="77777777" w:rsidR="008855CA" w:rsidRPr="006F769C" w:rsidRDefault="008855CA" w:rsidP="008855CA">
      <w:pPr>
        <w:pStyle w:val="ListParagraph"/>
        <w:rPr>
          <w:rFonts w:cstheme="minorHAnsi"/>
        </w:rPr>
      </w:pPr>
    </w:p>
    <w:p w14:paraId="56A68683" w14:textId="58D75F57" w:rsidR="00434705" w:rsidRPr="002D146A" w:rsidRDefault="002F3CB3" w:rsidP="2CB6724A">
      <w:pPr>
        <w:pStyle w:val="ListParagraph"/>
        <w:numPr>
          <w:ilvl w:val="1"/>
          <w:numId w:val="26"/>
        </w:numPr>
        <w:rPr>
          <w:rFonts w:cstheme="minorHAnsi"/>
        </w:rPr>
      </w:pPr>
      <w:r w:rsidRPr="006F769C">
        <w:rPr>
          <w:rFonts w:cstheme="minorHAnsi"/>
        </w:rPr>
        <w:t xml:space="preserve">Explain the increased access to the Applicant’s clinical trials for BMC patients, as compared to patients from other providers. </w:t>
      </w:r>
    </w:p>
    <w:p w14:paraId="5C3394BF" w14:textId="1FF4AA52" w:rsidR="00401AC3" w:rsidRPr="00903387" w:rsidRDefault="00434705" w:rsidP="002915EF">
      <w:pPr>
        <w:jc w:val="both"/>
        <w:rPr>
          <w:rFonts w:eastAsia="Times New Roman" w:cstheme="minorHAnsi"/>
          <w:b/>
          <w:bCs/>
          <w:color w:val="000000" w:themeColor="text1"/>
        </w:rPr>
      </w:pPr>
      <w:r w:rsidRPr="00903387">
        <w:rPr>
          <w:rFonts w:eastAsia="Times New Roman" w:cstheme="minorHAnsi"/>
          <w:b/>
          <w:bCs/>
          <w:color w:val="000000" w:themeColor="text1"/>
        </w:rPr>
        <w:t>All patients</w:t>
      </w:r>
      <w:r w:rsidR="00E769E3" w:rsidRPr="00903387">
        <w:rPr>
          <w:rFonts w:eastAsia="Times New Roman" w:cstheme="minorHAnsi"/>
          <w:b/>
          <w:bCs/>
          <w:color w:val="000000" w:themeColor="text1"/>
        </w:rPr>
        <w:t>, including BMC patients,</w:t>
      </w:r>
      <w:r w:rsidRPr="00903387">
        <w:rPr>
          <w:rFonts w:eastAsia="Times New Roman" w:cstheme="minorHAnsi"/>
          <w:b/>
          <w:bCs/>
          <w:color w:val="000000" w:themeColor="text1"/>
        </w:rPr>
        <w:t xml:space="preserve"> can </w:t>
      </w:r>
      <w:r w:rsidR="00E769E3" w:rsidRPr="00903387">
        <w:rPr>
          <w:rFonts w:eastAsia="Times New Roman" w:cstheme="minorHAnsi"/>
          <w:b/>
          <w:bCs/>
          <w:color w:val="000000" w:themeColor="text1"/>
        </w:rPr>
        <w:t xml:space="preserve">participate in </w:t>
      </w:r>
      <w:r w:rsidRPr="00903387">
        <w:rPr>
          <w:rFonts w:eastAsia="Times New Roman" w:cstheme="minorHAnsi"/>
          <w:b/>
          <w:bCs/>
          <w:color w:val="000000" w:themeColor="text1"/>
        </w:rPr>
        <w:t xml:space="preserve">clinical trials at </w:t>
      </w:r>
      <w:r w:rsidR="002D146A" w:rsidRPr="00903387">
        <w:rPr>
          <w:rFonts w:eastAsia="Times New Roman" w:cstheme="minorHAnsi"/>
          <w:b/>
          <w:bCs/>
          <w:color w:val="000000" w:themeColor="text1"/>
        </w:rPr>
        <w:t>Dana-Farber facilities</w:t>
      </w:r>
      <w:r w:rsidRPr="00903387">
        <w:rPr>
          <w:rFonts w:eastAsia="Times New Roman" w:cstheme="minorHAnsi"/>
          <w:b/>
          <w:bCs/>
          <w:color w:val="000000" w:themeColor="text1"/>
        </w:rPr>
        <w:t xml:space="preserve">. </w:t>
      </w:r>
      <w:r w:rsidR="002D146A" w:rsidRPr="00903387">
        <w:rPr>
          <w:rFonts w:eastAsia="Times New Roman" w:cstheme="minorHAnsi"/>
          <w:b/>
          <w:bCs/>
          <w:color w:val="000000" w:themeColor="text1"/>
        </w:rPr>
        <w:t>Dana-Farber</w:t>
      </w:r>
      <w:r w:rsidR="00EC34DD" w:rsidRPr="00903387">
        <w:rPr>
          <w:rFonts w:eastAsia="Times New Roman" w:cstheme="minorHAnsi"/>
          <w:b/>
          <w:bCs/>
          <w:color w:val="000000" w:themeColor="text1"/>
        </w:rPr>
        <w:t xml:space="preserve"> also</w:t>
      </w:r>
      <w:r w:rsidR="002D146A" w:rsidRPr="00903387">
        <w:rPr>
          <w:rFonts w:eastAsia="Times New Roman" w:cstheme="minorHAnsi"/>
          <w:b/>
          <w:bCs/>
          <w:color w:val="000000" w:themeColor="text1"/>
        </w:rPr>
        <w:t xml:space="preserve"> maintains relationships with a set of a providers</w:t>
      </w:r>
      <w:r w:rsidR="00FB7D8A" w:rsidRPr="00903387">
        <w:rPr>
          <w:rFonts w:eastAsia="Times New Roman" w:cstheme="minorHAnsi"/>
          <w:b/>
          <w:bCs/>
          <w:color w:val="000000" w:themeColor="text1"/>
        </w:rPr>
        <w:t xml:space="preserve">, including BMC, </w:t>
      </w:r>
      <w:r w:rsidR="002D146A" w:rsidRPr="00903387">
        <w:rPr>
          <w:rFonts w:eastAsia="Times New Roman" w:cstheme="minorHAnsi"/>
          <w:b/>
          <w:bCs/>
          <w:color w:val="000000" w:themeColor="text1"/>
        </w:rPr>
        <w:t>with which it hosts multi-</w:t>
      </w:r>
      <w:r w:rsidR="002D146A" w:rsidRPr="00903387">
        <w:rPr>
          <w:rFonts w:eastAsia="Times New Roman" w:cstheme="minorHAnsi"/>
          <w:b/>
          <w:bCs/>
          <w:color w:val="000000" w:themeColor="text1"/>
        </w:rPr>
        <w:lastRenderedPageBreak/>
        <w:t>site Dana-Farber clinical trials</w:t>
      </w:r>
      <w:r w:rsidR="00EC34DD" w:rsidRPr="00903387">
        <w:rPr>
          <w:rFonts w:eastAsia="Times New Roman" w:cstheme="minorHAnsi"/>
          <w:b/>
          <w:bCs/>
          <w:color w:val="000000" w:themeColor="text1"/>
        </w:rPr>
        <w:t xml:space="preserve"> on the campuses </w:t>
      </w:r>
      <w:r w:rsidR="002177A6" w:rsidRPr="00903387">
        <w:rPr>
          <w:rFonts w:eastAsia="Times New Roman" w:cstheme="minorHAnsi"/>
          <w:b/>
          <w:bCs/>
          <w:color w:val="000000" w:themeColor="text1"/>
        </w:rPr>
        <w:t>of those providers</w:t>
      </w:r>
      <w:r w:rsidR="00FB7D8A" w:rsidRPr="00903387">
        <w:rPr>
          <w:rFonts w:eastAsia="Times New Roman" w:cstheme="minorHAnsi"/>
          <w:b/>
          <w:bCs/>
          <w:color w:val="000000" w:themeColor="text1"/>
        </w:rPr>
        <w:t>. Offering these multi-site clinical trials</w:t>
      </w:r>
      <w:r w:rsidR="002177A6" w:rsidRPr="00903387">
        <w:rPr>
          <w:rFonts w:eastAsia="Times New Roman" w:cstheme="minorHAnsi"/>
          <w:b/>
          <w:bCs/>
          <w:color w:val="000000" w:themeColor="text1"/>
        </w:rPr>
        <w:t xml:space="preserve"> offsite</w:t>
      </w:r>
      <w:r w:rsidR="00FB7D8A" w:rsidRPr="00903387">
        <w:rPr>
          <w:rFonts w:eastAsia="Times New Roman" w:cstheme="minorHAnsi"/>
          <w:b/>
          <w:bCs/>
          <w:color w:val="000000" w:themeColor="text1"/>
        </w:rPr>
        <w:t xml:space="preserve"> </w:t>
      </w:r>
      <w:r w:rsidR="00E769E3" w:rsidRPr="00903387">
        <w:rPr>
          <w:rFonts w:eastAsia="Times New Roman" w:cstheme="minorHAnsi"/>
          <w:b/>
          <w:bCs/>
          <w:color w:val="000000" w:themeColor="text1"/>
        </w:rPr>
        <w:t xml:space="preserve">expands access to these </w:t>
      </w:r>
      <w:r w:rsidR="00FB7D8A" w:rsidRPr="00903387">
        <w:rPr>
          <w:rFonts w:eastAsia="Times New Roman" w:cstheme="minorHAnsi"/>
          <w:b/>
          <w:bCs/>
          <w:color w:val="000000" w:themeColor="text1"/>
        </w:rPr>
        <w:t xml:space="preserve">cutting-edge, potentially lifesaving </w:t>
      </w:r>
      <w:r w:rsidR="00E769E3" w:rsidRPr="00903387">
        <w:rPr>
          <w:rFonts w:eastAsia="Times New Roman" w:cstheme="minorHAnsi"/>
          <w:b/>
          <w:bCs/>
          <w:color w:val="000000" w:themeColor="text1"/>
        </w:rPr>
        <w:t xml:space="preserve">studies. </w:t>
      </w:r>
      <w:r w:rsidR="002177A6" w:rsidRPr="00903387">
        <w:rPr>
          <w:rFonts w:eastAsia="Times New Roman" w:cstheme="minorHAnsi"/>
          <w:b/>
          <w:bCs/>
          <w:color w:val="000000" w:themeColor="text1"/>
        </w:rPr>
        <w:t xml:space="preserve">Since 2020, 79 BMC patients have participated in Dana-Farber clinical trials on the BMC campus.  </w:t>
      </w:r>
      <w:r w:rsidR="00F724CD" w:rsidRPr="00903387">
        <w:rPr>
          <w:rFonts w:eastAsia="Times New Roman" w:cstheme="minorHAnsi"/>
          <w:b/>
          <w:bCs/>
          <w:color w:val="000000" w:themeColor="text1"/>
        </w:rPr>
        <w:t xml:space="preserve">Additionally, </w:t>
      </w:r>
      <w:r w:rsidR="002F0B8F" w:rsidRPr="00903387">
        <w:rPr>
          <w:b/>
          <w:bCs/>
        </w:rPr>
        <w:t>there has been a</w:t>
      </w:r>
      <w:r w:rsidR="00F724CD" w:rsidRPr="00903387">
        <w:rPr>
          <w:b/>
          <w:bCs/>
        </w:rPr>
        <w:t>n</w:t>
      </w:r>
      <w:r w:rsidR="00386173" w:rsidRPr="00903387">
        <w:rPr>
          <w:b/>
          <w:bCs/>
        </w:rPr>
        <w:t xml:space="preserve"> </w:t>
      </w:r>
      <w:r w:rsidR="00F724CD" w:rsidRPr="00903387">
        <w:rPr>
          <w:b/>
          <w:bCs/>
        </w:rPr>
        <w:t>8</w:t>
      </w:r>
      <w:r w:rsidR="00802EE7" w:rsidRPr="00903387">
        <w:rPr>
          <w:b/>
          <w:bCs/>
        </w:rPr>
        <w:t>8</w:t>
      </w:r>
      <w:r w:rsidR="00386173" w:rsidRPr="00903387">
        <w:rPr>
          <w:b/>
          <w:bCs/>
        </w:rPr>
        <w:t>%</w:t>
      </w:r>
      <w:r w:rsidR="002F0B8F" w:rsidRPr="00903387">
        <w:rPr>
          <w:b/>
          <w:bCs/>
        </w:rPr>
        <w:t xml:space="preserve"> </w:t>
      </w:r>
      <w:r w:rsidR="00386173" w:rsidRPr="00903387">
        <w:rPr>
          <w:b/>
          <w:bCs/>
        </w:rPr>
        <w:t>increase</w:t>
      </w:r>
      <w:r w:rsidR="00F215F0" w:rsidRPr="00903387">
        <w:rPr>
          <w:b/>
          <w:bCs/>
        </w:rPr>
        <w:t xml:space="preserve"> </w:t>
      </w:r>
      <w:r w:rsidR="00386173" w:rsidRPr="00903387">
        <w:rPr>
          <w:b/>
          <w:bCs/>
        </w:rPr>
        <w:t xml:space="preserve">in </w:t>
      </w:r>
      <w:r w:rsidR="002915EF" w:rsidRPr="00903387">
        <w:rPr>
          <w:b/>
          <w:bCs/>
        </w:rPr>
        <w:t xml:space="preserve">BMC </w:t>
      </w:r>
      <w:r w:rsidR="00386173" w:rsidRPr="00903387">
        <w:rPr>
          <w:b/>
          <w:bCs/>
        </w:rPr>
        <w:t>patient</w:t>
      </w:r>
      <w:r w:rsidR="002915EF" w:rsidRPr="00903387">
        <w:rPr>
          <w:b/>
          <w:bCs/>
        </w:rPr>
        <w:t>s receiving care at Dana-Farber</w:t>
      </w:r>
      <w:r w:rsidR="00F724CD" w:rsidRPr="00903387">
        <w:rPr>
          <w:b/>
          <w:bCs/>
        </w:rPr>
        <w:t xml:space="preserve"> from </w:t>
      </w:r>
      <w:r w:rsidR="00F724CD" w:rsidRPr="00903387">
        <w:rPr>
          <w:rFonts w:eastAsia="Times New Roman" w:cstheme="minorHAnsi"/>
          <w:b/>
          <w:bCs/>
          <w:color w:val="000000" w:themeColor="text1"/>
        </w:rPr>
        <w:t>FY21, when</w:t>
      </w:r>
      <w:r w:rsidR="00F724CD" w:rsidRPr="00903387">
        <w:rPr>
          <w:b/>
          <w:bCs/>
        </w:rPr>
        <w:t xml:space="preserve"> Dana-Farber became an in-network provider in BMC’s </w:t>
      </w:r>
      <w:proofErr w:type="spellStart"/>
      <w:r w:rsidR="00F724CD" w:rsidRPr="00903387">
        <w:rPr>
          <w:b/>
          <w:bCs/>
        </w:rPr>
        <w:t>Well</w:t>
      </w:r>
      <w:r w:rsidR="005C1468" w:rsidRPr="00903387">
        <w:rPr>
          <w:b/>
          <w:bCs/>
        </w:rPr>
        <w:t>S</w:t>
      </w:r>
      <w:r w:rsidR="00F724CD" w:rsidRPr="00903387">
        <w:rPr>
          <w:b/>
          <w:bCs/>
        </w:rPr>
        <w:t>ense</w:t>
      </w:r>
      <w:proofErr w:type="spellEnd"/>
      <w:r w:rsidR="005C1468" w:rsidRPr="00903387">
        <w:rPr>
          <w:b/>
          <w:bCs/>
        </w:rPr>
        <w:t xml:space="preserve"> Health</w:t>
      </w:r>
      <w:r w:rsidR="00F724CD" w:rsidRPr="00903387">
        <w:rPr>
          <w:b/>
          <w:bCs/>
        </w:rPr>
        <w:t xml:space="preserve"> Plan, to FY23</w:t>
      </w:r>
      <w:r w:rsidR="00E4406C" w:rsidRPr="00903387">
        <w:rPr>
          <w:b/>
          <w:bCs/>
        </w:rPr>
        <w:t>.</w:t>
      </w:r>
      <w:r w:rsidR="00023ACA" w:rsidRPr="00903387">
        <w:rPr>
          <w:b/>
          <w:bCs/>
        </w:rPr>
        <w:t xml:space="preserve"> </w:t>
      </w:r>
      <w:r w:rsidR="00F724CD" w:rsidRPr="00903387">
        <w:rPr>
          <w:b/>
          <w:bCs/>
          <w:color w:val="000000"/>
        </w:rPr>
        <w:t xml:space="preserve">This </w:t>
      </w:r>
      <w:r w:rsidR="00B63F8E" w:rsidRPr="00903387">
        <w:rPr>
          <w:b/>
          <w:bCs/>
          <w:color w:val="000000"/>
        </w:rPr>
        <w:t>increase</w:t>
      </w:r>
      <w:r w:rsidR="00F724CD" w:rsidRPr="00903387">
        <w:rPr>
          <w:b/>
          <w:bCs/>
          <w:color w:val="000000"/>
        </w:rPr>
        <w:t>d</w:t>
      </w:r>
      <w:r w:rsidR="00B63F8E" w:rsidRPr="00903387">
        <w:rPr>
          <w:b/>
          <w:bCs/>
          <w:color w:val="000000"/>
        </w:rPr>
        <w:t xml:space="preserve"> clinical access for patients</w:t>
      </w:r>
      <w:r w:rsidR="00F724CD" w:rsidRPr="00903387">
        <w:rPr>
          <w:b/>
          <w:bCs/>
          <w:color w:val="000000"/>
        </w:rPr>
        <w:t xml:space="preserve"> to Dana-Farber facilities likewise increases</w:t>
      </w:r>
      <w:r w:rsidR="00B63F8E" w:rsidRPr="00903387">
        <w:rPr>
          <w:b/>
          <w:bCs/>
          <w:color w:val="000000"/>
        </w:rPr>
        <w:t xml:space="preserve"> access to cancer clinical trials.</w:t>
      </w:r>
      <w:r w:rsidR="00BF4590" w:rsidRPr="00903387">
        <w:rPr>
          <w:b/>
          <w:bCs/>
          <w:color w:val="000000"/>
        </w:rPr>
        <w:t xml:space="preserve"> </w:t>
      </w:r>
      <w:r w:rsidR="00005AC2" w:rsidRPr="00903387">
        <w:rPr>
          <w:b/>
          <w:bCs/>
        </w:rPr>
        <w:t xml:space="preserve">Dana-Farber is committed to equitable, accessible cancer care to all who need it, and to provide that care in spaces where every patient feels a sense of inclusivity and belonging. </w:t>
      </w:r>
    </w:p>
    <w:p w14:paraId="62BA3C81" w14:textId="72B5859F" w:rsidR="00B709C5" w:rsidRPr="006F769C" w:rsidRDefault="00B26652" w:rsidP="002F3CB3">
      <w:pPr>
        <w:rPr>
          <w:rFonts w:cstheme="minorHAnsi"/>
          <w:b/>
          <w:bCs/>
        </w:rPr>
      </w:pPr>
      <w:r w:rsidRPr="006F769C">
        <w:rPr>
          <w:rFonts w:cstheme="minorHAnsi"/>
          <w:b/>
          <w:bCs/>
        </w:rPr>
        <w:t>Factor 1c - Operate Efficiently and Effectively</w:t>
      </w:r>
    </w:p>
    <w:p w14:paraId="789A7A8E" w14:textId="31F4874D" w:rsidR="00B26652" w:rsidRPr="006F769C" w:rsidRDefault="00E11B96" w:rsidP="00746046">
      <w:pPr>
        <w:pStyle w:val="ListParagraph"/>
        <w:numPr>
          <w:ilvl w:val="0"/>
          <w:numId w:val="26"/>
        </w:numPr>
        <w:rPr>
          <w:rFonts w:cstheme="minorHAnsi"/>
        </w:rPr>
      </w:pPr>
      <w:r w:rsidRPr="006F769C">
        <w:rPr>
          <w:rFonts w:cstheme="minorHAnsi"/>
        </w:rPr>
        <w:t xml:space="preserve">Responses to </w:t>
      </w:r>
      <w:proofErr w:type="spellStart"/>
      <w:r w:rsidRPr="006F769C">
        <w:rPr>
          <w:rFonts w:cstheme="minorHAnsi"/>
        </w:rPr>
        <w:t>DoN</w:t>
      </w:r>
      <w:proofErr w:type="spellEnd"/>
      <w:r w:rsidRPr="006F769C">
        <w:rPr>
          <w:rFonts w:cstheme="minorHAnsi"/>
        </w:rPr>
        <w:t xml:space="preserve"> Questions </w:t>
      </w:r>
      <w:r w:rsidR="00EF614D" w:rsidRPr="006F769C">
        <w:rPr>
          <w:rFonts w:cstheme="minorHAnsi"/>
        </w:rPr>
        <w:t>#2</w:t>
      </w:r>
      <w:r w:rsidRPr="006F769C">
        <w:rPr>
          <w:rFonts w:cstheme="minorHAnsi"/>
        </w:rPr>
        <w:t xml:space="preserve"> states, “At the New Cancer Hospital, all staff will be singularly focused on cancer patients. All care team members will have a sophisticated level of expertise and appreciate the specific challenges of a cancer patient’s journey which will ultimately create efficiencies in care coordination</w:t>
      </w:r>
      <w:r w:rsidR="00B76E7A" w:rsidRPr="006F769C">
        <w:rPr>
          <w:rFonts w:cstheme="minorHAnsi"/>
        </w:rPr>
        <w:t xml:space="preserve">” </w:t>
      </w:r>
      <w:r w:rsidR="003E7891" w:rsidRPr="006F769C">
        <w:rPr>
          <w:rFonts w:cstheme="minorHAnsi"/>
        </w:rPr>
        <w:t>(pg.21)</w:t>
      </w:r>
      <w:r w:rsidR="008855CA" w:rsidRPr="006F769C">
        <w:rPr>
          <w:rFonts w:cstheme="minorHAnsi"/>
        </w:rPr>
        <w:t>.</w:t>
      </w:r>
    </w:p>
    <w:p w14:paraId="4C7DF7A2" w14:textId="6463DE13" w:rsidR="00746046" w:rsidRPr="006F769C" w:rsidRDefault="00792482" w:rsidP="00746046">
      <w:pPr>
        <w:pStyle w:val="ListParagraph"/>
        <w:numPr>
          <w:ilvl w:val="1"/>
          <w:numId w:val="26"/>
        </w:numPr>
      </w:pPr>
      <w:r w:rsidRPr="006F769C">
        <w:t xml:space="preserve">Describe the </w:t>
      </w:r>
      <w:r w:rsidR="0046156C" w:rsidRPr="006F769C">
        <w:t>coordination of care</w:t>
      </w:r>
      <w:r w:rsidR="007F5544" w:rsidRPr="006F769C">
        <w:t xml:space="preserve"> and access to providers</w:t>
      </w:r>
      <w:r w:rsidRPr="006F769C">
        <w:t xml:space="preserve"> </w:t>
      </w:r>
      <w:r w:rsidR="0046156C" w:rsidRPr="006F769C">
        <w:t>for</w:t>
      </w:r>
      <w:r w:rsidRPr="006F769C">
        <w:t xml:space="preserve"> </w:t>
      </w:r>
      <w:r w:rsidR="006636BE" w:rsidRPr="006F769C">
        <w:t xml:space="preserve">current </w:t>
      </w:r>
      <w:r w:rsidRPr="006F769C">
        <w:t xml:space="preserve">patients </w:t>
      </w:r>
      <w:r w:rsidR="00891646" w:rsidRPr="006F769C">
        <w:t xml:space="preserve">with cancer who present </w:t>
      </w:r>
      <w:r w:rsidRPr="006F769C">
        <w:t>with non-cancer</w:t>
      </w:r>
      <w:r w:rsidR="00891646" w:rsidRPr="006F769C">
        <w:t>-related</w:t>
      </w:r>
      <w:r w:rsidRPr="006F769C">
        <w:t xml:space="preserve"> </w:t>
      </w:r>
      <w:r w:rsidR="00997F10" w:rsidRPr="006F769C">
        <w:t>conditions</w:t>
      </w:r>
      <w:r w:rsidRPr="006F769C">
        <w:t xml:space="preserve">, and </w:t>
      </w:r>
      <w:r w:rsidR="00120B29" w:rsidRPr="006F769C">
        <w:t xml:space="preserve">whether </w:t>
      </w:r>
      <w:r w:rsidR="0046156C" w:rsidRPr="006F769C">
        <w:t xml:space="preserve">their </w:t>
      </w:r>
      <w:r w:rsidR="00891646" w:rsidRPr="006F769C">
        <w:t>care coordination</w:t>
      </w:r>
      <w:r w:rsidRPr="006F769C">
        <w:t xml:space="preserve"> will differ </w:t>
      </w:r>
      <w:r w:rsidR="00891646" w:rsidRPr="006F769C">
        <w:t>in the proposed hospital</w:t>
      </w:r>
      <w:r w:rsidRPr="006F769C">
        <w:t xml:space="preserve"> dedicated to cancer </w:t>
      </w:r>
      <w:r w:rsidR="00891646" w:rsidRPr="006F769C">
        <w:t>care</w:t>
      </w:r>
      <w:r w:rsidRPr="006F769C">
        <w:t xml:space="preserve">. </w:t>
      </w:r>
    </w:p>
    <w:p w14:paraId="0248AD80" w14:textId="4114F097" w:rsidR="007357E9" w:rsidRPr="00903387" w:rsidRDefault="007357E9" w:rsidP="00A10B06">
      <w:pPr>
        <w:jc w:val="both"/>
        <w:rPr>
          <w:rStyle w:val="normaltextrun"/>
          <w:rFonts w:ascii="Calibri" w:hAnsi="Calibri"/>
          <w:b/>
          <w:bCs/>
        </w:rPr>
      </w:pPr>
      <w:r w:rsidRPr="00903387">
        <w:rPr>
          <w:rStyle w:val="normaltextrun"/>
          <w:rFonts w:ascii="Calibri" w:hAnsi="Calibri"/>
          <w:b/>
          <w:bCs/>
        </w:rPr>
        <w:t xml:space="preserve">Dana-Farber expects that patient access to non-cancer specialty care under the new collaboration will be similar in manner and scope to </w:t>
      </w:r>
      <w:r w:rsidR="006F6865" w:rsidRPr="00903387">
        <w:rPr>
          <w:rStyle w:val="normaltextrun"/>
          <w:rFonts w:ascii="Calibri" w:hAnsi="Calibri"/>
          <w:b/>
          <w:bCs/>
        </w:rPr>
        <w:t xml:space="preserve">that </w:t>
      </w:r>
      <w:r w:rsidRPr="00903387">
        <w:rPr>
          <w:rStyle w:val="normaltextrun"/>
          <w:rFonts w:ascii="Calibri" w:hAnsi="Calibri"/>
          <w:b/>
          <w:bCs/>
        </w:rPr>
        <w:t xml:space="preserve">under Dana-Farber’s </w:t>
      </w:r>
      <w:r w:rsidR="006F6865" w:rsidRPr="00903387">
        <w:rPr>
          <w:rStyle w:val="normaltextrun"/>
          <w:rFonts w:ascii="Calibri" w:hAnsi="Calibri"/>
          <w:b/>
          <w:bCs/>
        </w:rPr>
        <w:t>current collaboration</w:t>
      </w:r>
      <w:r w:rsidRPr="00903387">
        <w:rPr>
          <w:rStyle w:val="normaltextrun"/>
          <w:rFonts w:ascii="Calibri" w:hAnsi="Calibri"/>
          <w:b/>
          <w:bCs/>
        </w:rPr>
        <w:t xml:space="preserve">. </w:t>
      </w:r>
    </w:p>
    <w:p w14:paraId="7148E722" w14:textId="2CD4FF08" w:rsidR="001D3885" w:rsidRPr="00903387" w:rsidRDefault="001D3885" w:rsidP="00A10B06">
      <w:pPr>
        <w:jc w:val="both"/>
        <w:rPr>
          <w:rStyle w:val="normaltextrun"/>
          <w:rFonts w:ascii="Calibri" w:hAnsi="Calibri"/>
          <w:b/>
          <w:bCs/>
        </w:rPr>
      </w:pPr>
      <w:r w:rsidRPr="00903387">
        <w:rPr>
          <w:rStyle w:val="normaltextrun"/>
          <w:rFonts w:ascii="Calibri" w:hAnsi="Calibri"/>
          <w:b/>
          <w:bCs/>
        </w:rPr>
        <w:t xml:space="preserve">Dana-Farber understands that </w:t>
      </w:r>
      <w:r w:rsidR="00505239" w:rsidRPr="00903387">
        <w:rPr>
          <w:rStyle w:val="normaltextrun"/>
          <w:rFonts w:ascii="Calibri" w:hAnsi="Calibri"/>
          <w:b/>
          <w:bCs/>
        </w:rPr>
        <w:t>close collaboration with a comprehensive academic medical center like BIDMC is critical to the maintenance of a successful freestanding cancer hospital. Through that collaboration, Dana-Farber cancer patients who present with non-cancer-related illness can be supported by best-in-class non-cancer specialists</w:t>
      </w:r>
      <w:r w:rsidR="00A10B06" w:rsidRPr="00903387">
        <w:rPr>
          <w:rStyle w:val="normaltextrun"/>
          <w:rFonts w:ascii="Calibri" w:hAnsi="Calibri"/>
          <w:b/>
          <w:bCs/>
        </w:rPr>
        <w:t xml:space="preserve">, like cardiologists and infectious disease specialists, who can, because of the collaboration, be easily integrated into the patient’s oncology care team, maximizing the coordination of care. </w:t>
      </w:r>
    </w:p>
    <w:p w14:paraId="0E45A387" w14:textId="189F5EF1" w:rsidR="00A10B06" w:rsidRPr="00903387" w:rsidRDefault="00A10B06" w:rsidP="007357E9">
      <w:pPr>
        <w:jc w:val="both"/>
        <w:rPr>
          <w:rStyle w:val="normaltextrun"/>
          <w:rFonts w:ascii="Calibri" w:hAnsi="Calibri" w:cs="Calibri"/>
          <w:b/>
          <w:bCs/>
          <w:shd w:val="clear" w:color="auto" w:fill="FFFFFF"/>
        </w:rPr>
      </w:pPr>
      <w:r w:rsidRPr="00903387">
        <w:rPr>
          <w:rStyle w:val="normaltextrun"/>
          <w:rFonts w:ascii="Calibri" w:hAnsi="Calibri" w:cs="Calibri"/>
          <w:b/>
          <w:bCs/>
          <w:shd w:val="clear" w:color="auto" w:fill="FFFFFF"/>
        </w:rPr>
        <w:t xml:space="preserve">In addition, Dana-Farber </w:t>
      </w:r>
      <w:r w:rsidR="00551463" w:rsidRPr="00903387">
        <w:rPr>
          <w:rStyle w:val="normaltextrun"/>
          <w:rFonts w:ascii="Calibri" w:hAnsi="Calibri" w:cs="Calibri"/>
          <w:b/>
          <w:bCs/>
          <w:shd w:val="clear" w:color="auto" w:fill="FFFFFF"/>
        </w:rPr>
        <w:t>has always strived, and will continue to strive,</w:t>
      </w:r>
      <w:r w:rsidRPr="00903387">
        <w:rPr>
          <w:rStyle w:val="normaltextrun"/>
          <w:rFonts w:ascii="Calibri" w:hAnsi="Calibri" w:cs="Calibri"/>
          <w:b/>
          <w:bCs/>
          <w:shd w:val="clear" w:color="auto" w:fill="FFFFFF"/>
        </w:rPr>
        <w:t xml:space="preserve"> to </w:t>
      </w:r>
      <w:r w:rsidR="00551463" w:rsidRPr="00903387">
        <w:rPr>
          <w:rStyle w:val="normaltextrun"/>
          <w:rFonts w:ascii="Calibri" w:hAnsi="Calibri" w:cs="Calibri"/>
          <w:b/>
          <w:bCs/>
          <w:shd w:val="clear" w:color="auto" w:fill="FFFFFF"/>
        </w:rPr>
        <w:t>coordinat</w:t>
      </w:r>
      <w:r w:rsidR="006F6865" w:rsidRPr="00903387">
        <w:rPr>
          <w:rStyle w:val="normaltextrun"/>
          <w:rFonts w:ascii="Calibri" w:hAnsi="Calibri" w:cs="Calibri"/>
          <w:b/>
          <w:bCs/>
          <w:shd w:val="clear" w:color="auto" w:fill="FFFFFF"/>
        </w:rPr>
        <w:t>e</w:t>
      </w:r>
      <w:r w:rsidR="00551463" w:rsidRPr="00903387">
        <w:rPr>
          <w:rStyle w:val="normaltextrun"/>
          <w:rFonts w:ascii="Calibri" w:hAnsi="Calibri" w:cs="Calibri"/>
          <w:b/>
          <w:bCs/>
          <w:shd w:val="clear" w:color="auto" w:fill="FFFFFF"/>
        </w:rPr>
        <w:t xml:space="preserve"> with patients’ local care providers, including primary care </w:t>
      </w:r>
      <w:r w:rsidR="006F6865" w:rsidRPr="00903387">
        <w:rPr>
          <w:rStyle w:val="normaltextrun"/>
          <w:rFonts w:ascii="Calibri" w:hAnsi="Calibri" w:cs="Calibri"/>
          <w:b/>
          <w:bCs/>
          <w:shd w:val="clear" w:color="auto" w:fill="FFFFFF"/>
        </w:rPr>
        <w:t>providers</w:t>
      </w:r>
      <w:r w:rsidRPr="00903387">
        <w:rPr>
          <w:rStyle w:val="normaltextrun"/>
          <w:rFonts w:ascii="Calibri" w:hAnsi="Calibri" w:cs="Calibri"/>
          <w:b/>
          <w:bCs/>
          <w:shd w:val="clear" w:color="auto" w:fill="FFFFFF"/>
        </w:rPr>
        <w:t xml:space="preserve">. The diagnosis of cancer and the ensuing supportive care and treatment is not only difficult for patients but also for their family members and loved ones who help to care for and transport patients for treatments. In developing a </w:t>
      </w:r>
      <w:r w:rsidR="00D61CD3" w:rsidRPr="00903387">
        <w:rPr>
          <w:rStyle w:val="normaltextrun"/>
          <w:rFonts w:ascii="Calibri" w:hAnsi="Calibri" w:cs="Calibri"/>
          <w:b/>
          <w:bCs/>
          <w:shd w:val="clear" w:color="auto" w:fill="FFFFFF"/>
        </w:rPr>
        <w:t>New</w:t>
      </w:r>
      <w:r w:rsidRPr="00903387">
        <w:rPr>
          <w:rStyle w:val="normaltextrun"/>
          <w:rFonts w:ascii="Calibri" w:hAnsi="Calibri" w:cs="Calibri"/>
          <w:b/>
          <w:bCs/>
          <w:shd w:val="clear" w:color="auto" w:fill="FFFFFF"/>
        </w:rPr>
        <w:t xml:space="preserve"> Cancer Hospital, Dana-Farber intends to maintain</w:t>
      </w:r>
      <w:r w:rsidR="00D61CD3" w:rsidRPr="00903387">
        <w:rPr>
          <w:rStyle w:val="normaltextrun"/>
          <w:rFonts w:ascii="Calibri" w:hAnsi="Calibri" w:cs="Calibri"/>
          <w:b/>
          <w:bCs/>
          <w:shd w:val="clear" w:color="auto" w:fill="FFFFFF"/>
        </w:rPr>
        <w:t xml:space="preserve"> and strengthen</w:t>
      </w:r>
      <w:r w:rsidRPr="00903387">
        <w:rPr>
          <w:rStyle w:val="normaltextrun"/>
          <w:rFonts w:ascii="Calibri" w:hAnsi="Calibri" w:cs="Calibri"/>
          <w:b/>
          <w:bCs/>
          <w:shd w:val="clear" w:color="auto" w:fill="FFFFFF"/>
        </w:rPr>
        <w:t xml:space="preserve"> its commitment to collaborating with local community hospitals</w:t>
      </w:r>
      <w:r w:rsidR="00D61CD3" w:rsidRPr="00903387">
        <w:rPr>
          <w:rStyle w:val="normaltextrun"/>
          <w:rFonts w:ascii="Calibri" w:hAnsi="Calibri" w:cs="Calibri"/>
          <w:b/>
          <w:bCs/>
          <w:shd w:val="clear" w:color="auto" w:fill="FFFFFF"/>
        </w:rPr>
        <w:t xml:space="preserve">, </w:t>
      </w:r>
      <w:r w:rsidRPr="00903387">
        <w:rPr>
          <w:rStyle w:val="normaltextrun"/>
          <w:rFonts w:ascii="Calibri" w:hAnsi="Calibri" w:cs="Calibri"/>
          <w:b/>
          <w:bCs/>
          <w:shd w:val="clear" w:color="auto" w:fill="FFFFFF"/>
        </w:rPr>
        <w:t>community health centers</w:t>
      </w:r>
      <w:r w:rsidR="00D61CD3" w:rsidRPr="00903387">
        <w:rPr>
          <w:rStyle w:val="normaltextrun"/>
          <w:rFonts w:ascii="Calibri" w:hAnsi="Calibri" w:cs="Calibri"/>
          <w:b/>
          <w:bCs/>
          <w:shd w:val="clear" w:color="auto" w:fill="FFFFFF"/>
        </w:rPr>
        <w:t xml:space="preserve">, and primary care physicians to ensure both that necessary care is provided in the appropriate setting and that care of all kinds (cancer and non-cancer) is coordinated as closely as possible. </w:t>
      </w:r>
    </w:p>
    <w:p w14:paraId="48211D43" w14:textId="3DA332A3" w:rsidR="002F3CB3" w:rsidRPr="006F769C" w:rsidRDefault="00825C95" w:rsidP="002F3CB3">
      <w:pPr>
        <w:rPr>
          <w:rFonts w:cstheme="minorHAnsi"/>
          <w:b/>
          <w:bCs/>
        </w:rPr>
      </w:pPr>
      <w:r w:rsidRPr="006F769C">
        <w:rPr>
          <w:rFonts w:cstheme="minorHAnsi"/>
          <w:b/>
          <w:bCs/>
        </w:rPr>
        <w:t>F</w:t>
      </w:r>
      <w:r w:rsidR="0077609C" w:rsidRPr="006F769C">
        <w:rPr>
          <w:rFonts w:cstheme="minorHAnsi"/>
          <w:b/>
          <w:bCs/>
        </w:rPr>
        <w:t>actor 2: Delivery System Transformation</w:t>
      </w:r>
    </w:p>
    <w:p w14:paraId="5296CA97" w14:textId="72B6D632" w:rsidR="0077609C" w:rsidRPr="006F769C" w:rsidRDefault="0077609C" w:rsidP="0077609C">
      <w:pPr>
        <w:pStyle w:val="ListParagraph"/>
        <w:numPr>
          <w:ilvl w:val="0"/>
          <w:numId w:val="26"/>
        </w:numPr>
        <w:rPr>
          <w:rFonts w:cstheme="minorHAnsi"/>
        </w:rPr>
      </w:pPr>
      <w:r w:rsidRPr="006F769C">
        <w:rPr>
          <w:rFonts w:cstheme="minorHAnsi"/>
        </w:rPr>
        <w:t xml:space="preserve">Responses to </w:t>
      </w:r>
      <w:proofErr w:type="spellStart"/>
      <w:r w:rsidRPr="006F769C">
        <w:rPr>
          <w:rFonts w:cstheme="minorHAnsi"/>
        </w:rPr>
        <w:t>DoN</w:t>
      </w:r>
      <w:proofErr w:type="spellEnd"/>
      <w:r w:rsidRPr="006F769C">
        <w:rPr>
          <w:rFonts w:cstheme="minorHAnsi"/>
        </w:rPr>
        <w:t xml:space="preserve"> Questions #2 states, “Dana-Farber screens patients for health-related social needs (HRSNs) in both the ambulatory and inpatient settings</w:t>
      </w:r>
      <w:r w:rsidR="00B76E7A" w:rsidRPr="006F769C">
        <w:rPr>
          <w:rFonts w:cstheme="minorHAnsi"/>
        </w:rPr>
        <w:t>”</w:t>
      </w:r>
      <w:r w:rsidR="008855CA" w:rsidRPr="006F769C">
        <w:rPr>
          <w:rFonts w:cstheme="minorHAnsi"/>
        </w:rPr>
        <w:t xml:space="preserve"> </w:t>
      </w:r>
      <w:r w:rsidRPr="006F769C">
        <w:rPr>
          <w:rFonts w:cstheme="minorHAnsi"/>
        </w:rPr>
        <w:t>(pg.23)</w:t>
      </w:r>
      <w:r w:rsidR="008855CA" w:rsidRPr="006F769C">
        <w:rPr>
          <w:rFonts w:cstheme="minorHAnsi"/>
        </w:rPr>
        <w:t>.</w:t>
      </w:r>
    </w:p>
    <w:p w14:paraId="0C77ABF3" w14:textId="7726500F" w:rsidR="00DE1067" w:rsidRPr="006F769C" w:rsidRDefault="0077609C" w:rsidP="00DE1067">
      <w:pPr>
        <w:pStyle w:val="ListParagraph"/>
        <w:numPr>
          <w:ilvl w:val="1"/>
          <w:numId w:val="26"/>
        </w:numPr>
        <w:rPr>
          <w:rFonts w:cstheme="minorHAnsi"/>
        </w:rPr>
      </w:pPr>
      <w:r w:rsidRPr="006F769C">
        <w:rPr>
          <w:rFonts w:cstheme="minorHAnsi"/>
        </w:rPr>
        <w:t xml:space="preserve">Provide the number of patients screened in the ambulatory setting and the inpatient setting for the most recent year available. </w:t>
      </w:r>
    </w:p>
    <w:tbl>
      <w:tblPr>
        <w:tblStyle w:val="TableGrid"/>
        <w:tblW w:w="0" w:type="auto"/>
        <w:tblLook w:val="04A0" w:firstRow="1" w:lastRow="0" w:firstColumn="1" w:lastColumn="0" w:noHBand="0" w:noVBand="1"/>
      </w:tblPr>
      <w:tblGrid>
        <w:gridCol w:w="4675"/>
        <w:gridCol w:w="4675"/>
      </w:tblGrid>
      <w:tr w:rsidR="006F769C" w:rsidRPr="006F769C" w14:paraId="383F992E" w14:textId="77777777" w:rsidTr="003F07C7">
        <w:trPr>
          <w:cantSplit/>
          <w:tblHeader/>
        </w:trPr>
        <w:tc>
          <w:tcPr>
            <w:tcW w:w="4675" w:type="dxa"/>
            <w:shd w:val="clear" w:color="auto" w:fill="E7E6E6" w:themeFill="background2"/>
          </w:tcPr>
          <w:p w14:paraId="0132F250" w14:textId="77777777" w:rsidR="00F913BC" w:rsidRPr="006F769C" w:rsidRDefault="00F913BC" w:rsidP="00F913BC">
            <w:pPr>
              <w:rPr>
                <w:rFonts w:cstheme="minorHAnsi"/>
                <w:b/>
                <w:bCs/>
              </w:rPr>
            </w:pPr>
            <w:r w:rsidRPr="006F769C">
              <w:rPr>
                <w:rFonts w:cstheme="minorHAnsi"/>
                <w:b/>
                <w:bCs/>
              </w:rPr>
              <w:t>Setting</w:t>
            </w:r>
          </w:p>
        </w:tc>
        <w:tc>
          <w:tcPr>
            <w:tcW w:w="4675" w:type="dxa"/>
            <w:shd w:val="clear" w:color="auto" w:fill="E7E6E6" w:themeFill="background2"/>
          </w:tcPr>
          <w:p w14:paraId="1A869645" w14:textId="73A8F8DF" w:rsidR="00F913BC" w:rsidRPr="006F769C" w:rsidRDefault="00F913BC" w:rsidP="00EC6546">
            <w:pPr>
              <w:rPr>
                <w:rFonts w:cstheme="minorHAnsi"/>
                <w:b/>
                <w:bCs/>
              </w:rPr>
            </w:pPr>
            <w:r w:rsidRPr="006F769C">
              <w:rPr>
                <w:rFonts w:cstheme="minorHAnsi"/>
                <w:b/>
                <w:bCs/>
              </w:rPr>
              <w:t>Patient Volume in FY24</w:t>
            </w:r>
            <w:r w:rsidR="003E6450" w:rsidRPr="00EE7693">
              <w:rPr>
                <w:rFonts w:cstheme="minorHAnsi"/>
                <w:b/>
                <w:bCs/>
                <w:vertAlign w:val="superscript"/>
              </w:rPr>
              <w:t>*</w:t>
            </w:r>
          </w:p>
        </w:tc>
      </w:tr>
      <w:tr w:rsidR="006F769C" w:rsidRPr="006F769C" w14:paraId="1C0D19C3" w14:textId="77777777" w:rsidTr="003F07C7">
        <w:trPr>
          <w:cantSplit/>
        </w:trPr>
        <w:tc>
          <w:tcPr>
            <w:tcW w:w="4675" w:type="dxa"/>
          </w:tcPr>
          <w:p w14:paraId="7AE43CF5" w14:textId="77777777" w:rsidR="00F913BC" w:rsidRPr="006F769C" w:rsidRDefault="00F913BC" w:rsidP="00EC6546">
            <w:pPr>
              <w:rPr>
                <w:rFonts w:cstheme="minorHAnsi"/>
              </w:rPr>
            </w:pPr>
            <w:r w:rsidRPr="006F769C">
              <w:rPr>
                <w:rFonts w:cstheme="minorHAnsi"/>
              </w:rPr>
              <w:t>Ambulatory</w:t>
            </w:r>
          </w:p>
        </w:tc>
        <w:tc>
          <w:tcPr>
            <w:tcW w:w="4675" w:type="dxa"/>
          </w:tcPr>
          <w:p w14:paraId="210370DA" w14:textId="24F29751" w:rsidR="00F913BC" w:rsidRPr="006F769C" w:rsidRDefault="00F913BC" w:rsidP="00EC6546">
            <w:pPr>
              <w:rPr>
                <w:rFonts w:cstheme="minorHAnsi"/>
              </w:rPr>
            </w:pPr>
            <w:r w:rsidRPr="006F769C">
              <w:rPr>
                <w:rFonts w:cstheme="minorHAnsi"/>
              </w:rPr>
              <w:t>2</w:t>
            </w:r>
            <w:r w:rsidR="00EA560D" w:rsidRPr="006F769C">
              <w:rPr>
                <w:rFonts w:cstheme="minorHAnsi"/>
              </w:rPr>
              <w:t>5,196</w:t>
            </w:r>
          </w:p>
        </w:tc>
      </w:tr>
      <w:tr w:rsidR="006F769C" w:rsidRPr="006F769C" w14:paraId="25C742F9" w14:textId="77777777" w:rsidTr="003F07C7">
        <w:trPr>
          <w:cantSplit/>
        </w:trPr>
        <w:tc>
          <w:tcPr>
            <w:tcW w:w="4675" w:type="dxa"/>
          </w:tcPr>
          <w:p w14:paraId="3DA21B04" w14:textId="677E9F58" w:rsidR="00F913BC" w:rsidRPr="006F769C" w:rsidRDefault="00F913BC" w:rsidP="00EC6546">
            <w:pPr>
              <w:rPr>
                <w:rFonts w:cstheme="minorHAnsi"/>
              </w:rPr>
            </w:pPr>
            <w:r w:rsidRPr="006F769C">
              <w:rPr>
                <w:rFonts w:cstheme="minorHAnsi"/>
              </w:rPr>
              <w:lastRenderedPageBreak/>
              <w:t>Inpatient</w:t>
            </w:r>
            <w:r w:rsidRPr="00EE7693">
              <w:rPr>
                <w:rFonts w:cstheme="minorHAnsi"/>
                <w:vertAlign w:val="superscript"/>
              </w:rPr>
              <w:t>*</w:t>
            </w:r>
            <w:r w:rsidR="006F6865">
              <w:rPr>
                <w:rFonts w:cstheme="minorHAnsi"/>
                <w:vertAlign w:val="superscript"/>
              </w:rPr>
              <w:t>*</w:t>
            </w:r>
          </w:p>
        </w:tc>
        <w:tc>
          <w:tcPr>
            <w:tcW w:w="4675" w:type="dxa"/>
          </w:tcPr>
          <w:p w14:paraId="0EF345BE" w14:textId="77777777" w:rsidR="00F913BC" w:rsidRPr="006F769C" w:rsidRDefault="00F913BC" w:rsidP="00EC6546">
            <w:pPr>
              <w:rPr>
                <w:rFonts w:cstheme="minorHAnsi"/>
              </w:rPr>
            </w:pPr>
            <w:r w:rsidRPr="006F769C">
              <w:rPr>
                <w:rFonts w:cstheme="minorHAnsi"/>
              </w:rPr>
              <w:t>271</w:t>
            </w:r>
          </w:p>
        </w:tc>
      </w:tr>
    </w:tbl>
    <w:p w14:paraId="704B51EB" w14:textId="78EFC340" w:rsidR="006F6865" w:rsidRPr="00EE7693" w:rsidRDefault="003E6450" w:rsidP="00F913BC">
      <w:pPr>
        <w:rPr>
          <w:rFonts w:cstheme="minorHAnsi"/>
          <w:i/>
          <w:iCs/>
          <w:sz w:val="18"/>
          <w:szCs w:val="18"/>
        </w:rPr>
      </w:pPr>
      <w:r w:rsidRPr="00EE7693">
        <w:rPr>
          <w:rFonts w:cstheme="minorHAnsi"/>
          <w:i/>
          <w:iCs/>
          <w:sz w:val="18"/>
          <w:szCs w:val="18"/>
          <w:vertAlign w:val="superscript"/>
        </w:rPr>
        <w:t>*</w:t>
      </w:r>
      <w:r w:rsidR="006F6865" w:rsidRPr="00EE7693">
        <w:rPr>
          <w:rFonts w:cstheme="minorHAnsi"/>
          <w:i/>
          <w:iCs/>
          <w:sz w:val="18"/>
          <w:szCs w:val="18"/>
          <w:vertAlign w:val="superscript"/>
        </w:rPr>
        <w:t xml:space="preserve">  </w:t>
      </w:r>
      <w:r w:rsidRPr="00EE7693">
        <w:rPr>
          <w:rFonts w:cstheme="minorHAnsi"/>
          <w:i/>
          <w:iCs/>
          <w:sz w:val="18"/>
          <w:szCs w:val="18"/>
        </w:rPr>
        <w:t xml:space="preserve">Ambulatory data captures patients screened through the </w:t>
      </w:r>
      <w:r w:rsidR="0086788D" w:rsidRPr="00EE7693">
        <w:rPr>
          <w:rFonts w:cstheme="minorHAnsi"/>
          <w:i/>
          <w:iCs/>
          <w:sz w:val="18"/>
          <w:szCs w:val="18"/>
        </w:rPr>
        <w:t>Dana-Farber CARES</w:t>
      </w:r>
      <w:r w:rsidR="006830B2">
        <w:rPr>
          <w:rFonts w:cstheme="minorHAnsi"/>
          <w:i/>
          <w:iCs/>
          <w:sz w:val="18"/>
          <w:szCs w:val="18"/>
        </w:rPr>
        <w:t xml:space="preserve"> (</w:t>
      </w:r>
      <w:r w:rsidR="006830B2" w:rsidRPr="00F215F0">
        <w:rPr>
          <w:rFonts w:cstheme="minorHAnsi"/>
          <w:i/>
          <w:iCs/>
          <w:sz w:val="18"/>
          <w:szCs w:val="18"/>
        </w:rPr>
        <w:t xml:space="preserve">Collecting </w:t>
      </w:r>
      <w:r w:rsidR="00F215F0" w:rsidRPr="00F215F0">
        <w:rPr>
          <w:rFonts w:cstheme="minorHAnsi"/>
          <w:i/>
          <w:iCs/>
          <w:sz w:val="18"/>
          <w:szCs w:val="18"/>
        </w:rPr>
        <w:t>a</w:t>
      </w:r>
      <w:r w:rsidR="006830B2" w:rsidRPr="00F215F0">
        <w:rPr>
          <w:rFonts w:cstheme="minorHAnsi"/>
          <w:i/>
          <w:iCs/>
          <w:sz w:val="18"/>
          <w:szCs w:val="18"/>
        </w:rPr>
        <w:t xml:space="preserve">nd </w:t>
      </w:r>
      <w:r w:rsidR="00F215F0" w:rsidRPr="00F215F0">
        <w:rPr>
          <w:rFonts w:cstheme="minorHAnsi"/>
          <w:i/>
          <w:iCs/>
          <w:sz w:val="18"/>
          <w:szCs w:val="18"/>
        </w:rPr>
        <w:t>Re</w:t>
      </w:r>
      <w:r w:rsidR="006830B2" w:rsidRPr="00F215F0">
        <w:rPr>
          <w:rFonts w:cstheme="minorHAnsi"/>
          <w:i/>
          <w:iCs/>
          <w:sz w:val="18"/>
          <w:szCs w:val="18"/>
        </w:rPr>
        <w:t xml:space="preserve">sponding to Social </w:t>
      </w:r>
      <w:r w:rsidR="00F215F0" w:rsidRPr="00360D93">
        <w:rPr>
          <w:rFonts w:cstheme="minorHAnsi"/>
          <w:i/>
          <w:iCs/>
          <w:sz w:val="18"/>
          <w:szCs w:val="18"/>
        </w:rPr>
        <w:t>N</w:t>
      </w:r>
      <w:r w:rsidR="006830B2" w:rsidRPr="00F215F0">
        <w:rPr>
          <w:rFonts w:cstheme="minorHAnsi"/>
          <w:i/>
          <w:iCs/>
          <w:sz w:val="18"/>
          <w:szCs w:val="18"/>
        </w:rPr>
        <w:t>eeds</w:t>
      </w:r>
      <w:r w:rsidR="006830B2">
        <w:rPr>
          <w:rFonts w:cstheme="minorHAnsi"/>
          <w:i/>
          <w:iCs/>
          <w:sz w:val="18"/>
          <w:szCs w:val="18"/>
        </w:rPr>
        <w:t>)</w:t>
      </w:r>
      <w:r w:rsidR="007357E9" w:rsidRPr="00EE7693">
        <w:rPr>
          <w:rFonts w:cstheme="minorHAnsi"/>
          <w:i/>
          <w:iCs/>
          <w:sz w:val="18"/>
          <w:szCs w:val="18"/>
        </w:rPr>
        <w:t xml:space="preserve"> </w:t>
      </w:r>
      <w:r w:rsidR="0086788D" w:rsidRPr="00EE7693">
        <w:rPr>
          <w:rFonts w:cstheme="minorHAnsi"/>
          <w:i/>
          <w:iCs/>
          <w:sz w:val="18"/>
          <w:szCs w:val="18"/>
        </w:rPr>
        <w:t>program and C</w:t>
      </w:r>
      <w:r w:rsidR="00096D90" w:rsidRPr="00EE7693">
        <w:rPr>
          <w:rFonts w:cstheme="minorHAnsi"/>
          <w:i/>
          <w:iCs/>
          <w:sz w:val="18"/>
          <w:szCs w:val="18"/>
        </w:rPr>
        <w:t>ancer Care Equity Program (CCEP)</w:t>
      </w:r>
      <w:r w:rsidR="0086788D" w:rsidRPr="00EE7693">
        <w:rPr>
          <w:rFonts w:cstheme="minorHAnsi"/>
          <w:i/>
          <w:iCs/>
          <w:sz w:val="18"/>
          <w:szCs w:val="18"/>
        </w:rPr>
        <w:t xml:space="preserve"> </w:t>
      </w:r>
      <w:r w:rsidR="00FD3D77" w:rsidRPr="00EE7693">
        <w:rPr>
          <w:rFonts w:cstheme="minorHAnsi"/>
          <w:i/>
          <w:iCs/>
          <w:sz w:val="18"/>
          <w:szCs w:val="18"/>
        </w:rPr>
        <w:t xml:space="preserve">Patient Navigation. </w:t>
      </w:r>
      <w:r w:rsidR="0017757C" w:rsidRPr="00EE7693">
        <w:rPr>
          <w:rFonts w:cstheme="minorHAnsi"/>
          <w:i/>
          <w:iCs/>
          <w:sz w:val="18"/>
          <w:szCs w:val="18"/>
        </w:rPr>
        <w:t>Inpatient data captures screening reported by Nursing.</w:t>
      </w:r>
    </w:p>
    <w:p w14:paraId="549764E1" w14:textId="0BD54508" w:rsidR="006F6865" w:rsidRPr="006F769C" w:rsidRDefault="006F6865" w:rsidP="00F913BC">
      <w:pPr>
        <w:rPr>
          <w:rFonts w:cstheme="minorHAnsi"/>
          <w:i/>
          <w:iCs/>
          <w:sz w:val="20"/>
          <w:szCs w:val="20"/>
        </w:rPr>
      </w:pPr>
      <w:r w:rsidRPr="00EE7693">
        <w:rPr>
          <w:rFonts w:cstheme="minorHAnsi"/>
          <w:i/>
          <w:iCs/>
          <w:sz w:val="18"/>
          <w:szCs w:val="18"/>
          <w:vertAlign w:val="superscript"/>
        </w:rPr>
        <w:t>*</w:t>
      </w:r>
      <w:proofErr w:type="gramStart"/>
      <w:r w:rsidRPr="00EE7693">
        <w:rPr>
          <w:rFonts w:cstheme="minorHAnsi"/>
          <w:i/>
          <w:iCs/>
          <w:sz w:val="18"/>
          <w:szCs w:val="18"/>
          <w:vertAlign w:val="superscript"/>
        </w:rPr>
        <w:t xml:space="preserve">*  </w:t>
      </w:r>
      <w:r w:rsidRPr="00EE7693">
        <w:rPr>
          <w:rFonts w:cstheme="minorHAnsi"/>
          <w:i/>
          <w:iCs/>
          <w:sz w:val="18"/>
          <w:szCs w:val="18"/>
        </w:rPr>
        <w:t>Inpatient</w:t>
      </w:r>
      <w:proofErr w:type="gramEnd"/>
      <w:r w:rsidRPr="00EE7693">
        <w:rPr>
          <w:rFonts w:cstheme="minorHAnsi"/>
          <w:i/>
          <w:iCs/>
          <w:sz w:val="18"/>
          <w:szCs w:val="18"/>
        </w:rPr>
        <w:t xml:space="preserve"> data reflects the Dana-Farber 30-licensed beds from February 2024 through September 2024, when screening went live for the inpatient setting.</w:t>
      </w:r>
    </w:p>
    <w:p w14:paraId="68429376" w14:textId="77777777" w:rsidR="00F913BC" w:rsidRDefault="00F913BC" w:rsidP="00F913BC">
      <w:pPr>
        <w:rPr>
          <w:rFonts w:cstheme="minorHAnsi"/>
        </w:rPr>
      </w:pPr>
    </w:p>
    <w:p w14:paraId="2975AC32" w14:textId="73C297B9" w:rsidR="00903387" w:rsidRPr="00903387" w:rsidRDefault="00903387" w:rsidP="00F913BC">
      <w:pPr>
        <w:rPr>
          <w:rFonts w:cstheme="minorHAnsi"/>
          <w:b/>
          <w:bCs/>
          <w:u w:val="single"/>
        </w:rPr>
      </w:pPr>
      <w:r>
        <w:rPr>
          <w:rFonts w:cstheme="minorHAnsi"/>
          <w:b/>
          <w:bCs/>
          <w:u w:val="single"/>
        </w:rPr>
        <w:t>Corrected Response to Question 4</w:t>
      </w:r>
      <w:r w:rsidR="000B499F">
        <w:rPr>
          <w:rFonts w:cstheme="minorHAnsi"/>
          <w:b/>
          <w:bCs/>
          <w:u w:val="single"/>
        </w:rPr>
        <w:t>.</w:t>
      </w:r>
      <w:r>
        <w:rPr>
          <w:rFonts w:cstheme="minorHAnsi"/>
          <w:b/>
          <w:bCs/>
          <w:u w:val="single"/>
        </w:rPr>
        <w:t>a</w:t>
      </w:r>
      <w:r w:rsidR="000B499F">
        <w:rPr>
          <w:rFonts w:cstheme="minorHAnsi"/>
          <w:b/>
          <w:bCs/>
          <w:u w:val="single"/>
        </w:rPr>
        <w:t>.</w:t>
      </w:r>
      <w:r>
        <w:rPr>
          <w:rFonts w:cstheme="minorHAnsi"/>
          <w:b/>
          <w:bCs/>
          <w:u w:val="single"/>
        </w:rPr>
        <w:t xml:space="preserve"> in “APPLICANT QUESTIONS #3 Updated”</w:t>
      </w:r>
    </w:p>
    <w:p w14:paraId="2D7641F4" w14:textId="756E54D2" w:rsidR="00903387" w:rsidRDefault="00903387" w:rsidP="0023529A">
      <w:pPr>
        <w:jc w:val="both"/>
        <w:rPr>
          <w:rFonts w:cstheme="minorHAnsi"/>
          <w:b/>
          <w:bCs/>
        </w:rPr>
      </w:pPr>
      <w:bookmarkStart w:id="1" w:name="_Hlk181974488"/>
      <w:r>
        <w:rPr>
          <w:rFonts w:cstheme="minorHAnsi"/>
          <w:b/>
          <w:bCs/>
        </w:rPr>
        <w:t xml:space="preserve">In response to Question 4.a in the Determination of Need staff’s </w:t>
      </w:r>
      <w:r w:rsidR="000B499F">
        <w:rPr>
          <w:rFonts w:cstheme="minorHAnsi"/>
          <w:b/>
          <w:bCs/>
        </w:rPr>
        <w:t xml:space="preserve">questions for Dana-Farber labeled, “APPLICANT QUESTIONS #3 Updated,” Dana-Farber inadvertently </w:t>
      </w:r>
      <w:r w:rsidR="00A57BBD">
        <w:rPr>
          <w:rFonts w:cstheme="minorHAnsi"/>
          <w:b/>
          <w:bCs/>
        </w:rPr>
        <w:t>duplicated a column in</w:t>
      </w:r>
      <w:r w:rsidR="0023529A">
        <w:rPr>
          <w:rFonts w:cstheme="minorHAnsi"/>
          <w:b/>
          <w:bCs/>
        </w:rPr>
        <w:t xml:space="preserve"> its</w:t>
      </w:r>
      <w:r w:rsidR="000B499F">
        <w:rPr>
          <w:rFonts w:cstheme="minorHAnsi"/>
          <w:b/>
          <w:bCs/>
        </w:rPr>
        <w:t xml:space="preserve"> payor mix percentages </w:t>
      </w:r>
      <w:r w:rsidR="00A57BBD">
        <w:rPr>
          <w:rFonts w:cstheme="minorHAnsi"/>
          <w:b/>
          <w:bCs/>
        </w:rPr>
        <w:t>table</w:t>
      </w:r>
      <w:r w:rsidR="000B499F">
        <w:rPr>
          <w:rFonts w:cstheme="minorHAnsi"/>
          <w:b/>
          <w:bCs/>
        </w:rPr>
        <w:t xml:space="preserve">. A corrected table is included below: </w:t>
      </w:r>
    </w:p>
    <w:bookmarkEnd w:id="1"/>
    <w:p w14:paraId="2289EC06" w14:textId="77777777" w:rsidR="000B499F" w:rsidRDefault="000B499F" w:rsidP="00F913BC">
      <w:pPr>
        <w:rPr>
          <w:rFonts w:cstheme="minorHAnsi"/>
          <w:b/>
          <w:bCs/>
        </w:rPr>
      </w:pPr>
    </w:p>
    <w:p w14:paraId="6F0F329F" w14:textId="77777777" w:rsidR="000B499F" w:rsidRDefault="000B499F" w:rsidP="000B499F">
      <w:pPr>
        <w:spacing w:line="256" w:lineRule="auto"/>
        <w:ind w:left="3347" w:right="1903"/>
        <w:jc w:val="center"/>
        <w:rPr>
          <w:b/>
        </w:rPr>
      </w:pPr>
      <w:r>
        <w:rPr>
          <w:b/>
          <w:u w:val="single"/>
        </w:rPr>
        <w:t>Payor</w:t>
      </w:r>
      <w:r>
        <w:rPr>
          <w:b/>
          <w:spacing w:val="-7"/>
          <w:u w:val="single"/>
        </w:rPr>
        <w:t xml:space="preserve"> </w:t>
      </w:r>
      <w:r>
        <w:rPr>
          <w:b/>
          <w:u w:val="single"/>
        </w:rPr>
        <w:t>Mix</w:t>
      </w:r>
      <w:r>
        <w:rPr>
          <w:b/>
          <w:spacing w:val="-11"/>
          <w:u w:val="single"/>
        </w:rPr>
        <w:t xml:space="preserve"> </w:t>
      </w:r>
      <w:r>
        <w:rPr>
          <w:b/>
          <w:u w:val="single"/>
        </w:rPr>
        <w:t>Percentage</w:t>
      </w:r>
      <w:r>
        <w:rPr>
          <w:b/>
          <w:spacing w:val="-9"/>
          <w:u w:val="single"/>
        </w:rPr>
        <w:t xml:space="preserve"> </w:t>
      </w:r>
      <w:r>
        <w:rPr>
          <w:b/>
          <w:u w:val="single"/>
        </w:rPr>
        <w:t>(Gross</w:t>
      </w:r>
      <w:r>
        <w:rPr>
          <w:b/>
          <w:spacing w:val="-10"/>
          <w:u w:val="single"/>
        </w:rPr>
        <w:t xml:space="preserve"> </w:t>
      </w:r>
      <w:r>
        <w:rPr>
          <w:b/>
          <w:u w:val="single"/>
        </w:rPr>
        <w:t>Revenues)</w:t>
      </w:r>
      <w:r>
        <w:rPr>
          <w:b/>
        </w:rPr>
        <w:t xml:space="preserve"> </w:t>
      </w:r>
      <w:r>
        <w:rPr>
          <w:b/>
          <w:u w:val="single"/>
        </w:rPr>
        <w:t>Longwood Medical Campus</w:t>
      </w:r>
    </w:p>
    <w:p w14:paraId="3515EC95" w14:textId="77777777" w:rsidR="000B499F" w:rsidRDefault="000B499F" w:rsidP="000B499F">
      <w:pPr>
        <w:pStyle w:val="BodyText"/>
        <w:spacing w:before="8"/>
        <w:rPr>
          <w:b/>
          <w:sz w:val="17"/>
        </w:rPr>
      </w:pPr>
    </w:p>
    <w:tbl>
      <w:tblPr>
        <w:tblW w:w="0" w:type="auto"/>
        <w:tblInd w:w="1501" w:type="dxa"/>
        <w:tblLayout w:type="fixed"/>
        <w:tblCellMar>
          <w:left w:w="0" w:type="dxa"/>
          <w:right w:w="0" w:type="dxa"/>
        </w:tblCellMar>
        <w:tblLook w:val="01E0" w:firstRow="1" w:lastRow="1" w:firstColumn="1" w:lastColumn="1" w:noHBand="0" w:noVBand="0"/>
      </w:tblPr>
      <w:tblGrid>
        <w:gridCol w:w="2632"/>
        <w:gridCol w:w="1267"/>
        <w:gridCol w:w="1267"/>
        <w:gridCol w:w="1267"/>
      </w:tblGrid>
      <w:tr w:rsidR="00575961" w14:paraId="7D7D45A9" w14:textId="77777777" w:rsidTr="000B499F">
        <w:trPr>
          <w:cantSplit/>
          <w:trHeight w:val="239"/>
          <w:tblHeader/>
        </w:trPr>
        <w:tc>
          <w:tcPr>
            <w:tcW w:w="2632" w:type="dxa"/>
            <w:hideMark/>
          </w:tcPr>
          <w:p w14:paraId="2521DC7C" w14:textId="77777777" w:rsidR="00575961" w:rsidRDefault="00575961">
            <w:pPr>
              <w:pStyle w:val="TableParagraph"/>
              <w:spacing w:line="220" w:lineRule="exact"/>
              <w:ind w:left="50"/>
              <w:rPr>
                <w:b/>
                <w:sz w:val="21"/>
              </w:rPr>
            </w:pPr>
            <w:r>
              <w:rPr>
                <w:b/>
                <w:spacing w:val="-2"/>
                <w:sz w:val="21"/>
              </w:rPr>
              <w:t>Payor</w:t>
            </w:r>
          </w:p>
        </w:tc>
        <w:tc>
          <w:tcPr>
            <w:tcW w:w="1267" w:type="dxa"/>
            <w:tcBorders>
              <w:top w:val="nil"/>
              <w:left w:val="nil"/>
              <w:bottom w:val="single" w:sz="4" w:space="0" w:color="000000"/>
              <w:right w:val="nil"/>
            </w:tcBorders>
            <w:hideMark/>
          </w:tcPr>
          <w:p w14:paraId="1F14380C" w14:textId="77777777" w:rsidR="00575961" w:rsidRDefault="00575961">
            <w:pPr>
              <w:pStyle w:val="TableParagraph"/>
              <w:spacing w:line="215" w:lineRule="exact"/>
              <w:ind w:left="293"/>
              <w:rPr>
                <w:b/>
                <w:sz w:val="21"/>
              </w:rPr>
            </w:pPr>
            <w:r>
              <w:rPr>
                <w:b/>
                <w:sz w:val="21"/>
              </w:rPr>
              <w:t xml:space="preserve">FY </w:t>
            </w:r>
            <w:r>
              <w:rPr>
                <w:b/>
                <w:spacing w:val="-4"/>
                <w:sz w:val="21"/>
              </w:rPr>
              <w:t>2018</w:t>
            </w:r>
          </w:p>
        </w:tc>
        <w:tc>
          <w:tcPr>
            <w:tcW w:w="1267" w:type="dxa"/>
            <w:tcBorders>
              <w:top w:val="nil"/>
              <w:left w:val="nil"/>
              <w:bottom w:val="single" w:sz="4" w:space="0" w:color="000000"/>
              <w:right w:val="nil"/>
            </w:tcBorders>
            <w:hideMark/>
          </w:tcPr>
          <w:p w14:paraId="346028F2" w14:textId="77777777" w:rsidR="00575961" w:rsidRDefault="00575961">
            <w:pPr>
              <w:pStyle w:val="TableParagraph"/>
              <w:spacing w:line="215" w:lineRule="exact"/>
              <w:ind w:left="5" w:right="4"/>
              <w:jc w:val="center"/>
              <w:rPr>
                <w:b/>
                <w:sz w:val="21"/>
              </w:rPr>
            </w:pPr>
            <w:r>
              <w:rPr>
                <w:b/>
                <w:sz w:val="21"/>
              </w:rPr>
              <w:t xml:space="preserve">FY </w:t>
            </w:r>
            <w:r>
              <w:rPr>
                <w:b/>
                <w:spacing w:val="-4"/>
                <w:sz w:val="21"/>
              </w:rPr>
              <w:t>2019</w:t>
            </w:r>
          </w:p>
        </w:tc>
        <w:tc>
          <w:tcPr>
            <w:tcW w:w="1267" w:type="dxa"/>
            <w:tcBorders>
              <w:top w:val="nil"/>
              <w:left w:val="nil"/>
              <w:bottom w:val="single" w:sz="4" w:space="0" w:color="000000"/>
              <w:right w:val="nil"/>
            </w:tcBorders>
            <w:hideMark/>
          </w:tcPr>
          <w:p w14:paraId="3C3CA471" w14:textId="77777777" w:rsidR="00575961" w:rsidRDefault="00575961">
            <w:pPr>
              <w:pStyle w:val="TableParagraph"/>
              <w:spacing w:line="215" w:lineRule="exact"/>
              <w:ind w:left="5" w:right="4"/>
              <w:jc w:val="center"/>
              <w:rPr>
                <w:b/>
                <w:sz w:val="21"/>
              </w:rPr>
            </w:pPr>
            <w:r>
              <w:rPr>
                <w:b/>
                <w:sz w:val="21"/>
              </w:rPr>
              <w:t xml:space="preserve">FY </w:t>
            </w:r>
            <w:r>
              <w:rPr>
                <w:b/>
                <w:spacing w:val="-4"/>
                <w:sz w:val="21"/>
              </w:rPr>
              <w:t>2023</w:t>
            </w:r>
          </w:p>
        </w:tc>
      </w:tr>
      <w:tr w:rsidR="00575961" w14:paraId="54310BC8" w14:textId="77777777" w:rsidTr="000B499F">
        <w:trPr>
          <w:cantSplit/>
          <w:trHeight w:val="339"/>
        </w:trPr>
        <w:tc>
          <w:tcPr>
            <w:tcW w:w="2632" w:type="dxa"/>
            <w:hideMark/>
          </w:tcPr>
          <w:p w14:paraId="49E65097" w14:textId="77777777" w:rsidR="00575961" w:rsidRDefault="00575961">
            <w:pPr>
              <w:pStyle w:val="TableParagraph"/>
              <w:spacing w:before="42"/>
              <w:ind w:left="50"/>
              <w:rPr>
                <w:sz w:val="21"/>
              </w:rPr>
            </w:pPr>
            <w:r>
              <w:rPr>
                <w:sz w:val="21"/>
              </w:rPr>
              <w:t>Blue</w:t>
            </w:r>
            <w:r>
              <w:rPr>
                <w:spacing w:val="-2"/>
                <w:sz w:val="21"/>
              </w:rPr>
              <w:t xml:space="preserve"> Cross</w:t>
            </w:r>
          </w:p>
        </w:tc>
        <w:tc>
          <w:tcPr>
            <w:tcW w:w="1267" w:type="dxa"/>
            <w:tcBorders>
              <w:top w:val="single" w:sz="4" w:space="0" w:color="000000"/>
              <w:left w:val="nil"/>
              <w:bottom w:val="nil"/>
              <w:right w:val="nil"/>
            </w:tcBorders>
            <w:hideMark/>
          </w:tcPr>
          <w:p w14:paraId="23AE95C9" w14:textId="77777777" w:rsidR="00575961" w:rsidRDefault="00575961">
            <w:pPr>
              <w:pStyle w:val="TableParagraph"/>
              <w:spacing w:before="47"/>
              <w:ind w:left="372"/>
              <w:rPr>
                <w:sz w:val="21"/>
              </w:rPr>
            </w:pPr>
            <w:r>
              <w:rPr>
                <w:spacing w:val="-2"/>
                <w:sz w:val="21"/>
              </w:rPr>
              <w:t>23.5%</w:t>
            </w:r>
          </w:p>
        </w:tc>
        <w:tc>
          <w:tcPr>
            <w:tcW w:w="1267" w:type="dxa"/>
            <w:tcBorders>
              <w:top w:val="single" w:sz="4" w:space="0" w:color="000000"/>
              <w:left w:val="nil"/>
              <w:bottom w:val="nil"/>
              <w:right w:val="nil"/>
            </w:tcBorders>
            <w:hideMark/>
          </w:tcPr>
          <w:p w14:paraId="6BC81473" w14:textId="77777777" w:rsidR="00575961" w:rsidRDefault="00575961">
            <w:pPr>
              <w:pStyle w:val="TableParagraph"/>
              <w:spacing w:before="47"/>
              <w:ind w:left="5" w:right="1"/>
              <w:jc w:val="center"/>
              <w:rPr>
                <w:sz w:val="21"/>
              </w:rPr>
            </w:pPr>
            <w:r>
              <w:rPr>
                <w:spacing w:val="-2"/>
                <w:sz w:val="21"/>
              </w:rPr>
              <w:t>23.3%</w:t>
            </w:r>
          </w:p>
        </w:tc>
        <w:tc>
          <w:tcPr>
            <w:tcW w:w="1267" w:type="dxa"/>
            <w:tcBorders>
              <w:top w:val="single" w:sz="4" w:space="0" w:color="000000"/>
              <w:left w:val="nil"/>
              <w:bottom w:val="nil"/>
              <w:right w:val="nil"/>
            </w:tcBorders>
            <w:hideMark/>
          </w:tcPr>
          <w:p w14:paraId="2FE08A94" w14:textId="185ACFCC" w:rsidR="00575961" w:rsidRDefault="00575961">
            <w:pPr>
              <w:pStyle w:val="TableParagraph"/>
              <w:spacing w:before="47"/>
              <w:ind w:left="5" w:right="1"/>
              <w:jc w:val="center"/>
              <w:rPr>
                <w:sz w:val="21"/>
              </w:rPr>
            </w:pPr>
            <w:r>
              <w:rPr>
                <w:spacing w:val="-2"/>
                <w:sz w:val="21"/>
              </w:rPr>
              <w:t>21.9%</w:t>
            </w:r>
          </w:p>
        </w:tc>
      </w:tr>
      <w:tr w:rsidR="00575961" w14:paraId="62916C18" w14:textId="77777777" w:rsidTr="000B499F">
        <w:trPr>
          <w:cantSplit/>
          <w:trHeight w:val="300"/>
        </w:trPr>
        <w:tc>
          <w:tcPr>
            <w:tcW w:w="2632" w:type="dxa"/>
            <w:hideMark/>
          </w:tcPr>
          <w:p w14:paraId="789DE473" w14:textId="77777777" w:rsidR="00575961" w:rsidRDefault="00575961">
            <w:pPr>
              <w:pStyle w:val="TableParagraph"/>
              <w:spacing w:before="3"/>
              <w:ind w:left="50"/>
              <w:rPr>
                <w:sz w:val="21"/>
              </w:rPr>
            </w:pPr>
            <w:r>
              <w:rPr>
                <w:sz w:val="21"/>
              </w:rPr>
              <w:t>HMO,</w:t>
            </w:r>
            <w:r>
              <w:rPr>
                <w:spacing w:val="-9"/>
                <w:sz w:val="21"/>
              </w:rPr>
              <w:t xml:space="preserve"> </w:t>
            </w:r>
            <w:r>
              <w:rPr>
                <w:sz w:val="21"/>
              </w:rPr>
              <w:t>Commercial,</w:t>
            </w:r>
            <w:r>
              <w:rPr>
                <w:spacing w:val="-7"/>
                <w:sz w:val="21"/>
              </w:rPr>
              <w:t xml:space="preserve"> </w:t>
            </w:r>
            <w:r>
              <w:rPr>
                <w:spacing w:val="-4"/>
                <w:sz w:val="21"/>
              </w:rPr>
              <w:t>Other</w:t>
            </w:r>
          </w:p>
        </w:tc>
        <w:tc>
          <w:tcPr>
            <w:tcW w:w="1267" w:type="dxa"/>
            <w:hideMark/>
          </w:tcPr>
          <w:p w14:paraId="5C520616" w14:textId="77777777" w:rsidR="00575961" w:rsidRDefault="00575961">
            <w:pPr>
              <w:pStyle w:val="TableParagraph"/>
              <w:spacing w:before="3"/>
              <w:ind w:left="372"/>
              <w:rPr>
                <w:sz w:val="21"/>
              </w:rPr>
            </w:pPr>
            <w:r>
              <w:rPr>
                <w:spacing w:val="-2"/>
                <w:sz w:val="21"/>
              </w:rPr>
              <w:t>29.2%</w:t>
            </w:r>
          </w:p>
        </w:tc>
        <w:tc>
          <w:tcPr>
            <w:tcW w:w="1267" w:type="dxa"/>
            <w:hideMark/>
          </w:tcPr>
          <w:p w14:paraId="5F08AE40" w14:textId="77777777" w:rsidR="00575961" w:rsidRDefault="00575961">
            <w:pPr>
              <w:pStyle w:val="TableParagraph"/>
              <w:spacing w:before="3"/>
              <w:ind w:left="5" w:right="1"/>
              <w:jc w:val="center"/>
              <w:rPr>
                <w:sz w:val="21"/>
              </w:rPr>
            </w:pPr>
            <w:r>
              <w:rPr>
                <w:spacing w:val="-2"/>
                <w:sz w:val="21"/>
              </w:rPr>
              <w:t>28.9%</w:t>
            </w:r>
          </w:p>
        </w:tc>
        <w:tc>
          <w:tcPr>
            <w:tcW w:w="1267" w:type="dxa"/>
            <w:hideMark/>
          </w:tcPr>
          <w:p w14:paraId="20FE9B1D" w14:textId="05239297" w:rsidR="00575961" w:rsidRDefault="00575961">
            <w:pPr>
              <w:pStyle w:val="TableParagraph"/>
              <w:spacing w:before="3"/>
              <w:ind w:left="5" w:right="1"/>
              <w:jc w:val="center"/>
              <w:rPr>
                <w:sz w:val="21"/>
              </w:rPr>
            </w:pPr>
            <w:r>
              <w:rPr>
                <w:spacing w:val="-2"/>
                <w:sz w:val="21"/>
              </w:rPr>
              <w:t>25.2%</w:t>
            </w:r>
          </w:p>
        </w:tc>
      </w:tr>
      <w:tr w:rsidR="00575961" w14:paraId="28096B7E" w14:textId="77777777" w:rsidTr="000B499F">
        <w:trPr>
          <w:cantSplit/>
          <w:trHeight w:val="300"/>
        </w:trPr>
        <w:tc>
          <w:tcPr>
            <w:tcW w:w="2632" w:type="dxa"/>
            <w:hideMark/>
          </w:tcPr>
          <w:p w14:paraId="7FECB646" w14:textId="77777777" w:rsidR="00575961" w:rsidRDefault="00575961">
            <w:pPr>
              <w:pStyle w:val="TableParagraph"/>
              <w:spacing w:before="3"/>
              <w:ind w:left="50"/>
              <w:rPr>
                <w:sz w:val="21"/>
              </w:rPr>
            </w:pPr>
            <w:r>
              <w:rPr>
                <w:spacing w:val="-2"/>
                <w:sz w:val="21"/>
              </w:rPr>
              <w:t>Medicaid</w:t>
            </w:r>
          </w:p>
        </w:tc>
        <w:tc>
          <w:tcPr>
            <w:tcW w:w="1267" w:type="dxa"/>
            <w:hideMark/>
          </w:tcPr>
          <w:p w14:paraId="3719884D" w14:textId="77777777" w:rsidR="00575961" w:rsidRDefault="00575961">
            <w:pPr>
              <w:pStyle w:val="TableParagraph"/>
              <w:spacing w:before="3"/>
              <w:ind w:left="5" w:right="5"/>
              <w:jc w:val="center"/>
              <w:rPr>
                <w:sz w:val="21"/>
              </w:rPr>
            </w:pPr>
            <w:r>
              <w:rPr>
                <w:spacing w:val="-4"/>
                <w:sz w:val="21"/>
              </w:rPr>
              <w:t>6.3%</w:t>
            </w:r>
          </w:p>
        </w:tc>
        <w:tc>
          <w:tcPr>
            <w:tcW w:w="1267" w:type="dxa"/>
            <w:hideMark/>
          </w:tcPr>
          <w:p w14:paraId="25C08127" w14:textId="77777777" w:rsidR="00575961" w:rsidRDefault="00575961">
            <w:pPr>
              <w:pStyle w:val="TableParagraph"/>
              <w:spacing w:before="3"/>
              <w:ind w:left="5" w:right="5"/>
              <w:jc w:val="center"/>
              <w:rPr>
                <w:sz w:val="21"/>
              </w:rPr>
            </w:pPr>
            <w:r>
              <w:rPr>
                <w:spacing w:val="-4"/>
                <w:sz w:val="21"/>
              </w:rPr>
              <w:t>6.0%</w:t>
            </w:r>
          </w:p>
        </w:tc>
        <w:tc>
          <w:tcPr>
            <w:tcW w:w="1267" w:type="dxa"/>
            <w:hideMark/>
          </w:tcPr>
          <w:p w14:paraId="344DCEF5" w14:textId="6DE508CD" w:rsidR="00575961" w:rsidRDefault="00575961">
            <w:pPr>
              <w:pStyle w:val="TableParagraph"/>
              <w:spacing w:before="3"/>
              <w:ind w:left="5" w:right="5"/>
              <w:jc w:val="center"/>
              <w:rPr>
                <w:sz w:val="21"/>
              </w:rPr>
            </w:pPr>
            <w:r>
              <w:rPr>
                <w:spacing w:val="-4"/>
                <w:sz w:val="21"/>
              </w:rPr>
              <w:t>6.7%</w:t>
            </w:r>
          </w:p>
        </w:tc>
      </w:tr>
      <w:tr w:rsidR="00575961" w14:paraId="3B3E265C" w14:textId="77777777" w:rsidTr="000B499F">
        <w:trPr>
          <w:cantSplit/>
          <w:trHeight w:val="300"/>
        </w:trPr>
        <w:tc>
          <w:tcPr>
            <w:tcW w:w="2632" w:type="dxa"/>
            <w:hideMark/>
          </w:tcPr>
          <w:p w14:paraId="0C6D7620" w14:textId="77777777" w:rsidR="00575961" w:rsidRDefault="00575961">
            <w:pPr>
              <w:pStyle w:val="TableParagraph"/>
              <w:spacing w:before="3"/>
              <w:ind w:left="50"/>
              <w:rPr>
                <w:sz w:val="21"/>
              </w:rPr>
            </w:pPr>
            <w:r>
              <w:rPr>
                <w:spacing w:val="-2"/>
                <w:sz w:val="21"/>
              </w:rPr>
              <w:t>Medicare</w:t>
            </w:r>
          </w:p>
        </w:tc>
        <w:tc>
          <w:tcPr>
            <w:tcW w:w="1267" w:type="dxa"/>
            <w:hideMark/>
          </w:tcPr>
          <w:p w14:paraId="5E5969B0" w14:textId="77777777" w:rsidR="00575961" w:rsidRDefault="00575961">
            <w:pPr>
              <w:pStyle w:val="TableParagraph"/>
              <w:spacing w:before="3"/>
              <w:ind w:left="372"/>
              <w:rPr>
                <w:sz w:val="21"/>
              </w:rPr>
            </w:pPr>
            <w:r>
              <w:rPr>
                <w:spacing w:val="-2"/>
                <w:sz w:val="21"/>
              </w:rPr>
              <w:t>40.3%</w:t>
            </w:r>
          </w:p>
        </w:tc>
        <w:tc>
          <w:tcPr>
            <w:tcW w:w="1267" w:type="dxa"/>
            <w:hideMark/>
          </w:tcPr>
          <w:p w14:paraId="3A5655EC" w14:textId="77777777" w:rsidR="00575961" w:rsidRDefault="00575961">
            <w:pPr>
              <w:pStyle w:val="TableParagraph"/>
              <w:spacing w:before="3"/>
              <w:ind w:left="5" w:right="1"/>
              <w:jc w:val="center"/>
              <w:rPr>
                <w:sz w:val="21"/>
              </w:rPr>
            </w:pPr>
            <w:r>
              <w:rPr>
                <w:spacing w:val="-2"/>
                <w:sz w:val="21"/>
              </w:rPr>
              <w:t>41.0%</w:t>
            </w:r>
          </w:p>
        </w:tc>
        <w:tc>
          <w:tcPr>
            <w:tcW w:w="1267" w:type="dxa"/>
            <w:hideMark/>
          </w:tcPr>
          <w:p w14:paraId="158C1CEB" w14:textId="7FA7B7F4" w:rsidR="00575961" w:rsidRDefault="00575961">
            <w:pPr>
              <w:pStyle w:val="TableParagraph"/>
              <w:spacing w:before="3"/>
              <w:ind w:left="5" w:right="1"/>
              <w:jc w:val="center"/>
              <w:rPr>
                <w:sz w:val="21"/>
              </w:rPr>
            </w:pPr>
            <w:r>
              <w:rPr>
                <w:spacing w:val="-2"/>
                <w:sz w:val="21"/>
              </w:rPr>
              <w:t>46.0%</w:t>
            </w:r>
          </w:p>
        </w:tc>
      </w:tr>
      <w:tr w:rsidR="00575961" w14:paraId="3E44B73C" w14:textId="77777777" w:rsidTr="000B499F">
        <w:trPr>
          <w:cantSplit/>
          <w:trHeight w:val="255"/>
        </w:trPr>
        <w:tc>
          <w:tcPr>
            <w:tcW w:w="2632" w:type="dxa"/>
            <w:tcBorders>
              <w:bottom w:val="single" w:sz="4" w:space="0" w:color="auto"/>
            </w:tcBorders>
            <w:hideMark/>
          </w:tcPr>
          <w:p w14:paraId="5A5259BB" w14:textId="77777777" w:rsidR="00575961" w:rsidRPr="000B499F" w:rsidRDefault="00575961">
            <w:pPr>
              <w:pStyle w:val="TableParagraph"/>
              <w:tabs>
                <w:tab w:val="left" w:pos="3057"/>
              </w:tabs>
              <w:spacing w:before="3" w:line="233" w:lineRule="exact"/>
              <w:ind w:left="-73" w:right="-432"/>
              <w:rPr>
                <w:sz w:val="21"/>
              </w:rPr>
            </w:pPr>
            <w:r w:rsidRPr="000B499F">
              <w:rPr>
                <w:spacing w:val="57"/>
                <w:w w:val="150"/>
                <w:sz w:val="21"/>
              </w:rPr>
              <w:t xml:space="preserve"> </w:t>
            </w:r>
            <w:r w:rsidRPr="000B499F">
              <w:rPr>
                <w:spacing w:val="-2"/>
                <w:sz w:val="21"/>
              </w:rPr>
              <w:t>Self-</w:t>
            </w:r>
            <w:r w:rsidRPr="000B499F">
              <w:rPr>
                <w:spacing w:val="-5"/>
                <w:sz w:val="21"/>
              </w:rPr>
              <w:t>Pay</w:t>
            </w:r>
            <w:r w:rsidRPr="000B499F">
              <w:rPr>
                <w:sz w:val="21"/>
              </w:rPr>
              <w:tab/>
            </w:r>
          </w:p>
        </w:tc>
        <w:tc>
          <w:tcPr>
            <w:tcW w:w="1267" w:type="dxa"/>
            <w:tcBorders>
              <w:bottom w:val="single" w:sz="4" w:space="0" w:color="auto"/>
            </w:tcBorders>
            <w:hideMark/>
          </w:tcPr>
          <w:p w14:paraId="2449519F" w14:textId="77777777" w:rsidR="00575961" w:rsidRPr="000B499F" w:rsidRDefault="00575961">
            <w:pPr>
              <w:pStyle w:val="TableParagraph"/>
              <w:tabs>
                <w:tab w:val="left" w:pos="1344"/>
              </w:tabs>
              <w:spacing w:before="3" w:line="233" w:lineRule="exact"/>
              <w:ind w:left="425" w:right="-87"/>
              <w:rPr>
                <w:sz w:val="21"/>
              </w:rPr>
            </w:pPr>
            <w:r w:rsidRPr="000B499F">
              <w:rPr>
                <w:spacing w:val="-4"/>
                <w:sz w:val="21"/>
              </w:rPr>
              <w:t>0.7%</w:t>
            </w:r>
            <w:r w:rsidRPr="000B499F">
              <w:rPr>
                <w:sz w:val="21"/>
              </w:rPr>
              <w:tab/>
            </w:r>
          </w:p>
        </w:tc>
        <w:tc>
          <w:tcPr>
            <w:tcW w:w="1267" w:type="dxa"/>
            <w:hideMark/>
          </w:tcPr>
          <w:p w14:paraId="74E46A3D" w14:textId="77777777" w:rsidR="00575961" w:rsidRDefault="00575961">
            <w:pPr>
              <w:pStyle w:val="TableParagraph"/>
              <w:spacing w:before="3" w:line="233" w:lineRule="exact"/>
              <w:ind w:left="5" w:right="5"/>
              <w:jc w:val="center"/>
              <w:rPr>
                <w:sz w:val="21"/>
              </w:rPr>
            </w:pPr>
            <w:r>
              <w:rPr>
                <w:spacing w:val="-4"/>
                <w:sz w:val="21"/>
              </w:rPr>
              <w:t>0.7%</w:t>
            </w:r>
          </w:p>
        </w:tc>
        <w:tc>
          <w:tcPr>
            <w:tcW w:w="1267" w:type="dxa"/>
            <w:hideMark/>
          </w:tcPr>
          <w:p w14:paraId="37F7F37C" w14:textId="4E818BBD" w:rsidR="00575961" w:rsidRDefault="00575961">
            <w:pPr>
              <w:pStyle w:val="TableParagraph"/>
              <w:spacing w:before="3" w:line="233" w:lineRule="exact"/>
              <w:ind w:left="5" w:right="5"/>
              <w:jc w:val="center"/>
              <w:rPr>
                <w:sz w:val="21"/>
              </w:rPr>
            </w:pPr>
            <w:r>
              <w:rPr>
                <w:spacing w:val="-4"/>
                <w:sz w:val="21"/>
              </w:rPr>
              <w:t>0.2%</w:t>
            </w:r>
          </w:p>
        </w:tc>
      </w:tr>
    </w:tbl>
    <w:p w14:paraId="7B0D8BC9" w14:textId="77777777" w:rsidR="000B499F" w:rsidRPr="00903387" w:rsidRDefault="000B499F" w:rsidP="00F913BC">
      <w:pPr>
        <w:rPr>
          <w:rFonts w:cstheme="minorHAnsi"/>
          <w:b/>
          <w:bCs/>
        </w:rPr>
      </w:pPr>
    </w:p>
    <w:sectPr w:rsidR="000B499F" w:rsidRPr="00903387">
      <w:headerReference w:type="even" r:id="rId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1275E" w14:textId="77777777" w:rsidR="0052151C" w:rsidRDefault="0052151C" w:rsidP="00E45D1C">
      <w:pPr>
        <w:spacing w:after="0" w:line="240" w:lineRule="auto"/>
      </w:pPr>
      <w:r>
        <w:separator/>
      </w:r>
    </w:p>
  </w:endnote>
  <w:endnote w:type="continuationSeparator" w:id="0">
    <w:p w14:paraId="62B9A8DE" w14:textId="77777777" w:rsidR="0052151C" w:rsidRDefault="0052151C" w:rsidP="00E45D1C">
      <w:pPr>
        <w:spacing w:after="0" w:line="240" w:lineRule="auto"/>
      </w:pPr>
      <w:r>
        <w:continuationSeparator/>
      </w:r>
    </w:p>
  </w:endnote>
  <w:endnote w:type="continuationNotice" w:id="1">
    <w:p w14:paraId="43E72FA1" w14:textId="77777777" w:rsidR="0052151C" w:rsidRDefault="005215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050C2" w14:textId="77777777" w:rsidR="0052151C" w:rsidRDefault="0052151C" w:rsidP="00E45D1C">
      <w:pPr>
        <w:spacing w:after="0" w:line="240" w:lineRule="auto"/>
      </w:pPr>
      <w:r>
        <w:separator/>
      </w:r>
    </w:p>
  </w:footnote>
  <w:footnote w:type="continuationSeparator" w:id="0">
    <w:p w14:paraId="78DD77AC" w14:textId="77777777" w:rsidR="0052151C" w:rsidRDefault="0052151C" w:rsidP="00E45D1C">
      <w:pPr>
        <w:spacing w:after="0" w:line="240" w:lineRule="auto"/>
      </w:pPr>
      <w:r>
        <w:continuationSeparator/>
      </w:r>
    </w:p>
  </w:footnote>
  <w:footnote w:type="continuationNotice" w:id="1">
    <w:p w14:paraId="65763BB0" w14:textId="77777777" w:rsidR="0052151C" w:rsidRDefault="0052151C">
      <w:pPr>
        <w:spacing w:after="0" w:line="240" w:lineRule="auto"/>
      </w:pPr>
    </w:p>
  </w:footnote>
  <w:footnote w:id="2">
    <w:p w14:paraId="570CE7B5" w14:textId="77777777" w:rsidR="0097644F" w:rsidRDefault="0097644F" w:rsidP="0097644F">
      <w:pPr>
        <w:pStyle w:val="FootnoteText"/>
      </w:pPr>
      <w:r>
        <w:rPr>
          <w:rStyle w:val="FootnoteReference"/>
        </w:rPr>
        <w:footnoteRef/>
      </w:r>
      <w:r>
        <w:t xml:space="preserve"> Dana-Farber Determination of Need Application. Table 11</w:t>
      </w:r>
      <w:r w:rsidRPr="00AA2A4E">
        <w:t xml:space="preserve"> Projected Inpatient Bed Demand</w:t>
      </w:r>
      <w:r>
        <w:t>.</w:t>
      </w:r>
    </w:p>
  </w:footnote>
  <w:footnote w:id="3">
    <w:p w14:paraId="3BB1E843" w14:textId="20FC3FA3" w:rsidR="002B0907" w:rsidRDefault="002B0907">
      <w:pPr>
        <w:pStyle w:val="FootnoteText"/>
      </w:pPr>
      <w:r>
        <w:rPr>
          <w:rStyle w:val="FootnoteReference"/>
        </w:rPr>
        <w:footnoteRef/>
      </w:r>
      <w:r>
        <w:t xml:space="preserve"> </w:t>
      </w:r>
      <w:r w:rsidR="00AC3D3B">
        <w:t xml:space="preserve">Georges Casimir, </w:t>
      </w:r>
      <w:hyperlink r:id="rId1" w:history="1">
        <w:r w:rsidR="00AC3D3B" w:rsidRPr="00F90691">
          <w:rPr>
            <w:rStyle w:val="Hyperlink"/>
            <w:i/>
            <w:iCs/>
            <w:color w:val="auto"/>
            <w:u w:val="none"/>
          </w:rPr>
          <w:t>Why Children’s Hospitals Are Unique and So Essential</w:t>
        </w:r>
      </w:hyperlink>
      <w:r w:rsidR="00AC3D3B" w:rsidRPr="00F90691">
        <w:t xml:space="preserve">, Front </w:t>
      </w:r>
      <w:r w:rsidR="00AC3D3B">
        <w:t xml:space="preserve">Pediatr. (2019), available at </w:t>
      </w:r>
      <w:hyperlink r:id="rId2" w:history="1">
        <w:r w:rsidR="00AC3D3B" w:rsidRPr="00382549">
          <w:rPr>
            <w:rStyle w:val="Hyperlink"/>
          </w:rPr>
          <w:t>https://pmc.ncbi.nlm.nih.gov/articles/PMC6664869/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F4985" w14:textId="2C268764" w:rsidR="00101DAD" w:rsidRDefault="00575961">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78217" w14:textId="18DF6698" w:rsidR="00ED1D5D" w:rsidRDefault="00740ECE" w:rsidP="004B35D9">
    <w:pPr>
      <w:pStyle w:val="Header"/>
      <w:jc w:val="center"/>
      <w:rPr>
        <w:b/>
        <w:bCs/>
        <w:sz w:val="28"/>
        <w:szCs w:val="28"/>
      </w:rPr>
    </w:pPr>
    <w:r>
      <w:rPr>
        <w:b/>
        <w:bCs/>
        <w:sz w:val="28"/>
        <w:szCs w:val="28"/>
      </w:rPr>
      <w:t xml:space="preserve">Dana-Farber Cancer Institute, Inc. </w:t>
    </w:r>
  </w:p>
  <w:p w14:paraId="40DCA975" w14:textId="5B927C5B" w:rsidR="00ED1D5D" w:rsidRDefault="00ED1D5D" w:rsidP="004B35D9">
    <w:pPr>
      <w:pStyle w:val="Header"/>
      <w:jc w:val="center"/>
      <w:rPr>
        <w:b/>
        <w:bCs/>
        <w:sz w:val="28"/>
        <w:szCs w:val="28"/>
      </w:rPr>
    </w:pPr>
    <w:proofErr w:type="spellStart"/>
    <w:r>
      <w:rPr>
        <w:b/>
        <w:bCs/>
        <w:sz w:val="28"/>
        <w:szCs w:val="28"/>
      </w:rPr>
      <w:t>DoN</w:t>
    </w:r>
    <w:proofErr w:type="spellEnd"/>
    <w:r>
      <w:rPr>
        <w:b/>
        <w:bCs/>
        <w:sz w:val="28"/>
        <w:szCs w:val="28"/>
      </w:rPr>
      <w:t xml:space="preserve"> # </w:t>
    </w:r>
    <w:r w:rsidR="00740ECE">
      <w:rPr>
        <w:b/>
        <w:bCs/>
        <w:sz w:val="28"/>
        <w:szCs w:val="28"/>
      </w:rPr>
      <w:t>DFCI-23040915-HE</w:t>
    </w:r>
    <w:r w:rsidR="002915EF">
      <w:rPr>
        <w:b/>
        <w:bCs/>
        <w:sz w:val="28"/>
        <w:szCs w:val="28"/>
      </w:rPr>
      <w:t xml:space="preserve">                             </w:t>
    </w:r>
  </w:p>
  <w:p w14:paraId="163AC1A5" w14:textId="77777777" w:rsidR="00A71FBE" w:rsidRDefault="00A71FBE" w:rsidP="004B35D9">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B4ACD"/>
    <w:multiLevelType w:val="hybridMultilevel"/>
    <w:tmpl w:val="11C06C6E"/>
    <w:lvl w:ilvl="0" w:tplc="8E7826F2">
      <w:start w:val="1"/>
      <w:numFmt w:val="decimal"/>
      <w:lvlText w:val="%1."/>
      <w:lvlJc w:val="left"/>
      <w:pPr>
        <w:ind w:left="720" w:hanging="360"/>
      </w:pPr>
      <w:rPr>
        <w:rFonts w:hint="default"/>
        <w:b w:val="0"/>
        <w:bCs w:val="0"/>
      </w:rPr>
    </w:lvl>
    <w:lvl w:ilvl="1" w:tplc="256AAE6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84DAE"/>
    <w:multiLevelType w:val="hybridMultilevel"/>
    <w:tmpl w:val="EBE2BDE4"/>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F7448"/>
    <w:multiLevelType w:val="hybridMultilevel"/>
    <w:tmpl w:val="D9D421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054AE"/>
    <w:multiLevelType w:val="hybridMultilevel"/>
    <w:tmpl w:val="CE507C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3E45ED"/>
    <w:multiLevelType w:val="hybridMultilevel"/>
    <w:tmpl w:val="6AC811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73F20"/>
    <w:multiLevelType w:val="hybridMultilevel"/>
    <w:tmpl w:val="AE768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5F78AE"/>
    <w:multiLevelType w:val="hybridMultilevel"/>
    <w:tmpl w:val="D744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E6350"/>
    <w:multiLevelType w:val="hybridMultilevel"/>
    <w:tmpl w:val="6CD48AD2"/>
    <w:lvl w:ilvl="0" w:tplc="9A10021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747152F"/>
    <w:multiLevelType w:val="hybridMultilevel"/>
    <w:tmpl w:val="B1188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BD4211"/>
    <w:multiLevelType w:val="hybridMultilevel"/>
    <w:tmpl w:val="97FC14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311A3C"/>
    <w:multiLevelType w:val="hybridMultilevel"/>
    <w:tmpl w:val="451E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5A2CE4"/>
    <w:multiLevelType w:val="hybridMultilevel"/>
    <w:tmpl w:val="9C144B08"/>
    <w:lvl w:ilvl="0" w:tplc="02F8645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512293"/>
    <w:multiLevelType w:val="hybridMultilevel"/>
    <w:tmpl w:val="7B2A7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45644129">
    <w:abstractNumId w:val="20"/>
  </w:num>
  <w:num w:numId="2" w16cid:durableId="750737016">
    <w:abstractNumId w:val="6"/>
  </w:num>
  <w:num w:numId="3" w16cid:durableId="1542747364">
    <w:abstractNumId w:val="19"/>
  </w:num>
  <w:num w:numId="4" w16cid:durableId="681397950">
    <w:abstractNumId w:val="27"/>
  </w:num>
  <w:num w:numId="5" w16cid:durableId="1684429661">
    <w:abstractNumId w:val="21"/>
  </w:num>
  <w:num w:numId="6" w16cid:durableId="677077215">
    <w:abstractNumId w:val="24"/>
  </w:num>
  <w:num w:numId="7" w16cid:durableId="10135372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549454">
    <w:abstractNumId w:val="17"/>
  </w:num>
  <w:num w:numId="9" w16cid:durableId="668141781">
    <w:abstractNumId w:val="2"/>
  </w:num>
  <w:num w:numId="10" w16cid:durableId="1604532541">
    <w:abstractNumId w:val="9"/>
  </w:num>
  <w:num w:numId="11" w16cid:durableId="1674531879">
    <w:abstractNumId w:val="0"/>
  </w:num>
  <w:num w:numId="12" w16cid:durableId="1881168002">
    <w:abstractNumId w:val="18"/>
  </w:num>
  <w:num w:numId="13" w16cid:durableId="996300831">
    <w:abstractNumId w:val="10"/>
  </w:num>
  <w:num w:numId="14" w16cid:durableId="1121539070">
    <w:abstractNumId w:val="16"/>
  </w:num>
  <w:num w:numId="15" w16cid:durableId="735476577">
    <w:abstractNumId w:val="4"/>
  </w:num>
  <w:num w:numId="16" w16cid:durableId="508252739">
    <w:abstractNumId w:val="14"/>
  </w:num>
  <w:num w:numId="17" w16cid:durableId="569779367">
    <w:abstractNumId w:val="22"/>
  </w:num>
  <w:num w:numId="18" w16cid:durableId="1566136827">
    <w:abstractNumId w:val="1"/>
  </w:num>
  <w:num w:numId="19" w16cid:durableId="907152938">
    <w:abstractNumId w:val="15"/>
  </w:num>
  <w:num w:numId="20" w16cid:durableId="1809088308">
    <w:abstractNumId w:val="7"/>
  </w:num>
  <w:num w:numId="21" w16cid:durableId="1552575549">
    <w:abstractNumId w:val="3"/>
  </w:num>
  <w:num w:numId="22" w16cid:durableId="558975762">
    <w:abstractNumId w:val="12"/>
  </w:num>
  <w:num w:numId="23" w16cid:durableId="1106118397">
    <w:abstractNumId w:val="11"/>
  </w:num>
  <w:num w:numId="24" w16cid:durableId="504517409">
    <w:abstractNumId w:val="23"/>
  </w:num>
  <w:num w:numId="25" w16cid:durableId="284501809">
    <w:abstractNumId w:val="25"/>
  </w:num>
  <w:num w:numId="26" w16cid:durableId="1611280119">
    <w:abstractNumId w:val="8"/>
  </w:num>
  <w:num w:numId="27" w16cid:durableId="1224174901">
    <w:abstractNumId w:val="5"/>
  </w:num>
  <w:num w:numId="28" w16cid:durableId="1378471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1713"/>
    <w:rsid w:val="00003082"/>
    <w:rsid w:val="00003174"/>
    <w:rsid w:val="00004826"/>
    <w:rsid w:val="00004BE4"/>
    <w:rsid w:val="00005616"/>
    <w:rsid w:val="00005AC2"/>
    <w:rsid w:val="00005CE7"/>
    <w:rsid w:val="00006750"/>
    <w:rsid w:val="00010060"/>
    <w:rsid w:val="00010E1D"/>
    <w:rsid w:val="000135DF"/>
    <w:rsid w:val="00015B2E"/>
    <w:rsid w:val="00015B89"/>
    <w:rsid w:val="0001602B"/>
    <w:rsid w:val="000166BD"/>
    <w:rsid w:val="000170B3"/>
    <w:rsid w:val="0001718E"/>
    <w:rsid w:val="00017F8A"/>
    <w:rsid w:val="000201A4"/>
    <w:rsid w:val="000204B8"/>
    <w:rsid w:val="00020571"/>
    <w:rsid w:val="000210F8"/>
    <w:rsid w:val="00021CE3"/>
    <w:rsid w:val="00022ACF"/>
    <w:rsid w:val="00023287"/>
    <w:rsid w:val="00023ACA"/>
    <w:rsid w:val="00024DF5"/>
    <w:rsid w:val="00025270"/>
    <w:rsid w:val="000303ED"/>
    <w:rsid w:val="00032322"/>
    <w:rsid w:val="00032890"/>
    <w:rsid w:val="00032A90"/>
    <w:rsid w:val="00033CC3"/>
    <w:rsid w:val="0003454E"/>
    <w:rsid w:val="00034C78"/>
    <w:rsid w:val="00034F24"/>
    <w:rsid w:val="000374D8"/>
    <w:rsid w:val="000400C3"/>
    <w:rsid w:val="00040630"/>
    <w:rsid w:val="00040D63"/>
    <w:rsid w:val="00041B79"/>
    <w:rsid w:val="00041BC7"/>
    <w:rsid w:val="000423B1"/>
    <w:rsid w:val="0004417D"/>
    <w:rsid w:val="0004487C"/>
    <w:rsid w:val="00044A4C"/>
    <w:rsid w:val="00044EF2"/>
    <w:rsid w:val="00045B96"/>
    <w:rsid w:val="000478C5"/>
    <w:rsid w:val="00050314"/>
    <w:rsid w:val="000520EA"/>
    <w:rsid w:val="000529E2"/>
    <w:rsid w:val="0005361C"/>
    <w:rsid w:val="00054134"/>
    <w:rsid w:val="000551B4"/>
    <w:rsid w:val="00055D9B"/>
    <w:rsid w:val="00056185"/>
    <w:rsid w:val="000564EE"/>
    <w:rsid w:val="000569BE"/>
    <w:rsid w:val="00057914"/>
    <w:rsid w:val="00060B5D"/>
    <w:rsid w:val="0006164F"/>
    <w:rsid w:val="00061B3F"/>
    <w:rsid w:val="000628AE"/>
    <w:rsid w:val="00063766"/>
    <w:rsid w:val="00063DFC"/>
    <w:rsid w:val="00064122"/>
    <w:rsid w:val="00064375"/>
    <w:rsid w:val="000650EE"/>
    <w:rsid w:val="000652FC"/>
    <w:rsid w:val="00066776"/>
    <w:rsid w:val="000705F7"/>
    <w:rsid w:val="00070EA2"/>
    <w:rsid w:val="00071B51"/>
    <w:rsid w:val="00071E4D"/>
    <w:rsid w:val="00072E38"/>
    <w:rsid w:val="00073F8E"/>
    <w:rsid w:val="00075153"/>
    <w:rsid w:val="00075A3B"/>
    <w:rsid w:val="00075B8D"/>
    <w:rsid w:val="000764C5"/>
    <w:rsid w:val="000776BF"/>
    <w:rsid w:val="00077704"/>
    <w:rsid w:val="00077B15"/>
    <w:rsid w:val="000809B4"/>
    <w:rsid w:val="00080EBF"/>
    <w:rsid w:val="000819BE"/>
    <w:rsid w:val="00082BF8"/>
    <w:rsid w:val="00084492"/>
    <w:rsid w:val="00084794"/>
    <w:rsid w:val="0008545A"/>
    <w:rsid w:val="00087563"/>
    <w:rsid w:val="000878D1"/>
    <w:rsid w:val="00087FB0"/>
    <w:rsid w:val="00090684"/>
    <w:rsid w:val="00090E74"/>
    <w:rsid w:val="000934B5"/>
    <w:rsid w:val="00093911"/>
    <w:rsid w:val="00093B92"/>
    <w:rsid w:val="000941E0"/>
    <w:rsid w:val="00094DC0"/>
    <w:rsid w:val="0009582E"/>
    <w:rsid w:val="000962A6"/>
    <w:rsid w:val="00096D90"/>
    <w:rsid w:val="000A04D4"/>
    <w:rsid w:val="000A06E9"/>
    <w:rsid w:val="000A083A"/>
    <w:rsid w:val="000A0B6A"/>
    <w:rsid w:val="000A33BD"/>
    <w:rsid w:val="000A4522"/>
    <w:rsid w:val="000A69A1"/>
    <w:rsid w:val="000A6E13"/>
    <w:rsid w:val="000A7DB8"/>
    <w:rsid w:val="000B272F"/>
    <w:rsid w:val="000B2AF8"/>
    <w:rsid w:val="000B36BA"/>
    <w:rsid w:val="000B3BD1"/>
    <w:rsid w:val="000B3D0A"/>
    <w:rsid w:val="000B499F"/>
    <w:rsid w:val="000B4C1D"/>
    <w:rsid w:val="000B5CDD"/>
    <w:rsid w:val="000B67AB"/>
    <w:rsid w:val="000C0238"/>
    <w:rsid w:val="000C03F4"/>
    <w:rsid w:val="000C1298"/>
    <w:rsid w:val="000C17D1"/>
    <w:rsid w:val="000C4221"/>
    <w:rsid w:val="000C4F63"/>
    <w:rsid w:val="000C5460"/>
    <w:rsid w:val="000C63A8"/>
    <w:rsid w:val="000C6847"/>
    <w:rsid w:val="000C7BC7"/>
    <w:rsid w:val="000C7FA0"/>
    <w:rsid w:val="000D03FD"/>
    <w:rsid w:val="000D0E75"/>
    <w:rsid w:val="000D123A"/>
    <w:rsid w:val="000D1D00"/>
    <w:rsid w:val="000D1EA9"/>
    <w:rsid w:val="000D2575"/>
    <w:rsid w:val="000D3409"/>
    <w:rsid w:val="000D3B8D"/>
    <w:rsid w:val="000D5042"/>
    <w:rsid w:val="000D5156"/>
    <w:rsid w:val="000D62B5"/>
    <w:rsid w:val="000D6527"/>
    <w:rsid w:val="000D6556"/>
    <w:rsid w:val="000E2E2E"/>
    <w:rsid w:val="000E34DF"/>
    <w:rsid w:val="000E5709"/>
    <w:rsid w:val="000E6264"/>
    <w:rsid w:val="000F21B0"/>
    <w:rsid w:val="000F2A72"/>
    <w:rsid w:val="000F30D9"/>
    <w:rsid w:val="000F4352"/>
    <w:rsid w:val="000F4967"/>
    <w:rsid w:val="000F4B24"/>
    <w:rsid w:val="000F4C5F"/>
    <w:rsid w:val="000F4E2E"/>
    <w:rsid w:val="00100C5E"/>
    <w:rsid w:val="0010194B"/>
    <w:rsid w:val="00101B7D"/>
    <w:rsid w:val="00101DAD"/>
    <w:rsid w:val="00103034"/>
    <w:rsid w:val="0010402F"/>
    <w:rsid w:val="001055AB"/>
    <w:rsid w:val="00107578"/>
    <w:rsid w:val="00107B4A"/>
    <w:rsid w:val="00110796"/>
    <w:rsid w:val="001117BF"/>
    <w:rsid w:val="00113987"/>
    <w:rsid w:val="001147F0"/>
    <w:rsid w:val="00114DFB"/>
    <w:rsid w:val="00114EA7"/>
    <w:rsid w:val="00117980"/>
    <w:rsid w:val="00117D0A"/>
    <w:rsid w:val="001201FA"/>
    <w:rsid w:val="00120B29"/>
    <w:rsid w:val="001213C0"/>
    <w:rsid w:val="00122B41"/>
    <w:rsid w:val="00122BF7"/>
    <w:rsid w:val="00124FCB"/>
    <w:rsid w:val="001265E0"/>
    <w:rsid w:val="0012678B"/>
    <w:rsid w:val="00130034"/>
    <w:rsid w:val="001314BF"/>
    <w:rsid w:val="00133ED9"/>
    <w:rsid w:val="00135348"/>
    <w:rsid w:val="0013566C"/>
    <w:rsid w:val="00135D7A"/>
    <w:rsid w:val="0013637D"/>
    <w:rsid w:val="001371B6"/>
    <w:rsid w:val="00137228"/>
    <w:rsid w:val="001400CE"/>
    <w:rsid w:val="001404D6"/>
    <w:rsid w:val="001418CE"/>
    <w:rsid w:val="0014223B"/>
    <w:rsid w:val="00143898"/>
    <w:rsid w:val="00144780"/>
    <w:rsid w:val="001447E9"/>
    <w:rsid w:val="00144AA2"/>
    <w:rsid w:val="00144AAB"/>
    <w:rsid w:val="00147174"/>
    <w:rsid w:val="001471BE"/>
    <w:rsid w:val="00150334"/>
    <w:rsid w:val="00151175"/>
    <w:rsid w:val="00151BB6"/>
    <w:rsid w:val="0015401E"/>
    <w:rsid w:val="00154517"/>
    <w:rsid w:val="001549FC"/>
    <w:rsid w:val="00154DFC"/>
    <w:rsid w:val="0015517D"/>
    <w:rsid w:val="001551E7"/>
    <w:rsid w:val="001552B5"/>
    <w:rsid w:val="00155E52"/>
    <w:rsid w:val="00156547"/>
    <w:rsid w:val="00156A67"/>
    <w:rsid w:val="00157D38"/>
    <w:rsid w:val="00163C19"/>
    <w:rsid w:val="001649EA"/>
    <w:rsid w:val="00164FCC"/>
    <w:rsid w:val="001665EA"/>
    <w:rsid w:val="00170511"/>
    <w:rsid w:val="0017058F"/>
    <w:rsid w:val="00170980"/>
    <w:rsid w:val="001720D3"/>
    <w:rsid w:val="00172AF6"/>
    <w:rsid w:val="00172E9C"/>
    <w:rsid w:val="00173878"/>
    <w:rsid w:val="00174EDE"/>
    <w:rsid w:val="001756AE"/>
    <w:rsid w:val="00175714"/>
    <w:rsid w:val="00175F5B"/>
    <w:rsid w:val="00177451"/>
    <w:rsid w:val="0017757C"/>
    <w:rsid w:val="00177E40"/>
    <w:rsid w:val="00180821"/>
    <w:rsid w:val="00180DC9"/>
    <w:rsid w:val="0018406F"/>
    <w:rsid w:val="00184C18"/>
    <w:rsid w:val="00184E0F"/>
    <w:rsid w:val="00185B4B"/>
    <w:rsid w:val="00185E91"/>
    <w:rsid w:val="00185FB0"/>
    <w:rsid w:val="00187159"/>
    <w:rsid w:val="001873ED"/>
    <w:rsid w:val="00187E2A"/>
    <w:rsid w:val="00190496"/>
    <w:rsid w:val="001905D9"/>
    <w:rsid w:val="00192606"/>
    <w:rsid w:val="00192781"/>
    <w:rsid w:val="00193038"/>
    <w:rsid w:val="00193147"/>
    <w:rsid w:val="00193268"/>
    <w:rsid w:val="00193B86"/>
    <w:rsid w:val="00193C65"/>
    <w:rsid w:val="0019409A"/>
    <w:rsid w:val="0019478B"/>
    <w:rsid w:val="00196E05"/>
    <w:rsid w:val="00196F36"/>
    <w:rsid w:val="0019751B"/>
    <w:rsid w:val="0019763E"/>
    <w:rsid w:val="00197DD7"/>
    <w:rsid w:val="001A0983"/>
    <w:rsid w:val="001A29B2"/>
    <w:rsid w:val="001A3051"/>
    <w:rsid w:val="001A4011"/>
    <w:rsid w:val="001A43A3"/>
    <w:rsid w:val="001A4833"/>
    <w:rsid w:val="001A4952"/>
    <w:rsid w:val="001A49B4"/>
    <w:rsid w:val="001A5C6A"/>
    <w:rsid w:val="001A6BEA"/>
    <w:rsid w:val="001A72B1"/>
    <w:rsid w:val="001B2854"/>
    <w:rsid w:val="001B30B4"/>
    <w:rsid w:val="001B4F20"/>
    <w:rsid w:val="001B54EE"/>
    <w:rsid w:val="001B6FC8"/>
    <w:rsid w:val="001B7C17"/>
    <w:rsid w:val="001C58CB"/>
    <w:rsid w:val="001C62E8"/>
    <w:rsid w:val="001C6627"/>
    <w:rsid w:val="001D06B7"/>
    <w:rsid w:val="001D0849"/>
    <w:rsid w:val="001D0FAB"/>
    <w:rsid w:val="001D14BE"/>
    <w:rsid w:val="001D173E"/>
    <w:rsid w:val="001D1A19"/>
    <w:rsid w:val="001D26CD"/>
    <w:rsid w:val="001D2C59"/>
    <w:rsid w:val="001D3878"/>
    <w:rsid w:val="001D3885"/>
    <w:rsid w:val="001D3E43"/>
    <w:rsid w:val="001D57B6"/>
    <w:rsid w:val="001D588E"/>
    <w:rsid w:val="001D5964"/>
    <w:rsid w:val="001D5C2E"/>
    <w:rsid w:val="001D7789"/>
    <w:rsid w:val="001E005F"/>
    <w:rsid w:val="001E021D"/>
    <w:rsid w:val="001E0674"/>
    <w:rsid w:val="001E1939"/>
    <w:rsid w:val="001E2C87"/>
    <w:rsid w:val="001E4287"/>
    <w:rsid w:val="001E4472"/>
    <w:rsid w:val="001E4B60"/>
    <w:rsid w:val="001E6782"/>
    <w:rsid w:val="001E7EF3"/>
    <w:rsid w:val="001E7FF0"/>
    <w:rsid w:val="001F09CA"/>
    <w:rsid w:val="001F1181"/>
    <w:rsid w:val="001F36BA"/>
    <w:rsid w:val="001F4018"/>
    <w:rsid w:val="001F550E"/>
    <w:rsid w:val="001F76CA"/>
    <w:rsid w:val="002000E8"/>
    <w:rsid w:val="00200201"/>
    <w:rsid w:val="0020033B"/>
    <w:rsid w:val="00203510"/>
    <w:rsid w:val="00203870"/>
    <w:rsid w:val="00203AF0"/>
    <w:rsid w:val="00203BC9"/>
    <w:rsid w:val="002043A5"/>
    <w:rsid w:val="002059BD"/>
    <w:rsid w:val="002059E0"/>
    <w:rsid w:val="00211189"/>
    <w:rsid w:val="00211A32"/>
    <w:rsid w:val="00211F28"/>
    <w:rsid w:val="002127A6"/>
    <w:rsid w:val="00213970"/>
    <w:rsid w:val="00213EC8"/>
    <w:rsid w:val="002150AD"/>
    <w:rsid w:val="00215460"/>
    <w:rsid w:val="002177A6"/>
    <w:rsid w:val="00220874"/>
    <w:rsid w:val="0022511C"/>
    <w:rsid w:val="002252A1"/>
    <w:rsid w:val="002259EF"/>
    <w:rsid w:val="00225B3D"/>
    <w:rsid w:val="002265E5"/>
    <w:rsid w:val="00227E66"/>
    <w:rsid w:val="00227E7C"/>
    <w:rsid w:val="00230284"/>
    <w:rsid w:val="0023063C"/>
    <w:rsid w:val="00231240"/>
    <w:rsid w:val="002313E8"/>
    <w:rsid w:val="0023173B"/>
    <w:rsid w:val="00231E99"/>
    <w:rsid w:val="002320A2"/>
    <w:rsid w:val="002327F2"/>
    <w:rsid w:val="002331C6"/>
    <w:rsid w:val="0023529A"/>
    <w:rsid w:val="002354D7"/>
    <w:rsid w:val="0024041A"/>
    <w:rsid w:val="0024070C"/>
    <w:rsid w:val="00241A05"/>
    <w:rsid w:val="00241C56"/>
    <w:rsid w:val="00242800"/>
    <w:rsid w:val="002446AA"/>
    <w:rsid w:val="0024479D"/>
    <w:rsid w:val="00244849"/>
    <w:rsid w:val="002468A2"/>
    <w:rsid w:val="00246FA5"/>
    <w:rsid w:val="0024700E"/>
    <w:rsid w:val="0024714B"/>
    <w:rsid w:val="002472E9"/>
    <w:rsid w:val="00247513"/>
    <w:rsid w:val="0025048B"/>
    <w:rsid w:val="00250B65"/>
    <w:rsid w:val="00250C63"/>
    <w:rsid w:val="00252005"/>
    <w:rsid w:val="00252A9B"/>
    <w:rsid w:val="00252F12"/>
    <w:rsid w:val="002530C3"/>
    <w:rsid w:val="0025312F"/>
    <w:rsid w:val="0025524B"/>
    <w:rsid w:val="00260988"/>
    <w:rsid w:val="00260B42"/>
    <w:rsid w:val="00262247"/>
    <w:rsid w:val="002627A3"/>
    <w:rsid w:val="00263C2D"/>
    <w:rsid w:val="00264371"/>
    <w:rsid w:val="00264904"/>
    <w:rsid w:val="002652F1"/>
    <w:rsid w:val="00265801"/>
    <w:rsid w:val="00266221"/>
    <w:rsid w:val="00266C45"/>
    <w:rsid w:val="00267983"/>
    <w:rsid w:val="00267B83"/>
    <w:rsid w:val="00267C27"/>
    <w:rsid w:val="00267DF7"/>
    <w:rsid w:val="002700D6"/>
    <w:rsid w:val="0027091C"/>
    <w:rsid w:val="00270E03"/>
    <w:rsid w:val="00270EF2"/>
    <w:rsid w:val="00272980"/>
    <w:rsid w:val="002731F4"/>
    <w:rsid w:val="002732FC"/>
    <w:rsid w:val="002750BD"/>
    <w:rsid w:val="00275AD8"/>
    <w:rsid w:val="0028055D"/>
    <w:rsid w:val="00281336"/>
    <w:rsid w:val="0028203A"/>
    <w:rsid w:val="00282164"/>
    <w:rsid w:val="002826B9"/>
    <w:rsid w:val="00283CFC"/>
    <w:rsid w:val="00284FAD"/>
    <w:rsid w:val="002857BE"/>
    <w:rsid w:val="0028717D"/>
    <w:rsid w:val="002872F8"/>
    <w:rsid w:val="002901D8"/>
    <w:rsid w:val="0029038B"/>
    <w:rsid w:val="0029097F"/>
    <w:rsid w:val="002915EF"/>
    <w:rsid w:val="00292E98"/>
    <w:rsid w:val="00293102"/>
    <w:rsid w:val="00294F3F"/>
    <w:rsid w:val="0029547F"/>
    <w:rsid w:val="002957A3"/>
    <w:rsid w:val="002977F7"/>
    <w:rsid w:val="002A190F"/>
    <w:rsid w:val="002A65D5"/>
    <w:rsid w:val="002B0287"/>
    <w:rsid w:val="002B0907"/>
    <w:rsid w:val="002B0B0C"/>
    <w:rsid w:val="002B0CBB"/>
    <w:rsid w:val="002B122C"/>
    <w:rsid w:val="002B4D79"/>
    <w:rsid w:val="002B50E8"/>
    <w:rsid w:val="002B75AD"/>
    <w:rsid w:val="002B795B"/>
    <w:rsid w:val="002B7A0F"/>
    <w:rsid w:val="002B7DDE"/>
    <w:rsid w:val="002C00F5"/>
    <w:rsid w:val="002C043F"/>
    <w:rsid w:val="002C04DC"/>
    <w:rsid w:val="002C077B"/>
    <w:rsid w:val="002C07EF"/>
    <w:rsid w:val="002C0853"/>
    <w:rsid w:val="002C0F9E"/>
    <w:rsid w:val="002C3860"/>
    <w:rsid w:val="002C62E7"/>
    <w:rsid w:val="002C6593"/>
    <w:rsid w:val="002D12E3"/>
    <w:rsid w:val="002D146A"/>
    <w:rsid w:val="002D1653"/>
    <w:rsid w:val="002D230A"/>
    <w:rsid w:val="002D3A78"/>
    <w:rsid w:val="002D3FFA"/>
    <w:rsid w:val="002D49AE"/>
    <w:rsid w:val="002D681B"/>
    <w:rsid w:val="002D6DBA"/>
    <w:rsid w:val="002D7DB3"/>
    <w:rsid w:val="002E0B7E"/>
    <w:rsid w:val="002E2029"/>
    <w:rsid w:val="002E6C6C"/>
    <w:rsid w:val="002E6D9A"/>
    <w:rsid w:val="002E7C22"/>
    <w:rsid w:val="002E7F7D"/>
    <w:rsid w:val="002F0124"/>
    <w:rsid w:val="002F0B8F"/>
    <w:rsid w:val="002F13EF"/>
    <w:rsid w:val="002F3030"/>
    <w:rsid w:val="002F3311"/>
    <w:rsid w:val="002F3842"/>
    <w:rsid w:val="002F3C9F"/>
    <w:rsid w:val="002F3CB3"/>
    <w:rsid w:val="002F40F6"/>
    <w:rsid w:val="002F4361"/>
    <w:rsid w:val="002F4542"/>
    <w:rsid w:val="002F7A2E"/>
    <w:rsid w:val="00300B76"/>
    <w:rsid w:val="00300E87"/>
    <w:rsid w:val="00301F26"/>
    <w:rsid w:val="00301F4F"/>
    <w:rsid w:val="00302668"/>
    <w:rsid w:val="00302CA5"/>
    <w:rsid w:val="00303B5B"/>
    <w:rsid w:val="00304F0E"/>
    <w:rsid w:val="00305443"/>
    <w:rsid w:val="003054CD"/>
    <w:rsid w:val="003065B2"/>
    <w:rsid w:val="00306967"/>
    <w:rsid w:val="00306AA9"/>
    <w:rsid w:val="0031085B"/>
    <w:rsid w:val="00311BD3"/>
    <w:rsid w:val="00311C4E"/>
    <w:rsid w:val="00313E62"/>
    <w:rsid w:val="00315319"/>
    <w:rsid w:val="0031630F"/>
    <w:rsid w:val="00316A25"/>
    <w:rsid w:val="00316D76"/>
    <w:rsid w:val="00317099"/>
    <w:rsid w:val="003214CD"/>
    <w:rsid w:val="00321B2C"/>
    <w:rsid w:val="00322F59"/>
    <w:rsid w:val="00323373"/>
    <w:rsid w:val="003242B2"/>
    <w:rsid w:val="0032463B"/>
    <w:rsid w:val="003250DC"/>
    <w:rsid w:val="00327FC1"/>
    <w:rsid w:val="0033047F"/>
    <w:rsid w:val="0033054B"/>
    <w:rsid w:val="003315CD"/>
    <w:rsid w:val="0033289B"/>
    <w:rsid w:val="00332908"/>
    <w:rsid w:val="00332EB1"/>
    <w:rsid w:val="00333514"/>
    <w:rsid w:val="00333D1E"/>
    <w:rsid w:val="00334C80"/>
    <w:rsid w:val="00334D78"/>
    <w:rsid w:val="00334F52"/>
    <w:rsid w:val="00334FBC"/>
    <w:rsid w:val="0033545C"/>
    <w:rsid w:val="0033588A"/>
    <w:rsid w:val="0033616D"/>
    <w:rsid w:val="00336322"/>
    <w:rsid w:val="00336F57"/>
    <w:rsid w:val="00340D69"/>
    <w:rsid w:val="00341056"/>
    <w:rsid w:val="00342187"/>
    <w:rsid w:val="00343908"/>
    <w:rsid w:val="0034484E"/>
    <w:rsid w:val="0034720B"/>
    <w:rsid w:val="003505FE"/>
    <w:rsid w:val="0035063F"/>
    <w:rsid w:val="00360DA7"/>
    <w:rsid w:val="0036169E"/>
    <w:rsid w:val="00362B62"/>
    <w:rsid w:val="003643F3"/>
    <w:rsid w:val="00366108"/>
    <w:rsid w:val="0037038B"/>
    <w:rsid w:val="00370F4F"/>
    <w:rsid w:val="00371698"/>
    <w:rsid w:val="0037175C"/>
    <w:rsid w:val="00371EDD"/>
    <w:rsid w:val="003720F9"/>
    <w:rsid w:val="003729D8"/>
    <w:rsid w:val="00373050"/>
    <w:rsid w:val="00374818"/>
    <w:rsid w:val="00375B55"/>
    <w:rsid w:val="00376216"/>
    <w:rsid w:val="003768A2"/>
    <w:rsid w:val="00376A91"/>
    <w:rsid w:val="00380455"/>
    <w:rsid w:val="00380D8F"/>
    <w:rsid w:val="00381C32"/>
    <w:rsid w:val="003827FE"/>
    <w:rsid w:val="0038346E"/>
    <w:rsid w:val="003846A1"/>
    <w:rsid w:val="0038489A"/>
    <w:rsid w:val="00384C90"/>
    <w:rsid w:val="00384D1D"/>
    <w:rsid w:val="00385036"/>
    <w:rsid w:val="00385222"/>
    <w:rsid w:val="00385C3F"/>
    <w:rsid w:val="00386173"/>
    <w:rsid w:val="003872F2"/>
    <w:rsid w:val="0039160D"/>
    <w:rsid w:val="0039230D"/>
    <w:rsid w:val="00392435"/>
    <w:rsid w:val="00392ACC"/>
    <w:rsid w:val="00392DA5"/>
    <w:rsid w:val="003949CE"/>
    <w:rsid w:val="0039504A"/>
    <w:rsid w:val="00395E6D"/>
    <w:rsid w:val="0039608B"/>
    <w:rsid w:val="00397FF3"/>
    <w:rsid w:val="003A0924"/>
    <w:rsid w:val="003A1D62"/>
    <w:rsid w:val="003A1DF2"/>
    <w:rsid w:val="003A2AF8"/>
    <w:rsid w:val="003A2C04"/>
    <w:rsid w:val="003A2DC1"/>
    <w:rsid w:val="003A336C"/>
    <w:rsid w:val="003A403C"/>
    <w:rsid w:val="003A42C0"/>
    <w:rsid w:val="003A473A"/>
    <w:rsid w:val="003A5250"/>
    <w:rsid w:val="003A5DE9"/>
    <w:rsid w:val="003A5E4C"/>
    <w:rsid w:val="003A5E94"/>
    <w:rsid w:val="003B0E66"/>
    <w:rsid w:val="003B1716"/>
    <w:rsid w:val="003B20FA"/>
    <w:rsid w:val="003B472F"/>
    <w:rsid w:val="003B5351"/>
    <w:rsid w:val="003B5416"/>
    <w:rsid w:val="003B5DE3"/>
    <w:rsid w:val="003B5EBB"/>
    <w:rsid w:val="003B7095"/>
    <w:rsid w:val="003C1B91"/>
    <w:rsid w:val="003C25D2"/>
    <w:rsid w:val="003C3276"/>
    <w:rsid w:val="003C50A9"/>
    <w:rsid w:val="003C72C5"/>
    <w:rsid w:val="003D0850"/>
    <w:rsid w:val="003D1F67"/>
    <w:rsid w:val="003D2116"/>
    <w:rsid w:val="003D36BE"/>
    <w:rsid w:val="003D4302"/>
    <w:rsid w:val="003D602B"/>
    <w:rsid w:val="003D78E0"/>
    <w:rsid w:val="003E14AB"/>
    <w:rsid w:val="003E1923"/>
    <w:rsid w:val="003E5BEF"/>
    <w:rsid w:val="003E5E21"/>
    <w:rsid w:val="003E63B2"/>
    <w:rsid w:val="003E6450"/>
    <w:rsid w:val="003E7891"/>
    <w:rsid w:val="003F052A"/>
    <w:rsid w:val="003F07C7"/>
    <w:rsid w:val="003F3079"/>
    <w:rsid w:val="003F3269"/>
    <w:rsid w:val="003F3DFA"/>
    <w:rsid w:val="003F3FD9"/>
    <w:rsid w:val="003F413A"/>
    <w:rsid w:val="003F5F5B"/>
    <w:rsid w:val="00401AC3"/>
    <w:rsid w:val="0040320A"/>
    <w:rsid w:val="00403419"/>
    <w:rsid w:val="004044B3"/>
    <w:rsid w:val="004046CC"/>
    <w:rsid w:val="00405076"/>
    <w:rsid w:val="004067AC"/>
    <w:rsid w:val="00411057"/>
    <w:rsid w:val="004116DA"/>
    <w:rsid w:val="00412820"/>
    <w:rsid w:val="00412BE5"/>
    <w:rsid w:val="004137F8"/>
    <w:rsid w:val="004140CA"/>
    <w:rsid w:val="00414AC1"/>
    <w:rsid w:val="00414E6C"/>
    <w:rsid w:val="00416671"/>
    <w:rsid w:val="00422017"/>
    <w:rsid w:val="00422B3E"/>
    <w:rsid w:val="00422D00"/>
    <w:rsid w:val="00422D7A"/>
    <w:rsid w:val="0042381E"/>
    <w:rsid w:val="00423AD1"/>
    <w:rsid w:val="0042597E"/>
    <w:rsid w:val="00425ACE"/>
    <w:rsid w:val="004276AF"/>
    <w:rsid w:val="00430D4A"/>
    <w:rsid w:val="00431FF9"/>
    <w:rsid w:val="00432A71"/>
    <w:rsid w:val="00434705"/>
    <w:rsid w:val="00434F9A"/>
    <w:rsid w:val="00436FC7"/>
    <w:rsid w:val="004403D9"/>
    <w:rsid w:val="00441B9C"/>
    <w:rsid w:val="00441F9E"/>
    <w:rsid w:val="00442827"/>
    <w:rsid w:val="004429C4"/>
    <w:rsid w:val="00442E58"/>
    <w:rsid w:val="004438B6"/>
    <w:rsid w:val="00443FB9"/>
    <w:rsid w:val="00444549"/>
    <w:rsid w:val="00450385"/>
    <w:rsid w:val="004520A3"/>
    <w:rsid w:val="0045288A"/>
    <w:rsid w:val="00452A64"/>
    <w:rsid w:val="00453A6F"/>
    <w:rsid w:val="0045489C"/>
    <w:rsid w:val="00454C95"/>
    <w:rsid w:val="00455942"/>
    <w:rsid w:val="0045635F"/>
    <w:rsid w:val="00456A25"/>
    <w:rsid w:val="00456E60"/>
    <w:rsid w:val="00460A29"/>
    <w:rsid w:val="0046142B"/>
    <w:rsid w:val="0046156C"/>
    <w:rsid w:val="00464D4A"/>
    <w:rsid w:val="00465411"/>
    <w:rsid w:val="00465541"/>
    <w:rsid w:val="0046772A"/>
    <w:rsid w:val="0047061C"/>
    <w:rsid w:val="00472104"/>
    <w:rsid w:val="004722DA"/>
    <w:rsid w:val="00472621"/>
    <w:rsid w:val="00474A17"/>
    <w:rsid w:val="00475703"/>
    <w:rsid w:val="0047573D"/>
    <w:rsid w:val="004759B2"/>
    <w:rsid w:val="00481166"/>
    <w:rsid w:val="0048472C"/>
    <w:rsid w:val="00486553"/>
    <w:rsid w:val="00491D1F"/>
    <w:rsid w:val="00491FE4"/>
    <w:rsid w:val="00493FFF"/>
    <w:rsid w:val="00495BCF"/>
    <w:rsid w:val="004A0435"/>
    <w:rsid w:val="004A1B04"/>
    <w:rsid w:val="004A567B"/>
    <w:rsid w:val="004A6CE2"/>
    <w:rsid w:val="004A72A6"/>
    <w:rsid w:val="004A7AC3"/>
    <w:rsid w:val="004B00A9"/>
    <w:rsid w:val="004B17FE"/>
    <w:rsid w:val="004B1A4C"/>
    <w:rsid w:val="004B250F"/>
    <w:rsid w:val="004B29FB"/>
    <w:rsid w:val="004B35D9"/>
    <w:rsid w:val="004B4101"/>
    <w:rsid w:val="004B4C52"/>
    <w:rsid w:val="004B4C63"/>
    <w:rsid w:val="004B53ED"/>
    <w:rsid w:val="004B5FC7"/>
    <w:rsid w:val="004B616C"/>
    <w:rsid w:val="004B67A8"/>
    <w:rsid w:val="004B6A61"/>
    <w:rsid w:val="004B6C56"/>
    <w:rsid w:val="004B79E8"/>
    <w:rsid w:val="004C069B"/>
    <w:rsid w:val="004C092D"/>
    <w:rsid w:val="004C223B"/>
    <w:rsid w:val="004C36AE"/>
    <w:rsid w:val="004C40EF"/>
    <w:rsid w:val="004C4827"/>
    <w:rsid w:val="004C6008"/>
    <w:rsid w:val="004C6CC6"/>
    <w:rsid w:val="004D11B5"/>
    <w:rsid w:val="004D14F2"/>
    <w:rsid w:val="004D15BC"/>
    <w:rsid w:val="004D1A38"/>
    <w:rsid w:val="004D2F67"/>
    <w:rsid w:val="004D3E68"/>
    <w:rsid w:val="004D4524"/>
    <w:rsid w:val="004D4DFB"/>
    <w:rsid w:val="004D4F2A"/>
    <w:rsid w:val="004D565C"/>
    <w:rsid w:val="004D5803"/>
    <w:rsid w:val="004D601C"/>
    <w:rsid w:val="004D6EEA"/>
    <w:rsid w:val="004D7188"/>
    <w:rsid w:val="004E163C"/>
    <w:rsid w:val="004E302C"/>
    <w:rsid w:val="004E3CEE"/>
    <w:rsid w:val="004E4379"/>
    <w:rsid w:val="004E4515"/>
    <w:rsid w:val="004F0BDE"/>
    <w:rsid w:val="004F1168"/>
    <w:rsid w:val="004F14F3"/>
    <w:rsid w:val="004F2E15"/>
    <w:rsid w:val="004F315B"/>
    <w:rsid w:val="004F3E11"/>
    <w:rsid w:val="004F3E54"/>
    <w:rsid w:val="004F4174"/>
    <w:rsid w:val="004F41B8"/>
    <w:rsid w:val="004F5731"/>
    <w:rsid w:val="004F5EE6"/>
    <w:rsid w:val="004F6E34"/>
    <w:rsid w:val="004F7FA5"/>
    <w:rsid w:val="0050021C"/>
    <w:rsid w:val="00501682"/>
    <w:rsid w:val="00502780"/>
    <w:rsid w:val="00502DAA"/>
    <w:rsid w:val="00503276"/>
    <w:rsid w:val="005032B7"/>
    <w:rsid w:val="0050367D"/>
    <w:rsid w:val="005036D4"/>
    <w:rsid w:val="00504A6B"/>
    <w:rsid w:val="00504EE4"/>
    <w:rsid w:val="00505239"/>
    <w:rsid w:val="005052BB"/>
    <w:rsid w:val="0050594A"/>
    <w:rsid w:val="00505DBB"/>
    <w:rsid w:val="0050612C"/>
    <w:rsid w:val="00511AF9"/>
    <w:rsid w:val="005125BE"/>
    <w:rsid w:val="00513CAE"/>
    <w:rsid w:val="00514741"/>
    <w:rsid w:val="00514D77"/>
    <w:rsid w:val="005162D4"/>
    <w:rsid w:val="00516D13"/>
    <w:rsid w:val="005171CE"/>
    <w:rsid w:val="00517851"/>
    <w:rsid w:val="00517FE8"/>
    <w:rsid w:val="00520F06"/>
    <w:rsid w:val="0052151C"/>
    <w:rsid w:val="00521AFE"/>
    <w:rsid w:val="00521BC3"/>
    <w:rsid w:val="0052243C"/>
    <w:rsid w:val="00522733"/>
    <w:rsid w:val="0052305C"/>
    <w:rsid w:val="00523846"/>
    <w:rsid w:val="00523EBA"/>
    <w:rsid w:val="00524432"/>
    <w:rsid w:val="005245F0"/>
    <w:rsid w:val="00524A91"/>
    <w:rsid w:val="00525D53"/>
    <w:rsid w:val="00525D97"/>
    <w:rsid w:val="00527DBC"/>
    <w:rsid w:val="00530AB5"/>
    <w:rsid w:val="005326E1"/>
    <w:rsid w:val="00533BFA"/>
    <w:rsid w:val="005344C8"/>
    <w:rsid w:val="005365CD"/>
    <w:rsid w:val="00536713"/>
    <w:rsid w:val="0054010E"/>
    <w:rsid w:val="00540A93"/>
    <w:rsid w:val="00541B47"/>
    <w:rsid w:val="00542573"/>
    <w:rsid w:val="00542D3D"/>
    <w:rsid w:val="0054314F"/>
    <w:rsid w:val="005453BE"/>
    <w:rsid w:val="005462CF"/>
    <w:rsid w:val="0054635A"/>
    <w:rsid w:val="00546E39"/>
    <w:rsid w:val="00546E45"/>
    <w:rsid w:val="00547298"/>
    <w:rsid w:val="005475A0"/>
    <w:rsid w:val="00547852"/>
    <w:rsid w:val="0055037E"/>
    <w:rsid w:val="005503A7"/>
    <w:rsid w:val="005509CA"/>
    <w:rsid w:val="00550A25"/>
    <w:rsid w:val="00550CD0"/>
    <w:rsid w:val="00551463"/>
    <w:rsid w:val="005518EC"/>
    <w:rsid w:val="00552B0F"/>
    <w:rsid w:val="00553AE9"/>
    <w:rsid w:val="00553F38"/>
    <w:rsid w:val="00554894"/>
    <w:rsid w:val="00555C83"/>
    <w:rsid w:val="00555E7C"/>
    <w:rsid w:val="00560748"/>
    <w:rsid w:val="005618D2"/>
    <w:rsid w:val="0056249F"/>
    <w:rsid w:val="005635DA"/>
    <w:rsid w:val="00563A4F"/>
    <w:rsid w:val="00565671"/>
    <w:rsid w:val="005658A0"/>
    <w:rsid w:val="005660A2"/>
    <w:rsid w:val="00566189"/>
    <w:rsid w:val="005672AD"/>
    <w:rsid w:val="00567EA4"/>
    <w:rsid w:val="005713EE"/>
    <w:rsid w:val="0057180C"/>
    <w:rsid w:val="00571BEA"/>
    <w:rsid w:val="00571C41"/>
    <w:rsid w:val="00572A3A"/>
    <w:rsid w:val="005743AB"/>
    <w:rsid w:val="005756F8"/>
    <w:rsid w:val="00575961"/>
    <w:rsid w:val="00576DBD"/>
    <w:rsid w:val="00580403"/>
    <w:rsid w:val="00581C3F"/>
    <w:rsid w:val="00581D3B"/>
    <w:rsid w:val="00582960"/>
    <w:rsid w:val="005836E9"/>
    <w:rsid w:val="00585825"/>
    <w:rsid w:val="00585C44"/>
    <w:rsid w:val="00585CE3"/>
    <w:rsid w:val="00591106"/>
    <w:rsid w:val="00593588"/>
    <w:rsid w:val="00593BD5"/>
    <w:rsid w:val="005959EC"/>
    <w:rsid w:val="00595B32"/>
    <w:rsid w:val="00595BBA"/>
    <w:rsid w:val="00596153"/>
    <w:rsid w:val="00596490"/>
    <w:rsid w:val="0059762F"/>
    <w:rsid w:val="00597C1C"/>
    <w:rsid w:val="005A0AEF"/>
    <w:rsid w:val="005A1C36"/>
    <w:rsid w:val="005A2195"/>
    <w:rsid w:val="005A36E2"/>
    <w:rsid w:val="005A4788"/>
    <w:rsid w:val="005A5026"/>
    <w:rsid w:val="005A603E"/>
    <w:rsid w:val="005A628F"/>
    <w:rsid w:val="005A6938"/>
    <w:rsid w:val="005B2002"/>
    <w:rsid w:val="005B22F1"/>
    <w:rsid w:val="005B34A6"/>
    <w:rsid w:val="005B3776"/>
    <w:rsid w:val="005B37FC"/>
    <w:rsid w:val="005B43C5"/>
    <w:rsid w:val="005B466B"/>
    <w:rsid w:val="005B50FD"/>
    <w:rsid w:val="005B5EF5"/>
    <w:rsid w:val="005B7A95"/>
    <w:rsid w:val="005C1468"/>
    <w:rsid w:val="005C2042"/>
    <w:rsid w:val="005C2511"/>
    <w:rsid w:val="005C352C"/>
    <w:rsid w:val="005C370B"/>
    <w:rsid w:val="005C6635"/>
    <w:rsid w:val="005CB107"/>
    <w:rsid w:val="005D0ED5"/>
    <w:rsid w:val="005D1339"/>
    <w:rsid w:val="005D1437"/>
    <w:rsid w:val="005D1ED3"/>
    <w:rsid w:val="005D35AC"/>
    <w:rsid w:val="005D5DD2"/>
    <w:rsid w:val="005D61ED"/>
    <w:rsid w:val="005D6913"/>
    <w:rsid w:val="005D700A"/>
    <w:rsid w:val="005E21EF"/>
    <w:rsid w:val="005E2419"/>
    <w:rsid w:val="005E2DD7"/>
    <w:rsid w:val="005E2E66"/>
    <w:rsid w:val="005E3294"/>
    <w:rsid w:val="005E3295"/>
    <w:rsid w:val="005E36E2"/>
    <w:rsid w:val="005E4169"/>
    <w:rsid w:val="005E5080"/>
    <w:rsid w:val="005E5577"/>
    <w:rsid w:val="005E56DC"/>
    <w:rsid w:val="005E63A0"/>
    <w:rsid w:val="005E663E"/>
    <w:rsid w:val="005E6A3E"/>
    <w:rsid w:val="005E7C33"/>
    <w:rsid w:val="005F1D5B"/>
    <w:rsid w:val="005F287D"/>
    <w:rsid w:val="005F3A24"/>
    <w:rsid w:val="005F3C21"/>
    <w:rsid w:val="005F3D6D"/>
    <w:rsid w:val="005F53A5"/>
    <w:rsid w:val="005F7F8C"/>
    <w:rsid w:val="006000BF"/>
    <w:rsid w:val="006003B2"/>
    <w:rsid w:val="00600A2B"/>
    <w:rsid w:val="00600B22"/>
    <w:rsid w:val="00601D10"/>
    <w:rsid w:val="0060286F"/>
    <w:rsid w:val="00602AAE"/>
    <w:rsid w:val="00606168"/>
    <w:rsid w:val="00606EE8"/>
    <w:rsid w:val="00607226"/>
    <w:rsid w:val="00610861"/>
    <w:rsid w:val="00610F79"/>
    <w:rsid w:val="006118EE"/>
    <w:rsid w:val="00613130"/>
    <w:rsid w:val="006140B8"/>
    <w:rsid w:val="00614551"/>
    <w:rsid w:val="00614CCC"/>
    <w:rsid w:val="00616705"/>
    <w:rsid w:val="0061717C"/>
    <w:rsid w:val="00617302"/>
    <w:rsid w:val="00617DB5"/>
    <w:rsid w:val="00617DD9"/>
    <w:rsid w:val="00617E15"/>
    <w:rsid w:val="00621481"/>
    <w:rsid w:val="00621733"/>
    <w:rsid w:val="00622B17"/>
    <w:rsid w:val="00623EBB"/>
    <w:rsid w:val="00623F1E"/>
    <w:rsid w:val="006268A1"/>
    <w:rsid w:val="00630B3B"/>
    <w:rsid w:val="00631021"/>
    <w:rsid w:val="00631125"/>
    <w:rsid w:val="00631B65"/>
    <w:rsid w:val="00632814"/>
    <w:rsid w:val="00633EB8"/>
    <w:rsid w:val="006345D0"/>
    <w:rsid w:val="00634E89"/>
    <w:rsid w:val="006356F3"/>
    <w:rsid w:val="00636657"/>
    <w:rsid w:val="00637606"/>
    <w:rsid w:val="00640196"/>
    <w:rsid w:val="0064049B"/>
    <w:rsid w:val="0064304D"/>
    <w:rsid w:val="00643AC4"/>
    <w:rsid w:val="00643E25"/>
    <w:rsid w:val="006467AD"/>
    <w:rsid w:val="00647BF6"/>
    <w:rsid w:val="00650043"/>
    <w:rsid w:val="00651B37"/>
    <w:rsid w:val="0066033D"/>
    <w:rsid w:val="00661204"/>
    <w:rsid w:val="00663692"/>
    <w:rsid w:val="006636BE"/>
    <w:rsid w:val="00663F50"/>
    <w:rsid w:val="0066451A"/>
    <w:rsid w:val="0066453A"/>
    <w:rsid w:val="0066549B"/>
    <w:rsid w:val="006655A5"/>
    <w:rsid w:val="00665717"/>
    <w:rsid w:val="00665DD2"/>
    <w:rsid w:val="00666020"/>
    <w:rsid w:val="0066604A"/>
    <w:rsid w:val="0066746F"/>
    <w:rsid w:val="00671463"/>
    <w:rsid w:val="00671A4C"/>
    <w:rsid w:val="006739B5"/>
    <w:rsid w:val="006739E1"/>
    <w:rsid w:val="006742E9"/>
    <w:rsid w:val="006744CC"/>
    <w:rsid w:val="00674751"/>
    <w:rsid w:val="00675F6F"/>
    <w:rsid w:val="006761E4"/>
    <w:rsid w:val="00676A36"/>
    <w:rsid w:val="00676C6C"/>
    <w:rsid w:val="0067766C"/>
    <w:rsid w:val="00680D3D"/>
    <w:rsid w:val="0068116A"/>
    <w:rsid w:val="0068118C"/>
    <w:rsid w:val="00682421"/>
    <w:rsid w:val="00682E5D"/>
    <w:rsid w:val="006830B2"/>
    <w:rsid w:val="006832D4"/>
    <w:rsid w:val="00683A13"/>
    <w:rsid w:val="006840CF"/>
    <w:rsid w:val="00685731"/>
    <w:rsid w:val="00685933"/>
    <w:rsid w:val="00685B20"/>
    <w:rsid w:val="006868A5"/>
    <w:rsid w:val="0068795C"/>
    <w:rsid w:val="006900CC"/>
    <w:rsid w:val="00690C51"/>
    <w:rsid w:val="006911C3"/>
    <w:rsid w:val="006914D4"/>
    <w:rsid w:val="00691B11"/>
    <w:rsid w:val="00691B91"/>
    <w:rsid w:val="00692753"/>
    <w:rsid w:val="00693429"/>
    <w:rsid w:val="0069382D"/>
    <w:rsid w:val="00694806"/>
    <w:rsid w:val="0069555A"/>
    <w:rsid w:val="00696089"/>
    <w:rsid w:val="0069645B"/>
    <w:rsid w:val="0069711B"/>
    <w:rsid w:val="006A04BC"/>
    <w:rsid w:val="006A086C"/>
    <w:rsid w:val="006A0DDA"/>
    <w:rsid w:val="006A0E12"/>
    <w:rsid w:val="006A15F2"/>
    <w:rsid w:val="006A1FE5"/>
    <w:rsid w:val="006A5828"/>
    <w:rsid w:val="006A61EE"/>
    <w:rsid w:val="006A680C"/>
    <w:rsid w:val="006A6F08"/>
    <w:rsid w:val="006A7CDB"/>
    <w:rsid w:val="006B0E01"/>
    <w:rsid w:val="006B1D60"/>
    <w:rsid w:val="006B2C53"/>
    <w:rsid w:val="006B3631"/>
    <w:rsid w:val="006B3761"/>
    <w:rsid w:val="006B4947"/>
    <w:rsid w:val="006B4C9A"/>
    <w:rsid w:val="006B4DF7"/>
    <w:rsid w:val="006B70CF"/>
    <w:rsid w:val="006B7A51"/>
    <w:rsid w:val="006B7A8E"/>
    <w:rsid w:val="006C1741"/>
    <w:rsid w:val="006C18E2"/>
    <w:rsid w:val="006C1E4A"/>
    <w:rsid w:val="006C3176"/>
    <w:rsid w:val="006C44F3"/>
    <w:rsid w:val="006C4CD8"/>
    <w:rsid w:val="006C5059"/>
    <w:rsid w:val="006C643E"/>
    <w:rsid w:val="006C6723"/>
    <w:rsid w:val="006C7653"/>
    <w:rsid w:val="006D053E"/>
    <w:rsid w:val="006D168B"/>
    <w:rsid w:val="006D21CB"/>
    <w:rsid w:val="006D2A2B"/>
    <w:rsid w:val="006D2BE3"/>
    <w:rsid w:val="006D2CB6"/>
    <w:rsid w:val="006D33FC"/>
    <w:rsid w:val="006D4836"/>
    <w:rsid w:val="006D52EB"/>
    <w:rsid w:val="006D5FA5"/>
    <w:rsid w:val="006D61EB"/>
    <w:rsid w:val="006D6EFC"/>
    <w:rsid w:val="006D7699"/>
    <w:rsid w:val="006D7B04"/>
    <w:rsid w:val="006D7B30"/>
    <w:rsid w:val="006E0ABC"/>
    <w:rsid w:val="006E121C"/>
    <w:rsid w:val="006E2615"/>
    <w:rsid w:val="006E32A2"/>
    <w:rsid w:val="006E3EF9"/>
    <w:rsid w:val="006E4748"/>
    <w:rsid w:val="006E4DAB"/>
    <w:rsid w:val="006F0FDE"/>
    <w:rsid w:val="006F1174"/>
    <w:rsid w:val="006F1282"/>
    <w:rsid w:val="006F4693"/>
    <w:rsid w:val="006F6865"/>
    <w:rsid w:val="006F71B0"/>
    <w:rsid w:val="006F73E8"/>
    <w:rsid w:val="006F761D"/>
    <w:rsid w:val="006F769C"/>
    <w:rsid w:val="006F7E6B"/>
    <w:rsid w:val="0070033D"/>
    <w:rsid w:val="00701AFE"/>
    <w:rsid w:val="00701B9A"/>
    <w:rsid w:val="0070375F"/>
    <w:rsid w:val="00703DE5"/>
    <w:rsid w:val="0070429A"/>
    <w:rsid w:val="00704893"/>
    <w:rsid w:val="00705F72"/>
    <w:rsid w:val="007066D1"/>
    <w:rsid w:val="00707A5E"/>
    <w:rsid w:val="00707DA2"/>
    <w:rsid w:val="00710539"/>
    <w:rsid w:val="00710BA4"/>
    <w:rsid w:val="007111FF"/>
    <w:rsid w:val="00711DCF"/>
    <w:rsid w:val="00712964"/>
    <w:rsid w:val="00714363"/>
    <w:rsid w:val="0071468F"/>
    <w:rsid w:val="00716E8C"/>
    <w:rsid w:val="0071746F"/>
    <w:rsid w:val="00717AA2"/>
    <w:rsid w:val="007204F8"/>
    <w:rsid w:val="00721C52"/>
    <w:rsid w:val="007227E7"/>
    <w:rsid w:val="007231BB"/>
    <w:rsid w:val="00723217"/>
    <w:rsid w:val="007239E2"/>
    <w:rsid w:val="007244DC"/>
    <w:rsid w:val="007245D3"/>
    <w:rsid w:val="00730DC2"/>
    <w:rsid w:val="007319FC"/>
    <w:rsid w:val="00732BB8"/>
    <w:rsid w:val="007357E9"/>
    <w:rsid w:val="00735918"/>
    <w:rsid w:val="007361A5"/>
    <w:rsid w:val="007372AE"/>
    <w:rsid w:val="0073761D"/>
    <w:rsid w:val="00740178"/>
    <w:rsid w:val="0074073B"/>
    <w:rsid w:val="00740779"/>
    <w:rsid w:val="00740ECE"/>
    <w:rsid w:val="0074247F"/>
    <w:rsid w:val="00742506"/>
    <w:rsid w:val="00746046"/>
    <w:rsid w:val="007463AE"/>
    <w:rsid w:val="0074677C"/>
    <w:rsid w:val="00747A48"/>
    <w:rsid w:val="00747C2B"/>
    <w:rsid w:val="007501F6"/>
    <w:rsid w:val="00752C1B"/>
    <w:rsid w:val="00753677"/>
    <w:rsid w:val="0075371C"/>
    <w:rsid w:val="00753D64"/>
    <w:rsid w:val="00753F87"/>
    <w:rsid w:val="007549E9"/>
    <w:rsid w:val="007572B7"/>
    <w:rsid w:val="0076061A"/>
    <w:rsid w:val="00762A6E"/>
    <w:rsid w:val="00763EB3"/>
    <w:rsid w:val="007641EC"/>
    <w:rsid w:val="00764271"/>
    <w:rsid w:val="007644BD"/>
    <w:rsid w:val="007653E4"/>
    <w:rsid w:val="00765963"/>
    <w:rsid w:val="00765D9D"/>
    <w:rsid w:val="007662E1"/>
    <w:rsid w:val="00766DB5"/>
    <w:rsid w:val="00766DCA"/>
    <w:rsid w:val="007679BB"/>
    <w:rsid w:val="007702E7"/>
    <w:rsid w:val="0077057C"/>
    <w:rsid w:val="00770DB0"/>
    <w:rsid w:val="00770E41"/>
    <w:rsid w:val="00773893"/>
    <w:rsid w:val="00773FED"/>
    <w:rsid w:val="00774C1C"/>
    <w:rsid w:val="00775545"/>
    <w:rsid w:val="0077555B"/>
    <w:rsid w:val="0077609C"/>
    <w:rsid w:val="00776CCC"/>
    <w:rsid w:val="0078019C"/>
    <w:rsid w:val="007808E9"/>
    <w:rsid w:val="00782155"/>
    <w:rsid w:val="007837F4"/>
    <w:rsid w:val="00784940"/>
    <w:rsid w:val="0078566C"/>
    <w:rsid w:val="00787023"/>
    <w:rsid w:val="00791931"/>
    <w:rsid w:val="00791D17"/>
    <w:rsid w:val="00792482"/>
    <w:rsid w:val="0079421D"/>
    <w:rsid w:val="00794F62"/>
    <w:rsid w:val="00797487"/>
    <w:rsid w:val="007979E0"/>
    <w:rsid w:val="007A0252"/>
    <w:rsid w:val="007A041A"/>
    <w:rsid w:val="007A07EA"/>
    <w:rsid w:val="007A0C90"/>
    <w:rsid w:val="007A2EF5"/>
    <w:rsid w:val="007A367E"/>
    <w:rsid w:val="007A50CB"/>
    <w:rsid w:val="007A66E0"/>
    <w:rsid w:val="007A6756"/>
    <w:rsid w:val="007B03BC"/>
    <w:rsid w:val="007B11D8"/>
    <w:rsid w:val="007B173E"/>
    <w:rsid w:val="007B2E6D"/>
    <w:rsid w:val="007B48AC"/>
    <w:rsid w:val="007B48DD"/>
    <w:rsid w:val="007B5A1A"/>
    <w:rsid w:val="007B5A4F"/>
    <w:rsid w:val="007B6E85"/>
    <w:rsid w:val="007C15CD"/>
    <w:rsid w:val="007C1CAE"/>
    <w:rsid w:val="007C249D"/>
    <w:rsid w:val="007C2A52"/>
    <w:rsid w:val="007C30ED"/>
    <w:rsid w:val="007C4499"/>
    <w:rsid w:val="007C56EC"/>
    <w:rsid w:val="007C626A"/>
    <w:rsid w:val="007D0C4C"/>
    <w:rsid w:val="007D14AF"/>
    <w:rsid w:val="007D16B0"/>
    <w:rsid w:val="007D1F5A"/>
    <w:rsid w:val="007D32AE"/>
    <w:rsid w:val="007D3F7B"/>
    <w:rsid w:val="007D4FB8"/>
    <w:rsid w:val="007E0FB3"/>
    <w:rsid w:val="007E12A5"/>
    <w:rsid w:val="007E163F"/>
    <w:rsid w:val="007E2657"/>
    <w:rsid w:val="007E3244"/>
    <w:rsid w:val="007E5249"/>
    <w:rsid w:val="007E58F1"/>
    <w:rsid w:val="007E5960"/>
    <w:rsid w:val="007E5A04"/>
    <w:rsid w:val="007E611D"/>
    <w:rsid w:val="007E6D2F"/>
    <w:rsid w:val="007E72F1"/>
    <w:rsid w:val="007E78BF"/>
    <w:rsid w:val="007F1885"/>
    <w:rsid w:val="007F18F5"/>
    <w:rsid w:val="007F1A7B"/>
    <w:rsid w:val="007F1D7E"/>
    <w:rsid w:val="007F1EB0"/>
    <w:rsid w:val="007F3A6E"/>
    <w:rsid w:val="007F3D05"/>
    <w:rsid w:val="007F5035"/>
    <w:rsid w:val="007F539B"/>
    <w:rsid w:val="007F5538"/>
    <w:rsid w:val="007F5544"/>
    <w:rsid w:val="007F5758"/>
    <w:rsid w:val="007F5789"/>
    <w:rsid w:val="007F5964"/>
    <w:rsid w:val="007F6EBE"/>
    <w:rsid w:val="007F7548"/>
    <w:rsid w:val="00800525"/>
    <w:rsid w:val="00800A34"/>
    <w:rsid w:val="00802467"/>
    <w:rsid w:val="00802EE7"/>
    <w:rsid w:val="00804066"/>
    <w:rsid w:val="00805000"/>
    <w:rsid w:val="00805EB2"/>
    <w:rsid w:val="008066F1"/>
    <w:rsid w:val="00806DB4"/>
    <w:rsid w:val="008079D5"/>
    <w:rsid w:val="008109D5"/>
    <w:rsid w:val="0081314E"/>
    <w:rsid w:val="00813FDF"/>
    <w:rsid w:val="008168C5"/>
    <w:rsid w:val="00820E1A"/>
    <w:rsid w:val="008233CC"/>
    <w:rsid w:val="00823504"/>
    <w:rsid w:val="00823580"/>
    <w:rsid w:val="00824011"/>
    <w:rsid w:val="008249B3"/>
    <w:rsid w:val="00825C95"/>
    <w:rsid w:val="0082656A"/>
    <w:rsid w:val="00826C1D"/>
    <w:rsid w:val="00827642"/>
    <w:rsid w:val="00830A5D"/>
    <w:rsid w:val="008316A1"/>
    <w:rsid w:val="00832690"/>
    <w:rsid w:val="008329E5"/>
    <w:rsid w:val="00833929"/>
    <w:rsid w:val="00836E6C"/>
    <w:rsid w:val="00837788"/>
    <w:rsid w:val="008435AC"/>
    <w:rsid w:val="008437F5"/>
    <w:rsid w:val="00844244"/>
    <w:rsid w:val="00844887"/>
    <w:rsid w:val="00844EDF"/>
    <w:rsid w:val="00845230"/>
    <w:rsid w:val="0084554E"/>
    <w:rsid w:val="00850A3A"/>
    <w:rsid w:val="00850AE7"/>
    <w:rsid w:val="00851FBF"/>
    <w:rsid w:val="0085597A"/>
    <w:rsid w:val="00855C5B"/>
    <w:rsid w:val="00856C65"/>
    <w:rsid w:val="00857284"/>
    <w:rsid w:val="00860F79"/>
    <w:rsid w:val="00860F8B"/>
    <w:rsid w:val="008628D0"/>
    <w:rsid w:val="00862D37"/>
    <w:rsid w:val="00863141"/>
    <w:rsid w:val="00863414"/>
    <w:rsid w:val="008657E9"/>
    <w:rsid w:val="00865A56"/>
    <w:rsid w:val="00865C8A"/>
    <w:rsid w:val="0086788D"/>
    <w:rsid w:val="00867DB7"/>
    <w:rsid w:val="00870660"/>
    <w:rsid w:val="00870EDC"/>
    <w:rsid w:val="008720E4"/>
    <w:rsid w:val="00872E44"/>
    <w:rsid w:val="00872FC1"/>
    <w:rsid w:val="008734BB"/>
    <w:rsid w:val="0087465E"/>
    <w:rsid w:val="0087545E"/>
    <w:rsid w:val="00876B13"/>
    <w:rsid w:val="0087779F"/>
    <w:rsid w:val="008812AC"/>
    <w:rsid w:val="00883761"/>
    <w:rsid w:val="00885379"/>
    <w:rsid w:val="008855CA"/>
    <w:rsid w:val="0088594F"/>
    <w:rsid w:val="008865C3"/>
    <w:rsid w:val="00886642"/>
    <w:rsid w:val="00890310"/>
    <w:rsid w:val="008905A7"/>
    <w:rsid w:val="00890A96"/>
    <w:rsid w:val="00890B08"/>
    <w:rsid w:val="0089111E"/>
    <w:rsid w:val="00891646"/>
    <w:rsid w:val="00891DA6"/>
    <w:rsid w:val="00891DE8"/>
    <w:rsid w:val="00892E8A"/>
    <w:rsid w:val="008964C3"/>
    <w:rsid w:val="00897345"/>
    <w:rsid w:val="00897A53"/>
    <w:rsid w:val="008A0364"/>
    <w:rsid w:val="008A04DF"/>
    <w:rsid w:val="008A483F"/>
    <w:rsid w:val="008A5778"/>
    <w:rsid w:val="008A5838"/>
    <w:rsid w:val="008B0496"/>
    <w:rsid w:val="008B4A42"/>
    <w:rsid w:val="008B5DCB"/>
    <w:rsid w:val="008B774C"/>
    <w:rsid w:val="008C08DA"/>
    <w:rsid w:val="008C13D3"/>
    <w:rsid w:val="008C1402"/>
    <w:rsid w:val="008C15E3"/>
    <w:rsid w:val="008C1BC1"/>
    <w:rsid w:val="008C2AD3"/>
    <w:rsid w:val="008C48BA"/>
    <w:rsid w:val="008C716B"/>
    <w:rsid w:val="008D14B7"/>
    <w:rsid w:val="008D2BA4"/>
    <w:rsid w:val="008D3803"/>
    <w:rsid w:val="008D3A82"/>
    <w:rsid w:val="008D4075"/>
    <w:rsid w:val="008D4DCA"/>
    <w:rsid w:val="008D4F9D"/>
    <w:rsid w:val="008D531E"/>
    <w:rsid w:val="008D5C8D"/>
    <w:rsid w:val="008D648C"/>
    <w:rsid w:val="008D79EB"/>
    <w:rsid w:val="008D7F35"/>
    <w:rsid w:val="008E0B85"/>
    <w:rsid w:val="008E2216"/>
    <w:rsid w:val="008E2D9F"/>
    <w:rsid w:val="008E35D1"/>
    <w:rsid w:val="008E3BE6"/>
    <w:rsid w:val="008E4517"/>
    <w:rsid w:val="008E52E7"/>
    <w:rsid w:val="008E5511"/>
    <w:rsid w:val="008E5ADD"/>
    <w:rsid w:val="008E74C6"/>
    <w:rsid w:val="008F0FC5"/>
    <w:rsid w:val="008F1E32"/>
    <w:rsid w:val="008F222D"/>
    <w:rsid w:val="008F295A"/>
    <w:rsid w:val="008F3679"/>
    <w:rsid w:val="008F4EB5"/>
    <w:rsid w:val="008F5195"/>
    <w:rsid w:val="008F6FEE"/>
    <w:rsid w:val="008F73BF"/>
    <w:rsid w:val="00900D1B"/>
    <w:rsid w:val="00903207"/>
    <w:rsid w:val="00903387"/>
    <w:rsid w:val="0090431E"/>
    <w:rsid w:val="009050B0"/>
    <w:rsid w:val="0090579C"/>
    <w:rsid w:val="00907C52"/>
    <w:rsid w:val="009113A3"/>
    <w:rsid w:val="009117C6"/>
    <w:rsid w:val="009127F3"/>
    <w:rsid w:val="00913095"/>
    <w:rsid w:val="009131AE"/>
    <w:rsid w:val="00913EC8"/>
    <w:rsid w:val="00916BD8"/>
    <w:rsid w:val="00917ED9"/>
    <w:rsid w:val="00920768"/>
    <w:rsid w:val="009235BA"/>
    <w:rsid w:val="009235C2"/>
    <w:rsid w:val="00924EC5"/>
    <w:rsid w:val="00924FAC"/>
    <w:rsid w:val="00926BD7"/>
    <w:rsid w:val="009275B0"/>
    <w:rsid w:val="009306A7"/>
    <w:rsid w:val="009317C0"/>
    <w:rsid w:val="00932FF3"/>
    <w:rsid w:val="009345F2"/>
    <w:rsid w:val="00935999"/>
    <w:rsid w:val="00935EE3"/>
    <w:rsid w:val="00937D97"/>
    <w:rsid w:val="00942408"/>
    <w:rsid w:val="009434D6"/>
    <w:rsid w:val="00944E36"/>
    <w:rsid w:val="0094518B"/>
    <w:rsid w:val="009516B4"/>
    <w:rsid w:val="00952018"/>
    <w:rsid w:val="009541FD"/>
    <w:rsid w:val="00954D06"/>
    <w:rsid w:val="009565C3"/>
    <w:rsid w:val="0095680C"/>
    <w:rsid w:val="00956D9B"/>
    <w:rsid w:val="00957A8A"/>
    <w:rsid w:val="00957E2F"/>
    <w:rsid w:val="00961189"/>
    <w:rsid w:val="00962365"/>
    <w:rsid w:val="009642D5"/>
    <w:rsid w:val="009648F0"/>
    <w:rsid w:val="00964EA9"/>
    <w:rsid w:val="0096578F"/>
    <w:rsid w:val="00966295"/>
    <w:rsid w:val="00966F23"/>
    <w:rsid w:val="0096700F"/>
    <w:rsid w:val="00967A1C"/>
    <w:rsid w:val="00967CCF"/>
    <w:rsid w:val="009715AC"/>
    <w:rsid w:val="009717F8"/>
    <w:rsid w:val="009717FD"/>
    <w:rsid w:val="00972FFF"/>
    <w:rsid w:val="009737C9"/>
    <w:rsid w:val="00973924"/>
    <w:rsid w:val="00975811"/>
    <w:rsid w:val="0097597A"/>
    <w:rsid w:val="00975FE8"/>
    <w:rsid w:val="0097644F"/>
    <w:rsid w:val="009764DF"/>
    <w:rsid w:val="00980778"/>
    <w:rsid w:val="00980A22"/>
    <w:rsid w:val="00980F47"/>
    <w:rsid w:val="00981628"/>
    <w:rsid w:val="009817B1"/>
    <w:rsid w:val="009823DC"/>
    <w:rsid w:val="00983D3A"/>
    <w:rsid w:val="0098418E"/>
    <w:rsid w:val="00987BC2"/>
    <w:rsid w:val="00990AB9"/>
    <w:rsid w:val="00992D67"/>
    <w:rsid w:val="009936F9"/>
    <w:rsid w:val="00994E1B"/>
    <w:rsid w:val="0099550E"/>
    <w:rsid w:val="009961C7"/>
    <w:rsid w:val="009964C9"/>
    <w:rsid w:val="00997F10"/>
    <w:rsid w:val="009A0047"/>
    <w:rsid w:val="009A1531"/>
    <w:rsid w:val="009A2F8A"/>
    <w:rsid w:val="009A36D7"/>
    <w:rsid w:val="009A47D8"/>
    <w:rsid w:val="009A4DD8"/>
    <w:rsid w:val="009A53CA"/>
    <w:rsid w:val="009A57EA"/>
    <w:rsid w:val="009A6D1D"/>
    <w:rsid w:val="009A7C5D"/>
    <w:rsid w:val="009B0D84"/>
    <w:rsid w:val="009B108E"/>
    <w:rsid w:val="009B3AD9"/>
    <w:rsid w:val="009B3D14"/>
    <w:rsid w:val="009B3FB7"/>
    <w:rsid w:val="009B437F"/>
    <w:rsid w:val="009B43A1"/>
    <w:rsid w:val="009B527C"/>
    <w:rsid w:val="009B56A1"/>
    <w:rsid w:val="009B5778"/>
    <w:rsid w:val="009B6481"/>
    <w:rsid w:val="009C0308"/>
    <w:rsid w:val="009C11BA"/>
    <w:rsid w:val="009C317C"/>
    <w:rsid w:val="009C532D"/>
    <w:rsid w:val="009C5521"/>
    <w:rsid w:val="009C6043"/>
    <w:rsid w:val="009C645B"/>
    <w:rsid w:val="009C6798"/>
    <w:rsid w:val="009C67C7"/>
    <w:rsid w:val="009C6AC2"/>
    <w:rsid w:val="009C774C"/>
    <w:rsid w:val="009D016F"/>
    <w:rsid w:val="009D0CE6"/>
    <w:rsid w:val="009D11B8"/>
    <w:rsid w:val="009D1300"/>
    <w:rsid w:val="009D2693"/>
    <w:rsid w:val="009D5819"/>
    <w:rsid w:val="009D63DB"/>
    <w:rsid w:val="009D6ED8"/>
    <w:rsid w:val="009D7F03"/>
    <w:rsid w:val="009D7FE4"/>
    <w:rsid w:val="009E30AA"/>
    <w:rsid w:val="009E3F6F"/>
    <w:rsid w:val="009E5116"/>
    <w:rsid w:val="009E6187"/>
    <w:rsid w:val="009E739C"/>
    <w:rsid w:val="009E7B07"/>
    <w:rsid w:val="009F14A8"/>
    <w:rsid w:val="009F22E0"/>
    <w:rsid w:val="009F2AF6"/>
    <w:rsid w:val="009F327C"/>
    <w:rsid w:val="009F42C3"/>
    <w:rsid w:val="009F7378"/>
    <w:rsid w:val="009F792C"/>
    <w:rsid w:val="009F7A18"/>
    <w:rsid w:val="00A00262"/>
    <w:rsid w:val="00A005EA"/>
    <w:rsid w:val="00A05AF0"/>
    <w:rsid w:val="00A05DF3"/>
    <w:rsid w:val="00A07533"/>
    <w:rsid w:val="00A0793D"/>
    <w:rsid w:val="00A10811"/>
    <w:rsid w:val="00A10836"/>
    <w:rsid w:val="00A10B06"/>
    <w:rsid w:val="00A123DC"/>
    <w:rsid w:val="00A12D89"/>
    <w:rsid w:val="00A13A35"/>
    <w:rsid w:val="00A13BA8"/>
    <w:rsid w:val="00A13DB2"/>
    <w:rsid w:val="00A145B3"/>
    <w:rsid w:val="00A145C7"/>
    <w:rsid w:val="00A14679"/>
    <w:rsid w:val="00A14D38"/>
    <w:rsid w:val="00A15D95"/>
    <w:rsid w:val="00A1639B"/>
    <w:rsid w:val="00A169F5"/>
    <w:rsid w:val="00A20097"/>
    <w:rsid w:val="00A20808"/>
    <w:rsid w:val="00A2358F"/>
    <w:rsid w:val="00A23AF7"/>
    <w:rsid w:val="00A25D25"/>
    <w:rsid w:val="00A26189"/>
    <w:rsid w:val="00A26AF2"/>
    <w:rsid w:val="00A2717D"/>
    <w:rsid w:val="00A2775B"/>
    <w:rsid w:val="00A306C2"/>
    <w:rsid w:val="00A308E0"/>
    <w:rsid w:val="00A30CCE"/>
    <w:rsid w:val="00A30EC0"/>
    <w:rsid w:val="00A31148"/>
    <w:rsid w:val="00A321CE"/>
    <w:rsid w:val="00A3290D"/>
    <w:rsid w:val="00A338CB"/>
    <w:rsid w:val="00A3634D"/>
    <w:rsid w:val="00A3768B"/>
    <w:rsid w:val="00A37972"/>
    <w:rsid w:val="00A40BDA"/>
    <w:rsid w:val="00A41728"/>
    <w:rsid w:val="00A43211"/>
    <w:rsid w:val="00A445AB"/>
    <w:rsid w:val="00A45914"/>
    <w:rsid w:val="00A4604E"/>
    <w:rsid w:val="00A4648C"/>
    <w:rsid w:val="00A47068"/>
    <w:rsid w:val="00A5071D"/>
    <w:rsid w:val="00A50C01"/>
    <w:rsid w:val="00A524F2"/>
    <w:rsid w:val="00A52592"/>
    <w:rsid w:val="00A53641"/>
    <w:rsid w:val="00A54E1C"/>
    <w:rsid w:val="00A55E43"/>
    <w:rsid w:val="00A567ED"/>
    <w:rsid w:val="00A56887"/>
    <w:rsid w:val="00A57BBD"/>
    <w:rsid w:val="00A6101E"/>
    <w:rsid w:val="00A61137"/>
    <w:rsid w:val="00A61ABE"/>
    <w:rsid w:val="00A67239"/>
    <w:rsid w:val="00A700BA"/>
    <w:rsid w:val="00A709B3"/>
    <w:rsid w:val="00A71FBE"/>
    <w:rsid w:val="00A725EF"/>
    <w:rsid w:val="00A73474"/>
    <w:rsid w:val="00A75D87"/>
    <w:rsid w:val="00A760C1"/>
    <w:rsid w:val="00A766C3"/>
    <w:rsid w:val="00A774CC"/>
    <w:rsid w:val="00A8075D"/>
    <w:rsid w:val="00A80AC8"/>
    <w:rsid w:val="00A80CCB"/>
    <w:rsid w:val="00A81BC1"/>
    <w:rsid w:val="00A83D76"/>
    <w:rsid w:val="00A83E44"/>
    <w:rsid w:val="00A855A3"/>
    <w:rsid w:val="00A87E55"/>
    <w:rsid w:val="00A93707"/>
    <w:rsid w:val="00A93AE0"/>
    <w:rsid w:val="00A93B0B"/>
    <w:rsid w:val="00A93B12"/>
    <w:rsid w:val="00A95971"/>
    <w:rsid w:val="00A965BC"/>
    <w:rsid w:val="00A97891"/>
    <w:rsid w:val="00A97EEE"/>
    <w:rsid w:val="00AA00E1"/>
    <w:rsid w:val="00AA0501"/>
    <w:rsid w:val="00AA2A4E"/>
    <w:rsid w:val="00AA2EDA"/>
    <w:rsid w:val="00AA3271"/>
    <w:rsid w:val="00AA4556"/>
    <w:rsid w:val="00AA504C"/>
    <w:rsid w:val="00AA5A11"/>
    <w:rsid w:val="00AB235E"/>
    <w:rsid w:val="00AB2D24"/>
    <w:rsid w:val="00AB340F"/>
    <w:rsid w:val="00AB3461"/>
    <w:rsid w:val="00AB3689"/>
    <w:rsid w:val="00AB552B"/>
    <w:rsid w:val="00AB555A"/>
    <w:rsid w:val="00AB5B5D"/>
    <w:rsid w:val="00AB5E44"/>
    <w:rsid w:val="00AB6361"/>
    <w:rsid w:val="00AB7A17"/>
    <w:rsid w:val="00AB7EFB"/>
    <w:rsid w:val="00AC0C86"/>
    <w:rsid w:val="00AC176E"/>
    <w:rsid w:val="00AC3495"/>
    <w:rsid w:val="00AC3D3B"/>
    <w:rsid w:val="00AC47EF"/>
    <w:rsid w:val="00AC552A"/>
    <w:rsid w:val="00AC6049"/>
    <w:rsid w:val="00AC7276"/>
    <w:rsid w:val="00AC7E57"/>
    <w:rsid w:val="00AD125C"/>
    <w:rsid w:val="00AD1826"/>
    <w:rsid w:val="00AD2279"/>
    <w:rsid w:val="00AD2948"/>
    <w:rsid w:val="00AD2A1C"/>
    <w:rsid w:val="00AD32C1"/>
    <w:rsid w:val="00AD4630"/>
    <w:rsid w:val="00AD4C61"/>
    <w:rsid w:val="00AD4EEB"/>
    <w:rsid w:val="00AD693F"/>
    <w:rsid w:val="00AD766F"/>
    <w:rsid w:val="00AE0F4F"/>
    <w:rsid w:val="00AE455A"/>
    <w:rsid w:val="00AE4678"/>
    <w:rsid w:val="00AE46B8"/>
    <w:rsid w:val="00AE4C6C"/>
    <w:rsid w:val="00AE57D1"/>
    <w:rsid w:val="00AE5BE4"/>
    <w:rsid w:val="00AE7861"/>
    <w:rsid w:val="00AF2088"/>
    <w:rsid w:val="00AF655C"/>
    <w:rsid w:val="00AF65A4"/>
    <w:rsid w:val="00AF6807"/>
    <w:rsid w:val="00AF694E"/>
    <w:rsid w:val="00B02968"/>
    <w:rsid w:val="00B0568E"/>
    <w:rsid w:val="00B05A96"/>
    <w:rsid w:val="00B05AF1"/>
    <w:rsid w:val="00B05DB5"/>
    <w:rsid w:val="00B06C7D"/>
    <w:rsid w:val="00B108B0"/>
    <w:rsid w:val="00B115A5"/>
    <w:rsid w:val="00B118C4"/>
    <w:rsid w:val="00B11DFE"/>
    <w:rsid w:val="00B12308"/>
    <w:rsid w:val="00B1295C"/>
    <w:rsid w:val="00B133EF"/>
    <w:rsid w:val="00B13B20"/>
    <w:rsid w:val="00B144FE"/>
    <w:rsid w:val="00B1619C"/>
    <w:rsid w:val="00B16639"/>
    <w:rsid w:val="00B16A8D"/>
    <w:rsid w:val="00B17B2B"/>
    <w:rsid w:val="00B17E81"/>
    <w:rsid w:val="00B20078"/>
    <w:rsid w:val="00B20B39"/>
    <w:rsid w:val="00B221FA"/>
    <w:rsid w:val="00B254F4"/>
    <w:rsid w:val="00B25555"/>
    <w:rsid w:val="00B25DED"/>
    <w:rsid w:val="00B26652"/>
    <w:rsid w:val="00B26898"/>
    <w:rsid w:val="00B26FF7"/>
    <w:rsid w:val="00B30A16"/>
    <w:rsid w:val="00B30D06"/>
    <w:rsid w:val="00B30EF8"/>
    <w:rsid w:val="00B3313C"/>
    <w:rsid w:val="00B34B1B"/>
    <w:rsid w:val="00B3640A"/>
    <w:rsid w:val="00B3681C"/>
    <w:rsid w:val="00B4116E"/>
    <w:rsid w:val="00B43839"/>
    <w:rsid w:val="00B43C5F"/>
    <w:rsid w:val="00B46F92"/>
    <w:rsid w:val="00B473D7"/>
    <w:rsid w:val="00B477BE"/>
    <w:rsid w:val="00B47C4B"/>
    <w:rsid w:val="00B508CC"/>
    <w:rsid w:val="00B514A4"/>
    <w:rsid w:val="00B52589"/>
    <w:rsid w:val="00B52A21"/>
    <w:rsid w:val="00B53890"/>
    <w:rsid w:val="00B53FCE"/>
    <w:rsid w:val="00B54069"/>
    <w:rsid w:val="00B542F4"/>
    <w:rsid w:val="00B54D93"/>
    <w:rsid w:val="00B5614B"/>
    <w:rsid w:val="00B5700C"/>
    <w:rsid w:val="00B57D40"/>
    <w:rsid w:val="00B602AB"/>
    <w:rsid w:val="00B60745"/>
    <w:rsid w:val="00B60C82"/>
    <w:rsid w:val="00B60D46"/>
    <w:rsid w:val="00B610A5"/>
    <w:rsid w:val="00B62025"/>
    <w:rsid w:val="00B62640"/>
    <w:rsid w:val="00B62E17"/>
    <w:rsid w:val="00B631EF"/>
    <w:rsid w:val="00B63F8E"/>
    <w:rsid w:val="00B64D20"/>
    <w:rsid w:val="00B64F86"/>
    <w:rsid w:val="00B65460"/>
    <w:rsid w:val="00B65540"/>
    <w:rsid w:val="00B66119"/>
    <w:rsid w:val="00B66219"/>
    <w:rsid w:val="00B6659F"/>
    <w:rsid w:val="00B67371"/>
    <w:rsid w:val="00B6E5F4"/>
    <w:rsid w:val="00B709C5"/>
    <w:rsid w:val="00B70EA9"/>
    <w:rsid w:val="00B71821"/>
    <w:rsid w:val="00B73A61"/>
    <w:rsid w:val="00B73B91"/>
    <w:rsid w:val="00B73C3C"/>
    <w:rsid w:val="00B741B0"/>
    <w:rsid w:val="00B74C9C"/>
    <w:rsid w:val="00B7549F"/>
    <w:rsid w:val="00B761DC"/>
    <w:rsid w:val="00B76E7A"/>
    <w:rsid w:val="00B77200"/>
    <w:rsid w:val="00B808F4"/>
    <w:rsid w:val="00B80E9D"/>
    <w:rsid w:val="00B8166B"/>
    <w:rsid w:val="00B82020"/>
    <w:rsid w:val="00B832A3"/>
    <w:rsid w:val="00B83BB8"/>
    <w:rsid w:val="00B845CB"/>
    <w:rsid w:val="00B845E2"/>
    <w:rsid w:val="00B84C70"/>
    <w:rsid w:val="00B8547C"/>
    <w:rsid w:val="00B87ACC"/>
    <w:rsid w:val="00B9029F"/>
    <w:rsid w:val="00B90CA9"/>
    <w:rsid w:val="00B917E5"/>
    <w:rsid w:val="00B93C28"/>
    <w:rsid w:val="00B94055"/>
    <w:rsid w:val="00B95878"/>
    <w:rsid w:val="00B95E82"/>
    <w:rsid w:val="00B96295"/>
    <w:rsid w:val="00B973D6"/>
    <w:rsid w:val="00B9779C"/>
    <w:rsid w:val="00B97C08"/>
    <w:rsid w:val="00BA03FF"/>
    <w:rsid w:val="00BA0835"/>
    <w:rsid w:val="00BA0D25"/>
    <w:rsid w:val="00BA14F7"/>
    <w:rsid w:val="00BA4219"/>
    <w:rsid w:val="00BA450D"/>
    <w:rsid w:val="00BA50DB"/>
    <w:rsid w:val="00BA547D"/>
    <w:rsid w:val="00BA5E8C"/>
    <w:rsid w:val="00BA6BEA"/>
    <w:rsid w:val="00BA71C0"/>
    <w:rsid w:val="00BB3E4F"/>
    <w:rsid w:val="00BB40C4"/>
    <w:rsid w:val="00BB5CB6"/>
    <w:rsid w:val="00BB6400"/>
    <w:rsid w:val="00BB681A"/>
    <w:rsid w:val="00BB6CDE"/>
    <w:rsid w:val="00BB6D89"/>
    <w:rsid w:val="00BC08EC"/>
    <w:rsid w:val="00BC25F5"/>
    <w:rsid w:val="00BC3C35"/>
    <w:rsid w:val="00BC491E"/>
    <w:rsid w:val="00BC4A84"/>
    <w:rsid w:val="00BC62DC"/>
    <w:rsid w:val="00BC6BB6"/>
    <w:rsid w:val="00BD0C64"/>
    <w:rsid w:val="00BD3589"/>
    <w:rsid w:val="00BD3D23"/>
    <w:rsid w:val="00BD4155"/>
    <w:rsid w:val="00BD4215"/>
    <w:rsid w:val="00BD500A"/>
    <w:rsid w:val="00BD5574"/>
    <w:rsid w:val="00BD5691"/>
    <w:rsid w:val="00BD63F1"/>
    <w:rsid w:val="00BD6601"/>
    <w:rsid w:val="00BD7FE2"/>
    <w:rsid w:val="00BE0E00"/>
    <w:rsid w:val="00BE1B24"/>
    <w:rsid w:val="00BE209A"/>
    <w:rsid w:val="00BE2759"/>
    <w:rsid w:val="00BE4153"/>
    <w:rsid w:val="00BE44A0"/>
    <w:rsid w:val="00BE4E96"/>
    <w:rsid w:val="00BE5498"/>
    <w:rsid w:val="00BE630C"/>
    <w:rsid w:val="00BE7404"/>
    <w:rsid w:val="00BE7935"/>
    <w:rsid w:val="00BE7941"/>
    <w:rsid w:val="00BE7AB4"/>
    <w:rsid w:val="00BF0140"/>
    <w:rsid w:val="00BF1098"/>
    <w:rsid w:val="00BF282F"/>
    <w:rsid w:val="00BF4590"/>
    <w:rsid w:val="00BF5799"/>
    <w:rsid w:val="00BF676A"/>
    <w:rsid w:val="00BF6977"/>
    <w:rsid w:val="00BF74C1"/>
    <w:rsid w:val="00BF7DF5"/>
    <w:rsid w:val="00C004A6"/>
    <w:rsid w:val="00C0092F"/>
    <w:rsid w:val="00C025C9"/>
    <w:rsid w:val="00C02728"/>
    <w:rsid w:val="00C0274F"/>
    <w:rsid w:val="00C03143"/>
    <w:rsid w:val="00C0367A"/>
    <w:rsid w:val="00C04C2D"/>
    <w:rsid w:val="00C06735"/>
    <w:rsid w:val="00C06B04"/>
    <w:rsid w:val="00C078A0"/>
    <w:rsid w:val="00C07BA7"/>
    <w:rsid w:val="00C07F1C"/>
    <w:rsid w:val="00C10E2C"/>
    <w:rsid w:val="00C10FE9"/>
    <w:rsid w:val="00C120E2"/>
    <w:rsid w:val="00C12268"/>
    <w:rsid w:val="00C13A76"/>
    <w:rsid w:val="00C1425D"/>
    <w:rsid w:val="00C14A7A"/>
    <w:rsid w:val="00C14CC1"/>
    <w:rsid w:val="00C15ACB"/>
    <w:rsid w:val="00C16785"/>
    <w:rsid w:val="00C16A88"/>
    <w:rsid w:val="00C17CDF"/>
    <w:rsid w:val="00C20649"/>
    <w:rsid w:val="00C20650"/>
    <w:rsid w:val="00C20F23"/>
    <w:rsid w:val="00C21780"/>
    <w:rsid w:val="00C22237"/>
    <w:rsid w:val="00C22980"/>
    <w:rsid w:val="00C22A51"/>
    <w:rsid w:val="00C22ABD"/>
    <w:rsid w:val="00C233EE"/>
    <w:rsid w:val="00C241A1"/>
    <w:rsid w:val="00C243C3"/>
    <w:rsid w:val="00C24BD1"/>
    <w:rsid w:val="00C24E2B"/>
    <w:rsid w:val="00C26F29"/>
    <w:rsid w:val="00C3416F"/>
    <w:rsid w:val="00C34BA9"/>
    <w:rsid w:val="00C4101E"/>
    <w:rsid w:val="00C4118B"/>
    <w:rsid w:val="00C42460"/>
    <w:rsid w:val="00C42A74"/>
    <w:rsid w:val="00C42CFF"/>
    <w:rsid w:val="00C43D97"/>
    <w:rsid w:val="00C43FEE"/>
    <w:rsid w:val="00C44CC2"/>
    <w:rsid w:val="00C45B52"/>
    <w:rsid w:val="00C46041"/>
    <w:rsid w:val="00C47F42"/>
    <w:rsid w:val="00C50603"/>
    <w:rsid w:val="00C5137E"/>
    <w:rsid w:val="00C52219"/>
    <w:rsid w:val="00C555BC"/>
    <w:rsid w:val="00C562CC"/>
    <w:rsid w:val="00C565A8"/>
    <w:rsid w:val="00C5788A"/>
    <w:rsid w:val="00C57A72"/>
    <w:rsid w:val="00C6081A"/>
    <w:rsid w:val="00C60C1E"/>
    <w:rsid w:val="00C6173E"/>
    <w:rsid w:val="00C620A0"/>
    <w:rsid w:val="00C62729"/>
    <w:rsid w:val="00C62870"/>
    <w:rsid w:val="00C63D51"/>
    <w:rsid w:val="00C63FF9"/>
    <w:rsid w:val="00C64E13"/>
    <w:rsid w:val="00C66124"/>
    <w:rsid w:val="00C67427"/>
    <w:rsid w:val="00C675A0"/>
    <w:rsid w:val="00C73251"/>
    <w:rsid w:val="00C7365C"/>
    <w:rsid w:val="00C74301"/>
    <w:rsid w:val="00C74963"/>
    <w:rsid w:val="00C74D28"/>
    <w:rsid w:val="00C75867"/>
    <w:rsid w:val="00C75F8B"/>
    <w:rsid w:val="00C762F3"/>
    <w:rsid w:val="00C76ACC"/>
    <w:rsid w:val="00C77914"/>
    <w:rsid w:val="00C77A11"/>
    <w:rsid w:val="00C805C8"/>
    <w:rsid w:val="00C82026"/>
    <w:rsid w:val="00C82073"/>
    <w:rsid w:val="00C829BD"/>
    <w:rsid w:val="00C84309"/>
    <w:rsid w:val="00C84863"/>
    <w:rsid w:val="00C8523E"/>
    <w:rsid w:val="00C8546B"/>
    <w:rsid w:val="00C85E83"/>
    <w:rsid w:val="00C87625"/>
    <w:rsid w:val="00C878AB"/>
    <w:rsid w:val="00C91706"/>
    <w:rsid w:val="00C917B5"/>
    <w:rsid w:val="00C9190D"/>
    <w:rsid w:val="00C91FBA"/>
    <w:rsid w:val="00C92568"/>
    <w:rsid w:val="00C92F3B"/>
    <w:rsid w:val="00C9781F"/>
    <w:rsid w:val="00CA2368"/>
    <w:rsid w:val="00CA2EC5"/>
    <w:rsid w:val="00CA301F"/>
    <w:rsid w:val="00CA30CE"/>
    <w:rsid w:val="00CA4B9E"/>
    <w:rsid w:val="00CA5D04"/>
    <w:rsid w:val="00CA5ED7"/>
    <w:rsid w:val="00CA609E"/>
    <w:rsid w:val="00CA68C1"/>
    <w:rsid w:val="00CA73FD"/>
    <w:rsid w:val="00CA7F8D"/>
    <w:rsid w:val="00CB03C8"/>
    <w:rsid w:val="00CB0EDF"/>
    <w:rsid w:val="00CB161A"/>
    <w:rsid w:val="00CB5FD7"/>
    <w:rsid w:val="00CB62CB"/>
    <w:rsid w:val="00CB650E"/>
    <w:rsid w:val="00CB6D2A"/>
    <w:rsid w:val="00CC16A8"/>
    <w:rsid w:val="00CC26A0"/>
    <w:rsid w:val="00CC2812"/>
    <w:rsid w:val="00CC29A0"/>
    <w:rsid w:val="00CC2B9C"/>
    <w:rsid w:val="00CC34BA"/>
    <w:rsid w:val="00CC406B"/>
    <w:rsid w:val="00CC5FB7"/>
    <w:rsid w:val="00CD00FE"/>
    <w:rsid w:val="00CD0D06"/>
    <w:rsid w:val="00CD0F38"/>
    <w:rsid w:val="00CD0FA0"/>
    <w:rsid w:val="00CD32BB"/>
    <w:rsid w:val="00CD4384"/>
    <w:rsid w:val="00CD49CD"/>
    <w:rsid w:val="00CD5160"/>
    <w:rsid w:val="00CD5C58"/>
    <w:rsid w:val="00CD5FC2"/>
    <w:rsid w:val="00CD6A48"/>
    <w:rsid w:val="00CD6C37"/>
    <w:rsid w:val="00CD7553"/>
    <w:rsid w:val="00CE0F2A"/>
    <w:rsid w:val="00CE2147"/>
    <w:rsid w:val="00CE38D9"/>
    <w:rsid w:val="00CE3FCD"/>
    <w:rsid w:val="00CE411C"/>
    <w:rsid w:val="00CE437E"/>
    <w:rsid w:val="00CE4C67"/>
    <w:rsid w:val="00CE6C0A"/>
    <w:rsid w:val="00CE6DA2"/>
    <w:rsid w:val="00CE7492"/>
    <w:rsid w:val="00CE7657"/>
    <w:rsid w:val="00CE7F40"/>
    <w:rsid w:val="00CF2AFF"/>
    <w:rsid w:val="00CF4068"/>
    <w:rsid w:val="00CF4088"/>
    <w:rsid w:val="00CF4335"/>
    <w:rsid w:val="00CF4634"/>
    <w:rsid w:val="00CF5733"/>
    <w:rsid w:val="00CF5F29"/>
    <w:rsid w:val="00D00EC2"/>
    <w:rsid w:val="00D01DE8"/>
    <w:rsid w:val="00D01F7E"/>
    <w:rsid w:val="00D05449"/>
    <w:rsid w:val="00D062D8"/>
    <w:rsid w:val="00D068A1"/>
    <w:rsid w:val="00D06A2B"/>
    <w:rsid w:val="00D06C5F"/>
    <w:rsid w:val="00D110B0"/>
    <w:rsid w:val="00D1131F"/>
    <w:rsid w:val="00D12025"/>
    <w:rsid w:val="00D12553"/>
    <w:rsid w:val="00D12D59"/>
    <w:rsid w:val="00D1364E"/>
    <w:rsid w:val="00D14568"/>
    <w:rsid w:val="00D14A76"/>
    <w:rsid w:val="00D14CD7"/>
    <w:rsid w:val="00D165DD"/>
    <w:rsid w:val="00D16BC6"/>
    <w:rsid w:val="00D170E1"/>
    <w:rsid w:val="00D20720"/>
    <w:rsid w:val="00D2095E"/>
    <w:rsid w:val="00D215A4"/>
    <w:rsid w:val="00D22ADF"/>
    <w:rsid w:val="00D239DE"/>
    <w:rsid w:val="00D2532B"/>
    <w:rsid w:val="00D302D4"/>
    <w:rsid w:val="00D30375"/>
    <w:rsid w:val="00D30814"/>
    <w:rsid w:val="00D308A3"/>
    <w:rsid w:val="00D315A4"/>
    <w:rsid w:val="00D319E5"/>
    <w:rsid w:val="00D32B70"/>
    <w:rsid w:val="00D3392A"/>
    <w:rsid w:val="00D33CC0"/>
    <w:rsid w:val="00D35A68"/>
    <w:rsid w:val="00D35D8D"/>
    <w:rsid w:val="00D3720E"/>
    <w:rsid w:val="00D37B3B"/>
    <w:rsid w:val="00D40383"/>
    <w:rsid w:val="00D41650"/>
    <w:rsid w:val="00D42BB5"/>
    <w:rsid w:val="00D42CC4"/>
    <w:rsid w:val="00D45BAB"/>
    <w:rsid w:val="00D45CF3"/>
    <w:rsid w:val="00D47599"/>
    <w:rsid w:val="00D503D6"/>
    <w:rsid w:val="00D52FCC"/>
    <w:rsid w:val="00D54869"/>
    <w:rsid w:val="00D551E8"/>
    <w:rsid w:val="00D55E02"/>
    <w:rsid w:val="00D57DA9"/>
    <w:rsid w:val="00D609DF"/>
    <w:rsid w:val="00D60B96"/>
    <w:rsid w:val="00D60D3A"/>
    <w:rsid w:val="00D61CD3"/>
    <w:rsid w:val="00D63769"/>
    <w:rsid w:val="00D63837"/>
    <w:rsid w:val="00D66707"/>
    <w:rsid w:val="00D672AE"/>
    <w:rsid w:val="00D709B3"/>
    <w:rsid w:val="00D71927"/>
    <w:rsid w:val="00D733EC"/>
    <w:rsid w:val="00D73852"/>
    <w:rsid w:val="00D739DA"/>
    <w:rsid w:val="00D73CD5"/>
    <w:rsid w:val="00D80975"/>
    <w:rsid w:val="00D80AA2"/>
    <w:rsid w:val="00D80DE6"/>
    <w:rsid w:val="00D84776"/>
    <w:rsid w:val="00D8544E"/>
    <w:rsid w:val="00D927A5"/>
    <w:rsid w:val="00D92A3B"/>
    <w:rsid w:val="00D93B6A"/>
    <w:rsid w:val="00D947C8"/>
    <w:rsid w:val="00D949E5"/>
    <w:rsid w:val="00D94F5E"/>
    <w:rsid w:val="00D96585"/>
    <w:rsid w:val="00D97299"/>
    <w:rsid w:val="00D97899"/>
    <w:rsid w:val="00D97BF3"/>
    <w:rsid w:val="00DA1D87"/>
    <w:rsid w:val="00DA1F3A"/>
    <w:rsid w:val="00DA3D23"/>
    <w:rsid w:val="00DA439F"/>
    <w:rsid w:val="00DA4EB5"/>
    <w:rsid w:val="00DA5871"/>
    <w:rsid w:val="00DA5C38"/>
    <w:rsid w:val="00DA61D8"/>
    <w:rsid w:val="00DA7A6C"/>
    <w:rsid w:val="00DB023D"/>
    <w:rsid w:val="00DB0DAA"/>
    <w:rsid w:val="00DB1027"/>
    <w:rsid w:val="00DB1821"/>
    <w:rsid w:val="00DB1D96"/>
    <w:rsid w:val="00DB2604"/>
    <w:rsid w:val="00DB2779"/>
    <w:rsid w:val="00DB34B0"/>
    <w:rsid w:val="00DB47AA"/>
    <w:rsid w:val="00DB586A"/>
    <w:rsid w:val="00DB5C66"/>
    <w:rsid w:val="00DC02B9"/>
    <w:rsid w:val="00DC056F"/>
    <w:rsid w:val="00DC0732"/>
    <w:rsid w:val="00DC099C"/>
    <w:rsid w:val="00DC0AC8"/>
    <w:rsid w:val="00DC0F14"/>
    <w:rsid w:val="00DC1AB7"/>
    <w:rsid w:val="00DC1BCE"/>
    <w:rsid w:val="00DC2219"/>
    <w:rsid w:val="00DC3F69"/>
    <w:rsid w:val="00DC6599"/>
    <w:rsid w:val="00DC6FB9"/>
    <w:rsid w:val="00DD063C"/>
    <w:rsid w:val="00DD129B"/>
    <w:rsid w:val="00DD28A9"/>
    <w:rsid w:val="00DD3B3E"/>
    <w:rsid w:val="00DD3FE3"/>
    <w:rsid w:val="00DD6534"/>
    <w:rsid w:val="00DD7C1A"/>
    <w:rsid w:val="00DE1067"/>
    <w:rsid w:val="00DE130B"/>
    <w:rsid w:val="00DE4217"/>
    <w:rsid w:val="00DE4E57"/>
    <w:rsid w:val="00DE4FD2"/>
    <w:rsid w:val="00DE6598"/>
    <w:rsid w:val="00DE7BFF"/>
    <w:rsid w:val="00DF01D9"/>
    <w:rsid w:val="00DF1531"/>
    <w:rsid w:val="00DF155C"/>
    <w:rsid w:val="00DF1AD9"/>
    <w:rsid w:val="00DF1E47"/>
    <w:rsid w:val="00DF2B11"/>
    <w:rsid w:val="00DF48DD"/>
    <w:rsid w:val="00DF7118"/>
    <w:rsid w:val="00DF7F62"/>
    <w:rsid w:val="00E00C47"/>
    <w:rsid w:val="00E016CD"/>
    <w:rsid w:val="00E01709"/>
    <w:rsid w:val="00E018B9"/>
    <w:rsid w:val="00E03892"/>
    <w:rsid w:val="00E04D8A"/>
    <w:rsid w:val="00E053A8"/>
    <w:rsid w:val="00E05CB7"/>
    <w:rsid w:val="00E066F6"/>
    <w:rsid w:val="00E100A5"/>
    <w:rsid w:val="00E11B96"/>
    <w:rsid w:val="00E13203"/>
    <w:rsid w:val="00E13F88"/>
    <w:rsid w:val="00E14513"/>
    <w:rsid w:val="00E15EDF"/>
    <w:rsid w:val="00E16F90"/>
    <w:rsid w:val="00E17014"/>
    <w:rsid w:val="00E20641"/>
    <w:rsid w:val="00E20F0D"/>
    <w:rsid w:val="00E21AA0"/>
    <w:rsid w:val="00E21FE1"/>
    <w:rsid w:val="00E230E5"/>
    <w:rsid w:val="00E23559"/>
    <w:rsid w:val="00E23BBF"/>
    <w:rsid w:val="00E24088"/>
    <w:rsid w:val="00E242F4"/>
    <w:rsid w:val="00E24D5B"/>
    <w:rsid w:val="00E27924"/>
    <w:rsid w:val="00E30370"/>
    <w:rsid w:val="00E30A2C"/>
    <w:rsid w:val="00E30AF4"/>
    <w:rsid w:val="00E30B76"/>
    <w:rsid w:val="00E30E27"/>
    <w:rsid w:val="00E30F62"/>
    <w:rsid w:val="00E320DD"/>
    <w:rsid w:val="00E33458"/>
    <w:rsid w:val="00E33567"/>
    <w:rsid w:val="00E33685"/>
    <w:rsid w:val="00E33A71"/>
    <w:rsid w:val="00E34380"/>
    <w:rsid w:val="00E34E2D"/>
    <w:rsid w:val="00E350C7"/>
    <w:rsid w:val="00E359F1"/>
    <w:rsid w:val="00E36CB3"/>
    <w:rsid w:val="00E3747C"/>
    <w:rsid w:val="00E40272"/>
    <w:rsid w:val="00E42215"/>
    <w:rsid w:val="00E42775"/>
    <w:rsid w:val="00E42F6C"/>
    <w:rsid w:val="00E4385E"/>
    <w:rsid w:val="00E4406C"/>
    <w:rsid w:val="00E44E75"/>
    <w:rsid w:val="00E45026"/>
    <w:rsid w:val="00E45507"/>
    <w:rsid w:val="00E45D1C"/>
    <w:rsid w:val="00E466B5"/>
    <w:rsid w:val="00E46940"/>
    <w:rsid w:val="00E46C32"/>
    <w:rsid w:val="00E507AA"/>
    <w:rsid w:val="00E5181E"/>
    <w:rsid w:val="00E52155"/>
    <w:rsid w:val="00E542FB"/>
    <w:rsid w:val="00E544BF"/>
    <w:rsid w:val="00E5709E"/>
    <w:rsid w:val="00E605B5"/>
    <w:rsid w:val="00E621A7"/>
    <w:rsid w:val="00E6442F"/>
    <w:rsid w:val="00E64539"/>
    <w:rsid w:val="00E64860"/>
    <w:rsid w:val="00E64A93"/>
    <w:rsid w:val="00E64CA8"/>
    <w:rsid w:val="00E66403"/>
    <w:rsid w:val="00E67453"/>
    <w:rsid w:val="00E67539"/>
    <w:rsid w:val="00E67930"/>
    <w:rsid w:val="00E71298"/>
    <w:rsid w:val="00E72149"/>
    <w:rsid w:val="00E725A5"/>
    <w:rsid w:val="00E72B88"/>
    <w:rsid w:val="00E730E0"/>
    <w:rsid w:val="00E74AA6"/>
    <w:rsid w:val="00E769E3"/>
    <w:rsid w:val="00E77646"/>
    <w:rsid w:val="00E7779F"/>
    <w:rsid w:val="00E83446"/>
    <w:rsid w:val="00E83ED8"/>
    <w:rsid w:val="00E86306"/>
    <w:rsid w:val="00E86403"/>
    <w:rsid w:val="00E86928"/>
    <w:rsid w:val="00E86976"/>
    <w:rsid w:val="00E87095"/>
    <w:rsid w:val="00E87C0A"/>
    <w:rsid w:val="00E91421"/>
    <w:rsid w:val="00E936FB"/>
    <w:rsid w:val="00E93F32"/>
    <w:rsid w:val="00E94C13"/>
    <w:rsid w:val="00E951A6"/>
    <w:rsid w:val="00E957CE"/>
    <w:rsid w:val="00E957E5"/>
    <w:rsid w:val="00EA0796"/>
    <w:rsid w:val="00EA0E1E"/>
    <w:rsid w:val="00EA285D"/>
    <w:rsid w:val="00EA3522"/>
    <w:rsid w:val="00EA3B49"/>
    <w:rsid w:val="00EA3C38"/>
    <w:rsid w:val="00EA50EC"/>
    <w:rsid w:val="00EA5418"/>
    <w:rsid w:val="00EA560D"/>
    <w:rsid w:val="00EA5D3B"/>
    <w:rsid w:val="00EA5D4A"/>
    <w:rsid w:val="00EA6370"/>
    <w:rsid w:val="00EA71F0"/>
    <w:rsid w:val="00EB0782"/>
    <w:rsid w:val="00EB0D7A"/>
    <w:rsid w:val="00EC1A36"/>
    <w:rsid w:val="00EC209A"/>
    <w:rsid w:val="00EC2687"/>
    <w:rsid w:val="00EC34DD"/>
    <w:rsid w:val="00EC36BE"/>
    <w:rsid w:val="00EC3700"/>
    <w:rsid w:val="00EC4123"/>
    <w:rsid w:val="00EC53CD"/>
    <w:rsid w:val="00EC66DB"/>
    <w:rsid w:val="00EC6878"/>
    <w:rsid w:val="00EC7BCE"/>
    <w:rsid w:val="00ED0EA5"/>
    <w:rsid w:val="00ED1A65"/>
    <w:rsid w:val="00ED1D5D"/>
    <w:rsid w:val="00ED2D88"/>
    <w:rsid w:val="00ED322B"/>
    <w:rsid w:val="00ED387A"/>
    <w:rsid w:val="00ED5C10"/>
    <w:rsid w:val="00ED68FD"/>
    <w:rsid w:val="00ED767F"/>
    <w:rsid w:val="00ED7726"/>
    <w:rsid w:val="00EE0DA9"/>
    <w:rsid w:val="00EE100F"/>
    <w:rsid w:val="00EE11F2"/>
    <w:rsid w:val="00EE1361"/>
    <w:rsid w:val="00EE2326"/>
    <w:rsid w:val="00EE24E1"/>
    <w:rsid w:val="00EE5AF4"/>
    <w:rsid w:val="00EE6E30"/>
    <w:rsid w:val="00EE7693"/>
    <w:rsid w:val="00EF092B"/>
    <w:rsid w:val="00EF3233"/>
    <w:rsid w:val="00EF3766"/>
    <w:rsid w:val="00EF4A86"/>
    <w:rsid w:val="00EF5B9C"/>
    <w:rsid w:val="00EF614D"/>
    <w:rsid w:val="00EF676F"/>
    <w:rsid w:val="00EF6819"/>
    <w:rsid w:val="00EF6C77"/>
    <w:rsid w:val="00EF6E76"/>
    <w:rsid w:val="00F006E9"/>
    <w:rsid w:val="00F02A65"/>
    <w:rsid w:val="00F03227"/>
    <w:rsid w:val="00F0477C"/>
    <w:rsid w:val="00F05848"/>
    <w:rsid w:val="00F059A2"/>
    <w:rsid w:val="00F05EAB"/>
    <w:rsid w:val="00F10608"/>
    <w:rsid w:val="00F107DD"/>
    <w:rsid w:val="00F10AA4"/>
    <w:rsid w:val="00F10D8C"/>
    <w:rsid w:val="00F1238C"/>
    <w:rsid w:val="00F14C58"/>
    <w:rsid w:val="00F15879"/>
    <w:rsid w:val="00F1598A"/>
    <w:rsid w:val="00F15BEA"/>
    <w:rsid w:val="00F16CC6"/>
    <w:rsid w:val="00F215F0"/>
    <w:rsid w:val="00F2282C"/>
    <w:rsid w:val="00F23232"/>
    <w:rsid w:val="00F2332B"/>
    <w:rsid w:val="00F23A2D"/>
    <w:rsid w:val="00F2549D"/>
    <w:rsid w:val="00F257CF"/>
    <w:rsid w:val="00F25A0C"/>
    <w:rsid w:val="00F26407"/>
    <w:rsid w:val="00F26A0A"/>
    <w:rsid w:val="00F26BA4"/>
    <w:rsid w:val="00F27367"/>
    <w:rsid w:val="00F312AF"/>
    <w:rsid w:val="00F31E2B"/>
    <w:rsid w:val="00F3362C"/>
    <w:rsid w:val="00F33820"/>
    <w:rsid w:val="00F359E2"/>
    <w:rsid w:val="00F362EC"/>
    <w:rsid w:val="00F36768"/>
    <w:rsid w:val="00F42607"/>
    <w:rsid w:val="00F44A6F"/>
    <w:rsid w:val="00F44AA3"/>
    <w:rsid w:val="00F4546C"/>
    <w:rsid w:val="00F459DF"/>
    <w:rsid w:val="00F47956"/>
    <w:rsid w:val="00F50D6B"/>
    <w:rsid w:val="00F529B9"/>
    <w:rsid w:val="00F532CA"/>
    <w:rsid w:val="00F53F73"/>
    <w:rsid w:val="00F54391"/>
    <w:rsid w:val="00F54716"/>
    <w:rsid w:val="00F54C78"/>
    <w:rsid w:val="00F55B44"/>
    <w:rsid w:val="00F561A2"/>
    <w:rsid w:val="00F57E75"/>
    <w:rsid w:val="00F67241"/>
    <w:rsid w:val="00F70669"/>
    <w:rsid w:val="00F7158B"/>
    <w:rsid w:val="00F71F15"/>
    <w:rsid w:val="00F724CD"/>
    <w:rsid w:val="00F73627"/>
    <w:rsid w:val="00F73704"/>
    <w:rsid w:val="00F74568"/>
    <w:rsid w:val="00F75006"/>
    <w:rsid w:val="00F7517D"/>
    <w:rsid w:val="00F801D9"/>
    <w:rsid w:val="00F80BF6"/>
    <w:rsid w:val="00F84395"/>
    <w:rsid w:val="00F846A0"/>
    <w:rsid w:val="00F84C1B"/>
    <w:rsid w:val="00F85616"/>
    <w:rsid w:val="00F86BB3"/>
    <w:rsid w:val="00F87B26"/>
    <w:rsid w:val="00F87F76"/>
    <w:rsid w:val="00F90691"/>
    <w:rsid w:val="00F913BC"/>
    <w:rsid w:val="00F926E5"/>
    <w:rsid w:val="00F92F20"/>
    <w:rsid w:val="00F931C5"/>
    <w:rsid w:val="00F9440A"/>
    <w:rsid w:val="00F94FAE"/>
    <w:rsid w:val="00F9581E"/>
    <w:rsid w:val="00F958C4"/>
    <w:rsid w:val="00F95D48"/>
    <w:rsid w:val="00F96124"/>
    <w:rsid w:val="00F9695C"/>
    <w:rsid w:val="00F97514"/>
    <w:rsid w:val="00FA06F5"/>
    <w:rsid w:val="00FA0780"/>
    <w:rsid w:val="00FA25B4"/>
    <w:rsid w:val="00FA2E3C"/>
    <w:rsid w:val="00FA32B7"/>
    <w:rsid w:val="00FA3467"/>
    <w:rsid w:val="00FA3596"/>
    <w:rsid w:val="00FA40A9"/>
    <w:rsid w:val="00FA4402"/>
    <w:rsid w:val="00FA4B51"/>
    <w:rsid w:val="00FA4CCC"/>
    <w:rsid w:val="00FA53D7"/>
    <w:rsid w:val="00FA5AF1"/>
    <w:rsid w:val="00FA6ACE"/>
    <w:rsid w:val="00FB03EB"/>
    <w:rsid w:val="00FB378A"/>
    <w:rsid w:val="00FB381D"/>
    <w:rsid w:val="00FB3E6D"/>
    <w:rsid w:val="00FB4541"/>
    <w:rsid w:val="00FB550B"/>
    <w:rsid w:val="00FB59AB"/>
    <w:rsid w:val="00FB67D7"/>
    <w:rsid w:val="00FB75DF"/>
    <w:rsid w:val="00FB7D8A"/>
    <w:rsid w:val="00FC0210"/>
    <w:rsid w:val="00FC0546"/>
    <w:rsid w:val="00FC1712"/>
    <w:rsid w:val="00FC25B7"/>
    <w:rsid w:val="00FC3EBF"/>
    <w:rsid w:val="00FC471A"/>
    <w:rsid w:val="00FC5487"/>
    <w:rsid w:val="00FC5609"/>
    <w:rsid w:val="00FC57BB"/>
    <w:rsid w:val="00FC62D1"/>
    <w:rsid w:val="00FC67D7"/>
    <w:rsid w:val="00FC67FF"/>
    <w:rsid w:val="00FC7B85"/>
    <w:rsid w:val="00FC7EA0"/>
    <w:rsid w:val="00FD046D"/>
    <w:rsid w:val="00FD225D"/>
    <w:rsid w:val="00FD3315"/>
    <w:rsid w:val="00FD3D77"/>
    <w:rsid w:val="00FD4289"/>
    <w:rsid w:val="00FD500D"/>
    <w:rsid w:val="00FD6B11"/>
    <w:rsid w:val="00FD6C33"/>
    <w:rsid w:val="00FE02F9"/>
    <w:rsid w:val="00FE06E2"/>
    <w:rsid w:val="00FE08EE"/>
    <w:rsid w:val="00FE0CCE"/>
    <w:rsid w:val="00FE0D61"/>
    <w:rsid w:val="00FE1372"/>
    <w:rsid w:val="00FE1DE2"/>
    <w:rsid w:val="00FE45DC"/>
    <w:rsid w:val="00FE4817"/>
    <w:rsid w:val="00FE50A0"/>
    <w:rsid w:val="00FE5678"/>
    <w:rsid w:val="00FE6398"/>
    <w:rsid w:val="00FE7775"/>
    <w:rsid w:val="00FF1A4F"/>
    <w:rsid w:val="00FF3169"/>
    <w:rsid w:val="00FF3303"/>
    <w:rsid w:val="00FF3571"/>
    <w:rsid w:val="00FF7F68"/>
    <w:rsid w:val="01662E0D"/>
    <w:rsid w:val="01D62584"/>
    <w:rsid w:val="02814CBC"/>
    <w:rsid w:val="02A593E5"/>
    <w:rsid w:val="03709E5A"/>
    <w:rsid w:val="0443AEFA"/>
    <w:rsid w:val="06560E71"/>
    <w:rsid w:val="069AE6DE"/>
    <w:rsid w:val="06DC0D66"/>
    <w:rsid w:val="07CDEB69"/>
    <w:rsid w:val="085239EF"/>
    <w:rsid w:val="09CE7D2A"/>
    <w:rsid w:val="09E1238A"/>
    <w:rsid w:val="0CC229BD"/>
    <w:rsid w:val="0D6DB5B3"/>
    <w:rsid w:val="0F40227E"/>
    <w:rsid w:val="0F6EA5D5"/>
    <w:rsid w:val="10F6095A"/>
    <w:rsid w:val="11ED9D91"/>
    <w:rsid w:val="12C0EB4E"/>
    <w:rsid w:val="136EDD73"/>
    <w:rsid w:val="13C82BE4"/>
    <w:rsid w:val="15197D50"/>
    <w:rsid w:val="15CB6802"/>
    <w:rsid w:val="15EABC09"/>
    <w:rsid w:val="175D937C"/>
    <w:rsid w:val="17DB27BC"/>
    <w:rsid w:val="18005CF6"/>
    <w:rsid w:val="180B2C14"/>
    <w:rsid w:val="183E5300"/>
    <w:rsid w:val="198B9E70"/>
    <w:rsid w:val="1A242374"/>
    <w:rsid w:val="1B91EE8E"/>
    <w:rsid w:val="1E0D6030"/>
    <w:rsid w:val="2094D3AE"/>
    <w:rsid w:val="2099D777"/>
    <w:rsid w:val="20C2573C"/>
    <w:rsid w:val="2267B0D3"/>
    <w:rsid w:val="22DE06A0"/>
    <w:rsid w:val="23BA191A"/>
    <w:rsid w:val="240417A8"/>
    <w:rsid w:val="244EFB46"/>
    <w:rsid w:val="252DC3A5"/>
    <w:rsid w:val="27045932"/>
    <w:rsid w:val="284B1D8A"/>
    <w:rsid w:val="289F1EAE"/>
    <w:rsid w:val="2C448C8A"/>
    <w:rsid w:val="2CB6724A"/>
    <w:rsid w:val="2D8CBFBF"/>
    <w:rsid w:val="2DACE8B7"/>
    <w:rsid w:val="2E89813A"/>
    <w:rsid w:val="2EC62509"/>
    <w:rsid w:val="2F48B918"/>
    <w:rsid w:val="2F6D1CBF"/>
    <w:rsid w:val="3082A6C4"/>
    <w:rsid w:val="30B32E44"/>
    <w:rsid w:val="3213C36D"/>
    <w:rsid w:val="32F5D80B"/>
    <w:rsid w:val="33283154"/>
    <w:rsid w:val="35D21CDC"/>
    <w:rsid w:val="366FC226"/>
    <w:rsid w:val="368AA7AC"/>
    <w:rsid w:val="36C4F838"/>
    <w:rsid w:val="3773EBD5"/>
    <w:rsid w:val="3826780D"/>
    <w:rsid w:val="385A76F9"/>
    <w:rsid w:val="38A5D384"/>
    <w:rsid w:val="396CEA2D"/>
    <w:rsid w:val="3A268FA7"/>
    <w:rsid w:val="3BD8FFB3"/>
    <w:rsid w:val="3C23B36D"/>
    <w:rsid w:val="3C679A02"/>
    <w:rsid w:val="3D52CE7E"/>
    <w:rsid w:val="42BFD1E6"/>
    <w:rsid w:val="43327622"/>
    <w:rsid w:val="43EC9D95"/>
    <w:rsid w:val="44A16F3F"/>
    <w:rsid w:val="45CE3C4C"/>
    <w:rsid w:val="470F5BBF"/>
    <w:rsid w:val="4877B911"/>
    <w:rsid w:val="4952BEF8"/>
    <w:rsid w:val="49E059BE"/>
    <w:rsid w:val="4A54498E"/>
    <w:rsid w:val="4AC76CD8"/>
    <w:rsid w:val="4BD78989"/>
    <w:rsid w:val="5238A255"/>
    <w:rsid w:val="52B7CEE1"/>
    <w:rsid w:val="5302931F"/>
    <w:rsid w:val="544596C7"/>
    <w:rsid w:val="545262FF"/>
    <w:rsid w:val="54531DAF"/>
    <w:rsid w:val="54BA2FFF"/>
    <w:rsid w:val="57FD2F3E"/>
    <w:rsid w:val="590D235B"/>
    <w:rsid w:val="5954FBDF"/>
    <w:rsid w:val="5A2D05B7"/>
    <w:rsid w:val="5A591776"/>
    <w:rsid w:val="5B77ACF1"/>
    <w:rsid w:val="5B855934"/>
    <w:rsid w:val="5BC37950"/>
    <w:rsid w:val="5C5F634F"/>
    <w:rsid w:val="5C6FA6E9"/>
    <w:rsid w:val="5DADAC93"/>
    <w:rsid w:val="5E4EADC9"/>
    <w:rsid w:val="614091A3"/>
    <w:rsid w:val="6348F492"/>
    <w:rsid w:val="63D214C8"/>
    <w:rsid w:val="64E4FE5B"/>
    <w:rsid w:val="652A2B1B"/>
    <w:rsid w:val="669EDA41"/>
    <w:rsid w:val="68789D8F"/>
    <w:rsid w:val="690A849D"/>
    <w:rsid w:val="694BD02E"/>
    <w:rsid w:val="6A3915EA"/>
    <w:rsid w:val="6A414104"/>
    <w:rsid w:val="6A96D4FB"/>
    <w:rsid w:val="6AA1F079"/>
    <w:rsid w:val="6ADB4C83"/>
    <w:rsid w:val="6D977F6B"/>
    <w:rsid w:val="6DE88533"/>
    <w:rsid w:val="6ED4269C"/>
    <w:rsid w:val="72B72677"/>
    <w:rsid w:val="72E6491A"/>
    <w:rsid w:val="72F05E58"/>
    <w:rsid w:val="73EC9C85"/>
    <w:rsid w:val="75FD2E90"/>
    <w:rsid w:val="76AA5B50"/>
    <w:rsid w:val="778CF370"/>
    <w:rsid w:val="78DE1108"/>
    <w:rsid w:val="7931D966"/>
    <w:rsid w:val="7B5A0BCE"/>
    <w:rsid w:val="7CA94E2D"/>
    <w:rsid w:val="7D7614C7"/>
    <w:rsid w:val="7EAD1AD7"/>
    <w:rsid w:val="7FDBC6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984AA9FA-0E49-4B9F-A09F-D9DADC9E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1E2C87"/>
    <w:rPr>
      <w:color w:val="605E5C"/>
      <w:shd w:val="clear" w:color="auto" w:fill="E1DFDD"/>
    </w:rPr>
  </w:style>
  <w:style w:type="paragraph" w:styleId="Revision">
    <w:name w:val="Revision"/>
    <w:hidden/>
    <w:uiPriority w:val="99"/>
    <w:semiHidden/>
    <w:rsid w:val="00060B5D"/>
    <w:pPr>
      <w:spacing w:after="0" w:line="240" w:lineRule="auto"/>
    </w:pPr>
  </w:style>
  <w:style w:type="character" w:customStyle="1" w:styleId="cf01">
    <w:name w:val="cf01"/>
    <w:basedOn w:val="DefaultParagraphFont"/>
    <w:rsid w:val="00AE4C6C"/>
    <w:rPr>
      <w:rFonts w:ascii="Segoe UI" w:hAnsi="Segoe UI" w:cs="Segoe UI" w:hint="default"/>
      <w:sz w:val="18"/>
      <w:szCs w:val="18"/>
    </w:rPr>
  </w:style>
  <w:style w:type="character" w:customStyle="1" w:styleId="normaltextrun">
    <w:name w:val="normaltextrun"/>
    <w:basedOn w:val="DefaultParagraphFont"/>
    <w:rsid w:val="00C07BA7"/>
  </w:style>
  <w:style w:type="character" w:customStyle="1" w:styleId="eop">
    <w:name w:val="eop"/>
    <w:basedOn w:val="DefaultParagraphFont"/>
    <w:rsid w:val="00C07BA7"/>
  </w:style>
  <w:style w:type="character" w:styleId="Mention">
    <w:name w:val="Mention"/>
    <w:basedOn w:val="DefaultParagraphFont"/>
    <w:uiPriority w:val="99"/>
    <w:unhideWhenUsed/>
    <w:rsid w:val="003A2AF8"/>
    <w:rPr>
      <w:color w:val="2B579A"/>
      <w:shd w:val="clear" w:color="auto" w:fill="E1DFDD"/>
    </w:rPr>
  </w:style>
  <w:style w:type="character" w:customStyle="1" w:styleId="findhit">
    <w:name w:val="findhit"/>
    <w:basedOn w:val="DefaultParagraphFont"/>
    <w:rsid w:val="00336322"/>
  </w:style>
  <w:style w:type="paragraph" w:customStyle="1" w:styleId="DocID">
    <w:name w:val="DocID"/>
    <w:rsid w:val="00601D10"/>
    <w:pPr>
      <w:spacing w:after="0" w:line="240" w:lineRule="auto"/>
    </w:pPr>
    <w:rPr>
      <w:rFonts w:ascii="Times New Roman" w:eastAsia="Calibri" w:hAnsi="Times New Roman" w:cs="Times New Roman"/>
      <w:sz w:val="16"/>
      <w:szCs w:val="20"/>
    </w:rPr>
  </w:style>
  <w:style w:type="paragraph" w:styleId="BodyText">
    <w:name w:val="Body Text"/>
    <w:basedOn w:val="Normal"/>
    <w:link w:val="BodyTextChar"/>
    <w:uiPriority w:val="1"/>
    <w:semiHidden/>
    <w:unhideWhenUsed/>
    <w:qFormat/>
    <w:rsid w:val="000B499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semiHidden/>
    <w:rsid w:val="000B499F"/>
    <w:rPr>
      <w:rFonts w:ascii="Calibri" w:eastAsia="Calibri" w:hAnsi="Calibri" w:cs="Calibri"/>
    </w:rPr>
  </w:style>
  <w:style w:type="paragraph" w:customStyle="1" w:styleId="TableParagraph">
    <w:name w:val="Table Paragraph"/>
    <w:basedOn w:val="Normal"/>
    <w:uiPriority w:val="1"/>
    <w:qFormat/>
    <w:rsid w:val="000B499F"/>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181087818">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510991676">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729690665">
      <w:bodyDiv w:val="1"/>
      <w:marLeft w:val="0"/>
      <w:marRight w:val="0"/>
      <w:marTop w:val="0"/>
      <w:marBottom w:val="0"/>
      <w:divBdr>
        <w:top w:val="none" w:sz="0" w:space="0" w:color="auto"/>
        <w:left w:val="none" w:sz="0" w:space="0" w:color="auto"/>
        <w:bottom w:val="none" w:sz="0" w:space="0" w:color="auto"/>
        <w:right w:val="none" w:sz="0" w:space="0" w:color="auto"/>
      </w:divBdr>
    </w:div>
    <w:div w:id="1165437935">
      <w:bodyDiv w:val="1"/>
      <w:marLeft w:val="0"/>
      <w:marRight w:val="0"/>
      <w:marTop w:val="0"/>
      <w:marBottom w:val="0"/>
      <w:divBdr>
        <w:top w:val="none" w:sz="0" w:space="0" w:color="auto"/>
        <w:left w:val="none" w:sz="0" w:space="0" w:color="auto"/>
        <w:bottom w:val="none" w:sz="0" w:space="0" w:color="auto"/>
        <w:right w:val="none" w:sz="0" w:space="0" w:color="auto"/>
      </w:divBdr>
    </w:div>
    <w:div w:id="1422989542">
      <w:bodyDiv w:val="1"/>
      <w:marLeft w:val="0"/>
      <w:marRight w:val="0"/>
      <w:marTop w:val="0"/>
      <w:marBottom w:val="0"/>
      <w:divBdr>
        <w:top w:val="none" w:sz="0" w:space="0" w:color="auto"/>
        <w:left w:val="none" w:sz="0" w:space="0" w:color="auto"/>
        <w:bottom w:val="none" w:sz="0" w:space="0" w:color="auto"/>
        <w:right w:val="none" w:sz="0" w:space="0" w:color="auto"/>
      </w:divBdr>
    </w:div>
    <w:div w:id="1489591516">
      <w:bodyDiv w:val="1"/>
      <w:marLeft w:val="0"/>
      <w:marRight w:val="0"/>
      <w:marTop w:val="0"/>
      <w:marBottom w:val="0"/>
      <w:divBdr>
        <w:top w:val="none" w:sz="0" w:space="0" w:color="auto"/>
        <w:left w:val="none" w:sz="0" w:space="0" w:color="auto"/>
        <w:bottom w:val="none" w:sz="0" w:space="0" w:color="auto"/>
        <w:right w:val="none" w:sz="0" w:space="0" w:color="auto"/>
      </w:divBdr>
    </w:div>
    <w:div w:id="201583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H.DON@State.MA.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pmc.ncbi.nlm.nih.gov/articles/PMC6664869/" TargetMode="External"/><Relationship Id="rId1" Type="http://schemas.openxmlformats.org/officeDocument/2006/relationships/hyperlink" Target="https://pmc.ncbi.nlm.nih.gov/articles/PMC6664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2505</Words>
  <Characters>14280</Characters>
  <Application>Microsoft Office Word</Application>
  <DocSecurity>0</DocSecurity>
  <Lines>119</Lines>
  <Paragraphs>33</Paragraphs>
  <ScaleCrop>false</ScaleCrop>
  <Company>Commonwealth of Massachusetts</Company>
  <LinksUpToDate>false</LinksUpToDate>
  <CharactersWithSpaces>16752</CharactersWithSpaces>
  <SharedDoc>false</SharedDoc>
  <HLinks>
    <vt:vector size="12" baseType="variant">
      <vt:variant>
        <vt:i4>2293761</vt:i4>
      </vt:variant>
      <vt:variant>
        <vt:i4>0</vt:i4>
      </vt:variant>
      <vt:variant>
        <vt:i4>0</vt:i4>
      </vt:variant>
      <vt:variant>
        <vt:i4>5</vt:i4>
      </vt:variant>
      <vt:variant>
        <vt:lpwstr>mailto:DPH.DON@State.MA.US</vt:lpwstr>
      </vt:variant>
      <vt:variant>
        <vt:lpwstr/>
      </vt:variant>
      <vt:variant>
        <vt:i4>3014761</vt:i4>
      </vt:variant>
      <vt:variant>
        <vt:i4>0</vt:i4>
      </vt:variant>
      <vt:variant>
        <vt:i4>0</vt:i4>
      </vt:variant>
      <vt:variant>
        <vt:i4>5</vt:i4>
      </vt:variant>
      <vt:variant>
        <vt:lpwstr>mailto:neha_gaur@dfci.harvard.edu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5</cp:revision>
  <cp:lastPrinted>1900-01-01T05:00:00Z</cp:lastPrinted>
  <dcterms:created xsi:type="dcterms:W3CDTF">1900-01-01T05:00:00Z</dcterms:created>
  <dcterms:modified xsi:type="dcterms:W3CDTF">2024-11-22T13:50:00Z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GMatter">
    <vt:lpwstr>SFCE-231-002</vt:lpwstr>
  </property>
</Properties>
</file>