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CD" w:rsidRPr="00A34CD9" w:rsidRDefault="007C04CD" w:rsidP="007C04CD">
      <w:pPr>
        <w:pStyle w:val="ListParagraph"/>
        <w:widowControl w:val="0"/>
        <w:numPr>
          <w:ilvl w:val="0"/>
          <w:numId w:val="6"/>
        </w:numPr>
        <w:tabs>
          <w:tab w:val="left" w:pos="882"/>
        </w:tabs>
        <w:autoSpaceDE w:val="0"/>
        <w:autoSpaceDN w:val="0"/>
        <w:spacing w:line="292" w:lineRule="exact"/>
        <w:rPr>
          <w:b/>
          <w:sz w:val="24"/>
          <w:szCs w:val="22"/>
        </w:rPr>
      </w:pPr>
      <w:r w:rsidRPr="00A34CD9">
        <w:rPr>
          <w:b/>
          <w:sz w:val="24"/>
        </w:rPr>
        <w:t xml:space="preserve"> Exhibit A Table</w:t>
      </w:r>
      <w:r w:rsidRPr="00A34CD9">
        <w:rPr>
          <w:b/>
          <w:spacing w:val="-12"/>
          <w:sz w:val="24"/>
        </w:rPr>
        <w:t xml:space="preserve"> </w:t>
      </w:r>
      <w:r w:rsidRPr="00A34CD9">
        <w:rPr>
          <w:b/>
          <w:sz w:val="24"/>
        </w:rPr>
        <w:t>2:</w:t>
      </w:r>
    </w:p>
    <w:p w:rsidR="00A34CD9" w:rsidRPr="00A34CD9" w:rsidRDefault="00A34CD9" w:rsidP="00A34CD9">
      <w:pPr>
        <w:pStyle w:val="ListParagraph"/>
        <w:widowControl w:val="0"/>
        <w:tabs>
          <w:tab w:val="left" w:pos="882"/>
        </w:tabs>
        <w:autoSpaceDE w:val="0"/>
        <w:autoSpaceDN w:val="0"/>
        <w:spacing w:line="292" w:lineRule="exact"/>
        <w:rPr>
          <w:b/>
          <w:sz w:val="24"/>
          <w:szCs w:val="22"/>
        </w:rPr>
      </w:pPr>
    </w:p>
    <w:p w:rsidR="007C04CD" w:rsidRPr="00A34CD9" w:rsidRDefault="007C04CD" w:rsidP="007C04CD">
      <w:pPr>
        <w:pStyle w:val="ListParagraph"/>
        <w:widowControl w:val="0"/>
        <w:numPr>
          <w:ilvl w:val="1"/>
          <w:numId w:val="5"/>
        </w:numPr>
        <w:tabs>
          <w:tab w:val="left" w:pos="1603"/>
        </w:tabs>
        <w:autoSpaceDE w:val="0"/>
        <w:autoSpaceDN w:val="0"/>
        <w:spacing w:before="22" w:line="256" w:lineRule="auto"/>
        <w:ind w:right="268" w:hanging="360"/>
        <w:contextualSpacing w:val="0"/>
        <w:rPr>
          <w:b/>
          <w:sz w:val="24"/>
        </w:rPr>
      </w:pPr>
      <w:r w:rsidRPr="00A34CD9">
        <w:rPr>
          <w:b/>
          <w:sz w:val="24"/>
        </w:rPr>
        <w:t xml:space="preserve">We </w:t>
      </w:r>
      <w:r w:rsidRPr="00A34CD9">
        <w:rPr>
          <w:b/>
          <w:spacing w:val="-3"/>
          <w:sz w:val="24"/>
        </w:rPr>
        <w:t xml:space="preserve">understand that </w:t>
      </w:r>
      <w:r w:rsidRPr="00A34CD9">
        <w:rPr>
          <w:b/>
          <w:sz w:val="24"/>
        </w:rPr>
        <w:t xml:space="preserve">BILH is in </w:t>
      </w:r>
      <w:r w:rsidRPr="00A34CD9">
        <w:rPr>
          <w:b/>
          <w:spacing w:val="-5"/>
          <w:sz w:val="24"/>
        </w:rPr>
        <w:t xml:space="preserve">the </w:t>
      </w:r>
      <w:r w:rsidRPr="00A34CD9">
        <w:rPr>
          <w:b/>
          <w:sz w:val="24"/>
        </w:rPr>
        <w:t xml:space="preserve">process </w:t>
      </w:r>
      <w:r w:rsidRPr="00A34CD9">
        <w:rPr>
          <w:b/>
          <w:spacing w:val="-4"/>
          <w:sz w:val="24"/>
        </w:rPr>
        <w:t xml:space="preserve">of </w:t>
      </w:r>
      <w:r w:rsidRPr="00A34CD9">
        <w:rPr>
          <w:b/>
          <w:sz w:val="24"/>
        </w:rPr>
        <w:t xml:space="preserve">integrating </w:t>
      </w:r>
      <w:proofErr w:type="gramStart"/>
      <w:r w:rsidRPr="00A34CD9">
        <w:rPr>
          <w:b/>
          <w:spacing w:val="2"/>
          <w:sz w:val="24"/>
        </w:rPr>
        <w:t xml:space="preserve">all </w:t>
      </w:r>
      <w:r w:rsidRPr="00A34CD9">
        <w:rPr>
          <w:b/>
          <w:spacing w:val="-4"/>
          <w:sz w:val="24"/>
        </w:rPr>
        <w:t>of</w:t>
      </w:r>
      <w:proofErr w:type="gramEnd"/>
      <w:r w:rsidRPr="00A34CD9">
        <w:rPr>
          <w:b/>
          <w:spacing w:val="-4"/>
          <w:sz w:val="24"/>
        </w:rPr>
        <w:t xml:space="preserve"> </w:t>
      </w:r>
      <w:r w:rsidRPr="00A34CD9">
        <w:rPr>
          <w:b/>
          <w:spacing w:val="-5"/>
          <w:sz w:val="24"/>
        </w:rPr>
        <w:t xml:space="preserve">the </w:t>
      </w:r>
      <w:r w:rsidRPr="00A34CD9">
        <w:rPr>
          <w:b/>
          <w:sz w:val="24"/>
        </w:rPr>
        <w:t xml:space="preserve">hospitals within </w:t>
      </w:r>
      <w:r w:rsidRPr="00A34CD9">
        <w:rPr>
          <w:b/>
          <w:spacing w:val="-5"/>
          <w:sz w:val="24"/>
        </w:rPr>
        <w:t xml:space="preserve">the </w:t>
      </w:r>
      <w:r w:rsidRPr="00A34CD9">
        <w:rPr>
          <w:b/>
          <w:spacing w:val="2"/>
          <w:sz w:val="24"/>
        </w:rPr>
        <w:t xml:space="preserve">system, </w:t>
      </w:r>
      <w:r w:rsidRPr="00A34CD9">
        <w:rPr>
          <w:b/>
          <w:sz w:val="24"/>
        </w:rPr>
        <w:t xml:space="preserve">and because </w:t>
      </w:r>
      <w:r w:rsidRPr="00A34CD9">
        <w:rPr>
          <w:b/>
          <w:spacing w:val="-3"/>
          <w:sz w:val="24"/>
        </w:rPr>
        <w:t xml:space="preserve">this </w:t>
      </w:r>
      <w:r w:rsidRPr="00A34CD9">
        <w:rPr>
          <w:b/>
          <w:sz w:val="24"/>
        </w:rPr>
        <w:t xml:space="preserve">was a relatively small targeted </w:t>
      </w:r>
      <w:r w:rsidRPr="00A34CD9">
        <w:rPr>
          <w:b/>
          <w:spacing w:val="-3"/>
          <w:sz w:val="24"/>
        </w:rPr>
        <w:t xml:space="preserve">project </w:t>
      </w:r>
      <w:r w:rsidRPr="00A34CD9">
        <w:rPr>
          <w:b/>
          <w:sz w:val="24"/>
        </w:rPr>
        <w:t xml:space="preserve">for </w:t>
      </w:r>
      <w:r w:rsidRPr="00A34CD9">
        <w:rPr>
          <w:b/>
          <w:spacing w:val="-5"/>
          <w:sz w:val="24"/>
        </w:rPr>
        <w:t xml:space="preserve">one </w:t>
      </w:r>
      <w:r w:rsidRPr="00A34CD9">
        <w:rPr>
          <w:b/>
          <w:sz w:val="24"/>
        </w:rPr>
        <w:t xml:space="preserve">piece </w:t>
      </w:r>
      <w:r w:rsidRPr="00A34CD9">
        <w:rPr>
          <w:b/>
          <w:spacing w:val="-4"/>
          <w:sz w:val="24"/>
        </w:rPr>
        <w:t xml:space="preserve">of </w:t>
      </w:r>
      <w:proofErr w:type="spellStart"/>
      <w:r w:rsidRPr="00A34CD9">
        <w:rPr>
          <w:b/>
          <w:sz w:val="24"/>
        </w:rPr>
        <w:t>DoN</w:t>
      </w:r>
      <w:proofErr w:type="spellEnd"/>
      <w:r w:rsidRPr="00A34CD9">
        <w:rPr>
          <w:b/>
          <w:sz w:val="24"/>
        </w:rPr>
        <w:t xml:space="preserve"> Required </w:t>
      </w:r>
      <w:r w:rsidRPr="00A34CD9">
        <w:rPr>
          <w:b/>
          <w:spacing w:val="-4"/>
          <w:sz w:val="24"/>
        </w:rPr>
        <w:t xml:space="preserve">Equipment, </w:t>
      </w:r>
      <w:r w:rsidRPr="00A34CD9">
        <w:rPr>
          <w:b/>
          <w:spacing w:val="-3"/>
          <w:sz w:val="24"/>
        </w:rPr>
        <w:t xml:space="preserve">that </w:t>
      </w:r>
      <w:r w:rsidRPr="00A34CD9">
        <w:rPr>
          <w:b/>
          <w:sz w:val="24"/>
        </w:rPr>
        <w:t xml:space="preserve">consent was given in </w:t>
      </w:r>
      <w:r w:rsidRPr="00A34CD9">
        <w:rPr>
          <w:b/>
          <w:spacing w:val="-4"/>
          <w:sz w:val="24"/>
        </w:rPr>
        <w:t xml:space="preserve">June </w:t>
      </w:r>
      <w:r w:rsidRPr="00A34CD9">
        <w:rPr>
          <w:b/>
          <w:sz w:val="24"/>
        </w:rPr>
        <w:t xml:space="preserve">17, 2019 </w:t>
      </w:r>
      <w:r w:rsidRPr="00A34CD9">
        <w:rPr>
          <w:b/>
          <w:spacing w:val="-3"/>
          <w:sz w:val="24"/>
        </w:rPr>
        <w:t xml:space="preserve">(two </w:t>
      </w:r>
      <w:r w:rsidRPr="00A34CD9">
        <w:rPr>
          <w:b/>
          <w:sz w:val="24"/>
        </w:rPr>
        <w:t xml:space="preserve">years ago) for BILH </w:t>
      </w:r>
      <w:r w:rsidRPr="00A34CD9">
        <w:rPr>
          <w:b/>
          <w:spacing w:val="-3"/>
          <w:sz w:val="24"/>
        </w:rPr>
        <w:t xml:space="preserve">to </w:t>
      </w:r>
      <w:r w:rsidRPr="00A34CD9">
        <w:rPr>
          <w:b/>
          <w:sz w:val="24"/>
        </w:rPr>
        <w:t xml:space="preserve">use patient panel </w:t>
      </w:r>
      <w:r w:rsidRPr="00A34CD9">
        <w:rPr>
          <w:b/>
          <w:spacing w:val="-3"/>
          <w:sz w:val="24"/>
        </w:rPr>
        <w:t xml:space="preserve">data that </w:t>
      </w:r>
      <w:r w:rsidRPr="00A34CD9">
        <w:rPr>
          <w:b/>
          <w:sz w:val="24"/>
        </w:rPr>
        <w:t xml:space="preserve">had been aggregated for </w:t>
      </w:r>
      <w:r w:rsidRPr="00A34CD9">
        <w:rPr>
          <w:b/>
          <w:spacing w:val="-5"/>
          <w:sz w:val="24"/>
        </w:rPr>
        <w:t xml:space="preserve">the </w:t>
      </w:r>
      <w:r w:rsidRPr="00A34CD9">
        <w:rPr>
          <w:b/>
          <w:spacing w:val="2"/>
          <w:sz w:val="24"/>
        </w:rPr>
        <w:t xml:space="preserve">BIDCO </w:t>
      </w:r>
      <w:r w:rsidRPr="00A34CD9">
        <w:rPr>
          <w:b/>
          <w:spacing w:val="-3"/>
          <w:sz w:val="24"/>
        </w:rPr>
        <w:t xml:space="preserve">merger </w:t>
      </w:r>
      <w:proofErr w:type="spellStart"/>
      <w:r w:rsidRPr="00A34CD9">
        <w:rPr>
          <w:b/>
          <w:sz w:val="24"/>
        </w:rPr>
        <w:t>DoN</w:t>
      </w:r>
      <w:proofErr w:type="spellEnd"/>
      <w:r w:rsidRPr="00A34CD9">
        <w:rPr>
          <w:b/>
          <w:sz w:val="24"/>
        </w:rPr>
        <w:t xml:space="preserve"> Application for </w:t>
      </w:r>
      <w:r w:rsidRPr="00A34CD9">
        <w:rPr>
          <w:b/>
          <w:spacing w:val="-3"/>
          <w:sz w:val="24"/>
        </w:rPr>
        <w:t xml:space="preserve">this </w:t>
      </w:r>
      <w:r w:rsidRPr="00A34CD9">
        <w:rPr>
          <w:b/>
          <w:spacing w:val="3"/>
          <w:sz w:val="24"/>
        </w:rPr>
        <w:t xml:space="preserve">CT </w:t>
      </w:r>
      <w:r w:rsidRPr="00A34CD9">
        <w:rPr>
          <w:b/>
          <w:sz w:val="24"/>
        </w:rPr>
        <w:t xml:space="preserve">project. The </w:t>
      </w:r>
      <w:r w:rsidRPr="00A34CD9">
        <w:rPr>
          <w:b/>
          <w:spacing w:val="-4"/>
          <w:sz w:val="24"/>
        </w:rPr>
        <w:t xml:space="preserve">Department </w:t>
      </w:r>
      <w:r w:rsidRPr="00A34CD9">
        <w:rPr>
          <w:b/>
          <w:sz w:val="24"/>
        </w:rPr>
        <w:t xml:space="preserve">had </w:t>
      </w:r>
      <w:r w:rsidRPr="00A34CD9">
        <w:rPr>
          <w:b/>
          <w:spacing w:val="-5"/>
          <w:sz w:val="24"/>
        </w:rPr>
        <w:t xml:space="preserve">under the </w:t>
      </w:r>
      <w:r w:rsidRPr="00A34CD9">
        <w:rPr>
          <w:b/>
          <w:sz w:val="24"/>
        </w:rPr>
        <w:t xml:space="preserve">impression was </w:t>
      </w:r>
      <w:r w:rsidRPr="00A34CD9">
        <w:rPr>
          <w:b/>
          <w:spacing w:val="-4"/>
          <w:sz w:val="24"/>
        </w:rPr>
        <w:t xml:space="preserve">imminent </w:t>
      </w:r>
      <w:r w:rsidRPr="00A34CD9">
        <w:rPr>
          <w:b/>
          <w:sz w:val="24"/>
        </w:rPr>
        <w:t xml:space="preserve">at </w:t>
      </w:r>
      <w:r w:rsidRPr="00A34CD9">
        <w:rPr>
          <w:b/>
          <w:spacing w:val="-3"/>
          <w:sz w:val="24"/>
        </w:rPr>
        <w:t xml:space="preserve">that </w:t>
      </w:r>
      <w:r w:rsidRPr="00A34CD9">
        <w:rPr>
          <w:b/>
          <w:spacing w:val="-4"/>
          <w:sz w:val="24"/>
        </w:rPr>
        <w:t xml:space="preserve">time </w:t>
      </w:r>
      <w:r w:rsidRPr="00A34CD9">
        <w:rPr>
          <w:b/>
          <w:spacing w:val="-5"/>
          <w:sz w:val="24"/>
        </w:rPr>
        <w:t xml:space="preserve">two </w:t>
      </w:r>
      <w:r w:rsidRPr="00A34CD9">
        <w:rPr>
          <w:b/>
          <w:sz w:val="24"/>
        </w:rPr>
        <w:t xml:space="preserve">years ago. </w:t>
      </w:r>
      <w:r w:rsidRPr="00A34CD9">
        <w:rPr>
          <w:b/>
          <w:spacing w:val="2"/>
          <w:sz w:val="24"/>
        </w:rPr>
        <w:t xml:space="preserve">Please </w:t>
      </w:r>
      <w:r w:rsidRPr="00A34CD9">
        <w:rPr>
          <w:b/>
          <w:sz w:val="24"/>
        </w:rPr>
        <w:t xml:space="preserve">explain </w:t>
      </w:r>
      <w:r w:rsidRPr="00A34CD9">
        <w:rPr>
          <w:b/>
          <w:spacing w:val="-5"/>
          <w:sz w:val="24"/>
        </w:rPr>
        <w:t xml:space="preserve">the </w:t>
      </w:r>
      <w:r w:rsidRPr="00A34CD9">
        <w:rPr>
          <w:b/>
          <w:sz w:val="24"/>
        </w:rPr>
        <w:t xml:space="preserve">status </w:t>
      </w:r>
      <w:r w:rsidRPr="00A34CD9">
        <w:rPr>
          <w:b/>
          <w:spacing w:val="-4"/>
          <w:sz w:val="24"/>
        </w:rPr>
        <w:t xml:space="preserve">of </w:t>
      </w:r>
      <w:r w:rsidRPr="00A34CD9">
        <w:rPr>
          <w:b/>
          <w:spacing w:val="-3"/>
          <w:sz w:val="24"/>
        </w:rPr>
        <w:t>that</w:t>
      </w:r>
      <w:r w:rsidRPr="00A34CD9">
        <w:rPr>
          <w:b/>
          <w:spacing w:val="6"/>
          <w:sz w:val="24"/>
        </w:rPr>
        <w:t xml:space="preserve"> </w:t>
      </w:r>
      <w:r w:rsidRPr="00A34CD9">
        <w:rPr>
          <w:b/>
          <w:sz w:val="24"/>
        </w:rPr>
        <w:t>integration.</w:t>
      </w:r>
    </w:p>
    <w:p w:rsidR="007C04CD" w:rsidRDefault="007C04CD" w:rsidP="004F19AA">
      <w:pPr>
        <w:rPr>
          <w:rFonts w:asciiTheme="minorHAnsi" w:hAnsiTheme="minorHAnsi" w:cstheme="minorHAnsi"/>
          <w:sz w:val="22"/>
          <w:szCs w:val="22"/>
        </w:rPr>
      </w:pPr>
    </w:p>
    <w:p w:rsidR="007C04CD" w:rsidRDefault="007C04CD" w:rsidP="004F19AA">
      <w:pPr>
        <w:rPr>
          <w:rFonts w:asciiTheme="minorHAnsi" w:hAnsiTheme="minorHAnsi" w:cstheme="minorHAnsi"/>
          <w:sz w:val="22"/>
          <w:szCs w:val="22"/>
        </w:rPr>
      </w:pPr>
    </w:p>
    <w:p w:rsidR="004F19AA" w:rsidRPr="00A34CD9" w:rsidRDefault="00921718" w:rsidP="004F19AA">
      <w:pPr>
        <w:rPr>
          <w:rFonts w:asciiTheme="minorHAnsi" w:hAnsiTheme="minorHAnsi" w:cstheme="minorHAnsi"/>
          <w:sz w:val="24"/>
          <w:szCs w:val="24"/>
        </w:rPr>
      </w:pPr>
      <w:r w:rsidRPr="00A34CD9">
        <w:rPr>
          <w:rFonts w:asciiTheme="minorHAnsi" w:hAnsiTheme="minorHAnsi" w:cstheme="minorHAnsi"/>
          <w:sz w:val="24"/>
          <w:szCs w:val="24"/>
        </w:rPr>
        <w:t>Beth Israel Lahey Health</w:t>
      </w:r>
      <w:r w:rsidR="002875F5" w:rsidRPr="00A34CD9">
        <w:rPr>
          <w:rFonts w:asciiTheme="minorHAnsi" w:hAnsiTheme="minorHAnsi" w:cstheme="minorHAnsi"/>
          <w:sz w:val="24"/>
          <w:szCs w:val="24"/>
        </w:rPr>
        <w:t xml:space="preserve"> (“BILH”)</w:t>
      </w:r>
      <w:r w:rsidRPr="00A34CD9">
        <w:rPr>
          <w:rFonts w:asciiTheme="minorHAnsi" w:hAnsiTheme="minorHAnsi" w:cstheme="minorHAnsi"/>
          <w:sz w:val="24"/>
          <w:szCs w:val="24"/>
        </w:rPr>
        <w:t xml:space="preserve"> was f</w:t>
      </w:r>
      <w:r w:rsidR="004F19AA" w:rsidRPr="00A34CD9">
        <w:rPr>
          <w:rFonts w:asciiTheme="minorHAnsi" w:hAnsiTheme="minorHAnsi" w:cstheme="minorHAnsi"/>
          <w:sz w:val="24"/>
          <w:szCs w:val="24"/>
        </w:rPr>
        <w:t xml:space="preserve">ormed in March 2019. </w:t>
      </w:r>
      <w:r w:rsidR="00BC1993" w:rsidRPr="00A34CD9">
        <w:rPr>
          <w:rFonts w:asciiTheme="minorHAnsi" w:hAnsiTheme="minorHAnsi" w:cstheme="minorHAnsi"/>
          <w:sz w:val="24"/>
          <w:szCs w:val="24"/>
        </w:rPr>
        <w:t xml:space="preserve">Since </w:t>
      </w:r>
      <w:r w:rsidRPr="00A34CD9">
        <w:rPr>
          <w:rFonts w:asciiTheme="minorHAnsi" w:hAnsiTheme="minorHAnsi" w:cstheme="minorHAnsi"/>
          <w:sz w:val="24"/>
          <w:szCs w:val="24"/>
        </w:rPr>
        <w:t>that time</w:t>
      </w:r>
      <w:r w:rsidR="00BC1993" w:rsidRPr="00A34CD9">
        <w:rPr>
          <w:rFonts w:asciiTheme="minorHAnsi" w:hAnsiTheme="minorHAnsi" w:cstheme="minorHAnsi"/>
          <w:sz w:val="24"/>
          <w:szCs w:val="24"/>
        </w:rPr>
        <w:t xml:space="preserve">, BILH has made significant strides in integrating </w:t>
      </w:r>
      <w:r w:rsidRPr="00A34CD9">
        <w:rPr>
          <w:rFonts w:asciiTheme="minorHAnsi" w:hAnsiTheme="minorHAnsi" w:cstheme="minorHAnsi"/>
          <w:sz w:val="24"/>
          <w:szCs w:val="24"/>
        </w:rPr>
        <w:t>key</w:t>
      </w:r>
      <w:r w:rsidR="00BC1993" w:rsidRPr="00A34CD9">
        <w:rPr>
          <w:rFonts w:asciiTheme="minorHAnsi" w:hAnsiTheme="minorHAnsi" w:cstheme="minorHAnsi"/>
          <w:sz w:val="24"/>
          <w:szCs w:val="24"/>
        </w:rPr>
        <w:t xml:space="preserve"> administrative services, clinical programs, and </w:t>
      </w:r>
      <w:r w:rsidR="00DA57B3" w:rsidRPr="00A34CD9">
        <w:rPr>
          <w:rFonts w:asciiTheme="minorHAnsi" w:hAnsiTheme="minorHAnsi" w:cstheme="minorHAnsi"/>
          <w:sz w:val="24"/>
          <w:szCs w:val="24"/>
        </w:rPr>
        <w:t>information</w:t>
      </w:r>
      <w:r w:rsidR="00BC1993" w:rsidRPr="00A34CD9">
        <w:rPr>
          <w:rFonts w:asciiTheme="minorHAnsi" w:hAnsiTheme="minorHAnsi" w:cstheme="minorHAnsi"/>
          <w:sz w:val="24"/>
          <w:szCs w:val="24"/>
        </w:rPr>
        <w:t xml:space="preserve"> systems. </w:t>
      </w:r>
      <w:r w:rsidR="00C86874" w:rsidRPr="00A34CD9">
        <w:rPr>
          <w:rStyle w:val="normaltextrun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Enhancing clinical interoperability and communication has been a priority for BILH since its inception.</w:t>
      </w:r>
    </w:p>
    <w:p w:rsidR="00BC1993" w:rsidRPr="00A34CD9" w:rsidRDefault="00BC1993" w:rsidP="004F19AA">
      <w:pPr>
        <w:rPr>
          <w:rFonts w:asciiTheme="minorHAnsi" w:hAnsiTheme="minorHAnsi" w:cstheme="minorHAnsi"/>
          <w:sz w:val="24"/>
          <w:szCs w:val="24"/>
        </w:rPr>
      </w:pPr>
    </w:p>
    <w:p w:rsidR="00DA57B3" w:rsidRPr="00A34CD9" w:rsidRDefault="00BC1993" w:rsidP="004F19AA">
      <w:pPr>
        <w:rPr>
          <w:rStyle w:val="eop"/>
          <w:color w:val="000000"/>
          <w:sz w:val="24"/>
          <w:szCs w:val="24"/>
          <w:shd w:val="clear" w:color="auto" w:fill="FFFFFF"/>
        </w:rPr>
      </w:pPr>
      <w:r w:rsidRPr="00A34CD9">
        <w:rPr>
          <w:rFonts w:asciiTheme="minorHAnsi" w:hAnsiTheme="minorHAnsi" w:cstheme="minorHAnsi"/>
          <w:sz w:val="24"/>
          <w:szCs w:val="24"/>
        </w:rPr>
        <w:t xml:space="preserve">BILH provided the </w:t>
      </w:r>
      <w:r w:rsidR="00083AF3" w:rsidRPr="00A34CD9">
        <w:rPr>
          <w:rFonts w:asciiTheme="minorHAnsi" w:hAnsiTheme="minorHAnsi" w:cstheme="minorHAnsi"/>
          <w:sz w:val="24"/>
          <w:szCs w:val="24"/>
        </w:rPr>
        <w:t>Determination of Need (“</w:t>
      </w:r>
      <w:proofErr w:type="spellStart"/>
      <w:r w:rsidR="00083AF3" w:rsidRPr="00A34CD9">
        <w:rPr>
          <w:rFonts w:asciiTheme="minorHAnsi" w:hAnsiTheme="minorHAnsi" w:cstheme="minorHAnsi"/>
          <w:sz w:val="24"/>
          <w:szCs w:val="24"/>
        </w:rPr>
        <w:t>DoN</w:t>
      </w:r>
      <w:proofErr w:type="spellEnd"/>
      <w:r w:rsidR="00083AF3" w:rsidRPr="00A34CD9">
        <w:rPr>
          <w:rFonts w:asciiTheme="minorHAnsi" w:hAnsiTheme="minorHAnsi" w:cstheme="minorHAnsi"/>
          <w:sz w:val="24"/>
          <w:szCs w:val="24"/>
        </w:rPr>
        <w:t>”) Program</w:t>
      </w:r>
      <w:r w:rsidRPr="00A34CD9">
        <w:rPr>
          <w:rFonts w:asciiTheme="minorHAnsi" w:hAnsiTheme="minorHAnsi" w:cstheme="minorHAnsi"/>
          <w:sz w:val="24"/>
          <w:szCs w:val="24"/>
        </w:rPr>
        <w:t xml:space="preserve"> w</w:t>
      </w:r>
      <w:r w:rsidR="00DA57B3" w:rsidRPr="00A34CD9">
        <w:rPr>
          <w:rFonts w:asciiTheme="minorHAnsi" w:hAnsiTheme="minorHAnsi" w:cstheme="minorHAnsi"/>
          <w:sz w:val="24"/>
          <w:szCs w:val="24"/>
        </w:rPr>
        <w:t xml:space="preserve">ith details on the “Integration of Data Management Systems” in its annual report to the Department submitted on June 30, 2021. The report includes responses required per the conditions of </w:t>
      </w:r>
      <w:r w:rsidR="00DA57B3" w:rsidRPr="00A34CD9">
        <w:rPr>
          <w:rStyle w:val="normaltextrun"/>
          <w:color w:val="000000"/>
          <w:sz w:val="24"/>
          <w:szCs w:val="24"/>
          <w:shd w:val="clear" w:color="auto" w:fill="FFFFFF"/>
        </w:rPr>
        <w:t xml:space="preserve">the amended Notice of </w:t>
      </w:r>
      <w:r w:rsidR="002875F5" w:rsidRPr="00A34CD9">
        <w:rPr>
          <w:rStyle w:val="normaltextrun"/>
          <w:color w:val="000000"/>
          <w:sz w:val="24"/>
          <w:szCs w:val="24"/>
          <w:shd w:val="clear" w:color="auto" w:fill="FFFFFF"/>
        </w:rPr>
        <w:t>Final Action</w:t>
      </w:r>
      <w:r w:rsidR="00DA57B3" w:rsidRPr="00A34CD9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r w:rsidR="00083AF3" w:rsidRPr="00A34CD9">
        <w:rPr>
          <w:rStyle w:val="normaltextrun"/>
          <w:color w:val="000000"/>
          <w:sz w:val="24"/>
          <w:szCs w:val="24"/>
          <w:shd w:val="clear" w:color="auto" w:fill="FFFFFF"/>
        </w:rPr>
        <w:t>dated Octo</w:t>
      </w:r>
      <w:r w:rsidR="00DA57B3" w:rsidRPr="00A34CD9">
        <w:rPr>
          <w:rStyle w:val="normaltextrun"/>
          <w:color w:val="000000"/>
          <w:sz w:val="24"/>
          <w:szCs w:val="24"/>
          <w:shd w:val="clear" w:color="auto" w:fill="FFFFFF"/>
        </w:rPr>
        <w:t xml:space="preserve">ber 10, 2018. Under condition 2e of the amended </w:t>
      </w:r>
      <w:r w:rsidR="00083AF3" w:rsidRPr="00A34CD9">
        <w:rPr>
          <w:rStyle w:val="normaltextrun"/>
          <w:color w:val="000000"/>
          <w:sz w:val="24"/>
          <w:szCs w:val="24"/>
          <w:shd w:val="clear" w:color="auto" w:fill="FFFFFF"/>
        </w:rPr>
        <w:t xml:space="preserve">Notice of </w:t>
      </w:r>
      <w:r w:rsidR="00073EC5" w:rsidRPr="00A34CD9">
        <w:rPr>
          <w:rStyle w:val="normaltextrun"/>
          <w:color w:val="000000"/>
          <w:sz w:val="24"/>
          <w:szCs w:val="24"/>
          <w:shd w:val="clear" w:color="auto" w:fill="FFFFFF"/>
        </w:rPr>
        <w:t>Final Action,</w:t>
      </w:r>
      <w:r w:rsidR="00DA57B3" w:rsidRPr="00A34CD9">
        <w:rPr>
          <w:rStyle w:val="normaltextrun"/>
          <w:color w:val="000000"/>
          <w:sz w:val="24"/>
          <w:szCs w:val="24"/>
          <w:shd w:val="clear" w:color="auto" w:fill="FFFFFF"/>
        </w:rPr>
        <w:t xml:space="preserve"> BILH is required to provide “updates on the integration of data management systems to support access to patient records and data across the [B</w:t>
      </w:r>
      <w:r w:rsidR="00083AF3" w:rsidRPr="00A34CD9">
        <w:rPr>
          <w:rStyle w:val="normaltextrun"/>
          <w:color w:val="000000"/>
          <w:sz w:val="24"/>
          <w:szCs w:val="24"/>
          <w:shd w:val="clear" w:color="auto" w:fill="FFFFFF"/>
        </w:rPr>
        <w:t>O</w:t>
      </w:r>
      <w:r w:rsidR="00DA57B3" w:rsidRPr="00A34CD9">
        <w:rPr>
          <w:rStyle w:val="normaltextrun"/>
          <w:color w:val="000000"/>
          <w:sz w:val="24"/>
          <w:szCs w:val="24"/>
          <w:shd w:val="clear" w:color="auto" w:fill="FFFFFF"/>
        </w:rPr>
        <w:t>LH] system.”</w:t>
      </w:r>
    </w:p>
    <w:p w:rsidR="00DA57B3" w:rsidRPr="00A34CD9" w:rsidRDefault="00DA57B3" w:rsidP="004F19AA">
      <w:pPr>
        <w:rPr>
          <w:color w:val="000000"/>
          <w:sz w:val="24"/>
          <w:szCs w:val="24"/>
          <w:shd w:val="clear" w:color="auto" w:fill="FFFFFF"/>
        </w:rPr>
      </w:pPr>
    </w:p>
    <w:p w:rsidR="00DA57B3" w:rsidRPr="00A34CD9" w:rsidRDefault="00DA57B3" w:rsidP="004F19AA">
      <w:pPr>
        <w:rPr>
          <w:color w:val="000000"/>
          <w:sz w:val="24"/>
          <w:szCs w:val="24"/>
          <w:shd w:val="clear" w:color="auto" w:fill="FFFFFF"/>
        </w:rPr>
      </w:pPr>
      <w:r w:rsidRPr="00A34CD9">
        <w:rPr>
          <w:color w:val="000000"/>
          <w:sz w:val="24"/>
          <w:szCs w:val="24"/>
          <w:shd w:val="clear" w:color="auto" w:fill="FFFFFF"/>
        </w:rPr>
        <w:t>Highlights from th</w:t>
      </w:r>
      <w:r w:rsidR="00073EC5" w:rsidRPr="00A34CD9">
        <w:rPr>
          <w:color w:val="000000"/>
          <w:sz w:val="24"/>
          <w:szCs w:val="24"/>
          <w:shd w:val="clear" w:color="auto" w:fill="FFFFFF"/>
        </w:rPr>
        <w:t>e 2021 annual r</w:t>
      </w:r>
      <w:r w:rsidRPr="00A34CD9">
        <w:rPr>
          <w:color w:val="000000"/>
          <w:sz w:val="24"/>
          <w:szCs w:val="24"/>
          <w:shd w:val="clear" w:color="auto" w:fill="FFFFFF"/>
        </w:rPr>
        <w:t>eport are included below:</w:t>
      </w:r>
    </w:p>
    <w:p w:rsidR="00DA57B3" w:rsidRPr="00A34CD9" w:rsidRDefault="00DA57B3" w:rsidP="004F19AA">
      <w:pPr>
        <w:rPr>
          <w:rFonts w:asciiTheme="minorHAnsi" w:hAnsiTheme="minorHAnsi" w:cstheme="minorHAnsi"/>
          <w:sz w:val="24"/>
          <w:szCs w:val="24"/>
        </w:rPr>
      </w:pPr>
    </w:p>
    <w:p w:rsidR="00DA57B3" w:rsidRPr="00A34CD9" w:rsidRDefault="00DA57B3" w:rsidP="00C86874">
      <w:pPr>
        <w:pStyle w:val="ListParagraph"/>
        <w:numPr>
          <w:ilvl w:val="0"/>
          <w:numId w:val="4"/>
        </w:numPr>
        <w:rPr>
          <w:rStyle w:val="normaltextrun"/>
          <w:rFonts w:asciiTheme="minorHAnsi" w:hAnsiTheme="minorHAnsi" w:cstheme="minorHAnsi"/>
          <w:sz w:val="24"/>
          <w:szCs w:val="24"/>
        </w:rPr>
      </w:pPr>
      <w:r w:rsidRPr="00A34CD9">
        <w:rPr>
          <w:rStyle w:val="normaltextrun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The BILH Information Services (“IS”) team has increased access to the system’s clinical data by implementing 30 “magic buttons” in our electronic health records (“EHRs”), allowing clinicians to simply click a button for view-only access to a patient’s information from any number of BILH hospitals. </w:t>
      </w:r>
      <w:r w:rsidR="00C86874" w:rsidRPr="00A34CD9">
        <w:rPr>
          <w:rStyle w:val="normaltextrun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</w:p>
    <w:p w:rsidR="00DA57B3" w:rsidRPr="00A34CD9" w:rsidRDefault="00C86874" w:rsidP="00C86874">
      <w:pPr>
        <w:pStyle w:val="ListParagraph"/>
        <w:numPr>
          <w:ilvl w:val="0"/>
          <w:numId w:val="4"/>
        </w:numPr>
        <w:rPr>
          <w:rStyle w:val="normaltextrun"/>
          <w:rFonts w:asciiTheme="minorHAnsi" w:hAnsiTheme="minorHAnsi" w:cstheme="minorHAnsi"/>
          <w:sz w:val="24"/>
          <w:szCs w:val="24"/>
        </w:rPr>
      </w:pPr>
      <w:r w:rsidRPr="00A34CD9">
        <w:rPr>
          <w:rStyle w:val="normaltextrun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The IS team has developed m</w:t>
      </w:r>
      <w:r w:rsidR="00DA57B3" w:rsidRPr="00A34CD9">
        <w:rPr>
          <w:rStyle w:val="normaltextrun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ultiple clinical data interfaces </w:t>
      </w:r>
      <w:r w:rsidRPr="00A34CD9">
        <w:rPr>
          <w:rStyle w:val="normaltextrun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– including laboratory and radiology – </w:t>
      </w:r>
      <w:r w:rsidR="00DC0E2A" w:rsidRPr="00A34CD9">
        <w:rPr>
          <w:rStyle w:val="normaltextrun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between</w:t>
      </w:r>
      <w:r w:rsidR="00DA57B3" w:rsidRPr="00A34CD9">
        <w:rPr>
          <w:rStyle w:val="normaltextrun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BILH hospitals and primary care organizations. </w:t>
      </w:r>
      <w:r w:rsidRPr="00A34CD9">
        <w:rPr>
          <w:rStyle w:val="normaltextrun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</w:p>
    <w:p w:rsidR="004C396C" w:rsidRPr="00A34CD9" w:rsidRDefault="004C396C" w:rsidP="004C396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A34CD9">
        <w:rPr>
          <w:sz w:val="24"/>
          <w:szCs w:val="24"/>
        </w:rPr>
        <w:t>BILH implemented a system census dashboard for inpatient and ED beds by interfacing and merging data from our hospital EHRs. Throughout FY 2021, BILH will complete implementation across all hospitals.</w:t>
      </w:r>
    </w:p>
    <w:p w:rsidR="00DA57B3" w:rsidRPr="00A34CD9" w:rsidRDefault="00DC0E2A" w:rsidP="00DC0E2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A34CD9">
        <w:rPr>
          <w:rStyle w:val="normaltextrun"/>
          <w:rFonts w:asciiTheme="minorHAnsi" w:hAnsiTheme="minorHAnsi" w:cstheme="minorHAnsi"/>
          <w:color w:val="222222"/>
          <w:shd w:val="clear" w:color="auto" w:fill="FFFFFF"/>
        </w:rPr>
        <w:t xml:space="preserve">The </w:t>
      </w:r>
      <w:r w:rsidR="00DA57B3" w:rsidRPr="00A34CD9">
        <w:rPr>
          <w:rStyle w:val="normaltextrun"/>
          <w:rFonts w:asciiTheme="minorHAnsi" w:hAnsiTheme="minorHAnsi" w:cstheme="minorHAnsi"/>
          <w:color w:val="222222"/>
          <w:shd w:val="clear" w:color="auto" w:fill="FFFFFF"/>
        </w:rPr>
        <w:t>BILH</w:t>
      </w:r>
      <w:r w:rsidRPr="00A34CD9">
        <w:rPr>
          <w:rStyle w:val="normaltextrun"/>
          <w:rFonts w:asciiTheme="minorHAnsi" w:hAnsiTheme="minorHAnsi" w:cstheme="minorHAnsi"/>
          <w:color w:val="222222"/>
          <w:shd w:val="clear" w:color="auto" w:fill="FFFFFF"/>
        </w:rPr>
        <w:t xml:space="preserve"> Performance Network </w:t>
      </w:r>
      <w:r w:rsidR="00DA57B3" w:rsidRPr="00A34CD9">
        <w:rPr>
          <w:rStyle w:val="normaltextrun"/>
          <w:rFonts w:asciiTheme="minorHAnsi" w:hAnsiTheme="minorHAnsi" w:cstheme="minorHAnsi"/>
          <w:color w:val="222222"/>
          <w:shd w:val="clear" w:color="auto" w:fill="FFFFFF"/>
        </w:rPr>
        <w:t>IS team implemented the transition from two legacy population health databases into a single enterprise-wide data warehouse, Arcadia. </w:t>
      </w:r>
      <w:r w:rsidRPr="00A34CD9">
        <w:rPr>
          <w:rStyle w:val="normaltextrun"/>
          <w:rFonts w:asciiTheme="minorHAnsi" w:hAnsiTheme="minorHAnsi" w:cstheme="minorHAnsi"/>
          <w:color w:val="222222"/>
          <w:shd w:val="clear" w:color="auto" w:fill="FFFFFF"/>
        </w:rPr>
        <w:t xml:space="preserve">This data warehouse proved instrumental to the system’s COVID-19 vaccination effort, as it served as the foundation for our COVAX tool. Through COVAX, BILH </w:t>
      </w:r>
      <w:proofErr w:type="gramStart"/>
      <w:r w:rsidRPr="00A34CD9">
        <w:rPr>
          <w:rStyle w:val="normaltextrun"/>
          <w:rFonts w:asciiTheme="minorHAnsi" w:hAnsiTheme="minorHAnsi" w:cstheme="minorHAnsi"/>
        </w:rPr>
        <w:t>is able to</w:t>
      </w:r>
      <w:proofErr w:type="gramEnd"/>
      <w:r w:rsidRPr="00A34CD9">
        <w:rPr>
          <w:rStyle w:val="normaltextrun"/>
          <w:rFonts w:asciiTheme="minorHAnsi" w:hAnsiTheme="minorHAnsi" w:cstheme="minorHAnsi"/>
        </w:rPr>
        <w:t xml:space="preserve"> </w:t>
      </w:r>
      <w:r w:rsidR="00DA57B3" w:rsidRPr="00A34CD9">
        <w:rPr>
          <w:rStyle w:val="normaltextrun"/>
          <w:rFonts w:asciiTheme="minorHAnsi" w:hAnsiTheme="minorHAnsi" w:cstheme="minorHAnsi"/>
          <w:color w:val="222222"/>
          <w:shd w:val="clear" w:color="auto" w:fill="FFFFFF"/>
        </w:rPr>
        <w:t>communicate with staff regarding vaccination eligibility and allow staff to schedule vaccination appointments</w:t>
      </w:r>
      <w:r w:rsidRPr="00A34CD9">
        <w:rPr>
          <w:rStyle w:val="normaltextrun"/>
          <w:rFonts w:asciiTheme="minorHAnsi" w:hAnsiTheme="minorHAnsi" w:cstheme="minorHAnsi"/>
          <w:color w:val="222222"/>
          <w:shd w:val="clear" w:color="auto" w:fill="FFFFFF"/>
        </w:rPr>
        <w:t xml:space="preserve">. To support the patient vaccination effort, the COVAX </w:t>
      </w:r>
      <w:r w:rsidR="00C86874" w:rsidRPr="00A34CD9">
        <w:rPr>
          <w:rStyle w:val="eop"/>
          <w:rFonts w:asciiTheme="minorHAnsi" w:hAnsiTheme="minorHAnsi" w:cstheme="minorHAnsi"/>
          <w:color w:val="222222"/>
        </w:rPr>
        <w:t xml:space="preserve">was populated with merged data from </w:t>
      </w:r>
      <w:r w:rsidR="00491FEF" w:rsidRPr="00A34CD9">
        <w:rPr>
          <w:rStyle w:val="eop"/>
          <w:rFonts w:asciiTheme="minorHAnsi" w:hAnsiTheme="minorHAnsi" w:cstheme="minorHAnsi"/>
          <w:color w:val="222222"/>
        </w:rPr>
        <w:t>BILH’s</w:t>
      </w:r>
      <w:r w:rsidR="00C86874" w:rsidRPr="00A34CD9">
        <w:rPr>
          <w:rStyle w:val="eop"/>
          <w:rFonts w:asciiTheme="minorHAnsi" w:hAnsiTheme="minorHAnsi" w:cstheme="minorHAnsi"/>
          <w:color w:val="222222"/>
        </w:rPr>
        <w:t xml:space="preserve"> many </w:t>
      </w:r>
      <w:r w:rsidR="00491FEF" w:rsidRPr="00A34CD9">
        <w:rPr>
          <w:rStyle w:val="eop"/>
          <w:rFonts w:asciiTheme="minorHAnsi" w:hAnsiTheme="minorHAnsi" w:cstheme="minorHAnsi"/>
          <w:color w:val="222222"/>
        </w:rPr>
        <w:t>EH</w:t>
      </w:r>
      <w:r w:rsidR="00C86874" w:rsidRPr="00A34CD9">
        <w:rPr>
          <w:rStyle w:val="eop"/>
          <w:rFonts w:asciiTheme="minorHAnsi" w:hAnsiTheme="minorHAnsi" w:cstheme="minorHAnsi"/>
          <w:color w:val="222222"/>
        </w:rPr>
        <w:t xml:space="preserve">R systems. </w:t>
      </w:r>
    </w:p>
    <w:p w:rsidR="00BC1993" w:rsidRPr="00A34CD9" w:rsidRDefault="00C658C5" w:rsidP="007E3A5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A34CD9">
        <w:rPr>
          <w:rFonts w:asciiTheme="minorHAnsi" w:hAnsiTheme="minorHAnsi" w:cstheme="minorHAnsi"/>
        </w:rPr>
        <w:t xml:space="preserve">BILH has selected Workday as its system-wide enterprise resource planning (ERP) system and is working toward an early FY 2023 go-live. Once implemented, Workday </w:t>
      </w:r>
      <w:r w:rsidRPr="00A34CD9">
        <w:rPr>
          <w:rFonts w:asciiTheme="minorHAnsi" w:hAnsiTheme="minorHAnsi" w:cstheme="minorHAnsi"/>
        </w:rPr>
        <w:lastRenderedPageBreak/>
        <w:t>will provide the system with a single view into its</w:t>
      </w:r>
      <w:r w:rsidR="00BC1993" w:rsidRPr="00A34CD9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 Human Resources, Finance, </w:t>
      </w:r>
      <w:r w:rsidRPr="00A34CD9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and </w:t>
      </w:r>
      <w:r w:rsidR="00BC1993" w:rsidRPr="00A34CD9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Supply Chain data and work processes.</w:t>
      </w:r>
      <w:r w:rsidR="00BC1993" w:rsidRPr="00A34CD9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 </w:t>
      </w:r>
    </w:p>
    <w:p w:rsidR="00921718" w:rsidRPr="00A34CD9" w:rsidRDefault="00921718" w:rsidP="009217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921718" w:rsidRPr="00A34CD9" w:rsidRDefault="00563A68" w:rsidP="009217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A34CD9">
        <w:rPr>
          <w:rFonts w:asciiTheme="minorHAnsi" w:hAnsiTheme="minorHAnsi" w:cstheme="minorHAnsi"/>
        </w:rPr>
        <w:t xml:space="preserve">The BILH IS team continues to work with extracts from its enterprise-wide population health data warehouse, using this resource to integrate data across our EHRs to better understand our patient population data. </w:t>
      </w:r>
      <w:proofErr w:type="gramStart"/>
      <w:r w:rsidRPr="00A34CD9">
        <w:rPr>
          <w:rFonts w:asciiTheme="minorHAnsi" w:hAnsiTheme="minorHAnsi" w:cstheme="minorHAnsi"/>
        </w:rPr>
        <w:t>At this time</w:t>
      </w:r>
      <w:proofErr w:type="gramEnd"/>
      <w:r w:rsidRPr="00A34CD9">
        <w:rPr>
          <w:rFonts w:asciiTheme="minorHAnsi" w:hAnsiTheme="minorHAnsi" w:cstheme="minorHAnsi"/>
        </w:rPr>
        <w:t xml:space="preserve">, the data warehouse does not provide the capabilities of an EMPI and thus we are unable to provide system-wide unique patient panel data, with the parameters specified by </w:t>
      </w:r>
      <w:r w:rsidR="00BD2335" w:rsidRPr="00A34CD9">
        <w:rPr>
          <w:rFonts w:asciiTheme="minorHAnsi" w:hAnsiTheme="minorHAnsi" w:cstheme="minorHAnsi"/>
        </w:rPr>
        <w:t>the Department</w:t>
      </w:r>
      <w:r w:rsidRPr="00A34CD9">
        <w:rPr>
          <w:rFonts w:asciiTheme="minorHAnsi" w:hAnsiTheme="minorHAnsi" w:cstheme="minorHAnsi"/>
        </w:rPr>
        <w:t>.</w:t>
      </w:r>
    </w:p>
    <w:p w:rsidR="007C04CD" w:rsidRPr="00A34CD9" w:rsidRDefault="007C04CD" w:rsidP="009217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A34CD9" w:rsidRPr="00A34CD9" w:rsidRDefault="00A34CD9">
      <w:pPr>
        <w:rPr>
          <w:sz w:val="24"/>
          <w:szCs w:val="24"/>
        </w:rPr>
      </w:pPr>
    </w:p>
    <w:sectPr w:rsidR="00A34CD9" w:rsidRPr="00A34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D9" w:rsidRDefault="00A34CD9" w:rsidP="00A34CD9">
      <w:pPr>
        <w:spacing w:line="240" w:lineRule="auto"/>
      </w:pPr>
      <w:r>
        <w:separator/>
      </w:r>
    </w:p>
  </w:endnote>
  <w:endnote w:type="continuationSeparator" w:id="0">
    <w:p w:rsidR="00A34CD9" w:rsidRDefault="00A34CD9" w:rsidP="00A34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54" w:rsidRDefault="00FD3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950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3F54" w:rsidRDefault="00FD3F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6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4CD9" w:rsidRDefault="00A34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54" w:rsidRDefault="00FD3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D9" w:rsidRDefault="00A34CD9" w:rsidP="00A34CD9">
      <w:pPr>
        <w:spacing w:line="240" w:lineRule="auto"/>
      </w:pPr>
      <w:r>
        <w:separator/>
      </w:r>
    </w:p>
  </w:footnote>
  <w:footnote w:type="continuationSeparator" w:id="0">
    <w:p w:rsidR="00A34CD9" w:rsidRDefault="00A34CD9" w:rsidP="00A34C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54" w:rsidRDefault="00FD3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D9" w:rsidRDefault="00A34CD9" w:rsidP="00A34CD9">
    <w:pPr>
      <w:spacing w:line="340" w:lineRule="exact"/>
      <w:ind w:left="20"/>
      <w:jc w:val="center"/>
      <w:rPr>
        <w:rFonts w:ascii="Calibri Light"/>
        <w:sz w:val="31"/>
      </w:rPr>
    </w:pPr>
    <w:r>
      <w:rPr>
        <w:rFonts w:ascii="Calibri Light"/>
        <w:sz w:val="31"/>
      </w:rPr>
      <w:t xml:space="preserve">Beth Israel Lahey Health </w:t>
    </w:r>
    <w:proofErr w:type="spellStart"/>
    <w:proofErr w:type="gramStart"/>
    <w:r>
      <w:rPr>
        <w:rFonts w:ascii="Calibri Light"/>
        <w:sz w:val="31"/>
      </w:rPr>
      <w:t>DoN</w:t>
    </w:r>
    <w:proofErr w:type="spellEnd"/>
    <w:r>
      <w:rPr>
        <w:rFonts w:ascii="Calibri Light"/>
        <w:sz w:val="31"/>
      </w:rPr>
      <w:t xml:space="preserve">  -</w:t>
    </w:r>
    <w:proofErr w:type="gramEnd"/>
    <w:r>
      <w:rPr>
        <w:rFonts w:ascii="Calibri Light"/>
        <w:sz w:val="31"/>
      </w:rPr>
      <w:t xml:space="preserve"> BILH-19092415-RE</w:t>
    </w:r>
  </w:p>
  <w:p w:rsidR="00A34CD9" w:rsidRDefault="00A34CD9">
    <w:pPr>
      <w:pStyle w:val="Header"/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485EC5">
              <wp:simplePos x="0" y="0"/>
              <wp:positionH relativeFrom="page">
                <wp:posOffset>438785</wp:posOffset>
              </wp:positionH>
              <wp:positionV relativeFrom="page">
                <wp:posOffset>753110</wp:posOffset>
              </wp:positionV>
              <wp:extent cx="6904355" cy="0"/>
              <wp:effectExtent l="19685" t="19685" r="19685" b="27940"/>
              <wp:wrapNone/>
              <wp:docPr id="1" name="Straight Connector 1" descr="Division line" title="Division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435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23A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F5578E" id="Straight Connector 1" o:spid="_x0000_s1026" alt="Title: Division line - Description: Division line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5pt,59.3pt" to="578.2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" strokecolor="#823a0a" strokeweight="3pt">
              <w10:wrap anchorx="page" anchory="page"/>
            </v:line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54" w:rsidRDefault="00FD3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3B9"/>
    <w:multiLevelType w:val="multilevel"/>
    <w:tmpl w:val="86E6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F22AC"/>
    <w:multiLevelType w:val="hybridMultilevel"/>
    <w:tmpl w:val="151055B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F0BA2"/>
    <w:multiLevelType w:val="hybridMultilevel"/>
    <w:tmpl w:val="3D764CBE"/>
    <w:lvl w:ilvl="0" w:tplc="1632C5B2">
      <w:start w:val="1"/>
      <w:numFmt w:val="decimal"/>
      <w:lvlText w:val="%1."/>
      <w:lvlJc w:val="left"/>
      <w:pPr>
        <w:ind w:left="991" w:hanging="361"/>
      </w:pPr>
      <w:rPr>
        <w:i w:val="0"/>
        <w:spacing w:val="-22"/>
        <w:w w:val="100"/>
      </w:rPr>
    </w:lvl>
    <w:lvl w:ilvl="1" w:tplc="F3B4F7B4">
      <w:start w:val="1"/>
      <w:numFmt w:val="lowerLetter"/>
      <w:lvlText w:val="%2."/>
      <w:lvlJc w:val="left"/>
      <w:pPr>
        <w:ind w:left="1711" w:hanging="361"/>
      </w:pPr>
      <w:rPr>
        <w:rFonts w:ascii="Calibri" w:eastAsia="Calibri" w:hAnsi="Calibri" w:cs="Calibri" w:hint="default"/>
        <w:spacing w:val="-12"/>
        <w:w w:val="100"/>
        <w:sz w:val="24"/>
        <w:szCs w:val="24"/>
      </w:rPr>
    </w:lvl>
    <w:lvl w:ilvl="2" w:tplc="7EB0BF36">
      <w:numFmt w:val="bullet"/>
      <w:lvlText w:val="•"/>
      <w:lvlJc w:val="left"/>
      <w:pPr>
        <w:ind w:left="2769" w:hanging="361"/>
      </w:pPr>
    </w:lvl>
    <w:lvl w:ilvl="3" w:tplc="35349638">
      <w:numFmt w:val="bullet"/>
      <w:lvlText w:val="•"/>
      <w:lvlJc w:val="left"/>
      <w:pPr>
        <w:ind w:left="3829" w:hanging="361"/>
      </w:pPr>
    </w:lvl>
    <w:lvl w:ilvl="4" w:tplc="71C86D70">
      <w:numFmt w:val="bullet"/>
      <w:lvlText w:val="•"/>
      <w:lvlJc w:val="left"/>
      <w:pPr>
        <w:ind w:left="4889" w:hanging="361"/>
      </w:pPr>
    </w:lvl>
    <w:lvl w:ilvl="5" w:tplc="006A37AE">
      <w:numFmt w:val="bullet"/>
      <w:lvlText w:val="•"/>
      <w:lvlJc w:val="left"/>
      <w:pPr>
        <w:ind w:left="5949" w:hanging="361"/>
      </w:pPr>
    </w:lvl>
    <w:lvl w:ilvl="6" w:tplc="7E969E60">
      <w:numFmt w:val="bullet"/>
      <w:lvlText w:val="•"/>
      <w:lvlJc w:val="left"/>
      <w:pPr>
        <w:ind w:left="7009" w:hanging="361"/>
      </w:pPr>
    </w:lvl>
    <w:lvl w:ilvl="7" w:tplc="34AE7154">
      <w:numFmt w:val="bullet"/>
      <w:lvlText w:val="•"/>
      <w:lvlJc w:val="left"/>
      <w:pPr>
        <w:ind w:left="8069" w:hanging="361"/>
      </w:pPr>
    </w:lvl>
    <w:lvl w:ilvl="8" w:tplc="FD5C4BC2">
      <w:numFmt w:val="bullet"/>
      <w:lvlText w:val="•"/>
      <w:lvlJc w:val="left"/>
      <w:pPr>
        <w:ind w:left="9129" w:hanging="361"/>
      </w:pPr>
    </w:lvl>
  </w:abstractNum>
  <w:abstractNum w:abstractNumId="3" w15:restartNumberingAfterBreak="0">
    <w:nsid w:val="66657531"/>
    <w:multiLevelType w:val="multilevel"/>
    <w:tmpl w:val="3B5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565A5F"/>
    <w:multiLevelType w:val="hybridMultilevel"/>
    <w:tmpl w:val="57A27040"/>
    <w:lvl w:ilvl="0" w:tplc="A1CA4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779BD"/>
    <w:multiLevelType w:val="multilevel"/>
    <w:tmpl w:val="283C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AA"/>
    <w:rsid w:val="00073EC5"/>
    <w:rsid w:val="00083AF3"/>
    <w:rsid w:val="001848AB"/>
    <w:rsid w:val="001D74FF"/>
    <w:rsid w:val="002875F5"/>
    <w:rsid w:val="002C74EB"/>
    <w:rsid w:val="00366B15"/>
    <w:rsid w:val="00491FEF"/>
    <w:rsid w:val="004C396C"/>
    <w:rsid w:val="004F19AA"/>
    <w:rsid w:val="00563A68"/>
    <w:rsid w:val="007166B1"/>
    <w:rsid w:val="007C04CD"/>
    <w:rsid w:val="00880880"/>
    <w:rsid w:val="008B22FC"/>
    <w:rsid w:val="00921718"/>
    <w:rsid w:val="009F3BAA"/>
    <w:rsid w:val="00A34CD9"/>
    <w:rsid w:val="00B014EC"/>
    <w:rsid w:val="00BC1993"/>
    <w:rsid w:val="00BD2335"/>
    <w:rsid w:val="00C658C5"/>
    <w:rsid w:val="00C82659"/>
    <w:rsid w:val="00C86874"/>
    <w:rsid w:val="00CC7C54"/>
    <w:rsid w:val="00D1443C"/>
    <w:rsid w:val="00DA4ECE"/>
    <w:rsid w:val="00DA57B3"/>
    <w:rsid w:val="00DC0E2A"/>
    <w:rsid w:val="00DD1699"/>
    <w:rsid w:val="00EE2195"/>
    <w:rsid w:val="00FD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7D78572-724C-42E5-B8F2-1FDBDA2F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9AA"/>
    <w:pPr>
      <w:spacing w:after="0" w:line="260" w:lineRule="atLeast"/>
    </w:pPr>
    <w:rPr>
      <w:rFonts w:ascii="Calibri" w:hAnsi="Calibri" w:cs="Calibr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C1993"/>
  </w:style>
  <w:style w:type="character" w:customStyle="1" w:styleId="eop">
    <w:name w:val="eop"/>
    <w:basedOn w:val="DefaultParagraphFont"/>
    <w:rsid w:val="00BC1993"/>
  </w:style>
  <w:style w:type="paragraph" w:customStyle="1" w:styleId="paragraph">
    <w:name w:val="paragraph"/>
    <w:basedOn w:val="Normal"/>
    <w:rsid w:val="00DA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86874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B014EC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B014EC"/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014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EC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4C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CD9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Dougherty,Kelly  (BILH - VP of Integration)</dc:creator>
  <cp:keywords/>
  <dc:description/>
  <cp:lastModifiedBy>Cioffari-Macphee, Diana (DPH)</cp:lastModifiedBy>
  <cp:revision>5</cp:revision>
  <dcterms:created xsi:type="dcterms:W3CDTF">2021-10-06T17:49:00Z</dcterms:created>
  <dcterms:modified xsi:type="dcterms:W3CDTF">2021-10-06T18:00:00Z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491520</vt:lpwstr>
  </property>
  <property fmtid="{D5CDD505-2E9C-101B-9397-08002B2CF9AE}" pid="3" name="CUS_DocIDLocation">
    <vt:lpwstr>NO_DOC_ID</vt:lpwstr>
  </property>
  <property fmtid="{D5CDD505-2E9C-101B-9397-08002B2CF9AE}" pid="4" name="CUS_DocIDReference">
    <vt:lpwstr>noDocID</vt:lpwstr>
  </property>
  <property fmtid="{D5CDD505-2E9C-101B-9397-08002B2CF9AE}" pid="5" name="_MarkAsFinal">
    <vt:bool>true</vt:bool>
  </property>
</Properties>
</file>