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5373D" w14:textId="77777777" w:rsidR="00EA2BC6" w:rsidRPr="00D62C31" w:rsidRDefault="00EA2BC6" w:rsidP="00EA2BC6">
      <w:pPr>
        <w:pStyle w:val="Header"/>
        <w:jc w:val="center"/>
        <w:rPr>
          <w:sz w:val="28"/>
          <w:szCs w:val="28"/>
        </w:rPr>
      </w:pPr>
    </w:p>
    <w:p w14:paraId="136BC573" w14:textId="77777777" w:rsidR="00EA2BC6" w:rsidRPr="00107D4C" w:rsidRDefault="00EA2BC6" w:rsidP="00EA2BC6">
      <w:pPr>
        <w:pStyle w:val="ListParagraph"/>
        <w:numPr>
          <w:ilvl w:val="0"/>
          <w:numId w:val="2"/>
        </w:numPr>
        <w:spacing w:after="0"/>
        <w:ind w:left="360"/>
        <w:rPr>
          <w:rFonts w:ascii="Calibri" w:hAnsi="Calibri" w:cs="Calibri"/>
          <w:sz w:val="21"/>
          <w:szCs w:val="21"/>
        </w:rPr>
      </w:pPr>
      <w:r w:rsidRPr="00107D4C">
        <w:rPr>
          <w:rFonts w:ascii="Calibri" w:hAnsi="Calibri" w:cs="Calibri"/>
          <w:sz w:val="21"/>
          <w:szCs w:val="21"/>
        </w:rPr>
        <w:t>What is captured under “Other” category in Race/Ethnicity? (Exhibit A)</w:t>
      </w:r>
    </w:p>
    <w:p w14:paraId="2882928A" w14:textId="77777777" w:rsidR="00EA2BC6" w:rsidRPr="00107D4C" w:rsidRDefault="00EA2BC6" w:rsidP="00EA2BC6">
      <w:pPr>
        <w:pStyle w:val="ListParagraph"/>
        <w:spacing w:after="0"/>
        <w:ind w:left="360"/>
        <w:rPr>
          <w:rFonts w:ascii="Calibri" w:hAnsi="Calibri" w:cs="Calibri"/>
          <w:sz w:val="21"/>
          <w:szCs w:val="21"/>
        </w:rPr>
      </w:pPr>
    </w:p>
    <w:p w14:paraId="343C6FBB" w14:textId="1CA402B4" w:rsidR="00EA2BC6" w:rsidRPr="00107D4C" w:rsidRDefault="00EA2BC6" w:rsidP="00EA2BC6">
      <w:pPr>
        <w:pStyle w:val="ListParagraph"/>
        <w:spacing w:after="0"/>
        <w:ind w:left="360"/>
        <w:rPr>
          <w:rFonts w:ascii="Calibri" w:hAnsi="Calibri" w:cs="Calibri"/>
          <w:b/>
          <w:i/>
          <w:sz w:val="21"/>
          <w:szCs w:val="21"/>
        </w:rPr>
      </w:pPr>
      <w:r w:rsidRPr="00107D4C">
        <w:rPr>
          <w:rFonts w:ascii="Calibri" w:hAnsi="Calibri" w:cs="Calibri"/>
          <w:b/>
          <w:i/>
          <w:sz w:val="21"/>
          <w:szCs w:val="21"/>
        </w:rPr>
        <w:t>This would include race/ethnicity in the LTCH</w:t>
      </w:r>
      <w:r w:rsidR="00107D4C">
        <w:rPr>
          <w:rFonts w:ascii="Calibri" w:hAnsi="Calibri" w:cs="Calibri"/>
          <w:b/>
          <w:i/>
          <w:sz w:val="21"/>
          <w:szCs w:val="21"/>
        </w:rPr>
        <w:t xml:space="preserve"> </w:t>
      </w:r>
      <w:r w:rsidRPr="00107D4C">
        <w:rPr>
          <w:rFonts w:ascii="Calibri" w:hAnsi="Calibri" w:cs="Calibri"/>
          <w:b/>
          <w:i/>
          <w:sz w:val="21"/>
          <w:szCs w:val="21"/>
        </w:rPr>
        <w:t>other than African-America</w:t>
      </w:r>
      <w:r w:rsidR="00C6433B">
        <w:rPr>
          <w:rFonts w:ascii="Calibri" w:hAnsi="Calibri" w:cs="Calibri"/>
          <w:b/>
          <w:i/>
          <w:sz w:val="21"/>
          <w:szCs w:val="21"/>
        </w:rPr>
        <w:t xml:space="preserve">n, Asian, Caucasian, </w:t>
      </w:r>
      <w:proofErr w:type="gramStart"/>
      <w:r w:rsidR="00C6433B">
        <w:rPr>
          <w:rFonts w:ascii="Calibri" w:hAnsi="Calibri" w:cs="Calibri"/>
          <w:b/>
          <w:i/>
          <w:sz w:val="21"/>
          <w:szCs w:val="21"/>
        </w:rPr>
        <w:t>or  Hispani</w:t>
      </w:r>
      <w:r w:rsidRPr="00107D4C">
        <w:rPr>
          <w:rFonts w:ascii="Calibri" w:hAnsi="Calibri" w:cs="Calibri"/>
          <w:b/>
          <w:i/>
          <w:sz w:val="21"/>
          <w:szCs w:val="21"/>
        </w:rPr>
        <w:t>c</w:t>
      </w:r>
      <w:proofErr w:type="gramEnd"/>
      <w:r w:rsidR="00C6433B">
        <w:rPr>
          <w:rFonts w:ascii="Calibri" w:hAnsi="Calibri" w:cs="Calibri"/>
          <w:b/>
          <w:i/>
          <w:sz w:val="21"/>
          <w:szCs w:val="21"/>
        </w:rPr>
        <w:t xml:space="preserve">. In the </w:t>
      </w:r>
      <w:r w:rsidRPr="00107D4C">
        <w:rPr>
          <w:rFonts w:ascii="Calibri" w:hAnsi="Calibri" w:cs="Calibri"/>
          <w:b/>
          <w:i/>
          <w:sz w:val="21"/>
          <w:szCs w:val="21"/>
        </w:rPr>
        <w:t>NRU, it would be a patient with race/ethnicity other than Caucasian or Hispanic. Th</w:t>
      </w:r>
      <w:r w:rsidR="00C6433B">
        <w:rPr>
          <w:rFonts w:ascii="Calibri" w:hAnsi="Calibri" w:cs="Calibri"/>
          <w:b/>
          <w:i/>
          <w:sz w:val="21"/>
          <w:szCs w:val="21"/>
        </w:rPr>
        <w:t xml:space="preserve">e “Other” category could also include </w:t>
      </w:r>
      <w:r w:rsidRPr="00107D4C">
        <w:rPr>
          <w:rFonts w:ascii="Calibri" w:hAnsi="Calibri" w:cs="Calibri"/>
          <w:b/>
          <w:i/>
          <w:sz w:val="21"/>
          <w:szCs w:val="21"/>
        </w:rPr>
        <w:t xml:space="preserve">patients </w:t>
      </w:r>
      <w:r w:rsidR="00C6433B">
        <w:rPr>
          <w:rFonts w:ascii="Calibri" w:hAnsi="Calibri" w:cs="Calibri"/>
          <w:b/>
          <w:i/>
          <w:sz w:val="21"/>
          <w:szCs w:val="21"/>
        </w:rPr>
        <w:t xml:space="preserve">who </w:t>
      </w:r>
      <w:r w:rsidRPr="00107D4C">
        <w:rPr>
          <w:rFonts w:ascii="Calibri" w:hAnsi="Calibri" w:cs="Calibri"/>
          <w:b/>
          <w:i/>
          <w:sz w:val="21"/>
          <w:szCs w:val="21"/>
        </w:rPr>
        <w:t>have elected not to provide information or identified a race/ethnicity other than those listed above.</w:t>
      </w:r>
    </w:p>
    <w:p w14:paraId="0D972A3C" w14:textId="77777777" w:rsidR="00EA2BC6" w:rsidRPr="00413F4B" w:rsidRDefault="00EA2BC6" w:rsidP="00EA2BC6">
      <w:pPr>
        <w:pStyle w:val="ListParagraph"/>
        <w:ind w:left="360"/>
        <w:rPr>
          <w:rFonts w:ascii="Calibri" w:hAnsi="Calibri" w:cs="Calibri"/>
          <w:sz w:val="21"/>
          <w:szCs w:val="21"/>
          <w:highlight w:val="yellow"/>
        </w:rPr>
      </w:pPr>
    </w:p>
    <w:p w14:paraId="7B3BF657" w14:textId="77777777" w:rsidR="00EA2BC6" w:rsidRPr="00107D4C" w:rsidRDefault="00EA2BC6" w:rsidP="00EA2BC6">
      <w:pPr>
        <w:pStyle w:val="ListParagraph"/>
        <w:numPr>
          <w:ilvl w:val="0"/>
          <w:numId w:val="2"/>
        </w:numPr>
        <w:spacing w:after="0"/>
        <w:ind w:left="360"/>
        <w:rPr>
          <w:rFonts w:ascii="Calibri" w:hAnsi="Calibri" w:cs="Calibri"/>
          <w:sz w:val="21"/>
          <w:szCs w:val="21"/>
        </w:rPr>
      </w:pPr>
      <w:r w:rsidRPr="00107D4C">
        <w:rPr>
          <w:rFonts w:ascii="Calibri" w:hAnsi="Calibri" w:cs="Calibri"/>
          <w:sz w:val="21"/>
          <w:szCs w:val="21"/>
        </w:rPr>
        <w:t>Number of patients for various categories (e.g., race/ethnicity, gender) is provided for each LTCH and TBI/NRU. Please provide the age breakdown for LTCH and TBI/NRU. (Exhibit A)</w:t>
      </w:r>
    </w:p>
    <w:p w14:paraId="466670CD" w14:textId="77777777" w:rsidR="00EA2BC6" w:rsidRPr="00FA3D4B" w:rsidRDefault="00EA2BC6" w:rsidP="00EA2BC6">
      <w:pPr>
        <w:pStyle w:val="ListParagraph"/>
        <w:rPr>
          <w:rFonts w:ascii="Calibri" w:hAnsi="Calibri" w:cs="Calibri"/>
          <w:sz w:val="21"/>
          <w:szCs w:val="21"/>
          <w:highlight w:val="yellow"/>
        </w:rPr>
      </w:pPr>
    </w:p>
    <w:tbl>
      <w:tblPr>
        <w:tblStyle w:val="TableGrid"/>
        <w:tblW w:w="0" w:type="auto"/>
        <w:tblInd w:w="360" w:type="dxa"/>
        <w:tblLook w:val="04A0" w:firstRow="1" w:lastRow="0" w:firstColumn="1" w:lastColumn="0" w:noHBand="0" w:noVBand="1"/>
        <w:tblCaption w:val="Exhibit A-Number of Patients for various categories (e.g., race/ethnicity, gender) is provided for each LTCH and TBI/NRU.  Please provide the age breakdown for LTCH and TBI/NRU. (Exhibit A)"/>
        <w:tblDescription w:val=" 2018 2019 2020 Grand Total&#10;0 to 17 0        LTCH&#10;0        TBI/NRU 0           LTCH&#10;0          TBI/NRU 0        LTCH&#10;0        TBI/NRU 0           LTCH&#10;0           TBI/NRU&#10;18 to 64 105        LTCH&#10;6            TBI/NRU 121        LTCH&#10;8            TBI/NRU 159        LTCH&#10;8            TBI/NRU 385        LTCH&#10;22          TBI/NRU&#10;65+ 126        LTCH&#10;3             TBI/NRU 96          LTCH&#10;2            TBI/NRU 111      LTCH&#10;0           TBI/NRU 333        LTCH&#10;5            TBI/NRU&#10;"/>
      </w:tblPr>
      <w:tblGrid>
        <w:gridCol w:w="1792"/>
        <w:gridCol w:w="1798"/>
        <w:gridCol w:w="1798"/>
        <w:gridCol w:w="1798"/>
        <w:gridCol w:w="1804"/>
      </w:tblGrid>
      <w:tr w:rsidR="00107D4C" w14:paraId="59BCC5FA" w14:textId="77777777" w:rsidTr="00917DC5">
        <w:trPr>
          <w:tblHeader/>
        </w:trPr>
        <w:tc>
          <w:tcPr>
            <w:tcW w:w="1792" w:type="dxa"/>
            <w:shd w:val="clear" w:color="auto" w:fill="B4C6E7" w:themeFill="accent1" w:themeFillTint="66"/>
          </w:tcPr>
          <w:p w14:paraId="736262A3" w14:textId="77777777" w:rsidR="00107D4C" w:rsidRPr="00107D4C" w:rsidRDefault="00107D4C" w:rsidP="00EA2BC6">
            <w:pPr>
              <w:pStyle w:val="ListParagraph"/>
              <w:ind w:left="0"/>
              <w:rPr>
                <w:rFonts w:ascii="Calibri" w:hAnsi="Calibri" w:cs="Calibri"/>
                <w:sz w:val="21"/>
                <w:szCs w:val="21"/>
              </w:rPr>
            </w:pPr>
          </w:p>
        </w:tc>
        <w:tc>
          <w:tcPr>
            <w:tcW w:w="1798" w:type="dxa"/>
            <w:shd w:val="clear" w:color="auto" w:fill="B4C6E7" w:themeFill="accent1" w:themeFillTint="66"/>
          </w:tcPr>
          <w:p w14:paraId="206EFE6E" w14:textId="6AD7ABE6" w:rsidR="00107D4C" w:rsidRPr="00107D4C" w:rsidRDefault="00107D4C" w:rsidP="00EA2BC6">
            <w:pPr>
              <w:pStyle w:val="ListParagraph"/>
              <w:ind w:left="0"/>
              <w:rPr>
                <w:rFonts w:ascii="Calibri" w:hAnsi="Calibri" w:cs="Calibri"/>
                <w:sz w:val="21"/>
                <w:szCs w:val="21"/>
              </w:rPr>
            </w:pPr>
            <w:r w:rsidRPr="00107D4C">
              <w:rPr>
                <w:rFonts w:ascii="Calibri" w:hAnsi="Calibri" w:cs="Calibri"/>
                <w:sz w:val="21"/>
                <w:szCs w:val="21"/>
              </w:rPr>
              <w:t>2018</w:t>
            </w:r>
          </w:p>
        </w:tc>
        <w:tc>
          <w:tcPr>
            <w:tcW w:w="1798" w:type="dxa"/>
            <w:shd w:val="clear" w:color="auto" w:fill="B4C6E7" w:themeFill="accent1" w:themeFillTint="66"/>
          </w:tcPr>
          <w:p w14:paraId="5D237523" w14:textId="22AE2108" w:rsidR="00107D4C" w:rsidRPr="00107D4C" w:rsidRDefault="00107D4C" w:rsidP="00EA2BC6">
            <w:pPr>
              <w:pStyle w:val="ListParagraph"/>
              <w:ind w:left="0"/>
              <w:rPr>
                <w:rFonts w:ascii="Calibri" w:hAnsi="Calibri" w:cs="Calibri"/>
                <w:sz w:val="21"/>
                <w:szCs w:val="21"/>
              </w:rPr>
            </w:pPr>
            <w:r w:rsidRPr="00107D4C">
              <w:rPr>
                <w:rFonts w:ascii="Calibri" w:hAnsi="Calibri" w:cs="Calibri"/>
                <w:sz w:val="21"/>
                <w:szCs w:val="21"/>
              </w:rPr>
              <w:t>2019</w:t>
            </w:r>
          </w:p>
        </w:tc>
        <w:tc>
          <w:tcPr>
            <w:tcW w:w="1798" w:type="dxa"/>
            <w:shd w:val="clear" w:color="auto" w:fill="B4C6E7" w:themeFill="accent1" w:themeFillTint="66"/>
          </w:tcPr>
          <w:p w14:paraId="34519BE1" w14:textId="6EAC6EE9" w:rsidR="00107D4C" w:rsidRPr="00107D4C" w:rsidRDefault="00107D4C" w:rsidP="00EA2BC6">
            <w:pPr>
              <w:pStyle w:val="ListParagraph"/>
              <w:ind w:left="0"/>
              <w:rPr>
                <w:rFonts w:ascii="Calibri" w:hAnsi="Calibri" w:cs="Calibri"/>
                <w:sz w:val="21"/>
                <w:szCs w:val="21"/>
              </w:rPr>
            </w:pPr>
            <w:r w:rsidRPr="00107D4C">
              <w:rPr>
                <w:rFonts w:ascii="Calibri" w:hAnsi="Calibri" w:cs="Calibri"/>
                <w:sz w:val="21"/>
                <w:szCs w:val="21"/>
              </w:rPr>
              <w:t>2020</w:t>
            </w:r>
          </w:p>
        </w:tc>
        <w:tc>
          <w:tcPr>
            <w:tcW w:w="1804" w:type="dxa"/>
            <w:shd w:val="clear" w:color="auto" w:fill="B4C6E7" w:themeFill="accent1" w:themeFillTint="66"/>
          </w:tcPr>
          <w:p w14:paraId="39D5CA40" w14:textId="2C97A1E4" w:rsidR="00107D4C" w:rsidRPr="00107D4C" w:rsidRDefault="00107D4C" w:rsidP="00EA2BC6">
            <w:pPr>
              <w:pStyle w:val="ListParagraph"/>
              <w:ind w:left="0"/>
              <w:rPr>
                <w:rFonts w:ascii="Calibri" w:hAnsi="Calibri" w:cs="Calibri"/>
                <w:sz w:val="21"/>
                <w:szCs w:val="21"/>
              </w:rPr>
            </w:pPr>
            <w:r w:rsidRPr="00107D4C">
              <w:rPr>
                <w:rFonts w:ascii="Calibri" w:hAnsi="Calibri" w:cs="Calibri"/>
                <w:sz w:val="21"/>
                <w:szCs w:val="21"/>
              </w:rPr>
              <w:t>Grand Total</w:t>
            </w:r>
          </w:p>
        </w:tc>
      </w:tr>
      <w:tr w:rsidR="00107D4C" w14:paraId="322B52E1" w14:textId="77777777" w:rsidTr="00107D4C">
        <w:tc>
          <w:tcPr>
            <w:tcW w:w="1792" w:type="dxa"/>
          </w:tcPr>
          <w:p w14:paraId="5F0F7ED1" w14:textId="3F0FA982" w:rsidR="00107D4C" w:rsidRPr="00107D4C" w:rsidRDefault="00107D4C" w:rsidP="00107D4C">
            <w:pPr>
              <w:pStyle w:val="ListParagraph"/>
              <w:ind w:left="0"/>
              <w:rPr>
                <w:rFonts w:ascii="Calibri" w:hAnsi="Calibri" w:cs="Calibri"/>
                <w:sz w:val="21"/>
                <w:szCs w:val="21"/>
              </w:rPr>
            </w:pPr>
            <w:r w:rsidRPr="00107D4C">
              <w:rPr>
                <w:rFonts w:ascii="Calibri" w:hAnsi="Calibri" w:cs="Calibri"/>
                <w:sz w:val="21"/>
                <w:szCs w:val="21"/>
              </w:rPr>
              <w:t>0 to 17</w:t>
            </w:r>
          </w:p>
        </w:tc>
        <w:tc>
          <w:tcPr>
            <w:tcW w:w="1798" w:type="dxa"/>
          </w:tcPr>
          <w:p w14:paraId="1D9C4454" w14:textId="4C26186C" w:rsidR="00107D4C" w:rsidRPr="00107D4C" w:rsidRDefault="00107D4C" w:rsidP="00107D4C">
            <w:pPr>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Pr="00107D4C">
              <w:rPr>
                <w:rFonts w:ascii="Calibri" w:hAnsi="Calibri" w:cs="Calibri"/>
                <w:sz w:val="21"/>
                <w:szCs w:val="21"/>
              </w:rPr>
              <w:t>LTCH</w:t>
            </w:r>
          </w:p>
          <w:p w14:paraId="7080F2D0" w14:textId="4AA292F3" w:rsidR="00107D4C" w:rsidRPr="00107D4C" w:rsidRDefault="00107D4C" w:rsidP="00961708">
            <w:pPr>
              <w:pStyle w:val="ListParagraph"/>
              <w:ind w:left="0"/>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00961708">
              <w:rPr>
                <w:rFonts w:ascii="Calibri" w:hAnsi="Calibri" w:cs="Calibri"/>
                <w:sz w:val="21"/>
                <w:szCs w:val="21"/>
              </w:rPr>
              <w:t>TBI/</w:t>
            </w:r>
            <w:r w:rsidRPr="00107D4C">
              <w:rPr>
                <w:rFonts w:ascii="Calibri" w:hAnsi="Calibri" w:cs="Calibri"/>
                <w:sz w:val="21"/>
                <w:szCs w:val="21"/>
              </w:rPr>
              <w:t>NRU</w:t>
            </w:r>
          </w:p>
        </w:tc>
        <w:tc>
          <w:tcPr>
            <w:tcW w:w="1798" w:type="dxa"/>
          </w:tcPr>
          <w:p w14:paraId="1770B1DE" w14:textId="369DD1B8" w:rsidR="00107D4C" w:rsidRPr="00107D4C" w:rsidRDefault="00107D4C" w:rsidP="00107D4C">
            <w:pPr>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Pr="00107D4C">
              <w:rPr>
                <w:rFonts w:ascii="Calibri" w:hAnsi="Calibri" w:cs="Calibri"/>
                <w:sz w:val="21"/>
                <w:szCs w:val="21"/>
              </w:rPr>
              <w:t>LTCH</w:t>
            </w:r>
          </w:p>
          <w:p w14:paraId="1DEFFC11" w14:textId="54242558" w:rsidR="00107D4C" w:rsidRPr="00107D4C" w:rsidRDefault="00107D4C" w:rsidP="00961708">
            <w:pPr>
              <w:pStyle w:val="ListParagraph"/>
              <w:ind w:left="0"/>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00961708">
              <w:rPr>
                <w:rFonts w:ascii="Calibri" w:hAnsi="Calibri" w:cs="Calibri"/>
                <w:sz w:val="21"/>
                <w:szCs w:val="21"/>
              </w:rPr>
              <w:t>TBI/</w:t>
            </w:r>
            <w:r w:rsidRPr="00107D4C">
              <w:rPr>
                <w:rFonts w:ascii="Calibri" w:hAnsi="Calibri" w:cs="Calibri"/>
                <w:sz w:val="21"/>
                <w:szCs w:val="21"/>
              </w:rPr>
              <w:t>NRU</w:t>
            </w:r>
          </w:p>
        </w:tc>
        <w:tc>
          <w:tcPr>
            <w:tcW w:w="1798" w:type="dxa"/>
          </w:tcPr>
          <w:p w14:paraId="4D4423DF" w14:textId="137958C0" w:rsidR="00107D4C" w:rsidRPr="00107D4C" w:rsidRDefault="00107D4C" w:rsidP="00107D4C">
            <w:pPr>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Pr="00107D4C">
              <w:rPr>
                <w:rFonts w:ascii="Calibri" w:hAnsi="Calibri" w:cs="Calibri"/>
                <w:sz w:val="21"/>
                <w:szCs w:val="21"/>
              </w:rPr>
              <w:t>LTCH</w:t>
            </w:r>
          </w:p>
          <w:p w14:paraId="1AA5DE3D" w14:textId="60A6B889" w:rsidR="00107D4C" w:rsidRPr="00107D4C" w:rsidRDefault="00107D4C" w:rsidP="00107D4C">
            <w:pPr>
              <w:pStyle w:val="ListParagraph"/>
              <w:ind w:left="0"/>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c>
          <w:tcPr>
            <w:tcW w:w="1804" w:type="dxa"/>
          </w:tcPr>
          <w:p w14:paraId="08C7C646" w14:textId="2C11543E" w:rsidR="00107D4C" w:rsidRPr="00107D4C" w:rsidRDefault="00107D4C" w:rsidP="00107D4C">
            <w:pPr>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Pr="00107D4C">
              <w:rPr>
                <w:rFonts w:ascii="Calibri" w:hAnsi="Calibri" w:cs="Calibri"/>
                <w:sz w:val="21"/>
                <w:szCs w:val="21"/>
              </w:rPr>
              <w:t>LTCH</w:t>
            </w:r>
          </w:p>
          <w:p w14:paraId="684B7744" w14:textId="4BC26BF8" w:rsidR="00107D4C" w:rsidRPr="00107D4C" w:rsidRDefault="00107D4C" w:rsidP="00107D4C">
            <w:pPr>
              <w:pStyle w:val="ListParagraph"/>
              <w:ind w:left="0"/>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r>
      <w:tr w:rsidR="00107D4C" w14:paraId="10BF3219" w14:textId="77777777" w:rsidTr="00107D4C">
        <w:tc>
          <w:tcPr>
            <w:tcW w:w="1792" w:type="dxa"/>
          </w:tcPr>
          <w:p w14:paraId="43176026" w14:textId="2D031D7F" w:rsidR="00107D4C" w:rsidRPr="00107D4C" w:rsidRDefault="00107D4C" w:rsidP="00EA2BC6">
            <w:pPr>
              <w:pStyle w:val="ListParagraph"/>
              <w:ind w:left="0"/>
              <w:rPr>
                <w:rFonts w:ascii="Calibri" w:hAnsi="Calibri" w:cs="Calibri"/>
                <w:sz w:val="21"/>
                <w:szCs w:val="21"/>
              </w:rPr>
            </w:pPr>
            <w:r w:rsidRPr="00107D4C">
              <w:rPr>
                <w:rFonts w:ascii="Calibri" w:hAnsi="Calibri" w:cs="Calibri"/>
                <w:sz w:val="21"/>
                <w:szCs w:val="21"/>
              </w:rPr>
              <w:t>18 to 64</w:t>
            </w:r>
          </w:p>
        </w:tc>
        <w:tc>
          <w:tcPr>
            <w:tcW w:w="1798" w:type="dxa"/>
          </w:tcPr>
          <w:p w14:paraId="7EA508E2" w14:textId="5777D3E9" w:rsidR="00107D4C" w:rsidRPr="00107D4C" w:rsidRDefault="00107D4C" w:rsidP="00107D4C">
            <w:pPr>
              <w:rPr>
                <w:rFonts w:ascii="Calibri" w:hAnsi="Calibri" w:cs="Calibri"/>
                <w:sz w:val="21"/>
                <w:szCs w:val="21"/>
              </w:rPr>
            </w:pPr>
            <w:r>
              <w:rPr>
                <w:rFonts w:ascii="Calibri" w:hAnsi="Calibri" w:cs="Calibri"/>
                <w:sz w:val="21"/>
                <w:szCs w:val="21"/>
              </w:rPr>
              <w:t>105</w:t>
            </w:r>
            <w:r w:rsidR="00627025">
              <w:rPr>
                <w:rFonts w:ascii="Calibri" w:hAnsi="Calibri" w:cs="Calibri"/>
                <w:sz w:val="21"/>
                <w:szCs w:val="21"/>
              </w:rPr>
              <w:t xml:space="preserve"> </w:t>
            </w:r>
            <w:r w:rsidRPr="00107D4C">
              <w:rPr>
                <w:rFonts w:ascii="Calibri" w:hAnsi="Calibri" w:cs="Calibri"/>
                <w:sz w:val="21"/>
                <w:szCs w:val="21"/>
              </w:rPr>
              <w:t>LTCH</w:t>
            </w:r>
          </w:p>
          <w:p w14:paraId="72D0668C" w14:textId="2EF87958" w:rsidR="00107D4C" w:rsidRPr="00107D4C" w:rsidRDefault="00107D4C" w:rsidP="00107D4C">
            <w:pPr>
              <w:pStyle w:val="ListParagraph"/>
              <w:ind w:left="0"/>
              <w:rPr>
                <w:rFonts w:ascii="Calibri" w:hAnsi="Calibri" w:cs="Calibri"/>
                <w:sz w:val="21"/>
                <w:szCs w:val="21"/>
              </w:rPr>
            </w:pPr>
            <w:r>
              <w:rPr>
                <w:rFonts w:ascii="Calibri" w:hAnsi="Calibri" w:cs="Calibri"/>
                <w:sz w:val="21"/>
                <w:szCs w:val="21"/>
              </w:rPr>
              <w:t>6</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c>
          <w:tcPr>
            <w:tcW w:w="1798" w:type="dxa"/>
          </w:tcPr>
          <w:p w14:paraId="2D0781AC" w14:textId="7922E973" w:rsidR="00107D4C" w:rsidRPr="00107D4C" w:rsidRDefault="00107D4C" w:rsidP="00107D4C">
            <w:pPr>
              <w:rPr>
                <w:rFonts w:ascii="Calibri" w:hAnsi="Calibri" w:cs="Calibri"/>
                <w:sz w:val="21"/>
                <w:szCs w:val="21"/>
              </w:rPr>
            </w:pPr>
            <w:r>
              <w:rPr>
                <w:rFonts w:ascii="Calibri" w:hAnsi="Calibri" w:cs="Calibri"/>
                <w:sz w:val="21"/>
                <w:szCs w:val="21"/>
              </w:rPr>
              <w:t>121</w:t>
            </w:r>
            <w:r w:rsidR="00627025">
              <w:rPr>
                <w:rFonts w:ascii="Calibri" w:hAnsi="Calibri" w:cs="Calibri"/>
                <w:sz w:val="21"/>
                <w:szCs w:val="21"/>
              </w:rPr>
              <w:t xml:space="preserve"> </w:t>
            </w:r>
            <w:r w:rsidRPr="00107D4C">
              <w:rPr>
                <w:rFonts w:ascii="Calibri" w:hAnsi="Calibri" w:cs="Calibri"/>
                <w:sz w:val="21"/>
                <w:szCs w:val="21"/>
              </w:rPr>
              <w:t>LTCH</w:t>
            </w:r>
          </w:p>
          <w:p w14:paraId="3FFAF368" w14:textId="736C60D7" w:rsidR="00107D4C" w:rsidRPr="00107D4C" w:rsidRDefault="00107D4C" w:rsidP="00107D4C">
            <w:pPr>
              <w:pStyle w:val="ListParagraph"/>
              <w:ind w:left="0"/>
              <w:rPr>
                <w:rFonts w:ascii="Calibri" w:hAnsi="Calibri" w:cs="Calibri"/>
                <w:sz w:val="21"/>
                <w:szCs w:val="21"/>
              </w:rPr>
            </w:pPr>
            <w:r>
              <w:rPr>
                <w:rFonts w:ascii="Calibri" w:hAnsi="Calibri" w:cs="Calibri"/>
                <w:sz w:val="21"/>
                <w:szCs w:val="21"/>
              </w:rPr>
              <w:t>8</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c>
          <w:tcPr>
            <w:tcW w:w="1798" w:type="dxa"/>
          </w:tcPr>
          <w:p w14:paraId="56BDD970" w14:textId="64879070" w:rsidR="00107D4C" w:rsidRPr="00107D4C" w:rsidRDefault="00107D4C" w:rsidP="00107D4C">
            <w:pPr>
              <w:rPr>
                <w:rFonts w:ascii="Calibri" w:hAnsi="Calibri" w:cs="Calibri"/>
                <w:sz w:val="21"/>
                <w:szCs w:val="21"/>
              </w:rPr>
            </w:pPr>
            <w:r>
              <w:rPr>
                <w:rFonts w:ascii="Calibri" w:hAnsi="Calibri" w:cs="Calibri"/>
                <w:sz w:val="21"/>
                <w:szCs w:val="21"/>
              </w:rPr>
              <w:t>159</w:t>
            </w:r>
            <w:r w:rsidR="00627025">
              <w:rPr>
                <w:rFonts w:ascii="Calibri" w:hAnsi="Calibri" w:cs="Calibri"/>
                <w:sz w:val="21"/>
                <w:szCs w:val="21"/>
              </w:rPr>
              <w:t xml:space="preserve"> </w:t>
            </w:r>
            <w:r w:rsidRPr="00107D4C">
              <w:rPr>
                <w:rFonts w:ascii="Calibri" w:hAnsi="Calibri" w:cs="Calibri"/>
                <w:sz w:val="21"/>
                <w:szCs w:val="21"/>
              </w:rPr>
              <w:t>LTCH</w:t>
            </w:r>
          </w:p>
          <w:p w14:paraId="1958C203" w14:textId="74D30762" w:rsidR="00107D4C" w:rsidRPr="00107D4C" w:rsidRDefault="00107D4C" w:rsidP="00107D4C">
            <w:pPr>
              <w:pStyle w:val="ListParagraph"/>
              <w:ind w:left="0"/>
              <w:rPr>
                <w:rFonts w:ascii="Calibri" w:hAnsi="Calibri" w:cs="Calibri"/>
                <w:sz w:val="21"/>
                <w:szCs w:val="21"/>
              </w:rPr>
            </w:pPr>
            <w:r>
              <w:rPr>
                <w:rFonts w:ascii="Calibri" w:hAnsi="Calibri" w:cs="Calibri"/>
                <w:sz w:val="21"/>
                <w:szCs w:val="21"/>
              </w:rPr>
              <w:t>8</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c>
          <w:tcPr>
            <w:tcW w:w="1804" w:type="dxa"/>
          </w:tcPr>
          <w:p w14:paraId="77AD666A" w14:textId="48B4D684" w:rsidR="00107D4C" w:rsidRPr="00107D4C" w:rsidRDefault="00107D4C" w:rsidP="00107D4C">
            <w:pPr>
              <w:rPr>
                <w:rFonts w:ascii="Calibri" w:hAnsi="Calibri" w:cs="Calibri"/>
                <w:sz w:val="21"/>
                <w:szCs w:val="21"/>
              </w:rPr>
            </w:pPr>
            <w:r>
              <w:rPr>
                <w:rFonts w:ascii="Calibri" w:hAnsi="Calibri" w:cs="Calibri"/>
                <w:sz w:val="21"/>
                <w:szCs w:val="21"/>
              </w:rPr>
              <w:t>385</w:t>
            </w:r>
            <w:r w:rsidR="00627025">
              <w:rPr>
                <w:rFonts w:ascii="Calibri" w:hAnsi="Calibri" w:cs="Calibri"/>
                <w:sz w:val="21"/>
                <w:szCs w:val="21"/>
              </w:rPr>
              <w:t xml:space="preserve"> </w:t>
            </w:r>
            <w:r w:rsidRPr="00107D4C">
              <w:rPr>
                <w:rFonts w:ascii="Calibri" w:hAnsi="Calibri" w:cs="Calibri"/>
                <w:sz w:val="21"/>
                <w:szCs w:val="21"/>
              </w:rPr>
              <w:t>LTCH</w:t>
            </w:r>
          </w:p>
          <w:p w14:paraId="7D17AFC6" w14:textId="16D08494" w:rsidR="00107D4C" w:rsidRPr="00107D4C" w:rsidRDefault="00107D4C" w:rsidP="00107D4C">
            <w:pPr>
              <w:pStyle w:val="ListParagraph"/>
              <w:ind w:left="0"/>
              <w:rPr>
                <w:rFonts w:ascii="Calibri" w:hAnsi="Calibri" w:cs="Calibri"/>
                <w:sz w:val="21"/>
                <w:szCs w:val="21"/>
              </w:rPr>
            </w:pPr>
            <w:r>
              <w:rPr>
                <w:rFonts w:ascii="Calibri" w:hAnsi="Calibri" w:cs="Calibri"/>
                <w:sz w:val="21"/>
                <w:szCs w:val="21"/>
              </w:rPr>
              <w:t>22</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r>
      <w:tr w:rsidR="00107D4C" w14:paraId="2507E47D" w14:textId="77777777" w:rsidTr="00107D4C">
        <w:tc>
          <w:tcPr>
            <w:tcW w:w="1792" w:type="dxa"/>
          </w:tcPr>
          <w:p w14:paraId="11F1A39B" w14:textId="45176B4D" w:rsidR="00107D4C" w:rsidRPr="00107D4C" w:rsidRDefault="00107D4C" w:rsidP="00EA2BC6">
            <w:pPr>
              <w:pStyle w:val="ListParagraph"/>
              <w:ind w:left="0"/>
              <w:rPr>
                <w:rFonts w:ascii="Calibri" w:hAnsi="Calibri" w:cs="Calibri"/>
                <w:sz w:val="21"/>
                <w:szCs w:val="21"/>
              </w:rPr>
            </w:pPr>
            <w:r w:rsidRPr="00107D4C">
              <w:rPr>
                <w:rFonts w:ascii="Calibri" w:hAnsi="Calibri" w:cs="Calibri"/>
                <w:sz w:val="21"/>
                <w:szCs w:val="21"/>
              </w:rPr>
              <w:t>65+</w:t>
            </w:r>
          </w:p>
        </w:tc>
        <w:tc>
          <w:tcPr>
            <w:tcW w:w="1798" w:type="dxa"/>
          </w:tcPr>
          <w:p w14:paraId="51B9BDE7" w14:textId="1C6FFAE5" w:rsidR="00107D4C" w:rsidRPr="00107D4C" w:rsidRDefault="00107D4C" w:rsidP="00107D4C">
            <w:pPr>
              <w:rPr>
                <w:rFonts w:ascii="Calibri" w:hAnsi="Calibri" w:cs="Calibri"/>
                <w:sz w:val="21"/>
                <w:szCs w:val="21"/>
              </w:rPr>
            </w:pPr>
            <w:r>
              <w:rPr>
                <w:rFonts w:ascii="Calibri" w:hAnsi="Calibri" w:cs="Calibri"/>
                <w:sz w:val="21"/>
                <w:szCs w:val="21"/>
              </w:rPr>
              <w:t>126</w:t>
            </w:r>
            <w:r w:rsidR="00627025">
              <w:rPr>
                <w:rFonts w:ascii="Calibri" w:hAnsi="Calibri" w:cs="Calibri"/>
                <w:sz w:val="21"/>
                <w:szCs w:val="21"/>
              </w:rPr>
              <w:t xml:space="preserve"> </w:t>
            </w:r>
            <w:r w:rsidRPr="00107D4C">
              <w:rPr>
                <w:rFonts w:ascii="Calibri" w:hAnsi="Calibri" w:cs="Calibri"/>
                <w:sz w:val="21"/>
                <w:szCs w:val="21"/>
              </w:rPr>
              <w:t>LTCH</w:t>
            </w:r>
          </w:p>
          <w:p w14:paraId="7E1E1F76" w14:textId="0E619CDE" w:rsidR="00107D4C" w:rsidRPr="00107D4C" w:rsidRDefault="00107D4C" w:rsidP="00107D4C">
            <w:pPr>
              <w:pStyle w:val="ListParagraph"/>
              <w:ind w:left="0"/>
              <w:rPr>
                <w:rFonts w:ascii="Calibri" w:hAnsi="Calibri" w:cs="Calibri"/>
                <w:sz w:val="21"/>
                <w:szCs w:val="21"/>
              </w:rPr>
            </w:pPr>
            <w:r>
              <w:rPr>
                <w:rFonts w:ascii="Calibri" w:hAnsi="Calibri" w:cs="Calibri"/>
                <w:sz w:val="21"/>
                <w:szCs w:val="21"/>
              </w:rPr>
              <w:t>3</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c>
          <w:tcPr>
            <w:tcW w:w="1798" w:type="dxa"/>
          </w:tcPr>
          <w:p w14:paraId="577E8C7B" w14:textId="78A1D846" w:rsidR="00107D4C" w:rsidRPr="00107D4C" w:rsidRDefault="00107D4C" w:rsidP="00107D4C">
            <w:pPr>
              <w:rPr>
                <w:rFonts w:ascii="Calibri" w:hAnsi="Calibri" w:cs="Calibri"/>
                <w:sz w:val="21"/>
                <w:szCs w:val="21"/>
              </w:rPr>
            </w:pPr>
            <w:r>
              <w:rPr>
                <w:rFonts w:ascii="Calibri" w:hAnsi="Calibri" w:cs="Calibri"/>
                <w:sz w:val="21"/>
                <w:szCs w:val="21"/>
              </w:rPr>
              <w:t>96</w:t>
            </w:r>
            <w:r w:rsidR="00627025">
              <w:rPr>
                <w:rFonts w:ascii="Calibri" w:hAnsi="Calibri" w:cs="Calibri"/>
                <w:sz w:val="21"/>
                <w:szCs w:val="21"/>
              </w:rPr>
              <w:t xml:space="preserve"> </w:t>
            </w:r>
            <w:r w:rsidRPr="00107D4C">
              <w:rPr>
                <w:rFonts w:ascii="Calibri" w:hAnsi="Calibri" w:cs="Calibri"/>
                <w:sz w:val="21"/>
                <w:szCs w:val="21"/>
              </w:rPr>
              <w:t>LTCH</w:t>
            </w:r>
          </w:p>
          <w:p w14:paraId="64A9EDDF" w14:textId="46C4EB92" w:rsidR="00107D4C" w:rsidRPr="00107D4C" w:rsidRDefault="00107D4C" w:rsidP="00107D4C">
            <w:pPr>
              <w:pStyle w:val="ListParagraph"/>
              <w:ind w:left="0"/>
              <w:rPr>
                <w:rFonts w:ascii="Calibri" w:hAnsi="Calibri" w:cs="Calibri"/>
                <w:sz w:val="21"/>
                <w:szCs w:val="21"/>
              </w:rPr>
            </w:pPr>
            <w:r>
              <w:rPr>
                <w:rFonts w:ascii="Calibri" w:hAnsi="Calibri" w:cs="Calibri"/>
                <w:sz w:val="21"/>
                <w:szCs w:val="21"/>
              </w:rPr>
              <w:t>2</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c>
          <w:tcPr>
            <w:tcW w:w="1798" w:type="dxa"/>
          </w:tcPr>
          <w:p w14:paraId="2FCBC47F" w14:textId="555C153C" w:rsidR="00107D4C" w:rsidRPr="00107D4C" w:rsidRDefault="00107D4C" w:rsidP="00107D4C">
            <w:pPr>
              <w:rPr>
                <w:rFonts w:ascii="Calibri" w:hAnsi="Calibri" w:cs="Calibri"/>
                <w:sz w:val="21"/>
                <w:szCs w:val="21"/>
              </w:rPr>
            </w:pPr>
            <w:r>
              <w:rPr>
                <w:rFonts w:ascii="Calibri" w:hAnsi="Calibri" w:cs="Calibri"/>
                <w:sz w:val="21"/>
                <w:szCs w:val="21"/>
              </w:rPr>
              <w:t>111</w:t>
            </w:r>
            <w:r w:rsidR="00627025">
              <w:rPr>
                <w:rFonts w:ascii="Calibri" w:hAnsi="Calibri" w:cs="Calibri"/>
                <w:sz w:val="21"/>
                <w:szCs w:val="21"/>
              </w:rPr>
              <w:t xml:space="preserve"> </w:t>
            </w:r>
            <w:r w:rsidRPr="00107D4C">
              <w:rPr>
                <w:rFonts w:ascii="Calibri" w:hAnsi="Calibri" w:cs="Calibri"/>
                <w:sz w:val="21"/>
                <w:szCs w:val="21"/>
              </w:rPr>
              <w:t>LTCH</w:t>
            </w:r>
          </w:p>
          <w:p w14:paraId="66177587" w14:textId="76FE8809" w:rsidR="00107D4C" w:rsidRPr="00107D4C" w:rsidRDefault="00107D4C" w:rsidP="00107D4C">
            <w:pPr>
              <w:pStyle w:val="ListParagraph"/>
              <w:ind w:left="0"/>
              <w:rPr>
                <w:rFonts w:ascii="Calibri" w:hAnsi="Calibri" w:cs="Calibri"/>
                <w:sz w:val="21"/>
                <w:szCs w:val="21"/>
              </w:rPr>
            </w:pPr>
            <w:r w:rsidRPr="00107D4C">
              <w:rPr>
                <w:rFonts w:ascii="Calibri" w:hAnsi="Calibri" w:cs="Calibri"/>
                <w:sz w:val="21"/>
                <w:szCs w:val="21"/>
              </w:rPr>
              <w:t>0</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c>
          <w:tcPr>
            <w:tcW w:w="1804" w:type="dxa"/>
          </w:tcPr>
          <w:p w14:paraId="62E9947C" w14:textId="11989F4D" w:rsidR="00107D4C" w:rsidRPr="00107D4C" w:rsidRDefault="00107D4C" w:rsidP="00107D4C">
            <w:pPr>
              <w:rPr>
                <w:rFonts w:ascii="Calibri" w:hAnsi="Calibri" w:cs="Calibri"/>
                <w:sz w:val="21"/>
                <w:szCs w:val="21"/>
              </w:rPr>
            </w:pPr>
            <w:r>
              <w:rPr>
                <w:rFonts w:ascii="Calibri" w:hAnsi="Calibri" w:cs="Calibri"/>
                <w:sz w:val="21"/>
                <w:szCs w:val="21"/>
              </w:rPr>
              <w:t>333</w:t>
            </w:r>
            <w:r w:rsidR="00627025">
              <w:rPr>
                <w:rFonts w:ascii="Calibri" w:hAnsi="Calibri" w:cs="Calibri"/>
                <w:sz w:val="21"/>
                <w:szCs w:val="21"/>
              </w:rPr>
              <w:t xml:space="preserve"> </w:t>
            </w:r>
            <w:r w:rsidRPr="00107D4C">
              <w:rPr>
                <w:rFonts w:ascii="Calibri" w:hAnsi="Calibri" w:cs="Calibri"/>
                <w:sz w:val="21"/>
                <w:szCs w:val="21"/>
              </w:rPr>
              <w:t>LTCH</w:t>
            </w:r>
          </w:p>
          <w:p w14:paraId="2D049D00" w14:textId="608F6D8B" w:rsidR="00107D4C" w:rsidRPr="00107D4C" w:rsidRDefault="00107D4C" w:rsidP="00107D4C">
            <w:pPr>
              <w:pStyle w:val="ListParagraph"/>
              <w:ind w:left="0"/>
              <w:rPr>
                <w:rFonts w:ascii="Calibri" w:hAnsi="Calibri" w:cs="Calibri"/>
                <w:sz w:val="21"/>
                <w:szCs w:val="21"/>
              </w:rPr>
            </w:pPr>
            <w:r>
              <w:rPr>
                <w:rFonts w:ascii="Calibri" w:hAnsi="Calibri" w:cs="Calibri"/>
                <w:sz w:val="21"/>
                <w:szCs w:val="21"/>
              </w:rPr>
              <w:t>5</w:t>
            </w:r>
            <w:r w:rsidR="00627025">
              <w:rPr>
                <w:rFonts w:ascii="Calibri" w:hAnsi="Calibri" w:cs="Calibri"/>
                <w:sz w:val="21"/>
                <w:szCs w:val="21"/>
              </w:rPr>
              <w:t xml:space="preserve"> </w:t>
            </w:r>
            <w:r w:rsidR="00961708">
              <w:rPr>
                <w:rFonts w:ascii="Calibri" w:hAnsi="Calibri" w:cs="Calibri"/>
                <w:sz w:val="21"/>
                <w:szCs w:val="21"/>
              </w:rPr>
              <w:t>TBI/</w:t>
            </w:r>
            <w:r w:rsidR="00961708" w:rsidRPr="00107D4C">
              <w:rPr>
                <w:rFonts w:ascii="Calibri" w:hAnsi="Calibri" w:cs="Calibri"/>
                <w:sz w:val="21"/>
                <w:szCs w:val="21"/>
              </w:rPr>
              <w:t>NRU</w:t>
            </w:r>
          </w:p>
        </w:tc>
      </w:tr>
    </w:tbl>
    <w:p w14:paraId="2C77BE14" w14:textId="08C3DAEA" w:rsidR="00107D4C" w:rsidRDefault="00107D4C" w:rsidP="00EA2BC6">
      <w:pPr>
        <w:pStyle w:val="ListParagraph"/>
        <w:ind w:left="360"/>
        <w:rPr>
          <w:rFonts w:ascii="Calibri" w:hAnsi="Calibri" w:cs="Calibri"/>
          <w:sz w:val="21"/>
          <w:szCs w:val="21"/>
          <w:highlight w:val="yellow"/>
        </w:rPr>
      </w:pPr>
    </w:p>
    <w:p w14:paraId="5CB1E7B9" w14:textId="77777777" w:rsidR="00107D4C" w:rsidRPr="00C6433B" w:rsidRDefault="00107D4C" w:rsidP="00EA2BC6">
      <w:pPr>
        <w:pStyle w:val="ListParagraph"/>
        <w:ind w:left="360"/>
        <w:rPr>
          <w:rFonts w:ascii="Calibri" w:hAnsi="Calibri" w:cs="Calibri"/>
          <w:sz w:val="21"/>
          <w:szCs w:val="21"/>
        </w:rPr>
      </w:pPr>
    </w:p>
    <w:p w14:paraId="74EFFCDD" w14:textId="77777777" w:rsidR="00EA2BC6" w:rsidRPr="00C6433B" w:rsidRDefault="00EA2BC6" w:rsidP="00EA2BC6">
      <w:pPr>
        <w:pStyle w:val="ListParagraph"/>
        <w:numPr>
          <w:ilvl w:val="0"/>
          <w:numId w:val="2"/>
        </w:numPr>
        <w:spacing w:after="0"/>
        <w:ind w:left="360"/>
        <w:rPr>
          <w:rFonts w:ascii="Calibri" w:hAnsi="Calibri" w:cs="Calibri"/>
          <w:sz w:val="21"/>
          <w:szCs w:val="21"/>
        </w:rPr>
      </w:pPr>
      <w:r w:rsidRPr="00C6433B">
        <w:rPr>
          <w:rFonts w:ascii="Calibri" w:hAnsi="Calibri" w:cs="Calibri"/>
          <w:sz w:val="21"/>
          <w:szCs w:val="21"/>
        </w:rPr>
        <w:t>What is captured under the “Other” category for Payer Mix? (Exhibit A)</w:t>
      </w:r>
    </w:p>
    <w:p w14:paraId="35C49C2D" w14:textId="77777777" w:rsidR="00EA2BC6" w:rsidRDefault="00EA2BC6" w:rsidP="00EA2BC6">
      <w:pPr>
        <w:rPr>
          <w:rFonts w:ascii="Calibri" w:hAnsi="Calibri" w:cs="Calibri"/>
          <w:sz w:val="21"/>
          <w:szCs w:val="21"/>
        </w:rPr>
      </w:pPr>
    </w:p>
    <w:p w14:paraId="52A847C8" w14:textId="20B2B4A4" w:rsidR="00EA2BC6" w:rsidRPr="00C6433B" w:rsidRDefault="00EA2BC6" w:rsidP="00EA2BC6">
      <w:pPr>
        <w:ind w:left="360"/>
        <w:rPr>
          <w:rFonts w:ascii="Calibri" w:hAnsi="Calibri" w:cs="Calibri"/>
          <w:b/>
          <w:i/>
          <w:sz w:val="21"/>
          <w:szCs w:val="21"/>
        </w:rPr>
      </w:pPr>
      <w:r w:rsidRPr="00C6433B">
        <w:rPr>
          <w:rFonts w:ascii="Calibri" w:hAnsi="Calibri" w:cs="Calibri"/>
          <w:b/>
          <w:i/>
          <w:sz w:val="21"/>
          <w:szCs w:val="21"/>
        </w:rPr>
        <w:t xml:space="preserve">This </w:t>
      </w:r>
      <w:r w:rsidR="000B6E2E">
        <w:rPr>
          <w:rFonts w:ascii="Calibri" w:hAnsi="Calibri" w:cs="Calibri"/>
          <w:b/>
          <w:i/>
          <w:sz w:val="21"/>
          <w:szCs w:val="21"/>
        </w:rPr>
        <w:t xml:space="preserve">includes </w:t>
      </w:r>
      <w:r w:rsidR="00C6433B" w:rsidRPr="00C6433B">
        <w:rPr>
          <w:rFonts w:ascii="Calibri" w:hAnsi="Calibri" w:cs="Calibri"/>
          <w:b/>
          <w:i/>
          <w:sz w:val="21"/>
          <w:szCs w:val="21"/>
        </w:rPr>
        <w:t xml:space="preserve">workers’ compensation, </w:t>
      </w:r>
      <w:r w:rsidR="000B6E2E">
        <w:rPr>
          <w:rFonts w:ascii="Calibri" w:hAnsi="Calibri" w:cs="Calibri"/>
          <w:b/>
          <w:i/>
          <w:sz w:val="21"/>
          <w:szCs w:val="21"/>
        </w:rPr>
        <w:t xml:space="preserve">VA, </w:t>
      </w:r>
      <w:r w:rsidR="00C6433B" w:rsidRPr="00C6433B">
        <w:rPr>
          <w:rFonts w:ascii="Calibri" w:hAnsi="Calibri" w:cs="Calibri"/>
          <w:b/>
          <w:i/>
          <w:sz w:val="21"/>
          <w:szCs w:val="21"/>
        </w:rPr>
        <w:t>self</w:t>
      </w:r>
      <w:r w:rsidRPr="00C6433B">
        <w:rPr>
          <w:rFonts w:ascii="Calibri" w:hAnsi="Calibri" w:cs="Calibri"/>
          <w:b/>
          <w:i/>
          <w:sz w:val="21"/>
          <w:szCs w:val="21"/>
        </w:rPr>
        <w:t>-insureds</w:t>
      </w:r>
      <w:r w:rsidR="00C6433B" w:rsidRPr="00C6433B">
        <w:rPr>
          <w:rFonts w:ascii="Calibri" w:hAnsi="Calibri" w:cs="Calibri"/>
          <w:b/>
          <w:i/>
          <w:sz w:val="21"/>
          <w:szCs w:val="21"/>
        </w:rPr>
        <w:t>, or private pay</w:t>
      </w:r>
      <w:r w:rsidRPr="00C6433B">
        <w:rPr>
          <w:rFonts w:ascii="Calibri" w:hAnsi="Calibri" w:cs="Calibri"/>
          <w:b/>
          <w:i/>
          <w:sz w:val="21"/>
          <w:szCs w:val="21"/>
        </w:rPr>
        <w:t>.</w:t>
      </w:r>
    </w:p>
    <w:p w14:paraId="1CD6B0E7" w14:textId="77777777" w:rsidR="00EA2BC6" w:rsidRPr="00BB2B63" w:rsidRDefault="00EA2BC6" w:rsidP="00EA2BC6">
      <w:pPr>
        <w:rPr>
          <w:rFonts w:ascii="Calibri" w:hAnsi="Calibri" w:cs="Calibri"/>
          <w:sz w:val="22"/>
          <w:szCs w:val="22"/>
        </w:rPr>
      </w:pPr>
    </w:p>
    <w:p w14:paraId="734D614F" w14:textId="77777777" w:rsidR="00EA2BC6" w:rsidRDefault="00EA2BC6" w:rsidP="00EA2BC6">
      <w:pPr>
        <w:pStyle w:val="ListParagraph"/>
        <w:numPr>
          <w:ilvl w:val="0"/>
          <w:numId w:val="2"/>
        </w:numPr>
        <w:spacing w:after="0"/>
        <w:ind w:left="360"/>
        <w:rPr>
          <w:rFonts w:ascii="Calibri" w:hAnsi="Calibri" w:cs="Calibri"/>
          <w:sz w:val="21"/>
          <w:szCs w:val="21"/>
        </w:rPr>
      </w:pPr>
      <w:r w:rsidRPr="00BB2B63">
        <w:rPr>
          <w:rFonts w:ascii="Calibri" w:hAnsi="Calibri" w:cs="Calibri"/>
          <w:sz w:val="21"/>
          <w:szCs w:val="21"/>
        </w:rPr>
        <w:t>Exhibit B lists the top 5 diagnoses for the Hospital (“</w:t>
      </w:r>
      <w:proofErr w:type="spellStart"/>
      <w:r w:rsidRPr="00BB2B63">
        <w:rPr>
          <w:rFonts w:ascii="Calibri" w:hAnsi="Calibri" w:cs="Calibri"/>
          <w:sz w:val="21"/>
          <w:szCs w:val="21"/>
        </w:rPr>
        <w:t>Curahealth</w:t>
      </w:r>
      <w:proofErr w:type="spellEnd"/>
      <w:r w:rsidRPr="00BB2B63">
        <w:rPr>
          <w:rFonts w:ascii="Calibri" w:hAnsi="Calibri" w:cs="Calibri"/>
          <w:sz w:val="21"/>
          <w:szCs w:val="21"/>
        </w:rPr>
        <w:t xml:space="preserve">”); are these conditions </w:t>
      </w:r>
      <w:r>
        <w:rPr>
          <w:rFonts w:ascii="Calibri" w:hAnsi="Calibri" w:cs="Calibri"/>
          <w:sz w:val="21"/>
          <w:szCs w:val="21"/>
        </w:rPr>
        <w:t xml:space="preserve">generally </w:t>
      </w:r>
      <w:r w:rsidRPr="00BB2B63">
        <w:rPr>
          <w:rFonts w:ascii="Calibri" w:hAnsi="Calibri" w:cs="Calibri"/>
          <w:sz w:val="21"/>
          <w:szCs w:val="21"/>
        </w:rPr>
        <w:t xml:space="preserve">associated with </w:t>
      </w:r>
      <w:r>
        <w:rPr>
          <w:rFonts w:ascii="Calibri" w:hAnsi="Calibri" w:cs="Calibri"/>
          <w:sz w:val="21"/>
          <w:szCs w:val="21"/>
        </w:rPr>
        <w:t xml:space="preserve">patients who require </w:t>
      </w:r>
      <w:r w:rsidRPr="00BB2B63">
        <w:rPr>
          <w:rFonts w:ascii="Calibri" w:hAnsi="Calibri" w:cs="Calibri"/>
          <w:sz w:val="21"/>
          <w:szCs w:val="21"/>
        </w:rPr>
        <w:t>extended hospital stays?</w:t>
      </w:r>
    </w:p>
    <w:p w14:paraId="7A9B1A44" w14:textId="77777777" w:rsidR="00EA2BC6" w:rsidRPr="001817D9" w:rsidRDefault="00EA2BC6" w:rsidP="00EA2BC6">
      <w:pPr>
        <w:pStyle w:val="ListParagraph"/>
        <w:rPr>
          <w:rFonts w:ascii="Calibri" w:hAnsi="Calibri" w:cs="Calibri"/>
          <w:sz w:val="21"/>
          <w:szCs w:val="21"/>
        </w:rPr>
      </w:pPr>
    </w:p>
    <w:p w14:paraId="2B4BAB99" w14:textId="77777777" w:rsidR="00EA2BC6" w:rsidRPr="00C05226" w:rsidRDefault="00EA2BC6" w:rsidP="00EA2BC6">
      <w:pPr>
        <w:pStyle w:val="ListParagraph"/>
        <w:spacing w:after="0"/>
        <w:ind w:left="360"/>
        <w:jc w:val="both"/>
        <w:rPr>
          <w:rFonts w:ascii="Calibri" w:hAnsi="Calibri" w:cs="Calibri"/>
          <w:b/>
          <w:bCs/>
          <w:i/>
          <w:iCs/>
          <w:sz w:val="21"/>
          <w:szCs w:val="21"/>
        </w:rPr>
      </w:pPr>
      <w:proofErr w:type="spellStart"/>
      <w:r>
        <w:rPr>
          <w:rFonts w:ascii="Calibri" w:hAnsi="Calibri" w:cs="Calibri"/>
          <w:b/>
          <w:bCs/>
          <w:i/>
          <w:iCs/>
          <w:sz w:val="21"/>
          <w:szCs w:val="21"/>
        </w:rPr>
        <w:t>Curahelath’s</w:t>
      </w:r>
      <w:proofErr w:type="spellEnd"/>
      <w:r w:rsidRPr="00C05226">
        <w:rPr>
          <w:rFonts w:ascii="Calibri" w:hAnsi="Calibri" w:cs="Calibri"/>
          <w:b/>
          <w:bCs/>
          <w:i/>
          <w:iCs/>
          <w:sz w:val="21"/>
          <w:szCs w:val="21"/>
        </w:rPr>
        <w:t xml:space="preserve"> top 5 diagnoses (respiratory failure, sepsis, pneumonia, cellulitis, and shortness of breath) are generally associated with patients who require stays in a long-term acute care hospital of, on average, at least 25 days. The conditions are often combined with one or more other co-morbidities for long-term acute care hospital patients. In general, some of the most common conditions and services in a long-term acute care hospital include ventilator weaning, respiratory failure, wound care, cardiovascular disease, infectious disease, stroke, and post-operative complications.</w:t>
      </w:r>
    </w:p>
    <w:p w14:paraId="1102E108" w14:textId="77777777" w:rsidR="00EA2BC6" w:rsidRPr="00BB2B63" w:rsidRDefault="00EA2BC6" w:rsidP="00EA2BC6">
      <w:pPr>
        <w:jc w:val="both"/>
        <w:rPr>
          <w:rFonts w:ascii="Calibri" w:hAnsi="Calibri" w:cs="Calibri"/>
          <w:sz w:val="21"/>
          <w:szCs w:val="21"/>
        </w:rPr>
      </w:pPr>
    </w:p>
    <w:p w14:paraId="367F9838" w14:textId="77777777" w:rsidR="00EA2BC6" w:rsidRPr="00BB2B63" w:rsidRDefault="00EA2BC6" w:rsidP="00EA2BC6">
      <w:pPr>
        <w:pStyle w:val="ListParagraph"/>
        <w:numPr>
          <w:ilvl w:val="0"/>
          <w:numId w:val="2"/>
        </w:numPr>
        <w:autoSpaceDE w:val="0"/>
        <w:autoSpaceDN w:val="0"/>
        <w:adjustRightInd w:val="0"/>
        <w:ind w:left="360"/>
        <w:rPr>
          <w:rFonts w:ascii="Calibri" w:hAnsi="Calibri" w:cs="Calibri"/>
          <w:sz w:val="21"/>
          <w:szCs w:val="21"/>
        </w:rPr>
      </w:pPr>
      <w:r w:rsidRPr="00BB2B63">
        <w:rPr>
          <w:rFonts w:ascii="Calibri" w:hAnsi="Calibri" w:cs="Calibri"/>
          <w:sz w:val="21"/>
          <w:szCs w:val="21"/>
        </w:rPr>
        <w:t>It is stated that the Applicant will further enhance the Hospital’s administrative and clinical</w:t>
      </w:r>
    </w:p>
    <w:p w14:paraId="57FF6B8B" w14:textId="77777777" w:rsidR="00EA2BC6" w:rsidRPr="00BB2B63" w:rsidRDefault="00EA2BC6" w:rsidP="00EA2BC6">
      <w:pPr>
        <w:pStyle w:val="ListParagraph"/>
        <w:ind w:left="360"/>
        <w:rPr>
          <w:rFonts w:ascii="Calibri" w:hAnsi="Calibri" w:cs="Calibri"/>
          <w:sz w:val="21"/>
          <w:szCs w:val="21"/>
        </w:rPr>
      </w:pPr>
      <w:r w:rsidRPr="00BB2B63">
        <w:rPr>
          <w:rFonts w:ascii="Calibri" w:hAnsi="Calibri" w:cs="Calibri"/>
          <w:sz w:val="21"/>
          <w:szCs w:val="21"/>
        </w:rPr>
        <w:t>infrastructure and the Hospital will leverage PAM Health’s 15 years of experience as a national provider of LTCH services. (pg. 6)</w:t>
      </w:r>
    </w:p>
    <w:p w14:paraId="7CCD8D1B" w14:textId="77777777" w:rsidR="00EA2BC6" w:rsidRPr="00BB2B63" w:rsidRDefault="00EA2BC6" w:rsidP="00EA2BC6">
      <w:pPr>
        <w:pStyle w:val="ListParagraph"/>
        <w:numPr>
          <w:ilvl w:val="1"/>
          <w:numId w:val="2"/>
        </w:numPr>
        <w:rPr>
          <w:rFonts w:ascii="Calibri" w:hAnsi="Calibri" w:cs="Calibri"/>
          <w:sz w:val="21"/>
          <w:szCs w:val="21"/>
        </w:rPr>
      </w:pPr>
      <w:r w:rsidRPr="00BB2B63">
        <w:rPr>
          <w:rFonts w:ascii="Calibri" w:hAnsi="Calibri" w:cs="Calibri"/>
          <w:sz w:val="21"/>
          <w:szCs w:val="21"/>
        </w:rPr>
        <w:t>Provide details on how the administrative and clinical infrastructure will be enhanced.</w:t>
      </w:r>
    </w:p>
    <w:p w14:paraId="74AB4E4D" w14:textId="77777777" w:rsidR="00EA2BC6" w:rsidRDefault="00EA2BC6" w:rsidP="00EA2BC6">
      <w:pPr>
        <w:pStyle w:val="ListParagraph"/>
        <w:numPr>
          <w:ilvl w:val="1"/>
          <w:numId w:val="2"/>
        </w:numPr>
        <w:rPr>
          <w:rFonts w:ascii="Calibri" w:hAnsi="Calibri" w:cs="Calibri"/>
          <w:sz w:val="21"/>
          <w:szCs w:val="21"/>
        </w:rPr>
      </w:pPr>
      <w:r w:rsidRPr="00BB2B63">
        <w:rPr>
          <w:rFonts w:ascii="Calibri" w:hAnsi="Calibri" w:cs="Calibri"/>
          <w:sz w:val="21"/>
          <w:szCs w:val="21"/>
        </w:rPr>
        <w:t xml:space="preserve">Explain how PAM Health’s expertise can and will be leveraged by the Hospital. </w:t>
      </w:r>
    </w:p>
    <w:p w14:paraId="6AE7C5CC" w14:textId="77777777" w:rsidR="00EA2BC6" w:rsidRPr="00C05226" w:rsidRDefault="00EA2BC6" w:rsidP="00EA2BC6">
      <w:pPr>
        <w:ind w:left="360"/>
        <w:jc w:val="both"/>
        <w:rPr>
          <w:rFonts w:ascii="Calibri" w:hAnsi="Calibri" w:cs="Calibri"/>
          <w:b/>
          <w:bCs/>
          <w:i/>
          <w:iCs/>
          <w:sz w:val="21"/>
          <w:szCs w:val="21"/>
        </w:rPr>
      </w:pPr>
      <w:r w:rsidRPr="00C05226">
        <w:rPr>
          <w:rFonts w:ascii="Calibri" w:hAnsi="Calibri" w:cs="Calibri"/>
          <w:b/>
          <w:bCs/>
          <w:i/>
          <w:iCs/>
          <w:sz w:val="21"/>
          <w:szCs w:val="21"/>
        </w:rPr>
        <w:t xml:space="preserve">As a member of PAM Health, </w:t>
      </w:r>
      <w:proofErr w:type="spellStart"/>
      <w:r>
        <w:rPr>
          <w:rFonts w:ascii="Calibri" w:hAnsi="Calibri" w:cs="Calibri"/>
          <w:b/>
          <w:bCs/>
          <w:i/>
          <w:iCs/>
          <w:sz w:val="21"/>
          <w:szCs w:val="21"/>
        </w:rPr>
        <w:t>Curahealth</w:t>
      </w:r>
      <w:proofErr w:type="spellEnd"/>
      <w:r w:rsidRPr="00C05226">
        <w:rPr>
          <w:rFonts w:ascii="Calibri" w:hAnsi="Calibri" w:cs="Calibri"/>
          <w:b/>
          <w:bCs/>
          <w:i/>
          <w:iCs/>
          <w:sz w:val="21"/>
          <w:szCs w:val="21"/>
        </w:rPr>
        <w:t xml:space="preserve"> will receive the benefit of </w:t>
      </w:r>
      <w:r>
        <w:rPr>
          <w:rFonts w:ascii="Calibri" w:hAnsi="Calibri" w:cs="Calibri"/>
          <w:b/>
          <w:bCs/>
          <w:i/>
          <w:iCs/>
          <w:sz w:val="21"/>
          <w:szCs w:val="21"/>
        </w:rPr>
        <w:t>the</w:t>
      </w:r>
      <w:r w:rsidRPr="00C05226">
        <w:rPr>
          <w:rFonts w:ascii="Calibri" w:hAnsi="Calibri" w:cs="Calibri"/>
          <w:b/>
          <w:bCs/>
          <w:i/>
          <w:iCs/>
          <w:sz w:val="21"/>
          <w:szCs w:val="21"/>
        </w:rPr>
        <w:t xml:space="preserve"> entire corporate organization of PAM Health, including but not limited to clinical, quality, financial, compliance, legal, human resources, and information technology. PAM Health has a long-standing track record as one of the largest providers of post-acute services, including long-term acute care hospitals, in the country. Access to that experience, </w:t>
      </w:r>
      <w:r w:rsidRPr="00C05226">
        <w:rPr>
          <w:rFonts w:ascii="Calibri" w:hAnsi="Calibri" w:cs="Calibri"/>
          <w:b/>
          <w:bCs/>
          <w:i/>
          <w:iCs/>
          <w:sz w:val="21"/>
          <w:szCs w:val="21"/>
        </w:rPr>
        <w:lastRenderedPageBreak/>
        <w:t xml:space="preserve">and the experienced corporate leaders from PAM Health will enhance both the administrative and clinical infrastructure of </w:t>
      </w:r>
      <w:proofErr w:type="spellStart"/>
      <w:r>
        <w:rPr>
          <w:rFonts w:ascii="Calibri" w:hAnsi="Calibri" w:cs="Calibri"/>
          <w:b/>
          <w:bCs/>
          <w:i/>
          <w:iCs/>
          <w:sz w:val="21"/>
          <w:szCs w:val="21"/>
        </w:rPr>
        <w:t>Curahealth</w:t>
      </w:r>
      <w:proofErr w:type="spellEnd"/>
      <w:r>
        <w:rPr>
          <w:rFonts w:ascii="Calibri" w:hAnsi="Calibri" w:cs="Calibri"/>
          <w:b/>
          <w:bCs/>
          <w:i/>
          <w:iCs/>
          <w:sz w:val="21"/>
          <w:szCs w:val="21"/>
        </w:rPr>
        <w:t>.</w:t>
      </w:r>
      <w:r w:rsidRPr="00C05226">
        <w:rPr>
          <w:rFonts w:ascii="Calibri" w:hAnsi="Calibri" w:cs="Calibri"/>
          <w:b/>
          <w:bCs/>
          <w:i/>
          <w:iCs/>
          <w:sz w:val="21"/>
          <w:szCs w:val="21"/>
        </w:rPr>
        <w:t xml:space="preserve"> </w:t>
      </w:r>
    </w:p>
    <w:p w14:paraId="589C1D9E" w14:textId="77777777" w:rsidR="00EA2BC6" w:rsidRPr="00C05226" w:rsidRDefault="00EA2BC6" w:rsidP="00EA2BC6">
      <w:pPr>
        <w:ind w:left="360"/>
        <w:jc w:val="both"/>
        <w:rPr>
          <w:rFonts w:ascii="Calibri" w:hAnsi="Calibri" w:cs="Calibri"/>
          <w:b/>
          <w:bCs/>
          <w:i/>
          <w:iCs/>
          <w:sz w:val="21"/>
          <w:szCs w:val="21"/>
        </w:rPr>
      </w:pPr>
    </w:p>
    <w:p w14:paraId="78290FA3" w14:textId="77777777" w:rsidR="00EA2BC6" w:rsidRPr="00C05226" w:rsidRDefault="00EA2BC6" w:rsidP="00EA2BC6">
      <w:pPr>
        <w:ind w:left="360"/>
        <w:jc w:val="both"/>
        <w:rPr>
          <w:rFonts w:ascii="Calibri" w:hAnsi="Calibri" w:cs="Calibri"/>
          <w:b/>
          <w:bCs/>
          <w:i/>
          <w:iCs/>
          <w:sz w:val="21"/>
          <w:szCs w:val="21"/>
        </w:rPr>
      </w:pPr>
      <w:r w:rsidRPr="00C05226">
        <w:rPr>
          <w:rFonts w:ascii="Calibri" w:hAnsi="Calibri" w:cs="Calibri"/>
          <w:b/>
          <w:bCs/>
          <w:i/>
          <w:iCs/>
          <w:sz w:val="21"/>
          <w:szCs w:val="21"/>
        </w:rPr>
        <w:t xml:space="preserve">Moreover, </w:t>
      </w:r>
      <w:r>
        <w:rPr>
          <w:rFonts w:ascii="Calibri" w:hAnsi="Calibri" w:cs="Calibri"/>
          <w:b/>
          <w:bCs/>
          <w:i/>
          <w:iCs/>
          <w:sz w:val="21"/>
          <w:szCs w:val="21"/>
        </w:rPr>
        <w:t xml:space="preserve">the Proposed Project is anticipated to reduce </w:t>
      </w:r>
      <w:proofErr w:type="spellStart"/>
      <w:r>
        <w:rPr>
          <w:rFonts w:ascii="Calibri" w:hAnsi="Calibri" w:cs="Calibri"/>
          <w:b/>
          <w:bCs/>
          <w:i/>
          <w:iCs/>
          <w:sz w:val="21"/>
          <w:szCs w:val="21"/>
        </w:rPr>
        <w:t>Curahealth’s</w:t>
      </w:r>
      <w:proofErr w:type="spellEnd"/>
      <w:r w:rsidRPr="00C05226">
        <w:rPr>
          <w:rFonts w:ascii="Calibri" w:hAnsi="Calibri" w:cs="Calibri"/>
          <w:b/>
          <w:bCs/>
          <w:i/>
          <w:iCs/>
          <w:sz w:val="21"/>
          <w:szCs w:val="21"/>
        </w:rPr>
        <w:t xml:space="preserve"> expenses through economies of scale associated with utilization of the PAM Health</w:t>
      </w:r>
      <w:r>
        <w:rPr>
          <w:rFonts w:ascii="Calibri" w:hAnsi="Calibri" w:cs="Calibri"/>
          <w:b/>
          <w:bCs/>
          <w:i/>
          <w:iCs/>
          <w:sz w:val="21"/>
          <w:szCs w:val="21"/>
        </w:rPr>
        <w:t>’s</w:t>
      </w:r>
      <w:r w:rsidRPr="00C05226">
        <w:rPr>
          <w:rFonts w:ascii="Calibri" w:hAnsi="Calibri" w:cs="Calibri"/>
          <w:b/>
          <w:bCs/>
          <w:i/>
          <w:iCs/>
          <w:sz w:val="21"/>
          <w:szCs w:val="21"/>
        </w:rPr>
        <w:t xml:space="preserve"> business services, as well as access to PAM Health’s national contracts for services and supplies, including but not limited to personal protective equipment, hospital equipment, and pharmaceuticals. </w:t>
      </w:r>
      <w:proofErr w:type="gramStart"/>
      <w:r w:rsidRPr="00C05226">
        <w:rPr>
          <w:rFonts w:ascii="Calibri" w:hAnsi="Calibri" w:cs="Calibri"/>
          <w:b/>
          <w:bCs/>
          <w:i/>
          <w:iCs/>
          <w:sz w:val="21"/>
          <w:szCs w:val="21"/>
        </w:rPr>
        <w:t>As a result of</w:t>
      </w:r>
      <w:proofErr w:type="gramEnd"/>
      <w:r w:rsidRPr="00C05226">
        <w:rPr>
          <w:rFonts w:ascii="Calibri" w:hAnsi="Calibri" w:cs="Calibri"/>
          <w:b/>
          <w:bCs/>
          <w:i/>
          <w:iCs/>
          <w:sz w:val="21"/>
          <w:szCs w:val="21"/>
        </w:rPr>
        <w:t xml:space="preserve"> the scale and size of PAM Health, its ability to negotiate more favorable terms will reduce </w:t>
      </w:r>
      <w:proofErr w:type="spellStart"/>
      <w:r>
        <w:rPr>
          <w:rFonts w:ascii="Calibri" w:hAnsi="Calibri" w:cs="Calibri"/>
          <w:b/>
          <w:bCs/>
          <w:i/>
          <w:iCs/>
          <w:sz w:val="21"/>
          <w:szCs w:val="21"/>
        </w:rPr>
        <w:t>Curahealth</w:t>
      </w:r>
      <w:r w:rsidRPr="00C05226">
        <w:rPr>
          <w:rFonts w:ascii="Calibri" w:hAnsi="Calibri" w:cs="Calibri"/>
          <w:b/>
          <w:bCs/>
          <w:i/>
          <w:iCs/>
          <w:sz w:val="21"/>
          <w:szCs w:val="21"/>
        </w:rPr>
        <w:t>’s</w:t>
      </w:r>
      <w:proofErr w:type="spellEnd"/>
      <w:r w:rsidRPr="00C05226">
        <w:rPr>
          <w:rFonts w:ascii="Calibri" w:hAnsi="Calibri" w:cs="Calibri"/>
          <w:b/>
          <w:bCs/>
          <w:i/>
          <w:iCs/>
          <w:sz w:val="21"/>
          <w:szCs w:val="21"/>
        </w:rPr>
        <w:t xml:space="preserve"> non-clinical costs. Additionally, PAM Health </w:t>
      </w:r>
      <w:r>
        <w:rPr>
          <w:rFonts w:ascii="Calibri" w:hAnsi="Calibri" w:cs="Calibri"/>
          <w:b/>
          <w:bCs/>
          <w:i/>
          <w:iCs/>
          <w:sz w:val="21"/>
          <w:szCs w:val="21"/>
        </w:rPr>
        <w:t>provides billing and collection support</w:t>
      </w:r>
      <w:r w:rsidRPr="00C05226">
        <w:rPr>
          <w:rFonts w:ascii="Calibri" w:hAnsi="Calibri" w:cs="Calibri"/>
          <w:b/>
          <w:bCs/>
          <w:i/>
          <w:iCs/>
          <w:sz w:val="21"/>
          <w:szCs w:val="21"/>
        </w:rPr>
        <w:t xml:space="preserve">, which will enable </w:t>
      </w:r>
      <w:proofErr w:type="spellStart"/>
      <w:r>
        <w:rPr>
          <w:rFonts w:ascii="Calibri" w:hAnsi="Calibri" w:cs="Calibri"/>
          <w:b/>
          <w:bCs/>
          <w:i/>
          <w:iCs/>
          <w:sz w:val="21"/>
          <w:szCs w:val="21"/>
        </w:rPr>
        <w:t>Curahealth</w:t>
      </w:r>
      <w:proofErr w:type="spellEnd"/>
      <w:r>
        <w:rPr>
          <w:rFonts w:ascii="Calibri" w:hAnsi="Calibri" w:cs="Calibri"/>
          <w:b/>
          <w:bCs/>
          <w:i/>
          <w:iCs/>
          <w:sz w:val="21"/>
          <w:szCs w:val="21"/>
        </w:rPr>
        <w:t xml:space="preserve"> </w:t>
      </w:r>
      <w:r w:rsidRPr="00C05226">
        <w:rPr>
          <w:rFonts w:ascii="Calibri" w:hAnsi="Calibri" w:cs="Calibri"/>
          <w:b/>
          <w:bCs/>
          <w:i/>
          <w:iCs/>
          <w:sz w:val="21"/>
          <w:szCs w:val="21"/>
        </w:rPr>
        <w:t>to substantially reduce costs associated with th</w:t>
      </w:r>
      <w:r>
        <w:rPr>
          <w:rFonts w:ascii="Calibri" w:hAnsi="Calibri" w:cs="Calibri"/>
          <w:b/>
          <w:bCs/>
          <w:i/>
          <w:iCs/>
          <w:sz w:val="21"/>
          <w:szCs w:val="21"/>
        </w:rPr>
        <w:t>ese administrative services</w:t>
      </w:r>
      <w:r w:rsidRPr="00C05226">
        <w:rPr>
          <w:rFonts w:ascii="Calibri" w:hAnsi="Calibri" w:cs="Calibri"/>
          <w:b/>
          <w:bCs/>
          <w:i/>
          <w:iCs/>
          <w:sz w:val="21"/>
          <w:szCs w:val="21"/>
        </w:rPr>
        <w:t>.</w:t>
      </w:r>
    </w:p>
    <w:p w14:paraId="5A49C6DE" w14:textId="77777777" w:rsidR="00EA2BC6" w:rsidRDefault="00EA2BC6" w:rsidP="00EA2BC6">
      <w:pPr>
        <w:pStyle w:val="ListParagraph"/>
        <w:ind w:left="360" w:firstLine="360"/>
        <w:rPr>
          <w:rFonts w:ascii="Calibri" w:hAnsi="Calibri" w:cs="Calibri"/>
          <w:sz w:val="21"/>
          <w:szCs w:val="21"/>
        </w:rPr>
      </w:pPr>
    </w:p>
    <w:p w14:paraId="5B5F06CB" w14:textId="77777777" w:rsidR="00EA2BC6" w:rsidRDefault="00EA2BC6" w:rsidP="00EA2BC6">
      <w:pPr>
        <w:pStyle w:val="ListParagraph"/>
        <w:numPr>
          <w:ilvl w:val="0"/>
          <w:numId w:val="2"/>
        </w:numPr>
        <w:autoSpaceDE w:val="0"/>
        <w:autoSpaceDN w:val="0"/>
        <w:adjustRightInd w:val="0"/>
        <w:ind w:left="360"/>
        <w:rPr>
          <w:rFonts w:ascii="Calibri" w:hAnsi="Calibri" w:cs="Calibri"/>
          <w:sz w:val="21"/>
          <w:szCs w:val="21"/>
        </w:rPr>
      </w:pPr>
      <w:r w:rsidRPr="00BB2B63">
        <w:rPr>
          <w:rFonts w:ascii="Calibri" w:hAnsi="Calibri" w:cs="Calibri"/>
          <w:sz w:val="21"/>
          <w:szCs w:val="21"/>
        </w:rPr>
        <w:t xml:space="preserve">How will PAM Health’s network enable the Hospital to be able to obtain economies of scale? Provide examples of how the Hospital </w:t>
      </w:r>
      <w:proofErr w:type="gramStart"/>
      <w:r w:rsidRPr="00BB2B63">
        <w:rPr>
          <w:rFonts w:ascii="Calibri" w:hAnsi="Calibri" w:cs="Calibri"/>
          <w:sz w:val="21"/>
          <w:szCs w:val="21"/>
        </w:rPr>
        <w:t>be able to</w:t>
      </w:r>
      <w:proofErr w:type="gramEnd"/>
      <w:r w:rsidRPr="00BB2B63">
        <w:rPr>
          <w:rFonts w:ascii="Calibri" w:hAnsi="Calibri" w:cs="Calibri"/>
          <w:sz w:val="21"/>
          <w:szCs w:val="21"/>
        </w:rPr>
        <w:t xml:space="preserve"> reduce non-clinical costs.</w:t>
      </w:r>
    </w:p>
    <w:p w14:paraId="679472E9" w14:textId="77777777" w:rsidR="00EA2BC6" w:rsidRPr="00BE66D9" w:rsidRDefault="00EA2BC6" w:rsidP="00EA2BC6">
      <w:pPr>
        <w:autoSpaceDE w:val="0"/>
        <w:autoSpaceDN w:val="0"/>
        <w:adjustRightInd w:val="0"/>
        <w:ind w:left="360"/>
        <w:rPr>
          <w:rFonts w:ascii="Calibri" w:hAnsi="Calibri" w:cs="Calibri"/>
          <w:b/>
          <w:bCs/>
          <w:i/>
          <w:iCs/>
          <w:sz w:val="21"/>
          <w:szCs w:val="21"/>
        </w:rPr>
      </w:pPr>
      <w:r w:rsidRPr="00BE66D9">
        <w:rPr>
          <w:rFonts w:ascii="Calibri" w:hAnsi="Calibri" w:cs="Calibri"/>
          <w:b/>
          <w:bCs/>
          <w:i/>
          <w:iCs/>
          <w:sz w:val="21"/>
          <w:szCs w:val="21"/>
        </w:rPr>
        <w:t>See Response to Question 5 above</w:t>
      </w:r>
    </w:p>
    <w:p w14:paraId="45093454" w14:textId="77777777" w:rsidR="00EA2BC6" w:rsidRDefault="00EA2BC6" w:rsidP="00EA2BC6">
      <w:pPr>
        <w:pStyle w:val="ListParagraph"/>
        <w:ind w:left="360" w:firstLine="360"/>
        <w:rPr>
          <w:rFonts w:ascii="Calibri" w:hAnsi="Calibri" w:cs="Calibri"/>
          <w:sz w:val="21"/>
          <w:szCs w:val="21"/>
        </w:rPr>
      </w:pPr>
    </w:p>
    <w:p w14:paraId="0D2952A2" w14:textId="77777777" w:rsidR="00EA2BC6" w:rsidRDefault="00EA2BC6" w:rsidP="00EA2BC6">
      <w:pPr>
        <w:pStyle w:val="ListParagraph"/>
        <w:numPr>
          <w:ilvl w:val="0"/>
          <w:numId w:val="2"/>
        </w:numPr>
        <w:autoSpaceDE w:val="0"/>
        <w:autoSpaceDN w:val="0"/>
        <w:adjustRightInd w:val="0"/>
        <w:ind w:left="360"/>
        <w:rPr>
          <w:rFonts w:ascii="Calibri" w:hAnsi="Calibri" w:cs="Calibri"/>
          <w:sz w:val="21"/>
          <w:szCs w:val="21"/>
        </w:rPr>
      </w:pPr>
      <w:r w:rsidRPr="00BB2B63">
        <w:rPr>
          <w:rFonts w:ascii="Calibri" w:hAnsi="Calibri" w:cs="Calibri"/>
          <w:sz w:val="21"/>
          <w:szCs w:val="21"/>
        </w:rPr>
        <w:t>How does PAM Health plan to foster meaningful improvement and recovery for post-acute services at the Hospital? (pg. 7)</w:t>
      </w:r>
    </w:p>
    <w:p w14:paraId="0553DBB5" w14:textId="77777777" w:rsidR="00EA2BC6" w:rsidRDefault="00EA2BC6" w:rsidP="00EA2BC6">
      <w:pPr>
        <w:pStyle w:val="ListParagraph"/>
        <w:autoSpaceDE w:val="0"/>
        <w:autoSpaceDN w:val="0"/>
        <w:adjustRightInd w:val="0"/>
        <w:ind w:left="360"/>
        <w:rPr>
          <w:rFonts w:ascii="Calibri" w:hAnsi="Calibri" w:cs="Calibri"/>
          <w:sz w:val="21"/>
          <w:szCs w:val="21"/>
        </w:rPr>
      </w:pPr>
    </w:p>
    <w:p w14:paraId="7D2073D6" w14:textId="77777777" w:rsidR="00EA2BC6" w:rsidRPr="00662431" w:rsidRDefault="00EA2BC6" w:rsidP="00EA2BC6">
      <w:pPr>
        <w:pStyle w:val="ListParagraph"/>
        <w:autoSpaceDE w:val="0"/>
        <w:autoSpaceDN w:val="0"/>
        <w:adjustRightInd w:val="0"/>
        <w:ind w:left="360"/>
        <w:jc w:val="both"/>
        <w:rPr>
          <w:rFonts w:ascii="Calibri" w:hAnsi="Calibri" w:cs="Calibri"/>
          <w:b/>
          <w:bCs/>
          <w:i/>
          <w:iCs/>
          <w:sz w:val="21"/>
          <w:szCs w:val="21"/>
        </w:rPr>
      </w:pPr>
      <w:r w:rsidRPr="00662431">
        <w:rPr>
          <w:rFonts w:ascii="Calibri" w:hAnsi="Calibri" w:cs="Calibri"/>
          <w:b/>
          <w:bCs/>
          <w:i/>
          <w:iCs/>
          <w:sz w:val="21"/>
          <w:szCs w:val="21"/>
        </w:rPr>
        <w:t>Through each of its long-term acute care hospitals, PAM Health evaluates the specific market needs in terms of programs and</w:t>
      </w:r>
      <w:r>
        <w:rPr>
          <w:rFonts w:ascii="Calibri" w:hAnsi="Calibri" w:cs="Calibri"/>
          <w:b/>
          <w:bCs/>
          <w:i/>
          <w:iCs/>
          <w:sz w:val="21"/>
          <w:szCs w:val="21"/>
        </w:rPr>
        <w:t xml:space="preserve"> the patient population</w:t>
      </w:r>
      <w:r w:rsidRPr="00662431">
        <w:rPr>
          <w:rFonts w:ascii="Calibri" w:hAnsi="Calibri" w:cs="Calibri"/>
          <w:b/>
          <w:bCs/>
          <w:i/>
          <w:iCs/>
          <w:sz w:val="21"/>
          <w:szCs w:val="21"/>
        </w:rPr>
        <w:t xml:space="preserve">, and determines which disease specific certifications it will seek for that </w:t>
      </w:r>
      <w:proofErr w:type="gramStart"/>
      <w:r w:rsidRPr="00662431">
        <w:rPr>
          <w:rFonts w:ascii="Calibri" w:hAnsi="Calibri" w:cs="Calibri"/>
          <w:b/>
          <w:bCs/>
          <w:i/>
          <w:iCs/>
          <w:sz w:val="21"/>
          <w:szCs w:val="21"/>
        </w:rPr>
        <w:t>particular hospital</w:t>
      </w:r>
      <w:proofErr w:type="gramEnd"/>
      <w:r w:rsidRPr="00662431">
        <w:rPr>
          <w:rFonts w:ascii="Calibri" w:hAnsi="Calibri" w:cs="Calibri"/>
          <w:b/>
          <w:bCs/>
          <w:i/>
          <w:iCs/>
          <w:sz w:val="21"/>
          <w:szCs w:val="21"/>
        </w:rPr>
        <w:t xml:space="preserve">. These determinations will be dependent upon a variety of factors, including patient population and community needs. Equally important, PAM Health evaluates the physicians who are in the market and the ability and willingness of those physicians to plan, develop, and manage a program. Where PAM Health institutes specialized programs, it devotes all necessary resources to support the program and the healthcare professionals providing services to its patients. The PAM Health specialized services can range from advanced wound care programs to early mobility programs to vent weaning to bariatric services to hyperbaric oxygen therapy. Nationally, PAM Health long-term acute care hospitals exceed the national average in overall patient satisfaction and patient willingness to recommend, and have less falls and less pressure ulcers than the national average in long-term acute care hospital patients. Moreover, PAM Health closely monitors its ventilator wean rate in comparison to the national average, and substantially exceeds those rates of successful wean. </w:t>
      </w:r>
      <w:proofErr w:type="gramStart"/>
      <w:r w:rsidRPr="00662431">
        <w:rPr>
          <w:rFonts w:ascii="Calibri" w:hAnsi="Calibri" w:cs="Calibri"/>
          <w:b/>
          <w:bCs/>
          <w:i/>
          <w:iCs/>
          <w:sz w:val="21"/>
          <w:szCs w:val="21"/>
        </w:rPr>
        <w:t>All of these</w:t>
      </w:r>
      <w:proofErr w:type="gramEnd"/>
      <w:r w:rsidRPr="00662431">
        <w:rPr>
          <w:rFonts w:ascii="Calibri" w:hAnsi="Calibri" w:cs="Calibri"/>
          <w:b/>
          <w:bCs/>
          <w:i/>
          <w:iCs/>
          <w:sz w:val="21"/>
          <w:szCs w:val="21"/>
        </w:rPr>
        <w:t xml:space="preserve"> quality indicators are at the core of PAM Health’s operations, and it devotes its experienced corporate team to providing enhanced quality and clinical services to insure its patients are receiving the highest quality care. </w:t>
      </w:r>
    </w:p>
    <w:p w14:paraId="6108C4B6" w14:textId="77777777" w:rsidR="00EA2BC6" w:rsidRPr="00BB2B63" w:rsidRDefault="00EA2BC6" w:rsidP="00EA2BC6">
      <w:pPr>
        <w:pStyle w:val="ListParagraph"/>
        <w:ind w:left="360" w:firstLine="360"/>
        <w:rPr>
          <w:rFonts w:ascii="Calibri" w:hAnsi="Calibri" w:cs="Calibri"/>
          <w:sz w:val="21"/>
          <w:szCs w:val="21"/>
        </w:rPr>
      </w:pPr>
    </w:p>
    <w:p w14:paraId="286F7095" w14:textId="77777777" w:rsidR="00EA2BC6" w:rsidRDefault="00EA2BC6" w:rsidP="00EA2BC6">
      <w:pPr>
        <w:pStyle w:val="ListParagraph"/>
        <w:numPr>
          <w:ilvl w:val="0"/>
          <w:numId w:val="2"/>
        </w:numPr>
        <w:autoSpaceDE w:val="0"/>
        <w:autoSpaceDN w:val="0"/>
        <w:adjustRightInd w:val="0"/>
        <w:ind w:left="360"/>
        <w:rPr>
          <w:rFonts w:ascii="Calibri" w:hAnsi="Calibri" w:cs="Calibri"/>
          <w:sz w:val="21"/>
          <w:szCs w:val="21"/>
        </w:rPr>
      </w:pPr>
      <w:r w:rsidRPr="00BB2B63">
        <w:rPr>
          <w:rFonts w:ascii="Calibri" w:hAnsi="Calibri" w:cs="Calibri"/>
          <w:sz w:val="21"/>
          <w:szCs w:val="21"/>
        </w:rPr>
        <w:t>The Application asserts that PAM Health will evaluate the Hospital to determine if it can implement one of its 9 disease specific certified programs that are accredited by The Joint Commission. Explain the evaluation process and what factors will be used to determine which programs can be implemented at the Hospital. (pg. 7)</w:t>
      </w:r>
    </w:p>
    <w:p w14:paraId="563EBE46" w14:textId="77777777" w:rsidR="00EA2BC6" w:rsidRPr="00F80276" w:rsidRDefault="00EA2BC6" w:rsidP="00EA2BC6">
      <w:pPr>
        <w:autoSpaceDE w:val="0"/>
        <w:autoSpaceDN w:val="0"/>
        <w:adjustRightInd w:val="0"/>
        <w:ind w:left="360"/>
        <w:rPr>
          <w:rFonts w:ascii="Calibri" w:hAnsi="Calibri" w:cs="Calibri"/>
          <w:sz w:val="21"/>
          <w:szCs w:val="21"/>
        </w:rPr>
      </w:pPr>
      <w:r w:rsidRPr="00662431">
        <w:rPr>
          <w:rFonts w:ascii="Calibri" w:hAnsi="Calibri" w:cs="Calibri"/>
          <w:b/>
          <w:bCs/>
          <w:i/>
          <w:iCs/>
          <w:sz w:val="21"/>
          <w:szCs w:val="21"/>
        </w:rPr>
        <w:t>See Response to Question 7 above</w:t>
      </w:r>
    </w:p>
    <w:p w14:paraId="40165B79" w14:textId="77777777" w:rsidR="00EA2BC6" w:rsidRPr="00BB2B63" w:rsidRDefault="00EA2BC6" w:rsidP="00EA2BC6">
      <w:pPr>
        <w:pStyle w:val="ListParagraph"/>
        <w:autoSpaceDE w:val="0"/>
        <w:autoSpaceDN w:val="0"/>
        <w:adjustRightInd w:val="0"/>
        <w:ind w:left="360"/>
        <w:rPr>
          <w:rFonts w:ascii="Calibri" w:hAnsi="Calibri" w:cs="Calibri"/>
          <w:sz w:val="21"/>
          <w:szCs w:val="21"/>
        </w:rPr>
      </w:pPr>
    </w:p>
    <w:p w14:paraId="34BFF4D8" w14:textId="77777777" w:rsidR="00EA2BC6" w:rsidRDefault="00EA2BC6" w:rsidP="00EA2BC6">
      <w:pPr>
        <w:pStyle w:val="ListParagraph"/>
        <w:numPr>
          <w:ilvl w:val="0"/>
          <w:numId w:val="2"/>
        </w:numPr>
        <w:autoSpaceDE w:val="0"/>
        <w:autoSpaceDN w:val="0"/>
        <w:adjustRightInd w:val="0"/>
        <w:ind w:left="360"/>
        <w:rPr>
          <w:rFonts w:ascii="Calibri" w:hAnsi="Calibri" w:cs="Calibri"/>
          <w:sz w:val="21"/>
          <w:szCs w:val="21"/>
        </w:rPr>
      </w:pPr>
      <w:r>
        <w:rPr>
          <w:rFonts w:ascii="Calibri" w:hAnsi="Calibri" w:cs="Calibri"/>
          <w:sz w:val="21"/>
          <w:szCs w:val="21"/>
        </w:rPr>
        <w:t>It is mentioned that PAM Health has culturally and linguistically appropriate services. Describe the language services available (e.g., which languages, modes such as in-person, telephone). (pg. 9)</w:t>
      </w:r>
    </w:p>
    <w:p w14:paraId="4320CBAC" w14:textId="175D7BB2" w:rsidR="00EA2BC6" w:rsidRPr="00662431" w:rsidRDefault="00EA2BC6" w:rsidP="00EA2BC6">
      <w:pPr>
        <w:autoSpaceDE w:val="0"/>
        <w:autoSpaceDN w:val="0"/>
        <w:adjustRightInd w:val="0"/>
        <w:ind w:left="360"/>
        <w:jc w:val="both"/>
        <w:rPr>
          <w:rFonts w:ascii="Calibri" w:hAnsi="Calibri" w:cs="Calibri"/>
          <w:b/>
          <w:bCs/>
          <w:i/>
          <w:iCs/>
          <w:sz w:val="21"/>
          <w:szCs w:val="21"/>
        </w:rPr>
      </w:pPr>
      <w:r w:rsidRPr="00662431">
        <w:rPr>
          <w:rFonts w:ascii="Calibri" w:hAnsi="Calibri" w:cs="Calibri"/>
          <w:b/>
          <w:bCs/>
          <w:i/>
          <w:iCs/>
          <w:sz w:val="21"/>
          <w:szCs w:val="21"/>
        </w:rPr>
        <w:t>PAM Health</w:t>
      </w:r>
      <w:r>
        <w:rPr>
          <w:rFonts w:ascii="Calibri" w:hAnsi="Calibri" w:cs="Calibri"/>
          <w:b/>
          <w:bCs/>
          <w:i/>
          <w:iCs/>
          <w:sz w:val="21"/>
          <w:szCs w:val="21"/>
        </w:rPr>
        <w:t xml:space="preserve"> has culturally and linguistically appropriate services.  It</w:t>
      </w:r>
      <w:r w:rsidRPr="00662431">
        <w:rPr>
          <w:rFonts w:ascii="Calibri" w:hAnsi="Calibri" w:cs="Calibri"/>
          <w:b/>
          <w:bCs/>
          <w:i/>
          <w:iCs/>
          <w:sz w:val="21"/>
          <w:szCs w:val="21"/>
        </w:rPr>
        <w:t xml:space="preserve"> maintains a national contract for the services of </w:t>
      </w:r>
      <w:proofErr w:type="spellStart"/>
      <w:r w:rsidRPr="00662431">
        <w:rPr>
          <w:rFonts w:ascii="Calibri" w:hAnsi="Calibri" w:cs="Calibri"/>
          <w:b/>
          <w:bCs/>
          <w:i/>
          <w:iCs/>
          <w:sz w:val="21"/>
          <w:szCs w:val="21"/>
        </w:rPr>
        <w:t>LanguageLine</w:t>
      </w:r>
      <w:proofErr w:type="spellEnd"/>
      <w:r w:rsidRPr="00662431">
        <w:rPr>
          <w:rFonts w:ascii="Calibri" w:hAnsi="Calibri" w:cs="Calibri"/>
          <w:b/>
          <w:bCs/>
          <w:i/>
          <w:iCs/>
          <w:sz w:val="21"/>
          <w:szCs w:val="21"/>
        </w:rPr>
        <w:t xml:space="preserve">, which is the third-largest provider in the language-access industry, and </w:t>
      </w:r>
      <w:r w:rsidRPr="00662431">
        <w:rPr>
          <w:rFonts w:ascii="Calibri" w:hAnsi="Calibri" w:cs="Calibri"/>
          <w:b/>
          <w:bCs/>
          <w:i/>
          <w:iCs/>
          <w:sz w:val="21"/>
          <w:szCs w:val="21"/>
        </w:rPr>
        <w:lastRenderedPageBreak/>
        <w:t xml:space="preserve">which serves most of the top hospital systems in the United States. Through </w:t>
      </w:r>
      <w:proofErr w:type="spellStart"/>
      <w:r w:rsidRPr="00662431">
        <w:rPr>
          <w:rFonts w:ascii="Calibri" w:hAnsi="Calibri" w:cs="Calibri"/>
          <w:b/>
          <w:bCs/>
          <w:i/>
          <w:iCs/>
          <w:sz w:val="21"/>
          <w:szCs w:val="21"/>
        </w:rPr>
        <w:t>LanguageLine</w:t>
      </w:r>
      <w:proofErr w:type="spellEnd"/>
      <w:r w:rsidRPr="00662431">
        <w:rPr>
          <w:rFonts w:ascii="Calibri" w:hAnsi="Calibri" w:cs="Calibri"/>
          <w:b/>
          <w:bCs/>
          <w:i/>
          <w:iCs/>
          <w:sz w:val="21"/>
          <w:szCs w:val="21"/>
        </w:rPr>
        <w:t xml:space="preserve">, PAM Health has access to over 240 different languages, including American Sign Language, that can be interpreted and translated, and over 14,000 professional linguists. The </w:t>
      </w:r>
      <w:proofErr w:type="spellStart"/>
      <w:r w:rsidRPr="00662431">
        <w:rPr>
          <w:rFonts w:ascii="Calibri" w:hAnsi="Calibri" w:cs="Calibri"/>
          <w:b/>
          <w:bCs/>
          <w:i/>
          <w:iCs/>
          <w:sz w:val="21"/>
          <w:szCs w:val="21"/>
        </w:rPr>
        <w:t>LanguageLine</w:t>
      </w:r>
      <w:proofErr w:type="spellEnd"/>
      <w:r w:rsidRPr="00662431">
        <w:rPr>
          <w:rFonts w:ascii="Calibri" w:hAnsi="Calibri" w:cs="Calibri"/>
          <w:b/>
          <w:bCs/>
          <w:i/>
          <w:iCs/>
          <w:sz w:val="21"/>
          <w:szCs w:val="21"/>
        </w:rPr>
        <w:t xml:space="preserve"> services are available 24 hours per day, and are used by PAM Health and other healthcare providers to limit the risk of misunderstanding, avoid misdiagnoses, enhance communication and understanding of patients and families, and to improve completion of treatment plans. The services are available through video conference, telephone, and in-person, dependent on the </w:t>
      </w:r>
      <w:proofErr w:type="gramStart"/>
      <w:r w:rsidRPr="00662431">
        <w:rPr>
          <w:rFonts w:ascii="Calibri" w:hAnsi="Calibri" w:cs="Calibri"/>
          <w:b/>
          <w:bCs/>
          <w:i/>
          <w:iCs/>
          <w:sz w:val="21"/>
          <w:szCs w:val="21"/>
        </w:rPr>
        <w:t>particular facts</w:t>
      </w:r>
      <w:proofErr w:type="gramEnd"/>
      <w:r w:rsidRPr="00662431">
        <w:rPr>
          <w:rFonts w:ascii="Calibri" w:hAnsi="Calibri" w:cs="Calibri"/>
          <w:b/>
          <w:bCs/>
          <w:i/>
          <w:iCs/>
          <w:sz w:val="21"/>
          <w:szCs w:val="21"/>
        </w:rPr>
        <w:t>.</w:t>
      </w:r>
      <w:r>
        <w:rPr>
          <w:rFonts w:ascii="Calibri" w:hAnsi="Calibri" w:cs="Calibri"/>
          <w:b/>
          <w:bCs/>
          <w:i/>
          <w:iCs/>
          <w:sz w:val="21"/>
          <w:szCs w:val="21"/>
        </w:rPr>
        <w:t xml:space="preserve">  </w:t>
      </w:r>
      <w:proofErr w:type="spellStart"/>
      <w:r>
        <w:rPr>
          <w:rFonts w:ascii="Calibri" w:hAnsi="Calibri" w:cs="Calibri"/>
          <w:b/>
          <w:bCs/>
          <w:i/>
          <w:iCs/>
          <w:sz w:val="21"/>
          <w:szCs w:val="21"/>
        </w:rPr>
        <w:t>LanguageLine</w:t>
      </w:r>
      <w:proofErr w:type="spellEnd"/>
      <w:r>
        <w:rPr>
          <w:rFonts w:ascii="Calibri" w:hAnsi="Calibri" w:cs="Calibri"/>
          <w:b/>
          <w:bCs/>
          <w:i/>
          <w:iCs/>
          <w:sz w:val="21"/>
          <w:szCs w:val="21"/>
        </w:rPr>
        <w:t xml:space="preserve"> will be used at </w:t>
      </w:r>
      <w:proofErr w:type="spellStart"/>
      <w:r>
        <w:rPr>
          <w:rFonts w:ascii="Calibri" w:hAnsi="Calibri" w:cs="Calibri"/>
          <w:b/>
          <w:bCs/>
          <w:i/>
          <w:iCs/>
          <w:sz w:val="21"/>
          <w:szCs w:val="21"/>
        </w:rPr>
        <w:t>Curahealth</w:t>
      </w:r>
      <w:proofErr w:type="spellEnd"/>
      <w:r>
        <w:rPr>
          <w:rFonts w:ascii="Calibri" w:hAnsi="Calibri" w:cs="Calibri"/>
          <w:b/>
          <w:bCs/>
          <w:i/>
          <w:iCs/>
          <w:sz w:val="21"/>
          <w:szCs w:val="21"/>
        </w:rPr>
        <w:t>.</w:t>
      </w:r>
      <w:r w:rsidR="00627025">
        <w:rPr>
          <w:rFonts w:ascii="Calibri" w:hAnsi="Calibri" w:cs="Calibri"/>
          <w:b/>
          <w:bCs/>
          <w:i/>
          <w:iCs/>
          <w:sz w:val="21"/>
          <w:szCs w:val="21"/>
        </w:rPr>
        <w:t xml:space="preserve"> </w:t>
      </w:r>
      <w:bookmarkStart w:id="0" w:name="_GoBack"/>
      <w:bookmarkEnd w:id="0"/>
    </w:p>
    <w:p w14:paraId="5C327114" w14:textId="77777777" w:rsidR="00EA2BC6" w:rsidRPr="00E25B85" w:rsidRDefault="00EA2BC6" w:rsidP="00EA2BC6">
      <w:pPr>
        <w:pStyle w:val="ListParagraph"/>
        <w:rPr>
          <w:rFonts w:ascii="Calibri" w:hAnsi="Calibri" w:cs="Calibri"/>
          <w:sz w:val="21"/>
          <w:szCs w:val="21"/>
        </w:rPr>
      </w:pPr>
    </w:p>
    <w:p w14:paraId="1629062D" w14:textId="77777777" w:rsidR="00EA2BC6" w:rsidRDefault="00EA2BC6" w:rsidP="00EA2BC6">
      <w:pPr>
        <w:pStyle w:val="ListParagraph"/>
        <w:numPr>
          <w:ilvl w:val="0"/>
          <w:numId w:val="2"/>
        </w:numPr>
        <w:autoSpaceDE w:val="0"/>
        <w:autoSpaceDN w:val="0"/>
        <w:adjustRightInd w:val="0"/>
        <w:ind w:left="360"/>
        <w:rPr>
          <w:rFonts w:ascii="Calibri" w:hAnsi="Calibri" w:cs="Calibri"/>
          <w:sz w:val="21"/>
          <w:szCs w:val="21"/>
        </w:rPr>
      </w:pPr>
      <w:r>
        <w:rPr>
          <w:rFonts w:ascii="Calibri" w:hAnsi="Calibri" w:cs="Calibri"/>
          <w:sz w:val="21"/>
          <w:szCs w:val="21"/>
        </w:rPr>
        <w:t>It is stated that social determinants of health (</w:t>
      </w:r>
      <w:proofErr w:type="spellStart"/>
      <w:r>
        <w:rPr>
          <w:rFonts w:ascii="Calibri" w:hAnsi="Calibri" w:cs="Calibri"/>
          <w:sz w:val="21"/>
          <w:szCs w:val="21"/>
        </w:rPr>
        <w:t>SDoH</w:t>
      </w:r>
      <w:proofErr w:type="spellEnd"/>
      <w:r>
        <w:rPr>
          <w:rFonts w:ascii="Calibri" w:hAnsi="Calibri" w:cs="Calibri"/>
          <w:sz w:val="21"/>
          <w:szCs w:val="21"/>
        </w:rPr>
        <w:t xml:space="preserve">) is a factor considered in discharge planning. </w:t>
      </w:r>
    </w:p>
    <w:p w14:paraId="3EDEB421" w14:textId="77777777" w:rsidR="00EA2BC6" w:rsidRDefault="00EA2BC6" w:rsidP="00EA2BC6">
      <w:pPr>
        <w:pStyle w:val="ListParagraph"/>
        <w:numPr>
          <w:ilvl w:val="1"/>
          <w:numId w:val="2"/>
        </w:numPr>
        <w:autoSpaceDE w:val="0"/>
        <w:autoSpaceDN w:val="0"/>
        <w:adjustRightInd w:val="0"/>
        <w:rPr>
          <w:rFonts w:ascii="Calibri" w:hAnsi="Calibri" w:cs="Calibri"/>
          <w:sz w:val="21"/>
          <w:szCs w:val="21"/>
        </w:rPr>
      </w:pPr>
      <w:r>
        <w:rPr>
          <w:rFonts w:ascii="Calibri" w:hAnsi="Calibri" w:cs="Calibri"/>
          <w:sz w:val="21"/>
          <w:szCs w:val="21"/>
        </w:rPr>
        <w:t xml:space="preserve">Describe the </w:t>
      </w:r>
      <w:proofErr w:type="spellStart"/>
      <w:r>
        <w:rPr>
          <w:rFonts w:ascii="Calibri" w:hAnsi="Calibri" w:cs="Calibri"/>
          <w:sz w:val="21"/>
          <w:szCs w:val="21"/>
        </w:rPr>
        <w:t>SDoH</w:t>
      </w:r>
      <w:proofErr w:type="spellEnd"/>
      <w:r>
        <w:rPr>
          <w:rFonts w:ascii="Calibri" w:hAnsi="Calibri" w:cs="Calibri"/>
          <w:sz w:val="21"/>
          <w:szCs w:val="21"/>
        </w:rPr>
        <w:t xml:space="preserve"> screening process for patients.</w:t>
      </w:r>
    </w:p>
    <w:p w14:paraId="00B13048" w14:textId="77777777" w:rsidR="00EA2BC6" w:rsidRDefault="00EA2BC6" w:rsidP="00EA2BC6">
      <w:pPr>
        <w:pStyle w:val="ListParagraph"/>
        <w:numPr>
          <w:ilvl w:val="1"/>
          <w:numId w:val="2"/>
        </w:numPr>
        <w:autoSpaceDE w:val="0"/>
        <w:autoSpaceDN w:val="0"/>
        <w:adjustRightInd w:val="0"/>
        <w:rPr>
          <w:rFonts w:ascii="Calibri" w:hAnsi="Calibri" w:cs="Calibri"/>
          <w:sz w:val="21"/>
          <w:szCs w:val="21"/>
        </w:rPr>
      </w:pPr>
      <w:r>
        <w:rPr>
          <w:rFonts w:ascii="Calibri" w:hAnsi="Calibri" w:cs="Calibri"/>
          <w:sz w:val="21"/>
          <w:szCs w:val="21"/>
        </w:rPr>
        <w:t>How are patients connected to social support services, if necessary?</w:t>
      </w:r>
    </w:p>
    <w:p w14:paraId="2895E8EA" w14:textId="4295386F" w:rsidR="00EA2BC6" w:rsidRDefault="00EA2BC6" w:rsidP="00EA2BC6">
      <w:pPr>
        <w:autoSpaceDE w:val="0"/>
        <w:autoSpaceDN w:val="0"/>
        <w:adjustRightInd w:val="0"/>
        <w:ind w:left="285"/>
        <w:jc w:val="both"/>
        <w:rPr>
          <w:rFonts w:ascii="Calibri" w:hAnsi="Calibri" w:cs="Calibri"/>
          <w:b/>
          <w:bCs/>
          <w:i/>
          <w:iCs/>
          <w:sz w:val="21"/>
          <w:szCs w:val="21"/>
        </w:rPr>
      </w:pPr>
      <w:r w:rsidRPr="00662431">
        <w:rPr>
          <w:rFonts w:ascii="Calibri" w:hAnsi="Calibri" w:cs="Calibri"/>
          <w:b/>
          <w:bCs/>
          <w:i/>
          <w:iCs/>
          <w:sz w:val="21"/>
          <w:szCs w:val="21"/>
        </w:rPr>
        <w:t xml:space="preserve">PAM Health utilizes a comprehensive, team-based approach to discharges planning in its long-term acute care hospitals. Discharge planning commences immediately upon admission, and includes assignment of a case manager and PAM Health clinical professionals, along with the patient’s treating and consulting physician. Throughout the patient’s stay, the team evaluates the needs of the patient, post-discharges, evaluates the services necessary, and consults with both the family and the other medical professionals to outline the plan post-discharge through asking questions and evaluating responses to identify challenges that a patient might face post-discharge, including social and economic resources, education and literacy, support networks, and physical and social environments. PAM Health works to identify those factors early in the process, to enable time to consult with available programs and providers who </w:t>
      </w:r>
      <w:proofErr w:type="gramStart"/>
      <w:r w:rsidRPr="00662431">
        <w:rPr>
          <w:rFonts w:ascii="Calibri" w:hAnsi="Calibri" w:cs="Calibri"/>
          <w:b/>
          <w:bCs/>
          <w:i/>
          <w:iCs/>
          <w:sz w:val="21"/>
          <w:szCs w:val="21"/>
        </w:rPr>
        <w:t>are able to</w:t>
      </w:r>
      <w:proofErr w:type="gramEnd"/>
      <w:r w:rsidRPr="00662431">
        <w:rPr>
          <w:rFonts w:ascii="Calibri" w:hAnsi="Calibri" w:cs="Calibri"/>
          <w:b/>
          <w:bCs/>
          <w:i/>
          <w:iCs/>
          <w:sz w:val="21"/>
          <w:szCs w:val="21"/>
        </w:rPr>
        <w:t xml:space="preserve"> assist with serving the needs of the patients. In addition, the Stoughton Hospital will have full access to the PAM Health corporate clinical and quality team, including is corporate case management professionals. These individuals bring the national experience to each </w:t>
      </w:r>
      <w:proofErr w:type="gramStart"/>
      <w:r w:rsidRPr="00662431">
        <w:rPr>
          <w:rFonts w:ascii="Calibri" w:hAnsi="Calibri" w:cs="Calibri"/>
          <w:b/>
          <w:bCs/>
          <w:i/>
          <w:iCs/>
          <w:sz w:val="21"/>
          <w:szCs w:val="21"/>
        </w:rPr>
        <w:t>particular circumstance</w:t>
      </w:r>
      <w:proofErr w:type="gramEnd"/>
      <w:r w:rsidRPr="00662431">
        <w:rPr>
          <w:rFonts w:ascii="Calibri" w:hAnsi="Calibri" w:cs="Calibri"/>
          <w:b/>
          <w:bCs/>
          <w:i/>
          <w:iCs/>
          <w:sz w:val="21"/>
          <w:szCs w:val="21"/>
        </w:rPr>
        <w:t>, providing the local hospital with the value of many other hospitals and circumstances.</w:t>
      </w:r>
    </w:p>
    <w:p w14:paraId="71A2DD74" w14:textId="77777777" w:rsidR="005512E3" w:rsidRPr="00662431" w:rsidRDefault="005512E3" w:rsidP="00EA2BC6">
      <w:pPr>
        <w:autoSpaceDE w:val="0"/>
        <w:autoSpaceDN w:val="0"/>
        <w:adjustRightInd w:val="0"/>
        <w:ind w:left="285"/>
        <w:jc w:val="both"/>
        <w:rPr>
          <w:rFonts w:ascii="Calibri" w:hAnsi="Calibri" w:cs="Calibri"/>
          <w:b/>
          <w:bCs/>
          <w:i/>
          <w:iCs/>
          <w:sz w:val="21"/>
          <w:szCs w:val="21"/>
        </w:rPr>
      </w:pPr>
    </w:p>
    <w:bookmarkStart w:id="1" w:name="_iDocIDField_EOD"/>
    <w:p w14:paraId="614A0C97" w14:textId="77777777" w:rsidR="00065AB3" w:rsidRDefault="00065AB3">
      <w:pPr>
        <w:pStyle w:val="DocID"/>
      </w:pPr>
      <w:r>
        <w:fldChar w:fldCharType="begin"/>
      </w:r>
      <w:r>
        <w:instrText xml:space="preserve">  DOCPROPERTY "CUS_DocIDChunk0" </w:instrText>
      </w:r>
      <w:r>
        <w:fldChar w:fldCharType="separate"/>
      </w:r>
      <w:r>
        <w:t>3857\0001\791402.3</w:t>
      </w:r>
      <w:r>
        <w:fldChar w:fldCharType="end"/>
      </w:r>
      <w:bookmarkEnd w:id="1"/>
    </w:p>
    <w:sectPr w:rsidR="00065AB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4316D" w14:textId="77777777" w:rsidR="00EE572E" w:rsidRDefault="00EE572E" w:rsidP="00961708">
      <w:r>
        <w:separator/>
      </w:r>
    </w:p>
  </w:endnote>
  <w:endnote w:type="continuationSeparator" w:id="0">
    <w:p w14:paraId="716F87E9" w14:textId="77777777" w:rsidR="00EE572E" w:rsidRDefault="00EE572E" w:rsidP="0096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157118"/>
      <w:docPartObj>
        <w:docPartGallery w:val="Page Numbers (Bottom of Page)"/>
        <w:docPartUnique/>
      </w:docPartObj>
    </w:sdtPr>
    <w:sdtEndPr>
      <w:rPr>
        <w:noProof/>
      </w:rPr>
    </w:sdtEndPr>
    <w:sdtContent>
      <w:p w14:paraId="12B077DB" w14:textId="2478F68E" w:rsidR="00961708" w:rsidRDefault="00961708">
        <w:pPr>
          <w:pStyle w:val="Footer"/>
          <w:jc w:val="right"/>
        </w:pPr>
        <w:r>
          <w:fldChar w:fldCharType="begin"/>
        </w:r>
        <w:r>
          <w:instrText xml:space="preserve"> PAGE   \* MERGEFORMAT </w:instrText>
        </w:r>
        <w:r>
          <w:fldChar w:fldCharType="separate"/>
        </w:r>
        <w:r w:rsidR="00773607">
          <w:rPr>
            <w:noProof/>
          </w:rPr>
          <w:t>3</w:t>
        </w:r>
        <w:r>
          <w:rPr>
            <w:noProof/>
          </w:rPr>
          <w:fldChar w:fldCharType="end"/>
        </w:r>
      </w:p>
    </w:sdtContent>
  </w:sdt>
  <w:p w14:paraId="5341BAE4" w14:textId="77777777" w:rsidR="00961708" w:rsidRDefault="0096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6EC66" w14:textId="77777777" w:rsidR="00EE572E" w:rsidRDefault="00EE572E" w:rsidP="00961708">
      <w:r>
        <w:separator/>
      </w:r>
    </w:p>
  </w:footnote>
  <w:footnote w:type="continuationSeparator" w:id="0">
    <w:p w14:paraId="0635D23C" w14:textId="77777777" w:rsidR="00EE572E" w:rsidRDefault="00EE572E" w:rsidP="0096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84FB" w14:textId="77777777" w:rsidR="00961708" w:rsidRDefault="00961708" w:rsidP="00961708">
    <w:pPr>
      <w:pStyle w:val="Header"/>
      <w:rPr>
        <w:sz w:val="28"/>
        <w:szCs w:val="28"/>
      </w:rPr>
    </w:pPr>
    <w:r w:rsidRPr="009A6740">
      <w:rPr>
        <w:sz w:val="28"/>
        <w:szCs w:val="28"/>
      </w:rPr>
      <w:t xml:space="preserve">PAM Cubed, LLC </w:t>
    </w:r>
  </w:p>
  <w:p w14:paraId="35358121" w14:textId="77777777" w:rsidR="00961708" w:rsidRDefault="00961708" w:rsidP="00961708">
    <w:pPr>
      <w:pStyle w:val="Header"/>
      <w:rPr>
        <w:sz w:val="28"/>
        <w:szCs w:val="28"/>
      </w:rPr>
    </w:pPr>
    <w:proofErr w:type="spellStart"/>
    <w:r w:rsidRPr="004B2D67">
      <w:rPr>
        <w:sz w:val="28"/>
        <w:szCs w:val="28"/>
      </w:rPr>
      <w:t>DoN</w:t>
    </w:r>
    <w:proofErr w:type="spellEnd"/>
    <w:r w:rsidRPr="004B2D67">
      <w:rPr>
        <w:sz w:val="28"/>
        <w:szCs w:val="28"/>
      </w:rPr>
      <w:t xml:space="preserve"># </w:t>
    </w:r>
    <w:r w:rsidRPr="009A6740">
      <w:rPr>
        <w:sz w:val="28"/>
        <w:szCs w:val="28"/>
      </w:rPr>
      <w:t>PAM-21111018-TO</w:t>
    </w:r>
  </w:p>
  <w:p w14:paraId="1B36B135" w14:textId="77777777" w:rsidR="00961708" w:rsidRDefault="00961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C59B3"/>
    <w:multiLevelType w:val="hybridMultilevel"/>
    <w:tmpl w:val="C53E8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B0"/>
    <w:rsid w:val="00065AB3"/>
    <w:rsid w:val="000662CF"/>
    <w:rsid w:val="000B6E2E"/>
    <w:rsid w:val="00107D4C"/>
    <w:rsid w:val="00114FE5"/>
    <w:rsid w:val="001765FA"/>
    <w:rsid w:val="001817D9"/>
    <w:rsid w:val="001F0761"/>
    <w:rsid w:val="002513E9"/>
    <w:rsid w:val="002D7A7D"/>
    <w:rsid w:val="0030680E"/>
    <w:rsid w:val="00353051"/>
    <w:rsid w:val="0037061A"/>
    <w:rsid w:val="00382BE8"/>
    <w:rsid w:val="003B7E1C"/>
    <w:rsid w:val="00413F4B"/>
    <w:rsid w:val="00462EAF"/>
    <w:rsid w:val="004916C2"/>
    <w:rsid w:val="005218E1"/>
    <w:rsid w:val="005512E3"/>
    <w:rsid w:val="005F09A3"/>
    <w:rsid w:val="00627025"/>
    <w:rsid w:val="006944B8"/>
    <w:rsid w:val="0070713F"/>
    <w:rsid w:val="00754A7E"/>
    <w:rsid w:val="00773607"/>
    <w:rsid w:val="00790A67"/>
    <w:rsid w:val="007C0EBA"/>
    <w:rsid w:val="00850F2C"/>
    <w:rsid w:val="00917DC5"/>
    <w:rsid w:val="00961708"/>
    <w:rsid w:val="009A38FB"/>
    <w:rsid w:val="009A6740"/>
    <w:rsid w:val="00A24D83"/>
    <w:rsid w:val="00AA6E4B"/>
    <w:rsid w:val="00B87871"/>
    <w:rsid w:val="00BB2B63"/>
    <w:rsid w:val="00BD7CF7"/>
    <w:rsid w:val="00C6433B"/>
    <w:rsid w:val="00CF01BC"/>
    <w:rsid w:val="00D05536"/>
    <w:rsid w:val="00DA6332"/>
    <w:rsid w:val="00DD7DA2"/>
    <w:rsid w:val="00E25B85"/>
    <w:rsid w:val="00E51B0B"/>
    <w:rsid w:val="00E8014A"/>
    <w:rsid w:val="00EA2BC6"/>
    <w:rsid w:val="00EE572E"/>
    <w:rsid w:val="00F109B0"/>
    <w:rsid w:val="00F32280"/>
    <w:rsid w:val="00F80276"/>
    <w:rsid w:val="00FA2BDD"/>
    <w:rsid w:val="00FA3D4B"/>
    <w:rsid w:val="00FF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79AE"/>
  <w15:chartTrackingRefBased/>
  <w15:docId w15:val="{EB113DD3-00FD-6744-8C72-CD20378B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740"/>
    <w:pPr>
      <w:tabs>
        <w:tab w:val="center" w:pos="4680"/>
        <w:tab w:val="right" w:pos="9360"/>
      </w:tabs>
    </w:pPr>
    <w:rPr>
      <w:sz w:val="22"/>
      <w:szCs w:val="22"/>
    </w:rPr>
  </w:style>
  <w:style w:type="character" w:customStyle="1" w:styleId="HeaderChar">
    <w:name w:val="Header Char"/>
    <w:basedOn w:val="DefaultParagraphFont"/>
    <w:link w:val="Header"/>
    <w:uiPriority w:val="99"/>
    <w:rsid w:val="009A6740"/>
    <w:rPr>
      <w:sz w:val="22"/>
      <w:szCs w:val="22"/>
    </w:rPr>
  </w:style>
  <w:style w:type="table" w:styleId="TableGrid">
    <w:name w:val="Table Grid"/>
    <w:basedOn w:val="TableNormal"/>
    <w:uiPriority w:val="39"/>
    <w:rsid w:val="009A67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A6740"/>
    <w:pPr>
      <w:spacing w:after="160" w:line="259" w:lineRule="auto"/>
      <w:ind w:left="720"/>
      <w:contextualSpacing/>
    </w:pPr>
    <w:rPr>
      <w:sz w:val="22"/>
      <w:szCs w:val="22"/>
    </w:rPr>
  </w:style>
  <w:style w:type="character" w:styleId="Hyperlink">
    <w:name w:val="Hyperlink"/>
    <w:basedOn w:val="DefaultParagraphFont"/>
    <w:uiPriority w:val="99"/>
    <w:unhideWhenUsed/>
    <w:rsid w:val="009A6740"/>
    <w:rPr>
      <w:color w:val="0563C1" w:themeColor="hyperlink"/>
      <w:u w:val="single"/>
    </w:rPr>
  </w:style>
  <w:style w:type="character" w:customStyle="1" w:styleId="ListParagraphChar">
    <w:name w:val="List Paragraph Char"/>
    <w:basedOn w:val="DefaultParagraphFont"/>
    <w:link w:val="ListParagraph"/>
    <w:uiPriority w:val="34"/>
    <w:rsid w:val="009A6740"/>
    <w:rPr>
      <w:sz w:val="22"/>
      <w:szCs w:val="22"/>
    </w:rPr>
  </w:style>
  <w:style w:type="character" w:styleId="CommentReference">
    <w:name w:val="annotation reference"/>
    <w:basedOn w:val="DefaultParagraphFont"/>
    <w:uiPriority w:val="99"/>
    <w:semiHidden/>
    <w:unhideWhenUsed/>
    <w:rsid w:val="00AA6E4B"/>
    <w:rPr>
      <w:sz w:val="16"/>
      <w:szCs w:val="16"/>
    </w:rPr>
  </w:style>
  <w:style w:type="paragraph" w:styleId="CommentText">
    <w:name w:val="annotation text"/>
    <w:basedOn w:val="Normal"/>
    <w:link w:val="CommentTextChar"/>
    <w:uiPriority w:val="99"/>
    <w:semiHidden/>
    <w:unhideWhenUsed/>
    <w:rsid w:val="00AA6E4B"/>
    <w:rPr>
      <w:sz w:val="20"/>
      <w:szCs w:val="20"/>
    </w:rPr>
  </w:style>
  <w:style w:type="character" w:customStyle="1" w:styleId="CommentTextChar">
    <w:name w:val="Comment Text Char"/>
    <w:basedOn w:val="DefaultParagraphFont"/>
    <w:link w:val="CommentText"/>
    <w:uiPriority w:val="99"/>
    <w:semiHidden/>
    <w:rsid w:val="00AA6E4B"/>
    <w:rPr>
      <w:sz w:val="20"/>
      <w:szCs w:val="20"/>
    </w:rPr>
  </w:style>
  <w:style w:type="paragraph" w:styleId="CommentSubject">
    <w:name w:val="annotation subject"/>
    <w:basedOn w:val="CommentText"/>
    <w:next w:val="CommentText"/>
    <w:link w:val="CommentSubjectChar"/>
    <w:uiPriority w:val="99"/>
    <w:semiHidden/>
    <w:unhideWhenUsed/>
    <w:rsid w:val="00AA6E4B"/>
    <w:rPr>
      <w:b/>
      <w:bCs/>
    </w:rPr>
  </w:style>
  <w:style w:type="character" w:customStyle="1" w:styleId="CommentSubjectChar">
    <w:name w:val="Comment Subject Char"/>
    <w:basedOn w:val="CommentTextChar"/>
    <w:link w:val="CommentSubject"/>
    <w:uiPriority w:val="99"/>
    <w:semiHidden/>
    <w:rsid w:val="00AA6E4B"/>
    <w:rPr>
      <w:b/>
      <w:bCs/>
      <w:sz w:val="20"/>
      <w:szCs w:val="20"/>
    </w:rPr>
  </w:style>
  <w:style w:type="paragraph" w:styleId="BalloonText">
    <w:name w:val="Balloon Text"/>
    <w:basedOn w:val="Normal"/>
    <w:link w:val="BalloonTextChar"/>
    <w:uiPriority w:val="99"/>
    <w:semiHidden/>
    <w:unhideWhenUsed/>
    <w:rsid w:val="007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13F"/>
    <w:rPr>
      <w:rFonts w:ascii="Segoe UI" w:hAnsi="Segoe UI" w:cs="Segoe UI"/>
      <w:sz w:val="18"/>
      <w:szCs w:val="18"/>
    </w:rPr>
  </w:style>
  <w:style w:type="paragraph" w:customStyle="1" w:styleId="DocID">
    <w:name w:val="DocID"/>
    <w:basedOn w:val="Footer"/>
    <w:next w:val="Footer"/>
    <w:link w:val="DocIDChar"/>
    <w:rsid w:val="00754A7E"/>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HeaderChar"/>
    <w:link w:val="DocID"/>
    <w:rsid w:val="00754A7E"/>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754A7E"/>
    <w:pPr>
      <w:tabs>
        <w:tab w:val="center" w:pos="4680"/>
        <w:tab w:val="right" w:pos="9360"/>
      </w:tabs>
    </w:pPr>
  </w:style>
  <w:style w:type="character" w:customStyle="1" w:styleId="FooterChar">
    <w:name w:val="Footer Char"/>
    <w:basedOn w:val="DefaultParagraphFont"/>
    <w:link w:val="Footer"/>
    <w:uiPriority w:val="99"/>
    <w:rsid w:val="0075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(Borna) Nazmim Bhuiya</dc:creator>
  <cp:keywords/>
  <dc:description/>
  <cp:lastModifiedBy>Cioffari-Macphee, Diana (DPH)</cp:lastModifiedBy>
  <cp:revision>7</cp:revision>
  <dcterms:created xsi:type="dcterms:W3CDTF">2021-12-15T15:52:00Z</dcterms:created>
  <dcterms:modified xsi:type="dcterms:W3CDTF">2021-12-15T16:01:00Z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3857\0001\791402.3</vt:lpwstr>
  </property>
  <property fmtid="{D5CDD505-2E9C-101B-9397-08002B2CF9AE}" pid="6" name="CUS_DocIDChunk0">
    <vt:lpwstr>3857\0001\791402.3</vt:lpwstr>
  </property>
  <property fmtid="{D5CDD505-2E9C-101B-9397-08002B2CF9AE}" pid="7" name="_MarkAsFinal">
    <vt:bool>true</vt:bool>
  </property>
</Properties>
</file>