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B4660" w14:textId="73020C1D" w:rsidR="00276B07" w:rsidRPr="003C573B" w:rsidRDefault="00E83D6A" w:rsidP="00E83D6A">
      <w:pPr>
        <w:jc w:val="center"/>
        <w:rPr>
          <w:rFonts w:ascii="Calibri" w:hAnsi="Calibri" w:cs="Calibri"/>
          <w:b/>
          <w:bCs/>
        </w:rPr>
      </w:pPr>
      <w:r w:rsidRPr="003C573B">
        <w:rPr>
          <w:rFonts w:ascii="Calibri" w:hAnsi="Calibri" w:cs="Calibri"/>
          <w:b/>
          <w:bCs/>
        </w:rPr>
        <w:t xml:space="preserve">Don Questions </w:t>
      </w:r>
      <w:proofErr w:type="gramStart"/>
      <w:r w:rsidRPr="003C573B">
        <w:rPr>
          <w:rFonts w:ascii="Calibri" w:hAnsi="Calibri" w:cs="Calibri"/>
          <w:b/>
          <w:bCs/>
        </w:rPr>
        <w:t>For</w:t>
      </w:r>
      <w:proofErr w:type="gramEnd"/>
      <w:r w:rsidRPr="003C573B">
        <w:rPr>
          <w:rFonts w:ascii="Calibri" w:hAnsi="Calibri" w:cs="Calibri"/>
          <w:b/>
          <w:bCs/>
        </w:rPr>
        <w:t xml:space="preserve"> The Applicant</w:t>
      </w:r>
      <w:r w:rsidR="00276B07" w:rsidRPr="003C573B">
        <w:rPr>
          <w:rFonts w:ascii="Calibri" w:hAnsi="Calibri" w:cs="Calibri"/>
          <w:b/>
          <w:bCs/>
        </w:rPr>
        <w:t xml:space="preserve"> </w:t>
      </w:r>
      <w:r w:rsidR="000F1135">
        <w:rPr>
          <w:rFonts w:ascii="Calibri" w:hAnsi="Calibri" w:cs="Calibri"/>
          <w:b/>
          <w:bCs/>
        </w:rPr>
        <w:t xml:space="preserve">Due to the Program by </w:t>
      </w:r>
    </w:p>
    <w:p w14:paraId="624D3CD1" w14:textId="77777777" w:rsidR="00D06D39" w:rsidRPr="003C573B" w:rsidRDefault="00D06D39" w:rsidP="00E83D6A">
      <w:pPr>
        <w:jc w:val="center"/>
        <w:rPr>
          <w:rFonts w:ascii="Calibri" w:hAnsi="Calibri" w:cs="Calibri"/>
        </w:rPr>
      </w:pPr>
      <w:r w:rsidRPr="003C573B">
        <w:rPr>
          <w:rFonts w:ascii="Calibri" w:hAnsi="Calibri" w:cs="Calibri"/>
          <w:i/>
          <w:iCs/>
        </w:rPr>
        <w:t xml:space="preserve">Responses should be sent to </w:t>
      </w:r>
      <w:proofErr w:type="spellStart"/>
      <w:r w:rsidRPr="003C573B">
        <w:rPr>
          <w:rFonts w:ascii="Calibri" w:hAnsi="Calibri" w:cs="Calibri"/>
          <w:i/>
          <w:iCs/>
        </w:rPr>
        <w:t>DoN</w:t>
      </w:r>
      <w:proofErr w:type="spellEnd"/>
      <w:r w:rsidRPr="003C573B">
        <w:rPr>
          <w:rFonts w:ascii="Calibri" w:hAnsi="Calibri" w:cs="Calibri"/>
          <w:i/>
          <w:iCs/>
        </w:rPr>
        <w:t xml:space="preserve"> staff at </w:t>
      </w:r>
      <w:hyperlink r:id="rId9" w:history="1">
        <w:r w:rsidRPr="003C573B">
          <w:rPr>
            <w:rStyle w:val="Hyperlink"/>
            <w:rFonts w:ascii="Calibri" w:hAnsi="Calibri" w:cs="Calibri"/>
          </w:rPr>
          <w:t>DPH.DON@State.MA.US</w:t>
        </w:r>
      </w:hyperlink>
    </w:p>
    <w:tbl>
      <w:tblPr>
        <w:tblStyle w:val="TableGrid"/>
        <w:tblW w:w="0" w:type="auto"/>
        <w:jc w:val="center"/>
        <w:tblLook w:val="04A0" w:firstRow="1" w:lastRow="0" w:firstColumn="1" w:lastColumn="0" w:noHBand="0" w:noVBand="1"/>
      </w:tblPr>
      <w:tblGrid>
        <w:gridCol w:w="9350"/>
      </w:tblGrid>
      <w:tr w:rsidR="00D06D39" w:rsidRPr="003C573B" w14:paraId="563B19C6" w14:textId="77777777" w:rsidTr="008F24C7">
        <w:trPr>
          <w:jc w:val="center"/>
        </w:trPr>
        <w:tc>
          <w:tcPr>
            <w:tcW w:w="9350" w:type="dxa"/>
          </w:tcPr>
          <w:p w14:paraId="4822FDC2" w14:textId="77777777" w:rsidR="00D06D39" w:rsidRPr="003C573B" w:rsidRDefault="00D06D39" w:rsidP="00EC2964">
            <w:pPr>
              <w:rPr>
                <w:rFonts w:ascii="Calibri" w:hAnsi="Calibri" w:cs="Calibri"/>
                <w:bCs/>
              </w:rPr>
            </w:pPr>
            <w:r w:rsidRPr="003C573B">
              <w:rPr>
                <w:rFonts w:ascii="Calibri" w:hAnsi="Calibri" w:cs="Calibri"/>
                <w:bCs/>
              </w:rPr>
              <w:t xml:space="preserve">While you may submit each answer as available, please </w:t>
            </w:r>
          </w:p>
          <w:p w14:paraId="016DE188" w14:textId="178DF2CA" w:rsidR="00D06D39" w:rsidRPr="003C573B" w:rsidRDefault="00D06D39" w:rsidP="00EC2964">
            <w:pPr>
              <w:numPr>
                <w:ilvl w:val="0"/>
                <w:numId w:val="2"/>
              </w:numPr>
              <w:rPr>
                <w:rFonts w:ascii="Calibri" w:hAnsi="Calibri" w:cs="Calibri"/>
                <w:bCs/>
              </w:rPr>
            </w:pPr>
            <w:r w:rsidRPr="003C573B">
              <w:rPr>
                <w:rFonts w:ascii="Calibri" w:hAnsi="Calibri" w:cs="Calibri"/>
                <w:bCs/>
              </w:rPr>
              <w:t xml:space="preserve">List question number and question for each answer you </w:t>
            </w:r>
            <w:proofErr w:type="gramStart"/>
            <w:r w:rsidRPr="003C573B">
              <w:rPr>
                <w:rFonts w:ascii="Calibri" w:hAnsi="Calibri" w:cs="Calibri"/>
                <w:bCs/>
              </w:rPr>
              <w:t>provide</w:t>
            </w:r>
            <w:r w:rsidR="00E83D6A" w:rsidRPr="003C573B">
              <w:rPr>
                <w:rFonts w:ascii="Calibri" w:hAnsi="Calibri" w:cs="Calibri"/>
                <w:bCs/>
              </w:rPr>
              <w:t>;</w:t>
            </w:r>
            <w:proofErr w:type="gramEnd"/>
          </w:p>
          <w:p w14:paraId="6F71E104" w14:textId="3BA7EF13" w:rsidR="00D06D39" w:rsidRPr="003C573B" w:rsidRDefault="00D06D39" w:rsidP="00EC2964">
            <w:pPr>
              <w:numPr>
                <w:ilvl w:val="0"/>
                <w:numId w:val="2"/>
              </w:numPr>
              <w:rPr>
                <w:rFonts w:ascii="Calibri" w:hAnsi="Calibri" w:cs="Calibri"/>
                <w:bCs/>
              </w:rPr>
            </w:pPr>
            <w:r w:rsidRPr="003C573B">
              <w:rPr>
                <w:rFonts w:ascii="Calibri" w:hAnsi="Calibri" w:cs="Calibri"/>
                <w:bCs/>
              </w:rPr>
              <w:t xml:space="preserve">Submit responses as a separate word document, using the above application title and number as a running header and page numbers in the </w:t>
            </w:r>
            <w:proofErr w:type="gramStart"/>
            <w:r w:rsidRPr="003C573B">
              <w:rPr>
                <w:rFonts w:ascii="Calibri" w:hAnsi="Calibri" w:cs="Calibri"/>
                <w:bCs/>
              </w:rPr>
              <w:t>footer</w:t>
            </w:r>
            <w:r w:rsidR="00E83D6A" w:rsidRPr="003C573B">
              <w:rPr>
                <w:rFonts w:ascii="Calibri" w:hAnsi="Calibri" w:cs="Calibri"/>
                <w:bCs/>
              </w:rPr>
              <w:t>;</w:t>
            </w:r>
            <w:proofErr w:type="gramEnd"/>
            <w:r w:rsidRPr="003C573B">
              <w:rPr>
                <w:rFonts w:ascii="Calibri" w:hAnsi="Calibri" w:cs="Calibri"/>
                <w:bCs/>
              </w:rPr>
              <w:t xml:space="preserve"> </w:t>
            </w:r>
          </w:p>
          <w:p w14:paraId="7ED242A6" w14:textId="641B83C9" w:rsidR="00D06D39" w:rsidRPr="003C573B" w:rsidRDefault="00D06D39" w:rsidP="00EC2964">
            <w:pPr>
              <w:numPr>
                <w:ilvl w:val="0"/>
                <w:numId w:val="2"/>
              </w:numPr>
              <w:rPr>
                <w:rFonts w:ascii="Calibri" w:hAnsi="Calibri" w:cs="Calibri"/>
                <w:bCs/>
              </w:rPr>
            </w:pPr>
            <w:r w:rsidRPr="003C573B">
              <w:rPr>
                <w:rFonts w:ascii="Calibri" w:hAnsi="Calibri" w:cs="Calibri"/>
                <w:bCs/>
              </w:rPr>
              <w:t xml:space="preserve">When providing the answer to the final question, submit all questions and answers in one final </w:t>
            </w:r>
            <w:proofErr w:type="gramStart"/>
            <w:r w:rsidRPr="003C573B">
              <w:rPr>
                <w:rFonts w:ascii="Calibri" w:hAnsi="Calibri" w:cs="Calibri"/>
                <w:bCs/>
              </w:rPr>
              <w:t>document</w:t>
            </w:r>
            <w:r w:rsidR="00E83D6A" w:rsidRPr="003C573B">
              <w:rPr>
                <w:rFonts w:ascii="Calibri" w:hAnsi="Calibri" w:cs="Calibri"/>
                <w:bCs/>
              </w:rPr>
              <w:t>;</w:t>
            </w:r>
            <w:proofErr w:type="gramEnd"/>
          </w:p>
          <w:p w14:paraId="601076CD" w14:textId="77777777" w:rsidR="00D06D39" w:rsidRPr="000559AB" w:rsidRDefault="00986AC1" w:rsidP="00EC2964">
            <w:pPr>
              <w:numPr>
                <w:ilvl w:val="0"/>
                <w:numId w:val="2"/>
              </w:numPr>
              <w:rPr>
                <w:rFonts w:ascii="Calibri" w:hAnsi="Calibri" w:cs="Calibri"/>
                <w:bCs/>
              </w:rPr>
            </w:pPr>
            <w:r w:rsidRPr="000559AB">
              <w:rPr>
                <w:rFonts w:ascii="Calibri" w:eastAsia="Calibri" w:hAnsi="Calibri" w:cs="Calibri"/>
                <w:bCs/>
                <w:sz w:val="22"/>
                <w:szCs w:val="22"/>
              </w:rPr>
              <w:t xml:space="preserve">Submit responses in WORD or </w:t>
            </w:r>
            <w:proofErr w:type="gramStart"/>
            <w:r w:rsidRPr="000559AB">
              <w:rPr>
                <w:rFonts w:ascii="Calibri" w:eastAsia="Calibri" w:hAnsi="Calibri" w:cs="Calibri"/>
                <w:bCs/>
                <w:sz w:val="22"/>
                <w:szCs w:val="22"/>
              </w:rPr>
              <w:t>EXCEL;  include</w:t>
            </w:r>
            <w:proofErr w:type="gramEnd"/>
            <w:r w:rsidRPr="000559AB">
              <w:rPr>
                <w:rFonts w:ascii="Calibri" w:eastAsia="Calibri" w:hAnsi="Calibri" w:cs="Calibri"/>
                <w:bCs/>
                <w:sz w:val="22"/>
                <w:szCs w:val="22"/>
              </w:rPr>
              <w:t xml:space="preserve"> a table in </w:t>
            </w:r>
            <w:bookmarkStart w:id="0" w:name="_Hlk175303805"/>
            <w:r w:rsidRPr="000559AB">
              <w:rPr>
                <w:rFonts w:ascii="Calibri" w:eastAsia="Calibri" w:hAnsi="Calibri" w:cs="Calibri"/>
                <w:bCs/>
                <w:sz w:val="22"/>
                <w:szCs w:val="22"/>
              </w:rPr>
              <w:t>data format (NOT pdf or picture</w:t>
            </w:r>
            <w:bookmarkEnd w:id="0"/>
            <w:r w:rsidRPr="000559AB">
              <w:rPr>
                <w:rFonts w:ascii="Calibri" w:eastAsia="Calibri" w:hAnsi="Calibri" w:cs="Calibri"/>
                <w:bCs/>
                <w:sz w:val="22"/>
                <w:szCs w:val="22"/>
              </w:rPr>
              <w:t>) with the response.</w:t>
            </w:r>
          </w:p>
          <w:p w14:paraId="2096DA22" w14:textId="7298165A" w:rsidR="00986AC1" w:rsidRPr="003C573B" w:rsidRDefault="00986AC1" w:rsidP="00EC2964">
            <w:pPr>
              <w:numPr>
                <w:ilvl w:val="0"/>
                <w:numId w:val="2"/>
              </w:numPr>
              <w:rPr>
                <w:rFonts w:ascii="Calibri" w:hAnsi="Calibri" w:cs="Calibri"/>
                <w:b/>
              </w:rPr>
            </w:pPr>
            <w:r w:rsidRPr="000559AB">
              <w:rPr>
                <w:rFonts w:ascii="Calibri" w:eastAsia="Calibri" w:hAnsi="Calibri" w:cs="Calibri"/>
                <w:bCs/>
                <w:sz w:val="22"/>
                <w:szCs w:val="22"/>
              </w:rPr>
              <w:t>When providing a table of data, provide a narrative explaining the trends or significance of that information (such as what reason for the year over year changes are attributed to and how it relates to information already provided.)</w:t>
            </w:r>
          </w:p>
        </w:tc>
      </w:tr>
    </w:tbl>
    <w:p w14:paraId="74323DF0" w14:textId="77777777" w:rsidR="000559AB" w:rsidRDefault="000559AB" w:rsidP="000559AB">
      <w:pPr>
        <w:rPr>
          <w:rFonts w:ascii="Calibri" w:hAnsi="Calibri" w:cs="Calibri"/>
        </w:rPr>
      </w:pPr>
    </w:p>
    <w:p w14:paraId="3458AF73" w14:textId="551EA64F" w:rsidR="00D06D39" w:rsidRPr="003C573B" w:rsidRDefault="000559AB" w:rsidP="00D06D39">
      <w:pPr>
        <w:rPr>
          <w:rFonts w:ascii="Calibri" w:hAnsi="Calibri" w:cs="Calibri"/>
        </w:rPr>
      </w:pPr>
      <w:proofErr w:type="gramStart"/>
      <w:r w:rsidRPr="000559AB">
        <w:rPr>
          <w:rFonts w:ascii="Calibri" w:hAnsi="Calibri" w:cs="Calibri"/>
        </w:rPr>
        <w:t>In order for</w:t>
      </w:r>
      <w:proofErr w:type="gramEnd"/>
      <w:r w:rsidRPr="000559AB">
        <w:rPr>
          <w:rFonts w:ascii="Calibri" w:hAnsi="Calibri" w:cs="Calibri"/>
        </w:rPr>
        <w:t xml:space="preserve"> us to keep on track and review this project in a timely manner, </w:t>
      </w:r>
      <w:r w:rsidRPr="000559AB">
        <w:rPr>
          <w:rFonts w:ascii="Calibri" w:hAnsi="Calibri" w:cs="Calibri"/>
          <w:b/>
          <w:bCs/>
        </w:rPr>
        <w:t>please return by September 5</w:t>
      </w:r>
      <w:r w:rsidRPr="000559AB">
        <w:rPr>
          <w:rFonts w:ascii="Calibri" w:hAnsi="Calibri" w:cs="Calibri"/>
          <w:b/>
          <w:bCs/>
          <w:vertAlign w:val="superscript"/>
        </w:rPr>
        <w:t>th</w:t>
      </w:r>
      <w:r w:rsidRPr="000559AB">
        <w:rPr>
          <w:rFonts w:ascii="Calibri" w:hAnsi="Calibri" w:cs="Calibri"/>
          <w:b/>
          <w:bCs/>
        </w:rPr>
        <w:t>.</w:t>
      </w:r>
      <w:r w:rsidRPr="000559AB">
        <w:rPr>
          <w:rFonts w:ascii="Calibri" w:hAnsi="Calibri" w:cs="Calibri"/>
        </w:rPr>
        <w:t xml:space="preserve"> You may respond on a rolling basis with </w:t>
      </w:r>
      <w:proofErr w:type="gramStart"/>
      <w:r w:rsidRPr="000559AB">
        <w:rPr>
          <w:rFonts w:ascii="Calibri" w:hAnsi="Calibri" w:cs="Calibri"/>
        </w:rPr>
        <w:t>all of</w:t>
      </w:r>
      <w:proofErr w:type="gramEnd"/>
      <w:r w:rsidRPr="000559AB">
        <w:rPr>
          <w:rFonts w:ascii="Calibri" w:hAnsi="Calibri" w:cs="Calibri"/>
        </w:rPr>
        <w:t xml:space="preserve"> the responses amalgamated</w:t>
      </w:r>
      <w:r>
        <w:rPr>
          <w:rFonts w:ascii="Calibri" w:hAnsi="Calibri" w:cs="Calibri"/>
        </w:rPr>
        <w:t xml:space="preserve"> in order</w:t>
      </w:r>
      <w:r w:rsidRPr="000559AB">
        <w:rPr>
          <w:rFonts w:ascii="Calibri" w:hAnsi="Calibri" w:cs="Calibri"/>
        </w:rPr>
        <w:t xml:space="preserve"> into one final document.</w:t>
      </w:r>
      <w:r>
        <w:rPr>
          <w:rFonts w:ascii="Calibri" w:hAnsi="Calibri" w:cs="Calibri"/>
        </w:rPr>
        <w:t xml:space="preserve"> </w:t>
      </w:r>
    </w:p>
    <w:p w14:paraId="05B5804E" w14:textId="77777777" w:rsidR="00AA4DB2" w:rsidRPr="003C573B" w:rsidRDefault="00AA4DB2" w:rsidP="00AA4DB2">
      <w:pPr>
        <w:pStyle w:val="ListParagraph"/>
        <w:spacing w:after="240" w:line="240" w:lineRule="auto"/>
        <w:rPr>
          <w:rFonts w:ascii="Calibri" w:hAnsi="Calibri" w:cs="Calibri"/>
        </w:rPr>
      </w:pPr>
    </w:p>
    <w:p w14:paraId="242A939F" w14:textId="32831AFE" w:rsidR="000F1135" w:rsidRPr="005726AC" w:rsidRDefault="000F1135" w:rsidP="005726AC">
      <w:pPr>
        <w:pStyle w:val="ListParagraph"/>
        <w:numPr>
          <w:ilvl w:val="0"/>
          <w:numId w:val="1"/>
        </w:numPr>
        <w:spacing w:after="0" w:line="240" w:lineRule="auto"/>
        <w:rPr>
          <w:rFonts w:ascii="Calibri" w:hAnsi="Calibri" w:cs="Calibri"/>
        </w:rPr>
      </w:pPr>
      <w:r w:rsidRPr="005726AC">
        <w:rPr>
          <w:rFonts w:ascii="Calibri" w:hAnsi="Calibri" w:cs="Calibri"/>
        </w:rPr>
        <w:t>You note that after the COVID pandemic the patient panel grew due to hiring physicians and assuming patients from the closure of Compass Medical.  Please provide more information on the scope of these occurrences.</w:t>
      </w:r>
    </w:p>
    <w:p w14:paraId="5D1CFA56" w14:textId="574D6E5C" w:rsidR="009E5228" w:rsidRPr="002057D9" w:rsidRDefault="006C40DE" w:rsidP="005726AC">
      <w:pPr>
        <w:pStyle w:val="ListParagraph"/>
        <w:spacing w:after="0" w:line="240" w:lineRule="auto"/>
        <w:rPr>
          <w:rFonts w:ascii="Calibri" w:hAnsi="Calibri" w:cs="Calibri"/>
          <w:color w:val="A20000"/>
        </w:rPr>
      </w:pPr>
      <w:r w:rsidRPr="002057D9">
        <w:rPr>
          <w:rFonts w:ascii="Calibri" w:hAnsi="Calibri" w:cs="Calibri"/>
          <w:color w:val="A20000"/>
        </w:rPr>
        <w:t xml:space="preserve">From 2021 to 2023, </w:t>
      </w:r>
      <w:r w:rsidR="00135D6C" w:rsidRPr="002057D9">
        <w:rPr>
          <w:rFonts w:ascii="Calibri" w:hAnsi="Calibri" w:cs="Calibri"/>
          <w:color w:val="A20000"/>
        </w:rPr>
        <w:t>the Applicants’</w:t>
      </w:r>
      <w:r w:rsidRPr="002057D9">
        <w:rPr>
          <w:rFonts w:ascii="Calibri" w:hAnsi="Calibri" w:cs="Calibri"/>
          <w:color w:val="A20000"/>
        </w:rPr>
        <w:t xml:space="preserve"> </w:t>
      </w:r>
      <w:r w:rsidR="004414EE" w:rsidRPr="002057D9">
        <w:rPr>
          <w:rFonts w:ascii="Calibri" w:hAnsi="Calibri" w:cs="Calibri"/>
          <w:color w:val="A20000"/>
        </w:rPr>
        <w:t>p</w:t>
      </w:r>
      <w:r w:rsidRPr="002057D9">
        <w:rPr>
          <w:rFonts w:ascii="Calibri" w:hAnsi="Calibri" w:cs="Calibri"/>
          <w:color w:val="A20000"/>
        </w:rPr>
        <w:t xml:space="preserve">rimary </w:t>
      </w:r>
      <w:r w:rsidR="004414EE" w:rsidRPr="002057D9">
        <w:rPr>
          <w:rFonts w:ascii="Calibri" w:hAnsi="Calibri" w:cs="Calibri"/>
          <w:color w:val="A20000"/>
        </w:rPr>
        <w:t>c</w:t>
      </w:r>
      <w:r w:rsidRPr="002057D9">
        <w:rPr>
          <w:rFonts w:ascii="Calibri" w:hAnsi="Calibri" w:cs="Calibri"/>
          <w:color w:val="A20000"/>
        </w:rPr>
        <w:t xml:space="preserve">are </w:t>
      </w:r>
      <w:r w:rsidR="004414EE" w:rsidRPr="002057D9">
        <w:rPr>
          <w:rFonts w:ascii="Calibri" w:hAnsi="Calibri" w:cs="Calibri"/>
          <w:color w:val="A20000"/>
        </w:rPr>
        <w:t>p</w:t>
      </w:r>
      <w:r w:rsidRPr="002057D9">
        <w:rPr>
          <w:rFonts w:ascii="Calibri" w:hAnsi="Calibri" w:cs="Calibri"/>
          <w:color w:val="A20000"/>
        </w:rPr>
        <w:t xml:space="preserve">rovider FTEs grew by </w:t>
      </w:r>
      <w:r w:rsidR="00A12E49" w:rsidRPr="002057D9">
        <w:rPr>
          <w:rFonts w:ascii="Calibri" w:hAnsi="Calibri" w:cs="Calibri"/>
          <w:color w:val="A20000"/>
        </w:rPr>
        <w:t xml:space="preserve">22.27 FTEs, this includes the </w:t>
      </w:r>
      <w:r w:rsidR="004414EE" w:rsidRPr="002057D9">
        <w:rPr>
          <w:rFonts w:ascii="Calibri" w:hAnsi="Calibri" w:cs="Calibri"/>
          <w:color w:val="A20000"/>
        </w:rPr>
        <w:t>p</w:t>
      </w:r>
      <w:r w:rsidR="00A12E49" w:rsidRPr="002057D9">
        <w:rPr>
          <w:rFonts w:ascii="Calibri" w:hAnsi="Calibri" w:cs="Calibri"/>
          <w:color w:val="A20000"/>
        </w:rPr>
        <w:t xml:space="preserve">rimary </w:t>
      </w:r>
      <w:r w:rsidR="004414EE" w:rsidRPr="002057D9">
        <w:rPr>
          <w:rFonts w:ascii="Calibri" w:hAnsi="Calibri" w:cs="Calibri"/>
          <w:color w:val="A20000"/>
        </w:rPr>
        <w:t>c</w:t>
      </w:r>
      <w:r w:rsidR="00A12E49" w:rsidRPr="002057D9">
        <w:rPr>
          <w:rFonts w:ascii="Calibri" w:hAnsi="Calibri" w:cs="Calibri"/>
          <w:color w:val="A20000"/>
        </w:rPr>
        <w:t xml:space="preserve">are </w:t>
      </w:r>
      <w:r w:rsidR="004414EE" w:rsidRPr="002057D9">
        <w:rPr>
          <w:rFonts w:ascii="Calibri" w:hAnsi="Calibri" w:cs="Calibri"/>
          <w:color w:val="A20000"/>
        </w:rPr>
        <w:t>p</w:t>
      </w:r>
      <w:r w:rsidR="00A12E49" w:rsidRPr="002057D9">
        <w:rPr>
          <w:rFonts w:ascii="Calibri" w:hAnsi="Calibri" w:cs="Calibri"/>
          <w:color w:val="A20000"/>
        </w:rPr>
        <w:t>roviders that previously worked at Compass Medical</w:t>
      </w:r>
      <w:r w:rsidR="00985743" w:rsidRPr="002057D9">
        <w:rPr>
          <w:rFonts w:ascii="Calibri" w:hAnsi="Calibri" w:cs="Calibri"/>
          <w:color w:val="A20000"/>
        </w:rPr>
        <w:t xml:space="preserve">. </w:t>
      </w:r>
      <w:r w:rsidRPr="002057D9">
        <w:rPr>
          <w:rFonts w:ascii="Calibri" w:hAnsi="Calibri" w:cs="Calibri"/>
          <w:color w:val="A20000"/>
        </w:rPr>
        <w:t xml:space="preserve"> </w:t>
      </w:r>
      <w:r w:rsidR="00C60A6B" w:rsidRPr="002057D9">
        <w:rPr>
          <w:rFonts w:ascii="Calibri" w:hAnsi="Calibri" w:cs="Calibri"/>
          <w:color w:val="A20000"/>
        </w:rPr>
        <w:t>Th</w:t>
      </w:r>
      <w:r w:rsidR="004414EE" w:rsidRPr="002057D9">
        <w:rPr>
          <w:rFonts w:ascii="Calibri" w:hAnsi="Calibri" w:cs="Calibri"/>
          <w:color w:val="A20000"/>
        </w:rPr>
        <w:t>e addition of these FTEs</w:t>
      </w:r>
      <w:r w:rsidR="00C60A6B" w:rsidRPr="002057D9">
        <w:rPr>
          <w:rFonts w:ascii="Calibri" w:hAnsi="Calibri" w:cs="Calibri"/>
          <w:color w:val="A20000"/>
        </w:rPr>
        <w:t xml:space="preserve"> resulted in</w:t>
      </w:r>
      <w:r w:rsidRPr="002057D9">
        <w:rPr>
          <w:rFonts w:ascii="Calibri" w:hAnsi="Calibri" w:cs="Calibri"/>
          <w:color w:val="A20000"/>
        </w:rPr>
        <w:t xml:space="preserve"> </w:t>
      </w:r>
      <w:r w:rsidR="00D9119D" w:rsidRPr="002057D9">
        <w:rPr>
          <w:rFonts w:ascii="Calibri" w:hAnsi="Calibri" w:cs="Calibri"/>
          <w:color w:val="A20000"/>
        </w:rPr>
        <w:t>the Applicant’s</w:t>
      </w:r>
      <w:r w:rsidRPr="002057D9">
        <w:rPr>
          <w:rFonts w:ascii="Calibri" w:hAnsi="Calibri" w:cs="Calibri"/>
          <w:color w:val="A20000"/>
        </w:rPr>
        <w:t xml:space="preserve"> patient panel growing </w:t>
      </w:r>
      <w:r w:rsidR="00655700" w:rsidRPr="002057D9">
        <w:rPr>
          <w:rFonts w:ascii="Calibri" w:hAnsi="Calibri" w:cs="Calibri"/>
          <w:color w:val="A20000"/>
        </w:rPr>
        <w:t xml:space="preserve">during this period </w:t>
      </w:r>
      <w:r w:rsidRPr="002057D9">
        <w:rPr>
          <w:rFonts w:ascii="Calibri" w:hAnsi="Calibri" w:cs="Calibri"/>
          <w:color w:val="A20000"/>
        </w:rPr>
        <w:t xml:space="preserve">by 17,894 new </w:t>
      </w:r>
      <w:r w:rsidR="00655700" w:rsidRPr="002057D9">
        <w:rPr>
          <w:rFonts w:ascii="Calibri" w:hAnsi="Calibri" w:cs="Calibri"/>
          <w:color w:val="A20000"/>
        </w:rPr>
        <w:t xml:space="preserve">unique </w:t>
      </w:r>
      <w:r w:rsidRPr="002057D9">
        <w:rPr>
          <w:rFonts w:ascii="Calibri" w:hAnsi="Calibri" w:cs="Calibri"/>
          <w:color w:val="A20000"/>
        </w:rPr>
        <w:t>patients</w:t>
      </w:r>
      <w:r w:rsidR="00C60A6B" w:rsidRPr="002057D9">
        <w:rPr>
          <w:rFonts w:ascii="Calibri" w:hAnsi="Calibri" w:cs="Calibri"/>
          <w:color w:val="A20000"/>
        </w:rPr>
        <w:t xml:space="preserve"> from Compass Medical.</w:t>
      </w:r>
    </w:p>
    <w:p w14:paraId="2ADA705F" w14:textId="67A25A92" w:rsidR="00655700" w:rsidRDefault="00655700">
      <w:pPr>
        <w:rPr>
          <w:rFonts w:ascii="Calibri" w:hAnsi="Calibri" w:cs="Calibri"/>
        </w:rPr>
      </w:pPr>
      <w:r>
        <w:rPr>
          <w:rFonts w:ascii="Calibri" w:hAnsi="Calibri" w:cs="Calibri"/>
        </w:rPr>
        <w:br w:type="page"/>
      </w:r>
    </w:p>
    <w:p w14:paraId="5A7988C0" w14:textId="77777777" w:rsidR="00CC3BE4" w:rsidRPr="005726AC" w:rsidRDefault="00CC3BE4" w:rsidP="005726AC">
      <w:pPr>
        <w:pStyle w:val="ListParagraph"/>
        <w:spacing w:after="0" w:line="240" w:lineRule="auto"/>
        <w:rPr>
          <w:rFonts w:ascii="Calibri" w:hAnsi="Calibri" w:cs="Calibri"/>
        </w:rPr>
      </w:pPr>
    </w:p>
    <w:p w14:paraId="3E73CF8E" w14:textId="77777777" w:rsidR="00AC5267" w:rsidRDefault="00AC461C" w:rsidP="005726AC">
      <w:pPr>
        <w:pStyle w:val="ListParagraph"/>
        <w:numPr>
          <w:ilvl w:val="0"/>
          <w:numId w:val="1"/>
        </w:numPr>
        <w:spacing w:after="0" w:line="240" w:lineRule="auto"/>
        <w:rPr>
          <w:rFonts w:ascii="Calibri" w:hAnsi="Calibri" w:cs="Calibri"/>
        </w:rPr>
      </w:pPr>
      <w:r w:rsidRPr="005726AC">
        <w:rPr>
          <w:rFonts w:ascii="Calibri" w:hAnsi="Calibri" w:cs="Calibri"/>
        </w:rPr>
        <w:t>Please provide the gender for the patient panel and for the</w:t>
      </w:r>
      <w:r w:rsidR="009E5228" w:rsidRPr="005726AC">
        <w:rPr>
          <w:rFonts w:ascii="Calibri" w:hAnsi="Calibri" w:cs="Calibri"/>
        </w:rPr>
        <w:t xml:space="preserve"> Surgical cases.</w:t>
      </w:r>
    </w:p>
    <w:p w14:paraId="503091B6" w14:textId="77777777" w:rsidR="00FF4853" w:rsidRPr="002057D9" w:rsidRDefault="00FF4853" w:rsidP="00AC5267">
      <w:pPr>
        <w:pStyle w:val="ListParagraph"/>
        <w:spacing w:after="0" w:line="240" w:lineRule="auto"/>
        <w:rPr>
          <w:rFonts w:ascii="Calibri" w:hAnsi="Calibri" w:cs="Calibri"/>
          <w:b/>
          <w:bCs/>
          <w:color w:val="A20000"/>
        </w:rPr>
      </w:pPr>
    </w:p>
    <w:p w14:paraId="6BF5770A" w14:textId="6ECCD008" w:rsidR="00FF4853" w:rsidRPr="002057D9" w:rsidRDefault="00FF4853" w:rsidP="00AC5267">
      <w:pPr>
        <w:pStyle w:val="ListParagraph"/>
        <w:spacing w:after="0" w:line="240" w:lineRule="auto"/>
        <w:rPr>
          <w:rFonts w:ascii="Calibri" w:hAnsi="Calibri" w:cs="Calibri"/>
          <w:b/>
          <w:bCs/>
          <w:color w:val="A20000"/>
        </w:rPr>
      </w:pPr>
      <w:r w:rsidRPr="002057D9">
        <w:rPr>
          <w:rFonts w:ascii="Calibri" w:hAnsi="Calibri" w:cs="Calibri"/>
          <w:b/>
          <w:bCs/>
          <w:color w:val="A20000"/>
        </w:rPr>
        <w:t>Table 1. Patient Panel</w:t>
      </w:r>
    </w:p>
    <w:tbl>
      <w:tblPr>
        <w:tblW w:w="9710" w:type="dxa"/>
        <w:tblLook w:val="04A0" w:firstRow="1" w:lastRow="0" w:firstColumn="1" w:lastColumn="0" w:noHBand="0" w:noVBand="1"/>
      </w:tblPr>
      <w:tblGrid>
        <w:gridCol w:w="2020"/>
        <w:gridCol w:w="942"/>
        <w:gridCol w:w="15"/>
        <w:gridCol w:w="957"/>
        <w:gridCol w:w="942"/>
        <w:gridCol w:w="15"/>
        <w:gridCol w:w="957"/>
        <w:gridCol w:w="942"/>
        <w:gridCol w:w="15"/>
        <w:gridCol w:w="957"/>
        <w:gridCol w:w="942"/>
        <w:gridCol w:w="32"/>
        <w:gridCol w:w="974"/>
      </w:tblGrid>
      <w:tr w:rsidR="006C237A" w:rsidRPr="00FF4853" w14:paraId="3155AA77" w14:textId="77777777" w:rsidTr="009B45BD">
        <w:trPr>
          <w:cantSplit/>
          <w:trHeight w:val="315"/>
          <w:tblHeader/>
        </w:trPr>
        <w:tc>
          <w:tcPr>
            <w:tcW w:w="2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C35851" w14:textId="77777777" w:rsidR="006C237A" w:rsidRPr="00FF4853" w:rsidRDefault="006C237A"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 </w:t>
            </w:r>
          </w:p>
        </w:tc>
        <w:tc>
          <w:tcPr>
            <w:tcW w:w="957" w:type="dxa"/>
            <w:gridSpan w:val="2"/>
            <w:tcBorders>
              <w:top w:val="single" w:sz="8" w:space="0" w:color="auto"/>
              <w:left w:val="nil"/>
              <w:bottom w:val="single" w:sz="8" w:space="0" w:color="auto"/>
            </w:tcBorders>
            <w:shd w:val="clear" w:color="auto" w:fill="auto"/>
            <w:vAlign w:val="center"/>
          </w:tcPr>
          <w:p w14:paraId="1C62789C" w14:textId="77777777" w:rsidR="006C237A" w:rsidRPr="00FF4853" w:rsidRDefault="006C237A"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CY2020</w:t>
            </w:r>
          </w:p>
        </w:tc>
        <w:tc>
          <w:tcPr>
            <w:tcW w:w="957" w:type="dxa"/>
            <w:tcBorders>
              <w:top w:val="single" w:sz="8" w:space="0" w:color="auto"/>
              <w:left w:val="nil"/>
              <w:bottom w:val="single" w:sz="8" w:space="0" w:color="auto"/>
              <w:right w:val="single" w:sz="8" w:space="0" w:color="000000"/>
            </w:tcBorders>
            <w:shd w:val="clear" w:color="auto" w:fill="auto"/>
            <w:vAlign w:val="center"/>
          </w:tcPr>
          <w:p w14:paraId="361FF7BD" w14:textId="325F55E4" w:rsidR="006C237A" w:rsidRPr="00FF4853" w:rsidRDefault="006C237A"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CY2020</w:t>
            </w:r>
          </w:p>
        </w:tc>
        <w:tc>
          <w:tcPr>
            <w:tcW w:w="957" w:type="dxa"/>
            <w:gridSpan w:val="2"/>
            <w:tcBorders>
              <w:top w:val="single" w:sz="8" w:space="0" w:color="auto"/>
              <w:left w:val="nil"/>
              <w:bottom w:val="single" w:sz="8" w:space="0" w:color="auto"/>
            </w:tcBorders>
            <w:shd w:val="clear" w:color="auto" w:fill="auto"/>
            <w:vAlign w:val="center"/>
          </w:tcPr>
          <w:p w14:paraId="423408BC" w14:textId="77777777" w:rsidR="006C237A" w:rsidRPr="00FF4853" w:rsidRDefault="006C237A"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CY2021</w:t>
            </w:r>
          </w:p>
        </w:tc>
        <w:tc>
          <w:tcPr>
            <w:tcW w:w="957" w:type="dxa"/>
            <w:tcBorders>
              <w:top w:val="single" w:sz="8" w:space="0" w:color="auto"/>
              <w:left w:val="nil"/>
              <w:bottom w:val="single" w:sz="8" w:space="0" w:color="auto"/>
              <w:right w:val="single" w:sz="8" w:space="0" w:color="000000"/>
            </w:tcBorders>
            <w:shd w:val="clear" w:color="auto" w:fill="auto"/>
            <w:vAlign w:val="center"/>
          </w:tcPr>
          <w:p w14:paraId="036FDF1C" w14:textId="602BD413" w:rsidR="006C237A" w:rsidRPr="00FF4853" w:rsidRDefault="006C237A"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CY2021</w:t>
            </w:r>
          </w:p>
        </w:tc>
        <w:tc>
          <w:tcPr>
            <w:tcW w:w="957" w:type="dxa"/>
            <w:gridSpan w:val="2"/>
            <w:tcBorders>
              <w:top w:val="single" w:sz="8" w:space="0" w:color="auto"/>
              <w:left w:val="nil"/>
              <w:bottom w:val="single" w:sz="8" w:space="0" w:color="auto"/>
            </w:tcBorders>
            <w:shd w:val="clear" w:color="auto" w:fill="auto"/>
            <w:vAlign w:val="center"/>
          </w:tcPr>
          <w:p w14:paraId="7415B4AE" w14:textId="77777777" w:rsidR="006C237A" w:rsidRPr="00FF4853" w:rsidRDefault="006C237A"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CY2022</w:t>
            </w:r>
          </w:p>
        </w:tc>
        <w:tc>
          <w:tcPr>
            <w:tcW w:w="957" w:type="dxa"/>
            <w:tcBorders>
              <w:top w:val="single" w:sz="8" w:space="0" w:color="auto"/>
              <w:left w:val="nil"/>
              <w:bottom w:val="single" w:sz="8" w:space="0" w:color="auto"/>
              <w:right w:val="single" w:sz="8" w:space="0" w:color="000000"/>
            </w:tcBorders>
            <w:shd w:val="clear" w:color="auto" w:fill="auto"/>
            <w:vAlign w:val="center"/>
          </w:tcPr>
          <w:p w14:paraId="75CEF9A7" w14:textId="5A7AF582" w:rsidR="006C237A" w:rsidRPr="00FF4853" w:rsidRDefault="006C237A"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CY2022</w:t>
            </w:r>
          </w:p>
        </w:tc>
        <w:tc>
          <w:tcPr>
            <w:tcW w:w="974" w:type="dxa"/>
            <w:gridSpan w:val="2"/>
            <w:tcBorders>
              <w:top w:val="single" w:sz="8" w:space="0" w:color="auto"/>
              <w:left w:val="nil"/>
              <w:bottom w:val="single" w:sz="8" w:space="0" w:color="auto"/>
            </w:tcBorders>
            <w:shd w:val="clear" w:color="auto" w:fill="auto"/>
            <w:vAlign w:val="center"/>
          </w:tcPr>
          <w:p w14:paraId="58BE51B5" w14:textId="77777777" w:rsidR="006C237A" w:rsidRPr="00FF4853" w:rsidRDefault="006C237A"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CY2023</w:t>
            </w:r>
          </w:p>
        </w:tc>
        <w:tc>
          <w:tcPr>
            <w:tcW w:w="974" w:type="dxa"/>
            <w:tcBorders>
              <w:top w:val="single" w:sz="8" w:space="0" w:color="auto"/>
              <w:left w:val="nil"/>
              <w:bottom w:val="single" w:sz="8" w:space="0" w:color="auto"/>
              <w:right w:val="single" w:sz="8" w:space="0" w:color="000000"/>
            </w:tcBorders>
            <w:shd w:val="clear" w:color="auto" w:fill="auto"/>
            <w:vAlign w:val="center"/>
          </w:tcPr>
          <w:p w14:paraId="204C7C9F" w14:textId="632FB55C" w:rsidR="006C237A" w:rsidRPr="00FF4853" w:rsidRDefault="006C237A"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CY2023</w:t>
            </w:r>
          </w:p>
        </w:tc>
      </w:tr>
      <w:tr w:rsidR="00FF4853" w:rsidRPr="00FF4853" w14:paraId="35D22028" w14:textId="77777777" w:rsidTr="009B45BD">
        <w:trPr>
          <w:cantSplit/>
          <w:trHeight w:val="315"/>
          <w:tblHeader/>
        </w:trPr>
        <w:tc>
          <w:tcPr>
            <w:tcW w:w="2020" w:type="dxa"/>
            <w:tcBorders>
              <w:top w:val="nil"/>
              <w:left w:val="single" w:sz="8" w:space="0" w:color="auto"/>
              <w:bottom w:val="single" w:sz="8" w:space="0" w:color="auto"/>
              <w:right w:val="single" w:sz="8" w:space="0" w:color="auto"/>
            </w:tcBorders>
            <w:shd w:val="clear" w:color="auto" w:fill="auto"/>
            <w:noWrap/>
            <w:vAlign w:val="center"/>
            <w:hideMark/>
          </w:tcPr>
          <w:p w14:paraId="3E7974BE"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 </w:t>
            </w:r>
          </w:p>
        </w:tc>
        <w:tc>
          <w:tcPr>
            <w:tcW w:w="942" w:type="dxa"/>
            <w:tcBorders>
              <w:top w:val="nil"/>
              <w:left w:val="nil"/>
              <w:bottom w:val="single" w:sz="8" w:space="0" w:color="auto"/>
              <w:right w:val="nil"/>
            </w:tcBorders>
            <w:shd w:val="clear" w:color="auto" w:fill="auto"/>
            <w:noWrap/>
            <w:vAlign w:val="center"/>
            <w:hideMark/>
          </w:tcPr>
          <w:p w14:paraId="1E01157A"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Total</w:t>
            </w:r>
          </w:p>
        </w:tc>
        <w:tc>
          <w:tcPr>
            <w:tcW w:w="972" w:type="dxa"/>
            <w:gridSpan w:val="2"/>
            <w:tcBorders>
              <w:top w:val="nil"/>
              <w:left w:val="nil"/>
              <w:bottom w:val="single" w:sz="8" w:space="0" w:color="auto"/>
              <w:right w:val="single" w:sz="4" w:space="0" w:color="auto"/>
            </w:tcBorders>
            <w:shd w:val="clear" w:color="auto" w:fill="auto"/>
            <w:noWrap/>
            <w:vAlign w:val="center"/>
            <w:hideMark/>
          </w:tcPr>
          <w:p w14:paraId="2AA1A916"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 of Total</w:t>
            </w:r>
          </w:p>
        </w:tc>
        <w:tc>
          <w:tcPr>
            <w:tcW w:w="942" w:type="dxa"/>
            <w:tcBorders>
              <w:top w:val="nil"/>
              <w:left w:val="single" w:sz="4" w:space="0" w:color="auto"/>
              <w:bottom w:val="single" w:sz="8" w:space="0" w:color="auto"/>
              <w:right w:val="nil"/>
            </w:tcBorders>
            <w:shd w:val="clear" w:color="auto" w:fill="auto"/>
            <w:noWrap/>
            <w:vAlign w:val="center"/>
            <w:hideMark/>
          </w:tcPr>
          <w:p w14:paraId="52E55DC2"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Total</w:t>
            </w:r>
          </w:p>
        </w:tc>
        <w:tc>
          <w:tcPr>
            <w:tcW w:w="972" w:type="dxa"/>
            <w:gridSpan w:val="2"/>
            <w:tcBorders>
              <w:top w:val="nil"/>
              <w:left w:val="nil"/>
              <w:bottom w:val="single" w:sz="8" w:space="0" w:color="auto"/>
              <w:right w:val="single" w:sz="4" w:space="0" w:color="auto"/>
            </w:tcBorders>
            <w:shd w:val="clear" w:color="auto" w:fill="auto"/>
            <w:noWrap/>
            <w:vAlign w:val="center"/>
            <w:hideMark/>
          </w:tcPr>
          <w:p w14:paraId="444ACA85"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 of Total</w:t>
            </w:r>
          </w:p>
        </w:tc>
        <w:tc>
          <w:tcPr>
            <w:tcW w:w="942" w:type="dxa"/>
            <w:tcBorders>
              <w:top w:val="nil"/>
              <w:left w:val="single" w:sz="4" w:space="0" w:color="auto"/>
              <w:bottom w:val="single" w:sz="8" w:space="0" w:color="auto"/>
              <w:right w:val="nil"/>
            </w:tcBorders>
            <w:shd w:val="clear" w:color="auto" w:fill="auto"/>
            <w:noWrap/>
            <w:vAlign w:val="center"/>
            <w:hideMark/>
          </w:tcPr>
          <w:p w14:paraId="2EB40241"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Total</w:t>
            </w:r>
          </w:p>
        </w:tc>
        <w:tc>
          <w:tcPr>
            <w:tcW w:w="972" w:type="dxa"/>
            <w:gridSpan w:val="2"/>
            <w:tcBorders>
              <w:top w:val="nil"/>
              <w:left w:val="nil"/>
              <w:bottom w:val="single" w:sz="8" w:space="0" w:color="auto"/>
              <w:right w:val="single" w:sz="4" w:space="0" w:color="auto"/>
            </w:tcBorders>
            <w:shd w:val="clear" w:color="auto" w:fill="auto"/>
            <w:noWrap/>
            <w:vAlign w:val="center"/>
            <w:hideMark/>
          </w:tcPr>
          <w:p w14:paraId="4AC743AA"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 of Total</w:t>
            </w:r>
          </w:p>
        </w:tc>
        <w:tc>
          <w:tcPr>
            <w:tcW w:w="942" w:type="dxa"/>
            <w:tcBorders>
              <w:top w:val="nil"/>
              <w:left w:val="single" w:sz="4" w:space="0" w:color="auto"/>
              <w:bottom w:val="single" w:sz="8" w:space="0" w:color="auto"/>
              <w:right w:val="nil"/>
            </w:tcBorders>
            <w:shd w:val="clear" w:color="auto" w:fill="auto"/>
            <w:noWrap/>
            <w:vAlign w:val="center"/>
            <w:hideMark/>
          </w:tcPr>
          <w:p w14:paraId="63B8AE81"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Total</w:t>
            </w:r>
          </w:p>
        </w:tc>
        <w:tc>
          <w:tcPr>
            <w:tcW w:w="1006" w:type="dxa"/>
            <w:gridSpan w:val="2"/>
            <w:tcBorders>
              <w:top w:val="nil"/>
              <w:left w:val="nil"/>
              <w:bottom w:val="single" w:sz="8" w:space="0" w:color="auto"/>
              <w:right w:val="single" w:sz="8" w:space="0" w:color="auto"/>
            </w:tcBorders>
            <w:shd w:val="clear" w:color="auto" w:fill="auto"/>
            <w:noWrap/>
            <w:vAlign w:val="center"/>
            <w:hideMark/>
          </w:tcPr>
          <w:p w14:paraId="3F0B769C"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 of Total</w:t>
            </w:r>
          </w:p>
        </w:tc>
      </w:tr>
      <w:tr w:rsidR="00FF4853" w:rsidRPr="00FF4853" w14:paraId="634F682C" w14:textId="77777777" w:rsidTr="009B45BD">
        <w:trPr>
          <w:cantSplit/>
          <w:trHeight w:val="315"/>
        </w:trPr>
        <w:tc>
          <w:tcPr>
            <w:tcW w:w="2020" w:type="dxa"/>
            <w:tcBorders>
              <w:top w:val="nil"/>
              <w:left w:val="single" w:sz="8" w:space="0" w:color="auto"/>
              <w:bottom w:val="single" w:sz="8" w:space="0" w:color="auto"/>
              <w:right w:val="single" w:sz="8" w:space="0" w:color="auto"/>
            </w:tcBorders>
            <w:shd w:val="clear" w:color="auto" w:fill="auto"/>
            <w:noWrap/>
            <w:vAlign w:val="center"/>
            <w:hideMark/>
          </w:tcPr>
          <w:p w14:paraId="59285E12"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PATIENTS</w:t>
            </w:r>
          </w:p>
        </w:tc>
        <w:tc>
          <w:tcPr>
            <w:tcW w:w="942" w:type="dxa"/>
            <w:tcBorders>
              <w:top w:val="nil"/>
              <w:left w:val="nil"/>
              <w:bottom w:val="single" w:sz="8" w:space="0" w:color="auto"/>
              <w:right w:val="nil"/>
            </w:tcBorders>
            <w:shd w:val="clear" w:color="auto" w:fill="auto"/>
            <w:noWrap/>
            <w:vAlign w:val="center"/>
            <w:hideMark/>
          </w:tcPr>
          <w:p w14:paraId="3FAB427B"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560,698</w:t>
            </w:r>
          </w:p>
        </w:tc>
        <w:tc>
          <w:tcPr>
            <w:tcW w:w="972" w:type="dxa"/>
            <w:gridSpan w:val="2"/>
            <w:tcBorders>
              <w:top w:val="nil"/>
              <w:left w:val="nil"/>
              <w:bottom w:val="single" w:sz="8" w:space="0" w:color="auto"/>
              <w:right w:val="single" w:sz="8" w:space="0" w:color="auto"/>
            </w:tcBorders>
            <w:shd w:val="clear" w:color="auto" w:fill="auto"/>
            <w:noWrap/>
            <w:vAlign w:val="center"/>
            <w:hideMark/>
          </w:tcPr>
          <w:p w14:paraId="28224094"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100%</w:t>
            </w:r>
          </w:p>
        </w:tc>
        <w:tc>
          <w:tcPr>
            <w:tcW w:w="942" w:type="dxa"/>
            <w:tcBorders>
              <w:top w:val="nil"/>
              <w:left w:val="nil"/>
              <w:bottom w:val="single" w:sz="8" w:space="0" w:color="auto"/>
              <w:right w:val="nil"/>
            </w:tcBorders>
            <w:shd w:val="clear" w:color="auto" w:fill="auto"/>
            <w:noWrap/>
            <w:vAlign w:val="center"/>
            <w:hideMark/>
          </w:tcPr>
          <w:p w14:paraId="247AA881"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554,154</w:t>
            </w:r>
          </w:p>
        </w:tc>
        <w:tc>
          <w:tcPr>
            <w:tcW w:w="972" w:type="dxa"/>
            <w:gridSpan w:val="2"/>
            <w:tcBorders>
              <w:top w:val="nil"/>
              <w:left w:val="nil"/>
              <w:bottom w:val="single" w:sz="8" w:space="0" w:color="auto"/>
              <w:right w:val="single" w:sz="8" w:space="0" w:color="auto"/>
            </w:tcBorders>
            <w:shd w:val="clear" w:color="auto" w:fill="auto"/>
            <w:noWrap/>
            <w:vAlign w:val="center"/>
            <w:hideMark/>
          </w:tcPr>
          <w:p w14:paraId="109F277F"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100%</w:t>
            </w:r>
          </w:p>
        </w:tc>
        <w:tc>
          <w:tcPr>
            <w:tcW w:w="942" w:type="dxa"/>
            <w:tcBorders>
              <w:top w:val="nil"/>
              <w:left w:val="nil"/>
              <w:bottom w:val="single" w:sz="8" w:space="0" w:color="auto"/>
              <w:right w:val="nil"/>
            </w:tcBorders>
            <w:shd w:val="clear" w:color="auto" w:fill="auto"/>
            <w:noWrap/>
            <w:vAlign w:val="center"/>
            <w:hideMark/>
          </w:tcPr>
          <w:p w14:paraId="10479BC0"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550,915</w:t>
            </w:r>
          </w:p>
        </w:tc>
        <w:tc>
          <w:tcPr>
            <w:tcW w:w="972" w:type="dxa"/>
            <w:gridSpan w:val="2"/>
            <w:tcBorders>
              <w:top w:val="nil"/>
              <w:left w:val="nil"/>
              <w:bottom w:val="single" w:sz="8" w:space="0" w:color="auto"/>
              <w:right w:val="single" w:sz="8" w:space="0" w:color="auto"/>
            </w:tcBorders>
            <w:shd w:val="clear" w:color="auto" w:fill="auto"/>
            <w:noWrap/>
            <w:vAlign w:val="center"/>
            <w:hideMark/>
          </w:tcPr>
          <w:p w14:paraId="262EBBA4"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100%</w:t>
            </w:r>
          </w:p>
        </w:tc>
        <w:tc>
          <w:tcPr>
            <w:tcW w:w="942" w:type="dxa"/>
            <w:tcBorders>
              <w:top w:val="nil"/>
              <w:left w:val="nil"/>
              <w:bottom w:val="single" w:sz="8" w:space="0" w:color="auto"/>
              <w:right w:val="nil"/>
            </w:tcBorders>
            <w:shd w:val="clear" w:color="auto" w:fill="auto"/>
            <w:noWrap/>
            <w:vAlign w:val="center"/>
            <w:hideMark/>
          </w:tcPr>
          <w:p w14:paraId="59C7C60F"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573,888</w:t>
            </w:r>
          </w:p>
        </w:tc>
        <w:tc>
          <w:tcPr>
            <w:tcW w:w="1006" w:type="dxa"/>
            <w:gridSpan w:val="2"/>
            <w:tcBorders>
              <w:top w:val="nil"/>
              <w:left w:val="nil"/>
              <w:bottom w:val="single" w:sz="8" w:space="0" w:color="auto"/>
              <w:right w:val="single" w:sz="8" w:space="0" w:color="auto"/>
            </w:tcBorders>
            <w:shd w:val="clear" w:color="auto" w:fill="auto"/>
            <w:noWrap/>
            <w:vAlign w:val="center"/>
            <w:hideMark/>
          </w:tcPr>
          <w:p w14:paraId="60060DE1"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100%</w:t>
            </w:r>
          </w:p>
        </w:tc>
      </w:tr>
      <w:tr w:rsidR="00FF4853" w:rsidRPr="00FF4853" w14:paraId="57D34F0F" w14:textId="77777777" w:rsidTr="009B45BD">
        <w:trPr>
          <w:cantSplit/>
          <w:trHeight w:val="300"/>
        </w:trPr>
        <w:tc>
          <w:tcPr>
            <w:tcW w:w="2020" w:type="dxa"/>
            <w:tcBorders>
              <w:top w:val="nil"/>
              <w:left w:val="single" w:sz="8" w:space="0" w:color="auto"/>
              <w:bottom w:val="nil"/>
              <w:right w:val="single" w:sz="8" w:space="0" w:color="auto"/>
            </w:tcBorders>
            <w:shd w:val="clear" w:color="000000" w:fill="C5D9F1"/>
            <w:noWrap/>
            <w:vAlign w:val="center"/>
            <w:hideMark/>
          </w:tcPr>
          <w:p w14:paraId="785C4E5A"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Age</w:t>
            </w:r>
          </w:p>
        </w:tc>
        <w:tc>
          <w:tcPr>
            <w:tcW w:w="942" w:type="dxa"/>
            <w:tcBorders>
              <w:top w:val="nil"/>
              <w:left w:val="nil"/>
              <w:bottom w:val="nil"/>
              <w:right w:val="nil"/>
            </w:tcBorders>
            <w:shd w:val="clear" w:color="000000" w:fill="C5D9F1"/>
            <w:noWrap/>
            <w:vAlign w:val="center"/>
            <w:hideMark/>
          </w:tcPr>
          <w:p w14:paraId="02E9EC12"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single" w:sz="8" w:space="0" w:color="auto"/>
            </w:tcBorders>
            <w:shd w:val="clear" w:color="000000" w:fill="C5D9F1"/>
            <w:noWrap/>
            <w:vAlign w:val="center"/>
            <w:hideMark/>
          </w:tcPr>
          <w:p w14:paraId="63120DB5"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42" w:type="dxa"/>
            <w:tcBorders>
              <w:top w:val="nil"/>
              <w:left w:val="nil"/>
              <w:bottom w:val="nil"/>
              <w:right w:val="nil"/>
            </w:tcBorders>
            <w:shd w:val="clear" w:color="000000" w:fill="C5D9F1"/>
            <w:noWrap/>
            <w:vAlign w:val="center"/>
            <w:hideMark/>
          </w:tcPr>
          <w:p w14:paraId="2A7EAF67"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single" w:sz="8" w:space="0" w:color="auto"/>
            </w:tcBorders>
            <w:shd w:val="clear" w:color="000000" w:fill="C5D9F1"/>
            <w:noWrap/>
            <w:vAlign w:val="center"/>
            <w:hideMark/>
          </w:tcPr>
          <w:p w14:paraId="591BBD4F"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42" w:type="dxa"/>
            <w:tcBorders>
              <w:top w:val="nil"/>
              <w:left w:val="nil"/>
              <w:bottom w:val="nil"/>
              <w:right w:val="nil"/>
            </w:tcBorders>
            <w:shd w:val="clear" w:color="000000" w:fill="C5D9F1"/>
            <w:noWrap/>
            <w:vAlign w:val="center"/>
            <w:hideMark/>
          </w:tcPr>
          <w:p w14:paraId="3D763B30"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single" w:sz="8" w:space="0" w:color="auto"/>
            </w:tcBorders>
            <w:shd w:val="clear" w:color="000000" w:fill="C5D9F1"/>
            <w:noWrap/>
            <w:vAlign w:val="center"/>
            <w:hideMark/>
          </w:tcPr>
          <w:p w14:paraId="7BC965BE"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42" w:type="dxa"/>
            <w:tcBorders>
              <w:top w:val="nil"/>
              <w:left w:val="nil"/>
              <w:bottom w:val="nil"/>
              <w:right w:val="nil"/>
            </w:tcBorders>
            <w:shd w:val="clear" w:color="000000" w:fill="C5D9F1"/>
            <w:noWrap/>
            <w:vAlign w:val="center"/>
            <w:hideMark/>
          </w:tcPr>
          <w:p w14:paraId="3C40106E"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1006" w:type="dxa"/>
            <w:gridSpan w:val="2"/>
            <w:tcBorders>
              <w:top w:val="nil"/>
              <w:left w:val="nil"/>
              <w:bottom w:val="nil"/>
              <w:right w:val="single" w:sz="8" w:space="0" w:color="auto"/>
            </w:tcBorders>
            <w:shd w:val="clear" w:color="000000" w:fill="C5D9F1"/>
            <w:noWrap/>
            <w:vAlign w:val="center"/>
            <w:hideMark/>
          </w:tcPr>
          <w:p w14:paraId="00C31A44"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r>
      <w:tr w:rsidR="00FF4853" w:rsidRPr="00FF4853" w14:paraId="660B9E3B"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608CE0AB"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Children (0-18)</w:t>
            </w:r>
          </w:p>
        </w:tc>
        <w:tc>
          <w:tcPr>
            <w:tcW w:w="942" w:type="dxa"/>
            <w:tcBorders>
              <w:top w:val="nil"/>
              <w:left w:val="nil"/>
              <w:bottom w:val="nil"/>
              <w:right w:val="nil"/>
            </w:tcBorders>
            <w:shd w:val="clear" w:color="auto" w:fill="auto"/>
            <w:noWrap/>
            <w:vAlign w:val="center"/>
            <w:hideMark/>
          </w:tcPr>
          <w:p w14:paraId="3B39A081"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116,534</w:t>
            </w:r>
          </w:p>
        </w:tc>
        <w:tc>
          <w:tcPr>
            <w:tcW w:w="972" w:type="dxa"/>
            <w:gridSpan w:val="2"/>
            <w:tcBorders>
              <w:top w:val="nil"/>
              <w:left w:val="nil"/>
              <w:bottom w:val="nil"/>
              <w:right w:val="single" w:sz="8" w:space="0" w:color="auto"/>
            </w:tcBorders>
            <w:shd w:val="clear" w:color="auto" w:fill="auto"/>
            <w:noWrap/>
            <w:vAlign w:val="center"/>
            <w:hideMark/>
          </w:tcPr>
          <w:p w14:paraId="2CCF3B86"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20.78%</w:t>
            </w:r>
          </w:p>
        </w:tc>
        <w:tc>
          <w:tcPr>
            <w:tcW w:w="942" w:type="dxa"/>
            <w:tcBorders>
              <w:top w:val="nil"/>
              <w:left w:val="nil"/>
              <w:bottom w:val="nil"/>
              <w:right w:val="nil"/>
            </w:tcBorders>
            <w:shd w:val="clear" w:color="auto" w:fill="auto"/>
            <w:noWrap/>
            <w:vAlign w:val="center"/>
            <w:hideMark/>
          </w:tcPr>
          <w:p w14:paraId="0DE69D31"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114,212</w:t>
            </w:r>
          </w:p>
        </w:tc>
        <w:tc>
          <w:tcPr>
            <w:tcW w:w="972" w:type="dxa"/>
            <w:gridSpan w:val="2"/>
            <w:tcBorders>
              <w:top w:val="nil"/>
              <w:left w:val="nil"/>
              <w:bottom w:val="nil"/>
              <w:right w:val="single" w:sz="8" w:space="0" w:color="auto"/>
            </w:tcBorders>
            <w:shd w:val="clear" w:color="auto" w:fill="auto"/>
            <w:noWrap/>
            <w:vAlign w:val="center"/>
            <w:hideMark/>
          </w:tcPr>
          <w:p w14:paraId="63291998"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20.61%</w:t>
            </w:r>
          </w:p>
        </w:tc>
        <w:tc>
          <w:tcPr>
            <w:tcW w:w="942" w:type="dxa"/>
            <w:tcBorders>
              <w:top w:val="nil"/>
              <w:left w:val="nil"/>
              <w:bottom w:val="nil"/>
              <w:right w:val="nil"/>
            </w:tcBorders>
            <w:shd w:val="clear" w:color="auto" w:fill="auto"/>
            <w:noWrap/>
            <w:vAlign w:val="center"/>
            <w:hideMark/>
          </w:tcPr>
          <w:p w14:paraId="470228DC"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113,675</w:t>
            </w:r>
          </w:p>
        </w:tc>
        <w:tc>
          <w:tcPr>
            <w:tcW w:w="972" w:type="dxa"/>
            <w:gridSpan w:val="2"/>
            <w:tcBorders>
              <w:top w:val="nil"/>
              <w:left w:val="nil"/>
              <w:bottom w:val="nil"/>
              <w:right w:val="single" w:sz="8" w:space="0" w:color="auto"/>
            </w:tcBorders>
            <w:shd w:val="clear" w:color="auto" w:fill="auto"/>
            <w:noWrap/>
            <w:vAlign w:val="center"/>
            <w:hideMark/>
          </w:tcPr>
          <w:p w14:paraId="38E66D18"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20.63%</w:t>
            </w:r>
          </w:p>
        </w:tc>
        <w:tc>
          <w:tcPr>
            <w:tcW w:w="942" w:type="dxa"/>
            <w:tcBorders>
              <w:top w:val="nil"/>
              <w:left w:val="nil"/>
              <w:bottom w:val="nil"/>
              <w:right w:val="nil"/>
            </w:tcBorders>
            <w:shd w:val="clear" w:color="auto" w:fill="auto"/>
            <w:noWrap/>
            <w:vAlign w:val="center"/>
            <w:hideMark/>
          </w:tcPr>
          <w:p w14:paraId="527CF90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112,833</w:t>
            </w:r>
          </w:p>
        </w:tc>
        <w:tc>
          <w:tcPr>
            <w:tcW w:w="1006" w:type="dxa"/>
            <w:gridSpan w:val="2"/>
            <w:tcBorders>
              <w:top w:val="nil"/>
              <w:left w:val="nil"/>
              <w:bottom w:val="nil"/>
              <w:right w:val="single" w:sz="8" w:space="0" w:color="auto"/>
            </w:tcBorders>
            <w:shd w:val="clear" w:color="auto" w:fill="auto"/>
            <w:noWrap/>
            <w:vAlign w:val="center"/>
            <w:hideMark/>
          </w:tcPr>
          <w:p w14:paraId="1F6AFA28"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19.66%</w:t>
            </w:r>
          </w:p>
        </w:tc>
      </w:tr>
      <w:tr w:rsidR="00FF4853" w:rsidRPr="00FF4853" w14:paraId="64D74E2A"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66C22522"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19 - 64</w:t>
            </w:r>
          </w:p>
        </w:tc>
        <w:tc>
          <w:tcPr>
            <w:tcW w:w="942" w:type="dxa"/>
            <w:tcBorders>
              <w:top w:val="nil"/>
              <w:left w:val="nil"/>
              <w:bottom w:val="nil"/>
              <w:right w:val="nil"/>
            </w:tcBorders>
            <w:shd w:val="clear" w:color="auto" w:fill="auto"/>
            <w:noWrap/>
            <w:vAlign w:val="center"/>
            <w:hideMark/>
          </w:tcPr>
          <w:p w14:paraId="02221C1D"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192,397</w:t>
            </w:r>
          </w:p>
        </w:tc>
        <w:tc>
          <w:tcPr>
            <w:tcW w:w="972" w:type="dxa"/>
            <w:gridSpan w:val="2"/>
            <w:tcBorders>
              <w:top w:val="nil"/>
              <w:left w:val="nil"/>
              <w:bottom w:val="nil"/>
              <w:right w:val="single" w:sz="8" w:space="0" w:color="auto"/>
            </w:tcBorders>
            <w:shd w:val="clear" w:color="auto" w:fill="auto"/>
            <w:noWrap/>
            <w:vAlign w:val="center"/>
            <w:hideMark/>
          </w:tcPr>
          <w:p w14:paraId="719D4280"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34.31%</w:t>
            </w:r>
          </w:p>
        </w:tc>
        <w:tc>
          <w:tcPr>
            <w:tcW w:w="942" w:type="dxa"/>
            <w:tcBorders>
              <w:top w:val="nil"/>
              <w:left w:val="nil"/>
              <w:bottom w:val="nil"/>
              <w:right w:val="nil"/>
            </w:tcBorders>
            <w:shd w:val="clear" w:color="auto" w:fill="auto"/>
            <w:noWrap/>
            <w:vAlign w:val="center"/>
            <w:hideMark/>
          </w:tcPr>
          <w:p w14:paraId="39C56C22"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187,364</w:t>
            </w:r>
          </w:p>
        </w:tc>
        <w:tc>
          <w:tcPr>
            <w:tcW w:w="972" w:type="dxa"/>
            <w:gridSpan w:val="2"/>
            <w:tcBorders>
              <w:top w:val="nil"/>
              <w:left w:val="nil"/>
              <w:bottom w:val="nil"/>
              <w:right w:val="single" w:sz="8" w:space="0" w:color="auto"/>
            </w:tcBorders>
            <w:shd w:val="clear" w:color="auto" w:fill="auto"/>
            <w:noWrap/>
            <w:vAlign w:val="center"/>
            <w:hideMark/>
          </w:tcPr>
          <w:p w14:paraId="65D2192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33.81%</w:t>
            </w:r>
          </w:p>
        </w:tc>
        <w:tc>
          <w:tcPr>
            <w:tcW w:w="942" w:type="dxa"/>
            <w:tcBorders>
              <w:top w:val="nil"/>
              <w:left w:val="nil"/>
              <w:bottom w:val="nil"/>
              <w:right w:val="nil"/>
            </w:tcBorders>
            <w:shd w:val="clear" w:color="auto" w:fill="auto"/>
            <w:noWrap/>
            <w:vAlign w:val="center"/>
            <w:hideMark/>
          </w:tcPr>
          <w:p w14:paraId="7619834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187,779</w:t>
            </w:r>
          </w:p>
        </w:tc>
        <w:tc>
          <w:tcPr>
            <w:tcW w:w="972" w:type="dxa"/>
            <w:gridSpan w:val="2"/>
            <w:tcBorders>
              <w:top w:val="nil"/>
              <w:left w:val="nil"/>
              <w:bottom w:val="nil"/>
              <w:right w:val="single" w:sz="8" w:space="0" w:color="auto"/>
            </w:tcBorders>
            <w:shd w:val="clear" w:color="auto" w:fill="auto"/>
            <w:noWrap/>
            <w:vAlign w:val="center"/>
            <w:hideMark/>
          </w:tcPr>
          <w:p w14:paraId="4BCD89F0"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34.08%</w:t>
            </w:r>
          </w:p>
        </w:tc>
        <w:tc>
          <w:tcPr>
            <w:tcW w:w="942" w:type="dxa"/>
            <w:tcBorders>
              <w:top w:val="nil"/>
              <w:left w:val="nil"/>
              <w:bottom w:val="nil"/>
              <w:right w:val="nil"/>
            </w:tcBorders>
            <w:shd w:val="clear" w:color="auto" w:fill="auto"/>
            <w:noWrap/>
            <w:vAlign w:val="center"/>
            <w:hideMark/>
          </w:tcPr>
          <w:p w14:paraId="162B1CF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195,418</w:t>
            </w:r>
          </w:p>
        </w:tc>
        <w:tc>
          <w:tcPr>
            <w:tcW w:w="1006" w:type="dxa"/>
            <w:gridSpan w:val="2"/>
            <w:tcBorders>
              <w:top w:val="nil"/>
              <w:left w:val="nil"/>
              <w:bottom w:val="nil"/>
              <w:right w:val="single" w:sz="8" w:space="0" w:color="auto"/>
            </w:tcBorders>
            <w:shd w:val="clear" w:color="auto" w:fill="auto"/>
            <w:noWrap/>
            <w:vAlign w:val="center"/>
            <w:hideMark/>
          </w:tcPr>
          <w:p w14:paraId="0F02432A"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34.05%</w:t>
            </w:r>
          </w:p>
        </w:tc>
      </w:tr>
      <w:tr w:rsidR="00FF4853" w:rsidRPr="00FF4853" w14:paraId="6495C442"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32DE8C08"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 xml:space="preserve">65 and </w:t>
            </w:r>
            <w:proofErr w:type="gramStart"/>
            <w:r w:rsidRPr="00FF4853">
              <w:rPr>
                <w:rFonts w:ascii="Calibri" w:eastAsia="Times New Roman" w:hAnsi="Calibri" w:cs="Calibri"/>
                <w:color w:val="000000"/>
                <w:sz w:val="22"/>
                <w:szCs w:val="22"/>
              </w:rPr>
              <w:t>Over</w:t>
            </w:r>
            <w:proofErr w:type="gramEnd"/>
          </w:p>
        </w:tc>
        <w:tc>
          <w:tcPr>
            <w:tcW w:w="942" w:type="dxa"/>
            <w:tcBorders>
              <w:top w:val="nil"/>
              <w:left w:val="nil"/>
              <w:bottom w:val="nil"/>
              <w:right w:val="nil"/>
            </w:tcBorders>
            <w:shd w:val="clear" w:color="auto" w:fill="auto"/>
            <w:noWrap/>
            <w:vAlign w:val="center"/>
            <w:hideMark/>
          </w:tcPr>
          <w:p w14:paraId="4D1BFE80"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251,767</w:t>
            </w:r>
          </w:p>
        </w:tc>
        <w:tc>
          <w:tcPr>
            <w:tcW w:w="972" w:type="dxa"/>
            <w:gridSpan w:val="2"/>
            <w:tcBorders>
              <w:top w:val="nil"/>
              <w:left w:val="nil"/>
              <w:bottom w:val="nil"/>
              <w:right w:val="single" w:sz="8" w:space="0" w:color="auto"/>
            </w:tcBorders>
            <w:shd w:val="clear" w:color="auto" w:fill="auto"/>
            <w:noWrap/>
            <w:vAlign w:val="center"/>
            <w:hideMark/>
          </w:tcPr>
          <w:p w14:paraId="45FF5801"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44.90%</w:t>
            </w:r>
          </w:p>
        </w:tc>
        <w:tc>
          <w:tcPr>
            <w:tcW w:w="942" w:type="dxa"/>
            <w:tcBorders>
              <w:top w:val="nil"/>
              <w:left w:val="nil"/>
              <w:bottom w:val="nil"/>
              <w:right w:val="nil"/>
            </w:tcBorders>
            <w:shd w:val="clear" w:color="auto" w:fill="auto"/>
            <w:noWrap/>
            <w:vAlign w:val="center"/>
            <w:hideMark/>
          </w:tcPr>
          <w:p w14:paraId="73BA8B2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252,578</w:t>
            </w:r>
          </w:p>
        </w:tc>
        <w:tc>
          <w:tcPr>
            <w:tcW w:w="972" w:type="dxa"/>
            <w:gridSpan w:val="2"/>
            <w:tcBorders>
              <w:top w:val="nil"/>
              <w:left w:val="nil"/>
              <w:bottom w:val="nil"/>
              <w:right w:val="single" w:sz="8" w:space="0" w:color="auto"/>
            </w:tcBorders>
            <w:shd w:val="clear" w:color="auto" w:fill="auto"/>
            <w:noWrap/>
            <w:vAlign w:val="center"/>
            <w:hideMark/>
          </w:tcPr>
          <w:p w14:paraId="5678CA3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45.58%</w:t>
            </w:r>
          </w:p>
        </w:tc>
        <w:tc>
          <w:tcPr>
            <w:tcW w:w="942" w:type="dxa"/>
            <w:tcBorders>
              <w:top w:val="nil"/>
              <w:left w:val="nil"/>
              <w:bottom w:val="nil"/>
              <w:right w:val="nil"/>
            </w:tcBorders>
            <w:shd w:val="clear" w:color="auto" w:fill="auto"/>
            <w:noWrap/>
            <w:vAlign w:val="center"/>
            <w:hideMark/>
          </w:tcPr>
          <w:p w14:paraId="4A8CF10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249,461</w:t>
            </w:r>
          </w:p>
        </w:tc>
        <w:tc>
          <w:tcPr>
            <w:tcW w:w="972" w:type="dxa"/>
            <w:gridSpan w:val="2"/>
            <w:tcBorders>
              <w:top w:val="nil"/>
              <w:left w:val="nil"/>
              <w:bottom w:val="nil"/>
              <w:right w:val="single" w:sz="8" w:space="0" w:color="auto"/>
            </w:tcBorders>
            <w:shd w:val="clear" w:color="auto" w:fill="auto"/>
            <w:noWrap/>
            <w:vAlign w:val="center"/>
            <w:hideMark/>
          </w:tcPr>
          <w:p w14:paraId="1C06E386"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45.28%</w:t>
            </w:r>
          </w:p>
        </w:tc>
        <w:tc>
          <w:tcPr>
            <w:tcW w:w="942" w:type="dxa"/>
            <w:tcBorders>
              <w:top w:val="nil"/>
              <w:left w:val="nil"/>
              <w:bottom w:val="nil"/>
              <w:right w:val="nil"/>
            </w:tcBorders>
            <w:shd w:val="clear" w:color="auto" w:fill="auto"/>
            <w:noWrap/>
            <w:vAlign w:val="center"/>
            <w:hideMark/>
          </w:tcPr>
          <w:p w14:paraId="18C6AB3D"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265,637</w:t>
            </w:r>
          </w:p>
        </w:tc>
        <w:tc>
          <w:tcPr>
            <w:tcW w:w="1006" w:type="dxa"/>
            <w:gridSpan w:val="2"/>
            <w:tcBorders>
              <w:top w:val="nil"/>
              <w:left w:val="nil"/>
              <w:bottom w:val="nil"/>
              <w:right w:val="single" w:sz="8" w:space="0" w:color="auto"/>
            </w:tcBorders>
            <w:shd w:val="clear" w:color="auto" w:fill="auto"/>
            <w:noWrap/>
            <w:vAlign w:val="center"/>
            <w:hideMark/>
          </w:tcPr>
          <w:p w14:paraId="18A3F25E"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46.29%</w:t>
            </w:r>
          </w:p>
        </w:tc>
      </w:tr>
      <w:tr w:rsidR="00FF4853" w:rsidRPr="00FF4853" w14:paraId="2094ADC1" w14:textId="77777777" w:rsidTr="009B45BD">
        <w:trPr>
          <w:cantSplit/>
          <w:trHeight w:val="300"/>
        </w:trPr>
        <w:tc>
          <w:tcPr>
            <w:tcW w:w="2020" w:type="dxa"/>
            <w:tcBorders>
              <w:top w:val="nil"/>
              <w:left w:val="single" w:sz="8" w:space="0" w:color="auto"/>
              <w:bottom w:val="nil"/>
              <w:right w:val="single" w:sz="8" w:space="0" w:color="auto"/>
            </w:tcBorders>
            <w:shd w:val="clear" w:color="000000" w:fill="BDD7EE"/>
            <w:noWrap/>
            <w:vAlign w:val="center"/>
            <w:hideMark/>
          </w:tcPr>
          <w:p w14:paraId="6096F616"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Gender</w:t>
            </w:r>
          </w:p>
        </w:tc>
        <w:tc>
          <w:tcPr>
            <w:tcW w:w="942" w:type="dxa"/>
            <w:tcBorders>
              <w:top w:val="nil"/>
              <w:left w:val="nil"/>
              <w:bottom w:val="nil"/>
              <w:right w:val="nil"/>
            </w:tcBorders>
            <w:shd w:val="clear" w:color="000000" w:fill="BDD7EE"/>
            <w:noWrap/>
            <w:vAlign w:val="center"/>
            <w:hideMark/>
          </w:tcPr>
          <w:p w14:paraId="6B4AC55B"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single" w:sz="8" w:space="0" w:color="auto"/>
            </w:tcBorders>
            <w:shd w:val="clear" w:color="000000" w:fill="BDD7EE"/>
            <w:noWrap/>
            <w:vAlign w:val="center"/>
            <w:hideMark/>
          </w:tcPr>
          <w:p w14:paraId="2E82352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 </w:t>
            </w:r>
          </w:p>
        </w:tc>
        <w:tc>
          <w:tcPr>
            <w:tcW w:w="942" w:type="dxa"/>
            <w:tcBorders>
              <w:top w:val="nil"/>
              <w:left w:val="nil"/>
              <w:bottom w:val="nil"/>
              <w:right w:val="nil"/>
            </w:tcBorders>
            <w:shd w:val="clear" w:color="000000" w:fill="BDD7EE"/>
            <w:noWrap/>
            <w:vAlign w:val="center"/>
            <w:hideMark/>
          </w:tcPr>
          <w:p w14:paraId="405E571A"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single" w:sz="8" w:space="0" w:color="auto"/>
            </w:tcBorders>
            <w:shd w:val="clear" w:color="000000" w:fill="BDD7EE"/>
            <w:noWrap/>
            <w:vAlign w:val="center"/>
            <w:hideMark/>
          </w:tcPr>
          <w:p w14:paraId="7E406525"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 </w:t>
            </w:r>
          </w:p>
        </w:tc>
        <w:tc>
          <w:tcPr>
            <w:tcW w:w="942" w:type="dxa"/>
            <w:tcBorders>
              <w:top w:val="nil"/>
              <w:left w:val="nil"/>
              <w:bottom w:val="nil"/>
              <w:right w:val="nil"/>
            </w:tcBorders>
            <w:shd w:val="clear" w:color="000000" w:fill="BDD7EE"/>
            <w:noWrap/>
            <w:vAlign w:val="center"/>
            <w:hideMark/>
          </w:tcPr>
          <w:p w14:paraId="0C31C9B2"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single" w:sz="8" w:space="0" w:color="auto"/>
            </w:tcBorders>
            <w:shd w:val="clear" w:color="000000" w:fill="BDD7EE"/>
            <w:noWrap/>
            <w:vAlign w:val="center"/>
            <w:hideMark/>
          </w:tcPr>
          <w:p w14:paraId="6D135C3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 </w:t>
            </w:r>
          </w:p>
        </w:tc>
        <w:tc>
          <w:tcPr>
            <w:tcW w:w="942" w:type="dxa"/>
            <w:tcBorders>
              <w:top w:val="nil"/>
              <w:left w:val="nil"/>
              <w:bottom w:val="nil"/>
              <w:right w:val="nil"/>
            </w:tcBorders>
            <w:shd w:val="clear" w:color="000000" w:fill="BDD7EE"/>
            <w:noWrap/>
            <w:vAlign w:val="center"/>
            <w:hideMark/>
          </w:tcPr>
          <w:p w14:paraId="6ADDAA11"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1006" w:type="dxa"/>
            <w:gridSpan w:val="2"/>
            <w:tcBorders>
              <w:top w:val="nil"/>
              <w:left w:val="nil"/>
              <w:bottom w:val="nil"/>
              <w:right w:val="single" w:sz="8" w:space="0" w:color="auto"/>
            </w:tcBorders>
            <w:shd w:val="clear" w:color="000000" w:fill="BDD7EE"/>
            <w:noWrap/>
            <w:vAlign w:val="center"/>
            <w:hideMark/>
          </w:tcPr>
          <w:p w14:paraId="54D23DA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 </w:t>
            </w:r>
          </w:p>
        </w:tc>
      </w:tr>
      <w:tr w:rsidR="00FF4853" w:rsidRPr="00FF4853" w14:paraId="152B8AC6"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02DA766C"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Female</w:t>
            </w:r>
          </w:p>
        </w:tc>
        <w:tc>
          <w:tcPr>
            <w:tcW w:w="942" w:type="dxa"/>
            <w:tcBorders>
              <w:top w:val="nil"/>
              <w:left w:val="nil"/>
              <w:bottom w:val="nil"/>
              <w:right w:val="nil"/>
            </w:tcBorders>
            <w:shd w:val="clear" w:color="auto" w:fill="auto"/>
            <w:noWrap/>
            <w:vAlign w:val="center"/>
            <w:hideMark/>
          </w:tcPr>
          <w:p w14:paraId="24CF959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318,447</w:t>
            </w:r>
          </w:p>
        </w:tc>
        <w:tc>
          <w:tcPr>
            <w:tcW w:w="972" w:type="dxa"/>
            <w:gridSpan w:val="2"/>
            <w:tcBorders>
              <w:top w:val="nil"/>
              <w:left w:val="nil"/>
              <w:bottom w:val="nil"/>
              <w:right w:val="single" w:sz="8" w:space="0" w:color="auto"/>
            </w:tcBorders>
            <w:shd w:val="clear" w:color="auto" w:fill="auto"/>
            <w:noWrap/>
            <w:vAlign w:val="center"/>
            <w:hideMark/>
          </w:tcPr>
          <w:p w14:paraId="4AA9E4F2"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56.79%</w:t>
            </w:r>
          </w:p>
        </w:tc>
        <w:tc>
          <w:tcPr>
            <w:tcW w:w="942" w:type="dxa"/>
            <w:tcBorders>
              <w:top w:val="nil"/>
              <w:left w:val="nil"/>
              <w:bottom w:val="nil"/>
              <w:right w:val="nil"/>
            </w:tcBorders>
            <w:shd w:val="clear" w:color="auto" w:fill="auto"/>
            <w:noWrap/>
            <w:vAlign w:val="center"/>
            <w:hideMark/>
          </w:tcPr>
          <w:p w14:paraId="1323E3D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313,867</w:t>
            </w:r>
          </w:p>
        </w:tc>
        <w:tc>
          <w:tcPr>
            <w:tcW w:w="972" w:type="dxa"/>
            <w:gridSpan w:val="2"/>
            <w:tcBorders>
              <w:top w:val="nil"/>
              <w:left w:val="nil"/>
              <w:bottom w:val="nil"/>
              <w:right w:val="single" w:sz="8" w:space="0" w:color="auto"/>
            </w:tcBorders>
            <w:shd w:val="clear" w:color="auto" w:fill="auto"/>
            <w:noWrap/>
            <w:vAlign w:val="center"/>
            <w:hideMark/>
          </w:tcPr>
          <w:p w14:paraId="62E913A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56.64%</w:t>
            </w:r>
          </w:p>
        </w:tc>
        <w:tc>
          <w:tcPr>
            <w:tcW w:w="942" w:type="dxa"/>
            <w:tcBorders>
              <w:top w:val="nil"/>
              <w:left w:val="nil"/>
              <w:bottom w:val="nil"/>
              <w:right w:val="nil"/>
            </w:tcBorders>
            <w:shd w:val="clear" w:color="auto" w:fill="auto"/>
            <w:noWrap/>
            <w:vAlign w:val="center"/>
            <w:hideMark/>
          </w:tcPr>
          <w:p w14:paraId="237AB248"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311,130</w:t>
            </w:r>
          </w:p>
        </w:tc>
        <w:tc>
          <w:tcPr>
            <w:tcW w:w="972" w:type="dxa"/>
            <w:gridSpan w:val="2"/>
            <w:tcBorders>
              <w:top w:val="nil"/>
              <w:left w:val="nil"/>
              <w:bottom w:val="nil"/>
              <w:right w:val="single" w:sz="8" w:space="0" w:color="auto"/>
            </w:tcBorders>
            <w:shd w:val="clear" w:color="auto" w:fill="auto"/>
            <w:noWrap/>
            <w:vAlign w:val="center"/>
            <w:hideMark/>
          </w:tcPr>
          <w:p w14:paraId="3516390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56.48%</w:t>
            </w:r>
          </w:p>
        </w:tc>
        <w:tc>
          <w:tcPr>
            <w:tcW w:w="942" w:type="dxa"/>
            <w:tcBorders>
              <w:top w:val="nil"/>
              <w:left w:val="nil"/>
              <w:bottom w:val="nil"/>
              <w:right w:val="nil"/>
            </w:tcBorders>
            <w:shd w:val="clear" w:color="auto" w:fill="auto"/>
            <w:noWrap/>
            <w:vAlign w:val="center"/>
            <w:hideMark/>
          </w:tcPr>
          <w:p w14:paraId="58600590"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323,939</w:t>
            </w:r>
          </w:p>
        </w:tc>
        <w:tc>
          <w:tcPr>
            <w:tcW w:w="1006" w:type="dxa"/>
            <w:gridSpan w:val="2"/>
            <w:tcBorders>
              <w:top w:val="nil"/>
              <w:left w:val="nil"/>
              <w:bottom w:val="nil"/>
              <w:right w:val="single" w:sz="8" w:space="0" w:color="auto"/>
            </w:tcBorders>
            <w:shd w:val="clear" w:color="auto" w:fill="auto"/>
            <w:noWrap/>
            <w:vAlign w:val="center"/>
            <w:hideMark/>
          </w:tcPr>
          <w:p w14:paraId="76C2405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56.45%</w:t>
            </w:r>
          </w:p>
        </w:tc>
      </w:tr>
      <w:tr w:rsidR="00FF4853" w:rsidRPr="00FF4853" w14:paraId="5991394D"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42778BE5"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Male</w:t>
            </w:r>
          </w:p>
        </w:tc>
        <w:tc>
          <w:tcPr>
            <w:tcW w:w="942" w:type="dxa"/>
            <w:tcBorders>
              <w:top w:val="nil"/>
              <w:left w:val="nil"/>
              <w:bottom w:val="nil"/>
              <w:right w:val="nil"/>
            </w:tcBorders>
            <w:shd w:val="clear" w:color="auto" w:fill="auto"/>
            <w:noWrap/>
            <w:vAlign w:val="center"/>
            <w:hideMark/>
          </w:tcPr>
          <w:p w14:paraId="39EE742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242,234</w:t>
            </w:r>
          </w:p>
        </w:tc>
        <w:tc>
          <w:tcPr>
            <w:tcW w:w="972" w:type="dxa"/>
            <w:gridSpan w:val="2"/>
            <w:tcBorders>
              <w:top w:val="nil"/>
              <w:left w:val="nil"/>
              <w:bottom w:val="nil"/>
              <w:right w:val="single" w:sz="8" w:space="0" w:color="auto"/>
            </w:tcBorders>
            <w:shd w:val="clear" w:color="auto" w:fill="auto"/>
            <w:noWrap/>
            <w:vAlign w:val="center"/>
            <w:hideMark/>
          </w:tcPr>
          <w:p w14:paraId="0BEA2315"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43.20%</w:t>
            </w:r>
          </w:p>
        </w:tc>
        <w:tc>
          <w:tcPr>
            <w:tcW w:w="942" w:type="dxa"/>
            <w:tcBorders>
              <w:top w:val="nil"/>
              <w:left w:val="nil"/>
              <w:bottom w:val="nil"/>
              <w:right w:val="nil"/>
            </w:tcBorders>
            <w:shd w:val="clear" w:color="auto" w:fill="auto"/>
            <w:noWrap/>
            <w:vAlign w:val="center"/>
            <w:hideMark/>
          </w:tcPr>
          <w:p w14:paraId="740ED72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240,271</w:t>
            </w:r>
          </w:p>
        </w:tc>
        <w:tc>
          <w:tcPr>
            <w:tcW w:w="972" w:type="dxa"/>
            <w:gridSpan w:val="2"/>
            <w:tcBorders>
              <w:top w:val="nil"/>
              <w:left w:val="nil"/>
              <w:bottom w:val="nil"/>
              <w:right w:val="single" w:sz="8" w:space="0" w:color="auto"/>
            </w:tcBorders>
            <w:shd w:val="clear" w:color="auto" w:fill="auto"/>
            <w:noWrap/>
            <w:vAlign w:val="center"/>
            <w:hideMark/>
          </w:tcPr>
          <w:p w14:paraId="78617046"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43.36%</w:t>
            </w:r>
          </w:p>
        </w:tc>
        <w:tc>
          <w:tcPr>
            <w:tcW w:w="942" w:type="dxa"/>
            <w:tcBorders>
              <w:top w:val="nil"/>
              <w:left w:val="nil"/>
              <w:bottom w:val="nil"/>
              <w:right w:val="nil"/>
            </w:tcBorders>
            <w:shd w:val="clear" w:color="auto" w:fill="auto"/>
            <w:noWrap/>
            <w:vAlign w:val="center"/>
            <w:hideMark/>
          </w:tcPr>
          <w:p w14:paraId="0AFFAED2"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239,758</w:t>
            </w:r>
          </w:p>
        </w:tc>
        <w:tc>
          <w:tcPr>
            <w:tcW w:w="972" w:type="dxa"/>
            <w:gridSpan w:val="2"/>
            <w:tcBorders>
              <w:top w:val="nil"/>
              <w:left w:val="nil"/>
              <w:bottom w:val="nil"/>
              <w:right w:val="single" w:sz="8" w:space="0" w:color="auto"/>
            </w:tcBorders>
            <w:shd w:val="clear" w:color="auto" w:fill="auto"/>
            <w:noWrap/>
            <w:vAlign w:val="center"/>
            <w:hideMark/>
          </w:tcPr>
          <w:p w14:paraId="0DE273AD"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43.52%</w:t>
            </w:r>
          </w:p>
        </w:tc>
        <w:tc>
          <w:tcPr>
            <w:tcW w:w="942" w:type="dxa"/>
            <w:tcBorders>
              <w:top w:val="nil"/>
              <w:left w:val="nil"/>
              <w:bottom w:val="nil"/>
              <w:right w:val="nil"/>
            </w:tcBorders>
            <w:shd w:val="clear" w:color="auto" w:fill="auto"/>
            <w:noWrap/>
            <w:vAlign w:val="center"/>
            <w:hideMark/>
          </w:tcPr>
          <w:p w14:paraId="36250CE8"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249,878</w:t>
            </w:r>
          </w:p>
        </w:tc>
        <w:tc>
          <w:tcPr>
            <w:tcW w:w="1006" w:type="dxa"/>
            <w:gridSpan w:val="2"/>
            <w:tcBorders>
              <w:top w:val="nil"/>
              <w:left w:val="nil"/>
              <w:bottom w:val="nil"/>
              <w:right w:val="single" w:sz="8" w:space="0" w:color="auto"/>
            </w:tcBorders>
            <w:shd w:val="clear" w:color="auto" w:fill="auto"/>
            <w:noWrap/>
            <w:vAlign w:val="center"/>
            <w:hideMark/>
          </w:tcPr>
          <w:p w14:paraId="466CDE1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43.54%</w:t>
            </w:r>
          </w:p>
        </w:tc>
      </w:tr>
      <w:tr w:rsidR="00FF4853" w:rsidRPr="00FF4853" w14:paraId="24BA77BA"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33501F1B"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Other</w:t>
            </w:r>
          </w:p>
        </w:tc>
        <w:tc>
          <w:tcPr>
            <w:tcW w:w="942" w:type="dxa"/>
            <w:tcBorders>
              <w:top w:val="nil"/>
              <w:left w:val="nil"/>
              <w:bottom w:val="nil"/>
              <w:right w:val="nil"/>
            </w:tcBorders>
            <w:shd w:val="clear" w:color="auto" w:fill="auto"/>
            <w:noWrap/>
            <w:vAlign w:val="center"/>
            <w:hideMark/>
          </w:tcPr>
          <w:p w14:paraId="6D7AEB81"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17</w:t>
            </w:r>
          </w:p>
        </w:tc>
        <w:tc>
          <w:tcPr>
            <w:tcW w:w="972" w:type="dxa"/>
            <w:gridSpan w:val="2"/>
            <w:tcBorders>
              <w:top w:val="nil"/>
              <w:left w:val="nil"/>
              <w:bottom w:val="nil"/>
              <w:right w:val="single" w:sz="8" w:space="0" w:color="auto"/>
            </w:tcBorders>
            <w:shd w:val="clear" w:color="auto" w:fill="auto"/>
            <w:noWrap/>
            <w:vAlign w:val="center"/>
            <w:hideMark/>
          </w:tcPr>
          <w:p w14:paraId="1FA9A1B6"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0.00%</w:t>
            </w:r>
          </w:p>
        </w:tc>
        <w:tc>
          <w:tcPr>
            <w:tcW w:w="942" w:type="dxa"/>
            <w:tcBorders>
              <w:top w:val="nil"/>
              <w:left w:val="nil"/>
              <w:bottom w:val="nil"/>
              <w:right w:val="nil"/>
            </w:tcBorders>
            <w:shd w:val="clear" w:color="auto" w:fill="auto"/>
            <w:noWrap/>
            <w:vAlign w:val="center"/>
            <w:hideMark/>
          </w:tcPr>
          <w:p w14:paraId="129DAA95"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16</w:t>
            </w:r>
          </w:p>
        </w:tc>
        <w:tc>
          <w:tcPr>
            <w:tcW w:w="972" w:type="dxa"/>
            <w:gridSpan w:val="2"/>
            <w:tcBorders>
              <w:top w:val="nil"/>
              <w:left w:val="nil"/>
              <w:bottom w:val="nil"/>
              <w:right w:val="single" w:sz="8" w:space="0" w:color="auto"/>
            </w:tcBorders>
            <w:shd w:val="clear" w:color="auto" w:fill="auto"/>
            <w:noWrap/>
            <w:vAlign w:val="center"/>
            <w:hideMark/>
          </w:tcPr>
          <w:p w14:paraId="45A5CB67"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0.00%</w:t>
            </w:r>
          </w:p>
        </w:tc>
        <w:tc>
          <w:tcPr>
            <w:tcW w:w="942" w:type="dxa"/>
            <w:tcBorders>
              <w:top w:val="nil"/>
              <w:left w:val="nil"/>
              <w:bottom w:val="nil"/>
              <w:right w:val="nil"/>
            </w:tcBorders>
            <w:shd w:val="clear" w:color="auto" w:fill="auto"/>
            <w:noWrap/>
            <w:vAlign w:val="center"/>
            <w:hideMark/>
          </w:tcPr>
          <w:p w14:paraId="58BF7418"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27</w:t>
            </w:r>
          </w:p>
        </w:tc>
        <w:tc>
          <w:tcPr>
            <w:tcW w:w="972" w:type="dxa"/>
            <w:gridSpan w:val="2"/>
            <w:tcBorders>
              <w:top w:val="nil"/>
              <w:left w:val="nil"/>
              <w:bottom w:val="nil"/>
              <w:right w:val="single" w:sz="8" w:space="0" w:color="auto"/>
            </w:tcBorders>
            <w:shd w:val="clear" w:color="auto" w:fill="auto"/>
            <w:noWrap/>
            <w:vAlign w:val="center"/>
            <w:hideMark/>
          </w:tcPr>
          <w:p w14:paraId="43D5B355"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0.00%</w:t>
            </w:r>
          </w:p>
        </w:tc>
        <w:tc>
          <w:tcPr>
            <w:tcW w:w="942" w:type="dxa"/>
            <w:tcBorders>
              <w:top w:val="nil"/>
              <w:left w:val="nil"/>
              <w:bottom w:val="nil"/>
              <w:right w:val="nil"/>
            </w:tcBorders>
            <w:shd w:val="clear" w:color="auto" w:fill="auto"/>
            <w:noWrap/>
            <w:vAlign w:val="center"/>
            <w:hideMark/>
          </w:tcPr>
          <w:p w14:paraId="63EDB002"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71</w:t>
            </w:r>
          </w:p>
        </w:tc>
        <w:tc>
          <w:tcPr>
            <w:tcW w:w="1006" w:type="dxa"/>
            <w:gridSpan w:val="2"/>
            <w:tcBorders>
              <w:top w:val="nil"/>
              <w:left w:val="nil"/>
              <w:bottom w:val="nil"/>
              <w:right w:val="single" w:sz="8" w:space="0" w:color="auto"/>
            </w:tcBorders>
            <w:shd w:val="clear" w:color="auto" w:fill="auto"/>
            <w:noWrap/>
            <w:vAlign w:val="center"/>
            <w:hideMark/>
          </w:tcPr>
          <w:p w14:paraId="3086215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0.01%</w:t>
            </w:r>
          </w:p>
        </w:tc>
      </w:tr>
      <w:tr w:rsidR="00FF4853" w:rsidRPr="00FF4853" w14:paraId="620C84C7" w14:textId="77777777" w:rsidTr="009B45BD">
        <w:trPr>
          <w:cantSplit/>
          <w:trHeight w:val="300"/>
        </w:trPr>
        <w:tc>
          <w:tcPr>
            <w:tcW w:w="2020" w:type="dxa"/>
            <w:tcBorders>
              <w:top w:val="nil"/>
              <w:left w:val="single" w:sz="8" w:space="0" w:color="auto"/>
              <w:bottom w:val="nil"/>
              <w:right w:val="single" w:sz="8" w:space="0" w:color="auto"/>
            </w:tcBorders>
            <w:shd w:val="clear" w:color="000000" w:fill="C5D9F1"/>
            <w:noWrap/>
            <w:vAlign w:val="center"/>
            <w:hideMark/>
          </w:tcPr>
          <w:p w14:paraId="208FE1FB"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Race</w:t>
            </w:r>
          </w:p>
        </w:tc>
        <w:tc>
          <w:tcPr>
            <w:tcW w:w="942" w:type="dxa"/>
            <w:tcBorders>
              <w:top w:val="nil"/>
              <w:left w:val="nil"/>
              <w:bottom w:val="nil"/>
              <w:right w:val="nil"/>
            </w:tcBorders>
            <w:shd w:val="clear" w:color="000000" w:fill="C5D9F1"/>
            <w:noWrap/>
            <w:vAlign w:val="center"/>
            <w:hideMark/>
          </w:tcPr>
          <w:p w14:paraId="5C4222A5"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single" w:sz="8" w:space="0" w:color="auto"/>
            </w:tcBorders>
            <w:shd w:val="clear" w:color="000000" w:fill="C5D9F1"/>
            <w:noWrap/>
            <w:vAlign w:val="center"/>
            <w:hideMark/>
          </w:tcPr>
          <w:p w14:paraId="70380B3A"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42" w:type="dxa"/>
            <w:tcBorders>
              <w:top w:val="nil"/>
              <w:left w:val="nil"/>
              <w:bottom w:val="nil"/>
              <w:right w:val="nil"/>
            </w:tcBorders>
            <w:shd w:val="clear" w:color="000000" w:fill="C5D9F1"/>
            <w:noWrap/>
            <w:vAlign w:val="center"/>
            <w:hideMark/>
          </w:tcPr>
          <w:p w14:paraId="36D9F0E3"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single" w:sz="8" w:space="0" w:color="auto"/>
            </w:tcBorders>
            <w:shd w:val="clear" w:color="000000" w:fill="C5D9F1"/>
            <w:noWrap/>
            <w:vAlign w:val="center"/>
            <w:hideMark/>
          </w:tcPr>
          <w:p w14:paraId="61FAFD98"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42" w:type="dxa"/>
            <w:tcBorders>
              <w:top w:val="nil"/>
              <w:left w:val="nil"/>
              <w:bottom w:val="nil"/>
              <w:right w:val="nil"/>
            </w:tcBorders>
            <w:shd w:val="clear" w:color="000000" w:fill="C5D9F1"/>
            <w:noWrap/>
            <w:vAlign w:val="center"/>
            <w:hideMark/>
          </w:tcPr>
          <w:p w14:paraId="1BB682D6"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single" w:sz="8" w:space="0" w:color="auto"/>
            </w:tcBorders>
            <w:shd w:val="clear" w:color="000000" w:fill="C5D9F1"/>
            <w:noWrap/>
            <w:vAlign w:val="center"/>
            <w:hideMark/>
          </w:tcPr>
          <w:p w14:paraId="43C60703"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42" w:type="dxa"/>
            <w:tcBorders>
              <w:top w:val="nil"/>
              <w:left w:val="nil"/>
              <w:bottom w:val="nil"/>
              <w:right w:val="nil"/>
            </w:tcBorders>
            <w:shd w:val="clear" w:color="000000" w:fill="C5D9F1"/>
            <w:noWrap/>
            <w:vAlign w:val="center"/>
            <w:hideMark/>
          </w:tcPr>
          <w:p w14:paraId="1300B1CC"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1006" w:type="dxa"/>
            <w:gridSpan w:val="2"/>
            <w:tcBorders>
              <w:top w:val="nil"/>
              <w:left w:val="nil"/>
              <w:bottom w:val="nil"/>
              <w:right w:val="single" w:sz="8" w:space="0" w:color="auto"/>
            </w:tcBorders>
            <w:shd w:val="clear" w:color="000000" w:fill="C5D9F1"/>
            <w:noWrap/>
            <w:vAlign w:val="center"/>
            <w:hideMark/>
          </w:tcPr>
          <w:p w14:paraId="1CB18A1F"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r>
      <w:tr w:rsidR="00FF4853" w:rsidRPr="00FF4853" w14:paraId="09DBE260"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154EA501"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Asian</w:t>
            </w:r>
          </w:p>
        </w:tc>
        <w:tc>
          <w:tcPr>
            <w:tcW w:w="942" w:type="dxa"/>
            <w:tcBorders>
              <w:top w:val="nil"/>
              <w:left w:val="nil"/>
              <w:bottom w:val="nil"/>
              <w:right w:val="nil"/>
            </w:tcBorders>
            <w:shd w:val="clear" w:color="auto" w:fill="auto"/>
            <w:noWrap/>
            <w:vAlign w:val="center"/>
            <w:hideMark/>
          </w:tcPr>
          <w:p w14:paraId="1C096771"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47,950</w:t>
            </w:r>
          </w:p>
        </w:tc>
        <w:tc>
          <w:tcPr>
            <w:tcW w:w="972" w:type="dxa"/>
            <w:gridSpan w:val="2"/>
            <w:tcBorders>
              <w:top w:val="nil"/>
              <w:left w:val="nil"/>
              <w:bottom w:val="nil"/>
              <w:right w:val="single" w:sz="8" w:space="0" w:color="auto"/>
            </w:tcBorders>
            <w:shd w:val="clear" w:color="auto" w:fill="auto"/>
            <w:noWrap/>
            <w:vAlign w:val="center"/>
            <w:hideMark/>
          </w:tcPr>
          <w:p w14:paraId="2FD22967"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8.55%</w:t>
            </w:r>
          </w:p>
        </w:tc>
        <w:tc>
          <w:tcPr>
            <w:tcW w:w="942" w:type="dxa"/>
            <w:tcBorders>
              <w:top w:val="nil"/>
              <w:left w:val="nil"/>
              <w:bottom w:val="nil"/>
              <w:right w:val="nil"/>
            </w:tcBorders>
            <w:shd w:val="clear" w:color="auto" w:fill="auto"/>
            <w:noWrap/>
            <w:vAlign w:val="center"/>
            <w:hideMark/>
          </w:tcPr>
          <w:p w14:paraId="6C5BA02D"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48,140</w:t>
            </w:r>
          </w:p>
        </w:tc>
        <w:tc>
          <w:tcPr>
            <w:tcW w:w="972" w:type="dxa"/>
            <w:gridSpan w:val="2"/>
            <w:tcBorders>
              <w:top w:val="nil"/>
              <w:left w:val="nil"/>
              <w:bottom w:val="nil"/>
              <w:right w:val="single" w:sz="8" w:space="0" w:color="auto"/>
            </w:tcBorders>
            <w:shd w:val="clear" w:color="auto" w:fill="auto"/>
            <w:noWrap/>
            <w:vAlign w:val="center"/>
            <w:hideMark/>
          </w:tcPr>
          <w:p w14:paraId="121CD82F"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8.69%</w:t>
            </w:r>
          </w:p>
        </w:tc>
        <w:tc>
          <w:tcPr>
            <w:tcW w:w="942" w:type="dxa"/>
            <w:tcBorders>
              <w:top w:val="nil"/>
              <w:left w:val="nil"/>
              <w:bottom w:val="nil"/>
              <w:right w:val="nil"/>
            </w:tcBorders>
            <w:shd w:val="clear" w:color="auto" w:fill="auto"/>
            <w:noWrap/>
            <w:vAlign w:val="center"/>
            <w:hideMark/>
          </w:tcPr>
          <w:p w14:paraId="2AC79898"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49,692</w:t>
            </w:r>
          </w:p>
        </w:tc>
        <w:tc>
          <w:tcPr>
            <w:tcW w:w="972" w:type="dxa"/>
            <w:gridSpan w:val="2"/>
            <w:tcBorders>
              <w:top w:val="nil"/>
              <w:left w:val="nil"/>
              <w:bottom w:val="nil"/>
              <w:right w:val="single" w:sz="8" w:space="0" w:color="auto"/>
            </w:tcBorders>
            <w:shd w:val="clear" w:color="auto" w:fill="auto"/>
            <w:noWrap/>
            <w:vAlign w:val="center"/>
            <w:hideMark/>
          </w:tcPr>
          <w:p w14:paraId="4635D50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9.02%</w:t>
            </w:r>
          </w:p>
        </w:tc>
        <w:tc>
          <w:tcPr>
            <w:tcW w:w="942" w:type="dxa"/>
            <w:tcBorders>
              <w:top w:val="nil"/>
              <w:left w:val="nil"/>
              <w:bottom w:val="nil"/>
              <w:right w:val="nil"/>
            </w:tcBorders>
            <w:shd w:val="clear" w:color="auto" w:fill="auto"/>
            <w:noWrap/>
            <w:vAlign w:val="center"/>
            <w:hideMark/>
          </w:tcPr>
          <w:p w14:paraId="48121F05"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52,511</w:t>
            </w:r>
          </w:p>
        </w:tc>
        <w:tc>
          <w:tcPr>
            <w:tcW w:w="1006" w:type="dxa"/>
            <w:gridSpan w:val="2"/>
            <w:tcBorders>
              <w:top w:val="nil"/>
              <w:left w:val="nil"/>
              <w:bottom w:val="nil"/>
              <w:right w:val="single" w:sz="8" w:space="0" w:color="auto"/>
            </w:tcBorders>
            <w:shd w:val="clear" w:color="auto" w:fill="auto"/>
            <w:noWrap/>
            <w:vAlign w:val="center"/>
            <w:hideMark/>
          </w:tcPr>
          <w:p w14:paraId="7A3CCEF1"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9.15%</w:t>
            </w:r>
          </w:p>
        </w:tc>
      </w:tr>
      <w:tr w:rsidR="00FF4853" w:rsidRPr="00FF4853" w14:paraId="087254E8"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538822DD"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Black</w:t>
            </w:r>
          </w:p>
        </w:tc>
        <w:tc>
          <w:tcPr>
            <w:tcW w:w="942" w:type="dxa"/>
            <w:tcBorders>
              <w:top w:val="nil"/>
              <w:left w:val="nil"/>
              <w:bottom w:val="nil"/>
              <w:right w:val="nil"/>
            </w:tcBorders>
            <w:shd w:val="clear" w:color="auto" w:fill="auto"/>
            <w:noWrap/>
            <w:vAlign w:val="center"/>
            <w:hideMark/>
          </w:tcPr>
          <w:p w14:paraId="1D208FC2"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42,127</w:t>
            </w:r>
          </w:p>
        </w:tc>
        <w:tc>
          <w:tcPr>
            <w:tcW w:w="972" w:type="dxa"/>
            <w:gridSpan w:val="2"/>
            <w:tcBorders>
              <w:top w:val="nil"/>
              <w:left w:val="nil"/>
              <w:bottom w:val="nil"/>
              <w:right w:val="single" w:sz="8" w:space="0" w:color="auto"/>
            </w:tcBorders>
            <w:shd w:val="clear" w:color="auto" w:fill="auto"/>
            <w:noWrap/>
            <w:vAlign w:val="center"/>
            <w:hideMark/>
          </w:tcPr>
          <w:p w14:paraId="0537C52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7.51%</w:t>
            </w:r>
          </w:p>
        </w:tc>
        <w:tc>
          <w:tcPr>
            <w:tcW w:w="942" w:type="dxa"/>
            <w:tcBorders>
              <w:top w:val="nil"/>
              <w:left w:val="nil"/>
              <w:bottom w:val="nil"/>
              <w:right w:val="nil"/>
            </w:tcBorders>
            <w:shd w:val="clear" w:color="auto" w:fill="auto"/>
            <w:noWrap/>
            <w:vAlign w:val="center"/>
            <w:hideMark/>
          </w:tcPr>
          <w:p w14:paraId="7F259B0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42,264</w:t>
            </w:r>
          </w:p>
        </w:tc>
        <w:tc>
          <w:tcPr>
            <w:tcW w:w="972" w:type="dxa"/>
            <w:gridSpan w:val="2"/>
            <w:tcBorders>
              <w:top w:val="nil"/>
              <w:left w:val="nil"/>
              <w:bottom w:val="nil"/>
              <w:right w:val="single" w:sz="8" w:space="0" w:color="auto"/>
            </w:tcBorders>
            <w:shd w:val="clear" w:color="auto" w:fill="auto"/>
            <w:noWrap/>
            <w:vAlign w:val="center"/>
            <w:hideMark/>
          </w:tcPr>
          <w:p w14:paraId="60B9F8C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7.63%</w:t>
            </w:r>
          </w:p>
        </w:tc>
        <w:tc>
          <w:tcPr>
            <w:tcW w:w="942" w:type="dxa"/>
            <w:tcBorders>
              <w:top w:val="nil"/>
              <w:left w:val="nil"/>
              <w:bottom w:val="nil"/>
              <w:right w:val="nil"/>
            </w:tcBorders>
            <w:shd w:val="clear" w:color="auto" w:fill="auto"/>
            <w:noWrap/>
            <w:vAlign w:val="center"/>
            <w:hideMark/>
          </w:tcPr>
          <w:p w14:paraId="3321B440"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43,455</w:t>
            </w:r>
          </w:p>
        </w:tc>
        <w:tc>
          <w:tcPr>
            <w:tcW w:w="972" w:type="dxa"/>
            <w:gridSpan w:val="2"/>
            <w:tcBorders>
              <w:top w:val="nil"/>
              <w:left w:val="nil"/>
              <w:bottom w:val="nil"/>
              <w:right w:val="single" w:sz="8" w:space="0" w:color="auto"/>
            </w:tcBorders>
            <w:shd w:val="clear" w:color="auto" w:fill="auto"/>
            <w:noWrap/>
            <w:vAlign w:val="center"/>
            <w:hideMark/>
          </w:tcPr>
          <w:p w14:paraId="2F0CCC1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7.89%</w:t>
            </w:r>
          </w:p>
        </w:tc>
        <w:tc>
          <w:tcPr>
            <w:tcW w:w="942" w:type="dxa"/>
            <w:tcBorders>
              <w:top w:val="nil"/>
              <w:left w:val="nil"/>
              <w:bottom w:val="nil"/>
              <w:right w:val="nil"/>
            </w:tcBorders>
            <w:shd w:val="clear" w:color="auto" w:fill="auto"/>
            <w:noWrap/>
            <w:vAlign w:val="center"/>
            <w:hideMark/>
          </w:tcPr>
          <w:p w14:paraId="6E859331"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43,415</w:t>
            </w:r>
          </w:p>
        </w:tc>
        <w:tc>
          <w:tcPr>
            <w:tcW w:w="1006" w:type="dxa"/>
            <w:gridSpan w:val="2"/>
            <w:tcBorders>
              <w:top w:val="nil"/>
              <w:left w:val="nil"/>
              <w:bottom w:val="nil"/>
              <w:right w:val="single" w:sz="8" w:space="0" w:color="auto"/>
            </w:tcBorders>
            <w:shd w:val="clear" w:color="auto" w:fill="auto"/>
            <w:noWrap/>
            <w:vAlign w:val="center"/>
            <w:hideMark/>
          </w:tcPr>
          <w:p w14:paraId="156CC29A"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7.57%</w:t>
            </w:r>
          </w:p>
        </w:tc>
      </w:tr>
      <w:tr w:rsidR="00FF4853" w:rsidRPr="00FF4853" w14:paraId="0CB5A7D3"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252FFC49"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Caucasian</w:t>
            </w:r>
          </w:p>
        </w:tc>
        <w:tc>
          <w:tcPr>
            <w:tcW w:w="942" w:type="dxa"/>
            <w:tcBorders>
              <w:top w:val="nil"/>
              <w:left w:val="nil"/>
              <w:bottom w:val="nil"/>
              <w:right w:val="nil"/>
            </w:tcBorders>
            <w:shd w:val="clear" w:color="auto" w:fill="auto"/>
            <w:noWrap/>
            <w:vAlign w:val="center"/>
            <w:hideMark/>
          </w:tcPr>
          <w:p w14:paraId="0271C9A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371,283</w:t>
            </w:r>
          </w:p>
        </w:tc>
        <w:tc>
          <w:tcPr>
            <w:tcW w:w="972" w:type="dxa"/>
            <w:gridSpan w:val="2"/>
            <w:tcBorders>
              <w:top w:val="nil"/>
              <w:left w:val="nil"/>
              <w:bottom w:val="nil"/>
              <w:right w:val="single" w:sz="8" w:space="0" w:color="auto"/>
            </w:tcBorders>
            <w:shd w:val="clear" w:color="auto" w:fill="auto"/>
            <w:noWrap/>
            <w:vAlign w:val="center"/>
            <w:hideMark/>
          </w:tcPr>
          <w:p w14:paraId="625253F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66.22%</w:t>
            </w:r>
          </w:p>
        </w:tc>
        <w:tc>
          <w:tcPr>
            <w:tcW w:w="942" w:type="dxa"/>
            <w:tcBorders>
              <w:top w:val="nil"/>
              <w:left w:val="nil"/>
              <w:bottom w:val="nil"/>
              <w:right w:val="nil"/>
            </w:tcBorders>
            <w:shd w:val="clear" w:color="auto" w:fill="auto"/>
            <w:noWrap/>
            <w:vAlign w:val="center"/>
            <w:hideMark/>
          </w:tcPr>
          <w:p w14:paraId="6251062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360,858</w:t>
            </w:r>
          </w:p>
        </w:tc>
        <w:tc>
          <w:tcPr>
            <w:tcW w:w="972" w:type="dxa"/>
            <w:gridSpan w:val="2"/>
            <w:tcBorders>
              <w:top w:val="nil"/>
              <w:left w:val="nil"/>
              <w:bottom w:val="nil"/>
              <w:right w:val="single" w:sz="8" w:space="0" w:color="auto"/>
            </w:tcBorders>
            <w:shd w:val="clear" w:color="auto" w:fill="auto"/>
            <w:noWrap/>
            <w:vAlign w:val="center"/>
            <w:hideMark/>
          </w:tcPr>
          <w:p w14:paraId="596650B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65.12%</w:t>
            </w:r>
          </w:p>
        </w:tc>
        <w:tc>
          <w:tcPr>
            <w:tcW w:w="942" w:type="dxa"/>
            <w:tcBorders>
              <w:top w:val="nil"/>
              <w:left w:val="nil"/>
              <w:bottom w:val="nil"/>
              <w:right w:val="nil"/>
            </w:tcBorders>
            <w:shd w:val="clear" w:color="auto" w:fill="auto"/>
            <w:noWrap/>
            <w:vAlign w:val="center"/>
            <w:hideMark/>
          </w:tcPr>
          <w:p w14:paraId="14134E35"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359,179</w:t>
            </w:r>
          </w:p>
        </w:tc>
        <w:tc>
          <w:tcPr>
            <w:tcW w:w="972" w:type="dxa"/>
            <w:gridSpan w:val="2"/>
            <w:tcBorders>
              <w:top w:val="nil"/>
              <w:left w:val="nil"/>
              <w:bottom w:val="nil"/>
              <w:right w:val="single" w:sz="8" w:space="0" w:color="auto"/>
            </w:tcBorders>
            <w:shd w:val="clear" w:color="auto" w:fill="auto"/>
            <w:noWrap/>
            <w:vAlign w:val="center"/>
            <w:hideMark/>
          </w:tcPr>
          <w:p w14:paraId="43ABFF4D"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65.20%</w:t>
            </w:r>
          </w:p>
        </w:tc>
        <w:tc>
          <w:tcPr>
            <w:tcW w:w="942" w:type="dxa"/>
            <w:tcBorders>
              <w:top w:val="nil"/>
              <w:left w:val="nil"/>
              <w:bottom w:val="nil"/>
              <w:right w:val="nil"/>
            </w:tcBorders>
            <w:shd w:val="clear" w:color="auto" w:fill="auto"/>
            <w:noWrap/>
            <w:vAlign w:val="center"/>
            <w:hideMark/>
          </w:tcPr>
          <w:p w14:paraId="62D08FF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371,406</w:t>
            </w:r>
          </w:p>
        </w:tc>
        <w:tc>
          <w:tcPr>
            <w:tcW w:w="1006" w:type="dxa"/>
            <w:gridSpan w:val="2"/>
            <w:tcBorders>
              <w:top w:val="nil"/>
              <w:left w:val="nil"/>
              <w:bottom w:val="nil"/>
              <w:right w:val="single" w:sz="8" w:space="0" w:color="auto"/>
            </w:tcBorders>
            <w:shd w:val="clear" w:color="auto" w:fill="auto"/>
            <w:noWrap/>
            <w:vAlign w:val="center"/>
            <w:hideMark/>
          </w:tcPr>
          <w:p w14:paraId="762F394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64.72%</w:t>
            </w:r>
          </w:p>
        </w:tc>
      </w:tr>
      <w:tr w:rsidR="00FF4853" w:rsidRPr="00FF4853" w14:paraId="134C76A8"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2FF3F855"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Hispanic</w:t>
            </w:r>
          </w:p>
        </w:tc>
        <w:tc>
          <w:tcPr>
            <w:tcW w:w="942" w:type="dxa"/>
            <w:tcBorders>
              <w:top w:val="nil"/>
              <w:left w:val="nil"/>
              <w:bottom w:val="nil"/>
              <w:right w:val="nil"/>
            </w:tcBorders>
            <w:shd w:val="clear" w:color="auto" w:fill="auto"/>
            <w:noWrap/>
            <w:vAlign w:val="center"/>
            <w:hideMark/>
          </w:tcPr>
          <w:p w14:paraId="15C86607"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28,510</w:t>
            </w:r>
          </w:p>
        </w:tc>
        <w:tc>
          <w:tcPr>
            <w:tcW w:w="972" w:type="dxa"/>
            <w:gridSpan w:val="2"/>
            <w:tcBorders>
              <w:top w:val="nil"/>
              <w:left w:val="nil"/>
              <w:bottom w:val="nil"/>
              <w:right w:val="single" w:sz="8" w:space="0" w:color="auto"/>
            </w:tcBorders>
            <w:shd w:val="clear" w:color="auto" w:fill="auto"/>
            <w:noWrap/>
            <w:vAlign w:val="center"/>
            <w:hideMark/>
          </w:tcPr>
          <w:p w14:paraId="43FECE8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5.08%</w:t>
            </w:r>
          </w:p>
        </w:tc>
        <w:tc>
          <w:tcPr>
            <w:tcW w:w="942" w:type="dxa"/>
            <w:tcBorders>
              <w:top w:val="nil"/>
              <w:left w:val="nil"/>
              <w:bottom w:val="nil"/>
              <w:right w:val="nil"/>
            </w:tcBorders>
            <w:shd w:val="clear" w:color="auto" w:fill="auto"/>
            <w:noWrap/>
            <w:vAlign w:val="center"/>
            <w:hideMark/>
          </w:tcPr>
          <w:p w14:paraId="11C4675E"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29,109</w:t>
            </w:r>
          </w:p>
        </w:tc>
        <w:tc>
          <w:tcPr>
            <w:tcW w:w="972" w:type="dxa"/>
            <w:gridSpan w:val="2"/>
            <w:tcBorders>
              <w:top w:val="nil"/>
              <w:left w:val="nil"/>
              <w:bottom w:val="nil"/>
              <w:right w:val="single" w:sz="8" w:space="0" w:color="auto"/>
            </w:tcBorders>
            <w:shd w:val="clear" w:color="auto" w:fill="auto"/>
            <w:noWrap/>
            <w:vAlign w:val="center"/>
            <w:hideMark/>
          </w:tcPr>
          <w:p w14:paraId="36BE2FF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5.25%</w:t>
            </w:r>
          </w:p>
        </w:tc>
        <w:tc>
          <w:tcPr>
            <w:tcW w:w="942" w:type="dxa"/>
            <w:tcBorders>
              <w:top w:val="nil"/>
              <w:left w:val="nil"/>
              <w:bottom w:val="nil"/>
              <w:right w:val="nil"/>
            </w:tcBorders>
            <w:shd w:val="clear" w:color="auto" w:fill="auto"/>
            <w:noWrap/>
            <w:vAlign w:val="center"/>
            <w:hideMark/>
          </w:tcPr>
          <w:p w14:paraId="21D57C9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31,264</w:t>
            </w:r>
          </w:p>
        </w:tc>
        <w:tc>
          <w:tcPr>
            <w:tcW w:w="972" w:type="dxa"/>
            <w:gridSpan w:val="2"/>
            <w:tcBorders>
              <w:top w:val="nil"/>
              <w:left w:val="nil"/>
              <w:bottom w:val="nil"/>
              <w:right w:val="single" w:sz="8" w:space="0" w:color="auto"/>
            </w:tcBorders>
            <w:shd w:val="clear" w:color="auto" w:fill="auto"/>
            <w:noWrap/>
            <w:vAlign w:val="center"/>
            <w:hideMark/>
          </w:tcPr>
          <w:p w14:paraId="1619B8AD"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5.67%</w:t>
            </w:r>
          </w:p>
        </w:tc>
        <w:tc>
          <w:tcPr>
            <w:tcW w:w="942" w:type="dxa"/>
            <w:tcBorders>
              <w:top w:val="nil"/>
              <w:left w:val="nil"/>
              <w:bottom w:val="nil"/>
              <w:right w:val="nil"/>
            </w:tcBorders>
            <w:shd w:val="clear" w:color="auto" w:fill="auto"/>
            <w:noWrap/>
            <w:vAlign w:val="center"/>
            <w:hideMark/>
          </w:tcPr>
          <w:p w14:paraId="14AE072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33,688</w:t>
            </w:r>
          </w:p>
        </w:tc>
        <w:tc>
          <w:tcPr>
            <w:tcW w:w="1006" w:type="dxa"/>
            <w:gridSpan w:val="2"/>
            <w:tcBorders>
              <w:top w:val="nil"/>
              <w:left w:val="nil"/>
              <w:bottom w:val="nil"/>
              <w:right w:val="single" w:sz="8" w:space="0" w:color="auto"/>
            </w:tcBorders>
            <w:shd w:val="clear" w:color="auto" w:fill="auto"/>
            <w:noWrap/>
            <w:vAlign w:val="center"/>
            <w:hideMark/>
          </w:tcPr>
          <w:p w14:paraId="7354B26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5.87%</w:t>
            </w:r>
          </w:p>
        </w:tc>
      </w:tr>
      <w:tr w:rsidR="00FF4853" w:rsidRPr="00FF4853" w14:paraId="6E019E03"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7770B3B7"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Native American</w:t>
            </w:r>
          </w:p>
        </w:tc>
        <w:tc>
          <w:tcPr>
            <w:tcW w:w="942" w:type="dxa"/>
            <w:tcBorders>
              <w:top w:val="nil"/>
              <w:left w:val="nil"/>
              <w:bottom w:val="nil"/>
              <w:right w:val="nil"/>
            </w:tcBorders>
            <w:shd w:val="clear" w:color="auto" w:fill="auto"/>
            <w:noWrap/>
            <w:vAlign w:val="center"/>
            <w:hideMark/>
          </w:tcPr>
          <w:p w14:paraId="6359D3A0"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1,110</w:t>
            </w:r>
          </w:p>
        </w:tc>
        <w:tc>
          <w:tcPr>
            <w:tcW w:w="972" w:type="dxa"/>
            <w:gridSpan w:val="2"/>
            <w:tcBorders>
              <w:top w:val="nil"/>
              <w:left w:val="nil"/>
              <w:bottom w:val="nil"/>
              <w:right w:val="single" w:sz="8" w:space="0" w:color="auto"/>
            </w:tcBorders>
            <w:shd w:val="clear" w:color="auto" w:fill="auto"/>
            <w:noWrap/>
            <w:vAlign w:val="center"/>
            <w:hideMark/>
          </w:tcPr>
          <w:p w14:paraId="081888F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0.20%</w:t>
            </w:r>
          </w:p>
        </w:tc>
        <w:tc>
          <w:tcPr>
            <w:tcW w:w="942" w:type="dxa"/>
            <w:tcBorders>
              <w:top w:val="nil"/>
              <w:left w:val="nil"/>
              <w:bottom w:val="nil"/>
              <w:right w:val="nil"/>
            </w:tcBorders>
            <w:shd w:val="clear" w:color="auto" w:fill="auto"/>
            <w:noWrap/>
            <w:vAlign w:val="center"/>
            <w:hideMark/>
          </w:tcPr>
          <w:p w14:paraId="642B939A"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1,101</w:t>
            </w:r>
          </w:p>
        </w:tc>
        <w:tc>
          <w:tcPr>
            <w:tcW w:w="972" w:type="dxa"/>
            <w:gridSpan w:val="2"/>
            <w:tcBorders>
              <w:top w:val="nil"/>
              <w:left w:val="nil"/>
              <w:bottom w:val="nil"/>
              <w:right w:val="single" w:sz="8" w:space="0" w:color="auto"/>
            </w:tcBorders>
            <w:shd w:val="clear" w:color="auto" w:fill="auto"/>
            <w:noWrap/>
            <w:vAlign w:val="center"/>
            <w:hideMark/>
          </w:tcPr>
          <w:p w14:paraId="76CA5575"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0.20%</w:t>
            </w:r>
          </w:p>
        </w:tc>
        <w:tc>
          <w:tcPr>
            <w:tcW w:w="942" w:type="dxa"/>
            <w:tcBorders>
              <w:top w:val="nil"/>
              <w:left w:val="nil"/>
              <w:bottom w:val="nil"/>
              <w:right w:val="nil"/>
            </w:tcBorders>
            <w:shd w:val="clear" w:color="auto" w:fill="auto"/>
            <w:noWrap/>
            <w:vAlign w:val="center"/>
            <w:hideMark/>
          </w:tcPr>
          <w:p w14:paraId="032E620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1,151</w:t>
            </w:r>
          </w:p>
        </w:tc>
        <w:tc>
          <w:tcPr>
            <w:tcW w:w="972" w:type="dxa"/>
            <w:gridSpan w:val="2"/>
            <w:tcBorders>
              <w:top w:val="nil"/>
              <w:left w:val="nil"/>
              <w:bottom w:val="nil"/>
              <w:right w:val="single" w:sz="8" w:space="0" w:color="auto"/>
            </w:tcBorders>
            <w:shd w:val="clear" w:color="auto" w:fill="auto"/>
            <w:noWrap/>
            <w:vAlign w:val="center"/>
            <w:hideMark/>
          </w:tcPr>
          <w:p w14:paraId="2572B97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0.21%</w:t>
            </w:r>
          </w:p>
        </w:tc>
        <w:tc>
          <w:tcPr>
            <w:tcW w:w="942" w:type="dxa"/>
            <w:tcBorders>
              <w:top w:val="nil"/>
              <w:left w:val="nil"/>
              <w:bottom w:val="nil"/>
              <w:right w:val="nil"/>
            </w:tcBorders>
            <w:shd w:val="clear" w:color="auto" w:fill="auto"/>
            <w:noWrap/>
            <w:vAlign w:val="center"/>
            <w:hideMark/>
          </w:tcPr>
          <w:p w14:paraId="19DEEC75"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1,151</w:t>
            </w:r>
          </w:p>
        </w:tc>
        <w:tc>
          <w:tcPr>
            <w:tcW w:w="1006" w:type="dxa"/>
            <w:gridSpan w:val="2"/>
            <w:tcBorders>
              <w:top w:val="nil"/>
              <w:left w:val="nil"/>
              <w:bottom w:val="nil"/>
              <w:right w:val="single" w:sz="8" w:space="0" w:color="auto"/>
            </w:tcBorders>
            <w:shd w:val="clear" w:color="auto" w:fill="auto"/>
            <w:noWrap/>
            <w:vAlign w:val="center"/>
            <w:hideMark/>
          </w:tcPr>
          <w:p w14:paraId="18221162"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0.20%</w:t>
            </w:r>
          </w:p>
        </w:tc>
      </w:tr>
      <w:tr w:rsidR="00FF4853" w:rsidRPr="00FF4853" w14:paraId="429CABA9"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4F17C8E2"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Other</w:t>
            </w:r>
          </w:p>
        </w:tc>
        <w:tc>
          <w:tcPr>
            <w:tcW w:w="942" w:type="dxa"/>
            <w:tcBorders>
              <w:top w:val="nil"/>
              <w:left w:val="nil"/>
              <w:bottom w:val="nil"/>
              <w:right w:val="nil"/>
            </w:tcBorders>
            <w:shd w:val="clear" w:color="auto" w:fill="auto"/>
            <w:noWrap/>
            <w:vAlign w:val="center"/>
            <w:hideMark/>
          </w:tcPr>
          <w:p w14:paraId="7681A41D"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22,286</w:t>
            </w:r>
          </w:p>
        </w:tc>
        <w:tc>
          <w:tcPr>
            <w:tcW w:w="972" w:type="dxa"/>
            <w:gridSpan w:val="2"/>
            <w:tcBorders>
              <w:top w:val="nil"/>
              <w:left w:val="nil"/>
              <w:bottom w:val="nil"/>
              <w:right w:val="single" w:sz="8" w:space="0" w:color="auto"/>
            </w:tcBorders>
            <w:shd w:val="clear" w:color="auto" w:fill="auto"/>
            <w:noWrap/>
            <w:vAlign w:val="center"/>
            <w:hideMark/>
          </w:tcPr>
          <w:p w14:paraId="6681F6ED"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3.97%</w:t>
            </w:r>
          </w:p>
        </w:tc>
        <w:tc>
          <w:tcPr>
            <w:tcW w:w="942" w:type="dxa"/>
            <w:tcBorders>
              <w:top w:val="nil"/>
              <w:left w:val="nil"/>
              <w:bottom w:val="nil"/>
              <w:right w:val="nil"/>
            </w:tcBorders>
            <w:shd w:val="clear" w:color="auto" w:fill="auto"/>
            <w:noWrap/>
            <w:vAlign w:val="center"/>
            <w:hideMark/>
          </w:tcPr>
          <w:p w14:paraId="4D855A62"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29,291</w:t>
            </w:r>
          </w:p>
        </w:tc>
        <w:tc>
          <w:tcPr>
            <w:tcW w:w="972" w:type="dxa"/>
            <w:gridSpan w:val="2"/>
            <w:tcBorders>
              <w:top w:val="nil"/>
              <w:left w:val="nil"/>
              <w:bottom w:val="nil"/>
              <w:right w:val="single" w:sz="8" w:space="0" w:color="auto"/>
            </w:tcBorders>
            <w:shd w:val="clear" w:color="auto" w:fill="auto"/>
            <w:noWrap/>
            <w:vAlign w:val="center"/>
            <w:hideMark/>
          </w:tcPr>
          <w:p w14:paraId="0FE94EA1"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5.29%</w:t>
            </w:r>
          </w:p>
        </w:tc>
        <w:tc>
          <w:tcPr>
            <w:tcW w:w="942" w:type="dxa"/>
            <w:tcBorders>
              <w:top w:val="nil"/>
              <w:left w:val="nil"/>
              <w:bottom w:val="nil"/>
              <w:right w:val="nil"/>
            </w:tcBorders>
            <w:shd w:val="clear" w:color="auto" w:fill="auto"/>
            <w:noWrap/>
            <w:vAlign w:val="center"/>
            <w:hideMark/>
          </w:tcPr>
          <w:p w14:paraId="48A3D9AA"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23,374</w:t>
            </w:r>
          </w:p>
        </w:tc>
        <w:tc>
          <w:tcPr>
            <w:tcW w:w="972" w:type="dxa"/>
            <w:gridSpan w:val="2"/>
            <w:tcBorders>
              <w:top w:val="nil"/>
              <w:left w:val="nil"/>
              <w:bottom w:val="nil"/>
              <w:right w:val="single" w:sz="8" w:space="0" w:color="auto"/>
            </w:tcBorders>
            <w:shd w:val="clear" w:color="auto" w:fill="auto"/>
            <w:noWrap/>
            <w:vAlign w:val="center"/>
            <w:hideMark/>
          </w:tcPr>
          <w:p w14:paraId="50E226F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4.24%</w:t>
            </w:r>
          </w:p>
        </w:tc>
        <w:tc>
          <w:tcPr>
            <w:tcW w:w="942" w:type="dxa"/>
            <w:tcBorders>
              <w:top w:val="nil"/>
              <w:left w:val="nil"/>
              <w:bottom w:val="nil"/>
              <w:right w:val="nil"/>
            </w:tcBorders>
            <w:shd w:val="clear" w:color="auto" w:fill="auto"/>
            <w:noWrap/>
            <w:vAlign w:val="center"/>
            <w:hideMark/>
          </w:tcPr>
          <w:p w14:paraId="4D1A807D"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26,866</w:t>
            </w:r>
          </w:p>
        </w:tc>
        <w:tc>
          <w:tcPr>
            <w:tcW w:w="1006" w:type="dxa"/>
            <w:gridSpan w:val="2"/>
            <w:tcBorders>
              <w:top w:val="nil"/>
              <w:left w:val="nil"/>
              <w:bottom w:val="nil"/>
              <w:right w:val="single" w:sz="8" w:space="0" w:color="auto"/>
            </w:tcBorders>
            <w:shd w:val="clear" w:color="auto" w:fill="auto"/>
            <w:noWrap/>
            <w:vAlign w:val="center"/>
            <w:hideMark/>
          </w:tcPr>
          <w:p w14:paraId="0CC026C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4.68%</w:t>
            </w:r>
          </w:p>
        </w:tc>
      </w:tr>
      <w:tr w:rsidR="00FF4853" w:rsidRPr="00FF4853" w14:paraId="5CBB2439"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0F72468B"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Declined</w:t>
            </w:r>
          </w:p>
        </w:tc>
        <w:tc>
          <w:tcPr>
            <w:tcW w:w="942" w:type="dxa"/>
            <w:tcBorders>
              <w:top w:val="nil"/>
              <w:left w:val="nil"/>
              <w:bottom w:val="nil"/>
              <w:right w:val="nil"/>
            </w:tcBorders>
            <w:shd w:val="clear" w:color="auto" w:fill="auto"/>
            <w:noWrap/>
            <w:vAlign w:val="center"/>
            <w:hideMark/>
          </w:tcPr>
          <w:p w14:paraId="0710BFA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47,432</w:t>
            </w:r>
          </w:p>
        </w:tc>
        <w:tc>
          <w:tcPr>
            <w:tcW w:w="972" w:type="dxa"/>
            <w:gridSpan w:val="2"/>
            <w:tcBorders>
              <w:top w:val="nil"/>
              <w:left w:val="nil"/>
              <w:bottom w:val="nil"/>
              <w:right w:val="single" w:sz="8" w:space="0" w:color="auto"/>
            </w:tcBorders>
            <w:shd w:val="clear" w:color="auto" w:fill="auto"/>
            <w:noWrap/>
            <w:vAlign w:val="center"/>
            <w:hideMark/>
          </w:tcPr>
          <w:p w14:paraId="2894BBAA"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8.46%</w:t>
            </w:r>
          </w:p>
        </w:tc>
        <w:tc>
          <w:tcPr>
            <w:tcW w:w="942" w:type="dxa"/>
            <w:tcBorders>
              <w:top w:val="nil"/>
              <w:left w:val="nil"/>
              <w:bottom w:val="nil"/>
              <w:right w:val="nil"/>
            </w:tcBorders>
            <w:shd w:val="clear" w:color="auto" w:fill="auto"/>
            <w:noWrap/>
            <w:vAlign w:val="center"/>
            <w:hideMark/>
          </w:tcPr>
          <w:p w14:paraId="408479D7"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43,391</w:t>
            </w:r>
          </w:p>
        </w:tc>
        <w:tc>
          <w:tcPr>
            <w:tcW w:w="972" w:type="dxa"/>
            <w:gridSpan w:val="2"/>
            <w:tcBorders>
              <w:top w:val="nil"/>
              <w:left w:val="nil"/>
              <w:bottom w:val="nil"/>
              <w:right w:val="single" w:sz="8" w:space="0" w:color="auto"/>
            </w:tcBorders>
            <w:shd w:val="clear" w:color="auto" w:fill="auto"/>
            <w:noWrap/>
            <w:vAlign w:val="center"/>
            <w:hideMark/>
          </w:tcPr>
          <w:p w14:paraId="354316F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7.83%</w:t>
            </w:r>
          </w:p>
        </w:tc>
        <w:tc>
          <w:tcPr>
            <w:tcW w:w="942" w:type="dxa"/>
            <w:tcBorders>
              <w:top w:val="nil"/>
              <w:left w:val="nil"/>
              <w:bottom w:val="nil"/>
              <w:right w:val="nil"/>
            </w:tcBorders>
            <w:shd w:val="clear" w:color="auto" w:fill="auto"/>
            <w:noWrap/>
            <w:vAlign w:val="center"/>
            <w:hideMark/>
          </w:tcPr>
          <w:p w14:paraId="258C613C"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42,800</w:t>
            </w:r>
          </w:p>
        </w:tc>
        <w:tc>
          <w:tcPr>
            <w:tcW w:w="972" w:type="dxa"/>
            <w:gridSpan w:val="2"/>
            <w:tcBorders>
              <w:top w:val="nil"/>
              <w:left w:val="nil"/>
              <w:bottom w:val="nil"/>
              <w:right w:val="single" w:sz="8" w:space="0" w:color="auto"/>
            </w:tcBorders>
            <w:shd w:val="clear" w:color="auto" w:fill="auto"/>
            <w:noWrap/>
            <w:vAlign w:val="center"/>
            <w:hideMark/>
          </w:tcPr>
          <w:p w14:paraId="157B0906"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7.77%</w:t>
            </w:r>
          </w:p>
        </w:tc>
        <w:tc>
          <w:tcPr>
            <w:tcW w:w="942" w:type="dxa"/>
            <w:tcBorders>
              <w:top w:val="nil"/>
              <w:left w:val="nil"/>
              <w:bottom w:val="nil"/>
              <w:right w:val="nil"/>
            </w:tcBorders>
            <w:shd w:val="clear" w:color="auto" w:fill="auto"/>
            <w:noWrap/>
            <w:vAlign w:val="center"/>
            <w:hideMark/>
          </w:tcPr>
          <w:p w14:paraId="599B569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44,851</w:t>
            </w:r>
          </w:p>
        </w:tc>
        <w:tc>
          <w:tcPr>
            <w:tcW w:w="1006" w:type="dxa"/>
            <w:gridSpan w:val="2"/>
            <w:tcBorders>
              <w:top w:val="nil"/>
              <w:left w:val="nil"/>
              <w:bottom w:val="nil"/>
              <w:right w:val="single" w:sz="8" w:space="0" w:color="auto"/>
            </w:tcBorders>
            <w:shd w:val="clear" w:color="auto" w:fill="auto"/>
            <w:noWrap/>
            <w:vAlign w:val="center"/>
            <w:hideMark/>
          </w:tcPr>
          <w:p w14:paraId="3755416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7.82%</w:t>
            </w:r>
          </w:p>
        </w:tc>
      </w:tr>
      <w:tr w:rsidR="00FF4853" w:rsidRPr="00FF4853" w14:paraId="0E60744F" w14:textId="77777777" w:rsidTr="009B45BD">
        <w:trPr>
          <w:cantSplit/>
          <w:trHeight w:val="300"/>
        </w:trPr>
        <w:tc>
          <w:tcPr>
            <w:tcW w:w="2020" w:type="dxa"/>
            <w:tcBorders>
              <w:top w:val="nil"/>
              <w:left w:val="single" w:sz="8" w:space="0" w:color="auto"/>
              <w:bottom w:val="nil"/>
              <w:right w:val="single" w:sz="8" w:space="0" w:color="auto"/>
            </w:tcBorders>
            <w:shd w:val="clear" w:color="000000" w:fill="C5D9F1"/>
            <w:noWrap/>
            <w:vAlign w:val="center"/>
            <w:hideMark/>
          </w:tcPr>
          <w:p w14:paraId="126978B3" w14:textId="77777777" w:rsidR="00FF4853" w:rsidRPr="00FF4853" w:rsidRDefault="00FF4853" w:rsidP="00FF4853">
            <w:pPr>
              <w:spacing w:after="0" w:line="240" w:lineRule="auto"/>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Payer Type</w:t>
            </w:r>
          </w:p>
        </w:tc>
        <w:tc>
          <w:tcPr>
            <w:tcW w:w="942" w:type="dxa"/>
            <w:tcBorders>
              <w:top w:val="nil"/>
              <w:left w:val="nil"/>
              <w:bottom w:val="nil"/>
              <w:right w:val="nil"/>
            </w:tcBorders>
            <w:shd w:val="clear" w:color="000000" w:fill="C5D9F1"/>
            <w:noWrap/>
            <w:vAlign w:val="center"/>
            <w:hideMark/>
          </w:tcPr>
          <w:p w14:paraId="1CB49B9B"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nil"/>
            </w:tcBorders>
            <w:shd w:val="clear" w:color="000000" w:fill="C5D9F1"/>
            <w:noWrap/>
            <w:vAlign w:val="center"/>
            <w:hideMark/>
          </w:tcPr>
          <w:p w14:paraId="57C24E51"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42" w:type="dxa"/>
            <w:tcBorders>
              <w:top w:val="nil"/>
              <w:left w:val="nil"/>
              <w:bottom w:val="nil"/>
              <w:right w:val="nil"/>
            </w:tcBorders>
            <w:shd w:val="clear" w:color="000000" w:fill="C5D9F1"/>
            <w:noWrap/>
            <w:vAlign w:val="center"/>
            <w:hideMark/>
          </w:tcPr>
          <w:p w14:paraId="5101AA24"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nil"/>
            </w:tcBorders>
            <w:shd w:val="clear" w:color="000000" w:fill="C5D9F1"/>
            <w:noWrap/>
            <w:vAlign w:val="center"/>
            <w:hideMark/>
          </w:tcPr>
          <w:p w14:paraId="47E8FF32"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42" w:type="dxa"/>
            <w:tcBorders>
              <w:top w:val="nil"/>
              <w:left w:val="nil"/>
              <w:bottom w:val="nil"/>
              <w:right w:val="nil"/>
            </w:tcBorders>
            <w:shd w:val="clear" w:color="000000" w:fill="C5D9F1"/>
            <w:noWrap/>
            <w:vAlign w:val="center"/>
            <w:hideMark/>
          </w:tcPr>
          <w:p w14:paraId="17594212"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72" w:type="dxa"/>
            <w:gridSpan w:val="2"/>
            <w:tcBorders>
              <w:top w:val="nil"/>
              <w:left w:val="nil"/>
              <w:bottom w:val="nil"/>
              <w:right w:val="nil"/>
            </w:tcBorders>
            <w:shd w:val="clear" w:color="000000" w:fill="C5D9F1"/>
            <w:noWrap/>
            <w:vAlign w:val="center"/>
            <w:hideMark/>
          </w:tcPr>
          <w:p w14:paraId="56485FB7"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942" w:type="dxa"/>
            <w:tcBorders>
              <w:top w:val="nil"/>
              <w:left w:val="nil"/>
              <w:bottom w:val="nil"/>
              <w:right w:val="nil"/>
            </w:tcBorders>
            <w:shd w:val="clear" w:color="000000" w:fill="C5D9F1"/>
            <w:noWrap/>
            <w:vAlign w:val="center"/>
            <w:hideMark/>
          </w:tcPr>
          <w:p w14:paraId="7808F07C"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c>
          <w:tcPr>
            <w:tcW w:w="1006" w:type="dxa"/>
            <w:gridSpan w:val="2"/>
            <w:tcBorders>
              <w:top w:val="nil"/>
              <w:left w:val="nil"/>
              <w:bottom w:val="nil"/>
              <w:right w:val="single" w:sz="8" w:space="0" w:color="auto"/>
            </w:tcBorders>
            <w:shd w:val="clear" w:color="000000" w:fill="C5D9F1"/>
            <w:noWrap/>
            <w:vAlign w:val="center"/>
            <w:hideMark/>
          </w:tcPr>
          <w:p w14:paraId="09FEC88D" w14:textId="77777777" w:rsidR="00FF4853" w:rsidRPr="00FF4853" w:rsidRDefault="00FF4853" w:rsidP="00FF4853">
            <w:pPr>
              <w:spacing w:after="0" w:line="240" w:lineRule="auto"/>
              <w:jc w:val="center"/>
              <w:rPr>
                <w:rFonts w:ascii="Calibri" w:eastAsia="Times New Roman" w:hAnsi="Calibri" w:cs="Calibri"/>
                <w:b/>
                <w:bCs/>
                <w:color w:val="000000"/>
                <w:sz w:val="22"/>
                <w:szCs w:val="22"/>
              </w:rPr>
            </w:pPr>
            <w:r w:rsidRPr="00FF4853">
              <w:rPr>
                <w:rFonts w:ascii="Calibri" w:eastAsia="Times New Roman" w:hAnsi="Calibri" w:cs="Calibri"/>
                <w:b/>
                <w:bCs/>
                <w:color w:val="000000"/>
                <w:sz w:val="22"/>
                <w:szCs w:val="22"/>
              </w:rPr>
              <w:t> </w:t>
            </w:r>
          </w:p>
        </w:tc>
      </w:tr>
      <w:tr w:rsidR="00FF4853" w:rsidRPr="00FF4853" w14:paraId="05E90031"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255ABF30"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Medicare Risk</w:t>
            </w:r>
          </w:p>
        </w:tc>
        <w:tc>
          <w:tcPr>
            <w:tcW w:w="942" w:type="dxa"/>
            <w:tcBorders>
              <w:top w:val="nil"/>
              <w:left w:val="nil"/>
              <w:bottom w:val="nil"/>
              <w:right w:val="nil"/>
            </w:tcBorders>
            <w:shd w:val="clear" w:color="auto" w:fill="auto"/>
            <w:noWrap/>
            <w:vAlign w:val="center"/>
            <w:hideMark/>
          </w:tcPr>
          <w:p w14:paraId="102F953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60,199</w:t>
            </w:r>
          </w:p>
        </w:tc>
        <w:tc>
          <w:tcPr>
            <w:tcW w:w="972" w:type="dxa"/>
            <w:gridSpan w:val="2"/>
            <w:tcBorders>
              <w:top w:val="nil"/>
              <w:left w:val="nil"/>
              <w:bottom w:val="nil"/>
              <w:right w:val="single" w:sz="8" w:space="0" w:color="auto"/>
            </w:tcBorders>
            <w:shd w:val="clear" w:color="auto" w:fill="auto"/>
            <w:noWrap/>
            <w:vAlign w:val="center"/>
            <w:hideMark/>
          </w:tcPr>
          <w:p w14:paraId="0C7B946E"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10.74%</w:t>
            </w:r>
          </w:p>
        </w:tc>
        <w:tc>
          <w:tcPr>
            <w:tcW w:w="942" w:type="dxa"/>
            <w:tcBorders>
              <w:top w:val="nil"/>
              <w:left w:val="nil"/>
              <w:bottom w:val="nil"/>
              <w:right w:val="nil"/>
            </w:tcBorders>
            <w:shd w:val="clear" w:color="auto" w:fill="auto"/>
            <w:noWrap/>
            <w:vAlign w:val="center"/>
            <w:hideMark/>
          </w:tcPr>
          <w:p w14:paraId="6BABCF7F"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52,675</w:t>
            </w:r>
          </w:p>
        </w:tc>
        <w:tc>
          <w:tcPr>
            <w:tcW w:w="972" w:type="dxa"/>
            <w:gridSpan w:val="2"/>
            <w:tcBorders>
              <w:top w:val="nil"/>
              <w:left w:val="nil"/>
              <w:bottom w:val="nil"/>
              <w:right w:val="single" w:sz="8" w:space="0" w:color="auto"/>
            </w:tcBorders>
            <w:shd w:val="clear" w:color="auto" w:fill="auto"/>
            <w:noWrap/>
            <w:vAlign w:val="center"/>
            <w:hideMark/>
          </w:tcPr>
          <w:p w14:paraId="394420AA"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9.51%</w:t>
            </w:r>
          </w:p>
        </w:tc>
        <w:tc>
          <w:tcPr>
            <w:tcW w:w="942" w:type="dxa"/>
            <w:tcBorders>
              <w:top w:val="nil"/>
              <w:left w:val="nil"/>
              <w:bottom w:val="nil"/>
              <w:right w:val="nil"/>
            </w:tcBorders>
            <w:shd w:val="clear" w:color="auto" w:fill="auto"/>
            <w:noWrap/>
            <w:vAlign w:val="center"/>
            <w:hideMark/>
          </w:tcPr>
          <w:p w14:paraId="5EE99290"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57,720</w:t>
            </w:r>
          </w:p>
        </w:tc>
        <w:tc>
          <w:tcPr>
            <w:tcW w:w="972" w:type="dxa"/>
            <w:gridSpan w:val="2"/>
            <w:tcBorders>
              <w:top w:val="nil"/>
              <w:left w:val="nil"/>
              <w:bottom w:val="nil"/>
              <w:right w:val="single" w:sz="8" w:space="0" w:color="auto"/>
            </w:tcBorders>
            <w:shd w:val="clear" w:color="auto" w:fill="auto"/>
            <w:noWrap/>
            <w:vAlign w:val="center"/>
            <w:hideMark/>
          </w:tcPr>
          <w:p w14:paraId="41A8953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10.48%</w:t>
            </w:r>
          </w:p>
        </w:tc>
        <w:tc>
          <w:tcPr>
            <w:tcW w:w="942" w:type="dxa"/>
            <w:tcBorders>
              <w:top w:val="nil"/>
              <w:left w:val="nil"/>
              <w:bottom w:val="nil"/>
              <w:right w:val="nil"/>
            </w:tcBorders>
            <w:shd w:val="clear" w:color="auto" w:fill="auto"/>
            <w:noWrap/>
            <w:vAlign w:val="center"/>
            <w:hideMark/>
          </w:tcPr>
          <w:p w14:paraId="4F5F629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58,850</w:t>
            </w:r>
          </w:p>
        </w:tc>
        <w:tc>
          <w:tcPr>
            <w:tcW w:w="1006" w:type="dxa"/>
            <w:gridSpan w:val="2"/>
            <w:tcBorders>
              <w:top w:val="nil"/>
              <w:left w:val="nil"/>
              <w:bottom w:val="nil"/>
              <w:right w:val="single" w:sz="8" w:space="0" w:color="auto"/>
            </w:tcBorders>
            <w:shd w:val="clear" w:color="auto" w:fill="auto"/>
            <w:noWrap/>
            <w:vAlign w:val="center"/>
            <w:hideMark/>
          </w:tcPr>
          <w:p w14:paraId="1955A6B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10.25%</w:t>
            </w:r>
          </w:p>
        </w:tc>
      </w:tr>
      <w:tr w:rsidR="00FF4853" w:rsidRPr="00FF4853" w14:paraId="70F7F331"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56B8FF23"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Medicare FFS</w:t>
            </w:r>
          </w:p>
        </w:tc>
        <w:tc>
          <w:tcPr>
            <w:tcW w:w="942" w:type="dxa"/>
            <w:tcBorders>
              <w:top w:val="nil"/>
              <w:left w:val="nil"/>
              <w:bottom w:val="nil"/>
              <w:right w:val="nil"/>
            </w:tcBorders>
            <w:shd w:val="clear" w:color="auto" w:fill="auto"/>
            <w:noWrap/>
            <w:vAlign w:val="center"/>
            <w:hideMark/>
          </w:tcPr>
          <w:p w14:paraId="6387CAE2"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27,911</w:t>
            </w:r>
          </w:p>
        </w:tc>
        <w:tc>
          <w:tcPr>
            <w:tcW w:w="972" w:type="dxa"/>
            <w:gridSpan w:val="2"/>
            <w:tcBorders>
              <w:top w:val="nil"/>
              <w:left w:val="nil"/>
              <w:bottom w:val="nil"/>
              <w:right w:val="single" w:sz="8" w:space="0" w:color="auto"/>
            </w:tcBorders>
            <w:shd w:val="clear" w:color="auto" w:fill="auto"/>
            <w:noWrap/>
            <w:vAlign w:val="center"/>
            <w:hideMark/>
          </w:tcPr>
          <w:p w14:paraId="6B7F32E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4.98%</w:t>
            </w:r>
          </w:p>
        </w:tc>
        <w:tc>
          <w:tcPr>
            <w:tcW w:w="942" w:type="dxa"/>
            <w:tcBorders>
              <w:top w:val="nil"/>
              <w:left w:val="nil"/>
              <w:bottom w:val="nil"/>
              <w:right w:val="nil"/>
            </w:tcBorders>
            <w:shd w:val="clear" w:color="auto" w:fill="auto"/>
            <w:noWrap/>
            <w:vAlign w:val="center"/>
            <w:hideMark/>
          </w:tcPr>
          <w:p w14:paraId="62A70337"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35,574</w:t>
            </w:r>
          </w:p>
        </w:tc>
        <w:tc>
          <w:tcPr>
            <w:tcW w:w="972" w:type="dxa"/>
            <w:gridSpan w:val="2"/>
            <w:tcBorders>
              <w:top w:val="nil"/>
              <w:left w:val="nil"/>
              <w:bottom w:val="nil"/>
              <w:right w:val="single" w:sz="8" w:space="0" w:color="auto"/>
            </w:tcBorders>
            <w:shd w:val="clear" w:color="auto" w:fill="auto"/>
            <w:noWrap/>
            <w:vAlign w:val="center"/>
            <w:hideMark/>
          </w:tcPr>
          <w:p w14:paraId="3C334D2A"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6.42%</w:t>
            </w:r>
          </w:p>
        </w:tc>
        <w:tc>
          <w:tcPr>
            <w:tcW w:w="942" w:type="dxa"/>
            <w:tcBorders>
              <w:top w:val="nil"/>
              <w:left w:val="nil"/>
              <w:bottom w:val="nil"/>
              <w:right w:val="nil"/>
            </w:tcBorders>
            <w:shd w:val="clear" w:color="auto" w:fill="auto"/>
            <w:noWrap/>
            <w:vAlign w:val="center"/>
            <w:hideMark/>
          </w:tcPr>
          <w:p w14:paraId="4DA8BE96"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31,596</w:t>
            </w:r>
          </w:p>
        </w:tc>
        <w:tc>
          <w:tcPr>
            <w:tcW w:w="972" w:type="dxa"/>
            <w:gridSpan w:val="2"/>
            <w:tcBorders>
              <w:top w:val="nil"/>
              <w:left w:val="nil"/>
              <w:bottom w:val="nil"/>
              <w:right w:val="single" w:sz="8" w:space="0" w:color="auto"/>
            </w:tcBorders>
            <w:shd w:val="clear" w:color="auto" w:fill="auto"/>
            <w:noWrap/>
            <w:vAlign w:val="center"/>
            <w:hideMark/>
          </w:tcPr>
          <w:p w14:paraId="5DA45E87"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5.74%</w:t>
            </w:r>
          </w:p>
        </w:tc>
        <w:tc>
          <w:tcPr>
            <w:tcW w:w="942" w:type="dxa"/>
            <w:tcBorders>
              <w:top w:val="nil"/>
              <w:left w:val="nil"/>
              <w:bottom w:val="nil"/>
              <w:right w:val="nil"/>
            </w:tcBorders>
            <w:shd w:val="clear" w:color="auto" w:fill="auto"/>
            <w:noWrap/>
            <w:vAlign w:val="center"/>
            <w:hideMark/>
          </w:tcPr>
          <w:p w14:paraId="14295DC2"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37,750</w:t>
            </w:r>
          </w:p>
        </w:tc>
        <w:tc>
          <w:tcPr>
            <w:tcW w:w="1006" w:type="dxa"/>
            <w:gridSpan w:val="2"/>
            <w:tcBorders>
              <w:top w:val="nil"/>
              <w:left w:val="nil"/>
              <w:bottom w:val="nil"/>
              <w:right w:val="single" w:sz="8" w:space="0" w:color="auto"/>
            </w:tcBorders>
            <w:shd w:val="clear" w:color="auto" w:fill="auto"/>
            <w:noWrap/>
            <w:vAlign w:val="center"/>
            <w:hideMark/>
          </w:tcPr>
          <w:p w14:paraId="11FEA476"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6.58%</w:t>
            </w:r>
          </w:p>
        </w:tc>
      </w:tr>
      <w:tr w:rsidR="00FF4853" w:rsidRPr="00FF4853" w14:paraId="396FE937"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7339A512"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Medicaid Risk</w:t>
            </w:r>
          </w:p>
        </w:tc>
        <w:tc>
          <w:tcPr>
            <w:tcW w:w="942" w:type="dxa"/>
            <w:tcBorders>
              <w:top w:val="nil"/>
              <w:left w:val="nil"/>
              <w:bottom w:val="nil"/>
              <w:right w:val="nil"/>
            </w:tcBorders>
            <w:shd w:val="clear" w:color="auto" w:fill="auto"/>
            <w:noWrap/>
            <w:vAlign w:val="center"/>
            <w:hideMark/>
          </w:tcPr>
          <w:p w14:paraId="6123144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39,992</w:t>
            </w:r>
          </w:p>
        </w:tc>
        <w:tc>
          <w:tcPr>
            <w:tcW w:w="972" w:type="dxa"/>
            <w:gridSpan w:val="2"/>
            <w:tcBorders>
              <w:top w:val="nil"/>
              <w:left w:val="nil"/>
              <w:bottom w:val="nil"/>
              <w:right w:val="single" w:sz="8" w:space="0" w:color="auto"/>
            </w:tcBorders>
            <w:shd w:val="clear" w:color="auto" w:fill="auto"/>
            <w:noWrap/>
            <w:vAlign w:val="center"/>
            <w:hideMark/>
          </w:tcPr>
          <w:p w14:paraId="19CE608F"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7.13%</w:t>
            </w:r>
          </w:p>
        </w:tc>
        <w:tc>
          <w:tcPr>
            <w:tcW w:w="942" w:type="dxa"/>
            <w:tcBorders>
              <w:top w:val="nil"/>
              <w:left w:val="nil"/>
              <w:bottom w:val="nil"/>
              <w:right w:val="nil"/>
            </w:tcBorders>
            <w:shd w:val="clear" w:color="auto" w:fill="auto"/>
            <w:noWrap/>
            <w:vAlign w:val="center"/>
            <w:hideMark/>
          </w:tcPr>
          <w:p w14:paraId="1A0FEF9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43,110</w:t>
            </w:r>
          </w:p>
        </w:tc>
        <w:tc>
          <w:tcPr>
            <w:tcW w:w="972" w:type="dxa"/>
            <w:gridSpan w:val="2"/>
            <w:tcBorders>
              <w:top w:val="nil"/>
              <w:left w:val="nil"/>
              <w:bottom w:val="nil"/>
              <w:right w:val="single" w:sz="8" w:space="0" w:color="auto"/>
            </w:tcBorders>
            <w:shd w:val="clear" w:color="auto" w:fill="auto"/>
            <w:noWrap/>
            <w:vAlign w:val="center"/>
            <w:hideMark/>
          </w:tcPr>
          <w:p w14:paraId="7067848A"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7.78%</w:t>
            </w:r>
          </w:p>
        </w:tc>
        <w:tc>
          <w:tcPr>
            <w:tcW w:w="942" w:type="dxa"/>
            <w:tcBorders>
              <w:top w:val="nil"/>
              <w:left w:val="nil"/>
              <w:bottom w:val="nil"/>
              <w:right w:val="nil"/>
            </w:tcBorders>
            <w:shd w:val="clear" w:color="auto" w:fill="auto"/>
            <w:noWrap/>
            <w:vAlign w:val="center"/>
            <w:hideMark/>
          </w:tcPr>
          <w:p w14:paraId="04A200E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46,233</w:t>
            </w:r>
          </w:p>
        </w:tc>
        <w:tc>
          <w:tcPr>
            <w:tcW w:w="972" w:type="dxa"/>
            <w:gridSpan w:val="2"/>
            <w:tcBorders>
              <w:top w:val="nil"/>
              <w:left w:val="nil"/>
              <w:bottom w:val="nil"/>
              <w:right w:val="single" w:sz="8" w:space="0" w:color="auto"/>
            </w:tcBorders>
            <w:shd w:val="clear" w:color="auto" w:fill="auto"/>
            <w:noWrap/>
            <w:vAlign w:val="center"/>
            <w:hideMark/>
          </w:tcPr>
          <w:p w14:paraId="56098AB6"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8.39%</w:t>
            </w:r>
          </w:p>
        </w:tc>
        <w:tc>
          <w:tcPr>
            <w:tcW w:w="942" w:type="dxa"/>
            <w:tcBorders>
              <w:top w:val="nil"/>
              <w:left w:val="nil"/>
              <w:bottom w:val="nil"/>
              <w:right w:val="nil"/>
            </w:tcBorders>
            <w:shd w:val="clear" w:color="auto" w:fill="auto"/>
            <w:noWrap/>
            <w:vAlign w:val="center"/>
            <w:hideMark/>
          </w:tcPr>
          <w:p w14:paraId="4372FA70"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45,036</w:t>
            </w:r>
          </w:p>
        </w:tc>
        <w:tc>
          <w:tcPr>
            <w:tcW w:w="1006" w:type="dxa"/>
            <w:gridSpan w:val="2"/>
            <w:tcBorders>
              <w:top w:val="nil"/>
              <w:left w:val="nil"/>
              <w:bottom w:val="nil"/>
              <w:right w:val="single" w:sz="8" w:space="0" w:color="auto"/>
            </w:tcBorders>
            <w:shd w:val="clear" w:color="auto" w:fill="auto"/>
            <w:noWrap/>
            <w:vAlign w:val="center"/>
            <w:hideMark/>
          </w:tcPr>
          <w:p w14:paraId="2CFE78E0"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7.85%</w:t>
            </w:r>
          </w:p>
        </w:tc>
      </w:tr>
      <w:tr w:rsidR="00FF4853" w:rsidRPr="00FF4853" w14:paraId="14783B0B"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1552B388"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Medicaid FFS</w:t>
            </w:r>
          </w:p>
        </w:tc>
        <w:tc>
          <w:tcPr>
            <w:tcW w:w="942" w:type="dxa"/>
            <w:tcBorders>
              <w:top w:val="nil"/>
              <w:left w:val="nil"/>
              <w:bottom w:val="nil"/>
              <w:right w:val="nil"/>
            </w:tcBorders>
            <w:shd w:val="clear" w:color="auto" w:fill="auto"/>
            <w:noWrap/>
            <w:vAlign w:val="center"/>
            <w:hideMark/>
          </w:tcPr>
          <w:p w14:paraId="5030A26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3,007</w:t>
            </w:r>
          </w:p>
        </w:tc>
        <w:tc>
          <w:tcPr>
            <w:tcW w:w="972" w:type="dxa"/>
            <w:gridSpan w:val="2"/>
            <w:tcBorders>
              <w:top w:val="nil"/>
              <w:left w:val="nil"/>
              <w:bottom w:val="nil"/>
              <w:right w:val="single" w:sz="8" w:space="0" w:color="auto"/>
            </w:tcBorders>
            <w:shd w:val="clear" w:color="auto" w:fill="auto"/>
            <w:noWrap/>
            <w:vAlign w:val="center"/>
            <w:hideMark/>
          </w:tcPr>
          <w:p w14:paraId="74D2930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0.54%</w:t>
            </w:r>
          </w:p>
        </w:tc>
        <w:tc>
          <w:tcPr>
            <w:tcW w:w="942" w:type="dxa"/>
            <w:tcBorders>
              <w:top w:val="nil"/>
              <w:left w:val="nil"/>
              <w:bottom w:val="nil"/>
              <w:right w:val="nil"/>
            </w:tcBorders>
            <w:shd w:val="clear" w:color="auto" w:fill="auto"/>
            <w:noWrap/>
            <w:vAlign w:val="center"/>
            <w:hideMark/>
          </w:tcPr>
          <w:p w14:paraId="43F69628"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2,861</w:t>
            </w:r>
          </w:p>
        </w:tc>
        <w:tc>
          <w:tcPr>
            <w:tcW w:w="972" w:type="dxa"/>
            <w:gridSpan w:val="2"/>
            <w:tcBorders>
              <w:top w:val="nil"/>
              <w:left w:val="nil"/>
              <w:bottom w:val="nil"/>
              <w:right w:val="single" w:sz="8" w:space="0" w:color="auto"/>
            </w:tcBorders>
            <w:shd w:val="clear" w:color="auto" w:fill="auto"/>
            <w:noWrap/>
            <w:vAlign w:val="center"/>
            <w:hideMark/>
          </w:tcPr>
          <w:p w14:paraId="65EB467C"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0.52%</w:t>
            </w:r>
          </w:p>
        </w:tc>
        <w:tc>
          <w:tcPr>
            <w:tcW w:w="942" w:type="dxa"/>
            <w:tcBorders>
              <w:top w:val="nil"/>
              <w:left w:val="nil"/>
              <w:bottom w:val="nil"/>
              <w:right w:val="nil"/>
            </w:tcBorders>
            <w:shd w:val="clear" w:color="auto" w:fill="auto"/>
            <w:noWrap/>
            <w:vAlign w:val="center"/>
            <w:hideMark/>
          </w:tcPr>
          <w:p w14:paraId="6B63B107"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2,592</w:t>
            </w:r>
          </w:p>
        </w:tc>
        <w:tc>
          <w:tcPr>
            <w:tcW w:w="972" w:type="dxa"/>
            <w:gridSpan w:val="2"/>
            <w:tcBorders>
              <w:top w:val="nil"/>
              <w:left w:val="nil"/>
              <w:bottom w:val="nil"/>
              <w:right w:val="single" w:sz="8" w:space="0" w:color="auto"/>
            </w:tcBorders>
            <w:shd w:val="clear" w:color="auto" w:fill="auto"/>
            <w:noWrap/>
            <w:vAlign w:val="center"/>
            <w:hideMark/>
          </w:tcPr>
          <w:p w14:paraId="6A8B46C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0.47%</w:t>
            </w:r>
          </w:p>
        </w:tc>
        <w:tc>
          <w:tcPr>
            <w:tcW w:w="942" w:type="dxa"/>
            <w:tcBorders>
              <w:top w:val="nil"/>
              <w:left w:val="nil"/>
              <w:bottom w:val="nil"/>
              <w:right w:val="nil"/>
            </w:tcBorders>
            <w:shd w:val="clear" w:color="auto" w:fill="auto"/>
            <w:noWrap/>
            <w:vAlign w:val="center"/>
            <w:hideMark/>
          </w:tcPr>
          <w:p w14:paraId="263DF46D"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2,196</w:t>
            </w:r>
          </w:p>
        </w:tc>
        <w:tc>
          <w:tcPr>
            <w:tcW w:w="1006" w:type="dxa"/>
            <w:gridSpan w:val="2"/>
            <w:tcBorders>
              <w:top w:val="nil"/>
              <w:left w:val="nil"/>
              <w:bottom w:val="nil"/>
              <w:right w:val="single" w:sz="8" w:space="0" w:color="auto"/>
            </w:tcBorders>
            <w:shd w:val="clear" w:color="auto" w:fill="auto"/>
            <w:noWrap/>
            <w:vAlign w:val="center"/>
            <w:hideMark/>
          </w:tcPr>
          <w:p w14:paraId="31D6B205"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0.38%</w:t>
            </w:r>
          </w:p>
        </w:tc>
      </w:tr>
      <w:tr w:rsidR="00FF4853" w:rsidRPr="00FF4853" w14:paraId="1D636F2E" w14:textId="77777777" w:rsidTr="009B45BD">
        <w:trPr>
          <w:cantSplit/>
          <w:trHeight w:val="300"/>
        </w:trPr>
        <w:tc>
          <w:tcPr>
            <w:tcW w:w="2020" w:type="dxa"/>
            <w:tcBorders>
              <w:top w:val="nil"/>
              <w:left w:val="single" w:sz="8" w:space="0" w:color="auto"/>
              <w:bottom w:val="nil"/>
              <w:right w:val="single" w:sz="8" w:space="0" w:color="auto"/>
            </w:tcBorders>
            <w:shd w:val="clear" w:color="auto" w:fill="auto"/>
            <w:noWrap/>
            <w:vAlign w:val="center"/>
            <w:hideMark/>
          </w:tcPr>
          <w:p w14:paraId="637DC493"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Commercial Risk</w:t>
            </w:r>
          </w:p>
        </w:tc>
        <w:tc>
          <w:tcPr>
            <w:tcW w:w="942" w:type="dxa"/>
            <w:tcBorders>
              <w:top w:val="nil"/>
              <w:left w:val="nil"/>
              <w:bottom w:val="nil"/>
              <w:right w:val="nil"/>
            </w:tcBorders>
            <w:shd w:val="clear" w:color="auto" w:fill="auto"/>
            <w:noWrap/>
            <w:vAlign w:val="center"/>
            <w:hideMark/>
          </w:tcPr>
          <w:p w14:paraId="40A4C92B"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278,573</w:t>
            </w:r>
          </w:p>
        </w:tc>
        <w:tc>
          <w:tcPr>
            <w:tcW w:w="972" w:type="dxa"/>
            <w:gridSpan w:val="2"/>
            <w:tcBorders>
              <w:top w:val="nil"/>
              <w:left w:val="nil"/>
              <w:bottom w:val="nil"/>
              <w:right w:val="single" w:sz="8" w:space="0" w:color="auto"/>
            </w:tcBorders>
            <w:shd w:val="clear" w:color="auto" w:fill="auto"/>
            <w:noWrap/>
            <w:vAlign w:val="center"/>
            <w:hideMark/>
          </w:tcPr>
          <w:p w14:paraId="0CC63BC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49.68%</w:t>
            </w:r>
          </w:p>
        </w:tc>
        <w:tc>
          <w:tcPr>
            <w:tcW w:w="942" w:type="dxa"/>
            <w:tcBorders>
              <w:top w:val="nil"/>
              <w:left w:val="nil"/>
              <w:bottom w:val="nil"/>
              <w:right w:val="nil"/>
            </w:tcBorders>
            <w:shd w:val="clear" w:color="auto" w:fill="auto"/>
            <w:noWrap/>
            <w:vAlign w:val="center"/>
            <w:hideMark/>
          </w:tcPr>
          <w:p w14:paraId="0CF34732"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266,043</w:t>
            </w:r>
          </w:p>
        </w:tc>
        <w:tc>
          <w:tcPr>
            <w:tcW w:w="972" w:type="dxa"/>
            <w:gridSpan w:val="2"/>
            <w:tcBorders>
              <w:top w:val="nil"/>
              <w:left w:val="nil"/>
              <w:bottom w:val="nil"/>
              <w:right w:val="single" w:sz="8" w:space="0" w:color="auto"/>
            </w:tcBorders>
            <w:shd w:val="clear" w:color="auto" w:fill="auto"/>
            <w:noWrap/>
            <w:vAlign w:val="center"/>
            <w:hideMark/>
          </w:tcPr>
          <w:p w14:paraId="6BFEF811"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48.01%</w:t>
            </w:r>
          </w:p>
        </w:tc>
        <w:tc>
          <w:tcPr>
            <w:tcW w:w="942" w:type="dxa"/>
            <w:tcBorders>
              <w:top w:val="nil"/>
              <w:left w:val="nil"/>
              <w:bottom w:val="nil"/>
              <w:right w:val="nil"/>
            </w:tcBorders>
            <w:shd w:val="clear" w:color="auto" w:fill="auto"/>
            <w:noWrap/>
            <w:vAlign w:val="center"/>
            <w:hideMark/>
          </w:tcPr>
          <w:p w14:paraId="0399A4F9"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265,068</w:t>
            </w:r>
          </w:p>
        </w:tc>
        <w:tc>
          <w:tcPr>
            <w:tcW w:w="972" w:type="dxa"/>
            <w:gridSpan w:val="2"/>
            <w:tcBorders>
              <w:top w:val="nil"/>
              <w:left w:val="nil"/>
              <w:bottom w:val="nil"/>
              <w:right w:val="single" w:sz="8" w:space="0" w:color="auto"/>
            </w:tcBorders>
            <w:shd w:val="clear" w:color="auto" w:fill="auto"/>
            <w:noWrap/>
            <w:vAlign w:val="center"/>
            <w:hideMark/>
          </w:tcPr>
          <w:p w14:paraId="385AA7BE"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48.11%</w:t>
            </w:r>
          </w:p>
        </w:tc>
        <w:tc>
          <w:tcPr>
            <w:tcW w:w="942" w:type="dxa"/>
            <w:tcBorders>
              <w:top w:val="nil"/>
              <w:left w:val="nil"/>
              <w:bottom w:val="nil"/>
              <w:right w:val="nil"/>
            </w:tcBorders>
            <w:shd w:val="clear" w:color="auto" w:fill="auto"/>
            <w:noWrap/>
            <w:vAlign w:val="center"/>
            <w:hideMark/>
          </w:tcPr>
          <w:p w14:paraId="695D04AD"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274,371</w:t>
            </w:r>
          </w:p>
        </w:tc>
        <w:tc>
          <w:tcPr>
            <w:tcW w:w="1006" w:type="dxa"/>
            <w:gridSpan w:val="2"/>
            <w:tcBorders>
              <w:top w:val="nil"/>
              <w:left w:val="nil"/>
              <w:bottom w:val="nil"/>
              <w:right w:val="single" w:sz="8" w:space="0" w:color="auto"/>
            </w:tcBorders>
            <w:shd w:val="clear" w:color="auto" w:fill="auto"/>
            <w:noWrap/>
            <w:vAlign w:val="center"/>
            <w:hideMark/>
          </w:tcPr>
          <w:p w14:paraId="30894687"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47.81%</w:t>
            </w:r>
          </w:p>
        </w:tc>
      </w:tr>
      <w:tr w:rsidR="00FF4853" w:rsidRPr="00FF4853" w14:paraId="2B4270D2" w14:textId="77777777" w:rsidTr="009B45BD">
        <w:trPr>
          <w:cantSplit/>
          <w:trHeight w:val="315"/>
        </w:trPr>
        <w:tc>
          <w:tcPr>
            <w:tcW w:w="2020" w:type="dxa"/>
            <w:tcBorders>
              <w:top w:val="nil"/>
              <w:left w:val="single" w:sz="8" w:space="0" w:color="auto"/>
              <w:bottom w:val="single" w:sz="8" w:space="0" w:color="auto"/>
              <w:right w:val="single" w:sz="8" w:space="0" w:color="auto"/>
            </w:tcBorders>
            <w:shd w:val="clear" w:color="auto" w:fill="auto"/>
            <w:noWrap/>
            <w:vAlign w:val="center"/>
            <w:hideMark/>
          </w:tcPr>
          <w:p w14:paraId="0AACEBCA" w14:textId="77777777" w:rsidR="00FF4853" w:rsidRPr="00FF4853" w:rsidRDefault="00FF4853" w:rsidP="00FF4853">
            <w:pPr>
              <w:spacing w:after="0" w:line="240" w:lineRule="auto"/>
              <w:rPr>
                <w:rFonts w:ascii="Calibri" w:eastAsia="Times New Roman" w:hAnsi="Calibri" w:cs="Calibri"/>
                <w:color w:val="000000"/>
                <w:sz w:val="22"/>
                <w:szCs w:val="22"/>
              </w:rPr>
            </w:pPr>
            <w:r w:rsidRPr="00FF4853">
              <w:rPr>
                <w:rFonts w:ascii="Calibri" w:eastAsia="Times New Roman" w:hAnsi="Calibri" w:cs="Calibri"/>
                <w:color w:val="000000"/>
                <w:sz w:val="22"/>
                <w:szCs w:val="22"/>
              </w:rPr>
              <w:t>Commercial FFS</w:t>
            </w:r>
          </w:p>
        </w:tc>
        <w:tc>
          <w:tcPr>
            <w:tcW w:w="942" w:type="dxa"/>
            <w:tcBorders>
              <w:top w:val="nil"/>
              <w:left w:val="nil"/>
              <w:bottom w:val="single" w:sz="8" w:space="0" w:color="auto"/>
              <w:right w:val="nil"/>
            </w:tcBorders>
            <w:shd w:val="clear" w:color="auto" w:fill="auto"/>
            <w:noWrap/>
            <w:vAlign w:val="center"/>
            <w:hideMark/>
          </w:tcPr>
          <w:p w14:paraId="1D275BD7"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151,016</w:t>
            </w:r>
          </w:p>
        </w:tc>
        <w:tc>
          <w:tcPr>
            <w:tcW w:w="972" w:type="dxa"/>
            <w:gridSpan w:val="2"/>
            <w:tcBorders>
              <w:top w:val="nil"/>
              <w:left w:val="nil"/>
              <w:bottom w:val="single" w:sz="8" w:space="0" w:color="auto"/>
              <w:right w:val="single" w:sz="8" w:space="0" w:color="auto"/>
            </w:tcBorders>
            <w:shd w:val="clear" w:color="auto" w:fill="auto"/>
            <w:noWrap/>
            <w:vAlign w:val="center"/>
            <w:hideMark/>
          </w:tcPr>
          <w:p w14:paraId="09FB07B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26.93%</w:t>
            </w:r>
          </w:p>
        </w:tc>
        <w:tc>
          <w:tcPr>
            <w:tcW w:w="942" w:type="dxa"/>
            <w:tcBorders>
              <w:top w:val="nil"/>
              <w:left w:val="nil"/>
              <w:bottom w:val="single" w:sz="8" w:space="0" w:color="auto"/>
              <w:right w:val="nil"/>
            </w:tcBorders>
            <w:shd w:val="clear" w:color="auto" w:fill="auto"/>
            <w:noWrap/>
            <w:vAlign w:val="center"/>
            <w:hideMark/>
          </w:tcPr>
          <w:p w14:paraId="5E200EEA"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153,891</w:t>
            </w:r>
          </w:p>
        </w:tc>
        <w:tc>
          <w:tcPr>
            <w:tcW w:w="972" w:type="dxa"/>
            <w:gridSpan w:val="2"/>
            <w:tcBorders>
              <w:top w:val="nil"/>
              <w:left w:val="nil"/>
              <w:bottom w:val="single" w:sz="8" w:space="0" w:color="auto"/>
              <w:right w:val="single" w:sz="8" w:space="0" w:color="auto"/>
            </w:tcBorders>
            <w:shd w:val="clear" w:color="auto" w:fill="auto"/>
            <w:noWrap/>
            <w:vAlign w:val="center"/>
            <w:hideMark/>
          </w:tcPr>
          <w:p w14:paraId="0EE91994"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27.77%</w:t>
            </w:r>
          </w:p>
        </w:tc>
        <w:tc>
          <w:tcPr>
            <w:tcW w:w="942" w:type="dxa"/>
            <w:tcBorders>
              <w:top w:val="nil"/>
              <w:left w:val="nil"/>
              <w:bottom w:val="single" w:sz="8" w:space="0" w:color="auto"/>
              <w:right w:val="nil"/>
            </w:tcBorders>
            <w:shd w:val="clear" w:color="auto" w:fill="auto"/>
            <w:noWrap/>
            <w:vAlign w:val="center"/>
            <w:hideMark/>
          </w:tcPr>
          <w:p w14:paraId="76DAEEA0"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147,706</w:t>
            </w:r>
          </w:p>
        </w:tc>
        <w:tc>
          <w:tcPr>
            <w:tcW w:w="972" w:type="dxa"/>
            <w:gridSpan w:val="2"/>
            <w:tcBorders>
              <w:top w:val="nil"/>
              <w:left w:val="nil"/>
              <w:bottom w:val="single" w:sz="8" w:space="0" w:color="auto"/>
              <w:right w:val="single" w:sz="8" w:space="0" w:color="auto"/>
            </w:tcBorders>
            <w:shd w:val="clear" w:color="auto" w:fill="auto"/>
            <w:noWrap/>
            <w:vAlign w:val="center"/>
            <w:hideMark/>
          </w:tcPr>
          <w:p w14:paraId="48015906"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26.81%</w:t>
            </w:r>
          </w:p>
        </w:tc>
        <w:tc>
          <w:tcPr>
            <w:tcW w:w="942" w:type="dxa"/>
            <w:tcBorders>
              <w:top w:val="nil"/>
              <w:left w:val="nil"/>
              <w:bottom w:val="single" w:sz="8" w:space="0" w:color="auto"/>
              <w:right w:val="nil"/>
            </w:tcBorders>
            <w:shd w:val="clear" w:color="auto" w:fill="auto"/>
            <w:noWrap/>
            <w:vAlign w:val="center"/>
            <w:hideMark/>
          </w:tcPr>
          <w:p w14:paraId="04D2EB43"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155,685</w:t>
            </w:r>
          </w:p>
        </w:tc>
        <w:tc>
          <w:tcPr>
            <w:tcW w:w="1006" w:type="dxa"/>
            <w:gridSpan w:val="2"/>
            <w:tcBorders>
              <w:top w:val="nil"/>
              <w:left w:val="nil"/>
              <w:bottom w:val="single" w:sz="8" w:space="0" w:color="auto"/>
              <w:right w:val="single" w:sz="8" w:space="0" w:color="auto"/>
            </w:tcBorders>
            <w:shd w:val="clear" w:color="auto" w:fill="auto"/>
            <w:noWrap/>
            <w:vAlign w:val="center"/>
            <w:hideMark/>
          </w:tcPr>
          <w:p w14:paraId="2A982EA6" w14:textId="77777777" w:rsidR="00FF4853" w:rsidRPr="00FF4853" w:rsidRDefault="00FF4853" w:rsidP="00FF4853">
            <w:pPr>
              <w:spacing w:after="0" w:line="240" w:lineRule="auto"/>
              <w:jc w:val="center"/>
              <w:rPr>
                <w:rFonts w:ascii="Calibri" w:eastAsia="Times New Roman" w:hAnsi="Calibri" w:cs="Calibri"/>
                <w:color w:val="000000"/>
                <w:sz w:val="22"/>
                <w:szCs w:val="22"/>
              </w:rPr>
            </w:pPr>
            <w:r w:rsidRPr="00FF4853">
              <w:rPr>
                <w:rFonts w:ascii="Calibri" w:eastAsia="Times New Roman" w:hAnsi="Calibri" w:cs="Calibri"/>
                <w:color w:val="000000"/>
                <w:sz w:val="22"/>
                <w:szCs w:val="22"/>
              </w:rPr>
              <w:t>27.13%</w:t>
            </w:r>
          </w:p>
        </w:tc>
      </w:tr>
    </w:tbl>
    <w:p w14:paraId="20A14CC6" w14:textId="487D02B8" w:rsidR="00655700" w:rsidRPr="002057D9" w:rsidRDefault="00655700" w:rsidP="00AC5267">
      <w:pPr>
        <w:pStyle w:val="ListParagraph"/>
        <w:spacing w:after="0" w:line="240" w:lineRule="auto"/>
        <w:rPr>
          <w:rFonts w:ascii="Calibri" w:hAnsi="Calibri" w:cs="Calibri"/>
          <w:color w:val="A20000"/>
        </w:rPr>
      </w:pPr>
    </w:p>
    <w:p w14:paraId="7EDE3763" w14:textId="77777777" w:rsidR="00655700" w:rsidRPr="002057D9" w:rsidRDefault="00655700">
      <w:pPr>
        <w:rPr>
          <w:rFonts w:ascii="Calibri" w:hAnsi="Calibri" w:cs="Calibri"/>
          <w:color w:val="A20000"/>
        </w:rPr>
      </w:pPr>
      <w:r w:rsidRPr="002057D9">
        <w:rPr>
          <w:rFonts w:ascii="Calibri" w:hAnsi="Calibri" w:cs="Calibri"/>
          <w:color w:val="A20000"/>
        </w:rPr>
        <w:br w:type="page"/>
      </w:r>
    </w:p>
    <w:p w14:paraId="4AC6D242" w14:textId="77777777" w:rsidR="00C60A6B" w:rsidRPr="002057D9" w:rsidRDefault="00C60A6B" w:rsidP="00AC5267">
      <w:pPr>
        <w:pStyle w:val="ListParagraph"/>
        <w:spacing w:after="0" w:line="240" w:lineRule="auto"/>
        <w:rPr>
          <w:rFonts w:ascii="Calibri" w:hAnsi="Calibri" w:cs="Calibri"/>
          <w:color w:val="A20000"/>
        </w:rPr>
      </w:pPr>
    </w:p>
    <w:p w14:paraId="07E0AC58" w14:textId="794EFEE4" w:rsidR="00F55A73" w:rsidRPr="002057D9" w:rsidRDefault="00F55A73" w:rsidP="00AC5267">
      <w:pPr>
        <w:pStyle w:val="ListParagraph"/>
        <w:spacing w:after="0" w:line="240" w:lineRule="auto"/>
        <w:rPr>
          <w:rFonts w:ascii="Calibri" w:hAnsi="Calibri" w:cs="Calibri"/>
          <w:b/>
          <w:bCs/>
          <w:color w:val="A20000"/>
        </w:rPr>
      </w:pPr>
      <w:r w:rsidRPr="002057D9">
        <w:rPr>
          <w:rFonts w:ascii="Calibri" w:hAnsi="Calibri" w:cs="Calibri"/>
          <w:b/>
          <w:bCs/>
          <w:color w:val="A20000"/>
        </w:rPr>
        <w:t>Table 4. Surgical Patients</w:t>
      </w:r>
    </w:p>
    <w:tbl>
      <w:tblPr>
        <w:tblW w:w="9715" w:type="dxa"/>
        <w:tblLook w:val="04A0" w:firstRow="1" w:lastRow="0" w:firstColumn="1" w:lastColumn="0" w:noHBand="0" w:noVBand="1"/>
      </w:tblPr>
      <w:tblGrid>
        <w:gridCol w:w="1975"/>
        <w:gridCol w:w="990"/>
        <w:gridCol w:w="990"/>
        <w:gridCol w:w="945"/>
        <w:gridCol w:w="45"/>
        <w:gridCol w:w="900"/>
        <w:gridCol w:w="977"/>
        <w:gridCol w:w="103"/>
        <w:gridCol w:w="875"/>
        <w:gridCol w:w="957"/>
        <w:gridCol w:w="58"/>
        <w:gridCol w:w="900"/>
      </w:tblGrid>
      <w:tr w:rsidR="002C5381" w:rsidRPr="00F55A73" w14:paraId="2070C2F2" w14:textId="77777777" w:rsidTr="00D060B9">
        <w:trPr>
          <w:cantSplit/>
          <w:trHeight w:val="315"/>
          <w:tblHeader/>
        </w:trPr>
        <w:tc>
          <w:tcPr>
            <w:tcW w:w="1975" w:type="dxa"/>
            <w:tcBorders>
              <w:top w:val="single" w:sz="4" w:space="0" w:color="auto"/>
              <w:left w:val="single" w:sz="4" w:space="0" w:color="auto"/>
              <w:bottom w:val="single" w:sz="4" w:space="0" w:color="auto"/>
              <w:right w:val="nil"/>
            </w:tcBorders>
            <w:shd w:val="clear" w:color="auto" w:fill="auto"/>
            <w:noWrap/>
            <w:vAlign w:val="center"/>
            <w:hideMark/>
          </w:tcPr>
          <w:p w14:paraId="14F6458B" w14:textId="77777777" w:rsidR="002C5381" w:rsidRPr="00F55A73" w:rsidRDefault="002C5381"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 </w:t>
            </w:r>
          </w:p>
        </w:tc>
        <w:tc>
          <w:tcPr>
            <w:tcW w:w="990" w:type="dxa"/>
            <w:tcBorders>
              <w:top w:val="single" w:sz="4" w:space="0" w:color="auto"/>
              <w:left w:val="single" w:sz="4" w:space="0" w:color="auto"/>
              <w:bottom w:val="single" w:sz="4" w:space="0" w:color="auto"/>
            </w:tcBorders>
            <w:shd w:val="clear" w:color="auto" w:fill="auto"/>
            <w:vAlign w:val="bottom"/>
            <w:hideMark/>
          </w:tcPr>
          <w:p w14:paraId="71971FD2" w14:textId="77777777" w:rsidR="002C5381" w:rsidRPr="00F55A73" w:rsidRDefault="002C5381"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CY2020</w:t>
            </w:r>
          </w:p>
        </w:tc>
        <w:tc>
          <w:tcPr>
            <w:tcW w:w="990" w:type="dxa"/>
            <w:tcBorders>
              <w:top w:val="single" w:sz="4" w:space="0" w:color="auto"/>
              <w:left w:val="nil"/>
              <w:bottom w:val="single" w:sz="4" w:space="0" w:color="auto"/>
              <w:right w:val="single" w:sz="4" w:space="0" w:color="000000"/>
            </w:tcBorders>
            <w:shd w:val="clear" w:color="auto" w:fill="auto"/>
            <w:vAlign w:val="bottom"/>
          </w:tcPr>
          <w:p w14:paraId="46D6A14A" w14:textId="4EC160B3" w:rsidR="002C5381" w:rsidRPr="00F55A73" w:rsidRDefault="002C5381"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CY2020</w:t>
            </w:r>
          </w:p>
        </w:tc>
        <w:tc>
          <w:tcPr>
            <w:tcW w:w="945" w:type="dxa"/>
            <w:tcBorders>
              <w:top w:val="single" w:sz="4" w:space="0" w:color="auto"/>
              <w:left w:val="nil"/>
              <w:bottom w:val="single" w:sz="4" w:space="0" w:color="auto"/>
            </w:tcBorders>
            <w:shd w:val="clear" w:color="auto" w:fill="auto"/>
            <w:noWrap/>
            <w:vAlign w:val="center"/>
            <w:hideMark/>
          </w:tcPr>
          <w:p w14:paraId="54D94214" w14:textId="77777777" w:rsidR="002C5381" w:rsidRPr="00F55A73" w:rsidRDefault="002C5381"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CY2021</w:t>
            </w:r>
          </w:p>
        </w:tc>
        <w:tc>
          <w:tcPr>
            <w:tcW w:w="945" w:type="dxa"/>
            <w:gridSpan w:val="2"/>
            <w:tcBorders>
              <w:top w:val="single" w:sz="4" w:space="0" w:color="auto"/>
              <w:left w:val="nil"/>
              <w:bottom w:val="single" w:sz="4" w:space="0" w:color="auto"/>
              <w:right w:val="single" w:sz="4" w:space="0" w:color="000000"/>
            </w:tcBorders>
            <w:shd w:val="clear" w:color="auto" w:fill="auto"/>
            <w:vAlign w:val="center"/>
          </w:tcPr>
          <w:p w14:paraId="32F66BC6" w14:textId="37822348" w:rsidR="002C5381" w:rsidRPr="00F55A73" w:rsidRDefault="002C5381"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CY2021</w:t>
            </w:r>
          </w:p>
        </w:tc>
        <w:tc>
          <w:tcPr>
            <w:tcW w:w="977" w:type="dxa"/>
            <w:tcBorders>
              <w:top w:val="single" w:sz="4" w:space="0" w:color="auto"/>
              <w:left w:val="nil"/>
              <w:bottom w:val="single" w:sz="4" w:space="0" w:color="auto"/>
            </w:tcBorders>
            <w:shd w:val="clear" w:color="auto" w:fill="auto"/>
            <w:noWrap/>
            <w:vAlign w:val="center"/>
            <w:hideMark/>
          </w:tcPr>
          <w:p w14:paraId="1A85A997" w14:textId="77777777" w:rsidR="002C5381" w:rsidRPr="00F55A73" w:rsidRDefault="002C5381"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CY2022</w:t>
            </w:r>
          </w:p>
        </w:tc>
        <w:tc>
          <w:tcPr>
            <w:tcW w:w="978" w:type="dxa"/>
            <w:gridSpan w:val="2"/>
            <w:tcBorders>
              <w:top w:val="single" w:sz="4" w:space="0" w:color="auto"/>
              <w:left w:val="nil"/>
              <w:bottom w:val="single" w:sz="4" w:space="0" w:color="auto"/>
              <w:right w:val="single" w:sz="4" w:space="0" w:color="000000"/>
            </w:tcBorders>
            <w:shd w:val="clear" w:color="auto" w:fill="auto"/>
            <w:vAlign w:val="center"/>
          </w:tcPr>
          <w:p w14:paraId="3291673E" w14:textId="3E88B2F3" w:rsidR="002C5381" w:rsidRPr="00F55A73" w:rsidRDefault="002C5381"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CY2022</w:t>
            </w:r>
          </w:p>
        </w:tc>
        <w:tc>
          <w:tcPr>
            <w:tcW w:w="957" w:type="dxa"/>
            <w:tcBorders>
              <w:top w:val="single" w:sz="4" w:space="0" w:color="auto"/>
              <w:left w:val="nil"/>
              <w:bottom w:val="single" w:sz="4" w:space="0" w:color="auto"/>
            </w:tcBorders>
            <w:shd w:val="clear" w:color="auto" w:fill="auto"/>
            <w:noWrap/>
            <w:vAlign w:val="center"/>
            <w:hideMark/>
          </w:tcPr>
          <w:p w14:paraId="20A85A23" w14:textId="77777777" w:rsidR="002C5381" w:rsidRPr="00F55A73" w:rsidRDefault="002C5381"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CY2023</w:t>
            </w:r>
          </w:p>
        </w:tc>
        <w:tc>
          <w:tcPr>
            <w:tcW w:w="958" w:type="dxa"/>
            <w:gridSpan w:val="2"/>
            <w:tcBorders>
              <w:top w:val="single" w:sz="4" w:space="0" w:color="auto"/>
              <w:left w:val="nil"/>
              <w:bottom w:val="single" w:sz="4" w:space="0" w:color="auto"/>
              <w:right w:val="single" w:sz="4" w:space="0" w:color="000000"/>
            </w:tcBorders>
            <w:shd w:val="clear" w:color="auto" w:fill="auto"/>
            <w:vAlign w:val="center"/>
          </w:tcPr>
          <w:p w14:paraId="0F3286F9" w14:textId="26EBBFAF" w:rsidR="002C5381" w:rsidRPr="00F55A73" w:rsidRDefault="002C5381"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CY2023</w:t>
            </w:r>
          </w:p>
        </w:tc>
      </w:tr>
      <w:tr w:rsidR="00F55A73" w:rsidRPr="00F55A73" w14:paraId="5D65A0B8" w14:textId="77777777" w:rsidTr="00D060B9">
        <w:trPr>
          <w:cantSplit/>
          <w:trHeight w:val="300"/>
          <w:tblHeader/>
        </w:trPr>
        <w:tc>
          <w:tcPr>
            <w:tcW w:w="1975" w:type="dxa"/>
            <w:tcBorders>
              <w:top w:val="nil"/>
              <w:left w:val="single" w:sz="4" w:space="0" w:color="auto"/>
              <w:bottom w:val="nil"/>
              <w:right w:val="nil"/>
            </w:tcBorders>
            <w:shd w:val="clear" w:color="auto" w:fill="auto"/>
            <w:noWrap/>
            <w:vAlign w:val="bottom"/>
            <w:hideMark/>
          </w:tcPr>
          <w:p w14:paraId="20F37224"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90" w:type="dxa"/>
            <w:tcBorders>
              <w:top w:val="nil"/>
              <w:left w:val="single" w:sz="4" w:space="0" w:color="auto"/>
              <w:bottom w:val="nil"/>
              <w:right w:val="nil"/>
            </w:tcBorders>
            <w:shd w:val="clear" w:color="auto" w:fill="auto"/>
            <w:noWrap/>
            <w:vAlign w:val="center"/>
            <w:hideMark/>
          </w:tcPr>
          <w:p w14:paraId="366E99B5"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Total</w:t>
            </w:r>
          </w:p>
        </w:tc>
        <w:tc>
          <w:tcPr>
            <w:tcW w:w="990" w:type="dxa"/>
            <w:tcBorders>
              <w:top w:val="nil"/>
              <w:left w:val="nil"/>
              <w:bottom w:val="nil"/>
              <w:right w:val="single" w:sz="4" w:space="0" w:color="auto"/>
            </w:tcBorders>
            <w:shd w:val="clear" w:color="auto" w:fill="auto"/>
            <w:noWrap/>
            <w:vAlign w:val="center"/>
            <w:hideMark/>
          </w:tcPr>
          <w:p w14:paraId="4C0B8B4C"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of Total</w:t>
            </w:r>
          </w:p>
        </w:tc>
        <w:tc>
          <w:tcPr>
            <w:tcW w:w="990" w:type="dxa"/>
            <w:gridSpan w:val="2"/>
            <w:tcBorders>
              <w:top w:val="nil"/>
              <w:left w:val="nil"/>
              <w:bottom w:val="nil"/>
              <w:right w:val="nil"/>
            </w:tcBorders>
            <w:shd w:val="clear" w:color="auto" w:fill="auto"/>
            <w:noWrap/>
            <w:vAlign w:val="center"/>
            <w:hideMark/>
          </w:tcPr>
          <w:p w14:paraId="71EBB494"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Total</w:t>
            </w:r>
          </w:p>
        </w:tc>
        <w:tc>
          <w:tcPr>
            <w:tcW w:w="900" w:type="dxa"/>
            <w:tcBorders>
              <w:top w:val="nil"/>
              <w:left w:val="nil"/>
              <w:bottom w:val="nil"/>
              <w:right w:val="single" w:sz="4" w:space="0" w:color="auto"/>
            </w:tcBorders>
            <w:shd w:val="clear" w:color="auto" w:fill="auto"/>
            <w:noWrap/>
            <w:vAlign w:val="center"/>
            <w:hideMark/>
          </w:tcPr>
          <w:p w14:paraId="7A7B8706"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of Total</w:t>
            </w:r>
          </w:p>
        </w:tc>
        <w:tc>
          <w:tcPr>
            <w:tcW w:w="1080" w:type="dxa"/>
            <w:gridSpan w:val="2"/>
            <w:tcBorders>
              <w:top w:val="nil"/>
              <w:left w:val="nil"/>
              <w:bottom w:val="nil"/>
              <w:right w:val="nil"/>
            </w:tcBorders>
            <w:shd w:val="clear" w:color="auto" w:fill="auto"/>
            <w:noWrap/>
            <w:vAlign w:val="center"/>
            <w:hideMark/>
          </w:tcPr>
          <w:p w14:paraId="6FF7FBB8"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Total</w:t>
            </w:r>
          </w:p>
        </w:tc>
        <w:tc>
          <w:tcPr>
            <w:tcW w:w="875" w:type="dxa"/>
            <w:tcBorders>
              <w:top w:val="nil"/>
              <w:left w:val="nil"/>
              <w:bottom w:val="nil"/>
              <w:right w:val="single" w:sz="4" w:space="0" w:color="auto"/>
            </w:tcBorders>
            <w:shd w:val="clear" w:color="auto" w:fill="auto"/>
            <w:noWrap/>
            <w:vAlign w:val="center"/>
            <w:hideMark/>
          </w:tcPr>
          <w:p w14:paraId="1780BC8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of Total</w:t>
            </w:r>
          </w:p>
        </w:tc>
        <w:tc>
          <w:tcPr>
            <w:tcW w:w="1015" w:type="dxa"/>
            <w:gridSpan w:val="2"/>
            <w:tcBorders>
              <w:top w:val="nil"/>
              <w:left w:val="nil"/>
              <w:bottom w:val="nil"/>
              <w:right w:val="nil"/>
            </w:tcBorders>
            <w:shd w:val="clear" w:color="auto" w:fill="auto"/>
            <w:noWrap/>
            <w:vAlign w:val="center"/>
            <w:hideMark/>
          </w:tcPr>
          <w:p w14:paraId="40CC61AD"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Total</w:t>
            </w:r>
          </w:p>
        </w:tc>
        <w:tc>
          <w:tcPr>
            <w:tcW w:w="900" w:type="dxa"/>
            <w:tcBorders>
              <w:top w:val="nil"/>
              <w:left w:val="nil"/>
              <w:bottom w:val="nil"/>
              <w:right w:val="single" w:sz="4" w:space="0" w:color="auto"/>
            </w:tcBorders>
            <w:shd w:val="clear" w:color="auto" w:fill="auto"/>
            <w:noWrap/>
            <w:vAlign w:val="center"/>
            <w:hideMark/>
          </w:tcPr>
          <w:p w14:paraId="7BCC084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of Total</w:t>
            </w:r>
          </w:p>
        </w:tc>
      </w:tr>
      <w:tr w:rsidR="00F55A73" w:rsidRPr="00F55A73" w14:paraId="3D09D89E" w14:textId="77777777" w:rsidTr="002C5381">
        <w:trPr>
          <w:cantSplit/>
          <w:trHeight w:val="300"/>
        </w:trPr>
        <w:tc>
          <w:tcPr>
            <w:tcW w:w="1975" w:type="dxa"/>
            <w:tcBorders>
              <w:top w:val="single" w:sz="4" w:space="0" w:color="auto"/>
              <w:left w:val="single" w:sz="4" w:space="0" w:color="auto"/>
              <w:bottom w:val="single" w:sz="4" w:space="0" w:color="auto"/>
              <w:right w:val="nil"/>
            </w:tcBorders>
            <w:shd w:val="clear" w:color="auto" w:fill="auto"/>
            <w:noWrap/>
            <w:vAlign w:val="center"/>
            <w:hideMark/>
          </w:tcPr>
          <w:p w14:paraId="1ED39D78" w14:textId="49DD629A" w:rsidR="00F55A73" w:rsidRPr="00F55A73" w:rsidRDefault="006467D5" w:rsidP="00F55A73">
            <w:pPr>
              <w:spacing w:after="0" w:line="240" w:lineRule="auto"/>
              <w:rPr>
                <w:rFonts w:ascii="Calibri" w:eastAsia="Times New Roman" w:hAnsi="Calibri" w:cs="Calibri"/>
                <w:b/>
                <w:bCs/>
                <w:color w:val="000000"/>
                <w:sz w:val="22"/>
                <w:szCs w:val="22"/>
              </w:rPr>
            </w:pPr>
            <w:r>
              <w:rPr>
                <w:rFonts w:ascii="Calibri" w:eastAsia="Times New Roman" w:hAnsi="Calibri" w:cs="Calibri"/>
                <w:b/>
                <w:bCs/>
                <w:color w:val="000000"/>
                <w:sz w:val="22"/>
                <w:szCs w:val="22"/>
              </w:rPr>
              <w:t>PATIENTS</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374CCA47" w14:textId="77777777" w:rsidR="00F55A73" w:rsidRPr="00F55A73" w:rsidRDefault="00F55A73"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12,573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7F8DCCA" w14:textId="77777777" w:rsidR="00F55A73" w:rsidRPr="00F55A73" w:rsidRDefault="00F55A73"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100%</w:t>
            </w:r>
          </w:p>
        </w:tc>
        <w:tc>
          <w:tcPr>
            <w:tcW w:w="990" w:type="dxa"/>
            <w:gridSpan w:val="2"/>
            <w:tcBorders>
              <w:top w:val="single" w:sz="4" w:space="0" w:color="auto"/>
              <w:left w:val="nil"/>
              <w:bottom w:val="single" w:sz="4" w:space="0" w:color="auto"/>
              <w:right w:val="nil"/>
            </w:tcBorders>
            <w:shd w:val="clear" w:color="auto" w:fill="auto"/>
            <w:noWrap/>
            <w:vAlign w:val="center"/>
            <w:hideMark/>
          </w:tcPr>
          <w:p w14:paraId="413AE070" w14:textId="77777777" w:rsidR="00F55A73" w:rsidRPr="00F55A73" w:rsidRDefault="00F55A73"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13,162</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AC1053A" w14:textId="77777777" w:rsidR="00F55A73" w:rsidRPr="00F55A73" w:rsidRDefault="00F55A73"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100%</w:t>
            </w:r>
          </w:p>
        </w:tc>
        <w:tc>
          <w:tcPr>
            <w:tcW w:w="1080" w:type="dxa"/>
            <w:gridSpan w:val="2"/>
            <w:tcBorders>
              <w:top w:val="single" w:sz="4" w:space="0" w:color="auto"/>
              <w:left w:val="nil"/>
              <w:bottom w:val="single" w:sz="4" w:space="0" w:color="auto"/>
              <w:right w:val="nil"/>
            </w:tcBorders>
            <w:shd w:val="clear" w:color="auto" w:fill="auto"/>
            <w:noWrap/>
            <w:vAlign w:val="center"/>
            <w:hideMark/>
          </w:tcPr>
          <w:p w14:paraId="29F24210" w14:textId="77777777" w:rsidR="00F55A73" w:rsidRPr="00F55A73" w:rsidRDefault="00F55A73"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14,288</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4DDD17EF" w14:textId="77777777" w:rsidR="00F55A73" w:rsidRPr="00F55A73" w:rsidRDefault="00F55A73"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100%</w:t>
            </w:r>
          </w:p>
        </w:tc>
        <w:tc>
          <w:tcPr>
            <w:tcW w:w="1015" w:type="dxa"/>
            <w:gridSpan w:val="2"/>
            <w:tcBorders>
              <w:top w:val="single" w:sz="4" w:space="0" w:color="auto"/>
              <w:left w:val="nil"/>
              <w:bottom w:val="single" w:sz="4" w:space="0" w:color="auto"/>
              <w:right w:val="nil"/>
            </w:tcBorders>
            <w:shd w:val="clear" w:color="auto" w:fill="auto"/>
            <w:noWrap/>
            <w:vAlign w:val="center"/>
            <w:hideMark/>
          </w:tcPr>
          <w:p w14:paraId="35EC078A" w14:textId="77777777" w:rsidR="00F55A73" w:rsidRPr="00F55A73" w:rsidRDefault="00F55A73"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15,396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AE9F932" w14:textId="77777777" w:rsidR="00F55A73" w:rsidRPr="00F55A73" w:rsidRDefault="00F55A73" w:rsidP="00F55A73">
            <w:pPr>
              <w:spacing w:after="0" w:line="240" w:lineRule="auto"/>
              <w:jc w:val="center"/>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100%</w:t>
            </w:r>
          </w:p>
        </w:tc>
      </w:tr>
      <w:tr w:rsidR="00F55A73" w:rsidRPr="00F55A73" w14:paraId="4D3880F6" w14:textId="77777777" w:rsidTr="002C5381">
        <w:trPr>
          <w:cantSplit/>
          <w:trHeight w:val="300"/>
        </w:trPr>
        <w:tc>
          <w:tcPr>
            <w:tcW w:w="1975" w:type="dxa"/>
            <w:tcBorders>
              <w:top w:val="nil"/>
              <w:left w:val="single" w:sz="4" w:space="0" w:color="auto"/>
              <w:bottom w:val="nil"/>
              <w:right w:val="nil"/>
            </w:tcBorders>
            <w:shd w:val="clear" w:color="000000" w:fill="C5D9F1"/>
            <w:noWrap/>
            <w:vAlign w:val="center"/>
            <w:hideMark/>
          </w:tcPr>
          <w:p w14:paraId="3DC7FCFD" w14:textId="77777777" w:rsidR="00F55A73" w:rsidRPr="00F55A73" w:rsidRDefault="00F55A73" w:rsidP="00F55A73">
            <w:pPr>
              <w:spacing w:after="0" w:line="240" w:lineRule="auto"/>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Age Group</w:t>
            </w:r>
          </w:p>
        </w:tc>
        <w:tc>
          <w:tcPr>
            <w:tcW w:w="990" w:type="dxa"/>
            <w:tcBorders>
              <w:top w:val="nil"/>
              <w:left w:val="single" w:sz="4" w:space="0" w:color="auto"/>
              <w:bottom w:val="nil"/>
              <w:right w:val="nil"/>
            </w:tcBorders>
            <w:shd w:val="clear" w:color="000000" w:fill="C5D9F1"/>
            <w:noWrap/>
            <w:vAlign w:val="center"/>
            <w:hideMark/>
          </w:tcPr>
          <w:p w14:paraId="3C415CB6" w14:textId="77777777" w:rsidR="00F55A73" w:rsidRPr="00F55A73" w:rsidRDefault="00F55A73" w:rsidP="00F55A73">
            <w:pPr>
              <w:spacing w:after="0" w:line="240" w:lineRule="auto"/>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 </w:t>
            </w:r>
          </w:p>
        </w:tc>
        <w:tc>
          <w:tcPr>
            <w:tcW w:w="990" w:type="dxa"/>
            <w:tcBorders>
              <w:top w:val="nil"/>
              <w:left w:val="nil"/>
              <w:bottom w:val="nil"/>
              <w:right w:val="single" w:sz="4" w:space="0" w:color="auto"/>
            </w:tcBorders>
            <w:shd w:val="clear" w:color="000000" w:fill="C5D9F1"/>
            <w:noWrap/>
            <w:vAlign w:val="center"/>
            <w:hideMark/>
          </w:tcPr>
          <w:p w14:paraId="328E940D"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90" w:type="dxa"/>
            <w:gridSpan w:val="2"/>
            <w:tcBorders>
              <w:top w:val="nil"/>
              <w:left w:val="nil"/>
              <w:bottom w:val="nil"/>
              <w:right w:val="nil"/>
            </w:tcBorders>
            <w:shd w:val="clear" w:color="000000" w:fill="C5D9F1"/>
            <w:noWrap/>
            <w:vAlign w:val="center"/>
            <w:hideMark/>
          </w:tcPr>
          <w:p w14:paraId="22D279B6"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00" w:type="dxa"/>
            <w:tcBorders>
              <w:top w:val="nil"/>
              <w:left w:val="nil"/>
              <w:bottom w:val="nil"/>
              <w:right w:val="single" w:sz="4" w:space="0" w:color="auto"/>
            </w:tcBorders>
            <w:shd w:val="clear" w:color="000000" w:fill="C5D9F1"/>
            <w:noWrap/>
            <w:vAlign w:val="center"/>
            <w:hideMark/>
          </w:tcPr>
          <w:p w14:paraId="7F93FD6D"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1080" w:type="dxa"/>
            <w:gridSpan w:val="2"/>
            <w:tcBorders>
              <w:top w:val="nil"/>
              <w:left w:val="nil"/>
              <w:bottom w:val="nil"/>
              <w:right w:val="nil"/>
            </w:tcBorders>
            <w:shd w:val="clear" w:color="000000" w:fill="C5D9F1"/>
            <w:noWrap/>
            <w:vAlign w:val="center"/>
            <w:hideMark/>
          </w:tcPr>
          <w:p w14:paraId="6B6E3548"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875" w:type="dxa"/>
            <w:tcBorders>
              <w:top w:val="nil"/>
              <w:left w:val="nil"/>
              <w:bottom w:val="nil"/>
              <w:right w:val="single" w:sz="4" w:space="0" w:color="auto"/>
            </w:tcBorders>
            <w:shd w:val="clear" w:color="000000" w:fill="C5D9F1"/>
            <w:noWrap/>
            <w:vAlign w:val="center"/>
            <w:hideMark/>
          </w:tcPr>
          <w:p w14:paraId="7DFF0091"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1015" w:type="dxa"/>
            <w:gridSpan w:val="2"/>
            <w:tcBorders>
              <w:top w:val="nil"/>
              <w:left w:val="nil"/>
              <w:bottom w:val="nil"/>
              <w:right w:val="nil"/>
            </w:tcBorders>
            <w:shd w:val="clear" w:color="000000" w:fill="C5D9F1"/>
            <w:noWrap/>
            <w:vAlign w:val="center"/>
            <w:hideMark/>
          </w:tcPr>
          <w:p w14:paraId="3AC5ACCB"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00" w:type="dxa"/>
            <w:tcBorders>
              <w:top w:val="nil"/>
              <w:left w:val="nil"/>
              <w:bottom w:val="nil"/>
              <w:right w:val="single" w:sz="4" w:space="0" w:color="auto"/>
            </w:tcBorders>
            <w:shd w:val="clear" w:color="000000" w:fill="C5D9F1"/>
            <w:noWrap/>
            <w:vAlign w:val="center"/>
            <w:hideMark/>
          </w:tcPr>
          <w:p w14:paraId="4C82B3CC"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r>
      <w:tr w:rsidR="00F55A73" w:rsidRPr="00F55A73" w14:paraId="467DA377"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0BB82DC5"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0 - 18</w:t>
            </w:r>
          </w:p>
        </w:tc>
        <w:tc>
          <w:tcPr>
            <w:tcW w:w="990" w:type="dxa"/>
            <w:tcBorders>
              <w:top w:val="nil"/>
              <w:left w:val="single" w:sz="4" w:space="0" w:color="auto"/>
              <w:bottom w:val="nil"/>
              <w:right w:val="nil"/>
            </w:tcBorders>
            <w:shd w:val="clear" w:color="auto" w:fill="auto"/>
            <w:noWrap/>
            <w:vAlign w:val="center"/>
            <w:hideMark/>
          </w:tcPr>
          <w:p w14:paraId="33C08E39"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955</w:t>
            </w:r>
          </w:p>
        </w:tc>
        <w:tc>
          <w:tcPr>
            <w:tcW w:w="990" w:type="dxa"/>
            <w:tcBorders>
              <w:top w:val="nil"/>
              <w:left w:val="nil"/>
              <w:bottom w:val="nil"/>
              <w:right w:val="single" w:sz="4" w:space="0" w:color="auto"/>
            </w:tcBorders>
            <w:shd w:val="clear" w:color="auto" w:fill="auto"/>
            <w:noWrap/>
            <w:vAlign w:val="center"/>
            <w:hideMark/>
          </w:tcPr>
          <w:p w14:paraId="7D1CE843"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7.60%</w:t>
            </w:r>
          </w:p>
        </w:tc>
        <w:tc>
          <w:tcPr>
            <w:tcW w:w="990" w:type="dxa"/>
            <w:gridSpan w:val="2"/>
            <w:tcBorders>
              <w:top w:val="nil"/>
              <w:left w:val="nil"/>
              <w:bottom w:val="nil"/>
              <w:right w:val="nil"/>
            </w:tcBorders>
            <w:shd w:val="clear" w:color="auto" w:fill="auto"/>
            <w:noWrap/>
            <w:vAlign w:val="center"/>
            <w:hideMark/>
          </w:tcPr>
          <w:p w14:paraId="59073E16"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839</w:t>
            </w:r>
          </w:p>
        </w:tc>
        <w:tc>
          <w:tcPr>
            <w:tcW w:w="900" w:type="dxa"/>
            <w:tcBorders>
              <w:top w:val="nil"/>
              <w:left w:val="nil"/>
              <w:bottom w:val="nil"/>
              <w:right w:val="single" w:sz="4" w:space="0" w:color="auto"/>
            </w:tcBorders>
            <w:shd w:val="clear" w:color="auto" w:fill="auto"/>
            <w:noWrap/>
            <w:vAlign w:val="center"/>
            <w:hideMark/>
          </w:tcPr>
          <w:p w14:paraId="05E5B3A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6.37%</w:t>
            </w:r>
          </w:p>
        </w:tc>
        <w:tc>
          <w:tcPr>
            <w:tcW w:w="1080" w:type="dxa"/>
            <w:gridSpan w:val="2"/>
            <w:tcBorders>
              <w:top w:val="nil"/>
              <w:left w:val="nil"/>
              <w:bottom w:val="nil"/>
              <w:right w:val="nil"/>
            </w:tcBorders>
            <w:shd w:val="clear" w:color="auto" w:fill="auto"/>
            <w:noWrap/>
            <w:vAlign w:val="center"/>
            <w:hideMark/>
          </w:tcPr>
          <w:p w14:paraId="5828CE9A"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1,201</w:t>
            </w:r>
          </w:p>
        </w:tc>
        <w:tc>
          <w:tcPr>
            <w:tcW w:w="875" w:type="dxa"/>
            <w:tcBorders>
              <w:top w:val="nil"/>
              <w:left w:val="nil"/>
              <w:bottom w:val="nil"/>
              <w:right w:val="single" w:sz="4" w:space="0" w:color="auto"/>
            </w:tcBorders>
            <w:shd w:val="clear" w:color="auto" w:fill="auto"/>
            <w:noWrap/>
            <w:vAlign w:val="center"/>
            <w:hideMark/>
          </w:tcPr>
          <w:p w14:paraId="308ABCBE"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8.41%</w:t>
            </w:r>
          </w:p>
        </w:tc>
        <w:tc>
          <w:tcPr>
            <w:tcW w:w="1015" w:type="dxa"/>
            <w:gridSpan w:val="2"/>
            <w:tcBorders>
              <w:top w:val="nil"/>
              <w:left w:val="nil"/>
              <w:bottom w:val="nil"/>
              <w:right w:val="nil"/>
            </w:tcBorders>
            <w:shd w:val="clear" w:color="auto" w:fill="auto"/>
            <w:noWrap/>
            <w:vAlign w:val="center"/>
            <w:hideMark/>
          </w:tcPr>
          <w:p w14:paraId="557793D9"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1,517</w:t>
            </w:r>
          </w:p>
        </w:tc>
        <w:tc>
          <w:tcPr>
            <w:tcW w:w="900" w:type="dxa"/>
            <w:tcBorders>
              <w:top w:val="nil"/>
              <w:left w:val="nil"/>
              <w:bottom w:val="nil"/>
              <w:right w:val="single" w:sz="4" w:space="0" w:color="auto"/>
            </w:tcBorders>
            <w:shd w:val="clear" w:color="auto" w:fill="auto"/>
            <w:noWrap/>
            <w:vAlign w:val="center"/>
            <w:hideMark/>
          </w:tcPr>
          <w:p w14:paraId="676FC8F7"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9.85%</w:t>
            </w:r>
          </w:p>
        </w:tc>
      </w:tr>
      <w:tr w:rsidR="00F55A73" w:rsidRPr="00F55A73" w14:paraId="666FCE2D"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5CF4F01C"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19 - 64</w:t>
            </w:r>
          </w:p>
        </w:tc>
        <w:tc>
          <w:tcPr>
            <w:tcW w:w="990" w:type="dxa"/>
            <w:tcBorders>
              <w:top w:val="nil"/>
              <w:left w:val="single" w:sz="4" w:space="0" w:color="auto"/>
              <w:bottom w:val="nil"/>
              <w:right w:val="nil"/>
            </w:tcBorders>
            <w:shd w:val="clear" w:color="auto" w:fill="auto"/>
            <w:noWrap/>
            <w:vAlign w:val="center"/>
            <w:hideMark/>
          </w:tcPr>
          <w:p w14:paraId="3BAC40E2"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3,219</w:t>
            </w:r>
          </w:p>
        </w:tc>
        <w:tc>
          <w:tcPr>
            <w:tcW w:w="990" w:type="dxa"/>
            <w:tcBorders>
              <w:top w:val="nil"/>
              <w:left w:val="nil"/>
              <w:bottom w:val="nil"/>
              <w:right w:val="single" w:sz="4" w:space="0" w:color="auto"/>
            </w:tcBorders>
            <w:shd w:val="clear" w:color="auto" w:fill="auto"/>
            <w:noWrap/>
            <w:vAlign w:val="center"/>
            <w:hideMark/>
          </w:tcPr>
          <w:p w14:paraId="5A41E85B"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25.60%</w:t>
            </w:r>
          </w:p>
        </w:tc>
        <w:tc>
          <w:tcPr>
            <w:tcW w:w="990" w:type="dxa"/>
            <w:gridSpan w:val="2"/>
            <w:tcBorders>
              <w:top w:val="nil"/>
              <w:left w:val="nil"/>
              <w:bottom w:val="nil"/>
              <w:right w:val="nil"/>
            </w:tcBorders>
            <w:shd w:val="clear" w:color="auto" w:fill="auto"/>
            <w:noWrap/>
            <w:vAlign w:val="center"/>
            <w:hideMark/>
          </w:tcPr>
          <w:p w14:paraId="2D7BC520"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3,483</w:t>
            </w:r>
          </w:p>
        </w:tc>
        <w:tc>
          <w:tcPr>
            <w:tcW w:w="900" w:type="dxa"/>
            <w:tcBorders>
              <w:top w:val="nil"/>
              <w:left w:val="nil"/>
              <w:bottom w:val="nil"/>
              <w:right w:val="single" w:sz="4" w:space="0" w:color="auto"/>
            </w:tcBorders>
            <w:shd w:val="clear" w:color="auto" w:fill="auto"/>
            <w:noWrap/>
            <w:vAlign w:val="center"/>
            <w:hideMark/>
          </w:tcPr>
          <w:p w14:paraId="00461CD8"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26.46%</w:t>
            </w:r>
          </w:p>
        </w:tc>
        <w:tc>
          <w:tcPr>
            <w:tcW w:w="1080" w:type="dxa"/>
            <w:gridSpan w:val="2"/>
            <w:tcBorders>
              <w:top w:val="nil"/>
              <w:left w:val="nil"/>
              <w:bottom w:val="nil"/>
              <w:right w:val="nil"/>
            </w:tcBorders>
            <w:shd w:val="clear" w:color="auto" w:fill="auto"/>
            <w:noWrap/>
            <w:vAlign w:val="center"/>
            <w:hideMark/>
          </w:tcPr>
          <w:p w14:paraId="1CCD3122"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3,692</w:t>
            </w:r>
          </w:p>
        </w:tc>
        <w:tc>
          <w:tcPr>
            <w:tcW w:w="875" w:type="dxa"/>
            <w:tcBorders>
              <w:top w:val="nil"/>
              <w:left w:val="nil"/>
              <w:bottom w:val="nil"/>
              <w:right w:val="single" w:sz="4" w:space="0" w:color="auto"/>
            </w:tcBorders>
            <w:shd w:val="clear" w:color="auto" w:fill="auto"/>
            <w:noWrap/>
            <w:vAlign w:val="center"/>
            <w:hideMark/>
          </w:tcPr>
          <w:p w14:paraId="06E2B4B5"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25.84%</w:t>
            </w:r>
          </w:p>
        </w:tc>
        <w:tc>
          <w:tcPr>
            <w:tcW w:w="1015" w:type="dxa"/>
            <w:gridSpan w:val="2"/>
            <w:tcBorders>
              <w:top w:val="nil"/>
              <w:left w:val="nil"/>
              <w:bottom w:val="nil"/>
              <w:right w:val="nil"/>
            </w:tcBorders>
            <w:shd w:val="clear" w:color="auto" w:fill="auto"/>
            <w:noWrap/>
            <w:vAlign w:val="center"/>
            <w:hideMark/>
          </w:tcPr>
          <w:p w14:paraId="423B2CF7"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3,701</w:t>
            </w:r>
          </w:p>
        </w:tc>
        <w:tc>
          <w:tcPr>
            <w:tcW w:w="900" w:type="dxa"/>
            <w:tcBorders>
              <w:top w:val="nil"/>
              <w:left w:val="nil"/>
              <w:bottom w:val="nil"/>
              <w:right w:val="single" w:sz="4" w:space="0" w:color="auto"/>
            </w:tcBorders>
            <w:shd w:val="clear" w:color="auto" w:fill="auto"/>
            <w:noWrap/>
            <w:vAlign w:val="center"/>
            <w:hideMark/>
          </w:tcPr>
          <w:p w14:paraId="7338D5D2"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24.04%</w:t>
            </w:r>
          </w:p>
        </w:tc>
      </w:tr>
      <w:tr w:rsidR="00F55A73" w:rsidRPr="00F55A73" w14:paraId="281AF9BD"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6A457BF9"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xml:space="preserve">65 and </w:t>
            </w:r>
            <w:proofErr w:type="gramStart"/>
            <w:r w:rsidRPr="00F55A73">
              <w:rPr>
                <w:rFonts w:ascii="Calibri" w:eastAsia="Times New Roman" w:hAnsi="Calibri" w:cs="Calibri"/>
                <w:color w:val="000000"/>
                <w:sz w:val="22"/>
                <w:szCs w:val="22"/>
              </w:rPr>
              <w:t>Over</w:t>
            </w:r>
            <w:proofErr w:type="gramEnd"/>
          </w:p>
        </w:tc>
        <w:tc>
          <w:tcPr>
            <w:tcW w:w="990" w:type="dxa"/>
            <w:tcBorders>
              <w:top w:val="nil"/>
              <w:left w:val="single" w:sz="4" w:space="0" w:color="auto"/>
              <w:bottom w:val="nil"/>
              <w:right w:val="nil"/>
            </w:tcBorders>
            <w:shd w:val="clear" w:color="auto" w:fill="auto"/>
            <w:noWrap/>
            <w:vAlign w:val="center"/>
            <w:hideMark/>
          </w:tcPr>
          <w:p w14:paraId="06B1E15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8,399</w:t>
            </w:r>
          </w:p>
        </w:tc>
        <w:tc>
          <w:tcPr>
            <w:tcW w:w="990" w:type="dxa"/>
            <w:tcBorders>
              <w:top w:val="nil"/>
              <w:left w:val="nil"/>
              <w:bottom w:val="nil"/>
              <w:right w:val="single" w:sz="4" w:space="0" w:color="auto"/>
            </w:tcBorders>
            <w:shd w:val="clear" w:color="auto" w:fill="auto"/>
            <w:noWrap/>
            <w:vAlign w:val="center"/>
            <w:hideMark/>
          </w:tcPr>
          <w:p w14:paraId="711D9C7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66.80%</w:t>
            </w:r>
          </w:p>
        </w:tc>
        <w:tc>
          <w:tcPr>
            <w:tcW w:w="990" w:type="dxa"/>
            <w:gridSpan w:val="2"/>
            <w:tcBorders>
              <w:top w:val="nil"/>
              <w:left w:val="nil"/>
              <w:bottom w:val="nil"/>
              <w:right w:val="nil"/>
            </w:tcBorders>
            <w:shd w:val="clear" w:color="auto" w:fill="auto"/>
            <w:noWrap/>
            <w:vAlign w:val="center"/>
            <w:hideMark/>
          </w:tcPr>
          <w:p w14:paraId="180787D9"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8,840</w:t>
            </w:r>
          </w:p>
        </w:tc>
        <w:tc>
          <w:tcPr>
            <w:tcW w:w="900" w:type="dxa"/>
            <w:tcBorders>
              <w:top w:val="nil"/>
              <w:left w:val="nil"/>
              <w:bottom w:val="nil"/>
              <w:right w:val="single" w:sz="4" w:space="0" w:color="auto"/>
            </w:tcBorders>
            <w:shd w:val="clear" w:color="auto" w:fill="auto"/>
            <w:noWrap/>
            <w:vAlign w:val="center"/>
            <w:hideMark/>
          </w:tcPr>
          <w:p w14:paraId="73F35FC7"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67.16%</w:t>
            </w:r>
          </w:p>
        </w:tc>
        <w:tc>
          <w:tcPr>
            <w:tcW w:w="1080" w:type="dxa"/>
            <w:gridSpan w:val="2"/>
            <w:tcBorders>
              <w:top w:val="nil"/>
              <w:left w:val="nil"/>
              <w:bottom w:val="nil"/>
              <w:right w:val="nil"/>
            </w:tcBorders>
            <w:shd w:val="clear" w:color="auto" w:fill="auto"/>
            <w:noWrap/>
            <w:vAlign w:val="center"/>
            <w:hideMark/>
          </w:tcPr>
          <w:p w14:paraId="5AAE4E3A"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9,395</w:t>
            </w:r>
          </w:p>
        </w:tc>
        <w:tc>
          <w:tcPr>
            <w:tcW w:w="875" w:type="dxa"/>
            <w:tcBorders>
              <w:top w:val="nil"/>
              <w:left w:val="nil"/>
              <w:bottom w:val="nil"/>
              <w:right w:val="single" w:sz="4" w:space="0" w:color="auto"/>
            </w:tcBorders>
            <w:shd w:val="clear" w:color="auto" w:fill="auto"/>
            <w:noWrap/>
            <w:vAlign w:val="center"/>
            <w:hideMark/>
          </w:tcPr>
          <w:p w14:paraId="6BFBE780"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65.75%</w:t>
            </w:r>
          </w:p>
        </w:tc>
        <w:tc>
          <w:tcPr>
            <w:tcW w:w="1015" w:type="dxa"/>
            <w:gridSpan w:val="2"/>
            <w:tcBorders>
              <w:top w:val="nil"/>
              <w:left w:val="nil"/>
              <w:bottom w:val="nil"/>
              <w:right w:val="nil"/>
            </w:tcBorders>
            <w:shd w:val="clear" w:color="auto" w:fill="auto"/>
            <w:noWrap/>
            <w:vAlign w:val="center"/>
            <w:hideMark/>
          </w:tcPr>
          <w:p w14:paraId="39ED10F0"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10,178</w:t>
            </w:r>
          </w:p>
        </w:tc>
        <w:tc>
          <w:tcPr>
            <w:tcW w:w="900" w:type="dxa"/>
            <w:tcBorders>
              <w:top w:val="nil"/>
              <w:left w:val="nil"/>
              <w:bottom w:val="nil"/>
              <w:right w:val="single" w:sz="4" w:space="0" w:color="auto"/>
            </w:tcBorders>
            <w:shd w:val="clear" w:color="auto" w:fill="auto"/>
            <w:noWrap/>
            <w:vAlign w:val="center"/>
            <w:hideMark/>
          </w:tcPr>
          <w:p w14:paraId="56AF8F58"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66.11%</w:t>
            </w:r>
          </w:p>
        </w:tc>
      </w:tr>
      <w:tr w:rsidR="00F55A73" w:rsidRPr="00F55A73" w14:paraId="3A5C431A" w14:textId="77777777" w:rsidTr="002C5381">
        <w:trPr>
          <w:cantSplit/>
          <w:trHeight w:val="300"/>
        </w:trPr>
        <w:tc>
          <w:tcPr>
            <w:tcW w:w="1975" w:type="dxa"/>
            <w:tcBorders>
              <w:top w:val="nil"/>
              <w:left w:val="single" w:sz="4" w:space="0" w:color="auto"/>
              <w:bottom w:val="nil"/>
              <w:right w:val="nil"/>
            </w:tcBorders>
            <w:shd w:val="clear" w:color="000000" w:fill="BDD7EE"/>
            <w:noWrap/>
            <w:vAlign w:val="center"/>
            <w:hideMark/>
          </w:tcPr>
          <w:p w14:paraId="2DEB882D" w14:textId="77777777" w:rsidR="00F55A73" w:rsidRPr="00F55A73" w:rsidRDefault="00F55A73" w:rsidP="00F55A73">
            <w:pPr>
              <w:spacing w:after="0" w:line="240" w:lineRule="auto"/>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Gender</w:t>
            </w:r>
          </w:p>
        </w:tc>
        <w:tc>
          <w:tcPr>
            <w:tcW w:w="990" w:type="dxa"/>
            <w:tcBorders>
              <w:top w:val="nil"/>
              <w:left w:val="single" w:sz="4" w:space="0" w:color="auto"/>
              <w:bottom w:val="nil"/>
              <w:right w:val="nil"/>
            </w:tcBorders>
            <w:shd w:val="clear" w:color="000000" w:fill="BDD7EE"/>
            <w:noWrap/>
            <w:vAlign w:val="center"/>
            <w:hideMark/>
          </w:tcPr>
          <w:p w14:paraId="3FD3E8E2"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90" w:type="dxa"/>
            <w:tcBorders>
              <w:top w:val="nil"/>
              <w:left w:val="nil"/>
              <w:bottom w:val="nil"/>
              <w:right w:val="single" w:sz="4" w:space="0" w:color="auto"/>
            </w:tcBorders>
            <w:shd w:val="clear" w:color="000000" w:fill="BDD7EE"/>
            <w:noWrap/>
            <w:vAlign w:val="center"/>
            <w:hideMark/>
          </w:tcPr>
          <w:p w14:paraId="3F9A0B54"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90" w:type="dxa"/>
            <w:gridSpan w:val="2"/>
            <w:tcBorders>
              <w:top w:val="nil"/>
              <w:left w:val="nil"/>
              <w:bottom w:val="nil"/>
              <w:right w:val="nil"/>
            </w:tcBorders>
            <w:shd w:val="clear" w:color="000000" w:fill="BDD7EE"/>
            <w:noWrap/>
            <w:vAlign w:val="center"/>
            <w:hideMark/>
          </w:tcPr>
          <w:p w14:paraId="13B17E9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00" w:type="dxa"/>
            <w:tcBorders>
              <w:top w:val="nil"/>
              <w:left w:val="nil"/>
              <w:bottom w:val="nil"/>
              <w:right w:val="single" w:sz="4" w:space="0" w:color="auto"/>
            </w:tcBorders>
            <w:shd w:val="clear" w:color="000000" w:fill="BDD7EE"/>
            <w:noWrap/>
            <w:vAlign w:val="center"/>
            <w:hideMark/>
          </w:tcPr>
          <w:p w14:paraId="1B514D7B"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1080" w:type="dxa"/>
            <w:gridSpan w:val="2"/>
            <w:tcBorders>
              <w:top w:val="nil"/>
              <w:left w:val="nil"/>
              <w:bottom w:val="nil"/>
              <w:right w:val="nil"/>
            </w:tcBorders>
            <w:shd w:val="clear" w:color="000000" w:fill="BDD7EE"/>
            <w:noWrap/>
            <w:vAlign w:val="center"/>
            <w:hideMark/>
          </w:tcPr>
          <w:p w14:paraId="1916222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875" w:type="dxa"/>
            <w:tcBorders>
              <w:top w:val="nil"/>
              <w:left w:val="nil"/>
              <w:bottom w:val="nil"/>
              <w:right w:val="single" w:sz="4" w:space="0" w:color="auto"/>
            </w:tcBorders>
            <w:shd w:val="clear" w:color="000000" w:fill="BDD7EE"/>
            <w:noWrap/>
            <w:vAlign w:val="center"/>
            <w:hideMark/>
          </w:tcPr>
          <w:p w14:paraId="0128198B"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1015" w:type="dxa"/>
            <w:gridSpan w:val="2"/>
            <w:tcBorders>
              <w:top w:val="nil"/>
              <w:left w:val="nil"/>
              <w:bottom w:val="nil"/>
              <w:right w:val="nil"/>
            </w:tcBorders>
            <w:shd w:val="clear" w:color="000000" w:fill="BDD7EE"/>
            <w:noWrap/>
            <w:vAlign w:val="center"/>
            <w:hideMark/>
          </w:tcPr>
          <w:p w14:paraId="7A689CE5"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00" w:type="dxa"/>
            <w:tcBorders>
              <w:top w:val="nil"/>
              <w:left w:val="nil"/>
              <w:bottom w:val="nil"/>
              <w:right w:val="single" w:sz="4" w:space="0" w:color="auto"/>
            </w:tcBorders>
            <w:shd w:val="clear" w:color="000000" w:fill="BDD7EE"/>
            <w:noWrap/>
            <w:vAlign w:val="center"/>
            <w:hideMark/>
          </w:tcPr>
          <w:p w14:paraId="1A57EE43"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r>
      <w:tr w:rsidR="00F55A73" w:rsidRPr="00F55A73" w14:paraId="490DB372"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00871038"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Female</w:t>
            </w:r>
          </w:p>
        </w:tc>
        <w:tc>
          <w:tcPr>
            <w:tcW w:w="990" w:type="dxa"/>
            <w:tcBorders>
              <w:top w:val="nil"/>
              <w:left w:val="single" w:sz="4" w:space="0" w:color="auto"/>
              <w:bottom w:val="nil"/>
              <w:right w:val="nil"/>
            </w:tcBorders>
            <w:shd w:val="clear" w:color="auto" w:fill="auto"/>
            <w:noWrap/>
            <w:vAlign w:val="bottom"/>
            <w:hideMark/>
          </w:tcPr>
          <w:p w14:paraId="5885EAAA" w14:textId="77777777" w:rsidR="00F55A73" w:rsidRPr="00F55A73" w:rsidRDefault="00F55A73" w:rsidP="00F55A73">
            <w:pPr>
              <w:spacing w:after="0" w:line="240" w:lineRule="auto"/>
              <w:jc w:val="right"/>
              <w:rPr>
                <w:rFonts w:ascii="Calibri" w:eastAsia="Times New Roman" w:hAnsi="Calibri" w:cs="Calibri"/>
                <w:color w:val="000000"/>
                <w:sz w:val="22"/>
                <w:szCs w:val="22"/>
              </w:rPr>
            </w:pPr>
            <w:r w:rsidRPr="00F55A73">
              <w:rPr>
                <w:rFonts w:ascii="Calibri" w:eastAsia="Times New Roman" w:hAnsi="Calibri" w:cs="Calibri"/>
                <w:color w:val="000000"/>
                <w:sz w:val="22"/>
                <w:szCs w:val="22"/>
              </w:rPr>
              <w:t>7,602</w:t>
            </w:r>
          </w:p>
        </w:tc>
        <w:tc>
          <w:tcPr>
            <w:tcW w:w="990" w:type="dxa"/>
            <w:tcBorders>
              <w:top w:val="nil"/>
              <w:left w:val="nil"/>
              <w:bottom w:val="nil"/>
              <w:right w:val="single" w:sz="4" w:space="0" w:color="auto"/>
            </w:tcBorders>
            <w:shd w:val="clear" w:color="auto" w:fill="auto"/>
            <w:noWrap/>
            <w:vAlign w:val="center"/>
            <w:hideMark/>
          </w:tcPr>
          <w:p w14:paraId="2488700D"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60.46%</w:t>
            </w:r>
          </w:p>
        </w:tc>
        <w:tc>
          <w:tcPr>
            <w:tcW w:w="990" w:type="dxa"/>
            <w:gridSpan w:val="2"/>
            <w:tcBorders>
              <w:top w:val="nil"/>
              <w:left w:val="nil"/>
              <w:bottom w:val="nil"/>
              <w:right w:val="nil"/>
            </w:tcBorders>
            <w:shd w:val="clear" w:color="auto" w:fill="auto"/>
            <w:noWrap/>
            <w:vAlign w:val="center"/>
            <w:hideMark/>
          </w:tcPr>
          <w:p w14:paraId="213F5E1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8,023</w:t>
            </w:r>
          </w:p>
        </w:tc>
        <w:tc>
          <w:tcPr>
            <w:tcW w:w="900" w:type="dxa"/>
            <w:tcBorders>
              <w:top w:val="nil"/>
              <w:left w:val="nil"/>
              <w:bottom w:val="nil"/>
              <w:right w:val="single" w:sz="4" w:space="0" w:color="auto"/>
            </w:tcBorders>
            <w:shd w:val="clear" w:color="auto" w:fill="auto"/>
            <w:noWrap/>
            <w:vAlign w:val="center"/>
            <w:hideMark/>
          </w:tcPr>
          <w:p w14:paraId="1708869F"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60.96%</w:t>
            </w:r>
          </w:p>
        </w:tc>
        <w:tc>
          <w:tcPr>
            <w:tcW w:w="1080" w:type="dxa"/>
            <w:gridSpan w:val="2"/>
            <w:tcBorders>
              <w:top w:val="nil"/>
              <w:left w:val="nil"/>
              <w:bottom w:val="nil"/>
              <w:right w:val="nil"/>
            </w:tcBorders>
            <w:shd w:val="clear" w:color="auto" w:fill="auto"/>
            <w:noWrap/>
            <w:vAlign w:val="center"/>
            <w:hideMark/>
          </w:tcPr>
          <w:p w14:paraId="3D215070"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8,506</w:t>
            </w:r>
          </w:p>
        </w:tc>
        <w:tc>
          <w:tcPr>
            <w:tcW w:w="875" w:type="dxa"/>
            <w:tcBorders>
              <w:top w:val="nil"/>
              <w:left w:val="nil"/>
              <w:bottom w:val="nil"/>
              <w:right w:val="single" w:sz="4" w:space="0" w:color="auto"/>
            </w:tcBorders>
            <w:shd w:val="clear" w:color="auto" w:fill="auto"/>
            <w:noWrap/>
            <w:vAlign w:val="center"/>
            <w:hideMark/>
          </w:tcPr>
          <w:p w14:paraId="4217A7E3"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59.53%</w:t>
            </w:r>
          </w:p>
        </w:tc>
        <w:tc>
          <w:tcPr>
            <w:tcW w:w="1015" w:type="dxa"/>
            <w:gridSpan w:val="2"/>
            <w:tcBorders>
              <w:top w:val="nil"/>
              <w:left w:val="nil"/>
              <w:bottom w:val="nil"/>
              <w:right w:val="nil"/>
            </w:tcBorders>
            <w:shd w:val="clear" w:color="auto" w:fill="auto"/>
            <w:noWrap/>
            <w:vAlign w:val="center"/>
            <w:hideMark/>
          </w:tcPr>
          <w:p w14:paraId="20908915"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9,200</w:t>
            </w:r>
          </w:p>
        </w:tc>
        <w:tc>
          <w:tcPr>
            <w:tcW w:w="900" w:type="dxa"/>
            <w:tcBorders>
              <w:top w:val="nil"/>
              <w:left w:val="nil"/>
              <w:bottom w:val="nil"/>
              <w:right w:val="single" w:sz="4" w:space="0" w:color="auto"/>
            </w:tcBorders>
            <w:shd w:val="clear" w:color="auto" w:fill="auto"/>
            <w:noWrap/>
            <w:vAlign w:val="center"/>
            <w:hideMark/>
          </w:tcPr>
          <w:p w14:paraId="63E7A765"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59.76%</w:t>
            </w:r>
          </w:p>
        </w:tc>
      </w:tr>
      <w:tr w:rsidR="00F55A73" w:rsidRPr="00F55A73" w14:paraId="63B3E768"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2DA9E984"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Male</w:t>
            </w:r>
          </w:p>
        </w:tc>
        <w:tc>
          <w:tcPr>
            <w:tcW w:w="990" w:type="dxa"/>
            <w:tcBorders>
              <w:top w:val="nil"/>
              <w:left w:val="single" w:sz="4" w:space="0" w:color="auto"/>
              <w:bottom w:val="nil"/>
              <w:right w:val="nil"/>
            </w:tcBorders>
            <w:shd w:val="clear" w:color="auto" w:fill="auto"/>
            <w:noWrap/>
            <w:vAlign w:val="bottom"/>
            <w:hideMark/>
          </w:tcPr>
          <w:p w14:paraId="6A704345" w14:textId="77777777" w:rsidR="00F55A73" w:rsidRPr="00F55A73" w:rsidRDefault="00F55A73" w:rsidP="00F55A73">
            <w:pPr>
              <w:spacing w:after="0" w:line="240" w:lineRule="auto"/>
              <w:jc w:val="right"/>
              <w:rPr>
                <w:rFonts w:ascii="Calibri" w:eastAsia="Times New Roman" w:hAnsi="Calibri" w:cs="Calibri"/>
                <w:color w:val="000000"/>
                <w:sz w:val="22"/>
                <w:szCs w:val="22"/>
              </w:rPr>
            </w:pPr>
            <w:r w:rsidRPr="00F55A73">
              <w:rPr>
                <w:rFonts w:ascii="Calibri" w:eastAsia="Times New Roman" w:hAnsi="Calibri" w:cs="Calibri"/>
                <w:color w:val="000000"/>
                <w:sz w:val="22"/>
                <w:szCs w:val="22"/>
              </w:rPr>
              <w:t>4,971</w:t>
            </w:r>
          </w:p>
        </w:tc>
        <w:tc>
          <w:tcPr>
            <w:tcW w:w="990" w:type="dxa"/>
            <w:tcBorders>
              <w:top w:val="nil"/>
              <w:left w:val="nil"/>
              <w:bottom w:val="nil"/>
              <w:right w:val="single" w:sz="4" w:space="0" w:color="auto"/>
            </w:tcBorders>
            <w:shd w:val="clear" w:color="auto" w:fill="auto"/>
            <w:noWrap/>
            <w:vAlign w:val="center"/>
            <w:hideMark/>
          </w:tcPr>
          <w:p w14:paraId="6FD1917E"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39.54%</w:t>
            </w:r>
          </w:p>
        </w:tc>
        <w:tc>
          <w:tcPr>
            <w:tcW w:w="990" w:type="dxa"/>
            <w:gridSpan w:val="2"/>
            <w:tcBorders>
              <w:top w:val="nil"/>
              <w:left w:val="nil"/>
              <w:bottom w:val="nil"/>
              <w:right w:val="nil"/>
            </w:tcBorders>
            <w:shd w:val="clear" w:color="auto" w:fill="auto"/>
            <w:noWrap/>
            <w:vAlign w:val="center"/>
            <w:hideMark/>
          </w:tcPr>
          <w:p w14:paraId="55C79066"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5,139</w:t>
            </w:r>
          </w:p>
        </w:tc>
        <w:tc>
          <w:tcPr>
            <w:tcW w:w="900" w:type="dxa"/>
            <w:tcBorders>
              <w:top w:val="nil"/>
              <w:left w:val="nil"/>
              <w:bottom w:val="nil"/>
              <w:right w:val="single" w:sz="4" w:space="0" w:color="auto"/>
            </w:tcBorders>
            <w:shd w:val="clear" w:color="auto" w:fill="auto"/>
            <w:noWrap/>
            <w:vAlign w:val="center"/>
            <w:hideMark/>
          </w:tcPr>
          <w:p w14:paraId="63FB7C2F"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39.04%</w:t>
            </w:r>
          </w:p>
        </w:tc>
        <w:tc>
          <w:tcPr>
            <w:tcW w:w="1080" w:type="dxa"/>
            <w:gridSpan w:val="2"/>
            <w:tcBorders>
              <w:top w:val="nil"/>
              <w:left w:val="nil"/>
              <w:bottom w:val="nil"/>
              <w:right w:val="nil"/>
            </w:tcBorders>
            <w:shd w:val="clear" w:color="auto" w:fill="auto"/>
            <w:noWrap/>
            <w:vAlign w:val="center"/>
            <w:hideMark/>
          </w:tcPr>
          <w:p w14:paraId="41D7FCD4"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5,782</w:t>
            </w:r>
          </w:p>
        </w:tc>
        <w:tc>
          <w:tcPr>
            <w:tcW w:w="875" w:type="dxa"/>
            <w:tcBorders>
              <w:top w:val="nil"/>
              <w:left w:val="nil"/>
              <w:bottom w:val="nil"/>
              <w:right w:val="single" w:sz="4" w:space="0" w:color="auto"/>
            </w:tcBorders>
            <w:shd w:val="clear" w:color="auto" w:fill="auto"/>
            <w:noWrap/>
            <w:vAlign w:val="center"/>
            <w:hideMark/>
          </w:tcPr>
          <w:p w14:paraId="160B1E1F"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40.47%</w:t>
            </w:r>
          </w:p>
        </w:tc>
        <w:tc>
          <w:tcPr>
            <w:tcW w:w="1015" w:type="dxa"/>
            <w:gridSpan w:val="2"/>
            <w:tcBorders>
              <w:top w:val="nil"/>
              <w:left w:val="nil"/>
              <w:bottom w:val="nil"/>
              <w:right w:val="nil"/>
            </w:tcBorders>
            <w:shd w:val="clear" w:color="auto" w:fill="auto"/>
            <w:noWrap/>
            <w:vAlign w:val="center"/>
            <w:hideMark/>
          </w:tcPr>
          <w:p w14:paraId="438F3B37"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6,196</w:t>
            </w:r>
          </w:p>
        </w:tc>
        <w:tc>
          <w:tcPr>
            <w:tcW w:w="900" w:type="dxa"/>
            <w:tcBorders>
              <w:top w:val="nil"/>
              <w:left w:val="nil"/>
              <w:bottom w:val="nil"/>
              <w:right w:val="single" w:sz="4" w:space="0" w:color="auto"/>
            </w:tcBorders>
            <w:shd w:val="clear" w:color="auto" w:fill="auto"/>
            <w:noWrap/>
            <w:vAlign w:val="center"/>
            <w:hideMark/>
          </w:tcPr>
          <w:p w14:paraId="68DF9068"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40.24%</w:t>
            </w:r>
          </w:p>
        </w:tc>
      </w:tr>
      <w:tr w:rsidR="00F55A73" w:rsidRPr="00F55A73" w14:paraId="3A020CD4" w14:textId="77777777" w:rsidTr="002C5381">
        <w:trPr>
          <w:cantSplit/>
          <w:trHeight w:val="300"/>
        </w:trPr>
        <w:tc>
          <w:tcPr>
            <w:tcW w:w="1975" w:type="dxa"/>
            <w:tcBorders>
              <w:top w:val="nil"/>
              <w:left w:val="single" w:sz="4" w:space="0" w:color="auto"/>
              <w:bottom w:val="nil"/>
              <w:right w:val="nil"/>
            </w:tcBorders>
            <w:shd w:val="clear" w:color="000000" w:fill="C5D9F1"/>
            <w:noWrap/>
            <w:vAlign w:val="center"/>
            <w:hideMark/>
          </w:tcPr>
          <w:p w14:paraId="07C163C4" w14:textId="77777777" w:rsidR="00F55A73" w:rsidRPr="00F55A73" w:rsidRDefault="00F55A73" w:rsidP="00F55A73">
            <w:pPr>
              <w:spacing w:after="0" w:line="240" w:lineRule="auto"/>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Payer Type</w:t>
            </w:r>
          </w:p>
        </w:tc>
        <w:tc>
          <w:tcPr>
            <w:tcW w:w="990" w:type="dxa"/>
            <w:tcBorders>
              <w:top w:val="nil"/>
              <w:left w:val="single" w:sz="4" w:space="0" w:color="auto"/>
              <w:bottom w:val="nil"/>
              <w:right w:val="nil"/>
            </w:tcBorders>
            <w:shd w:val="clear" w:color="000000" w:fill="C5D9F1"/>
            <w:noWrap/>
            <w:vAlign w:val="center"/>
            <w:hideMark/>
          </w:tcPr>
          <w:p w14:paraId="211D07A8"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90" w:type="dxa"/>
            <w:tcBorders>
              <w:top w:val="nil"/>
              <w:left w:val="nil"/>
              <w:bottom w:val="nil"/>
              <w:right w:val="single" w:sz="4" w:space="0" w:color="auto"/>
            </w:tcBorders>
            <w:shd w:val="clear" w:color="000000" w:fill="C5D9F1"/>
            <w:noWrap/>
            <w:vAlign w:val="center"/>
            <w:hideMark/>
          </w:tcPr>
          <w:p w14:paraId="71BB8D5F"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90" w:type="dxa"/>
            <w:gridSpan w:val="2"/>
            <w:tcBorders>
              <w:top w:val="nil"/>
              <w:left w:val="nil"/>
              <w:bottom w:val="nil"/>
              <w:right w:val="nil"/>
            </w:tcBorders>
            <w:shd w:val="clear" w:color="000000" w:fill="C5D9F1"/>
            <w:noWrap/>
            <w:vAlign w:val="center"/>
            <w:hideMark/>
          </w:tcPr>
          <w:p w14:paraId="432B717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00" w:type="dxa"/>
            <w:tcBorders>
              <w:top w:val="nil"/>
              <w:left w:val="nil"/>
              <w:bottom w:val="nil"/>
              <w:right w:val="single" w:sz="4" w:space="0" w:color="auto"/>
            </w:tcBorders>
            <w:shd w:val="clear" w:color="000000" w:fill="C5D9F1"/>
            <w:noWrap/>
            <w:vAlign w:val="center"/>
            <w:hideMark/>
          </w:tcPr>
          <w:p w14:paraId="74ABE6AC"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1080" w:type="dxa"/>
            <w:gridSpan w:val="2"/>
            <w:tcBorders>
              <w:top w:val="nil"/>
              <w:left w:val="nil"/>
              <w:bottom w:val="nil"/>
              <w:right w:val="nil"/>
            </w:tcBorders>
            <w:shd w:val="clear" w:color="000000" w:fill="C5D9F1"/>
            <w:noWrap/>
            <w:vAlign w:val="center"/>
            <w:hideMark/>
          </w:tcPr>
          <w:p w14:paraId="01BD4089"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875" w:type="dxa"/>
            <w:tcBorders>
              <w:top w:val="nil"/>
              <w:left w:val="nil"/>
              <w:bottom w:val="nil"/>
              <w:right w:val="single" w:sz="4" w:space="0" w:color="auto"/>
            </w:tcBorders>
            <w:shd w:val="clear" w:color="000000" w:fill="C5D9F1"/>
            <w:noWrap/>
            <w:vAlign w:val="center"/>
            <w:hideMark/>
          </w:tcPr>
          <w:p w14:paraId="5461788C"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1015" w:type="dxa"/>
            <w:gridSpan w:val="2"/>
            <w:tcBorders>
              <w:top w:val="nil"/>
              <w:left w:val="nil"/>
              <w:bottom w:val="nil"/>
              <w:right w:val="nil"/>
            </w:tcBorders>
            <w:shd w:val="clear" w:color="000000" w:fill="C5D9F1"/>
            <w:noWrap/>
            <w:vAlign w:val="center"/>
            <w:hideMark/>
          </w:tcPr>
          <w:p w14:paraId="3A5A7638"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00" w:type="dxa"/>
            <w:tcBorders>
              <w:top w:val="nil"/>
              <w:left w:val="nil"/>
              <w:bottom w:val="nil"/>
              <w:right w:val="single" w:sz="4" w:space="0" w:color="auto"/>
            </w:tcBorders>
            <w:shd w:val="clear" w:color="000000" w:fill="C5D9F1"/>
            <w:noWrap/>
            <w:vAlign w:val="center"/>
            <w:hideMark/>
          </w:tcPr>
          <w:p w14:paraId="3B760747"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r>
      <w:tr w:rsidR="00F55A73" w:rsidRPr="00F55A73" w14:paraId="63E06CA1"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7BB2F947"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Commercial</w:t>
            </w:r>
          </w:p>
        </w:tc>
        <w:tc>
          <w:tcPr>
            <w:tcW w:w="990" w:type="dxa"/>
            <w:tcBorders>
              <w:top w:val="nil"/>
              <w:left w:val="single" w:sz="4" w:space="0" w:color="auto"/>
              <w:bottom w:val="nil"/>
              <w:right w:val="nil"/>
            </w:tcBorders>
            <w:shd w:val="clear" w:color="auto" w:fill="auto"/>
            <w:noWrap/>
            <w:vAlign w:val="center"/>
            <w:hideMark/>
          </w:tcPr>
          <w:p w14:paraId="1C1217F3"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7,297</w:t>
            </w:r>
          </w:p>
        </w:tc>
        <w:tc>
          <w:tcPr>
            <w:tcW w:w="990" w:type="dxa"/>
            <w:tcBorders>
              <w:top w:val="nil"/>
              <w:left w:val="nil"/>
              <w:bottom w:val="nil"/>
              <w:right w:val="single" w:sz="4" w:space="0" w:color="auto"/>
            </w:tcBorders>
            <w:shd w:val="clear" w:color="auto" w:fill="auto"/>
            <w:noWrap/>
            <w:vAlign w:val="center"/>
            <w:hideMark/>
          </w:tcPr>
          <w:p w14:paraId="7D2D823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58.04%</w:t>
            </w:r>
          </w:p>
        </w:tc>
        <w:tc>
          <w:tcPr>
            <w:tcW w:w="990" w:type="dxa"/>
            <w:gridSpan w:val="2"/>
            <w:tcBorders>
              <w:top w:val="nil"/>
              <w:left w:val="nil"/>
              <w:bottom w:val="nil"/>
              <w:right w:val="nil"/>
            </w:tcBorders>
            <w:shd w:val="clear" w:color="auto" w:fill="auto"/>
            <w:noWrap/>
            <w:vAlign w:val="center"/>
            <w:hideMark/>
          </w:tcPr>
          <w:p w14:paraId="55E8857D"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7,708</w:t>
            </w:r>
          </w:p>
        </w:tc>
        <w:tc>
          <w:tcPr>
            <w:tcW w:w="900" w:type="dxa"/>
            <w:tcBorders>
              <w:top w:val="nil"/>
              <w:left w:val="nil"/>
              <w:bottom w:val="nil"/>
              <w:right w:val="single" w:sz="4" w:space="0" w:color="auto"/>
            </w:tcBorders>
            <w:shd w:val="clear" w:color="auto" w:fill="auto"/>
            <w:noWrap/>
            <w:vAlign w:val="center"/>
            <w:hideMark/>
          </w:tcPr>
          <w:p w14:paraId="5455F7A2"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58.56%</w:t>
            </w:r>
          </w:p>
        </w:tc>
        <w:tc>
          <w:tcPr>
            <w:tcW w:w="1080" w:type="dxa"/>
            <w:gridSpan w:val="2"/>
            <w:tcBorders>
              <w:top w:val="nil"/>
              <w:left w:val="nil"/>
              <w:bottom w:val="nil"/>
              <w:right w:val="nil"/>
            </w:tcBorders>
            <w:shd w:val="clear" w:color="auto" w:fill="auto"/>
            <w:noWrap/>
            <w:vAlign w:val="center"/>
            <w:hideMark/>
          </w:tcPr>
          <w:p w14:paraId="0109D8EC"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8,013</w:t>
            </w:r>
          </w:p>
        </w:tc>
        <w:tc>
          <w:tcPr>
            <w:tcW w:w="875" w:type="dxa"/>
            <w:tcBorders>
              <w:top w:val="nil"/>
              <w:left w:val="nil"/>
              <w:bottom w:val="nil"/>
              <w:right w:val="single" w:sz="4" w:space="0" w:color="auto"/>
            </w:tcBorders>
            <w:shd w:val="clear" w:color="auto" w:fill="auto"/>
            <w:noWrap/>
            <w:vAlign w:val="center"/>
            <w:hideMark/>
          </w:tcPr>
          <w:p w14:paraId="71D38BC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56.08%</w:t>
            </w:r>
          </w:p>
        </w:tc>
        <w:tc>
          <w:tcPr>
            <w:tcW w:w="1015" w:type="dxa"/>
            <w:gridSpan w:val="2"/>
            <w:tcBorders>
              <w:top w:val="nil"/>
              <w:left w:val="nil"/>
              <w:bottom w:val="nil"/>
              <w:right w:val="nil"/>
            </w:tcBorders>
            <w:shd w:val="clear" w:color="auto" w:fill="auto"/>
            <w:noWrap/>
            <w:vAlign w:val="center"/>
            <w:hideMark/>
          </w:tcPr>
          <w:p w14:paraId="5BA569E4"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8,833</w:t>
            </w:r>
          </w:p>
        </w:tc>
        <w:tc>
          <w:tcPr>
            <w:tcW w:w="900" w:type="dxa"/>
            <w:tcBorders>
              <w:top w:val="nil"/>
              <w:left w:val="nil"/>
              <w:bottom w:val="nil"/>
              <w:right w:val="single" w:sz="4" w:space="0" w:color="auto"/>
            </w:tcBorders>
            <w:shd w:val="clear" w:color="auto" w:fill="auto"/>
            <w:noWrap/>
            <w:vAlign w:val="center"/>
            <w:hideMark/>
          </w:tcPr>
          <w:p w14:paraId="73DC4217"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57.37%</w:t>
            </w:r>
          </w:p>
        </w:tc>
      </w:tr>
      <w:tr w:rsidR="00F55A73" w:rsidRPr="00F55A73" w14:paraId="2FD6E77F"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33B45B7E"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Medicare</w:t>
            </w:r>
          </w:p>
        </w:tc>
        <w:tc>
          <w:tcPr>
            <w:tcW w:w="990" w:type="dxa"/>
            <w:tcBorders>
              <w:top w:val="nil"/>
              <w:left w:val="single" w:sz="4" w:space="0" w:color="auto"/>
              <w:bottom w:val="nil"/>
              <w:right w:val="nil"/>
            </w:tcBorders>
            <w:shd w:val="clear" w:color="auto" w:fill="auto"/>
            <w:noWrap/>
            <w:vAlign w:val="center"/>
            <w:hideMark/>
          </w:tcPr>
          <w:p w14:paraId="2926C60B"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4,266</w:t>
            </w:r>
          </w:p>
        </w:tc>
        <w:tc>
          <w:tcPr>
            <w:tcW w:w="990" w:type="dxa"/>
            <w:tcBorders>
              <w:top w:val="nil"/>
              <w:left w:val="nil"/>
              <w:bottom w:val="nil"/>
              <w:right w:val="single" w:sz="4" w:space="0" w:color="auto"/>
            </w:tcBorders>
            <w:shd w:val="clear" w:color="auto" w:fill="auto"/>
            <w:noWrap/>
            <w:vAlign w:val="center"/>
            <w:hideMark/>
          </w:tcPr>
          <w:p w14:paraId="4F886298"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33.93%</w:t>
            </w:r>
          </w:p>
        </w:tc>
        <w:tc>
          <w:tcPr>
            <w:tcW w:w="990" w:type="dxa"/>
            <w:gridSpan w:val="2"/>
            <w:tcBorders>
              <w:top w:val="nil"/>
              <w:left w:val="nil"/>
              <w:bottom w:val="nil"/>
              <w:right w:val="nil"/>
            </w:tcBorders>
            <w:shd w:val="clear" w:color="auto" w:fill="auto"/>
            <w:noWrap/>
            <w:vAlign w:val="center"/>
            <w:hideMark/>
          </w:tcPr>
          <w:p w14:paraId="3E3B4FD0"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4,201</w:t>
            </w:r>
          </w:p>
        </w:tc>
        <w:tc>
          <w:tcPr>
            <w:tcW w:w="900" w:type="dxa"/>
            <w:tcBorders>
              <w:top w:val="nil"/>
              <w:left w:val="nil"/>
              <w:bottom w:val="nil"/>
              <w:right w:val="single" w:sz="4" w:space="0" w:color="auto"/>
            </w:tcBorders>
            <w:shd w:val="clear" w:color="auto" w:fill="auto"/>
            <w:noWrap/>
            <w:vAlign w:val="center"/>
            <w:hideMark/>
          </w:tcPr>
          <w:p w14:paraId="0471BC4D"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31.92%</w:t>
            </w:r>
          </w:p>
        </w:tc>
        <w:tc>
          <w:tcPr>
            <w:tcW w:w="1080" w:type="dxa"/>
            <w:gridSpan w:val="2"/>
            <w:tcBorders>
              <w:top w:val="nil"/>
              <w:left w:val="nil"/>
              <w:bottom w:val="nil"/>
              <w:right w:val="nil"/>
            </w:tcBorders>
            <w:shd w:val="clear" w:color="auto" w:fill="auto"/>
            <w:noWrap/>
            <w:vAlign w:val="center"/>
            <w:hideMark/>
          </w:tcPr>
          <w:p w14:paraId="1A51925E"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4,800</w:t>
            </w:r>
          </w:p>
        </w:tc>
        <w:tc>
          <w:tcPr>
            <w:tcW w:w="875" w:type="dxa"/>
            <w:tcBorders>
              <w:top w:val="nil"/>
              <w:left w:val="nil"/>
              <w:bottom w:val="nil"/>
              <w:right w:val="single" w:sz="4" w:space="0" w:color="auto"/>
            </w:tcBorders>
            <w:shd w:val="clear" w:color="auto" w:fill="auto"/>
            <w:noWrap/>
            <w:vAlign w:val="center"/>
            <w:hideMark/>
          </w:tcPr>
          <w:p w14:paraId="4668E30F"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33.59%</w:t>
            </w:r>
          </w:p>
        </w:tc>
        <w:tc>
          <w:tcPr>
            <w:tcW w:w="1015" w:type="dxa"/>
            <w:gridSpan w:val="2"/>
            <w:tcBorders>
              <w:top w:val="nil"/>
              <w:left w:val="nil"/>
              <w:bottom w:val="nil"/>
              <w:right w:val="nil"/>
            </w:tcBorders>
            <w:shd w:val="clear" w:color="auto" w:fill="auto"/>
            <w:noWrap/>
            <w:vAlign w:val="center"/>
            <w:hideMark/>
          </w:tcPr>
          <w:p w14:paraId="40DB9828"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5,100</w:t>
            </w:r>
          </w:p>
        </w:tc>
        <w:tc>
          <w:tcPr>
            <w:tcW w:w="900" w:type="dxa"/>
            <w:tcBorders>
              <w:top w:val="nil"/>
              <w:left w:val="nil"/>
              <w:bottom w:val="nil"/>
              <w:right w:val="single" w:sz="4" w:space="0" w:color="auto"/>
            </w:tcBorders>
            <w:shd w:val="clear" w:color="auto" w:fill="auto"/>
            <w:noWrap/>
            <w:vAlign w:val="center"/>
            <w:hideMark/>
          </w:tcPr>
          <w:p w14:paraId="43690AFA"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33.13%</w:t>
            </w:r>
          </w:p>
        </w:tc>
      </w:tr>
      <w:tr w:rsidR="00F55A73" w:rsidRPr="00F55A73" w14:paraId="16986F3E"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627BC256"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Medicaid</w:t>
            </w:r>
          </w:p>
        </w:tc>
        <w:tc>
          <w:tcPr>
            <w:tcW w:w="990" w:type="dxa"/>
            <w:tcBorders>
              <w:top w:val="nil"/>
              <w:left w:val="single" w:sz="4" w:space="0" w:color="auto"/>
              <w:bottom w:val="nil"/>
              <w:right w:val="nil"/>
            </w:tcBorders>
            <w:shd w:val="clear" w:color="auto" w:fill="auto"/>
            <w:noWrap/>
            <w:vAlign w:val="center"/>
            <w:hideMark/>
          </w:tcPr>
          <w:p w14:paraId="40DB36DB"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1,010</w:t>
            </w:r>
          </w:p>
        </w:tc>
        <w:tc>
          <w:tcPr>
            <w:tcW w:w="990" w:type="dxa"/>
            <w:tcBorders>
              <w:top w:val="nil"/>
              <w:left w:val="nil"/>
              <w:bottom w:val="nil"/>
              <w:right w:val="single" w:sz="4" w:space="0" w:color="auto"/>
            </w:tcBorders>
            <w:shd w:val="clear" w:color="auto" w:fill="auto"/>
            <w:noWrap/>
            <w:vAlign w:val="center"/>
            <w:hideMark/>
          </w:tcPr>
          <w:p w14:paraId="34D452B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8.03%</w:t>
            </w:r>
          </w:p>
        </w:tc>
        <w:tc>
          <w:tcPr>
            <w:tcW w:w="990" w:type="dxa"/>
            <w:gridSpan w:val="2"/>
            <w:tcBorders>
              <w:top w:val="nil"/>
              <w:left w:val="nil"/>
              <w:bottom w:val="nil"/>
              <w:right w:val="nil"/>
            </w:tcBorders>
            <w:shd w:val="clear" w:color="auto" w:fill="auto"/>
            <w:noWrap/>
            <w:vAlign w:val="center"/>
            <w:hideMark/>
          </w:tcPr>
          <w:p w14:paraId="50750FB0"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1,253</w:t>
            </w:r>
          </w:p>
        </w:tc>
        <w:tc>
          <w:tcPr>
            <w:tcW w:w="900" w:type="dxa"/>
            <w:tcBorders>
              <w:top w:val="nil"/>
              <w:left w:val="nil"/>
              <w:bottom w:val="nil"/>
              <w:right w:val="single" w:sz="4" w:space="0" w:color="auto"/>
            </w:tcBorders>
            <w:shd w:val="clear" w:color="auto" w:fill="auto"/>
            <w:noWrap/>
            <w:vAlign w:val="center"/>
            <w:hideMark/>
          </w:tcPr>
          <w:p w14:paraId="35E7C667"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9.52%</w:t>
            </w:r>
          </w:p>
        </w:tc>
        <w:tc>
          <w:tcPr>
            <w:tcW w:w="1080" w:type="dxa"/>
            <w:gridSpan w:val="2"/>
            <w:tcBorders>
              <w:top w:val="nil"/>
              <w:left w:val="nil"/>
              <w:bottom w:val="nil"/>
              <w:right w:val="nil"/>
            </w:tcBorders>
            <w:shd w:val="clear" w:color="auto" w:fill="auto"/>
            <w:noWrap/>
            <w:vAlign w:val="center"/>
            <w:hideMark/>
          </w:tcPr>
          <w:p w14:paraId="17B333BD"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1,475</w:t>
            </w:r>
          </w:p>
        </w:tc>
        <w:tc>
          <w:tcPr>
            <w:tcW w:w="875" w:type="dxa"/>
            <w:tcBorders>
              <w:top w:val="nil"/>
              <w:left w:val="nil"/>
              <w:bottom w:val="nil"/>
              <w:right w:val="single" w:sz="4" w:space="0" w:color="auto"/>
            </w:tcBorders>
            <w:shd w:val="clear" w:color="auto" w:fill="auto"/>
            <w:noWrap/>
            <w:vAlign w:val="center"/>
            <w:hideMark/>
          </w:tcPr>
          <w:p w14:paraId="50D496BA"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10.32%</w:t>
            </w:r>
          </w:p>
        </w:tc>
        <w:tc>
          <w:tcPr>
            <w:tcW w:w="1015" w:type="dxa"/>
            <w:gridSpan w:val="2"/>
            <w:tcBorders>
              <w:top w:val="nil"/>
              <w:left w:val="nil"/>
              <w:bottom w:val="nil"/>
              <w:right w:val="nil"/>
            </w:tcBorders>
            <w:shd w:val="clear" w:color="auto" w:fill="auto"/>
            <w:noWrap/>
            <w:vAlign w:val="center"/>
            <w:hideMark/>
          </w:tcPr>
          <w:p w14:paraId="06A738D6"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1,463</w:t>
            </w:r>
          </w:p>
        </w:tc>
        <w:tc>
          <w:tcPr>
            <w:tcW w:w="900" w:type="dxa"/>
            <w:tcBorders>
              <w:top w:val="nil"/>
              <w:left w:val="nil"/>
              <w:bottom w:val="nil"/>
              <w:right w:val="single" w:sz="4" w:space="0" w:color="auto"/>
            </w:tcBorders>
            <w:shd w:val="clear" w:color="auto" w:fill="auto"/>
            <w:noWrap/>
            <w:vAlign w:val="center"/>
            <w:hideMark/>
          </w:tcPr>
          <w:p w14:paraId="583C265C"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9.50%</w:t>
            </w:r>
          </w:p>
        </w:tc>
      </w:tr>
      <w:tr w:rsidR="00F55A73" w:rsidRPr="00F55A73" w14:paraId="6D294EFF" w14:textId="77777777" w:rsidTr="002C5381">
        <w:trPr>
          <w:cantSplit/>
          <w:trHeight w:val="300"/>
        </w:trPr>
        <w:tc>
          <w:tcPr>
            <w:tcW w:w="1975" w:type="dxa"/>
            <w:tcBorders>
              <w:top w:val="nil"/>
              <w:left w:val="single" w:sz="4" w:space="0" w:color="auto"/>
              <w:bottom w:val="nil"/>
              <w:right w:val="nil"/>
            </w:tcBorders>
            <w:shd w:val="clear" w:color="000000" w:fill="C5D9F1"/>
            <w:noWrap/>
            <w:vAlign w:val="center"/>
            <w:hideMark/>
          </w:tcPr>
          <w:p w14:paraId="70F04C80" w14:textId="77777777" w:rsidR="00F55A73" w:rsidRPr="00F55A73" w:rsidRDefault="00F55A73" w:rsidP="00F55A73">
            <w:pPr>
              <w:spacing w:after="0" w:line="240" w:lineRule="auto"/>
              <w:rPr>
                <w:rFonts w:ascii="Calibri" w:eastAsia="Times New Roman" w:hAnsi="Calibri" w:cs="Calibri"/>
                <w:b/>
                <w:bCs/>
                <w:color w:val="000000"/>
                <w:sz w:val="22"/>
                <w:szCs w:val="22"/>
              </w:rPr>
            </w:pPr>
            <w:r w:rsidRPr="00F55A73">
              <w:rPr>
                <w:rFonts w:ascii="Calibri" w:eastAsia="Times New Roman" w:hAnsi="Calibri" w:cs="Calibri"/>
                <w:b/>
                <w:bCs/>
                <w:color w:val="000000"/>
                <w:sz w:val="22"/>
                <w:szCs w:val="22"/>
              </w:rPr>
              <w:t>Race / Ethnicity</w:t>
            </w:r>
          </w:p>
        </w:tc>
        <w:tc>
          <w:tcPr>
            <w:tcW w:w="990" w:type="dxa"/>
            <w:tcBorders>
              <w:top w:val="nil"/>
              <w:left w:val="single" w:sz="4" w:space="0" w:color="auto"/>
              <w:bottom w:val="nil"/>
              <w:right w:val="nil"/>
            </w:tcBorders>
            <w:shd w:val="clear" w:color="000000" w:fill="C5D9F1"/>
            <w:noWrap/>
            <w:vAlign w:val="center"/>
            <w:hideMark/>
          </w:tcPr>
          <w:p w14:paraId="4DB3C66E"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90" w:type="dxa"/>
            <w:tcBorders>
              <w:top w:val="nil"/>
              <w:left w:val="nil"/>
              <w:bottom w:val="nil"/>
              <w:right w:val="single" w:sz="4" w:space="0" w:color="auto"/>
            </w:tcBorders>
            <w:shd w:val="clear" w:color="000000" w:fill="C5D9F1"/>
            <w:noWrap/>
            <w:vAlign w:val="center"/>
            <w:hideMark/>
          </w:tcPr>
          <w:p w14:paraId="04D05496"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90" w:type="dxa"/>
            <w:gridSpan w:val="2"/>
            <w:tcBorders>
              <w:top w:val="nil"/>
              <w:left w:val="nil"/>
              <w:bottom w:val="nil"/>
              <w:right w:val="nil"/>
            </w:tcBorders>
            <w:shd w:val="clear" w:color="000000" w:fill="C5D9F1"/>
            <w:noWrap/>
            <w:vAlign w:val="center"/>
            <w:hideMark/>
          </w:tcPr>
          <w:p w14:paraId="4749C42D"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00" w:type="dxa"/>
            <w:tcBorders>
              <w:top w:val="nil"/>
              <w:left w:val="nil"/>
              <w:bottom w:val="nil"/>
              <w:right w:val="single" w:sz="4" w:space="0" w:color="auto"/>
            </w:tcBorders>
            <w:shd w:val="clear" w:color="000000" w:fill="C5D9F1"/>
            <w:noWrap/>
            <w:vAlign w:val="center"/>
            <w:hideMark/>
          </w:tcPr>
          <w:p w14:paraId="73F7C956"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1080" w:type="dxa"/>
            <w:gridSpan w:val="2"/>
            <w:tcBorders>
              <w:top w:val="nil"/>
              <w:left w:val="nil"/>
              <w:bottom w:val="nil"/>
              <w:right w:val="nil"/>
            </w:tcBorders>
            <w:shd w:val="clear" w:color="000000" w:fill="C5D9F1"/>
            <w:noWrap/>
            <w:vAlign w:val="center"/>
            <w:hideMark/>
          </w:tcPr>
          <w:p w14:paraId="03F3E407"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875" w:type="dxa"/>
            <w:tcBorders>
              <w:top w:val="nil"/>
              <w:left w:val="nil"/>
              <w:bottom w:val="nil"/>
              <w:right w:val="single" w:sz="4" w:space="0" w:color="auto"/>
            </w:tcBorders>
            <w:shd w:val="clear" w:color="000000" w:fill="C5D9F1"/>
            <w:noWrap/>
            <w:vAlign w:val="center"/>
            <w:hideMark/>
          </w:tcPr>
          <w:p w14:paraId="3E7F96B7"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1015" w:type="dxa"/>
            <w:gridSpan w:val="2"/>
            <w:tcBorders>
              <w:top w:val="nil"/>
              <w:left w:val="nil"/>
              <w:bottom w:val="nil"/>
              <w:right w:val="nil"/>
            </w:tcBorders>
            <w:shd w:val="clear" w:color="000000" w:fill="C5D9F1"/>
            <w:noWrap/>
            <w:vAlign w:val="center"/>
            <w:hideMark/>
          </w:tcPr>
          <w:p w14:paraId="3FC5D0D5"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c>
          <w:tcPr>
            <w:tcW w:w="900" w:type="dxa"/>
            <w:tcBorders>
              <w:top w:val="nil"/>
              <w:left w:val="nil"/>
              <w:bottom w:val="nil"/>
              <w:right w:val="single" w:sz="4" w:space="0" w:color="auto"/>
            </w:tcBorders>
            <w:shd w:val="clear" w:color="000000" w:fill="C5D9F1"/>
            <w:noWrap/>
            <w:vAlign w:val="center"/>
            <w:hideMark/>
          </w:tcPr>
          <w:p w14:paraId="22E959DE"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 </w:t>
            </w:r>
          </w:p>
        </w:tc>
      </w:tr>
      <w:tr w:rsidR="00F55A73" w:rsidRPr="00F55A73" w14:paraId="64536438"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64C87310"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Asian</w:t>
            </w:r>
          </w:p>
        </w:tc>
        <w:tc>
          <w:tcPr>
            <w:tcW w:w="990" w:type="dxa"/>
            <w:tcBorders>
              <w:top w:val="nil"/>
              <w:left w:val="single" w:sz="4" w:space="0" w:color="auto"/>
              <w:bottom w:val="nil"/>
              <w:right w:val="nil"/>
            </w:tcBorders>
            <w:shd w:val="clear" w:color="auto" w:fill="auto"/>
            <w:noWrap/>
            <w:vAlign w:val="center"/>
            <w:hideMark/>
          </w:tcPr>
          <w:p w14:paraId="78F31256"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420</w:t>
            </w:r>
          </w:p>
        </w:tc>
        <w:tc>
          <w:tcPr>
            <w:tcW w:w="990" w:type="dxa"/>
            <w:tcBorders>
              <w:top w:val="nil"/>
              <w:left w:val="nil"/>
              <w:bottom w:val="nil"/>
              <w:right w:val="single" w:sz="4" w:space="0" w:color="auto"/>
            </w:tcBorders>
            <w:shd w:val="clear" w:color="auto" w:fill="auto"/>
            <w:noWrap/>
            <w:vAlign w:val="center"/>
            <w:hideMark/>
          </w:tcPr>
          <w:p w14:paraId="2013722B"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3.34%</w:t>
            </w:r>
          </w:p>
        </w:tc>
        <w:tc>
          <w:tcPr>
            <w:tcW w:w="990" w:type="dxa"/>
            <w:gridSpan w:val="2"/>
            <w:tcBorders>
              <w:top w:val="nil"/>
              <w:left w:val="nil"/>
              <w:bottom w:val="nil"/>
              <w:right w:val="nil"/>
            </w:tcBorders>
            <w:shd w:val="clear" w:color="auto" w:fill="auto"/>
            <w:noWrap/>
            <w:vAlign w:val="center"/>
            <w:hideMark/>
          </w:tcPr>
          <w:p w14:paraId="250F9817"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478</w:t>
            </w:r>
          </w:p>
        </w:tc>
        <w:tc>
          <w:tcPr>
            <w:tcW w:w="900" w:type="dxa"/>
            <w:tcBorders>
              <w:top w:val="nil"/>
              <w:left w:val="nil"/>
              <w:bottom w:val="nil"/>
              <w:right w:val="single" w:sz="4" w:space="0" w:color="auto"/>
            </w:tcBorders>
            <w:shd w:val="clear" w:color="auto" w:fill="auto"/>
            <w:noWrap/>
            <w:vAlign w:val="center"/>
            <w:hideMark/>
          </w:tcPr>
          <w:p w14:paraId="624A743C"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3.63%</w:t>
            </w:r>
          </w:p>
        </w:tc>
        <w:tc>
          <w:tcPr>
            <w:tcW w:w="1080" w:type="dxa"/>
            <w:gridSpan w:val="2"/>
            <w:tcBorders>
              <w:top w:val="nil"/>
              <w:left w:val="nil"/>
              <w:bottom w:val="nil"/>
              <w:right w:val="nil"/>
            </w:tcBorders>
            <w:shd w:val="clear" w:color="auto" w:fill="auto"/>
            <w:noWrap/>
            <w:vAlign w:val="center"/>
            <w:hideMark/>
          </w:tcPr>
          <w:p w14:paraId="5D59FF6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629</w:t>
            </w:r>
          </w:p>
        </w:tc>
        <w:tc>
          <w:tcPr>
            <w:tcW w:w="875" w:type="dxa"/>
            <w:tcBorders>
              <w:top w:val="nil"/>
              <w:left w:val="nil"/>
              <w:bottom w:val="nil"/>
              <w:right w:val="single" w:sz="4" w:space="0" w:color="auto"/>
            </w:tcBorders>
            <w:shd w:val="clear" w:color="auto" w:fill="auto"/>
            <w:noWrap/>
            <w:vAlign w:val="center"/>
            <w:hideMark/>
          </w:tcPr>
          <w:p w14:paraId="60A7276B"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4.40%</w:t>
            </w:r>
          </w:p>
        </w:tc>
        <w:tc>
          <w:tcPr>
            <w:tcW w:w="1015" w:type="dxa"/>
            <w:gridSpan w:val="2"/>
            <w:tcBorders>
              <w:top w:val="nil"/>
              <w:left w:val="nil"/>
              <w:bottom w:val="nil"/>
              <w:right w:val="nil"/>
            </w:tcBorders>
            <w:shd w:val="clear" w:color="auto" w:fill="auto"/>
            <w:noWrap/>
            <w:vAlign w:val="center"/>
            <w:hideMark/>
          </w:tcPr>
          <w:p w14:paraId="07A02564"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630</w:t>
            </w:r>
          </w:p>
        </w:tc>
        <w:tc>
          <w:tcPr>
            <w:tcW w:w="900" w:type="dxa"/>
            <w:tcBorders>
              <w:top w:val="nil"/>
              <w:left w:val="nil"/>
              <w:bottom w:val="nil"/>
              <w:right w:val="single" w:sz="4" w:space="0" w:color="auto"/>
            </w:tcBorders>
            <w:shd w:val="clear" w:color="auto" w:fill="auto"/>
            <w:noWrap/>
            <w:vAlign w:val="center"/>
            <w:hideMark/>
          </w:tcPr>
          <w:p w14:paraId="25C727ED"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4.09%</w:t>
            </w:r>
          </w:p>
        </w:tc>
      </w:tr>
      <w:tr w:rsidR="00F55A73" w:rsidRPr="00F55A73" w14:paraId="6F29952F"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6E38B03A"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Black</w:t>
            </w:r>
          </w:p>
        </w:tc>
        <w:tc>
          <w:tcPr>
            <w:tcW w:w="990" w:type="dxa"/>
            <w:tcBorders>
              <w:top w:val="nil"/>
              <w:left w:val="single" w:sz="4" w:space="0" w:color="auto"/>
              <w:bottom w:val="nil"/>
              <w:right w:val="nil"/>
            </w:tcBorders>
            <w:shd w:val="clear" w:color="auto" w:fill="auto"/>
            <w:noWrap/>
            <w:vAlign w:val="center"/>
            <w:hideMark/>
          </w:tcPr>
          <w:p w14:paraId="0FCD92E4"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869</w:t>
            </w:r>
          </w:p>
        </w:tc>
        <w:tc>
          <w:tcPr>
            <w:tcW w:w="990" w:type="dxa"/>
            <w:tcBorders>
              <w:top w:val="nil"/>
              <w:left w:val="nil"/>
              <w:bottom w:val="nil"/>
              <w:right w:val="single" w:sz="4" w:space="0" w:color="auto"/>
            </w:tcBorders>
            <w:shd w:val="clear" w:color="auto" w:fill="auto"/>
            <w:noWrap/>
            <w:vAlign w:val="center"/>
            <w:hideMark/>
          </w:tcPr>
          <w:p w14:paraId="5C88E50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6.91%</w:t>
            </w:r>
          </w:p>
        </w:tc>
        <w:tc>
          <w:tcPr>
            <w:tcW w:w="990" w:type="dxa"/>
            <w:gridSpan w:val="2"/>
            <w:tcBorders>
              <w:top w:val="nil"/>
              <w:left w:val="nil"/>
              <w:bottom w:val="nil"/>
              <w:right w:val="nil"/>
            </w:tcBorders>
            <w:shd w:val="clear" w:color="auto" w:fill="auto"/>
            <w:noWrap/>
            <w:vAlign w:val="center"/>
            <w:hideMark/>
          </w:tcPr>
          <w:p w14:paraId="0AC64FB4"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1,046</w:t>
            </w:r>
          </w:p>
        </w:tc>
        <w:tc>
          <w:tcPr>
            <w:tcW w:w="900" w:type="dxa"/>
            <w:tcBorders>
              <w:top w:val="nil"/>
              <w:left w:val="nil"/>
              <w:bottom w:val="nil"/>
              <w:right w:val="single" w:sz="4" w:space="0" w:color="auto"/>
            </w:tcBorders>
            <w:shd w:val="clear" w:color="auto" w:fill="auto"/>
            <w:noWrap/>
            <w:vAlign w:val="center"/>
            <w:hideMark/>
          </w:tcPr>
          <w:p w14:paraId="74EC54ED"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7.95%</w:t>
            </w:r>
          </w:p>
        </w:tc>
        <w:tc>
          <w:tcPr>
            <w:tcW w:w="1080" w:type="dxa"/>
            <w:gridSpan w:val="2"/>
            <w:tcBorders>
              <w:top w:val="nil"/>
              <w:left w:val="nil"/>
              <w:bottom w:val="nil"/>
              <w:right w:val="nil"/>
            </w:tcBorders>
            <w:shd w:val="clear" w:color="auto" w:fill="auto"/>
            <w:noWrap/>
            <w:vAlign w:val="center"/>
            <w:hideMark/>
          </w:tcPr>
          <w:p w14:paraId="2982EC34"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1,049</w:t>
            </w:r>
          </w:p>
        </w:tc>
        <w:tc>
          <w:tcPr>
            <w:tcW w:w="875" w:type="dxa"/>
            <w:tcBorders>
              <w:top w:val="nil"/>
              <w:left w:val="nil"/>
              <w:bottom w:val="nil"/>
              <w:right w:val="single" w:sz="4" w:space="0" w:color="auto"/>
            </w:tcBorders>
            <w:shd w:val="clear" w:color="auto" w:fill="auto"/>
            <w:noWrap/>
            <w:vAlign w:val="center"/>
            <w:hideMark/>
          </w:tcPr>
          <w:p w14:paraId="1EAC5425"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7.34%</w:t>
            </w:r>
          </w:p>
        </w:tc>
        <w:tc>
          <w:tcPr>
            <w:tcW w:w="1015" w:type="dxa"/>
            <w:gridSpan w:val="2"/>
            <w:tcBorders>
              <w:top w:val="nil"/>
              <w:left w:val="nil"/>
              <w:bottom w:val="nil"/>
              <w:right w:val="nil"/>
            </w:tcBorders>
            <w:shd w:val="clear" w:color="auto" w:fill="auto"/>
            <w:noWrap/>
            <w:vAlign w:val="center"/>
            <w:hideMark/>
          </w:tcPr>
          <w:p w14:paraId="5424CD55"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1,101</w:t>
            </w:r>
          </w:p>
        </w:tc>
        <w:tc>
          <w:tcPr>
            <w:tcW w:w="900" w:type="dxa"/>
            <w:tcBorders>
              <w:top w:val="nil"/>
              <w:left w:val="nil"/>
              <w:bottom w:val="nil"/>
              <w:right w:val="single" w:sz="4" w:space="0" w:color="auto"/>
            </w:tcBorders>
            <w:shd w:val="clear" w:color="auto" w:fill="auto"/>
            <w:noWrap/>
            <w:vAlign w:val="center"/>
            <w:hideMark/>
          </w:tcPr>
          <w:p w14:paraId="22E61112"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7.15%</w:t>
            </w:r>
          </w:p>
        </w:tc>
      </w:tr>
      <w:tr w:rsidR="00F55A73" w:rsidRPr="00F55A73" w14:paraId="1E17AEA9"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294D2E60"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Caucasian</w:t>
            </w:r>
          </w:p>
        </w:tc>
        <w:tc>
          <w:tcPr>
            <w:tcW w:w="990" w:type="dxa"/>
            <w:tcBorders>
              <w:top w:val="nil"/>
              <w:left w:val="single" w:sz="4" w:space="0" w:color="auto"/>
              <w:bottom w:val="nil"/>
              <w:right w:val="nil"/>
            </w:tcBorders>
            <w:shd w:val="clear" w:color="auto" w:fill="auto"/>
            <w:noWrap/>
            <w:vAlign w:val="center"/>
            <w:hideMark/>
          </w:tcPr>
          <w:p w14:paraId="10F8EDEC"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9,933</w:t>
            </w:r>
          </w:p>
        </w:tc>
        <w:tc>
          <w:tcPr>
            <w:tcW w:w="990" w:type="dxa"/>
            <w:tcBorders>
              <w:top w:val="nil"/>
              <w:left w:val="nil"/>
              <w:bottom w:val="nil"/>
              <w:right w:val="single" w:sz="4" w:space="0" w:color="auto"/>
            </w:tcBorders>
            <w:shd w:val="clear" w:color="auto" w:fill="auto"/>
            <w:noWrap/>
            <w:vAlign w:val="center"/>
            <w:hideMark/>
          </w:tcPr>
          <w:p w14:paraId="38CC306E"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79.00%</w:t>
            </w:r>
          </w:p>
        </w:tc>
        <w:tc>
          <w:tcPr>
            <w:tcW w:w="990" w:type="dxa"/>
            <w:gridSpan w:val="2"/>
            <w:tcBorders>
              <w:top w:val="nil"/>
              <w:left w:val="nil"/>
              <w:bottom w:val="nil"/>
              <w:right w:val="nil"/>
            </w:tcBorders>
            <w:shd w:val="clear" w:color="auto" w:fill="auto"/>
            <w:noWrap/>
            <w:vAlign w:val="center"/>
            <w:hideMark/>
          </w:tcPr>
          <w:p w14:paraId="0C6AC08F"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10,244</w:t>
            </w:r>
          </w:p>
        </w:tc>
        <w:tc>
          <w:tcPr>
            <w:tcW w:w="900" w:type="dxa"/>
            <w:tcBorders>
              <w:top w:val="nil"/>
              <w:left w:val="nil"/>
              <w:bottom w:val="nil"/>
              <w:right w:val="single" w:sz="4" w:space="0" w:color="auto"/>
            </w:tcBorders>
            <w:shd w:val="clear" w:color="auto" w:fill="auto"/>
            <w:noWrap/>
            <w:vAlign w:val="center"/>
            <w:hideMark/>
          </w:tcPr>
          <w:p w14:paraId="7669E432"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77.83%</w:t>
            </w:r>
          </w:p>
        </w:tc>
        <w:tc>
          <w:tcPr>
            <w:tcW w:w="1080" w:type="dxa"/>
            <w:gridSpan w:val="2"/>
            <w:tcBorders>
              <w:top w:val="nil"/>
              <w:left w:val="nil"/>
              <w:bottom w:val="nil"/>
              <w:right w:val="nil"/>
            </w:tcBorders>
            <w:shd w:val="clear" w:color="auto" w:fill="auto"/>
            <w:noWrap/>
            <w:vAlign w:val="center"/>
            <w:hideMark/>
          </w:tcPr>
          <w:p w14:paraId="57643F7C"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11,037</w:t>
            </w:r>
          </w:p>
        </w:tc>
        <w:tc>
          <w:tcPr>
            <w:tcW w:w="875" w:type="dxa"/>
            <w:tcBorders>
              <w:top w:val="nil"/>
              <w:left w:val="nil"/>
              <w:bottom w:val="nil"/>
              <w:right w:val="single" w:sz="4" w:space="0" w:color="auto"/>
            </w:tcBorders>
            <w:shd w:val="clear" w:color="auto" w:fill="auto"/>
            <w:noWrap/>
            <w:vAlign w:val="center"/>
            <w:hideMark/>
          </w:tcPr>
          <w:p w14:paraId="3BE4527C"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77.25%</w:t>
            </w:r>
          </w:p>
        </w:tc>
        <w:tc>
          <w:tcPr>
            <w:tcW w:w="1015" w:type="dxa"/>
            <w:gridSpan w:val="2"/>
            <w:tcBorders>
              <w:top w:val="nil"/>
              <w:left w:val="nil"/>
              <w:bottom w:val="nil"/>
              <w:right w:val="nil"/>
            </w:tcBorders>
            <w:shd w:val="clear" w:color="auto" w:fill="auto"/>
            <w:noWrap/>
            <w:vAlign w:val="center"/>
            <w:hideMark/>
          </w:tcPr>
          <w:p w14:paraId="413D421A"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11,974</w:t>
            </w:r>
          </w:p>
        </w:tc>
        <w:tc>
          <w:tcPr>
            <w:tcW w:w="900" w:type="dxa"/>
            <w:tcBorders>
              <w:top w:val="nil"/>
              <w:left w:val="nil"/>
              <w:bottom w:val="nil"/>
              <w:right w:val="single" w:sz="4" w:space="0" w:color="auto"/>
            </w:tcBorders>
            <w:shd w:val="clear" w:color="auto" w:fill="auto"/>
            <w:noWrap/>
            <w:vAlign w:val="center"/>
            <w:hideMark/>
          </w:tcPr>
          <w:p w14:paraId="661DBE3A"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77.77%</w:t>
            </w:r>
          </w:p>
        </w:tc>
      </w:tr>
      <w:tr w:rsidR="00F55A73" w:rsidRPr="00F55A73" w14:paraId="7D6C8D3E"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0D9438FA"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Hispanic</w:t>
            </w:r>
          </w:p>
        </w:tc>
        <w:tc>
          <w:tcPr>
            <w:tcW w:w="990" w:type="dxa"/>
            <w:tcBorders>
              <w:top w:val="nil"/>
              <w:left w:val="single" w:sz="4" w:space="0" w:color="auto"/>
              <w:bottom w:val="nil"/>
              <w:right w:val="nil"/>
            </w:tcBorders>
            <w:shd w:val="clear" w:color="auto" w:fill="auto"/>
            <w:noWrap/>
            <w:vAlign w:val="center"/>
            <w:hideMark/>
          </w:tcPr>
          <w:p w14:paraId="0A5A8F69"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427</w:t>
            </w:r>
          </w:p>
        </w:tc>
        <w:tc>
          <w:tcPr>
            <w:tcW w:w="990" w:type="dxa"/>
            <w:tcBorders>
              <w:top w:val="nil"/>
              <w:left w:val="nil"/>
              <w:bottom w:val="nil"/>
              <w:right w:val="single" w:sz="4" w:space="0" w:color="auto"/>
            </w:tcBorders>
            <w:shd w:val="clear" w:color="auto" w:fill="auto"/>
            <w:noWrap/>
            <w:vAlign w:val="center"/>
            <w:hideMark/>
          </w:tcPr>
          <w:p w14:paraId="4F3C78A6"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3.40%</w:t>
            </w:r>
          </w:p>
        </w:tc>
        <w:tc>
          <w:tcPr>
            <w:tcW w:w="990" w:type="dxa"/>
            <w:gridSpan w:val="2"/>
            <w:tcBorders>
              <w:top w:val="nil"/>
              <w:left w:val="nil"/>
              <w:bottom w:val="nil"/>
              <w:right w:val="nil"/>
            </w:tcBorders>
            <w:shd w:val="clear" w:color="auto" w:fill="auto"/>
            <w:noWrap/>
            <w:vAlign w:val="center"/>
            <w:hideMark/>
          </w:tcPr>
          <w:p w14:paraId="5DED5969"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550</w:t>
            </w:r>
          </w:p>
        </w:tc>
        <w:tc>
          <w:tcPr>
            <w:tcW w:w="900" w:type="dxa"/>
            <w:tcBorders>
              <w:top w:val="nil"/>
              <w:left w:val="nil"/>
              <w:bottom w:val="nil"/>
              <w:right w:val="single" w:sz="4" w:space="0" w:color="auto"/>
            </w:tcBorders>
            <w:shd w:val="clear" w:color="auto" w:fill="auto"/>
            <w:noWrap/>
            <w:vAlign w:val="center"/>
            <w:hideMark/>
          </w:tcPr>
          <w:p w14:paraId="758BFA9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4.18%</w:t>
            </w:r>
          </w:p>
        </w:tc>
        <w:tc>
          <w:tcPr>
            <w:tcW w:w="1080" w:type="dxa"/>
            <w:gridSpan w:val="2"/>
            <w:tcBorders>
              <w:top w:val="nil"/>
              <w:left w:val="nil"/>
              <w:bottom w:val="nil"/>
              <w:right w:val="nil"/>
            </w:tcBorders>
            <w:shd w:val="clear" w:color="auto" w:fill="auto"/>
            <w:noWrap/>
            <w:vAlign w:val="center"/>
            <w:hideMark/>
          </w:tcPr>
          <w:p w14:paraId="16187C52"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636</w:t>
            </w:r>
          </w:p>
        </w:tc>
        <w:tc>
          <w:tcPr>
            <w:tcW w:w="875" w:type="dxa"/>
            <w:tcBorders>
              <w:top w:val="nil"/>
              <w:left w:val="nil"/>
              <w:bottom w:val="nil"/>
              <w:right w:val="single" w:sz="4" w:space="0" w:color="auto"/>
            </w:tcBorders>
            <w:shd w:val="clear" w:color="auto" w:fill="auto"/>
            <w:noWrap/>
            <w:vAlign w:val="center"/>
            <w:hideMark/>
          </w:tcPr>
          <w:p w14:paraId="44662224"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4.45%</w:t>
            </w:r>
          </w:p>
        </w:tc>
        <w:tc>
          <w:tcPr>
            <w:tcW w:w="1015" w:type="dxa"/>
            <w:gridSpan w:val="2"/>
            <w:tcBorders>
              <w:top w:val="nil"/>
              <w:left w:val="nil"/>
              <w:bottom w:val="nil"/>
              <w:right w:val="nil"/>
            </w:tcBorders>
            <w:shd w:val="clear" w:color="auto" w:fill="auto"/>
            <w:noWrap/>
            <w:vAlign w:val="center"/>
            <w:hideMark/>
          </w:tcPr>
          <w:p w14:paraId="1D389C71"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699</w:t>
            </w:r>
          </w:p>
        </w:tc>
        <w:tc>
          <w:tcPr>
            <w:tcW w:w="900" w:type="dxa"/>
            <w:tcBorders>
              <w:top w:val="nil"/>
              <w:left w:val="nil"/>
              <w:bottom w:val="nil"/>
              <w:right w:val="single" w:sz="4" w:space="0" w:color="auto"/>
            </w:tcBorders>
            <w:shd w:val="clear" w:color="auto" w:fill="auto"/>
            <w:noWrap/>
            <w:vAlign w:val="center"/>
            <w:hideMark/>
          </w:tcPr>
          <w:p w14:paraId="1FD65AF8"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4.54%</w:t>
            </w:r>
          </w:p>
        </w:tc>
      </w:tr>
      <w:tr w:rsidR="00F55A73" w:rsidRPr="00F55A73" w14:paraId="5046EDD4"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487389B8"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Native American</w:t>
            </w:r>
          </w:p>
        </w:tc>
        <w:tc>
          <w:tcPr>
            <w:tcW w:w="990" w:type="dxa"/>
            <w:tcBorders>
              <w:top w:val="nil"/>
              <w:left w:val="single" w:sz="4" w:space="0" w:color="auto"/>
              <w:bottom w:val="nil"/>
              <w:right w:val="nil"/>
            </w:tcBorders>
            <w:shd w:val="clear" w:color="auto" w:fill="auto"/>
            <w:noWrap/>
            <w:vAlign w:val="center"/>
            <w:hideMark/>
          </w:tcPr>
          <w:p w14:paraId="13773DF9"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31</w:t>
            </w:r>
          </w:p>
        </w:tc>
        <w:tc>
          <w:tcPr>
            <w:tcW w:w="990" w:type="dxa"/>
            <w:tcBorders>
              <w:top w:val="nil"/>
              <w:left w:val="nil"/>
              <w:bottom w:val="nil"/>
              <w:right w:val="single" w:sz="4" w:space="0" w:color="auto"/>
            </w:tcBorders>
            <w:shd w:val="clear" w:color="auto" w:fill="auto"/>
            <w:noWrap/>
            <w:vAlign w:val="center"/>
            <w:hideMark/>
          </w:tcPr>
          <w:p w14:paraId="60914309"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0.25%</w:t>
            </w:r>
          </w:p>
        </w:tc>
        <w:tc>
          <w:tcPr>
            <w:tcW w:w="990" w:type="dxa"/>
            <w:gridSpan w:val="2"/>
            <w:tcBorders>
              <w:top w:val="nil"/>
              <w:left w:val="nil"/>
              <w:bottom w:val="nil"/>
              <w:right w:val="nil"/>
            </w:tcBorders>
            <w:shd w:val="clear" w:color="auto" w:fill="auto"/>
            <w:noWrap/>
            <w:vAlign w:val="center"/>
            <w:hideMark/>
          </w:tcPr>
          <w:p w14:paraId="3FC59858"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36</w:t>
            </w:r>
          </w:p>
        </w:tc>
        <w:tc>
          <w:tcPr>
            <w:tcW w:w="900" w:type="dxa"/>
            <w:tcBorders>
              <w:top w:val="nil"/>
              <w:left w:val="nil"/>
              <w:bottom w:val="nil"/>
              <w:right w:val="single" w:sz="4" w:space="0" w:color="auto"/>
            </w:tcBorders>
            <w:shd w:val="clear" w:color="auto" w:fill="auto"/>
            <w:noWrap/>
            <w:vAlign w:val="center"/>
            <w:hideMark/>
          </w:tcPr>
          <w:p w14:paraId="1A724D46"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0.27%</w:t>
            </w:r>
          </w:p>
        </w:tc>
        <w:tc>
          <w:tcPr>
            <w:tcW w:w="1080" w:type="dxa"/>
            <w:gridSpan w:val="2"/>
            <w:tcBorders>
              <w:top w:val="nil"/>
              <w:left w:val="nil"/>
              <w:bottom w:val="nil"/>
              <w:right w:val="nil"/>
            </w:tcBorders>
            <w:shd w:val="clear" w:color="auto" w:fill="auto"/>
            <w:noWrap/>
            <w:vAlign w:val="center"/>
            <w:hideMark/>
          </w:tcPr>
          <w:p w14:paraId="2E0B4016"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41</w:t>
            </w:r>
          </w:p>
        </w:tc>
        <w:tc>
          <w:tcPr>
            <w:tcW w:w="875" w:type="dxa"/>
            <w:tcBorders>
              <w:top w:val="nil"/>
              <w:left w:val="nil"/>
              <w:bottom w:val="nil"/>
              <w:right w:val="single" w:sz="4" w:space="0" w:color="auto"/>
            </w:tcBorders>
            <w:shd w:val="clear" w:color="auto" w:fill="auto"/>
            <w:noWrap/>
            <w:vAlign w:val="center"/>
            <w:hideMark/>
          </w:tcPr>
          <w:p w14:paraId="00A654AD"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0.29%</w:t>
            </w:r>
          </w:p>
        </w:tc>
        <w:tc>
          <w:tcPr>
            <w:tcW w:w="1015" w:type="dxa"/>
            <w:gridSpan w:val="2"/>
            <w:tcBorders>
              <w:top w:val="nil"/>
              <w:left w:val="nil"/>
              <w:bottom w:val="nil"/>
              <w:right w:val="nil"/>
            </w:tcBorders>
            <w:shd w:val="clear" w:color="auto" w:fill="auto"/>
            <w:noWrap/>
            <w:vAlign w:val="center"/>
            <w:hideMark/>
          </w:tcPr>
          <w:p w14:paraId="080B2BAC"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41</w:t>
            </w:r>
          </w:p>
        </w:tc>
        <w:tc>
          <w:tcPr>
            <w:tcW w:w="900" w:type="dxa"/>
            <w:tcBorders>
              <w:top w:val="nil"/>
              <w:left w:val="nil"/>
              <w:bottom w:val="nil"/>
              <w:right w:val="single" w:sz="4" w:space="0" w:color="auto"/>
            </w:tcBorders>
            <w:shd w:val="clear" w:color="auto" w:fill="auto"/>
            <w:noWrap/>
            <w:vAlign w:val="center"/>
            <w:hideMark/>
          </w:tcPr>
          <w:p w14:paraId="2F970927"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0.27%</w:t>
            </w:r>
          </w:p>
        </w:tc>
      </w:tr>
      <w:tr w:rsidR="00F55A73" w:rsidRPr="00F55A73" w14:paraId="6F24F681" w14:textId="77777777" w:rsidTr="002C5381">
        <w:trPr>
          <w:cantSplit/>
          <w:trHeight w:val="300"/>
        </w:trPr>
        <w:tc>
          <w:tcPr>
            <w:tcW w:w="1975" w:type="dxa"/>
            <w:tcBorders>
              <w:top w:val="nil"/>
              <w:left w:val="single" w:sz="4" w:space="0" w:color="auto"/>
              <w:bottom w:val="nil"/>
              <w:right w:val="nil"/>
            </w:tcBorders>
            <w:shd w:val="clear" w:color="auto" w:fill="auto"/>
            <w:noWrap/>
            <w:vAlign w:val="center"/>
            <w:hideMark/>
          </w:tcPr>
          <w:p w14:paraId="4C1EB93E"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Other</w:t>
            </w:r>
          </w:p>
        </w:tc>
        <w:tc>
          <w:tcPr>
            <w:tcW w:w="990" w:type="dxa"/>
            <w:tcBorders>
              <w:top w:val="nil"/>
              <w:left w:val="single" w:sz="4" w:space="0" w:color="auto"/>
              <w:bottom w:val="nil"/>
              <w:right w:val="nil"/>
            </w:tcBorders>
            <w:shd w:val="clear" w:color="auto" w:fill="auto"/>
            <w:noWrap/>
            <w:vAlign w:val="center"/>
            <w:hideMark/>
          </w:tcPr>
          <w:p w14:paraId="51B54BCD"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175</w:t>
            </w:r>
          </w:p>
        </w:tc>
        <w:tc>
          <w:tcPr>
            <w:tcW w:w="990" w:type="dxa"/>
            <w:tcBorders>
              <w:top w:val="nil"/>
              <w:left w:val="nil"/>
              <w:bottom w:val="nil"/>
              <w:right w:val="single" w:sz="4" w:space="0" w:color="auto"/>
            </w:tcBorders>
            <w:shd w:val="clear" w:color="auto" w:fill="auto"/>
            <w:noWrap/>
            <w:vAlign w:val="center"/>
            <w:hideMark/>
          </w:tcPr>
          <w:p w14:paraId="3329CDDE"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1.39%</w:t>
            </w:r>
          </w:p>
        </w:tc>
        <w:tc>
          <w:tcPr>
            <w:tcW w:w="990" w:type="dxa"/>
            <w:gridSpan w:val="2"/>
            <w:tcBorders>
              <w:top w:val="nil"/>
              <w:left w:val="nil"/>
              <w:bottom w:val="nil"/>
              <w:right w:val="nil"/>
            </w:tcBorders>
            <w:shd w:val="clear" w:color="auto" w:fill="auto"/>
            <w:noWrap/>
            <w:vAlign w:val="center"/>
            <w:hideMark/>
          </w:tcPr>
          <w:p w14:paraId="65CB81AE"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197</w:t>
            </w:r>
          </w:p>
        </w:tc>
        <w:tc>
          <w:tcPr>
            <w:tcW w:w="900" w:type="dxa"/>
            <w:tcBorders>
              <w:top w:val="nil"/>
              <w:left w:val="nil"/>
              <w:bottom w:val="nil"/>
              <w:right w:val="single" w:sz="4" w:space="0" w:color="auto"/>
            </w:tcBorders>
            <w:shd w:val="clear" w:color="auto" w:fill="auto"/>
            <w:noWrap/>
            <w:vAlign w:val="center"/>
            <w:hideMark/>
          </w:tcPr>
          <w:p w14:paraId="4B3AEDB7"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1.50%</w:t>
            </w:r>
          </w:p>
        </w:tc>
        <w:tc>
          <w:tcPr>
            <w:tcW w:w="1080" w:type="dxa"/>
            <w:gridSpan w:val="2"/>
            <w:tcBorders>
              <w:top w:val="nil"/>
              <w:left w:val="nil"/>
              <w:bottom w:val="nil"/>
              <w:right w:val="nil"/>
            </w:tcBorders>
            <w:shd w:val="clear" w:color="auto" w:fill="auto"/>
            <w:noWrap/>
            <w:vAlign w:val="center"/>
            <w:hideMark/>
          </w:tcPr>
          <w:p w14:paraId="2EBE68D6"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180</w:t>
            </w:r>
          </w:p>
        </w:tc>
        <w:tc>
          <w:tcPr>
            <w:tcW w:w="875" w:type="dxa"/>
            <w:tcBorders>
              <w:top w:val="nil"/>
              <w:left w:val="nil"/>
              <w:bottom w:val="nil"/>
              <w:right w:val="single" w:sz="4" w:space="0" w:color="auto"/>
            </w:tcBorders>
            <w:shd w:val="clear" w:color="auto" w:fill="auto"/>
            <w:noWrap/>
            <w:vAlign w:val="center"/>
            <w:hideMark/>
          </w:tcPr>
          <w:p w14:paraId="59C8AE09"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1.26%</w:t>
            </w:r>
          </w:p>
        </w:tc>
        <w:tc>
          <w:tcPr>
            <w:tcW w:w="1015" w:type="dxa"/>
            <w:gridSpan w:val="2"/>
            <w:tcBorders>
              <w:top w:val="nil"/>
              <w:left w:val="nil"/>
              <w:bottom w:val="nil"/>
              <w:right w:val="nil"/>
            </w:tcBorders>
            <w:shd w:val="clear" w:color="auto" w:fill="auto"/>
            <w:noWrap/>
            <w:vAlign w:val="center"/>
            <w:hideMark/>
          </w:tcPr>
          <w:p w14:paraId="02C97660"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197</w:t>
            </w:r>
          </w:p>
        </w:tc>
        <w:tc>
          <w:tcPr>
            <w:tcW w:w="900" w:type="dxa"/>
            <w:tcBorders>
              <w:top w:val="nil"/>
              <w:left w:val="nil"/>
              <w:bottom w:val="nil"/>
              <w:right w:val="single" w:sz="4" w:space="0" w:color="auto"/>
            </w:tcBorders>
            <w:shd w:val="clear" w:color="auto" w:fill="auto"/>
            <w:noWrap/>
            <w:vAlign w:val="center"/>
            <w:hideMark/>
          </w:tcPr>
          <w:p w14:paraId="05CEF1F5"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1.28%</w:t>
            </w:r>
          </w:p>
        </w:tc>
      </w:tr>
      <w:tr w:rsidR="00F55A73" w:rsidRPr="00F55A73" w14:paraId="6C121217" w14:textId="77777777" w:rsidTr="002C5381">
        <w:trPr>
          <w:cantSplit/>
          <w:trHeight w:val="300"/>
        </w:trPr>
        <w:tc>
          <w:tcPr>
            <w:tcW w:w="1975" w:type="dxa"/>
            <w:tcBorders>
              <w:top w:val="nil"/>
              <w:left w:val="single" w:sz="4" w:space="0" w:color="auto"/>
              <w:bottom w:val="single" w:sz="4" w:space="0" w:color="auto"/>
              <w:right w:val="nil"/>
            </w:tcBorders>
            <w:shd w:val="clear" w:color="auto" w:fill="auto"/>
            <w:noWrap/>
            <w:vAlign w:val="center"/>
            <w:hideMark/>
          </w:tcPr>
          <w:p w14:paraId="7811B407" w14:textId="77777777" w:rsidR="00F55A73" w:rsidRPr="00F55A73" w:rsidRDefault="00F55A73" w:rsidP="00F55A73">
            <w:pPr>
              <w:spacing w:after="0" w:line="240" w:lineRule="auto"/>
              <w:rPr>
                <w:rFonts w:ascii="Calibri" w:eastAsia="Times New Roman" w:hAnsi="Calibri" w:cs="Calibri"/>
                <w:color w:val="000000"/>
                <w:sz w:val="22"/>
                <w:szCs w:val="22"/>
              </w:rPr>
            </w:pPr>
            <w:r w:rsidRPr="00F55A73">
              <w:rPr>
                <w:rFonts w:ascii="Calibri" w:eastAsia="Times New Roman" w:hAnsi="Calibri" w:cs="Calibri"/>
                <w:color w:val="000000"/>
                <w:sz w:val="22"/>
                <w:szCs w:val="22"/>
              </w:rPr>
              <w:t>Declined</w:t>
            </w:r>
          </w:p>
        </w:tc>
        <w:tc>
          <w:tcPr>
            <w:tcW w:w="990" w:type="dxa"/>
            <w:tcBorders>
              <w:top w:val="nil"/>
              <w:left w:val="single" w:sz="4" w:space="0" w:color="auto"/>
              <w:bottom w:val="single" w:sz="4" w:space="0" w:color="auto"/>
              <w:right w:val="nil"/>
            </w:tcBorders>
            <w:shd w:val="clear" w:color="auto" w:fill="auto"/>
            <w:noWrap/>
            <w:vAlign w:val="center"/>
            <w:hideMark/>
          </w:tcPr>
          <w:p w14:paraId="5A34674E"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718</w:t>
            </w:r>
          </w:p>
        </w:tc>
        <w:tc>
          <w:tcPr>
            <w:tcW w:w="990" w:type="dxa"/>
            <w:tcBorders>
              <w:top w:val="nil"/>
              <w:left w:val="nil"/>
              <w:bottom w:val="single" w:sz="4" w:space="0" w:color="auto"/>
              <w:right w:val="single" w:sz="4" w:space="0" w:color="auto"/>
            </w:tcBorders>
            <w:shd w:val="clear" w:color="auto" w:fill="auto"/>
            <w:noWrap/>
            <w:vAlign w:val="center"/>
            <w:hideMark/>
          </w:tcPr>
          <w:p w14:paraId="276BF16E"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5.71%</w:t>
            </w:r>
          </w:p>
        </w:tc>
        <w:tc>
          <w:tcPr>
            <w:tcW w:w="990" w:type="dxa"/>
            <w:gridSpan w:val="2"/>
            <w:tcBorders>
              <w:top w:val="nil"/>
              <w:left w:val="nil"/>
              <w:bottom w:val="single" w:sz="4" w:space="0" w:color="auto"/>
              <w:right w:val="nil"/>
            </w:tcBorders>
            <w:shd w:val="clear" w:color="auto" w:fill="auto"/>
            <w:noWrap/>
            <w:vAlign w:val="center"/>
            <w:hideMark/>
          </w:tcPr>
          <w:p w14:paraId="7319D77C"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611</w:t>
            </w:r>
          </w:p>
        </w:tc>
        <w:tc>
          <w:tcPr>
            <w:tcW w:w="900" w:type="dxa"/>
            <w:tcBorders>
              <w:top w:val="nil"/>
              <w:left w:val="nil"/>
              <w:bottom w:val="single" w:sz="4" w:space="0" w:color="auto"/>
              <w:right w:val="single" w:sz="4" w:space="0" w:color="auto"/>
            </w:tcBorders>
            <w:shd w:val="clear" w:color="auto" w:fill="auto"/>
            <w:noWrap/>
            <w:vAlign w:val="center"/>
            <w:hideMark/>
          </w:tcPr>
          <w:p w14:paraId="416C97AC"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4.64%</w:t>
            </w:r>
          </w:p>
        </w:tc>
        <w:tc>
          <w:tcPr>
            <w:tcW w:w="1080" w:type="dxa"/>
            <w:gridSpan w:val="2"/>
            <w:tcBorders>
              <w:top w:val="nil"/>
              <w:left w:val="nil"/>
              <w:bottom w:val="single" w:sz="4" w:space="0" w:color="auto"/>
              <w:right w:val="nil"/>
            </w:tcBorders>
            <w:shd w:val="clear" w:color="auto" w:fill="auto"/>
            <w:noWrap/>
            <w:vAlign w:val="center"/>
            <w:hideMark/>
          </w:tcPr>
          <w:p w14:paraId="7E03836A"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716</w:t>
            </w:r>
          </w:p>
        </w:tc>
        <w:tc>
          <w:tcPr>
            <w:tcW w:w="875" w:type="dxa"/>
            <w:tcBorders>
              <w:top w:val="nil"/>
              <w:left w:val="nil"/>
              <w:bottom w:val="single" w:sz="4" w:space="0" w:color="auto"/>
              <w:right w:val="single" w:sz="4" w:space="0" w:color="auto"/>
            </w:tcBorders>
            <w:shd w:val="clear" w:color="auto" w:fill="auto"/>
            <w:noWrap/>
            <w:vAlign w:val="center"/>
            <w:hideMark/>
          </w:tcPr>
          <w:p w14:paraId="67D562DB"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5.01%</w:t>
            </w:r>
          </w:p>
        </w:tc>
        <w:tc>
          <w:tcPr>
            <w:tcW w:w="1015" w:type="dxa"/>
            <w:gridSpan w:val="2"/>
            <w:tcBorders>
              <w:top w:val="nil"/>
              <w:left w:val="nil"/>
              <w:bottom w:val="single" w:sz="4" w:space="0" w:color="auto"/>
              <w:right w:val="nil"/>
            </w:tcBorders>
            <w:shd w:val="clear" w:color="auto" w:fill="auto"/>
            <w:noWrap/>
            <w:vAlign w:val="center"/>
            <w:hideMark/>
          </w:tcPr>
          <w:p w14:paraId="003E5463"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754</w:t>
            </w:r>
          </w:p>
        </w:tc>
        <w:tc>
          <w:tcPr>
            <w:tcW w:w="900" w:type="dxa"/>
            <w:tcBorders>
              <w:top w:val="nil"/>
              <w:left w:val="nil"/>
              <w:bottom w:val="single" w:sz="4" w:space="0" w:color="auto"/>
              <w:right w:val="single" w:sz="4" w:space="0" w:color="auto"/>
            </w:tcBorders>
            <w:shd w:val="clear" w:color="auto" w:fill="auto"/>
            <w:noWrap/>
            <w:vAlign w:val="center"/>
            <w:hideMark/>
          </w:tcPr>
          <w:p w14:paraId="723811DC" w14:textId="77777777" w:rsidR="00F55A73" w:rsidRPr="00F55A73" w:rsidRDefault="00F55A73" w:rsidP="00F55A73">
            <w:pPr>
              <w:spacing w:after="0" w:line="240" w:lineRule="auto"/>
              <w:jc w:val="center"/>
              <w:rPr>
                <w:rFonts w:ascii="Calibri" w:eastAsia="Times New Roman" w:hAnsi="Calibri" w:cs="Calibri"/>
                <w:color w:val="000000"/>
                <w:sz w:val="22"/>
                <w:szCs w:val="22"/>
              </w:rPr>
            </w:pPr>
            <w:r w:rsidRPr="00F55A73">
              <w:rPr>
                <w:rFonts w:ascii="Calibri" w:eastAsia="Times New Roman" w:hAnsi="Calibri" w:cs="Calibri"/>
                <w:color w:val="000000"/>
                <w:sz w:val="22"/>
                <w:szCs w:val="22"/>
              </w:rPr>
              <w:t>4.90%</w:t>
            </w:r>
          </w:p>
        </w:tc>
      </w:tr>
    </w:tbl>
    <w:p w14:paraId="2F57F60B" w14:textId="77777777" w:rsidR="00F55A73" w:rsidRPr="00AC5267" w:rsidRDefault="00F55A73" w:rsidP="00AC5267">
      <w:pPr>
        <w:pStyle w:val="ListParagraph"/>
        <w:spacing w:after="0" w:line="240" w:lineRule="auto"/>
        <w:rPr>
          <w:rFonts w:ascii="Calibri" w:hAnsi="Calibri" w:cs="Calibri"/>
          <w:color w:val="FF0000"/>
        </w:rPr>
      </w:pPr>
    </w:p>
    <w:p w14:paraId="4BE6CAD0" w14:textId="7BEE43CA" w:rsidR="00AC461C" w:rsidRPr="005726AC" w:rsidRDefault="00AC461C" w:rsidP="00AC5267">
      <w:pPr>
        <w:pStyle w:val="ListParagraph"/>
        <w:spacing w:after="0" w:line="240" w:lineRule="auto"/>
        <w:rPr>
          <w:rFonts w:ascii="Calibri" w:hAnsi="Calibri" w:cs="Calibri"/>
        </w:rPr>
      </w:pPr>
      <w:r w:rsidRPr="005726AC">
        <w:rPr>
          <w:rFonts w:ascii="Calibri" w:hAnsi="Calibri" w:cs="Calibri"/>
        </w:rPr>
        <w:tab/>
      </w:r>
      <w:r w:rsidRPr="005726AC">
        <w:rPr>
          <w:rFonts w:ascii="Calibri" w:hAnsi="Calibri" w:cs="Calibri"/>
        </w:rPr>
        <w:tab/>
      </w:r>
      <w:r w:rsidRPr="005726AC">
        <w:rPr>
          <w:rFonts w:ascii="Calibri" w:hAnsi="Calibri" w:cs="Calibri"/>
        </w:rPr>
        <w:tab/>
      </w:r>
      <w:r w:rsidRPr="005726AC">
        <w:rPr>
          <w:rFonts w:ascii="Calibri" w:hAnsi="Calibri" w:cs="Calibri"/>
        </w:rPr>
        <w:tab/>
      </w:r>
      <w:r w:rsidRPr="005726AC">
        <w:rPr>
          <w:rFonts w:ascii="Calibri" w:hAnsi="Calibri" w:cs="Calibri"/>
        </w:rPr>
        <w:tab/>
      </w:r>
    </w:p>
    <w:p w14:paraId="1F1D8B9D" w14:textId="77777777" w:rsidR="009E5228" w:rsidRDefault="009E5228" w:rsidP="005726AC">
      <w:pPr>
        <w:pStyle w:val="ListParagraph"/>
        <w:numPr>
          <w:ilvl w:val="0"/>
          <w:numId w:val="1"/>
        </w:numPr>
        <w:spacing w:after="0" w:line="240" w:lineRule="auto"/>
        <w:rPr>
          <w:rFonts w:ascii="Calibri" w:hAnsi="Calibri" w:cs="Calibri"/>
        </w:rPr>
      </w:pPr>
      <w:r w:rsidRPr="005726AC">
        <w:rPr>
          <w:rFonts w:ascii="Calibri" w:hAnsi="Calibri" w:cs="Calibri"/>
        </w:rPr>
        <w:t xml:space="preserve">Table 8 please </w:t>
      </w:r>
      <w:r w:rsidR="00AC461C" w:rsidRPr="005726AC">
        <w:rPr>
          <w:rFonts w:ascii="Calibri" w:hAnsi="Calibri" w:cs="Calibri"/>
        </w:rPr>
        <w:t xml:space="preserve">explain what is included in </w:t>
      </w:r>
      <w:r w:rsidRPr="005726AC">
        <w:rPr>
          <w:rFonts w:ascii="Calibri" w:hAnsi="Calibri" w:cs="Calibri"/>
        </w:rPr>
        <w:t>“</w:t>
      </w:r>
      <w:r w:rsidR="00AC461C" w:rsidRPr="005726AC">
        <w:rPr>
          <w:rFonts w:ascii="Calibri" w:hAnsi="Calibri" w:cs="Calibri"/>
        </w:rPr>
        <w:t>Other</w:t>
      </w:r>
      <w:r w:rsidRPr="005726AC">
        <w:rPr>
          <w:rFonts w:ascii="Calibri" w:hAnsi="Calibri" w:cs="Calibri"/>
        </w:rPr>
        <w:t>”</w:t>
      </w:r>
      <w:r w:rsidR="00AC461C" w:rsidRPr="005726AC">
        <w:rPr>
          <w:rFonts w:ascii="Calibri" w:hAnsi="Calibri" w:cs="Calibri"/>
        </w:rPr>
        <w:t xml:space="preserve"> Surgical category</w:t>
      </w:r>
    </w:p>
    <w:p w14:paraId="6A5CE64B" w14:textId="44EA572C" w:rsidR="00AC5267" w:rsidRPr="002057D9" w:rsidRDefault="00AC5267" w:rsidP="00AC5267">
      <w:pPr>
        <w:pStyle w:val="ListParagraph"/>
        <w:spacing w:after="0" w:line="240" w:lineRule="auto"/>
        <w:rPr>
          <w:rFonts w:ascii="Calibri" w:hAnsi="Calibri" w:cs="Calibri"/>
          <w:color w:val="A20000"/>
        </w:rPr>
      </w:pPr>
      <w:r w:rsidRPr="002057D9">
        <w:rPr>
          <w:rFonts w:ascii="Calibri" w:hAnsi="Calibri" w:cs="Calibri"/>
          <w:color w:val="A20000"/>
        </w:rPr>
        <w:t xml:space="preserve">“Other” in Table 8 </w:t>
      </w:r>
      <w:r w:rsidR="00CF6895" w:rsidRPr="002057D9">
        <w:rPr>
          <w:rFonts w:ascii="Calibri" w:hAnsi="Calibri" w:cs="Calibri"/>
          <w:color w:val="A20000"/>
        </w:rPr>
        <w:t>represents</w:t>
      </w:r>
      <w:r w:rsidRPr="002057D9">
        <w:rPr>
          <w:rFonts w:ascii="Calibri" w:hAnsi="Calibri" w:cs="Calibri"/>
          <w:color w:val="A20000"/>
        </w:rPr>
        <w:t xml:space="preserve"> surgical procedures that did not have a facility claim associated with </w:t>
      </w:r>
      <w:r w:rsidR="004414EE" w:rsidRPr="002057D9">
        <w:rPr>
          <w:rFonts w:ascii="Calibri" w:hAnsi="Calibri" w:cs="Calibri"/>
          <w:color w:val="A20000"/>
        </w:rPr>
        <w:t>them</w:t>
      </w:r>
      <w:r w:rsidRPr="002057D9">
        <w:rPr>
          <w:rFonts w:ascii="Calibri" w:hAnsi="Calibri" w:cs="Calibri"/>
          <w:color w:val="A20000"/>
        </w:rPr>
        <w:t xml:space="preserve">. </w:t>
      </w:r>
    </w:p>
    <w:p w14:paraId="7E61DB15" w14:textId="77777777" w:rsidR="00AC5267" w:rsidRPr="005726AC" w:rsidRDefault="00AC5267" w:rsidP="00AC5267">
      <w:pPr>
        <w:pStyle w:val="ListParagraph"/>
        <w:spacing w:after="0" w:line="240" w:lineRule="auto"/>
        <w:rPr>
          <w:rFonts w:ascii="Calibri" w:hAnsi="Calibri" w:cs="Calibri"/>
        </w:rPr>
      </w:pPr>
    </w:p>
    <w:p w14:paraId="3B698DAA" w14:textId="77777777" w:rsidR="00AC5267" w:rsidRDefault="009E5228" w:rsidP="005726AC">
      <w:pPr>
        <w:pStyle w:val="ListParagraph"/>
        <w:numPr>
          <w:ilvl w:val="0"/>
          <w:numId w:val="1"/>
        </w:numPr>
        <w:spacing w:after="0" w:line="240" w:lineRule="auto"/>
        <w:rPr>
          <w:rFonts w:ascii="Calibri" w:hAnsi="Calibri" w:cs="Calibri"/>
        </w:rPr>
      </w:pPr>
      <w:r w:rsidRPr="005726AC">
        <w:rPr>
          <w:rFonts w:ascii="Calibri" w:hAnsi="Calibri" w:cs="Calibri"/>
        </w:rPr>
        <w:t xml:space="preserve">For the Surgical Patient Panel Payer Mix, please explain further why there is no tracking of the Non APM patients. What percentage of the patients does this comprise. </w:t>
      </w:r>
      <w:r w:rsidR="00AC461C" w:rsidRPr="005726AC">
        <w:rPr>
          <w:rFonts w:ascii="Calibri" w:hAnsi="Calibri" w:cs="Calibri"/>
        </w:rPr>
        <w:tab/>
      </w:r>
    </w:p>
    <w:p w14:paraId="26585088" w14:textId="00D5EC9E" w:rsidR="00AC5267" w:rsidRPr="002057D9" w:rsidRDefault="004414EE" w:rsidP="00AC5267">
      <w:pPr>
        <w:spacing w:after="0" w:line="240" w:lineRule="auto"/>
        <w:ind w:left="720"/>
        <w:rPr>
          <w:rFonts w:ascii="Calibri" w:hAnsi="Calibri" w:cs="Calibri"/>
          <w:color w:val="A20000"/>
        </w:rPr>
      </w:pPr>
      <w:r w:rsidRPr="002057D9">
        <w:rPr>
          <w:rFonts w:ascii="Calibri" w:hAnsi="Calibri" w:cs="Calibri"/>
          <w:color w:val="A20000"/>
        </w:rPr>
        <w:t>To provide the patient data in the Application on the Surgical Patient, including the payer mix, t</w:t>
      </w:r>
      <w:r w:rsidR="00213BD3" w:rsidRPr="002057D9">
        <w:rPr>
          <w:rFonts w:ascii="Calibri" w:hAnsi="Calibri" w:cs="Calibri"/>
          <w:color w:val="A20000"/>
        </w:rPr>
        <w:t xml:space="preserve">he Applicant </w:t>
      </w:r>
      <w:r w:rsidRPr="002057D9">
        <w:rPr>
          <w:rFonts w:ascii="Calibri" w:hAnsi="Calibri" w:cs="Calibri"/>
          <w:color w:val="A20000"/>
        </w:rPr>
        <w:t xml:space="preserve">used the </w:t>
      </w:r>
      <w:r w:rsidR="00213BD3" w:rsidRPr="002057D9">
        <w:rPr>
          <w:rFonts w:ascii="Calibri" w:hAnsi="Calibri" w:cs="Calibri"/>
          <w:color w:val="A20000"/>
        </w:rPr>
        <w:t>claims data that it receives from payers for APM patients</w:t>
      </w:r>
      <w:r w:rsidR="002A753C" w:rsidRPr="002057D9">
        <w:rPr>
          <w:rFonts w:ascii="Calibri" w:hAnsi="Calibri" w:cs="Calibri"/>
          <w:color w:val="A20000"/>
        </w:rPr>
        <w:t>, which provide information related to the Surgical Services for Applicant’s patients that receive Surgical Services from Applicant’s physicians and from non-Applicant physicians</w:t>
      </w:r>
      <w:r w:rsidR="00213BD3" w:rsidRPr="002057D9">
        <w:rPr>
          <w:rFonts w:ascii="Calibri" w:hAnsi="Calibri" w:cs="Calibri"/>
          <w:color w:val="A20000"/>
        </w:rPr>
        <w:t xml:space="preserve">. </w:t>
      </w:r>
      <w:r w:rsidR="00AC5267" w:rsidRPr="002057D9">
        <w:rPr>
          <w:rFonts w:ascii="Calibri" w:hAnsi="Calibri" w:cs="Calibri"/>
          <w:color w:val="A20000"/>
        </w:rPr>
        <w:t xml:space="preserve">The Applicant does not receive claims data for non-APM </w:t>
      </w:r>
      <w:proofErr w:type="gramStart"/>
      <w:r w:rsidR="00AC5267" w:rsidRPr="002057D9">
        <w:rPr>
          <w:rFonts w:ascii="Calibri" w:hAnsi="Calibri" w:cs="Calibri"/>
          <w:color w:val="A20000"/>
        </w:rPr>
        <w:t xml:space="preserve">patients, </w:t>
      </w:r>
      <w:r w:rsidRPr="002057D9">
        <w:rPr>
          <w:rFonts w:ascii="Calibri" w:hAnsi="Calibri" w:cs="Calibri"/>
          <w:color w:val="A20000"/>
        </w:rPr>
        <w:t>and</w:t>
      </w:r>
      <w:proofErr w:type="gramEnd"/>
      <w:r w:rsidRPr="002057D9">
        <w:rPr>
          <w:rFonts w:ascii="Calibri" w:hAnsi="Calibri" w:cs="Calibri"/>
          <w:color w:val="A20000"/>
        </w:rPr>
        <w:t xml:space="preserve"> </w:t>
      </w:r>
      <w:r w:rsidR="002A753C" w:rsidRPr="002057D9">
        <w:rPr>
          <w:rFonts w:ascii="Calibri" w:hAnsi="Calibri" w:cs="Calibri"/>
          <w:color w:val="A20000"/>
        </w:rPr>
        <w:t xml:space="preserve">is </w:t>
      </w:r>
      <w:r w:rsidRPr="002057D9">
        <w:rPr>
          <w:rFonts w:ascii="Calibri" w:hAnsi="Calibri" w:cs="Calibri"/>
          <w:color w:val="A20000"/>
        </w:rPr>
        <w:t xml:space="preserve">therefore </w:t>
      </w:r>
      <w:r w:rsidR="002A753C" w:rsidRPr="002057D9">
        <w:rPr>
          <w:rFonts w:ascii="Calibri" w:hAnsi="Calibri" w:cs="Calibri"/>
          <w:color w:val="A20000"/>
        </w:rPr>
        <w:t>not able to report on this information.</w:t>
      </w:r>
    </w:p>
    <w:p w14:paraId="7ACAF19E" w14:textId="77777777" w:rsidR="00F23D23" w:rsidRPr="002057D9" w:rsidRDefault="00F23D23" w:rsidP="00AC5267">
      <w:pPr>
        <w:spacing w:after="0" w:line="240" w:lineRule="auto"/>
        <w:ind w:left="720"/>
        <w:rPr>
          <w:rFonts w:ascii="Calibri" w:hAnsi="Calibri" w:cs="Calibri"/>
          <w:color w:val="A20000"/>
        </w:rPr>
      </w:pPr>
    </w:p>
    <w:p w14:paraId="4BF9342D" w14:textId="4AF7FAAB" w:rsidR="00EC2964" w:rsidRPr="00AC5267" w:rsidRDefault="00AC461C" w:rsidP="00AC5267">
      <w:pPr>
        <w:spacing w:after="0" w:line="240" w:lineRule="auto"/>
        <w:rPr>
          <w:rFonts w:ascii="Calibri" w:hAnsi="Calibri" w:cs="Calibri"/>
        </w:rPr>
      </w:pPr>
      <w:r w:rsidRPr="00AC5267">
        <w:rPr>
          <w:rFonts w:ascii="Calibri" w:hAnsi="Calibri" w:cs="Calibri"/>
        </w:rPr>
        <w:tab/>
      </w:r>
      <w:r w:rsidRPr="00AC5267">
        <w:rPr>
          <w:rFonts w:ascii="Calibri" w:hAnsi="Calibri" w:cs="Calibri"/>
        </w:rPr>
        <w:tab/>
      </w:r>
      <w:r w:rsidRPr="00AC5267">
        <w:rPr>
          <w:rFonts w:ascii="Calibri" w:hAnsi="Calibri" w:cs="Calibri"/>
        </w:rPr>
        <w:tab/>
      </w:r>
      <w:r w:rsidRPr="00AC5267">
        <w:rPr>
          <w:rFonts w:ascii="Calibri" w:hAnsi="Calibri" w:cs="Calibri"/>
        </w:rPr>
        <w:tab/>
      </w:r>
    </w:p>
    <w:p w14:paraId="154CF458" w14:textId="2AC031D9" w:rsidR="006C268F" w:rsidRDefault="00695EF1" w:rsidP="005726AC">
      <w:pPr>
        <w:pStyle w:val="ListParagraph"/>
        <w:numPr>
          <w:ilvl w:val="0"/>
          <w:numId w:val="1"/>
        </w:numPr>
        <w:spacing w:after="0" w:line="240" w:lineRule="auto"/>
        <w:rPr>
          <w:rFonts w:ascii="Calibri" w:hAnsi="Calibri" w:cs="Calibri"/>
        </w:rPr>
      </w:pPr>
      <w:r w:rsidRPr="00FD7A7E">
        <w:rPr>
          <w:rFonts w:ascii="Calibri" w:hAnsi="Calibri" w:cs="Calibri"/>
        </w:rPr>
        <w:lastRenderedPageBreak/>
        <w:t xml:space="preserve">Please explain your methodology for </w:t>
      </w:r>
      <w:r w:rsidR="000F1135" w:rsidRPr="00FD7A7E">
        <w:rPr>
          <w:rFonts w:ascii="Calibri" w:hAnsi="Calibri" w:cs="Calibri"/>
        </w:rPr>
        <w:t>projecting that 6 operating rooms is the correct number to meet the patient panel need for this site.</w:t>
      </w:r>
      <w:r w:rsidR="00131CA1" w:rsidRPr="00FD7A7E">
        <w:rPr>
          <w:rFonts w:ascii="Calibri" w:hAnsi="Calibri" w:cs="Calibri"/>
        </w:rPr>
        <w:t xml:space="preserve"> </w:t>
      </w:r>
    </w:p>
    <w:p w14:paraId="1301F1FF" w14:textId="73562AC8" w:rsidR="0039181B" w:rsidRPr="002057D9" w:rsidRDefault="00FD7A7E" w:rsidP="00FD7A7E">
      <w:pPr>
        <w:pStyle w:val="ListParagraph"/>
        <w:spacing w:after="0" w:line="240" w:lineRule="auto"/>
        <w:rPr>
          <w:rFonts w:ascii="Calibri" w:hAnsi="Calibri" w:cs="Calibri"/>
          <w:color w:val="A20000"/>
        </w:rPr>
      </w:pPr>
      <w:r w:rsidRPr="002057D9">
        <w:rPr>
          <w:rFonts w:ascii="Calibri" w:hAnsi="Calibri" w:cs="Calibri"/>
          <w:color w:val="A20000"/>
        </w:rPr>
        <w:t xml:space="preserve">When evaluating </w:t>
      </w:r>
      <w:r w:rsidR="0039181B" w:rsidRPr="002057D9">
        <w:rPr>
          <w:rFonts w:ascii="Calibri" w:hAnsi="Calibri" w:cs="Calibri"/>
          <w:color w:val="A20000"/>
        </w:rPr>
        <w:t xml:space="preserve">how many </w:t>
      </w:r>
      <w:r w:rsidR="004414EE" w:rsidRPr="002057D9">
        <w:rPr>
          <w:rFonts w:ascii="Calibri" w:hAnsi="Calibri" w:cs="Calibri"/>
          <w:color w:val="A20000"/>
        </w:rPr>
        <w:t xml:space="preserve">operating </w:t>
      </w:r>
      <w:r w:rsidR="0039181B" w:rsidRPr="002057D9">
        <w:rPr>
          <w:rFonts w:ascii="Calibri" w:hAnsi="Calibri" w:cs="Calibri"/>
          <w:color w:val="A20000"/>
        </w:rPr>
        <w:t xml:space="preserve">rooms would </w:t>
      </w:r>
      <w:r w:rsidR="0012014C" w:rsidRPr="002057D9">
        <w:rPr>
          <w:rFonts w:ascii="Calibri" w:hAnsi="Calibri" w:cs="Calibri"/>
          <w:color w:val="A20000"/>
        </w:rPr>
        <w:t xml:space="preserve">be </w:t>
      </w:r>
      <w:r w:rsidR="0039181B" w:rsidRPr="002057D9">
        <w:rPr>
          <w:rFonts w:ascii="Calibri" w:hAnsi="Calibri" w:cs="Calibri"/>
          <w:color w:val="A20000"/>
        </w:rPr>
        <w:t xml:space="preserve">need for </w:t>
      </w:r>
      <w:r w:rsidR="002A753C" w:rsidRPr="002057D9">
        <w:rPr>
          <w:rFonts w:ascii="Calibri" w:hAnsi="Calibri" w:cs="Calibri"/>
          <w:color w:val="A20000"/>
        </w:rPr>
        <w:t xml:space="preserve">the </w:t>
      </w:r>
      <w:r w:rsidR="004414EE" w:rsidRPr="002057D9">
        <w:rPr>
          <w:rFonts w:ascii="Calibri" w:hAnsi="Calibri" w:cs="Calibri"/>
          <w:color w:val="A20000"/>
        </w:rPr>
        <w:t>Proposed Project</w:t>
      </w:r>
      <w:r w:rsidR="0039181B" w:rsidRPr="002057D9">
        <w:rPr>
          <w:rFonts w:ascii="Calibri" w:hAnsi="Calibri" w:cs="Calibri"/>
          <w:color w:val="A20000"/>
        </w:rPr>
        <w:t xml:space="preserve">, </w:t>
      </w:r>
      <w:r w:rsidRPr="002057D9">
        <w:rPr>
          <w:rFonts w:ascii="Calibri" w:hAnsi="Calibri" w:cs="Calibri"/>
          <w:color w:val="A20000"/>
        </w:rPr>
        <w:t>the Applicant</w:t>
      </w:r>
      <w:r w:rsidR="0039181B" w:rsidRPr="002057D9">
        <w:rPr>
          <w:rFonts w:ascii="Calibri" w:hAnsi="Calibri" w:cs="Calibri"/>
          <w:color w:val="A20000"/>
        </w:rPr>
        <w:t xml:space="preserve"> estimated </w:t>
      </w:r>
      <w:r w:rsidR="004414EE" w:rsidRPr="002057D9">
        <w:rPr>
          <w:rFonts w:ascii="Calibri" w:hAnsi="Calibri" w:cs="Calibri"/>
          <w:color w:val="A20000"/>
        </w:rPr>
        <w:t xml:space="preserve">the number of </w:t>
      </w:r>
      <w:r w:rsidR="0039181B" w:rsidRPr="002057D9">
        <w:rPr>
          <w:rFonts w:ascii="Calibri" w:hAnsi="Calibri" w:cs="Calibri"/>
          <w:color w:val="A20000"/>
        </w:rPr>
        <w:t xml:space="preserve">cases </w:t>
      </w:r>
      <w:r w:rsidR="004414EE" w:rsidRPr="002057D9">
        <w:rPr>
          <w:rFonts w:ascii="Calibri" w:hAnsi="Calibri" w:cs="Calibri"/>
          <w:color w:val="A20000"/>
        </w:rPr>
        <w:t xml:space="preserve">that </w:t>
      </w:r>
      <w:r w:rsidR="00AF3022" w:rsidRPr="002057D9">
        <w:rPr>
          <w:rFonts w:ascii="Calibri" w:hAnsi="Calibri" w:cs="Calibri"/>
          <w:color w:val="A20000"/>
        </w:rPr>
        <w:t>w</w:t>
      </w:r>
      <w:r w:rsidR="0039181B" w:rsidRPr="002057D9">
        <w:rPr>
          <w:rFonts w:ascii="Calibri" w:hAnsi="Calibri" w:cs="Calibri"/>
          <w:color w:val="A20000"/>
        </w:rPr>
        <w:t xml:space="preserve">ould </w:t>
      </w:r>
      <w:r w:rsidR="002A753C" w:rsidRPr="002057D9">
        <w:rPr>
          <w:rFonts w:ascii="Calibri" w:hAnsi="Calibri" w:cs="Calibri"/>
          <w:color w:val="A20000"/>
        </w:rPr>
        <w:t xml:space="preserve">be expected to </w:t>
      </w:r>
      <w:r w:rsidR="00AF3022" w:rsidRPr="002057D9">
        <w:rPr>
          <w:rFonts w:ascii="Calibri" w:hAnsi="Calibri" w:cs="Calibri"/>
          <w:color w:val="A20000"/>
        </w:rPr>
        <w:t>migrate</w:t>
      </w:r>
      <w:r w:rsidR="0039181B" w:rsidRPr="002057D9">
        <w:rPr>
          <w:rFonts w:ascii="Calibri" w:hAnsi="Calibri" w:cs="Calibri"/>
          <w:color w:val="A20000"/>
        </w:rPr>
        <w:t xml:space="preserve"> from their current </w:t>
      </w:r>
      <w:r w:rsidR="00AF3022" w:rsidRPr="002057D9">
        <w:rPr>
          <w:rFonts w:ascii="Calibri" w:hAnsi="Calibri" w:cs="Calibri"/>
          <w:color w:val="A20000"/>
        </w:rPr>
        <w:t>setting of care</w:t>
      </w:r>
      <w:r w:rsidR="0012014C" w:rsidRPr="002057D9">
        <w:rPr>
          <w:rFonts w:ascii="Calibri" w:hAnsi="Calibri" w:cs="Calibri"/>
          <w:color w:val="A20000"/>
        </w:rPr>
        <w:t xml:space="preserve"> (either a </w:t>
      </w:r>
      <w:r w:rsidR="002A753C" w:rsidRPr="002057D9">
        <w:rPr>
          <w:rFonts w:ascii="Calibri" w:hAnsi="Calibri" w:cs="Calibri"/>
          <w:color w:val="A20000"/>
        </w:rPr>
        <w:t>Hospital Outpatient Department (HOPD)</w:t>
      </w:r>
      <w:r w:rsidR="00655700" w:rsidRPr="002057D9">
        <w:rPr>
          <w:rFonts w:ascii="Calibri" w:hAnsi="Calibri" w:cs="Calibri"/>
          <w:color w:val="A20000"/>
        </w:rPr>
        <w:t xml:space="preserve">, </w:t>
      </w:r>
      <w:r w:rsidR="0012014C" w:rsidRPr="002057D9">
        <w:rPr>
          <w:rFonts w:ascii="Calibri" w:hAnsi="Calibri" w:cs="Calibri"/>
          <w:color w:val="A20000"/>
        </w:rPr>
        <w:t xml:space="preserve">an unaffiliated </w:t>
      </w:r>
      <w:r w:rsidR="002A753C" w:rsidRPr="002057D9">
        <w:rPr>
          <w:rFonts w:ascii="Calibri" w:hAnsi="Calibri" w:cs="Calibri"/>
          <w:color w:val="A20000"/>
        </w:rPr>
        <w:t>Ambulatory Surgery Center (ASC),</w:t>
      </w:r>
      <w:r w:rsidR="00655700" w:rsidRPr="002057D9">
        <w:rPr>
          <w:rFonts w:ascii="Calibri" w:hAnsi="Calibri" w:cs="Calibri"/>
          <w:color w:val="A20000"/>
        </w:rPr>
        <w:t xml:space="preserve"> or</w:t>
      </w:r>
      <w:r w:rsidR="002A753C" w:rsidRPr="002057D9">
        <w:rPr>
          <w:rFonts w:ascii="Calibri" w:hAnsi="Calibri" w:cs="Calibri"/>
          <w:color w:val="A20000"/>
        </w:rPr>
        <w:t xml:space="preserve"> a</w:t>
      </w:r>
      <w:r w:rsidR="00655700" w:rsidRPr="002057D9">
        <w:rPr>
          <w:rFonts w:ascii="Calibri" w:hAnsi="Calibri" w:cs="Calibri"/>
          <w:color w:val="A20000"/>
        </w:rPr>
        <w:t xml:space="preserve"> </w:t>
      </w:r>
      <w:r w:rsidR="002A753C" w:rsidRPr="002057D9">
        <w:rPr>
          <w:rFonts w:ascii="Calibri" w:hAnsi="Calibri" w:cs="Calibri"/>
          <w:color w:val="A20000"/>
        </w:rPr>
        <w:t>H</w:t>
      </w:r>
      <w:r w:rsidR="00655700" w:rsidRPr="002057D9">
        <w:rPr>
          <w:rFonts w:ascii="Calibri" w:hAnsi="Calibri" w:cs="Calibri"/>
          <w:color w:val="A20000"/>
        </w:rPr>
        <w:t xml:space="preserve">ospital </w:t>
      </w:r>
      <w:r w:rsidR="002A753C" w:rsidRPr="002057D9">
        <w:rPr>
          <w:rFonts w:ascii="Calibri" w:hAnsi="Calibri" w:cs="Calibri"/>
          <w:color w:val="A20000"/>
        </w:rPr>
        <w:t>I</w:t>
      </w:r>
      <w:r w:rsidR="00655700" w:rsidRPr="002057D9">
        <w:rPr>
          <w:rFonts w:ascii="Calibri" w:hAnsi="Calibri" w:cs="Calibri"/>
          <w:color w:val="A20000"/>
        </w:rPr>
        <w:t xml:space="preserve">npatient </w:t>
      </w:r>
      <w:r w:rsidR="002A753C" w:rsidRPr="002057D9">
        <w:rPr>
          <w:rFonts w:ascii="Calibri" w:hAnsi="Calibri" w:cs="Calibri"/>
          <w:color w:val="A20000"/>
        </w:rPr>
        <w:t>D</w:t>
      </w:r>
      <w:r w:rsidR="00655700" w:rsidRPr="002057D9">
        <w:rPr>
          <w:rFonts w:ascii="Calibri" w:hAnsi="Calibri" w:cs="Calibri"/>
          <w:color w:val="A20000"/>
        </w:rPr>
        <w:t>epartment (HIPD)</w:t>
      </w:r>
      <w:r w:rsidR="0012014C" w:rsidRPr="002057D9">
        <w:rPr>
          <w:rFonts w:ascii="Calibri" w:hAnsi="Calibri" w:cs="Calibri"/>
          <w:color w:val="A20000"/>
        </w:rPr>
        <w:t>)</w:t>
      </w:r>
      <w:r w:rsidR="0039181B" w:rsidRPr="002057D9">
        <w:rPr>
          <w:rFonts w:ascii="Calibri" w:hAnsi="Calibri" w:cs="Calibri"/>
          <w:color w:val="A20000"/>
        </w:rPr>
        <w:t xml:space="preserve"> to </w:t>
      </w:r>
      <w:r w:rsidR="0012014C" w:rsidRPr="002057D9">
        <w:rPr>
          <w:rFonts w:ascii="Calibri" w:hAnsi="Calibri" w:cs="Calibri"/>
          <w:color w:val="A20000"/>
        </w:rPr>
        <w:t>the Proposed Project</w:t>
      </w:r>
      <w:r w:rsidR="0039181B" w:rsidRPr="002057D9">
        <w:rPr>
          <w:rFonts w:ascii="Calibri" w:hAnsi="Calibri" w:cs="Calibri"/>
          <w:color w:val="A20000"/>
        </w:rPr>
        <w:t xml:space="preserve">. </w:t>
      </w:r>
      <w:r w:rsidR="0012014C" w:rsidRPr="002057D9">
        <w:rPr>
          <w:rFonts w:ascii="Calibri" w:hAnsi="Calibri" w:cs="Calibri"/>
          <w:color w:val="A20000"/>
        </w:rPr>
        <w:t>To do this, t</w:t>
      </w:r>
      <w:r w:rsidR="00AF3022" w:rsidRPr="002057D9">
        <w:rPr>
          <w:rFonts w:ascii="Calibri" w:hAnsi="Calibri" w:cs="Calibri"/>
          <w:color w:val="A20000"/>
        </w:rPr>
        <w:t xml:space="preserve">he Applicant </w:t>
      </w:r>
      <w:r w:rsidR="002A753C" w:rsidRPr="002057D9">
        <w:rPr>
          <w:rFonts w:ascii="Calibri" w:hAnsi="Calibri" w:cs="Calibri"/>
          <w:color w:val="A20000"/>
        </w:rPr>
        <w:t>reviewed the current mix of Surgical Services received by Applicant</w:t>
      </w:r>
      <w:r w:rsidR="00983888" w:rsidRPr="002057D9">
        <w:rPr>
          <w:rFonts w:ascii="Calibri" w:hAnsi="Calibri" w:cs="Calibri"/>
          <w:color w:val="A20000"/>
        </w:rPr>
        <w:t>’s Surgical P</w:t>
      </w:r>
      <w:r w:rsidR="006C61B8" w:rsidRPr="002057D9">
        <w:rPr>
          <w:rFonts w:ascii="Calibri" w:hAnsi="Calibri" w:cs="Calibri"/>
          <w:color w:val="A20000"/>
        </w:rPr>
        <w:t>atients and</w:t>
      </w:r>
      <w:r w:rsidR="002A753C" w:rsidRPr="002057D9">
        <w:rPr>
          <w:rFonts w:ascii="Calibri" w:hAnsi="Calibri" w:cs="Calibri"/>
          <w:color w:val="A20000"/>
        </w:rPr>
        <w:t xml:space="preserve"> </w:t>
      </w:r>
      <w:r w:rsidR="00213BD3" w:rsidRPr="002057D9">
        <w:rPr>
          <w:rFonts w:ascii="Calibri" w:hAnsi="Calibri" w:cs="Calibri"/>
          <w:color w:val="A20000"/>
        </w:rPr>
        <w:t>made assumptions</w:t>
      </w:r>
      <w:r w:rsidR="002A753C" w:rsidRPr="002057D9">
        <w:rPr>
          <w:rFonts w:ascii="Calibri" w:hAnsi="Calibri" w:cs="Calibri"/>
          <w:color w:val="A20000"/>
        </w:rPr>
        <w:t xml:space="preserve"> on expected case migration</w:t>
      </w:r>
      <w:r w:rsidR="00213BD3" w:rsidRPr="002057D9">
        <w:rPr>
          <w:rFonts w:ascii="Calibri" w:hAnsi="Calibri" w:cs="Calibri"/>
          <w:color w:val="A20000"/>
        </w:rPr>
        <w:t xml:space="preserve"> based </w:t>
      </w:r>
      <w:r w:rsidR="006C70E2" w:rsidRPr="002057D9">
        <w:rPr>
          <w:rFonts w:ascii="Calibri" w:hAnsi="Calibri" w:cs="Calibri"/>
          <w:color w:val="A20000"/>
        </w:rPr>
        <w:t xml:space="preserve">on </w:t>
      </w:r>
      <w:r w:rsidR="00A04A15" w:rsidRPr="002057D9">
        <w:rPr>
          <w:rFonts w:ascii="Calibri" w:hAnsi="Calibri" w:cs="Calibri"/>
          <w:color w:val="A20000"/>
        </w:rPr>
        <w:t>eligibility criteria,</w:t>
      </w:r>
      <w:r w:rsidR="00EB48A5" w:rsidRPr="002057D9">
        <w:rPr>
          <w:rFonts w:ascii="Calibri" w:hAnsi="Calibri" w:cs="Calibri"/>
          <w:color w:val="A20000"/>
        </w:rPr>
        <w:t xml:space="preserve"> such as </w:t>
      </w:r>
      <w:r w:rsidR="00A04A15" w:rsidRPr="002057D9">
        <w:rPr>
          <w:rFonts w:ascii="Calibri" w:hAnsi="Calibri" w:cs="Calibri"/>
          <w:color w:val="A20000"/>
        </w:rPr>
        <w:t xml:space="preserve">clinical appropriateness and </w:t>
      </w:r>
      <w:r w:rsidR="00EB48A5" w:rsidRPr="002057D9">
        <w:rPr>
          <w:rFonts w:ascii="Calibri" w:hAnsi="Calibri" w:cs="Calibri"/>
          <w:color w:val="A20000"/>
        </w:rPr>
        <w:t>comorbidities</w:t>
      </w:r>
      <w:r w:rsidR="006C61B8" w:rsidRPr="002057D9">
        <w:rPr>
          <w:rFonts w:ascii="Calibri" w:hAnsi="Calibri" w:cs="Calibri"/>
          <w:color w:val="A20000"/>
        </w:rPr>
        <w:t>.</w:t>
      </w:r>
      <w:r w:rsidR="006C70E2" w:rsidRPr="002057D9">
        <w:rPr>
          <w:rFonts w:ascii="Calibri" w:hAnsi="Calibri" w:cs="Calibri"/>
          <w:color w:val="A20000"/>
        </w:rPr>
        <w:t xml:space="preserve"> </w:t>
      </w:r>
      <w:r w:rsidR="002A753C" w:rsidRPr="002057D9">
        <w:rPr>
          <w:rFonts w:ascii="Calibri" w:hAnsi="Calibri" w:cs="Calibri"/>
          <w:color w:val="A20000"/>
        </w:rPr>
        <w:t xml:space="preserve">Based upon this evaluation, the Applicant </w:t>
      </w:r>
      <w:r w:rsidR="00AF3022" w:rsidRPr="002057D9">
        <w:rPr>
          <w:rFonts w:ascii="Calibri" w:hAnsi="Calibri" w:cs="Calibri"/>
          <w:color w:val="A20000"/>
        </w:rPr>
        <w:t>estimate</w:t>
      </w:r>
      <w:r w:rsidR="002A753C" w:rsidRPr="002057D9">
        <w:rPr>
          <w:rFonts w:ascii="Calibri" w:hAnsi="Calibri" w:cs="Calibri"/>
          <w:color w:val="A20000"/>
        </w:rPr>
        <w:t>s</w:t>
      </w:r>
      <w:r w:rsidR="00AF3022" w:rsidRPr="002057D9">
        <w:rPr>
          <w:rFonts w:ascii="Calibri" w:hAnsi="Calibri" w:cs="Calibri"/>
          <w:color w:val="A20000"/>
        </w:rPr>
        <w:t xml:space="preserve"> that 1,264 cases would shift from an ASC, 4,242 from HOPD, and 727 from HIPD to the </w:t>
      </w:r>
      <w:r w:rsidR="00985743" w:rsidRPr="002057D9">
        <w:rPr>
          <w:rFonts w:ascii="Calibri" w:hAnsi="Calibri" w:cs="Calibri"/>
          <w:color w:val="A20000"/>
        </w:rPr>
        <w:t>Proposed Project</w:t>
      </w:r>
      <w:r w:rsidR="00AF3022" w:rsidRPr="002057D9">
        <w:rPr>
          <w:rFonts w:ascii="Calibri" w:hAnsi="Calibri" w:cs="Calibri"/>
          <w:color w:val="A20000"/>
        </w:rPr>
        <w:t>.</w:t>
      </w:r>
    </w:p>
    <w:p w14:paraId="349FF224" w14:textId="77777777" w:rsidR="0039181B" w:rsidRPr="002057D9" w:rsidRDefault="0039181B" w:rsidP="00FD7A7E">
      <w:pPr>
        <w:pStyle w:val="ListParagraph"/>
        <w:spacing w:after="0" w:line="240" w:lineRule="auto"/>
        <w:rPr>
          <w:rFonts w:ascii="Calibri" w:hAnsi="Calibri" w:cs="Calibri"/>
          <w:color w:val="A20000"/>
        </w:rPr>
      </w:pPr>
    </w:p>
    <w:p w14:paraId="6E7F0427" w14:textId="4F35D753" w:rsidR="00FD7A7E" w:rsidRPr="002057D9" w:rsidRDefault="00AF3022" w:rsidP="00FD7A7E">
      <w:pPr>
        <w:pStyle w:val="ListParagraph"/>
        <w:spacing w:after="0" w:line="240" w:lineRule="auto"/>
        <w:rPr>
          <w:rFonts w:ascii="Calibri" w:hAnsi="Calibri" w:cs="Calibri"/>
          <w:color w:val="A20000"/>
        </w:rPr>
      </w:pPr>
      <w:r w:rsidRPr="002057D9">
        <w:rPr>
          <w:rFonts w:ascii="Calibri" w:hAnsi="Calibri" w:cs="Calibri"/>
          <w:color w:val="A20000"/>
        </w:rPr>
        <w:t xml:space="preserve">Once the estimated case </w:t>
      </w:r>
      <w:r w:rsidR="002A753C" w:rsidRPr="002057D9">
        <w:rPr>
          <w:rFonts w:ascii="Calibri" w:hAnsi="Calibri" w:cs="Calibri"/>
          <w:color w:val="A20000"/>
        </w:rPr>
        <w:t>volume</w:t>
      </w:r>
      <w:r w:rsidRPr="002057D9">
        <w:rPr>
          <w:rFonts w:ascii="Calibri" w:hAnsi="Calibri" w:cs="Calibri"/>
          <w:color w:val="A20000"/>
        </w:rPr>
        <w:t xml:space="preserve"> was established, </w:t>
      </w:r>
      <w:r w:rsidR="00213BD3" w:rsidRPr="002057D9">
        <w:rPr>
          <w:rFonts w:ascii="Calibri" w:hAnsi="Calibri" w:cs="Calibri"/>
          <w:color w:val="A20000"/>
        </w:rPr>
        <w:t>the Applicant</w:t>
      </w:r>
      <w:r w:rsidR="00F52A2E" w:rsidRPr="002057D9">
        <w:rPr>
          <w:rFonts w:ascii="Calibri" w:hAnsi="Calibri" w:cs="Calibri"/>
          <w:color w:val="A20000"/>
        </w:rPr>
        <w:t xml:space="preserve"> calculated how many operating rooms were needed for the </w:t>
      </w:r>
      <w:r w:rsidR="0012014C" w:rsidRPr="002057D9">
        <w:rPr>
          <w:rFonts w:ascii="Calibri" w:hAnsi="Calibri" w:cs="Calibri"/>
          <w:color w:val="A20000"/>
        </w:rPr>
        <w:t>Patient P</w:t>
      </w:r>
      <w:r w:rsidR="00F52A2E" w:rsidRPr="002057D9">
        <w:rPr>
          <w:rFonts w:ascii="Calibri" w:hAnsi="Calibri" w:cs="Calibri"/>
          <w:color w:val="A20000"/>
        </w:rPr>
        <w:t>anel</w:t>
      </w:r>
      <w:r w:rsidR="002A753C" w:rsidRPr="002057D9">
        <w:rPr>
          <w:rFonts w:ascii="Calibri" w:hAnsi="Calibri" w:cs="Calibri"/>
          <w:color w:val="A20000"/>
        </w:rPr>
        <w:t xml:space="preserve"> based upon the mix of Surgical Services</w:t>
      </w:r>
      <w:r w:rsidR="00F52A2E" w:rsidRPr="002057D9">
        <w:rPr>
          <w:rFonts w:ascii="Calibri" w:hAnsi="Calibri" w:cs="Calibri"/>
          <w:color w:val="A20000"/>
        </w:rPr>
        <w:t xml:space="preserve">.  This was based on the total </w:t>
      </w:r>
      <w:r w:rsidR="0012014C" w:rsidRPr="002057D9">
        <w:rPr>
          <w:rFonts w:ascii="Calibri" w:hAnsi="Calibri" w:cs="Calibri"/>
          <w:color w:val="A20000"/>
        </w:rPr>
        <w:t>operating room</w:t>
      </w:r>
      <w:r w:rsidR="00F52A2E" w:rsidRPr="002057D9">
        <w:rPr>
          <w:rFonts w:ascii="Calibri" w:hAnsi="Calibri" w:cs="Calibri"/>
          <w:color w:val="A20000"/>
        </w:rPr>
        <w:t xml:space="preserve"> hours need</w:t>
      </w:r>
      <w:r w:rsidR="00655700" w:rsidRPr="002057D9">
        <w:rPr>
          <w:rFonts w:ascii="Calibri" w:hAnsi="Calibri" w:cs="Calibri"/>
          <w:color w:val="A20000"/>
        </w:rPr>
        <w:t>ed</w:t>
      </w:r>
      <w:r w:rsidR="00F52A2E" w:rsidRPr="002057D9">
        <w:rPr>
          <w:rFonts w:ascii="Calibri" w:hAnsi="Calibri" w:cs="Calibri"/>
          <w:color w:val="A20000"/>
        </w:rPr>
        <w:t xml:space="preserve"> to perform the estimated </w:t>
      </w:r>
      <w:r w:rsidR="009E2D83" w:rsidRPr="002057D9">
        <w:rPr>
          <w:rFonts w:ascii="Calibri" w:hAnsi="Calibri" w:cs="Calibri"/>
          <w:color w:val="A20000"/>
        </w:rPr>
        <w:t xml:space="preserve">annual </w:t>
      </w:r>
      <w:r w:rsidR="00F52A2E" w:rsidRPr="002057D9">
        <w:rPr>
          <w:rFonts w:ascii="Calibri" w:hAnsi="Calibri" w:cs="Calibri"/>
          <w:color w:val="A20000"/>
        </w:rPr>
        <w:t>cases, which w</w:t>
      </w:r>
      <w:r w:rsidR="00213BD3" w:rsidRPr="002057D9">
        <w:rPr>
          <w:rFonts w:ascii="Calibri" w:hAnsi="Calibri" w:cs="Calibri"/>
          <w:color w:val="A20000"/>
        </w:rPr>
        <w:t>ere</w:t>
      </w:r>
      <w:r w:rsidR="00F52A2E" w:rsidRPr="002057D9">
        <w:rPr>
          <w:rFonts w:ascii="Calibri" w:hAnsi="Calibri" w:cs="Calibri"/>
          <w:color w:val="A20000"/>
        </w:rPr>
        <w:t xml:space="preserve"> calculated based on the </w:t>
      </w:r>
      <w:r w:rsidR="00FD7A7E" w:rsidRPr="002057D9">
        <w:rPr>
          <w:rFonts w:ascii="Calibri" w:hAnsi="Calibri" w:cs="Calibri"/>
          <w:color w:val="A20000"/>
        </w:rPr>
        <w:t xml:space="preserve">average time </w:t>
      </w:r>
      <w:r w:rsidR="00F52A2E" w:rsidRPr="002057D9">
        <w:rPr>
          <w:rFonts w:ascii="Calibri" w:hAnsi="Calibri" w:cs="Calibri"/>
          <w:color w:val="A20000"/>
        </w:rPr>
        <w:t xml:space="preserve">it takes </w:t>
      </w:r>
      <w:r w:rsidR="00FD7A7E" w:rsidRPr="002057D9">
        <w:rPr>
          <w:rFonts w:ascii="Calibri" w:hAnsi="Calibri" w:cs="Calibri"/>
          <w:color w:val="A20000"/>
        </w:rPr>
        <w:t xml:space="preserve">to perform a specific </w:t>
      </w:r>
      <w:r w:rsidR="00213BD3" w:rsidRPr="002057D9">
        <w:rPr>
          <w:rFonts w:ascii="Calibri" w:hAnsi="Calibri" w:cs="Calibri"/>
          <w:color w:val="A20000"/>
        </w:rPr>
        <w:t xml:space="preserve">type of </w:t>
      </w:r>
      <w:r w:rsidR="00FD7A7E" w:rsidRPr="002057D9">
        <w:rPr>
          <w:rFonts w:ascii="Calibri" w:hAnsi="Calibri" w:cs="Calibri"/>
          <w:color w:val="A20000"/>
        </w:rPr>
        <w:t xml:space="preserve">procedure </w:t>
      </w:r>
      <w:r w:rsidR="00F52A2E" w:rsidRPr="002057D9">
        <w:rPr>
          <w:rFonts w:ascii="Calibri" w:hAnsi="Calibri" w:cs="Calibri"/>
          <w:color w:val="A20000"/>
        </w:rPr>
        <w:t>in an</w:t>
      </w:r>
      <w:r w:rsidR="00FD7A7E" w:rsidRPr="002057D9">
        <w:rPr>
          <w:rFonts w:ascii="Calibri" w:hAnsi="Calibri" w:cs="Calibri"/>
          <w:color w:val="A20000"/>
        </w:rPr>
        <w:t xml:space="preserve"> operating </w:t>
      </w:r>
      <w:r w:rsidR="00F52A2E" w:rsidRPr="002057D9">
        <w:rPr>
          <w:rFonts w:ascii="Calibri" w:hAnsi="Calibri" w:cs="Calibri"/>
          <w:color w:val="A20000"/>
        </w:rPr>
        <w:t xml:space="preserve">room. </w:t>
      </w:r>
      <w:r w:rsidR="00FD7A7E" w:rsidRPr="002057D9">
        <w:rPr>
          <w:rFonts w:ascii="Calibri" w:hAnsi="Calibri" w:cs="Calibri"/>
          <w:color w:val="A20000"/>
        </w:rPr>
        <w:t xml:space="preserve">Please see </w:t>
      </w:r>
      <w:r w:rsidR="002A753C" w:rsidRPr="002057D9">
        <w:rPr>
          <w:rFonts w:ascii="Calibri" w:hAnsi="Calibri" w:cs="Calibri"/>
          <w:color w:val="A20000"/>
        </w:rPr>
        <w:t xml:space="preserve">table </w:t>
      </w:r>
      <w:r w:rsidR="00FD7A7E" w:rsidRPr="002057D9">
        <w:rPr>
          <w:rFonts w:ascii="Calibri" w:hAnsi="Calibri" w:cs="Calibri"/>
          <w:color w:val="A20000"/>
        </w:rPr>
        <w:t>below.</w:t>
      </w:r>
      <w:r w:rsidR="009E2D83" w:rsidRPr="002057D9">
        <w:rPr>
          <w:rFonts w:ascii="Calibri" w:hAnsi="Calibri" w:cs="Calibri"/>
          <w:color w:val="A20000"/>
        </w:rPr>
        <w:t xml:space="preserve"> </w:t>
      </w:r>
    </w:p>
    <w:p w14:paraId="17B8B69E" w14:textId="7604E24C" w:rsidR="00FD7A7E" w:rsidRDefault="00FD7A7E" w:rsidP="00FD7A7E">
      <w:pPr>
        <w:pStyle w:val="ListParagraph"/>
        <w:spacing w:after="0" w:line="240" w:lineRule="auto"/>
        <w:rPr>
          <w:rFonts w:ascii="Times New Roman" w:hAnsi="Times New Roman" w:cs="Times New Roman"/>
          <w:noProof/>
        </w:rPr>
      </w:pPr>
    </w:p>
    <w:tbl>
      <w:tblPr>
        <w:tblW w:w="9999" w:type="dxa"/>
        <w:tblLook w:val="04A0" w:firstRow="1" w:lastRow="0" w:firstColumn="1" w:lastColumn="0" w:noHBand="0" w:noVBand="1"/>
      </w:tblPr>
      <w:tblGrid>
        <w:gridCol w:w="1803"/>
        <w:gridCol w:w="927"/>
        <w:gridCol w:w="1339"/>
        <w:gridCol w:w="1876"/>
        <w:gridCol w:w="2281"/>
        <w:gridCol w:w="1809"/>
      </w:tblGrid>
      <w:tr w:rsidR="00342DE1" w:rsidRPr="00342DE1" w14:paraId="7C42EE28" w14:textId="77777777" w:rsidTr="00342DE1">
        <w:trPr>
          <w:trHeight w:val="337"/>
        </w:trPr>
        <w:tc>
          <w:tcPr>
            <w:tcW w:w="9999" w:type="dxa"/>
            <w:gridSpan w:val="6"/>
            <w:tcBorders>
              <w:top w:val="single" w:sz="8" w:space="0" w:color="44546A"/>
              <w:left w:val="single" w:sz="8" w:space="0" w:color="44546A"/>
              <w:bottom w:val="single" w:sz="8" w:space="0" w:color="FFFFCC"/>
              <w:right w:val="nil"/>
            </w:tcBorders>
            <w:shd w:val="clear" w:color="000000" w:fill="1F4E78"/>
            <w:noWrap/>
            <w:vAlign w:val="center"/>
            <w:hideMark/>
          </w:tcPr>
          <w:p w14:paraId="5D14A676"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OR / PR Capacity in Year 2</w:t>
            </w:r>
          </w:p>
        </w:tc>
      </w:tr>
      <w:tr w:rsidR="00342DE1" w:rsidRPr="00342DE1" w14:paraId="0004BEFC" w14:textId="77777777" w:rsidTr="00342DE1">
        <w:trPr>
          <w:trHeight w:val="337"/>
        </w:trPr>
        <w:tc>
          <w:tcPr>
            <w:tcW w:w="1803" w:type="dxa"/>
            <w:tcBorders>
              <w:top w:val="single" w:sz="8" w:space="0" w:color="44546A"/>
              <w:left w:val="single" w:sz="8" w:space="0" w:color="44546A"/>
              <w:bottom w:val="nil"/>
              <w:right w:val="nil"/>
            </w:tcBorders>
            <w:shd w:val="clear" w:color="000000" w:fill="1F4E78"/>
            <w:noWrap/>
            <w:vAlign w:val="center"/>
            <w:hideMark/>
          </w:tcPr>
          <w:p w14:paraId="2EB766F3" w14:textId="77777777" w:rsidR="00342DE1" w:rsidRPr="00342DE1" w:rsidRDefault="00342DE1" w:rsidP="00342DE1">
            <w:pPr>
              <w:spacing w:after="0" w:line="240" w:lineRule="auto"/>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OR Utilization</w:t>
            </w:r>
          </w:p>
        </w:tc>
        <w:tc>
          <w:tcPr>
            <w:tcW w:w="888" w:type="dxa"/>
            <w:tcBorders>
              <w:top w:val="single" w:sz="8" w:space="0" w:color="44546A"/>
              <w:left w:val="nil"/>
              <w:bottom w:val="nil"/>
              <w:right w:val="nil"/>
            </w:tcBorders>
            <w:shd w:val="clear" w:color="000000" w:fill="1F4E78"/>
            <w:noWrap/>
            <w:vAlign w:val="center"/>
            <w:hideMark/>
          </w:tcPr>
          <w:p w14:paraId="4CF539D7"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Volume</w:t>
            </w:r>
          </w:p>
        </w:tc>
        <w:tc>
          <w:tcPr>
            <w:tcW w:w="1339" w:type="dxa"/>
            <w:tcBorders>
              <w:top w:val="single" w:sz="8" w:space="0" w:color="44546A"/>
              <w:left w:val="nil"/>
              <w:bottom w:val="nil"/>
              <w:right w:val="nil"/>
            </w:tcBorders>
            <w:shd w:val="clear" w:color="000000" w:fill="1F4E78"/>
            <w:noWrap/>
            <w:vAlign w:val="center"/>
            <w:hideMark/>
          </w:tcPr>
          <w:p w14:paraId="76B8C478"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w:t>
            </w:r>
          </w:p>
        </w:tc>
        <w:tc>
          <w:tcPr>
            <w:tcW w:w="1876" w:type="dxa"/>
            <w:tcBorders>
              <w:top w:val="single" w:sz="8" w:space="0" w:color="44546A"/>
              <w:left w:val="nil"/>
              <w:bottom w:val="nil"/>
              <w:right w:val="nil"/>
            </w:tcBorders>
            <w:shd w:val="clear" w:color="000000" w:fill="1F4E78"/>
            <w:noWrap/>
            <w:vAlign w:val="center"/>
            <w:hideMark/>
          </w:tcPr>
          <w:p w14:paraId="295627DB"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Scheduled Hours</w:t>
            </w:r>
          </w:p>
        </w:tc>
        <w:tc>
          <w:tcPr>
            <w:tcW w:w="2281" w:type="dxa"/>
            <w:tcBorders>
              <w:top w:val="single" w:sz="8" w:space="0" w:color="44546A"/>
              <w:left w:val="nil"/>
              <w:bottom w:val="nil"/>
              <w:right w:val="single" w:sz="8" w:space="0" w:color="44546A"/>
            </w:tcBorders>
            <w:shd w:val="clear" w:color="000000" w:fill="1F4E78"/>
            <w:noWrap/>
            <w:vAlign w:val="center"/>
            <w:hideMark/>
          </w:tcPr>
          <w:p w14:paraId="6943C490" w14:textId="324D1D18"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 xml:space="preserve">Projected </w:t>
            </w:r>
            <w:r>
              <w:rPr>
                <w:rFonts w:ascii="Calibri" w:eastAsia="Times New Roman" w:hAnsi="Calibri" w:cs="Calibri"/>
                <w:b/>
                <w:bCs/>
                <w:color w:val="FFFFFF"/>
                <w:sz w:val="22"/>
                <w:szCs w:val="22"/>
              </w:rPr>
              <w:t xml:space="preserve">OR </w:t>
            </w:r>
            <w:r w:rsidRPr="00342DE1">
              <w:rPr>
                <w:rFonts w:ascii="Calibri" w:eastAsia="Times New Roman" w:hAnsi="Calibri" w:cs="Calibri"/>
                <w:b/>
                <w:bCs/>
                <w:color w:val="FFFFFF"/>
                <w:sz w:val="22"/>
                <w:szCs w:val="22"/>
              </w:rPr>
              <w:t>Utilization</w:t>
            </w:r>
          </w:p>
        </w:tc>
        <w:tc>
          <w:tcPr>
            <w:tcW w:w="1809" w:type="dxa"/>
            <w:tcBorders>
              <w:top w:val="nil"/>
              <w:left w:val="nil"/>
              <w:bottom w:val="nil"/>
              <w:right w:val="nil"/>
            </w:tcBorders>
            <w:shd w:val="clear" w:color="auto" w:fill="auto"/>
            <w:noWrap/>
            <w:vAlign w:val="bottom"/>
            <w:hideMark/>
          </w:tcPr>
          <w:p w14:paraId="67D8B781"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p>
        </w:tc>
      </w:tr>
      <w:tr w:rsidR="00342DE1" w:rsidRPr="00342DE1" w14:paraId="08501E9A" w14:textId="77777777" w:rsidTr="00342DE1">
        <w:trPr>
          <w:trHeight w:val="337"/>
        </w:trPr>
        <w:tc>
          <w:tcPr>
            <w:tcW w:w="1803" w:type="dxa"/>
            <w:tcBorders>
              <w:top w:val="nil"/>
              <w:left w:val="single" w:sz="8" w:space="0" w:color="44546A"/>
              <w:bottom w:val="nil"/>
              <w:right w:val="nil"/>
            </w:tcBorders>
            <w:shd w:val="clear" w:color="000000" w:fill="D9D9D9"/>
            <w:noWrap/>
            <w:vAlign w:val="center"/>
            <w:hideMark/>
          </w:tcPr>
          <w:p w14:paraId="511F8B55" w14:textId="77777777" w:rsidR="00342DE1" w:rsidRPr="00342DE1" w:rsidRDefault="00342DE1" w:rsidP="00342DE1">
            <w:pPr>
              <w:spacing w:after="0" w:line="240" w:lineRule="auto"/>
              <w:rPr>
                <w:rFonts w:ascii="Calibri" w:eastAsia="Times New Roman" w:hAnsi="Calibri" w:cs="Calibri"/>
                <w:color w:val="000000"/>
                <w:sz w:val="22"/>
                <w:szCs w:val="22"/>
              </w:rPr>
            </w:pPr>
            <w:r w:rsidRPr="00342DE1">
              <w:rPr>
                <w:rFonts w:ascii="Calibri" w:eastAsia="Times New Roman" w:hAnsi="Calibri" w:cs="Calibri"/>
                <w:color w:val="000000"/>
                <w:sz w:val="22"/>
                <w:szCs w:val="22"/>
              </w:rPr>
              <w:t>Operating Room</w:t>
            </w:r>
          </w:p>
        </w:tc>
        <w:tc>
          <w:tcPr>
            <w:tcW w:w="888" w:type="dxa"/>
            <w:tcBorders>
              <w:top w:val="nil"/>
              <w:left w:val="nil"/>
              <w:bottom w:val="nil"/>
              <w:right w:val="nil"/>
            </w:tcBorders>
            <w:shd w:val="clear" w:color="auto" w:fill="auto"/>
            <w:noWrap/>
            <w:vAlign w:val="center"/>
            <w:hideMark/>
          </w:tcPr>
          <w:p w14:paraId="42312827" w14:textId="77777777" w:rsidR="00342DE1" w:rsidRPr="00342DE1" w:rsidRDefault="00342DE1" w:rsidP="00342DE1">
            <w:pPr>
              <w:spacing w:after="0" w:line="240" w:lineRule="auto"/>
              <w:jc w:val="center"/>
              <w:rPr>
                <w:rFonts w:ascii="Calibri" w:eastAsia="Times New Roman" w:hAnsi="Calibri" w:cs="Calibri"/>
                <w:color w:val="000000"/>
                <w:sz w:val="22"/>
                <w:szCs w:val="22"/>
              </w:rPr>
            </w:pPr>
            <w:r w:rsidRPr="00342DE1">
              <w:rPr>
                <w:rFonts w:ascii="Calibri" w:eastAsia="Times New Roman" w:hAnsi="Calibri" w:cs="Calibri"/>
                <w:color w:val="000000"/>
                <w:sz w:val="22"/>
                <w:szCs w:val="22"/>
              </w:rPr>
              <w:t>6,233</w:t>
            </w:r>
          </w:p>
        </w:tc>
        <w:tc>
          <w:tcPr>
            <w:tcW w:w="1339" w:type="dxa"/>
            <w:tcBorders>
              <w:top w:val="nil"/>
              <w:left w:val="nil"/>
              <w:bottom w:val="nil"/>
              <w:right w:val="nil"/>
            </w:tcBorders>
            <w:shd w:val="clear" w:color="auto" w:fill="auto"/>
            <w:noWrap/>
            <w:vAlign w:val="center"/>
            <w:hideMark/>
          </w:tcPr>
          <w:p w14:paraId="72DE338F" w14:textId="77777777" w:rsidR="00342DE1" w:rsidRPr="00342DE1" w:rsidRDefault="00342DE1" w:rsidP="00342DE1">
            <w:pPr>
              <w:spacing w:after="0" w:line="240" w:lineRule="auto"/>
              <w:jc w:val="center"/>
              <w:rPr>
                <w:rFonts w:ascii="Calibri" w:eastAsia="Times New Roman" w:hAnsi="Calibri" w:cs="Calibri"/>
                <w:color w:val="000000"/>
                <w:sz w:val="22"/>
                <w:szCs w:val="22"/>
              </w:rPr>
            </w:pPr>
            <w:r w:rsidRPr="00342DE1">
              <w:rPr>
                <w:rFonts w:ascii="Calibri" w:eastAsia="Times New Roman" w:hAnsi="Calibri" w:cs="Calibri"/>
                <w:color w:val="000000"/>
                <w:sz w:val="22"/>
                <w:szCs w:val="22"/>
              </w:rPr>
              <w:t>100%</w:t>
            </w:r>
          </w:p>
        </w:tc>
        <w:tc>
          <w:tcPr>
            <w:tcW w:w="1876" w:type="dxa"/>
            <w:tcBorders>
              <w:top w:val="nil"/>
              <w:left w:val="nil"/>
              <w:bottom w:val="nil"/>
              <w:right w:val="nil"/>
            </w:tcBorders>
            <w:shd w:val="clear" w:color="auto" w:fill="auto"/>
            <w:noWrap/>
            <w:vAlign w:val="center"/>
            <w:hideMark/>
          </w:tcPr>
          <w:p w14:paraId="516CFB85" w14:textId="77777777" w:rsidR="00342DE1" w:rsidRPr="00342DE1" w:rsidRDefault="00342DE1" w:rsidP="00342DE1">
            <w:pPr>
              <w:spacing w:after="0" w:line="240" w:lineRule="auto"/>
              <w:jc w:val="center"/>
              <w:rPr>
                <w:rFonts w:ascii="Calibri" w:eastAsia="Times New Roman" w:hAnsi="Calibri" w:cs="Calibri"/>
                <w:color w:val="000000"/>
                <w:sz w:val="22"/>
                <w:szCs w:val="22"/>
              </w:rPr>
            </w:pPr>
            <w:r w:rsidRPr="00342DE1">
              <w:rPr>
                <w:rFonts w:ascii="Calibri" w:eastAsia="Times New Roman" w:hAnsi="Calibri" w:cs="Calibri"/>
                <w:color w:val="000000"/>
                <w:sz w:val="22"/>
                <w:szCs w:val="22"/>
              </w:rPr>
              <w:t>9,984</w:t>
            </w:r>
          </w:p>
        </w:tc>
        <w:tc>
          <w:tcPr>
            <w:tcW w:w="2281" w:type="dxa"/>
            <w:tcBorders>
              <w:top w:val="nil"/>
              <w:left w:val="nil"/>
              <w:bottom w:val="nil"/>
              <w:right w:val="single" w:sz="8" w:space="0" w:color="44546A"/>
            </w:tcBorders>
            <w:shd w:val="clear" w:color="auto" w:fill="auto"/>
            <w:noWrap/>
            <w:vAlign w:val="center"/>
            <w:hideMark/>
          </w:tcPr>
          <w:p w14:paraId="5CF9FFD8" w14:textId="77777777" w:rsidR="00342DE1" w:rsidRPr="00342DE1" w:rsidRDefault="00342DE1" w:rsidP="00342DE1">
            <w:pPr>
              <w:spacing w:after="0" w:line="240" w:lineRule="auto"/>
              <w:jc w:val="center"/>
              <w:rPr>
                <w:rFonts w:ascii="Calibri" w:eastAsia="Times New Roman" w:hAnsi="Calibri" w:cs="Calibri"/>
                <w:color w:val="000000"/>
                <w:sz w:val="22"/>
                <w:szCs w:val="22"/>
              </w:rPr>
            </w:pPr>
            <w:r w:rsidRPr="00342DE1">
              <w:rPr>
                <w:rFonts w:ascii="Calibri" w:eastAsia="Times New Roman" w:hAnsi="Calibri" w:cs="Calibri"/>
                <w:color w:val="000000"/>
                <w:sz w:val="22"/>
                <w:szCs w:val="22"/>
              </w:rPr>
              <w:t>83%</w:t>
            </w:r>
          </w:p>
        </w:tc>
        <w:tc>
          <w:tcPr>
            <w:tcW w:w="1809" w:type="dxa"/>
            <w:tcBorders>
              <w:top w:val="nil"/>
              <w:left w:val="nil"/>
              <w:bottom w:val="nil"/>
              <w:right w:val="nil"/>
            </w:tcBorders>
            <w:shd w:val="clear" w:color="auto" w:fill="auto"/>
            <w:noWrap/>
            <w:vAlign w:val="bottom"/>
            <w:hideMark/>
          </w:tcPr>
          <w:p w14:paraId="7DD8FC33" w14:textId="77777777" w:rsidR="00342DE1" w:rsidRPr="00342DE1" w:rsidRDefault="00342DE1" w:rsidP="00342DE1">
            <w:pPr>
              <w:spacing w:after="0" w:line="240" w:lineRule="auto"/>
              <w:jc w:val="center"/>
              <w:rPr>
                <w:rFonts w:ascii="Calibri" w:eastAsia="Times New Roman" w:hAnsi="Calibri" w:cs="Calibri"/>
                <w:color w:val="000000"/>
                <w:sz w:val="22"/>
                <w:szCs w:val="22"/>
              </w:rPr>
            </w:pPr>
          </w:p>
        </w:tc>
      </w:tr>
      <w:tr w:rsidR="00342DE1" w:rsidRPr="00342DE1" w14:paraId="1E512A83" w14:textId="77777777" w:rsidTr="00342DE1">
        <w:trPr>
          <w:trHeight w:val="353"/>
        </w:trPr>
        <w:tc>
          <w:tcPr>
            <w:tcW w:w="1803" w:type="dxa"/>
            <w:tcBorders>
              <w:top w:val="nil"/>
              <w:left w:val="single" w:sz="8" w:space="0" w:color="44546A"/>
              <w:bottom w:val="single" w:sz="8" w:space="0" w:color="44546A"/>
              <w:right w:val="nil"/>
            </w:tcBorders>
            <w:shd w:val="clear" w:color="000000" w:fill="1F4E78"/>
            <w:noWrap/>
            <w:vAlign w:val="center"/>
            <w:hideMark/>
          </w:tcPr>
          <w:p w14:paraId="04B2A6FB" w14:textId="77777777" w:rsidR="00342DE1" w:rsidRPr="00342DE1" w:rsidRDefault="00342DE1" w:rsidP="00342DE1">
            <w:pPr>
              <w:spacing w:after="0" w:line="240" w:lineRule="auto"/>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Total</w:t>
            </w:r>
          </w:p>
        </w:tc>
        <w:tc>
          <w:tcPr>
            <w:tcW w:w="888" w:type="dxa"/>
            <w:tcBorders>
              <w:top w:val="nil"/>
              <w:left w:val="nil"/>
              <w:bottom w:val="single" w:sz="8" w:space="0" w:color="44546A"/>
              <w:right w:val="nil"/>
            </w:tcBorders>
            <w:shd w:val="clear" w:color="000000" w:fill="1F4E78"/>
            <w:noWrap/>
            <w:vAlign w:val="center"/>
            <w:hideMark/>
          </w:tcPr>
          <w:p w14:paraId="54BCA507"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6,233</w:t>
            </w:r>
          </w:p>
        </w:tc>
        <w:tc>
          <w:tcPr>
            <w:tcW w:w="1339" w:type="dxa"/>
            <w:tcBorders>
              <w:top w:val="nil"/>
              <w:left w:val="nil"/>
              <w:bottom w:val="single" w:sz="8" w:space="0" w:color="44546A"/>
              <w:right w:val="nil"/>
            </w:tcBorders>
            <w:shd w:val="clear" w:color="000000" w:fill="1F4E78"/>
            <w:noWrap/>
            <w:vAlign w:val="center"/>
            <w:hideMark/>
          </w:tcPr>
          <w:p w14:paraId="6413E012"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100%</w:t>
            </w:r>
          </w:p>
        </w:tc>
        <w:tc>
          <w:tcPr>
            <w:tcW w:w="1876" w:type="dxa"/>
            <w:tcBorders>
              <w:top w:val="nil"/>
              <w:left w:val="nil"/>
              <w:bottom w:val="single" w:sz="8" w:space="0" w:color="44546A"/>
              <w:right w:val="nil"/>
            </w:tcBorders>
            <w:shd w:val="clear" w:color="000000" w:fill="1F4E78"/>
            <w:noWrap/>
            <w:vAlign w:val="center"/>
            <w:hideMark/>
          </w:tcPr>
          <w:p w14:paraId="69880D45"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9,984</w:t>
            </w:r>
          </w:p>
        </w:tc>
        <w:tc>
          <w:tcPr>
            <w:tcW w:w="2281" w:type="dxa"/>
            <w:tcBorders>
              <w:top w:val="nil"/>
              <w:left w:val="nil"/>
              <w:bottom w:val="single" w:sz="8" w:space="0" w:color="44546A"/>
              <w:right w:val="single" w:sz="8" w:space="0" w:color="44546A"/>
            </w:tcBorders>
            <w:shd w:val="clear" w:color="000000" w:fill="1F4E78"/>
            <w:noWrap/>
            <w:vAlign w:val="center"/>
            <w:hideMark/>
          </w:tcPr>
          <w:p w14:paraId="2371FE23"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83%</w:t>
            </w:r>
          </w:p>
        </w:tc>
        <w:tc>
          <w:tcPr>
            <w:tcW w:w="1809" w:type="dxa"/>
            <w:tcBorders>
              <w:top w:val="nil"/>
              <w:left w:val="nil"/>
              <w:bottom w:val="nil"/>
              <w:right w:val="nil"/>
            </w:tcBorders>
            <w:shd w:val="clear" w:color="auto" w:fill="auto"/>
            <w:noWrap/>
            <w:vAlign w:val="bottom"/>
            <w:hideMark/>
          </w:tcPr>
          <w:p w14:paraId="672F5808"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p>
        </w:tc>
      </w:tr>
      <w:tr w:rsidR="00342DE1" w:rsidRPr="00342DE1" w14:paraId="1468F352" w14:textId="77777777" w:rsidTr="00342DE1">
        <w:trPr>
          <w:trHeight w:val="321"/>
        </w:trPr>
        <w:tc>
          <w:tcPr>
            <w:tcW w:w="1803" w:type="dxa"/>
            <w:tcBorders>
              <w:top w:val="nil"/>
              <w:left w:val="single" w:sz="8" w:space="0" w:color="44546A"/>
              <w:bottom w:val="nil"/>
              <w:right w:val="nil"/>
            </w:tcBorders>
            <w:shd w:val="clear" w:color="auto" w:fill="auto"/>
            <w:noWrap/>
            <w:vAlign w:val="center"/>
            <w:hideMark/>
          </w:tcPr>
          <w:p w14:paraId="2AD8A3E1"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 </w:t>
            </w:r>
          </w:p>
        </w:tc>
        <w:tc>
          <w:tcPr>
            <w:tcW w:w="888" w:type="dxa"/>
            <w:tcBorders>
              <w:top w:val="nil"/>
              <w:left w:val="nil"/>
              <w:bottom w:val="nil"/>
              <w:right w:val="nil"/>
            </w:tcBorders>
            <w:shd w:val="clear" w:color="auto" w:fill="auto"/>
            <w:noWrap/>
            <w:vAlign w:val="center"/>
            <w:hideMark/>
          </w:tcPr>
          <w:p w14:paraId="5413C2BB"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p>
        </w:tc>
        <w:tc>
          <w:tcPr>
            <w:tcW w:w="1339" w:type="dxa"/>
            <w:tcBorders>
              <w:top w:val="nil"/>
              <w:left w:val="nil"/>
              <w:bottom w:val="nil"/>
              <w:right w:val="nil"/>
            </w:tcBorders>
            <w:shd w:val="clear" w:color="auto" w:fill="auto"/>
            <w:noWrap/>
            <w:vAlign w:val="center"/>
            <w:hideMark/>
          </w:tcPr>
          <w:p w14:paraId="15227187" w14:textId="77777777" w:rsidR="00342DE1" w:rsidRPr="00342DE1" w:rsidRDefault="00342DE1" w:rsidP="00342DE1">
            <w:pPr>
              <w:spacing w:after="0" w:line="240" w:lineRule="auto"/>
              <w:jc w:val="center"/>
              <w:rPr>
                <w:rFonts w:ascii="Times New Roman" w:eastAsia="Times New Roman" w:hAnsi="Times New Roman" w:cs="Times New Roman"/>
                <w:sz w:val="20"/>
                <w:szCs w:val="20"/>
              </w:rPr>
            </w:pPr>
          </w:p>
        </w:tc>
        <w:tc>
          <w:tcPr>
            <w:tcW w:w="1876" w:type="dxa"/>
            <w:tcBorders>
              <w:top w:val="nil"/>
              <w:left w:val="nil"/>
              <w:bottom w:val="nil"/>
              <w:right w:val="nil"/>
            </w:tcBorders>
            <w:shd w:val="clear" w:color="auto" w:fill="auto"/>
            <w:noWrap/>
            <w:vAlign w:val="center"/>
            <w:hideMark/>
          </w:tcPr>
          <w:p w14:paraId="656A099A" w14:textId="77777777" w:rsidR="00342DE1" w:rsidRPr="00342DE1" w:rsidRDefault="00342DE1" w:rsidP="00342DE1">
            <w:pPr>
              <w:spacing w:after="0" w:line="240" w:lineRule="auto"/>
              <w:jc w:val="center"/>
              <w:rPr>
                <w:rFonts w:ascii="Times New Roman" w:eastAsia="Times New Roman" w:hAnsi="Times New Roman" w:cs="Times New Roman"/>
                <w:sz w:val="20"/>
                <w:szCs w:val="20"/>
              </w:rPr>
            </w:pPr>
          </w:p>
        </w:tc>
        <w:tc>
          <w:tcPr>
            <w:tcW w:w="2281" w:type="dxa"/>
            <w:tcBorders>
              <w:top w:val="nil"/>
              <w:left w:val="nil"/>
              <w:bottom w:val="nil"/>
              <w:right w:val="nil"/>
            </w:tcBorders>
            <w:shd w:val="clear" w:color="auto" w:fill="auto"/>
            <w:noWrap/>
            <w:vAlign w:val="center"/>
            <w:hideMark/>
          </w:tcPr>
          <w:p w14:paraId="2FFF56AD" w14:textId="77777777" w:rsidR="00342DE1" w:rsidRPr="00342DE1" w:rsidRDefault="00342DE1" w:rsidP="00342DE1">
            <w:pPr>
              <w:spacing w:after="0" w:line="240" w:lineRule="auto"/>
              <w:jc w:val="center"/>
              <w:rPr>
                <w:rFonts w:ascii="Times New Roman" w:eastAsia="Times New Roman" w:hAnsi="Times New Roman" w:cs="Times New Roman"/>
                <w:sz w:val="20"/>
                <w:szCs w:val="20"/>
              </w:rPr>
            </w:pPr>
          </w:p>
        </w:tc>
        <w:tc>
          <w:tcPr>
            <w:tcW w:w="1809" w:type="dxa"/>
            <w:tcBorders>
              <w:top w:val="nil"/>
              <w:left w:val="nil"/>
              <w:bottom w:val="nil"/>
              <w:right w:val="nil"/>
            </w:tcBorders>
            <w:shd w:val="clear" w:color="auto" w:fill="auto"/>
            <w:noWrap/>
            <w:vAlign w:val="center"/>
            <w:hideMark/>
          </w:tcPr>
          <w:p w14:paraId="71ACFCBE" w14:textId="77777777" w:rsidR="00342DE1" w:rsidRPr="00342DE1" w:rsidRDefault="00342DE1" w:rsidP="00342DE1">
            <w:pPr>
              <w:spacing w:after="0" w:line="240" w:lineRule="auto"/>
              <w:jc w:val="center"/>
              <w:rPr>
                <w:rFonts w:ascii="Times New Roman" w:eastAsia="Times New Roman" w:hAnsi="Times New Roman" w:cs="Times New Roman"/>
                <w:sz w:val="20"/>
                <w:szCs w:val="20"/>
              </w:rPr>
            </w:pPr>
          </w:p>
        </w:tc>
      </w:tr>
      <w:tr w:rsidR="00342DE1" w:rsidRPr="00342DE1" w14:paraId="45D460BF" w14:textId="77777777" w:rsidTr="00342DE1">
        <w:trPr>
          <w:trHeight w:val="321"/>
        </w:trPr>
        <w:tc>
          <w:tcPr>
            <w:tcW w:w="1803" w:type="dxa"/>
            <w:tcBorders>
              <w:top w:val="nil"/>
              <w:left w:val="single" w:sz="8" w:space="0" w:color="44546A"/>
              <w:bottom w:val="nil"/>
              <w:right w:val="nil"/>
            </w:tcBorders>
            <w:shd w:val="clear" w:color="000000" w:fill="1F4E78"/>
            <w:noWrap/>
            <w:vAlign w:val="center"/>
            <w:hideMark/>
          </w:tcPr>
          <w:p w14:paraId="194B52A7" w14:textId="77777777" w:rsidR="00342DE1" w:rsidRPr="00342DE1" w:rsidRDefault="00342DE1" w:rsidP="00342DE1">
            <w:pPr>
              <w:spacing w:after="0" w:line="240" w:lineRule="auto"/>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OR Capacity</w:t>
            </w:r>
          </w:p>
        </w:tc>
        <w:tc>
          <w:tcPr>
            <w:tcW w:w="888" w:type="dxa"/>
            <w:tcBorders>
              <w:top w:val="nil"/>
              <w:left w:val="nil"/>
              <w:bottom w:val="nil"/>
              <w:right w:val="nil"/>
            </w:tcBorders>
            <w:shd w:val="clear" w:color="000000" w:fill="1F4E78"/>
            <w:noWrap/>
            <w:vAlign w:val="center"/>
            <w:hideMark/>
          </w:tcPr>
          <w:p w14:paraId="79AE9D8B"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Rooms</w:t>
            </w:r>
          </w:p>
        </w:tc>
        <w:tc>
          <w:tcPr>
            <w:tcW w:w="1339" w:type="dxa"/>
            <w:tcBorders>
              <w:top w:val="nil"/>
              <w:left w:val="nil"/>
              <w:bottom w:val="nil"/>
              <w:right w:val="nil"/>
            </w:tcBorders>
            <w:shd w:val="clear" w:color="000000" w:fill="1F4E78"/>
            <w:noWrap/>
            <w:vAlign w:val="center"/>
            <w:hideMark/>
          </w:tcPr>
          <w:p w14:paraId="3ADEC546"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Hours / Day</w:t>
            </w:r>
          </w:p>
        </w:tc>
        <w:tc>
          <w:tcPr>
            <w:tcW w:w="1876" w:type="dxa"/>
            <w:tcBorders>
              <w:top w:val="nil"/>
              <w:left w:val="nil"/>
              <w:bottom w:val="nil"/>
              <w:right w:val="nil"/>
            </w:tcBorders>
            <w:shd w:val="clear" w:color="000000" w:fill="1F4E78"/>
            <w:noWrap/>
            <w:vAlign w:val="center"/>
            <w:hideMark/>
          </w:tcPr>
          <w:p w14:paraId="0F42D7F0"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Capacity / Day</w:t>
            </w:r>
          </w:p>
        </w:tc>
        <w:tc>
          <w:tcPr>
            <w:tcW w:w="2281" w:type="dxa"/>
            <w:tcBorders>
              <w:top w:val="nil"/>
              <w:left w:val="nil"/>
              <w:bottom w:val="nil"/>
              <w:right w:val="nil"/>
            </w:tcBorders>
            <w:shd w:val="clear" w:color="000000" w:fill="1F4E78"/>
            <w:noWrap/>
            <w:vAlign w:val="center"/>
            <w:hideMark/>
          </w:tcPr>
          <w:p w14:paraId="1262CCEF"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proofErr w:type="gramStart"/>
            <w:r w:rsidRPr="00342DE1">
              <w:rPr>
                <w:rFonts w:ascii="Calibri" w:eastAsia="Times New Roman" w:hAnsi="Calibri" w:cs="Calibri"/>
                <w:b/>
                <w:bCs/>
                <w:color w:val="FFFFFF"/>
                <w:sz w:val="22"/>
                <w:szCs w:val="22"/>
              </w:rPr>
              <w:t>Work Days</w:t>
            </w:r>
            <w:proofErr w:type="gramEnd"/>
            <w:r w:rsidRPr="00342DE1">
              <w:rPr>
                <w:rFonts w:ascii="Calibri" w:eastAsia="Times New Roman" w:hAnsi="Calibri" w:cs="Calibri"/>
                <w:b/>
                <w:bCs/>
                <w:color w:val="FFFFFF"/>
                <w:sz w:val="22"/>
                <w:szCs w:val="22"/>
              </w:rPr>
              <w:t xml:space="preserve"> / Year</w:t>
            </w:r>
          </w:p>
        </w:tc>
        <w:tc>
          <w:tcPr>
            <w:tcW w:w="1809" w:type="dxa"/>
            <w:tcBorders>
              <w:top w:val="nil"/>
              <w:left w:val="nil"/>
              <w:bottom w:val="nil"/>
              <w:right w:val="single" w:sz="8" w:space="0" w:color="44546A"/>
            </w:tcBorders>
            <w:shd w:val="clear" w:color="000000" w:fill="1F4E78"/>
            <w:noWrap/>
            <w:vAlign w:val="center"/>
            <w:hideMark/>
          </w:tcPr>
          <w:p w14:paraId="735CAFE2"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Annual Capacity</w:t>
            </w:r>
          </w:p>
        </w:tc>
      </w:tr>
      <w:tr w:rsidR="00342DE1" w:rsidRPr="00342DE1" w14:paraId="7F3771D8" w14:textId="77777777" w:rsidTr="00342DE1">
        <w:trPr>
          <w:trHeight w:val="321"/>
        </w:trPr>
        <w:tc>
          <w:tcPr>
            <w:tcW w:w="1803" w:type="dxa"/>
            <w:tcBorders>
              <w:top w:val="nil"/>
              <w:left w:val="single" w:sz="8" w:space="0" w:color="44546A"/>
              <w:bottom w:val="nil"/>
              <w:right w:val="nil"/>
            </w:tcBorders>
            <w:shd w:val="clear" w:color="000000" w:fill="D9D9D9"/>
            <w:noWrap/>
            <w:vAlign w:val="center"/>
            <w:hideMark/>
          </w:tcPr>
          <w:p w14:paraId="7F904BBC" w14:textId="77777777" w:rsidR="00342DE1" w:rsidRPr="00342DE1" w:rsidRDefault="00342DE1" w:rsidP="00342DE1">
            <w:pPr>
              <w:spacing w:after="0" w:line="240" w:lineRule="auto"/>
              <w:rPr>
                <w:rFonts w:ascii="Calibri" w:eastAsia="Times New Roman" w:hAnsi="Calibri" w:cs="Calibri"/>
                <w:color w:val="000000"/>
                <w:sz w:val="22"/>
                <w:szCs w:val="22"/>
              </w:rPr>
            </w:pPr>
            <w:r w:rsidRPr="00342DE1">
              <w:rPr>
                <w:rFonts w:ascii="Calibri" w:eastAsia="Times New Roman" w:hAnsi="Calibri" w:cs="Calibri"/>
                <w:color w:val="000000"/>
                <w:sz w:val="22"/>
                <w:szCs w:val="22"/>
              </w:rPr>
              <w:t>Operating Room</w:t>
            </w:r>
          </w:p>
        </w:tc>
        <w:tc>
          <w:tcPr>
            <w:tcW w:w="888" w:type="dxa"/>
            <w:tcBorders>
              <w:top w:val="nil"/>
              <w:left w:val="nil"/>
              <w:bottom w:val="nil"/>
              <w:right w:val="nil"/>
            </w:tcBorders>
            <w:shd w:val="clear" w:color="auto" w:fill="auto"/>
            <w:noWrap/>
            <w:vAlign w:val="center"/>
            <w:hideMark/>
          </w:tcPr>
          <w:p w14:paraId="5DB66F05" w14:textId="77777777" w:rsidR="00342DE1" w:rsidRPr="00342DE1" w:rsidRDefault="00342DE1" w:rsidP="00342DE1">
            <w:pPr>
              <w:spacing w:after="0" w:line="240" w:lineRule="auto"/>
              <w:jc w:val="center"/>
              <w:rPr>
                <w:rFonts w:ascii="Calibri" w:eastAsia="Times New Roman" w:hAnsi="Calibri" w:cs="Calibri"/>
                <w:color w:val="000000"/>
                <w:sz w:val="22"/>
                <w:szCs w:val="22"/>
              </w:rPr>
            </w:pPr>
            <w:r w:rsidRPr="00342DE1">
              <w:rPr>
                <w:rFonts w:ascii="Calibri" w:eastAsia="Times New Roman" w:hAnsi="Calibri" w:cs="Calibri"/>
                <w:color w:val="000000"/>
                <w:sz w:val="22"/>
                <w:szCs w:val="22"/>
              </w:rPr>
              <w:t>6</w:t>
            </w:r>
          </w:p>
        </w:tc>
        <w:tc>
          <w:tcPr>
            <w:tcW w:w="1339" w:type="dxa"/>
            <w:tcBorders>
              <w:top w:val="nil"/>
              <w:left w:val="nil"/>
              <w:bottom w:val="nil"/>
              <w:right w:val="nil"/>
            </w:tcBorders>
            <w:shd w:val="clear" w:color="auto" w:fill="auto"/>
            <w:noWrap/>
            <w:vAlign w:val="center"/>
            <w:hideMark/>
          </w:tcPr>
          <w:p w14:paraId="3ACDF93E" w14:textId="77777777" w:rsidR="00342DE1" w:rsidRPr="00342DE1" w:rsidRDefault="00342DE1" w:rsidP="00342DE1">
            <w:pPr>
              <w:spacing w:after="0" w:line="240" w:lineRule="auto"/>
              <w:jc w:val="center"/>
              <w:rPr>
                <w:rFonts w:ascii="Calibri" w:eastAsia="Times New Roman" w:hAnsi="Calibri" w:cs="Calibri"/>
                <w:color w:val="000000"/>
                <w:sz w:val="22"/>
                <w:szCs w:val="22"/>
              </w:rPr>
            </w:pPr>
            <w:r w:rsidRPr="00342DE1">
              <w:rPr>
                <w:rFonts w:ascii="Calibri" w:eastAsia="Times New Roman" w:hAnsi="Calibri" w:cs="Calibri"/>
                <w:color w:val="000000"/>
                <w:sz w:val="22"/>
                <w:szCs w:val="22"/>
              </w:rPr>
              <w:t>8</w:t>
            </w:r>
          </w:p>
        </w:tc>
        <w:tc>
          <w:tcPr>
            <w:tcW w:w="1876" w:type="dxa"/>
            <w:tcBorders>
              <w:top w:val="nil"/>
              <w:left w:val="nil"/>
              <w:bottom w:val="nil"/>
              <w:right w:val="nil"/>
            </w:tcBorders>
            <w:shd w:val="clear" w:color="auto" w:fill="auto"/>
            <w:noWrap/>
            <w:vAlign w:val="center"/>
            <w:hideMark/>
          </w:tcPr>
          <w:p w14:paraId="0ADFA4FB" w14:textId="77777777" w:rsidR="00342DE1" w:rsidRPr="00342DE1" w:rsidRDefault="00342DE1" w:rsidP="00342DE1">
            <w:pPr>
              <w:spacing w:after="0" w:line="240" w:lineRule="auto"/>
              <w:jc w:val="center"/>
              <w:rPr>
                <w:rFonts w:ascii="Calibri" w:eastAsia="Times New Roman" w:hAnsi="Calibri" w:cs="Calibri"/>
                <w:color w:val="000000"/>
                <w:sz w:val="22"/>
                <w:szCs w:val="22"/>
              </w:rPr>
            </w:pPr>
            <w:r w:rsidRPr="00342DE1">
              <w:rPr>
                <w:rFonts w:ascii="Calibri" w:eastAsia="Times New Roman" w:hAnsi="Calibri" w:cs="Calibri"/>
                <w:color w:val="000000"/>
                <w:sz w:val="22"/>
                <w:szCs w:val="22"/>
              </w:rPr>
              <w:t>48</w:t>
            </w:r>
          </w:p>
        </w:tc>
        <w:tc>
          <w:tcPr>
            <w:tcW w:w="2281" w:type="dxa"/>
            <w:tcBorders>
              <w:top w:val="nil"/>
              <w:left w:val="nil"/>
              <w:bottom w:val="nil"/>
              <w:right w:val="nil"/>
            </w:tcBorders>
            <w:shd w:val="clear" w:color="auto" w:fill="auto"/>
            <w:noWrap/>
            <w:vAlign w:val="center"/>
            <w:hideMark/>
          </w:tcPr>
          <w:p w14:paraId="40C8E269" w14:textId="77777777" w:rsidR="00342DE1" w:rsidRPr="00342DE1" w:rsidRDefault="00342DE1" w:rsidP="00342DE1">
            <w:pPr>
              <w:spacing w:after="0" w:line="240" w:lineRule="auto"/>
              <w:jc w:val="center"/>
              <w:rPr>
                <w:rFonts w:ascii="Calibri" w:eastAsia="Times New Roman" w:hAnsi="Calibri" w:cs="Calibri"/>
                <w:color w:val="000000"/>
                <w:sz w:val="22"/>
                <w:szCs w:val="22"/>
              </w:rPr>
            </w:pPr>
            <w:r w:rsidRPr="00342DE1">
              <w:rPr>
                <w:rFonts w:ascii="Calibri" w:eastAsia="Times New Roman" w:hAnsi="Calibri" w:cs="Calibri"/>
                <w:color w:val="000000"/>
                <w:sz w:val="22"/>
                <w:szCs w:val="22"/>
              </w:rPr>
              <w:t>251</w:t>
            </w:r>
          </w:p>
        </w:tc>
        <w:tc>
          <w:tcPr>
            <w:tcW w:w="1809" w:type="dxa"/>
            <w:tcBorders>
              <w:top w:val="nil"/>
              <w:left w:val="nil"/>
              <w:bottom w:val="nil"/>
              <w:right w:val="single" w:sz="8" w:space="0" w:color="44546A"/>
            </w:tcBorders>
            <w:shd w:val="clear" w:color="auto" w:fill="auto"/>
            <w:noWrap/>
            <w:vAlign w:val="center"/>
            <w:hideMark/>
          </w:tcPr>
          <w:p w14:paraId="75A2BCF1" w14:textId="77777777" w:rsidR="00342DE1" w:rsidRPr="00342DE1" w:rsidRDefault="00342DE1" w:rsidP="00342DE1">
            <w:pPr>
              <w:spacing w:after="0" w:line="240" w:lineRule="auto"/>
              <w:jc w:val="center"/>
              <w:rPr>
                <w:rFonts w:ascii="Calibri" w:eastAsia="Times New Roman" w:hAnsi="Calibri" w:cs="Calibri"/>
                <w:color w:val="000000"/>
                <w:sz w:val="22"/>
                <w:szCs w:val="22"/>
              </w:rPr>
            </w:pPr>
            <w:r w:rsidRPr="00342DE1">
              <w:rPr>
                <w:rFonts w:ascii="Calibri" w:eastAsia="Times New Roman" w:hAnsi="Calibri" w:cs="Calibri"/>
                <w:color w:val="000000"/>
                <w:sz w:val="22"/>
                <w:szCs w:val="22"/>
              </w:rPr>
              <w:t>12,067</w:t>
            </w:r>
          </w:p>
        </w:tc>
      </w:tr>
      <w:tr w:rsidR="00342DE1" w:rsidRPr="00342DE1" w14:paraId="1AB65FFF" w14:textId="77777777" w:rsidTr="00342DE1">
        <w:trPr>
          <w:trHeight w:val="337"/>
        </w:trPr>
        <w:tc>
          <w:tcPr>
            <w:tcW w:w="1803" w:type="dxa"/>
            <w:tcBorders>
              <w:top w:val="nil"/>
              <w:left w:val="single" w:sz="8" w:space="0" w:color="44546A"/>
              <w:bottom w:val="single" w:sz="8" w:space="0" w:color="44546A"/>
              <w:right w:val="nil"/>
            </w:tcBorders>
            <w:shd w:val="clear" w:color="000000" w:fill="1F4E78"/>
            <w:noWrap/>
            <w:vAlign w:val="center"/>
            <w:hideMark/>
          </w:tcPr>
          <w:p w14:paraId="0D1754E5" w14:textId="77777777" w:rsidR="00342DE1" w:rsidRPr="00342DE1" w:rsidRDefault="00342DE1" w:rsidP="00342DE1">
            <w:pPr>
              <w:spacing w:after="0" w:line="240" w:lineRule="auto"/>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Total</w:t>
            </w:r>
          </w:p>
        </w:tc>
        <w:tc>
          <w:tcPr>
            <w:tcW w:w="888" w:type="dxa"/>
            <w:tcBorders>
              <w:top w:val="nil"/>
              <w:left w:val="nil"/>
              <w:bottom w:val="single" w:sz="8" w:space="0" w:color="44546A"/>
              <w:right w:val="nil"/>
            </w:tcBorders>
            <w:shd w:val="clear" w:color="000000" w:fill="1F4E78"/>
            <w:noWrap/>
            <w:vAlign w:val="center"/>
            <w:hideMark/>
          </w:tcPr>
          <w:p w14:paraId="53209E8C" w14:textId="77777777" w:rsidR="00342DE1" w:rsidRPr="00342DE1" w:rsidRDefault="00342DE1" w:rsidP="00342DE1">
            <w:pPr>
              <w:spacing w:after="0" w:line="240" w:lineRule="auto"/>
              <w:rPr>
                <w:rFonts w:ascii="Calibri" w:eastAsia="Times New Roman" w:hAnsi="Calibri" w:cs="Calibri"/>
                <w:color w:val="FFFFFF"/>
                <w:sz w:val="22"/>
                <w:szCs w:val="22"/>
              </w:rPr>
            </w:pPr>
            <w:r w:rsidRPr="00342DE1">
              <w:rPr>
                <w:rFonts w:ascii="Calibri" w:eastAsia="Times New Roman" w:hAnsi="Calibri" w:cs="Calibri"/>
                <w:color w:val="FFFFFF"/>
                <w:sz w:val="22"/>
                <w:szCs w:val="22"/>
              </w:rPr>
              <w:t> </w:t>
            </w:r>
          </w:p>
        </w:tc>
        <w:tc>
          <w:tcPr>
            <w:tcW w:w="1339" w:type="dxa"/>
            <w:tcBorders>
              <w:top w:val="nil"/>
              <w:left w:val="nil"/>
              <w:bottom w:val="single" w:sz="8" w:space="0" w:color="44546A"/>
              <w:right w:val="nil"/>
            </w:tcBorders>
            <w:shd w:val="clear" w:color="000000" w:fill="1F4E78"/>
            <w:noWrap/>
            <w:vAlign w:val="center"/>
            <w:hideMark/>
          </w:tcPr>
          <w:p w14:paraId="256F3408" w14:textId="77777777" w:rsidR="00342DE1" w:rsidRPr="00342DE1" w:rsidRDefault="00342DE1" w:rsidP="00342DE1">
            <w:pPr>
              <w:spacing w:after="0" w:line="240" w:lineRule="auto"/>
              <w:rPr>
                <w:rFonts w:ascii="Calibri" w:eastAsia="Times New Roman" w:hAnsi="Calibri" w:cs="Calibri"/>
                <w:color w:val="FFFFFF"/>
                <w:sz w:val="22"/>
                <w:szCs w:val="22"/>
              </w:rPr>
            </w:pPr>
            <w:r w:rsidRPr="00342DE1">
              <w:rPr>
                <w:rFonts w:ascii="Calibri" w:eastAsia="Times New Roman" w:hAnsi="Calibri" w:cs="Calibri"/>
                <w:color w:val="FFFFFF"/>
                <w:sz w:val="22"/>
                <w:szCs w:val="22"/>
              </w:rPr>
              <w:t> </w:t>
            </w:r>
          </w:p>
        </w:tc>
        <w:tc>
          <w:tcPr>
            <w:tcW w:w="1876" w:type="dxa"/>
            <w:tcBorders>
              <w:top w:val="nil"/>
              <w:left w:val="nil"/>
              <w:bottom w:val="single" w:sz="8" w:space="0" w:color="44546A"/>
              <w:right w:val="nil"/>
            </w:tcBorders>
            <w:shd w:val="clear" w:color="000000" w:fill="1F4E78"/>
            <w:noWrap/>
            <w:vAlign w:val="center"/>
            <w:hideMark/>
          </w:tcPr>
          <w:p w14:paraId="362BE236" w14:textId="77777777" w:rsidR="00342DE1" w:rsidRPr="00342DE1" w:rsidRDefault="00342DE1" w:rsidP="00342DE1">
            <w:pPr>
              <w:spacing w:after="0" w:line="240" w:lineRule="auto"/>
              <w:rPr>
                <w:rFonts w:ascii="Calibri" w:eastAsia="Times New Roman" w:hAnsi="Calibri" w:cs="Calibri"/>
                <w:color w:val="FFFFFF"/>
                <w:sz w:val="22"/>
                <w:szCs w:val="22"/>
              </w:rPr>
            </w:pPr>
            <w:r w:rsidRPr="00342DE1">
              <w:rPr>
                <w:rFonts w:ascii="Calibri" w:eastAsia="Times New Roman" w:hAnsi="Calibri" w:cs="Calibri"/>
                <w:color w:val="FFFFFF"/>
                <w:sz w:val="22"/>
                <w:szCs w:val="22"/>
              </w:rPr>
              <w:t> </w:t>
            </w:r>
          </w:p>
        </w:tc>
        <w:tc>
          <w:tcPr>
            <w:tcW w:w="2281" w:type="dxa"/>
            <w:tcBorders>
              <w:top w:val="nil"/>
              <w:left w:val="nil"/>
              <w:bottom w:val="single" w:sz="8" w:space="0" w:color="44546A"/>
              <w:right w:val="nil"/>
            </w:tcBorders>
            <w:shd w:val="clear" w:color="000000" w:fill="1F4E78"/>
            <w:noWrap/>
            <w:vAlign w:val="center"/>
            <w:hideMark/>
          </w:tcPr>
          <w:p w14:paraId="4C91FA26" w14:textId="77777777" w:rsidR="00342DE1" w:rsidRPr="00342DE1" w:rsidRDefault="00342DE1" w:rsidP="00342DE1">
            <w:pPr>
              <w:spacing w:after="0" w:line="240" w:lineRule="auto"/>
              <w:rPr>
                <w:rFonts w:ascii="Calibri" w:eastAsia="Times New Roman" w:hAnsi="Calibri" w:cs="Calibri"/>
                <w:color w:val="FFFFFF"/>
                <w:sz w:val="22"/>
                <w:szCs w:val="22"/>
              </w:rPr>
            </w:pPr>
            <w:r w:rsidRPr="00342DE1">
              <w:rPr>
                <w:rFonts w:ascii="Calibri" w:eastAsia="Times New Roman" w:hAnsi="Calibri" w:cs="Calibri"/>
                <w:color w:val="FFFFFF"/>
                <w:sz w:val="22"/>
                <w:szCs w:val="22"/>
              </w:rPr>
              <w:t> </w:t>
            </w:r>
          </w:p>
        </w:tc>
        <w:tc>
          <w:tcPr>
            <w:tcW w:w="1809" w:type="dxa"/>
            <w:tcBorders>
              <w:top w:val="nil"/>
              <w:left w:val="nil"/>
              <w:bottom w:val="single" w:sz="8" w:space="0" w:color="44546A"/>
              <w:right w:val="nil"/>
            </w:tcBorders>
            <w:shd w:val="clear" w:color="000000" w:fill="1F4E78"/>
            <w:noWrap/>
            <w:vAlign w:val="center"/>
            <w:hideMark/>
          </w:tcPr>
          <w:p w14:paraId="1736570E" w14:textId="77777777" w:rsidR="00342DE1" w:rsidRPr="00342DE1" w:rsidRDefault="00342DE1" w:rsidP="00342DE1">
            <w:pPr>
              <w:spacing w:after="0" w:line="240" w:lineRule="auto"/>
              <w:jc w:val="center"/>
              <w:rPr>
                <w:rFonts w:ascii="Calibri" w:eastAsia="Times New Roman" w:hAnsi="Calibri" w:cs="Calibri"/>
                <w:b/>
                <w:bCs/>
                <w:color w:val="FFFFFF"/>
                <w:sz w:val="22"/>
                <w:szCs w:val="22"/>
              </w:rPr>
            </w:pPr>
            <w:r w:rsidRPr="00342DE1">
              <w:rPr>
                <w:rFonts w:ascii="Calibri" w:eastAsia="Times New Roman" w:hAnsi="Calibri" w:cs="Calibri"/>
                <w:b/>
                <w:bCs/>
                <w:color w:val="FFFFFF"/>
                <w:sz w:val="22"/>
                <w:szCs w:val="22"/>
              </w:rPr>
              <w:t>12,067</w:t>
            </w:r>
          </w:p>
        </w:tc>
      </w:tr>
    </w:tbl>
    <w:p w14:paraId="4774ECDF" w14:textId="77777777" w:rsidR="009E5228" w:rsidRPr="005726AC" w:rsidRDefault="009E5228" w:rsidP="005726AC">
      <w:pPr>
        <w:pStyle w:val="ListParagraph"/>
        <w:spacing w:after="0" w:line="240" w:lineRule="auto"/>
        <w:rPr>
          <w:rFonts w:ascii="Calibri" w:hAnsi="Calibri" w:cs="Calibri"/>
        </w:rPr>
      </w:pPr>
    </w:p>
    <w:p w14:paraId="701C489D" w14:textId="77777777" w:rsidR="009E5228" w:rsidRPr="005726AC" w:rsidRDefault="009E5228" w:rsidP="005726AC">
      <w:pPr>
        <w:pStyle w:val="ListParagraph"/>
        <w:numPr>
          <w:ilvl w:val="0"/>
          <w:numId w:val="1"/>
        </w:numPr>
        <w:spacing w:after="0" w:line="240" w:lineRule="auto"/>
        <w:rPr>
          <w:rFonts w:ascii="Calibri" w:hAnsi="Calibri" w:cs="Calibri"/>
        </w:rPr>
      </w:pPr>
      <w:r w:rsidRPr="005726AC">
        <w:rPr>
          <w:rFonts w:ascii="Calibri" w:eastAsia="Arial" w:hAnsi="Calibri" w:cs="Calibri"/>
          <w:color w:val="000000"/>
          <w:spacing w:val="-1"/>
          <w:szCs w:val="22"/>
        </w:rPr>
        <w:t>Relative to Factor 1(e), competition, please provide anticipated cost savings relative to the sites where patients are currently going at other ASCs in MA or hospital sites.</w:t>
      </w:r>
    </w:p>
    <w:p w14:paraId="032107AC" w14:textId="079E02B3" w:rsidR="00AC5267" w:rsidRPr="002057D9" w:rsidRDefault="00213BD3" w:rsidP="001E7097">
      <w:pPr>
        <w:pStyle w:val="ListParagraph"/>
        <w:spacing w:after="0" w:line="240" w:lineRule="auto"/>
        <w:rPr>
          <w:rFonts w:ascii="Calibri" w:hAnsi="Calibri" w:cs="Calibri"/>
          <w:color w:val="A20000"/>
        </w:rPr>
      </w:pPr>
      <w:r w:rsidRPr="002057D9">
        <w:rPr>
          <w:rFonts w:ascii="Calibri" w:hAnsi="Calibri" w:cs="Calibri"/>
          <w:color w:val="A20000"/>
        </w:rPr>
        <w:t xml:space="preserve">The Applicant estimated cost savings based upon the </w:t>
      </w:r>
      <w:r w:rsidR="00EB13A3" w:rsidRPr="002057D9">
        <w:rPr>
          <w:rFonts w:ascii="Calibri" w:hAnsi="Calibri" w:cs="Calibri"/>
          <w:color w:val="A20000"/>
        </w:rPr>
        <w:t xml:space="preserve">difference in the </w:t>
      </w:r>
      <w:r w:rsidRPr="002057D9">
        <w:rPr>
          <w:rFonts w:ascii="Calibri" w:hAnsi="Calibri" w:cs="Calibri"/>
          <w:color w:val="A20000"/>
        </w:rPr>
        <w:t xml:space="preserve">cost to payers of procedures </w:t>
      </w:r>
      <w:r w:rsidR="00EB13A3" w:rsidRPr="002057D9">
        <w:rPr>
          <w:rFonts w:ascii="Calibri" w:hAnsi="Calibri" w:cs="Calibri"/>
          <w:color w:val="A20000"/>
        </w:rPr>
        <w:t xml:space="preserve">that are </w:t>
      </w:r>
      <w:r w:rsidRPr="002057D9">
        <w:rPr>
          <w:rFonts w:ascii="Calibri" w:hAnsi="Calibri" w:cs="Calibri"/>
          <w:color w:val="A20000"/>
        </w:rPr>
        <w:t>performed in an ASC compared to the cost of providing the same procedures in a</w:t>
      </w:r>
      <w:r w:rsidR="0012014C" w:rsidRPr="002057D9">
        <w:rPr>
          <w:rFonts w:ascii="Calibri" w:hAnsi="Calibri" w:cs="Calibri"/>
          <w:color w:val="A20000"/>
        </w:rPr>
        <w:t xml:space="preserve"> HOPD</w:t>
      </w:r>
      <w:r w:rsidRPr="002057D9">
        <w:rPr>
          <w:rFonts w:ascii="Calibri" w:hAnsi="Calibri" w:cs="Calibri"/>
          <w:color w:val="A20000"/>
        </w:rPr>
        <w:t xml:space="preserve"> or </w:t>
      </w:r>
      <w:r w:rsidR="00655700" w:rsidRPr="002057D9">
        <w:rPr>
          <w:rFonts w:ascii="Calibri" w:hAnsi="Calibri" w:cs="Calibri"/>
          <w:color w:val="A20000"/>
        </w:rPr>
        <w:t>an HIPD</w:t>
      </w:r>
      <w:r w:rsidRPr="002057D9">
        <w:rPr>
          <w:rFonts w:ascii="Calibri" w:hAnsi="Calibri" w:cs="Calibri"/>
          <w:color w:val="A20000"/>
        </w:rPr>
        <w:t xml:space="preserve">. The Applicant estimated that the </w:t>
      </w:r>
      <w:r w:rsidR="002052CB" w:rsidRPr="002057D9">
        <w:rPr>
          <w:rFonts w:ascii="Calibri" w:hAnsi="Calibri" w:cs="Calibri"/>
          <w:color w:val="A20000"/>
        </w:rPr>
        <w:t>cost savings for shifting</w:t>
      </w:r>
      <w:r w:rsidR="0012014C" w:rsidRPr="002057D9">
        <w:rPr>
          <w:rFonts w:ascii="Calibri" w:hAnsi="Calibri" w:cs="Calibri"/>
          <w:color w:val="A20000"/>
        </w:rPr>
        <w:t xml:space="preserve"> cases from a</w:t>
      </w:r>
      <w:r w:rsidR="002052CB" w:rsidRPr="002057D9">
        <w:rPr>
          <w:rFonts w:ascii="Calibri" w:hAnsi="Calibri" w:cs="Calibri"/>
          <w:color w:val="A20000"/>
        </w:rPr>
        <w:t xml:space="preserve"> HOPD and </w:t>
      </w:r>
      <w:r w:rsidR="00655700" w:rsidRPr="002057D9">
        <w:rPr>
          <w:rFonts w:ascii="Calibri" w:hAnsi="Calibri" w:cs="Calibri"/>
          <w:color w:val="A20000"/>
        </w:rPr>
        <w:t>HIPD</w:t>
      </w:r>
      <w:r w:rsidR="0012014C" w:rsidRPr="002057D9">
        <w:rPr>
          <w:rFonts w:ascii="Calibri" w:hAnsi="Calibri" w:cs="Calibri"/>
          <w:color w:val="A20000"/>
        </w:rPr>
        <w:t xml:space="preserve"> </w:t>
      </w:r>
      <w:r w:rsidRPr="002057D9">
        <w:rPr>
          <w:rFonts w:ascii="Calibri" w:hAnsi="Calibri" w:cs="Calibri"/>
          <w:color w:val="A20000"/>
        </w:rPr>
        <w:t>would</w:t>
      </w:r>
      <w:r w:rsidR="002F39F7" w:rsidRPr="002057D9">
        <w:rPr>
          <w:rFonts w:ascii="Calibri" w:hAnsi="Calibri" w:cs="Calibri"/>
          <w:color w:val="A20000"/>
        </w:rPr>
        <w:t xml:space="preserve"> be </w:t>
      </w:r>
      <w:r w:rsidR="0012014C" w:rsidRPr="002057D9">
        <w:rPr>
          <w:rFonts w:ascii="Calibri" w:hAnsi="Calibri" w:cs="Calibri"/>
          <w:color w:val="A20000"/>
        </w:rPr>
        <w:t xml:space="preserve">approximately </w:t>
      </w:r>
      <w:r w:rsidR="002F39F7" w:rsidRPr="002057D9">
        <w:rPr>
          <w:rFonts w:ascii="Calibri" w:hAnsi="Calibri" w:cs="Calibri"/>
          <w:color w:val="A20000"/>
        </w:rPr>
        <w:t>$2</w:t>
      </w:r>
      <w:r w:rsidRPr="002057D9">
        <w:rPr>
          <w:rFonts w:ascii="Calibri" w:hAnsi="Calibri" w:cs="Calibri"/>
          <w:color w:val="A20000"/>
        </w:rPr>
        <w:t>,</w:t>
      </w:r>
      <w:r w:rsidR="002F39F7" w:rsidRPr="002057D9">
        <w:rPr>
          <w:rFonts w:ascii="Calibri" w:hAnsi="Calibri" w:cs="Calibri"/>
          <w:color w:val="A20000"/>
        </w:rPr>
        <w:t>5</w:t>
      </w:r>
      <w:r w:rsidR="00CE0647" w:rsidRPr="002057D9">
        <w:rPr>
          <w:rFonts w:ascii="Calibri" w:hAnsi="Calibri" w:cs="Calibri"/>
          <w:color w:val="A20000"/>
        </w:rPr>
        <w:t xml:space="preserve">50 </w:t>
      </w:r>
      <w:r w:rsidR="002F39F7" w:rsidRPr="002057D9">
        <w:rPr>
          <w:rFonts w:ascii="Calibri" w:hAnsi="Calibri" w:cs="Calibri"/>
          <w:color w:val="A20000"/>
        </w:rPr>
        <w:t xml:space="preserve">per </w:t>
      </w:r>
      <w:r w:rsidR="00FD7A7E" w:rsidRPr="002057D9">
        <w:rPr>
          <w:rFonts w:ascii="Calibri" w:hAnsi="Calibri" w:cs="Calibri"/>
          <w:color w:val="A20000"/>
        </w:rPr>
        <w:t>case</w:t>
      </w:r>
      <w:r w:rsidRPr="002057D9">
        <w:rPr>
          <w:rFonts w:ascii="Calibri" w:hAnsi="Calibri" w:cs="Calibri"/>
          <w:color w:val="A20000"/>
        </w:rPr>
        <w:t xml:space="preserve">, </w:t>
      </w:r>
      <w:r w:rsidR="00CE0647" w:rsidRPr="002057D9">
        <w:rPr>
          <w:rFonts w:ascii="Calibri" w:hAnsi="Calibri" w:cs="Calibri"/>
          <w:color w:val="A20000"/>
        </w:rPr>
        <w:t>totaling an estimated saving</w:t>
      </w:r>
      <w:r w:rsidR="007679A8" w:rsidRPr="002057D9">
        <w:rPr>
          <w:rFonts w:ascii="Calibri" w:hAnsi="Calibri" w:cs="Calibri"/>
          <w:color w:val="A20000"/>
        </w:rPr>
        <w:t xml:space="preserve">s per year </w:t>
      </w:r>
      <w:r w:rsidR="00CE0647" w:rsidRPr="002057D9">
        <w:rPr>
          <w:rFonts w:ascii="Calibri" w:hAnsi="Calibri" w:cs="Calibri"/>
          <w:color w:val="A20000"/>
        </w:rPr>
        <w:t xml:space="preserve">of </w:t>
      </w:r>
      <w:r w:rsidR="0012014C" w:rsidRPr="002057D9">
        <w:rPr>
          <w:rFonts w:ascii="Calibri" w:hAnsi="Calibri" w:cs="Calibri"/>
          <w:color w:val="A20000"/>
        </w:rPr>
        <w:t xml:space="preserve">approximately </w:t>
      </w:r>
      <w:r w:rsidR="00CE0647" w:rsidRPr="002057D9">
        <w:rPr>
          <w:rFonts w:ascii="Calibri" w:hAnsi="Calibri" w:cs="Calibri"/>
          <w:color w:val="A20000"/>
        </w:rPr>
        <w:t>$16 million.</w:t>
      </w:r>
      <w:r w:rsidR="00A12E49" w:rsidRPr="002057D9">
        <w:rPr>
          <w:rFonts w:ascii="Calibri" w:hAnsi="Calibri" w:cs="Calibri"/>
          <w:color w:val="A20000"/>
        </w:rPr>
        <w:t xml:space="preserve"> </w:t>
      </w:r>
      <w:r w:rsidR="00FD7A7E" w:rsidRPr="002057D9">
        <w:rPr>
          <w:rFonts w:ascii="Calibri" w:hAnsi="Calibri" w:cs="Calibri"/>
          <w:color w:val="A20000"/>
        </w:rPr>
        <w:t xml:space="preserve"> </w:t>
      </w:r>
      <w:r w:rsidRPr="002057D9">
        <w:rPr>
          <w:rFonts w:ascii="Calibri" w:hAnsi="Calibri" w:cs="Calibri"/>
          <w:color w:val="A20000"/>
        </w:rPr>
        <w:t xml:space="preserve">The Applicant did not assume </w:t>
      </w:r>
      <w:r w:rsidR="00FD7A7E" w:rsidRPr="002057D9">
        <w:rPr>
          <w:rFonts w:ascii="Calibri" w:hAnsi="Calibri" w:cs="Calibri"/>
          <w:color w:val="A20000"/>
        </w:rPr>
        <w:t xml:space="preserve">that there will </w:t>
      </w:r>
      <w:r w:rsidRPr="002057D9">
        <w:rPr>
          <w:rFonts w:ascii="Calibri" w:hAnsi="Calibri" w:cs="Calibri"/>
          <w:color w:val="A20000"/>
        </w:rPr>
        <w:t>be</w:t>
      </w:r>
      <w:r w:rsidR="00FD7A7E" w:rsidRPr="002057D9">
        <w:rPr>
          <w:rFonts w:ascii="Calibri" w:hAnsi="Calibri" w:cs="Calibri"/>
          <w:color w:val="A20000"/>
        </w:rPr>
        <w:t xml:space="preserve"> cost savings for cases shift</w:t>
      </w:r>
      <w:r w:rsidR="0012014C" w:rsidRPr="002057D9">
        <w:rPr>
          <w:rFonts w:ascii="Calibri" w:hAnsi="Calibri" w:cs="Calibri"/>
          <w:color w:val="A20000"/>
        </w:rPr>
        <w:t>ing</w:t>
      </w:r>
      <w:r w:rsidR="00FD7A7E" w:rsidRPr="002057D9">
        <w:rPr>
          <w:rFonts w:ascii="Calibri" w:hAnsi="Calibri" w:cs="Calibri"/>
          <w:color w:val="A20000"/>
        </w:rPr>
        <w:t xml:space="preserve"> from other ASC</w:t>
      </w:r>
      <w:r w:rsidR="0012014C" w:rsidRPr="002057D9">
        <w:rPr>
          <w:rFonts w:ascii="Calibri" w:hAnsi="Calibri" w:cs="Calibri"/>
          <w:color w:val="A20000"/>
        </w:rPr>
        <w:t>s</w:t>
      </w:r>
      <w:r w:rsidR="00FD7A7E" w:rsidRPr="002057D9">
        <w:rPr>
          <w:rFonts w:ascii="Calibri" w:hAnsi="Calibri" w:cs="Calibri"/>
          <w:color w:val="A20000"/>
        </w:rPr>
        <w:t xml:space="preserve"> to the </w:t>
      </w:r>
      <w:r w:rsidR="0012014C" w:rsidRPr="002057D9">
        <w:rPr>
          <w:rFonts w:ascii="Calibri" w:hAnsi="Calibri" w:cs="Calibri"/>
          <w:color w:val="A20000"/>
        </w:rPr>
        <w:t>P</w:t>
      </w:r>
      <w:r w:rsidR="00FD7A7E" w:rsidRPr="002057D9">
        <w:rPr>
          <w:rFonts w:ascii="Calibri" w:hAnsi="Calibri" w:cs="Calibri"/>
          <w:color w:val="A20000"/>
        </w:rPr>
        <w:t xml:space="preserve">roposed </w:t>
      </w:r>
      <w:r w:rsidR="0012014C" w:rsidRPr="002057D9">
        <w:rPr>
          <w:rFonts w:ascii="Calibri" w:hAnsi="Calibri" w:cs="Calibri"/>
          <w:color w:val="A20000"/>
        </w:rPr>
        <w:t>Project</w:t>
      </w:r>
      <w:r w:rsidR="00FD7A7E" w:rsidRPr="002057D9">
        <w:rPr>
          <w:rFonts w:ascii="Calibri" w:hAnsi="Calibri" w:cs="Calibri"/>
          <w:color w:val="A20000"/>
        </w:rPr>
        <w:t>.</w:t>
      </w:r>
    </w:p>
    <w:p w14:paraId="055D25BB" w14:textId="26D2B23C" w:rsidR="00655700" w:rsidRDefault="00655700">
      <w:pPr>
        <w:rPr>
          <w:rFonts w:ascii="Calibri" w:hAnsi="Calibri" w:cs="Calibri"/>
        </w:rPr>
      </w:pPr>
      <w:r>
        <w:rPr>
          <w:rFonts w:ascii="Calibri" w:hAnsi="Calibri" w:cs="Calibri"/>
        </w:rPr>
        <w:br w:type="page"/>
      </w:r>
    </w:p>
    <w:p w14:paraId="7C0C5FD7" w14:textId="77777777" w:rsidR="00CE0647" w:rsidRPr="005726AC" w:rsidRDefault="00CE0647" w:rsidP="005726AC">
      <w:pPr>
        <w:pStyle w:val="ListParagraph"/>
        <w:spacing w:after="0" w:line="240" w:lineRule="auto"/>
        <w:rPr>
          <w:rFonts w:ascii="Calibri" w:hAnsi="Calibri" w:cs="Calibri"/>
        </w:rPr>
      </w:pPr>
    </w:p>
    <w:p w14:paraId="67485BF1" w14:textId="15589D6C" w:rsidR="005C37DA" w:rsidRPr="005726AC" w:rsidRDefault="003C315D" w:rsidP="005726AC">
      <w:pPr>
        <w:pStyle w:val="ListParagraph"/>
        <w:numPr>
          <w:ilvl w:val="0"/>
          <w:numId w:val="1"/>
        </w:numPr>
        <w:spacing w:after="0" w:line="240" w:lineRule="auto"/>
        <w:rPr>
          <w:rFonts w:ascii="Calibri" w:hAnsi="Calibri" w:cs="Calibri"/>
        </w:rPr>
      </w:pPr>
      <w:bookmarkStart w:id="1" w:name="_Hlk175305691"/>
      <w:r w:rsidRPr="005726AC">
        <w:rPr>
          <w:rFonts w:ascii="Calibri" w:hAnsi="Calibri" w:cs="Calibri"/>
        </w:rPr>
        <w:t xml:space="preserve">Questions </w:t>
      </w:r>
      <w:r w:rsidR="002869D0">
        <w:rPr>
          <w:rFonts w:ascii="Calibri" w:hAnsi="Calibri" w:cs="Calibri"/>
        </w:rPr>
        <w:t xml:space="preserve">regarding </w:t>
      </w:r>
      <w:r w:rsidRPr="005726AC">
        <w:rPr>
          <w:rFonts w:ascii="Calibri" w:hAnsi="Calibri" w:cs="Calibri"/>
        </w:rPr>
        <w:t xml:space="preserve">the </w:t>
      </w:r>
      <w:r w:rsidR="00741DAE" w:rsidRPr="005726AC">
        <w:rPr>
          <w:rFonts w:ascii="Calibri" w:hAnsi="Calibri" w:cs="Calibri"/>
        </w:rPr>
        <w:t>CPA report</w:t>
      </w:r>
      <w:r w:rsidRPr="005726AC">
        <w:rPr>
          <w:rFonts w:ascii="Calibri" w:hAnsi="Calibri" w:cs="Calibri"/>
        </w:rPr>
        <w:t>:</w:t>
      </w:r>
    </w:p>
    <w:p w14:paraId="46E82C07" w14:textId="77777777" w:rsidR="00741DAE" w:rsidRPr="005726AC" w:rsidRDefault="00741DAE" w:rsidP="005726AC">
      <w:pPr>
        <w:pStyle w:val="ListParagraph"/>
        <w:spacing w:after="0" w:line="240" w:lineRule="auto"/>
        <w:rPr>
          <w:rFonts w:ascii="Calibri" w:hAnsi="Calibri" w:cs="Calibri"/>
        </w:rPr>
      </w:pPr>
    </w:p>
    <w:p w14:paraId="0E60BF8E" w14:textId="279DFDFA" w:rsidR="00741DAE" w:rsidRDefault="003C315D" w:rsidP="005726AC">
      <w:pPr>
        <w:pStyle w:val="ListParagraph"/>
        <w:numPr>
          <w:ilvl w:val="0"/>
          <w:numId w:val="3"/>
        </w:numPr>
        <w:spacing w:after="0" w:line="240" w:lineRule="auto"/>
        <w:ind w:left="1080"/>
        <w:rPr>
          <w:rFonts w:ascii="Calibri" w:hAnsi="Calibri" w:cs="Calibri"/>
        </w:rPr>
      </w:pPr>
      <w:r w:rsidRPr="005726AC">
        <w:rPr>
          <w:rFonts w:ascii="Calibri" w:hAnsi="Calibri" w:cs="Calibri"/>
        </w:rPr>
        <w:t xml:space="preserve">Documentation reviewed by the CPA includes historical audited Atrius financial statements. </w:t>
      </w:r>
      <w:r w:rsidR="00741DAE" w:rsidRPr="005726AC">
        <w:rPr>
          <w:rFonts w:ascii="Calibri" w:hAnsi="Calibri" w:cs="Calibri"/>
        </w:rPr>
        <w:t xml:space="preserve">Please provide the specific years of those audited reports.  </w:t>
      </w:r>
    </w:p>
    <w:p w14:paraId="313513A3" w14:textId="794DAAFC" w:rsidR="002B397F" w:rsidRPr="002057D9" w:rsidRDefault="002B397F" w:rsidP="002B397F">
      <w:pPr>
        <w:pStyle w:val="ListParagraph"/>
        <w:spacing w:after="0" w:line="240" w:lineRule="auto"/>
        <w:ind w:left="1080"/>
        <w:rPr>
          <w:rFonts w:ascii="Calibri" w:hAnsi="Calibri" w:cs="Calibri"/>
          <w:color w:val="A20000"/>
        </w:rPr>
      </w:pPr>
      <w:proofErr w:type="spellStart"/>
      <w:r w:rsidRPr="002057D9">
        <w:rPr>
          <w:rFonts w:ascii="Calibri" w:hAnsi="Calibri" w:cs="Calibri"/>
          <w:color w:val="A20000"/>
        </w:rPr>
        <w:t>Veralon</w:t>
      </w:r>
      <w:proofErr w:type="spellEnd"/>
      <w:r w:rsidRPr="002057D9">
        <w:rPr>
          <w:rFonts w:ascii="Calibri" w:hAnsi="Calibri" w:cs="Calibri"/>
          <w:color w:val="A20000"/>
        </w:rPr>
        <w:t xml:space="preserve"> </w:t>
      </w:r>
      <w:r w:rsidR="00E674EF" w:rsidRPr="002057D9">
        <w:rPr>
          <w:rFonts w:ascii="Calibri" w:hAnsi="Calibri" w:cs="Calibri"/>
          <w:color w:val="A20000"/>
        </w:rPr>
        <w:t xml:space="preserve">reviewed </w:t>
      </w:r>
      <w:r w:rsidR="00913E03" w:rsidRPr="002057D9">
        <w:rPr>
          <w:rFonts w:ascii="Calibri" w:hAnsi="Calibri" w:cs="Calibri"/>
          <w:color w:val="A20000"/>
        </w:rPr>
        <w:t xml:space="preserve">historical </w:t>
      </w:r>
      <w:r w:rsidR="00655700" w:rsidRPr="002057D9">
        <w:rPr>
          <w:rFonts w:ascii="Calibri" w:hAnsi="Calibri" w:cs="Calibri"/>
          <w:color w:val="A20000"/>
        </w:rPr>
        <w:t xml:space="preserve">financial </w:t>
      </w:r>
      <w:r w:rsidR="00913E03" w:rsidRPr="002057D9">
        <w:rPr>
          <w:rFonts w:ascii="Calibri" w:hAnsi="Calibri" w:cs="Calibri"/>
          <w:color w:val="A20000"/>
        </w:rPr>
        <w:t>statements</w:t>
      </w:r>
      <w:r w:rsidR="00E674EF" w:rsidRPr="002057D9">
        <w:rPr>
          <w:rFonts w:ascii="Calibri" w:hAnsi="Calibri" w:cs="Calibri"/>
          <w:color w:val="A20000"/>
        </w:rPr>
        <w:t xml:space="preserve">, which included the consolidated financial performance of all of </w:t>
      </w:r>
      <w:r w:rsidR="0012014C" w:rsidRPr="002057D9">
        <w:rPr>
          <w:rFonts w:ascii="Calibri" w:hAnsi="Calibri" w:cs="Calibri"/>
          <w:color w:val="A20000"/>
        </w:rPr>
        <w:t xml:space="preserve">United Health Group’s </w:t>
      </w:r>
      <w:r w:rsidR="00E674EF" w:rsidRPr="002057D9">
        <w:rPr>
          <w:rFonts w:ascii="Calibri" w:hAnsi="Calibri" w:cs="Calibri"/>
          <w:color w:val="A20000"/>
        </w:rPr>
        <w:t>subsidiaries, including Atrius Health, Inc</w:t>
      </w:r>
      <w:r w:rsidR="0012014C" w:rsidRPr="002057D9">
        <w:rPr>
          <w:rFonts w:ascii="Calibri" w:hAnsi="Calibri" w:cs="Calibri"/>
          <w:color w:val="A20000"/>
        </w:rPr>
        <w:t>.</w:t>
      </w:r>
      <w:r w:rsidR="00E674EF" w:rsidRPr="002057D9">
        <w:rPr>
          <w:rFonts w:ascii="Calibri" w:hAnsi="Calibri" w:cs="Calibri"/>
          <w:color w:val="A20000"/>
        </w:rPr>
        <w:t xml:space="preserve">, for </w:t>
      </w:r>
      <w:r w:rsidR="00A12E49" w:rsidRPr="002057D9">
        <w:rPr>
          <w:rFonts w:ascii="Calibri" w:hAnsi="Calibri" w:cs="Calibri"/>
          <w:color w:val="A20000"/>
        </w:rPr>
        <w:t>year</w:t>
      </w:r>
      <w:r w:rsidR="0012014C" w:rsidRPr="002057D9">
        <w:rPr>
          <w:rFonts w:ascii="Calibri" w:hAnsi="Calibri" w:cs="Calibri"/>
          <w:color w:val="A20000"/>
        </w:rPr>
        <w:t>s</w:t>
      </w:r>
      <w:r w:rsidR="00A12E49" w:rsidRPr="002057D9">
        <w:rPr>
          <w:rFonts w:ascii="Calibri" w:hAnsi="Calibri" w:cs="Calibri"/>
          <w:color w:val="A20000"/>
        </w:rPr>
        <w:t xml:space="preserve"> </w:t>
      </w:r>
      <w:proofErr w:type="gramStart"/>
      <w:r w:rsidR="00A12E49" w:rsidRPr="002057D9">
        <w:rPr>
          <w:rFonts w:ascii="Calibri" w:hAnsi="Calibri" w:cs="Calibri"/>
          <w:color w:val="A20000"/>
        </w:rPr>
        <w:t>end</w:t>
      </w:r>
      <w:r w:rsidR="0012014C" w:rsidRPr="002057D9">
        <w:rPr>
          <w:rFonts w:ascii="Calibri" w:hAnsi="Calibri" w:cs="Calibri"/>
          <w:color w:val="A20000"/>
        </w:rPr>
        <w:t xml:space="preserve">ing </w:t>
      </w:r>
      <w:r w:rsidR="00A12E49" w:rsidRPr="002057D9">
        <w:rPr>
          <w:rFonts w:ascii="Calibri" w:hAnsi="Calibri" w:cs="Calibri"/>
          <w:color w:val="A20000"/>
        </w:rPr>
        <w:t xml:space="preserve"> 2021</w:t>
      </w:r>
      <w:proofErr w:type="gramEnd"/>
      <w:r w:rsidR="00A12E49" w:rsidRPr="002057D9">
        <w:rPr>
          <w:rFonts w:ascii="Calibri" w:hAnsi="Calibri" w:cs="Calibri"/>
          <w:color w:val="A20000"/>
        </w:rPr>
        <w:t xml:space="preserve">, 2022, and </w:t>
      </w:r>
      <w:r w:rsidR="00E674EF" w:rsidRPr="002057D9">
        <w:rPr>
          <w:rFonts w:ascii="Calibri" w:hAnsi="Calibri" w:cs="Calibri"/>
          <w:color w:val="A20000"/>
        </w:rPr>
        <w:t xml:space="preserve">2023. </w:t>
      </w:r>
    </w:p>
    <w:p w14:paraId="00826AA2" w14:textId="77777777" w:rsidR="005340ED" w:rsidRPr="005726AC" w:rsidRDefault="005340ED" w:rsidP="005340ED">
      <w:pPr>
        <w:pStyle w:val="ListParagraph"/>
        <w:spacing w:after="0" w:line="240" w:lineRule="auto"/>
        <w:ind w:left="1080"/>
        <w:rPr>
          <w:rFonts w:ascii="Calibri" w:hAnsi="Calibri" w:cs="Calibri"/>
        </w:rPr>
      </w:pPr>
    </w:p>
    <w:p w14:paraId="147C153E" w14:textId="77777777" w:rsidR="005726AC" w:rsidRPr="005726AC" w:rsidRDefault="003C315D" w:rsidP="005726AC">
      <w:pPr>
        <w:pStyle w:val="ListParagraph"/>
        <w:numPr>
          <w:ilvl w:val="0"/>
          <w:numId w:val="3"/>
        </w:numPr>
        <w:spacing w:after="0" w:line="240" w:lineRule="auto"/>
        <w:ind w:left="1080"/>
        <w:rPr>
          <w:rFonts w:ascii="Calibri" w:hAnsi="Calibri" w:cs="Calibri"/>
        </w:rPr>
      </w:pPr>
      <w:r w:rsidRPr="005726AC">
        <w:rPr>
          <w:rFonts w:ascii="Calibri" w:hAnsi="Calibri" w:cs="Calibri"/>
        </w:rPr>
        <w:t>There is a mention of Key Metrics without any reference to what they are for the proposed project and whether they are reasonable and within industry standards.</w:t>
      </w:r>
      <w:r w:rsidR="005726AC" w:rsidRPr="005726AC">
        <w:rPr>
          <w:rFonts w:ascii="Calibri" w:hAnsi="Calibri" w:cs="Calibri"/>
        </w:rPr>
        <w:t xml:space="preserve"> </w:t>
      </w:r>
      <w:bookmarkStart w:id="2" w:name="_Hlk175047500"/>
    </w:p>
    <w:p w14:paraId="18043596" w14:textId="396BFAD4" w:rsidR="003C315D" w:rsidRDefault="005726AC" w:rsidP="005726AC">
      <w:pPr>
        <w:spacing w:after="0" w:line="240" w:lineRule="auto"/>
        <w:ind w:left="1080"/>
        <w:rPr>
          <w:rFonts w:ascii="Calibri" w:hAnsi="Calibri" w:cs="Calibri"/>
        </w:rPr>
      </w:pPr>
      <w:r w:rsidRPr="005726AC">
        <w:rPr>
          <w:rFonts w:ascii="Calibri" w:hAnsi="Calibri" w:cs="Calibri"/>
          <w:i/>
          <w:iCs/>
        </w:rPr>
        <w:t xml:space="preserve">“The Key Metrics </w:t>
      </w:r>
      <w:bookmarkEnd w:id="2"/>
      <w:r w:rsidRPr="005726AC">
        <w:rPr>
          <w:rFonts w:ascii="Calibri" w:hAnsi="Calibri" w:cs="Calibri"/>
          <w:i/>
          <w:iCs/>
        </w:rPr>
        <w:t>used in this report fall into three categories: liquidity, profitability, and solvency metrics. Liquidity ratios measure the quality and adequacy of assets to meet current obligations as they come due. Profitability ratios are used to assist in the evaluation of management performance. Solvency ratios are used to evaluate a company’s ability to meet its liabilities.</w:t>
      </w:r>
      <w:r w:rsidRPr="005726AC">
        <w:rPr>
          <w:rFonts w:ascii="Calibri" w:hAnsi="Calibri" w:cs="Calibri"/>
        </w:rPr>
        <w:t xml:space="preserve"> “</w:t>
      </w:r>
    </w:p>
    <w:p w14:paraId="0BBE9688" w14:textId="157416CE" w:rsidR="00CC4DEA" w:rsidRPr="002057D9" w:rsidRDefault="00CC4DEA" w:rsidP="00EF2CF6">
      <w:pPr>
        <w:spacing w:after="0" w:line="240" w:lineRule="auto"/>
        <w:ind w:left="1080"/>
        <w:rPr>
          <w:rFonts w:ascii="Calibri" w:hAnsi="Calibri" w:cs="Calibri"/>
          <w:color w:val="A20000"/>
        </w:rPr>
      </w:pPr>
      <w:r w:rsidRPr="002057D9">
        <w:rPr>
          <w:rFonts w:ascii="Calibri" w:hAnsi="Calibri" w:cs="Calibri"/>
          <w:color w:val="A20000"/>
        </w:rPr>
        <w:t xml:space="preserve">The following was provided by </w:t>
      </w:r>
      <w:proofErr w:type="spellStart"/>
      <w:r w:rsidRPr="002057D9">
        <w:rPr>
          <w:rFonts w:ascii="Calibri" w:hAnsi="Calibri" w:cs="Calibri"/>
          <w:color w:val="A20000"/>
        </w:rPr>
        <w:t>Veralon</w:t>
      </w:r>
      <w:proofErr w:type="spellEnd"/>
      <w:r w:rsidRPr="002057D9">
        <w:rPr>
          <w:rFonts w:ascii="Calibri" w:hAnsi="Calibri" w:cs="Calibri"/>
          <w:color w:val="A20000"/>
        </w:rPr>
        <w:t>:</w:t>
      </w:r>
    </w:p>
    <w:p w14:paraId="68A896F9" w14:textId="77777777" w:rsidR="00CC4DEA" w:rsidRPr="002057D9" w:rsidRDefault="00CC4DEA" w:rsidP="00EF2CF6">
      <w:pPr>
        <w:spacing w:after="0" w:line="240" w:lineRule="auto"/>
        <w:ind w:left="1080"/>
        <w:rPr>
          <w:rFonts w:ascii="Calibri" w:hAnsi="Calibri" w:cs="Calibri"/>
          <w:color w:val="A20000"/>
        </w:rPr>
      </w:pPr>
    </w:p>
    <w:p w14:paraId="6E598C7A" w14:textId="5A9E736A" w:rsidR="00921218" w:rsidRPr="002057D9" w:rsidRDefault="00EF2CF6" w:rsidP="00EF2CF6">
      <w:pPr>
        <w:spacing w:after="0" w:line="240" w:lineRule="auto"/>
        <w:ind w:left="1080"/>
        <w:rPr>
          <w:rFonts w:ascii="Calibri" w:hAnsi="Calibri" w:cs="Calibri"/>
          <w:color w:val="A20000"/>
        </w:rPr>
      </w:pPr>
      <w:r w:rsidRPr="002057D9">
        <w:rPr>
          <w:rFonts w:ascii="Calibri" w:hAnsi="Calibri" w:cs="Calibri"/>
          <w:color w:val="A20000"/>
        </w:rPr>
        <w:t>Table 1 presents the key metrics (the “Key Metrics”) reviewed in our analysis along with definitions.</w:t>
      </w:r>
    </w:p>
    <w:p w14:paraId="5F1D3BBB" w14:textId="77777777" w:rsidR="00EF2CF6" w:rsidRPr="002057D9" w:rsidRDefault="00EF2CF6" w:rsidP="00EF2CF6">
      <w:pPr>
        <w:spacing w:after="0" w:line="240" w:lineRule="auto"/>
        <w:ind w:left="1080"/>
        <w:rPr>
          <w:rFonts w:ascii="Calibri" w:hAnsi="Calibri" w:cs="Calibri"/>
          <w:color w:val="A20000"/>
        </w:rPr>
      </w:pPr>
    </w:p>
    <w:p w14:paraId="5A34E218" w14:textId="77777777" w:rsidR="00EF2CF6" w:rsidRPr="002057D9" w:rsidRDefault="00EF2CF6" w:rsidP="00EF2CF6">
      <w:pPr>
        <w:pStyle w:val="Caption"/>
        <w:keepNext/>
        <w:ind w:left="720"/>
        <w:rPr>
          <w:rFonts w:ascii="Calibri" w:hAnsi="Calibri" w:cs="Calibri"/>
          <w:color w:val="A20000"/>
          <w:u w:val="single"/>
        </w:rPr>
      </w:pPr>
      <w:r w:rsidRPr="002057D9">
        <w:rPr>
          <w:rFonts w:ascii="Calibri" w:hAnsi="Calibri" w:cs="Calibri"/>
          <w:color w:val="A20000"/>
          <w:u w:val="single"/>
        </w:rPr>
        <w:t xml:space="preserve">Table </w:t>
      </w:r>
      <w:r w:rsidRPr="002057D9">
        <w:rPr>
          <w:rFonts w:ascii="Calibri" w:hAnsi="Calibri" w:cs="Calibri"/>
          <w:color w:val="A20000"/>
          <w:u w:val="single"/>
        </w:rPr>
        <w:fldChar w:fldCharType="begin"/>
      </w:r>
      <w:r w:rsidRPr="002057D9">
        <w:rPr>
          <w:rFonts w:ascii="Calibri" w:hAnsi="Calibri" w:cs="Calibri"/>
          <w:color w:val="A20000"/>
          <w:u w:val="single"/>
        </w:rPr>
        <w:instrText xml:space="preserve"> SEQ Table \* ARABIC </w:instrText>
      </w:r>
      <w:r w:rsidRPr="002057D9">
        <w:rPr>
          <w:rFonts w:ascii="Calibri" w:hAnsi="Calibri" w:cs="Calibri"/>
          <w:color w:val="A20000"/>
          <w:u w:val="single"/>
        </w:rPr>
        <w:fldChar w:fldCharType="separate"/>
      </w:r>
      <w:r w:rsidRPr="002057D9">
        <w:rPr>
          <w:rFonts w:ascii="Calibri" w:hAnsi="Calibri" w:cs="Calibri"/>
          <w:noProof/>
          <w:color w:val="A20000"/>
          <w:u w:val="single"/>
        </w:rPr>
        <w:t>1</w:t>
      </w:r>
      <w:r w:rsidRPr="002057D9">
        <w:rPr>
          <w:rFonts w:ascii="Calibri" w:hAnsi="Calibri" w:cs="Calibri"/>
          <w:noProof/>
          <w:color w:val="A20000"/>
          <w:u w:val="single"/>
        </w:rPr>
        <w:fldChar w:fldCharType="end"/>
      </w:r>
    </w:p>
    <w:tbl>
      <w:tblPr>
        <w:tblStyle w:val="TableGrid"/>
        <w:tblW w:w="8516" w:type="dxa"/>
        <w:tblInd w:w="720" w:type="dxa"/>
        <w:tblLook w:val="04A0" w:firstRow="1" w:lastRow="0" w:firstColumn="1" w:lastColumn="0" w:noHBand="0" w:noVBand="1"/>
      </w:tblPr>
      <w:tblGrid>
        <w:gridCol w:w="2283"/>
        <w:gridCol w:w="6233"/>
      </w:tblGrid>
      <w:tr w:rsidR="00EF2CF6" w:rsidRPr="00EF2CF6" w14:paraId="5FD9BF6D" w14:textId="77777777" w:rsidTr="00833BD9">
        <w:trPr>
          <w:trHeight w:val="387"/>
        </w:trPr>
        <w:tc>
          <w:tcPr>
            <w:tcW w:w="8516" w:type="dxa"/>
            <w:gridSpan w:val="2"/>
            <w:tcBorders>
              <w:top w:val="single" w:sz="8" w:space="0" w:color="auto"/>
              <w:left w:val="single" w:sz="8" w:space="0" w:color="auto"/>
              <w:bottom w:val="nil"/>
              <w:right w:val="single" w:sz="8" w:space="0" w:color="auto"/>
            </w:tcBorders>
            <w:shd w:val="clear" w:color="auto" w:fill="0E2841" w:themeFill="text2"/>
            <w:hideMark/>
          </w:tcPr>
          <w:p w14:paraId="39D29CE5" w14:textId="77777777" w:rsidR="00EF2CF6" w:rsidRPr="001616B2" w:rsidRDefault="00EF2CF6" w:rsidP="004E1132">
            <w:pPr>
              <w:jc w:val="center"/>
              <w:rPr>
                <w:rFonts w:ascii="Calibri" w:hAnsi="Calibri" w:cs="Calibri"/>
                <w:b/>
                <w:bCs/>
              </w:rPr>
            </w:pPr>
            <w:r w:rsidRPr="00833BD9">
              <w:rPr>
                <w:rFonts w:ascii="Calibri" w:hAnsi="Calibri" w:cs="Calibri"/>
                <w:b/>
                <w:bCs/>
                <w:color w:val="FFFFFF" w:themeColor="background1"/>
              </w:rPr>
              <w:t>Summary of Key Metric Calculation Definitions</w:t>
            </w:r>
          </w:p>
        </w:tc>
      </w:tr>
      <w:tr w:rsidR="00EF2CF6" w:rsidRPr="00EF2CF6" w14:paraId="721DFEE2" w14:textId="77777777" w:rsidTr="00833BD9">
        <w:trPr>
          <w:trHeight w:val="387"/>
        </w:trPr>
        <w:tc>
          <w:tcPr>
            <w:tcW w:w="2283" w:type="dxa"/>
            <w:tcBorders>
              <w:top w:val="nil"/>
              <w:left w:val="single" w:sz="8" w:space="0" w:color="auto"/>
              <w:bottom w:val="single" w:sz="18" w:space="0" w:color="auto"/>
              <w:right w:val="nil"/>
            </w:tcBorders>
            <w:shd w:val="clear" w:color="auto" w:fill="auto"/>
            <w:hideMark/>
          </w:tcPr>
          <w:p w14:paraId="3F91A851" w14:textId="77777777" w:rsidR="00EF2CF6" w:rsidRPr="001616B2" w:rsidRDefault="00EF2CF6" w:rsidP="004E1132">
            <w:pPr>
              <w:jc w:val="center"/>
              <w:rPr>
                <w:rFonts w:ascii="Calibri" w:hAnsi="Calibri" w:cs="Calibri"/>
                <w:b/>
                <w:bCs/>
              </w:rPr>
            </w:pPr>
            <w:r w:rsidRPr="001616B2">
              <w:rPr>
                <w:rFonts w:ascii="Calibri" w:hAnsi="Calibri" w:cs="Calibri"/>
                <w:b/>
                <w:bCs/>
              </w:rPr>
              <w:t>Key Metric</w:t>
            </w:r>
          </w:p>
        </w:tc>
        <w:tc>
          <w:tcPr>
            <w:tcW w:w="6233" w:type="dxa"/>
            <w:tcBorders>
              <w:top w:val="nil"/>
              <w:left w:val="nil"/>
              <w:bottom w:val="single" w:sz="18" w:space="0" w:color="auto"/>
              <w:right w:val="single" w:sz="8" w:space="0" w:color="auto"/>
            </w:tcBorders>
            <w:shd w:val="clear" w:color="auto" w:fill="auto"/>
            <w:hideMark/>
          </w:tcPr>
          <w:p w14:paraId="51F2FE98" w14:textId="77777777" w:rsidR="00EF2CF6" w:rsidRPr="001616B2" w:rsidRDefault="00EF2CF6" w:rsidP="004E1132">
            <w:pPr>
              <w:jc w:val="center"/>
              <w:rPr>
                <w:rFonts w:ascii="Calibri" w:hAnsi="Calibri" w:cs="Calibri"/>
                <w:b/>
                <w:bCs/>
              </w:rPr>
            </w:pPr>
            <w:r w:rsidRPr="001616B2">
              <w:rPr>
                <w:rFonts w:ascii="Calibri" w:hAnsi="Calibri" w:cs="Calibri"/>
                <w:b/>
                <w:bCs/>
              </w:rPr>
              <w:t>Calculation</w:t>
            </w:r>
          </w:p>
        </w:tc>
      </w:tr>
      <w:tr w:rsidR="00EF2CF6" w:rsidRPr="00EF2CF6" w14:paraId="2B6F1760" w14:textId="77777777" w:rsidTr="00833BD9">
        <w:trPr>
          <w:trHeight w:val="329"/>
        </w:trPr>
        <w:tc>
          <w:tcPr>
            <w:tcW w:w="2283" w:type="dxa"/>
            <w:tcBorders>
              <w:top w:val="single" w:sz="18" w:space="0" w:color="auto"/>
              <w:left w:val="single" w:sz="8" w:space="0" w:color="auto"/>
              <w:bottom w:val="nil"/>
              <w:right w:val="nil"/>
            </w:tcBorders>
            <w:shd w:val="clear" w:color="auto" w:fill="auto"/>
            <w:noWrap/>
            <w:hideMark/>
          </w:tcPr>
          <w:p w14:paraId="03C81300" w14:textId="77777777" w:rsidR="00EF2CF6" w:rsidRPr="001616B2" w:rsidRDefault="00EF2CF6" w:rsidP="001616B2">
            <w:pPr>
              <w:rPr>
                <w:rFonts w:ascii="Calibri" w:hAnsi="Calibri" w:cs="Calibri"/>
                <w:b/>
                <w:bCs/>
              </w:rPr>
            </w:pPr>
            <w:r w:rsidRPr="001616B2">
              <w:rPr>
                <w:rFonts w:ascii="Calibri" w:hAnsi="Calibri" w:cs="Calibri"/>
                <w:b/>
                <w:bCs/>
              </w:rPr>
              <w:t>Liquidity</w:t>
            </w:r>
          </w:p>
        </w:tc>
        <w:tc>
          <w:tcPr>
            <w:tcW w:w="6233" w:type="dxa"/>
            <w:tcBorders>
              <w:top w:val="single" w:sz="18" w:space="0" w:color="auto"/>
              <w:left w:val="nil"/>
              <w:bottom w:val="nil"/>
              <w:right w:val="single" w:sz="8" w:space="0" w:color="auto"/>
            </w:tcBorders>
            <w:shd w:val="clear" w:color="auto" w:fill="auto"/>
            <w:noWrap/>
            <w:hideMark/>
          </w:tcPr>
          <w:p w14:paraId="2D8D93E2" w14:textId="77777777" w:rsidR="00EF2CF6" w:rsidRPr="001616B2" w:rsidRDefault="00EF2CF6" w:rsidP="004E1132">
            <w:pPr>
              <w:jc w:val="center"/>
              <w:rPr>
                <w:rFonts w:ascii="Calibri" w:hAnsi="Calibri" w:cs="Calibri"/>
              </w:rPr>
            </w:pPr>
            <w:r w:rsidRPr="001616B2">
              <w:rPr>
                <w:rFonts w:ascii="Calibri" w:hAnsi="Calibri" w:cs="Calibri"/>
              </w:rPr>
              <w:t> </w:t>
            </w:r>
          </w:p>
        </w:tc>
      </w:tr>
      <w:tr w:rsidR="00EF2CF6" w:rsidRPr="00EF2CF6" w14:paraId="7F0C79D3" w14:textId="77777777" w:rsidTr="00833BD9">
        <w:trPr>
          <w:trHeight w:val="329"/>
        </w:trPr>
        <w:tc>
          <w:tcPr>
            <w:tcW w:w="2283" w:type="dxa"/>
            <w:tcBorders>
              <w:top w:val="nil"/>
              <w:left w:val="single" w:sz="8" w:space="0" w:color="auto"/>
              <w:bottom w:val="nil"/>
              <w:right w:val="nil"/>
            </w:tcBorders>
            <w:shd w:val="clear" w:color="auto" w:fill="auto"/>
            <w:noWrap/>
            <w:hideMark/>
          </w:tcPr>
          <w:p w14:paraId="5FE08248" w14:textId="77777777" w:rsidR="00EF2CF6" w:rsidRPr="001616B2" w:rsidRDefault="00EF2CF6" w:rsidP="00833BD9">
            <w:pPr>
              <w:jc w:val="right"/>
              <w:rPr>
                <w:rFonts w:ascii="Calibri" w:hAnsi="Calibri" w:cs="Calibri"/>
              </w:rPr>
            </w:pPr>
            <w:r w:rsidRPr="001616B2">
              <w:rPr>
                <w:rFonts w:ascii="Calibri" w:hAnsi="Calibri" w:cs="Calibri"/>
              </w:rPr>
              <w:t>Days Cash on Hand</w:t>
            </w:r>
          </w:p>
        </w:tc>
        <w:tc>
          <w:tcPr>
            <w:tcW w:w="6233" w:type="dxa"/>
            <w:tcBorders>
              <w:top w:val="nil"/>
              <w:left w:val="nil"/>
              <w:bottom w:val="nil"/>
              <w:right w:val="single" w:sz="8" w:space="0" w:color="auto"/>
            </w:tcBorders>
            <w:shd w:val="clear" w:color="auto" w:fill="auto"/>
            <w:noWrap/>
            <w:hideMark/>
          </w:tcPr>
          <w:p w14:paraId="42F2FE24" w14:textId="31BC846D" w:rsidR="00EF2CF6" w:rsidRPr="001616B2" w:rsidRDefault="00833BD9" w:rsidP="00833BD9">
            <w:pPr>
              <w:rPr>
                <w:rFonts w:ascii="Calibri" w:hAnsi="Calibri" w:cs="Calibri"/>
              </w:rPr>
            </w:pPr>
            <w:r>
              <w:rPr>
                <w:rFonts w:ascii="Calibri" w:hAnsi="Calibri" w:cs="Calibri"/>
              </w:rPr>
              <w:t xml:space="preserve">   </w:t>
            </w:r>
            <w:r w:rsidR="00EF2CF6" w:rsidRPr="001616B2">
              <w:rPr>
                <w:rFonts w:ascii="Calibri" w:hAnsi="Calibri" w:cs="Calibri"/>
              </w:rPr>
              <w:t>Cash</w:t>
            </w:r>
            <w:r w:rsidRPr="001616B2">
              <w:rPr>
                <w:rFonts w:ascii="Calibri" w:hAnsi="Calibri" w:cs="Calibri"/>
              </w:rPr>
              <w:t>/ (</w:t>
            </w:r>
            <w:r w:rsidR="00EF2CF6" w:rsidRPr="001616B2">
              <w:rPr>
                <w:rFonts w:ascii="Calibri" w:hAnsi="Calibri" w:cs="Calibri"/>
              </w:rPr>
              <w:t>(Operating Expense-Depreciation Expense)/365)</w:t>
            </w:r>
          </w:p>
        </w:tc>
      </w:tr>
      <w:tr w:rsidR="00EF2CF6" w:rsidRPr="00EF2CF6" w14:paraId="42DBCDEC" w14:textId="77777777" w:rsidTr="00833BD9">
        <w:trPr>
          <w:trHeight w:val="154"/>
        </w:trPr>
        <w:tc>
          <w:tcPr>
            <w:tcW w:w="2283" w:type="dxa"/>
            <w:tcBorders>
              <w:top w:val="nil"/>
              <w:left w:val="single" w:sz="8" w:space="0" w:color="auto"/>
              <w:bottom w:val="nil"/>
              <w:right w:val="nil"/>
            </w:tcBorders>
            <w:shd w:val="clear" w:color="auto" w:fill="auto"/>
            <w:noWrap/>
            <w:hideMark/>
          </w:tcPr>
          <w:p w14:paraId="1CAA9030" w14:textId="77777777" w:rsidR="00EF2CF6" w:rsidRPr="001616B2" w:rsidRDefault="00EF2CF6" w:rsidP="004E1132">
            <w:pPr>
              <w:jc w:val="center"/>
              <w:rPr>
                <w:rFonts w:ascii="Calibri" w:hAnsi="Calibri" w:cs="Calibri"/>
              </w:rPr>
            </w:pPr>
            <w:r w:rsidRPr="001616B2">
              <w:rPr>
                <w:rFonts w:ascii="Calibri" w:hAnsi="Calibri" w:cs="Calibri"/>
              </w:rPr>
              <w:t> </w:t>
            </w:r>
          </w:p>
        </w:tc>
        <w:tc>
          <w:tcPr>
            <w:tcW w:w="6233" w:type="dxa"/>
            <w:tcBorders>
              <w:top w:val="nil"/>
              <w:left w:val="nil"/>
              <w:bottom w:val="nil"/>
              <w:right w:val="single" w:sz="8" w:space="0" w:color="auto"/>
            </w:tcBorders>
            <w:shd w:val="clear" w:color="auto" w:fill="auto"/>
            <w:noWrap/>
            <w:hideMark/>
          </w:tcPr>
          <w:p w14:paraId="566A30B7" w14:textId="77777777" w:rsidR="00EF2CF6" w:rsidRPr="001616B2" w:rsidRDefault="00EF2CF6" w:rsidP="00833BD9">
            <w:pPr>
              <w:rPr>
                <w:rFonts w:ascii="Calibri" w:hAnsi="Calibri" w:cs="Calibri"/>
              </w:rPr>
            </w:pPr>
            <w:r w:rsidRPr="001616B2">
              <w:rPr>
                <w:rFonts w:ascii="Calibri" w:hAnsi="Calibri" w:cs="Calibri"/>
              </w:rPr>
              <w:t> </w:t>
            </w:r>
          </w:p>
        </w:tc>
      </w:tr>
      <w:tr w:rsidR="00EF2CF6" w:rsidRPr="00EF2CF6" w14:paraId="77648B12" w14:textId="77777777" w:rsidTr="00833BD9">
        <w:trPr>
          <w:trHeight w:val="329"/>
        </w:trPr>
        <w:tc>
          <w:tcPr>
            <w:tcW w:w="2283" w:type="dxa"/>
            <w:tcBorders>
              <w:top w:val="nil"/>
              <w:left w:val="single" w:sz="8" w:space="0" w:color="auto"/>
              <w:bottom w:val="nil"/>
              <w:right w:val="nil"/>
            </w:tcBorders>
            <w:shd w:val="clear" w:color="auto" w:fill="auto"/>
            <w:noWrap/>
            <w:hideMark/>
          </w:tcPr>
          <w:p w14:paraId="0577B0BA" w14:textId="77777777" w:rsidR="00EF2CF6" w:rsidRPr="001616B2" w:rsidRDefault="00EF2CF6" w:rsidP="001616B2">
            <w:pPr>
              <w:rPr>
                <w:rFonts w:ascii="Calibri" w:hAnsi="Calibri" w:cs="Calibri"/>
                <w:b/>
                <w:bCs/>
              </w:rPr>
            </w:pPr>
            <w:r w:rsidRPr="001616B2">
              <w:rPr>
                <w:rFonts w:ascii="Calibri" w:hAnsi="Calibri" w:cs="Calibri"/>
                <w:b/>
                <w:bCs/>
              </w:rPr>
              <w:t>Profitability</w:t>
            </w:r>
          </w:p>
        </w:tc>
        <w:tc>
          <w:tcPr>
            <w:tcW w:w="6233" w:type="dxa"/>
            <w:tcBorders>
              <w:top w:val="nil"/>
              <w:left w:val="nil"/>
              <w:bottom w:val="nil"/>
              <w:right w:val="single" w:sz="8" w:space="0" w:color="auto"/>
            </w:tcBorders>
            <w:shd w:val="clear" w:color="auto" w:fill="auto"/>
            <w:noWrap/>
            <w:hideMark/>
          </w:tcPr>
          <w:p w14:paraId="5BC388D0" w14:textId="77777777" w:rsidR="00EF2CF6" w:rsidRPr="001616B2" w:rsidRDefault="00EF2CF6" w:rsidP="00833BD9">
            <w:pPr>
              <w:rPr>
                <w:rFonts w:ascii="Calibri" w:hAnsi="Calibri" w:cs="Calibri"/>
              </w:rPr>
            </w:pPr>
            <w:r w:rsidRPr="001616B2">
              <w:rPr>
                <w:rFonts w:ascii="Calibri" w:hAnsi="Calibri" w:cs="Calibri"/>
              </w:rPr>
              <w:t> </w:t>
            </w:r>
          </w:p>
        </w:tc>
      </w:tr>
      <w:tr w:rsidR="00EF2CF6" w:rsidRPr="00EF2CF6" w14:paraId="3A92A6A6" w14:textId="77777777" w:rsidTr="00833BD9">
        <w:trPr>
          <w:trHeight w:val="329"/>
        </w:trPr>
        <w:tc>
          <w:tcPr>
            <w:tcW w:w="2283" w:type="dxa"/>
            <w:tcBorders>
              <w:top w:val="nil"/>
              <w:left w:val="single" w:sz="8" w:space="0" w:color="auto"/>
              <w:bottom w:val="nil"/>
              <w:right w:val="nil"/>
            </w:tcBorders>
            <w:shd w:val="clear" w:color="auto" w:fill="auto"/>
            <w:noWrap/>
            <w:hideMark/>
          </w:tcPr>
          <w:p w14:paraId="673826E0" w14:textId="77777777" w:rsidR="00EF2CF6" w:rsidRPr="001616B2" w:rsidRDefault="00EF2CF6" w:rsidP="00833BD9">
            <w:pPr>
              <w:jc w:val="right"/>
              <w:rPr>
                <w:rFonts w:ascii="Calibri" w:hAnsi="Calibri" w:cs="Calibri"/>
              </w:rPr>
            </w:pPr>
            <w:r w:rsidRPr="001616B2">
              <w:rPr>
                <w:rFonts w:ascii="Calibri" w:hAnsi="Calibri" w:cs="Calibri"/>
              </w:rPr>
              <w:t>Operating Margin</w:t>
            </w:r>
          </w:p>
        </w:tc>
        <w:tc>
          <w:tcPr>
            <w:tcW w:w="6233" w:type="dxa"/>
            <w:tcBorders>
              <w:top w:val="nil"/>
              <w:left w:val="nil"/>
              <w:bottom w:val="nil"/>
              <w:right w:val="single" w:sz="8" w:space="0" w:color="auto"/>
            </w:tcBorders>
            <w:shd w:val="clear" w:color="auto" w:fill="auto"/>
            <w:noWrap/>
            <w:hideMark/>
          </w:tcPr>
          <w:p w14:paraId="70384A98" w14:textId="7F8B3878" w:rsidR="00EF2CF6" w:rsidRPr="001616B2" w:rsidRDefault="00833BD9" w:rsidP="00833BD9">
            <w:pPr>
              <w:rPr>
                <w:rFonts w:ascii="Calibri" w:hAnsi="Calibri" w:cs="Calibri"/>
              </w:rPr>
            </w:pPr>
            <w:r>
              <w:rPr>
                <w:rFonts w:ascii="Calibri" w:hAnsi="Calibri" w:cs="Calibri"/>
              </w:rPr>
              <w:t xml:space="preserve">  </w:t>
            </w:r>
            <w:r w:rsidR="00EF2CF6" w:rsidRPr="001616B2">
              <w:rPr>
                <w:rFonts w:ascii="Calibri" w:hAnsi="Calibri" w:cs="Calibri"/>
              </w:rPr>
              <w:t>Operating Income/Net Revenue</w:t>
            </w:r>
          </w:p>
        </w:tc>
      </w:tr>
      <w:tr w:rsidR="00EF2CF6" w:rsidRPr="00EF2CF6" w14:paraId="25F026FE" w14:textId="77777777" w:rsidTr="00833BD9">
        <w:trPr>
          <w:trHeight w:val="385"/>
        </w:trPr>
        <w:tc>
          <w:tcPr>
            <w:tcW w:w="2283" w:type="dxa"/>
            <w:tcBorders>
              <w:top w:val="nil"/>
              <w:left w:val="single" w:sz="8" w:space="0" w:color="auto"/>
              <w:bottom w:val="nil"/>
              <w:right w:val="nil"/>
            </w:tcBorders>
            <w:shd w:val="clear" w:color="auto" w:fill="auto"/>
            <w:noWrap/>
            <w:hideMark/>
          </w:tcPr>
          <w:p w14:paraId="27100AD8" w14:textId="77777777" w:rsidR="00EF2CF6" w:rsidRPr="001616B2" w:rsidRDefault="00EF2CF6" w:rsidP="00833BD9">
            <w:pPr>
              <w:jc w:val="right"/>
              <w:rPr>
                <w:rFonts w:ascii="Calibri" w:hAnsi="Calibri" w:cs="Calibri"/>
              </w:rPr>
            </w:pPr>
            <w:r w:rsidRPr="001616B2">
              <w:rPr>
                <w:rFonts w:ascii="Calibri" w:hAnsi="Calibri" w:cs="Calibri"/>
              </w:rPr>
              <w:t>EBIDA Margin</w:t>
            </w:r>
          </w:p>
        </w:tc>
        <w:tc>
          <w:tcPr>
            <w:tcW w:w="6233" w:type="dxa"/>
            <w:tcBorders>
              <w:top w:val="nil"/>
              <w:left w:val="nil"/>
              <w:bottom w:val="nil"/>
              <w:right w:val="single" w:sz="8" w:space="0" w:color="auto"/>
            </w:tcBorders>
            <w:shd w:val="clear" w:color="auto" w:fill="auto"/>
            <w:hideMark/>
          </w:tcPr>
          <w:p w14:paraId="2D7CC075" w14:textId="42BD31C9" w:rsidR="00EF2CF6" w:rsidRPr="001616B2" w:rsidRDefault="00833BD9" w:rsidP="00833BD9">
            <w:pPr>
              <w:rPr>
                <w:rFonts w:ascii="Calibri" w:hAnsi="Calibri" w:cs="Calibri"/>
              </w:rPr>
            </w:pPr>
            <w:r>
              <w:rPr>
                <w:rFonts w:ascii="Calibri" w:hAnsi="Calibri" w:cs="Calibri"/>
              </w:rPr>
              <w:t xml:space="preserve">  </w:t>
            </w:r>
            <w:r w:rsidR="00EF2CF6" w:rsidRPr="001616B2">
              <w:rPr>
                <w:rFonts w:ascii="Calibri" w:hAnsi="Calibri" w:cs="Calibri"/>
              </w:rPr>
              <w:t>EBIDA/Net Revenue</w:t>
            </w:r>
          </w:p>
        </w:tc>
      </w:tr>
      <w:tr w:rsidR="00EF2CF6" w:rsidRPr="00EF2CF6" w14:paraId="69B613E3" w14:textId="77777777" w:rsidTr="00833BD9">
        <w:trPr>
          <w:trHeight w:val="154"/>
        </w:trPr>
        <w:tc>
          <w:tcPr>
            <w:tcW w:w="2283" w:type="dxa"/>
            <w:tcBorders>
              <w:top w:val="nil"/>
              <w:left w:val="single" w:sz="8" w:space="0" w:color="auto"/>
              <w:bottom w:val="nil"/>
              <w:right w:val="nil"/>
            </w:tcBorders>
            <w:shd w:val="clear" w:color="auto" w:fill="auto"/>
            <w:noWrap/>
            <w:hideMark/>
          </w:tcPr>
          <w:p w14:paraId="091493A0" w14:textId="77777777" w:rsidR="00EF2CF6" w:rsidRPr="001616B2" w:rsidRDefault="00EF2CF6" w:rsidP="004E1132">
            <w:pPr>
              <w:jc w:val="center"/>
              <w:rPr>
                <w:rFonts w:ascii="Calibri" w:hAnsi="Calibri" w:cs="Calibri"/>
              </w:rPr>
            </w:pPr>
            <w:r w:rsidRPr="001616B2">
              <w:rPr>
                <w:rFonts w:ascii="Calibri" w:hAnsi="Calibri" w:cs="Calibri"/>
              </w:rPr>
              <w:t> </w:t>
            </w:r>
          </w:p>
        </w:tc>
        <w:tc>
          <w:tcPr>
            <w:tcW w:w="6233" w:type="dxa"/>
            <w:tcBorders>
              <w:top w:val="nil"/>
              <w:left w:val="nil"/>
              <w:bottom w:val="nil"/>
              <w:right w:val="single" w:sz="8" w:space="0" w:color="auto"/>
            </w:tcBorders>
            <w:shd w:val="clear" w:color="auto" w:fill="auto"/>
            <w:noWrap/>
            <w:hideMark/>
          </w:tcPr>
          <w:p w14:paraId="75702130" w14:textId="77777777" w:rsidR="00EF2CF6" w:rsidRPr="001616B2" w:rsidRDefault="00EF2CF6" w:rsidP="00833BD9">
            <w:pPr>
              <w:rPr>
                <w:rFonts w:ascii="Calibri" w:hAnsi="Calibri" w:cs="Calibri"/>
              </w:rPr>
            </w:pPr>
            <w:r w:rsidRPr="001616B2">
              <w:rPr>
                <w:rFonts w:ascii="Calibri" w:hAnsi="Calibri" w:cs="Calibri"/>
              </w:rPr>
              <w:t> </w:t>
            </w:r>
          </w:p>
        </w:tc>
      </w:tr>
      <w:tr w:rsidR="00EF2CF6" w:rsidRPr="00EF2CF6" w14:paraId="1F794033" w14:textId="77777777" w:rsidTr="00833BD9">
        <w:trPr>
          <w:trHeight w:val="329"/>
        </w:trPr>
        <w:tc>
          <w:tcPr>
            <w:tcW w:w="2283" w:type="dxa"/>
            <w:tcBorders>
              <w:top w:val="nil"/>
              <w:left w:val="single" w:sz="8" w:space="0" w:color="auto"/>
              <w:bottom w:val="nil"/>
              <w:right w:val="nil"/>
            </w:tcBorders>
            <w:shd w:val="clear" w:color="auto" w:fill="auto"/>
            <w:noWrap/>
            <w:hideMark/>
          </w:tcPr>
          <w:p w14:paraId="0925E993" w14:textId="77777777" w:rsidR="00EF2CF6" w:rsidRPr="001616B2" w:rsidRDefault="00EF2CF6" w:rsidP="001616B2">
            <w:pPr>
              <w:rPr>
                <w:rFonts w:ascii="Calibri" w:hAnsi="Calibri" w:cs="Calibri"/>
                <w:b/>
                <w:bCs/>
              </w:rPr>
            </w:pPr>
            <w:r w:rsidRPr="001616B2">
              <w:rPr>
                <w:rFonts w:ascii="Calibri" w:hAnsi="Calibri" w:cs="Calibri"/>
                <w:b/>
                <w:bCs/>
              </w:rPr>
              <w:t>Solvency</w:t>
            </w:r>
          </w:p>
        </w:tc>
        <w:tc>
          <w:tcPr>
            <w:tcW w:w="6233" w:type="dxa"/>
            <w:tcBorders>
              <w:top w:val="nil"/>
              <w:left w:val="nil"/>
              <w:bottom w:val="nil"/>
              <w:right w:val="single" w:sz="8" w:space="0" w:color="auto"/>
            </w:tcBorders>
            <w:shd w:val="clear" w:color="auto" w:fill="auto"/>
            <w:noWrap/>
            <w:hideMark/>
          </w:tcPr>
          <w:p w14:paraId="0E7E546B" w14:textId="77777777" w:rsidR="00EF2CF6" w:rsidRPr="001616B2" w:rsidRDefault="00EF2CF6" w:rsidP="00833BD9">
            <w:pPr>
              <w:rPr>
                <w:rFonts w:ascii="Calibri" w:hAnsi="Calibri" w:cs="Calibri"/>
              </w:rPr>
            </w:pPr>
            <w:r w:rsidRPr="001616B2">
              <w:rPr>
                <w:rFonts w:ascii="Calibri" w:hAnsi="Calibri" w:cs="Calibri"/>
              </w:rPr>
              <w:t> </w:t>
            </w:r>
          </w:p>
        </w:tc>
      </w:tr>
      <w:tr w:rsidR="00EF2CF6" w:rsidRPr="00EF2CF6" w14:paraId="5C9364EE" w14:textId="77777777" w:rsidTr="00833BD9">
        <w:trPr>
          <w:trHeight w:val="329"/>
        </w:trPr>
        <w:tc>
          <w:tcPr>
            <w:tcW w:w="2283" w:type="dxa"/>
            <w:tcBorders>
              <w:top w:val="nil"/>
              <w:left w:val="single" w:sz="8" w:space="0" w:color="auto"/>
              <w:bottom w:val="nil"/>
              <w:right w:val="nil"/>
            </w:tcBorders>
            <w:shd w:val="clear" w:color="auto" w:fill="auto"/>
            <w:noWrap/>
            <w:hideMark/>
          </w:tcPr>
          <w:p w14:paraId="09A0A844" w14:textId="77777777" w:rsidR="00EF2CF6" w:rsidRPr="001616B2" w:rsidRDefault="00EF2CF6" w:rsidP="00833BD9">
            <w:pPr>
              <w:jc w:val="right"/>
              <w:rPr>
                <w:rFonts w:ascii="Calibri" w:hAnsi="Calibri" w:cs="Calibri"/>
              </w:rPr>
            </w:pPr>
            <w:r w:rsidRPr="001616B2">
              <w:rPr>
                <w:rFonts w:ascii="Calibri" w:hAnsi="Calibri" w:cs="Calibri"/>
              </w:rPr>
              <w:t>Current Ratio</w:t>
            </w:r>
          </w:p>
        </w:tc>
        <w:tc>
          <w:tcPr>
            <w:tcW w:w="6233" w:type="dxa"/>
            <w:tcBorders>
              <w:top w:val="nil"/>
              <w:left w:val="nil"/>
              <w:bottom w:val="nil"/>
              <w:right w:val="single" w:sz="8" w:space="0" w:color="auto"/>
            </w:tcBorders>
            <w:shd w:val="clear" w:color="auto" w:fill="auto"/>
            <w:noWrap/>
            <w:hideMark/>
          </w:tcPr>
          <w:p w14:paraId="7363F3F8" w14:textId="7D94779E" w:rsidR="00EF2CF6" w:rsidRPr="001616B2" w:rsidRDefault="00833BD9" w:rsidP="00833BD9">
            <w:pPr>
              <w:rPr>
                <w:rFonts w:ascii="Calibri" w:hAnsi="Calibri" w:cs="Calibri"/>
              </w:rPr>
            </w:pPr>
            <w:r>
              <w:rPr>
                <w:rFonts w:ascii="Calibri" w:hAnsi="Calibri" w:cs="Calibri"/>
              </w:rPr>
              <w:t xml:space="preserve">  </w:t>
            </w:r>
            <w:r w:rsidR="00EF2CF6" w:rsidRPr="001616B2">
              <w:rPr>
                <w:rFonts w:ascii="Calibri" w:hAnsi="Calibri" w:cs="Calibri"/>
              </w:rPr>
              <w:t>Current Assets/Current Liabilities</w:t>
            </w:r>
          </w:p>
        </w:tc>
      </w:tr>
      <w:tr w:rsidR="00EF2CF6" w:rsidRPr="00EF2CF6" w14:paraId="0392F46A" w14:textId="77777777" w:rsidTr="00833BD9">
        <w:trPr>
          <w:trHeight w:val="329"/>
        </w:trPr>
        <w:tc>
          <w:tcPr>
            <w:tcW w:w="2283" w:type="dxa"/>
            <w:tcBorders>
              <w:top w:val="nil"/>
              <w:left w:val="single" w:sz="8" w:space="0" w:color="auto"/>
              <w:bottom w:val="single" w:sz="8" w:space="0" w:color="auto"/>
              <w:right w:val="nil"/>
            </w:tcBorders>
            <w:shd w:val="clear" w:color="auto" w:fill="auto"/>
            <w:noWrap/>
            <w:hideMark/>
          </w:tcPr>
          <w:p w14:paraId="1D93F7C6" w14:textId="77777777" w:rsidR="00EF2CF6" w:rsidRPr="001616B2" w:rsidRDefault="00EF2CF6" w:rsidP="00833BD9">
            <w:pPr>
              <w:jc w:val="right"/>
              <w:rPr>
                <w:rFonts w:ascii="Calibri" w:hAnsi="Calibri" w:cs="Calibri"/>
              </w:rPr>
            </w:pPr>
            <w:r w:rsidRPr="001616B2">
              <w:rPr>
                <w:rFonts w:ascii="Calibri" w:hAnsi="Calibri" w:cs="Calibri"/>
              </w:rPr>
              <w:t>Total Net Assets</w:t>
            </w:r>
          </w:p>
        </w:tc>
        <w:tc>
          <w:tcPr>
            <w:tcW w:w="6233" w:type="dxa"/>
            <w:tcBorders>
              <w:top w:val="nil"/>
              <w:left w:val="nil"/>
              <w:bottom w:val="single" w:sz="8" w:space="0" w:color="auto"/>
              <w:right w:val="single" w:sz="8" w:space="0" w:color="auto"/>
            </w:tcBorders>
            <w:shd w:val="clear" w:color="auto" w:fill="auto"/>
            <w:noWrap/>
            <w:hideMark/>
          </w:tcPr>
          <w:p w14:paraId="50951D54" w14:textId="64CE0D81" w:rsidR="00EF2CF6" w:rsidRPr="001616B2" w:rsidRDefault="00833BD9" w:rsidP="00833BD9">
            <w:pPr>
              <w:rPr>
                <w:rFonts w:ascii="Calibri" w:hAnsi="Calibri" w:cs="Calibri"/>
              </w:rPr>
            </w:pPr>
            <w:r>
              <w:rPr>
                <w:rFonts w:ascii="Calibri" w:hAnsi="Calibri" w:cs="Calibri"/>
              </w:rPr>
              <w:t xml:space="preserve">  </w:t>
            </w:r>
            <w:r w:rsidR="00EF2CF6" w:rsidRPr="001616B2">
              <w:rPr>
                <w:rFonts w:ascii="Calibri" w:hAnsi="Calibri" w:cs="Calibri"/>
              </w:rPr>
              <w:t>Total Assets-Total Liabilities</w:t>
            </w:r>
          </w:p>
        </w:tc>
      </w:tr>
    </w:tbl>
    <w:p w14:paraId="37B73244" w14:textId="77777777" w:rsidR="00EF2CF6" w:rsidRPr="002057D9" w:rsidRDefault="00EF2CF6" w:rsidP="00EF2CF6">
      <w:pPr>
        <w:ind w:left="720"/>
        <w:jc w:val="center"/>
        <w:rPr>
          <w:rFonts w:ascii="Calibri" w:hAnsi="Calibri" w:cs="Calibri"/>
          <w:color w:val="A20000"/>
        </w:rPr>
      </w:pPr>
    </w:p>
    <w:p w14:paraId="2B2F84FF" w14:textId="12A4D7E8" w:rsidR="00EF2CF6" w:rsidRPr="002057D9" w:rsidRDefault="00EF2CF6" w:rsidP="00EF2CF6">
      <w:pPr>
        <w:ind w:left="720"/>
        <w:rPr>
          <w:rFonts w:ascii="Calibri" w:hAnsi="Calibri" w:cs="Calibri"/>
          <w:color w:val="A20000"/>
        </w:rPr>
      </w:pPr>
      <w:r w:rsidRPr="002057D9">
        <w:rPr>
          <w:rFonts w:ascii="Calibri" w:hAnsi="Calibri" w:cs="Calibri"/>
          <w:color w:val="A20000"/>
        </w:rPr>
        <w:t xml:space="preserve">The Key Metrics used in this report fall into three categories: liquidity, profitability, and solvency metrics. Liquidity ratios measure the quality and adequacy of assets to meet current obligations as they come due. Profitability ratios are used to assist in the evaluation of management performance. Solvency ratios are used to evaluate a </w:t>
      </w:r>
      <w:r w:rsidRPr="002057D9">
        <w:rPr>
          <w:rFonts w:ascii="Calibri" w:hAnsi="Calibri" w:cs="Calibri"/>
          <w:color w:val="A20000"/>
        </w:rPr>
        <w:lastRenderedPageBreak/>
        <w:t xml:space="preserve">company’s ability to meet its liabilities. </w:t>
      </w:r>
      <w:r w:rsidRPr="002057D9">
        <w:rPr>
          <w:rFonts w:ascii="Calibri" w:hAnsi="Calibri" w:cs="Calibri"/>
          <w:color w:val="A20000"/>
        </w:rPr>
        <w:fldChar w:fldCharType="begin"/>
      </w:r>
      <w:r w:rsidRPr="002057D9">
        <w:rPr>
          <w:rFonts w:ascii="Calibri" w:hAnsi="Calibri" w:cs="Calibri"/>
          <w:color w:val="A20000"/>
        </w:rPr>
        <w:instrText xml:space="preserve"> REF _Ref175576369 \h  \* MERGEFORMAT </w:instrText>
      </w:r>
      <w:r w:rsidRPr="002057D9">
        <w:rPr>
          <w:rFonts w:ascii="Calibri" w:hAnsi="Calibri" w:cs="Calibri"/>
          <w:color w:val="A20000"/>
        </w:rPr>
      </w:r>
      <w:r w:rsidRPr="002057D9">
        <w:rPr>
          <w:rFonts w:ascii="Calibri" w:hAnsi="Calibri" w:cs="Calibri"/>
          <w:color w:val="A20000"/>
        </w:rPr>
        <w:fldChar w:fldCharType="separate"/>
      </w:r>
      <w:r w:rsidRPr="002057D9">
        <w:rPr>
          <w:rFonts w:ascii="Calibri" w:hAnsi="Calibri" w:cs="Calibri"/>
          <w:color w:val="A20000"/>
        </w:rPr>
        <w:t xml:space="preserve">Table </w:t>
      </w:r>
      <w:r w:rsidRPr="002057D9">
        <w:rPr>
          <w:rFonts w:ascii="Calibri" w:hAnsi="Calibri" w:cs="Calibri"/>
          <w:noProof/>
          <w:color w:val="A20000"/>
        </w:rPr>
        <w:t>2</w:t>
      </w:r>
      <w:r w:rsidRPr="002057D9">
        <w:rPr>
          <w:rFonts w:ascii="Calibri" w:hAnsi="Calibri" w:cs="Calibri"/>
          <w:color w:val="A20000"/>
        </w:rPr>
        <w:fldChar w:fldCharType="end"/>
      </w:r>
      <w:r w:rsidRPr="002057D9">
        <w:rPr>
          <w:rFonts w:ascii="Calibri" w:hAnsi="Calibri" w:cs="Calibri"/>
          <w:color w:val="A20000"/>
        </w:rPr>
        <w:t xml:space="preserve"> shows the results of the Key Metric calculations based on Atrius Waltham Prospective Financial Schedules.</w:t>
      </w:r>
    </w:p>
    <w:tbl>
      <w:tblPr>
        <w:tblStyle w:val="TableGrid"/>
        <w:tblpPr w:leftFromText="180" w:rightFromText="180" w:vertAnchor="text" w:horzAnchor="margin" w:tblpXSpec="center" w:tblpY="361"/>
        <w:tblW w:w="10286" w:type="dxa"/>
        <w:tblLook w:val="04A0" w:firstRow="1" w:lastRow="0" w:firstColumn="1" w:lastColumn="0" w:noHBand="0" w:noVBand="1"/>
      </w:tblPr>
      <w:tblGrid>
        <w:gridCol w:w="2245"/>
        <w:gridCol w:w="1431"/>
        <w:gridCol w:w="1648"/>
        <w:gridCol w:w="1648"/>
        <w:gridCol w:w="1649"/>
        <w:gridCol w:w="1665"/>
      </w:tblGrid>
      <w:tr w:rsidR="00EF2CF6" w:rsidRPr="00EF2CF6" w14:paraId="0808626E" w14:textId="77777777" w:rsidTr="00780625">
        <w:trPr>
          <w:cantSplit/>
          <w:trHeight w:val="68"/>
          <w:tblHeader/>
        </w:trPr>
        <w:tc>
          <w:tcPr>
            <w:tcW w:w="10286" w:type="dxa"/>
            <w:gridSpan w:val="6"/>
            <w:tcBorders>
              <w:top w:val="single" w:sz="8" w:space="0" w:color="auto"/>
              <w:left w:val="single" w:sz="8" w:space="0" w:color="auto"/>
              <w:right w:val="single" w:sz="8" w:space="0" w:color="auto"/>
            </w:tcBorders>
            <w:shd w:val="clear" w:color="auto" w:fill="0E2841" w:themeFill="text2"/>
            <w:hideMark/>
          </w:tcPr>
          <w:p w14:paraId="590DF8A3" w14:textId="77777777" w:rsidR="00EF2CF6" w:rsidRPr="00833BD9" w:rsidRDefault="00EF2CF6" w:rsidP="004E1132">
            <w:pPr>
              <w:jc w:val="center"/>
              <w:rPr>
                <w:rFonts w:ascii="Calibri" w:hAnsi="Calibri" w:cs="Calibri"/>
                <w:b/>
                <w:bCs/>
                <w:color w:val="FFFFFF" w:themeColor="background1"/>
              </w:rPr>
            </w:pPr>
            <w:r w:rsidRPr="00833BD9">
              <w:rPr>
                <w:rFonts w:ascii="Calibri" w:hAnsi="Calibri" w:cs="Calibri"/>
                <w:b/>
                <w:bCs/>
                <w:color w:val="FFFFFF" w:themeColor="background1"/>
              </w:rPr>
              <w:t>Atrius Waltham</w:t>
            </w:r>
          </w:p>
        </w:tc>
      </w:tr>
      <w:tr w:rsidR="00EF2CF6" w:rsidRPr="00EF2CF6" w14:paraId="666721F2" w14:textId="77777777" w:rsidTr="00780625">
        <w:trPr>
          <w:cantSplit/>
          <w:trHeight w:val="68"/>
          <w:tblHeader/>
        </w:trPr>
        <w:tc>
          <w:tcPr>
            <w:tcW w:w="10286" w:type="dxa"/>
            <w:gridSpan w:val="6"/>
            <w:tcBorders>
              <w:left w:val="single" w:sz="8" w:space="0" w:color="auto"/>
              <w:bottom w:val="nil"/>
              <w:right w:val="single" w:sz="8" w:space="0" w:color="auto"/>
            </w:tcBorders>
            <w:shd w:val="clear" w:color="auto" w:fill="0E2841" w:themeFill="text2"/>
            <w:hideMark/>
          </w:tcPr>
          <w:p w14:paraId="44B4C7F0" w14:textId="77777777" w:rsidR="00EF2CF6" w:rsidRPr="00833BD9" w:rsidRDefault="00EF2CF6" w:rsidP="004E1132">
            <w:pPr>
              <w:jc w:val="center"/>
              <w:rPr>
                <w:rFonts w:ascii="Calibri" w:hAnsi="Calibri" w:cs="Calibri"/>
                <w:b/>
                <w:bCs/>
                <w:color w:val="FFFFFF" w:themeColor="background1"/>
              </w:rPr>
            </w:pPr>
            <w:r w:rsidRPr="00833BD9">
              <w:rPr>
                <w:rFonts w:ascii="Calibri" w:hAnsi="Calibri" w:cs="Calibri"/>
                <w:b/>
                <w:bCs/>
                <w:color w:val="FFFFFF" w:themeColor="background1"/>
              </w:rPr>
              <w:t>Summary of Key Metrics</w:t>
            </w:r>
          </w:p>
        </w:tc>
      </w:tr>
      <w:tr w:rsidR="00A04A15" w:rsidRPr="00EF2CF6" w14:paraId="61B40FD9" w14:textId="77777777" w:rsidTr="00780625">
        <w:trPr>
          <w:cantSplit/>
          <w:trHeight w:val="80"/>
          <w:tblHeader/>
        </w:trPr>
        <w:tc>
          <w:tcPr>
            <w:tcW w:w="2245" w:type="dxa"/>
            <w:tcBorders>
              <w:top w:val="nil"/>
              <w:left w:val="single" w:sz="8" w:space="0" w:color="auto"/>
              <w:bottom w:val="single" w:sz="18" w:space="0" w:color="auto"/>
              <w:right w:val="nil"/>
            </w:tcBorders>
            <w:shd w:val="clear" w:color="auto" w:fill="auto"/>
            <w:hideMark/>
          </w:tcPr>
          <w:p w14:paraId="1D8E2000" w14:textId="77777777" w:rsidR="00EF2CF6" w:rsidRPr="001616B2" w:rsidRDefault="00EF2CF6" w:rsidP="004E1132">
            <w:pPr>
              <w:jc w:val="center"/>
              <w:rPr>
                <w:rFonts w:ascii="Calibri" w:hAnsi="Calibri" w:cs="Calibri"/>
                <w:b/>
                <w:bCs/>
              </w:rPr>
            </w:pPr>
            <w:r w:rsidRPr="001616B2">
              <w:rPr>
                <w:rFonts w:ascii="Calibri" w:hAnsi="Calibri" w:cs="Calibri"/>
                <w:b/>
                <w:bCs/>
              </w:rPr>
              <w:t> </w:t>
            </w:r>
          </w:p>
        </w:tc>
        <w:tc>
          <w:tcPr>
            <w:tcW w:w="1431" w:type="dxa"/>
            <w:tcBorders>
              <w:top w:val="nil"/>
              <w:left w:val="nil"/>
              <w:bottom w:val="single" w:sz="18" w:space="0" w:color="auto"/>
              <w:right w:val="nil"/>
            </w:tcBorders>
            <w:shd w:val="clear" w:color="auto" w:fill="auto"/>
            <w:hideMark/>
          </w:tcPr>
          <w:p w14:paraId="706E66BB" w14:textId="77777777" w:rsidR="00EF2CF6" w:rsidRPr="001616B2" w:rsidRDefault="00EF2CF6" w:rsidP="004E1132">
            <w:pPr>
              <w:jc w:val="center"/>
              <w:rPr>
                <w:rFonts w:ascii="Calibri" w:hAnsi="Calibri" w:cs="Calibri"/>
                <w:b/>
                <w:bCs/>
              </w:rPr>
            </w:pPr>
            <w:r w:rsidRPr="001616B2">
              <w:rPr>
                <w:rFonts w:ascii="Calibri" w:hAnsi="Calibri" w:cs="Calibri"/>
                <w:b/>
                <w:bCs/>
              </w:rPr>
              <w:t>2026</w:t>
            </w:r>
          </w:p>
        </w:tc>
        <w:tc>
          <w:tcPr>
            <w:tcW w:w="1648" w:type="dxa"/>
            <w:tcBorders>
              <w:top w:val="nil"/>
              <w:left w:val="nil"/>
              <w:bottom w:val="single" w:sz="18" w:space="0" w:color="auto"/>
              <w:right w:val="nil"/>
            </w:tcBorders>
            <w:shd w:val="clear" w:color="auto" w:fill="auto"/>
            <w:hideMark/>
          </w:tcPr>
          <w:p w14:paraId="5667FFC1" w14:textId="77777777" w:rsidR="00EF2CF6" w:rsidRPr="001616B2" w:rsidRDefault="00EF2CF6" w:rsidP="004E1132">
            <w:pPr>
              <w:jc w:val="center"/>
              <w:rPr>
                <w:rFonts w:ascii="Calibri" w:hAnsi="Calibri" w:cs="Calibri"/>
                <w:b/>
                <w:bCs/>
              </w:rPr>
            </w:pPr>
            <w:r w:rsidRPr="001616B2">
              <w:rPr>
                <w:rFonts w:ascii="Calibri" w:hAnsi="Calibri" w:cs="Calibri"/>
                <w:b/>
                <w:bCs/>
              </w:rPr>
              <w:t>2027</w:t>
            </w:r>
          </w:p>
        </w:tc>
        <w:tc>
          <w:tcPr>
            <w:tcW w:w="1648" w:type="dxa"/>
            <w:tcBorders>
              <w:top w:val="nil"/>
              <w:left w:val="nil"/>
              <w:bottom w:val="single" w:sz="18" w:space="0" w:color="auto"/>
              <w:right w:val="nil"/>
            </w:tcBorders>
            <w:shd w:val="clear" w:color="auto" w:fill="auto"/>
            <w:hideMark/>
          </w:tcPr>
          <w:p w14:paraId="6ECB77A3" w14:textId="77777777" w:rsidR="00EF2CF6" w:rsidRPr="001616B2" w:rsidRDefault="00EF2CF6" w:rsidP="004E1132">
            <w:pPr>
              <w:jc w:val="center"/>
              <w:rPr>
                <w:rFonts w:ascii="Calibri" w:hAnsi="Calibri" w:cs="Calibri"/>
                <w:b/>
                <w:bCs/>
              </w:rPr>
            </w:pPr>
            <w:r w:rsidRPr="001616B2">
              <w:rPr>
                <w:rFonts w:ascii="Calibri" w:hAnsi="Calibri" w:cs="Calibri"/>
                <w:b/>
                <w:bCs/>
              </w:rPr>
              <w:t>2028</w:t>
            </w:r>
          </w:p>
        </w:tc>
        <w:tc>
          <w:tcPr>
            <w:tcW w:w="1649" w:type="dxa"/>
            <w:tcBorders>
              <w:top w:val="nil"/>
              <w:left w:val="nil"/>
              <w:bottom w:val="single" w:sz="18" w:space="0" w:color="auto"/>
              <w:right w:val="nil"/>
            </w:tcBorders>
            <w:shd w:val="clear" w:color="auto" w:fill="auto"/>
            <w:hideMark/>
          </w:tcPr>
          <w:p w14:paraId="0EB990F8" w14:textId="77777777" w:rsidR="00EF2CF6" w:rsidRPr="001616B2" w:rsidRDefault="00EF2CF6" w:rsidP="004E1132">
            <w:pPr>
              <w:jc w:val="center"/>
              <w:rPr>
                <w:rFonts w:ascii="Calibri" w:hAnsi="Calibri" w:cs="Calibri"/>
                <w:b/>
                <w:bCs/>
              </w:rPr>
            </w:pPr>
            <w:r w:rsidRPr="001616B2">
              <w:rPr>
                <w:rFonts w:ascii="Calibri" w:hAnsi="Calibri" w:cs="Calibri"/>
                <w:b/>
                <w:bCs/>
              </w:rPr>
              <w:t>2029</w:t>
            </w:r>
          </w:p>
        </w:tc>
        <w:tc>
          <w:tcPr>
            <w:tcW w:w="1665" w:type="dxa"/>
            <w:tcBorders>
              <w:top w:val="nil"/>
              <w:left w:val="nil"/>
              <w:bottom w:val="single" w:sz="18" w:space="0" w:color="auto"/>
              <w:right w:val="single" w:sz="8" w:space="0" w:color="auto"/>
            </w:tcBorders>
            <w:shd w:val="clear" w:color="auto" w:fill="auto"/>
            <w:hideMark/>
          </w:tcPr>
          <w:p w14:paraId="7FFB2B2B" w14:textId="77777777" w:rsidR="00EF2CF6" w:rsidRPr="001616B2" w:rsidRDefault="00EF2CF6" w:rsidP="004E1132">
            <w:pPr>
              <w:jc w:val="center"/>
              <w:rPr>
                <w:rFonts w:ascii="Calibri" w:hAnsi="Calibri" w:cs="Calibri"/>
                <w:b/>
                <w:bCs/>
              </w:rPr>
            </w:pPr>
            <w:r w:rsidRPr="001616B2">
              <w:rPr>
                <w:rFonts w:ascii="Calibri" w:hAnsi="Calibri" w:cs="Calibri"/>
                <w:b/>
                <w:bCs/>
              </w:rPr>
              <w:t>2030</w:t>
            </w:r>
          </w:p>
        </w:tc>
      </w:tr>
      <w:tr w:rsidR="001616B2" w:rsidRPr="00EF2CF6" w14:paraId="49C4642C" w14:textId="77777777" w:rsidTr="00780625">
        <w:trPr>
          <w:cantSplit/>
          <w:trHeight w:val="68"/>
        </w:trPr>
        <w:tc>
          <w:tcPr>
            <w:tcW w:w="2245" w:type="dxa"/>
            <w:tcBorders>
              <w:top w:val="single" w:sz="18" w:space="0" w:color="auto"/>
              <w:left w:val="single" w:sz="8" w:space="0" w:color="auto"/>
              <w:bottom w:val="nil"/>
              <w:right w:val="nil"/>
            </w:tcBorders>
            <w:shd w:val="clear" w:color="auto" w:fill="auto"/>
            <w:noWrap/>
            <w:hideMark/>
          </w:tcPr>
          <w:p w14:paraId="53D0E228" w14:textId="77777777" w:rsidR="00EF2CF6" w:rsidRPr="001616B2" w:rsidRDefault="00EF2CF6" w:rsidP="001616B2">
            <w:pPr>
              <w:rPr>
                <w:rFonts w:ascii="Calibri" w:hAnsi="Calibri" w:cs="Calibri"/>
                <w:b/>
                <w:bCs/>
              </w:rPr>
            </w:pPr>
            <w:r w:rsidRPr="001616B2">
              <w:rPr>
                <w:rFonts w:ascii="Calibri" w:hAnsi="Calibri" w:cs="Calibri"/>
                <w:b/>
                <w:bCs/>
              </w:rPr>
              <w:t>Liquidity Ratios</w:t>
            </w:r>
          </w:p>
        </w:tc>
        <w:tc>
          <w:tcPr>
            <w:tcW w:w="1431" w:type="dxa"/>
            <w:tcBorders>
              <w:top w:val="single" w:sz="18" w:space="0" w:color="auto"/>
              <w:left w:val="nil"/>
              <w:bottom w:val="nil"/>
              <w:right w:val="nil"/>
            </w:tcBorders>
            <w:shd w:val="clear" w:color="auto" w:fill="auto"/>
            <w:noWrap/>
            <w:hideMark/>
          </w:tcPr>
          <w:p w14:paraId="0F80E8B5" w14:textId="77777777" w:rsidR="00EF2CF6" w:rsidRPr="001616B2" w:rsidRDefault="00EF2CF6" w:rsidP="004E1132">
            <w:pPr>
              <w:jc w:val="center"/>
              <w:rPr>
                <w:rFonts w:ascii="Calibri" w:hAnsi="Calibri" w:cs="Calibri"/>
              </w:rPr>
            </w:pPr>
            <w:r w:rsidRPr="001616B2">
              <w:rPr>
                <w:rFonts w:ascii="Calibri" w:hAnsi="Calibri" w:cs="Calibri"/>
              </w:rPr>
              <w:t> </w:t>
            </w:r>
          </w:p>
        </w:tc>
        <w:tc>
          <w:tcPr>
            <w:tcW w:w="1648" w:type="dxa"/>
            <w:tcBorders>
              <w:top w:val="single" w:sz="18" w:space="0" w:color="auto"/>
              <w:left w:val="nil"/>
              <w:bottom w:val="nil"/>
              <w:right w:val="nil"/>
            </w:tcBorders>
            <w:shd w:val="clear" w:color="auto" w:fill="auto"/>
            <w:noWrap/>
            <w:hideMark/>
          </w:tcPr>
          <w:p w14:paraId="5F6C28DD" w14:textId="77777777" w:rsidR="00EF2CF6" w:rsidRPr="001616B2" w:rsidRDefault="00EF2CF6" w:rsidP="004E1132">
            <w:pPr>
              <w:jc w:val="center"/>
              <w:rPr>
                <w:rFonts w:ascii="Calibri" w:hAnsi="Calibri" w:cs="Calibri"/>
              </w:rPr>
            </w:pPr>
            <w:r w:rsidRPr="001616B2">
              <w:rPr>
                <w:rFonts w:ascii="Calibri" w:hAnsi="Calibri" w:cs="Calibri"/>
              </w:rPr>
              <w:t> </w:t>
            </w:r>
          </w:p>
        </w:tc>
        <w:tc>
          <w:tcPr>
            <w:tcW w:w="1648" w:type="dxa"/>
            <w:tcBorders>
              <w:top w:val="single" w:sz="18" w:space="0" w:color="auto"/>
              <w:left w:val="nil"/>
              <w:bottom w:val="nil"/>
              <w:right w:val="nil"/>
            </w:tcBorders>
            <w:shd w:val="clear" w:color="auto" w:fill="auto"/>
            <w:noWrap/>
            <w:hideMark/>
          </w:tcPr>
          <w:p w14:paraId="5368A091" w14:textId="77777777" w:rsidR="00EF2CF6" w:rsidRPr="001616B2" w:rsidRDefault="00EF2CF6" w:rsidP="004E1132">
            <w:pPr>
              <w:jc w:val="center"/>
              <w:rPr>
                <w:rFonts w:ascii="Calibri" w:hAnsi="Calibri" w:cs="Calibri"/>
              </w:rPr>
            </w:pPr>
            <w:r w:rsidRPr="001616B2">
              <w:rPr>
                <w:rFonts w:ascii="Calibri" w:hAnsi="Calibri" w:cs="Calibri"/>
              </w:rPr>
              <w:t> </w:t>
            </w:r>
          </w:p>
        </w:tc>
        <w:tc>
          <w:tcPr>
            <w:tcW w:w="1649" w:type="dxa"/>
            <w:tcBorders>
              <w:top w:val="single" w:sz="18" w:space="0" w:color="auto"/>
              <w:left w:val="nil"/>
              <w:bottom w:val="nil"/>
              <w:right w:val="nil"/>
            </w:tcBorders>
            <w:shd w:val="clear" w:color="auto" w:fill="auto"/>
            <w:noWrap/>
            <w:hideMark/>
          </w:tcPr>
          <w:p w14:paraId="6FE4C54C" w14:textId="77777777" w:rsidR="00EF2CF6" w:rsidRPr="001616B2" w:rsidRDefault="00EF2CF6" w:rsidP="004E1132">
            <w:pPr>
              <w:jc w:val="center"/>
              <w:rPr>
                <w:rFonts w:ascii="Calibri" w:hAnsi="Calibri" w:cs="Calibri"/>
              </w:rPr>
            </w:pPr>
            <w:r w:rsidRPr="001616B2">
              <w:rPr>
                <w:rFonts w:ascii="Calibri" w:hAnsi="Calibri" w:cs="Calibri"/>
              </w:rPr>
              <w:t> </w:t>
            </w:r>
          </w:p>
        </w:tc>
        <w:tc>
          <w:tcPr>
            <w:tcW w:w="1665" w:type="dxa"/>
            <w:tcBorders>
              <w:top w:val="single" w:sz="18" w:space="0" w:color="auto"/>
              <w:left w:val="nil"/>
              <w:bottom w:val="nil"/>
              <w:right w:val="single" w:sz="8" w:space="0" w:color="auto"/>
            </w:tcBorders>
            <w:shd w:val="clear" w:color="auto" w:fill="auto"/>
            <w:noWrap/>
            <w:hideMark/>
          </w:tcPr>
          <w:p w14:paraId="3671E0A8" w14:textId="77777777" w:rsidR="00EF2CF6" w:rsidRPr="001616B2" w:rsidRDefault="00EF2CF6" w:rsidP="004E1132">
            <w:pPr>
              <w:jc w:val="center"/>
              <w:rPr>
                <w:rFonts w:ascii="Calibri" w:hAnsi="Calibri" w:cs="Calibri"/>
              </w:rPr>
            </w:pPr>
            <w:r w:rsidRPr="001616B2">
              <w:rPr>
                <w:rFonts w:ascii="Calibri" w:hAnsi="Calibri" w:cs="Calibri"/>
              </w:rPr>
              <w:t> </w:t>
            </w:r>
          </w:p>
        </w:tc>
      </w:tr>
      <w:tr w:rsidR="00833BD9" w:rsidRPr="00EF2CF6" w14:paraId="095D875D" w14:textId="77777777" w:rsidTr="00780625">
        <w:trPr>
          <w:cantSplit/>
          <w:trHeight w:val="68"/>
        </w:trPr>
        <w:tc>
          <w:tcPr>
            <w:tcW w:w="2245" w:type="dxa"/>
            <w:tcBorders>
              <w:top w:val="nil"/>
              <w:left w:val="single" w:sz="8" w:space="0" w:color="auto"/>
              <w:bottom w:val="nil"/>
              <w:right w:val="nil"/>
            </w:tcBorders>
            <w:shd w:val="clear" w:color="auto" w:fill="auto"/>
            <w:noWrap/>
            <w:hideMark/>
          </w:tcPr>
          <w:p w14:paraId="0E43CF58" w14:textId="77777777" w:rsidR="00EF2CF6" w:rsidRPr="001616B2" w:rsidRDefault="00EF2CF6" w:rsidP="00833BD9">
            <w:pPr>
              <w:jc w:val="right"/>
              <w:rPr>
                <w:rFonts w:ascii="Calibri" w:hAnsi="Calibri" w:cs="Calibri"/>
              </w:rPr>
            </w:pPr>
            <w:r w:rsidRPr="001616B2">
              <w:rPr>
                <w:rFonts w:ascii="Calibri" w:hAnsi="Calibri" w:cs="Calibri"/>
              </w:rPr>
              <w:t>Days Cash on Hand</w:t>
            </w:r>
          </w:p>
        </w:tc>
        <w:tc>
          <w:tcPr>
            <w:tcW w:w="1431" w:type="dxa"/>
            <w:tcBorders>
              <w:top w:val="nil"/>
              <w:left w:val="nil"/>
              <w:bottom w:val="nil"/>
              <w:right w:val="nil"/>
            </w:tcBorders>
            <w:shd w:val="clear" w:color="auto" w:fill="auto"/>
            <w:noWrap/>
            <w:hideMark/>
          </w:tcPr>
          <w:p w14:paraId="5A7610E6" w14:textId="64F451CF" w:rsidR="00EF2CF6" w:rsidRPr="001616B2" w:rsidRDefault="00EF2CF6" w:rsidP="00EF2CF6">
            <w:pPr>
              <w:jc w:val="center"/>
              <w:rPr>
                <w:rFonts w:ascii="Calibri" w:hAnsi="Calibri" w:cs="Calibri"/>
              </w:rPr>
            </w:pPr>
            <w:r w:rsidRPr="001616B2">
              <w:rPr>
                <w:rFonts w:ascii="Calibri" w:hAnsi="Calibri" w:cs="Calibri"/>
              </w:rPr>
              <w:t>109</w:t>
            </w:r>
          </w:p>
        </w:tc>
        <w:tc>
          <w:tcPr>
            <w:tcW w:w="1648" w:type="dxa"/>
            <w:tcBorders>
              <w:top w:val="nil"/>
              <w:left w:val="nil"/>
              <w:bottom w:val="nil"/>
              <w:right w:val="nil"/>
            </w:tcBorders>
            <w:shd w:val="clear" w:color="auto" w:fill="auto"/>
            <w:noWrap/>
            <w:hideMark/>
          </w:tcPr>
          <w:p w14:paraId="7E732EA7" w14:textId="106B254A" w:rsidR="00EF2CF6" w:rsidRPr="001616B2" w:rsidRDefault="00EF2CF6" w:rsidP="00EF2CF6">
            <w:pPr>
              <w:jc w:val="center"/>
              <w:rPr>
                <w:rFonts w:ascii="Calibri" w:hAnsi="Calibri" w:cs="Calibri"/>
              </w:rPr>
            </w:pPr>
            <w:r w:rsidRPr="001616B2">
              <w:rPr>
                <w:rFonts w:ascii="Calibri" w:hAnsi="Calibri" w:cs="Calibri"/>
              </w:rPr>
              <w:t>155</w:t>
            </w:r>
          </w:p>
        </w:tc>
        <w:tc>
          <w:tcPr>
            <w:tcW w:w="1648" w:type="dxa"/>
            <w:tcBorders>
              <w:top w:val="nil"/>
              <w:left w:val="nil"/>
              <w:bottom w:val="nil"/>
              <w:right w:val="nil"/>
            </w:tcBorders>
            <w:shd w:val="clear" w:color="auto" w:fill="auto"/>
            <w:noWrap/>
            <w:hideMark/>
          </w:tcPr>
          <w:p w14:paraId="23D1BA7A" w14:textId="160EF45F" w:rsidR="00EF2CF6" w:rsidRPr="001616B2" w:rsidRDefault="00EF2CF6" w:rsidP="00EF2CF6">
            <w:pPr>
              <w:jc w:val="center"/>
              <w:rPr>
                <w:rFonts w:ascii="Calibri" w:hAnsi="Calibri" w:cs="Calibri"/>
              </w:rPr>
            </w:pPr>
            <w:r w:rsidRPr="001616B2">
              <w:rPr>
                <w:rFonts w:ascii="Calibri" w:hAnsi="Calibri" w:cs="Calibri"/>
              </w:rPr>
              <w:t>248</w:t>
            </w:r>
          </w:p>
        </w:tc>
        <w:tc>
          <w:tcPr>
            <w:tcW w:w="1649" w:type="dxa"/>
            <w:tcBorders>
              <w:top w:val="nil"/>
              <w:left w:val="nil"/>
              <w:bottom w:val="nil"/>
              <w:right w:val="nil"/>
            </w:tcBorders>
            <w:shd w:val="clear" w:color="auto" w:fill="auto"/>
            <w:noWrap/>
            <w:hideMark/>
          </w:tcPr>
          <w:p w14:paraId="3FEB8CE6" w14:textId="5B06A634" w:rsidR="00EF2CF6" w:rsidRPr="001616B2" w:rsidRDefault="00EF2CF6" w:rsidP="00EF2CF6">
            <w:pPr>
              <w:jc w:val="center"/>
              <w:rPr>
                <w:rFonts w:ascii="Calibri" w:hAnsi="Calibri" w:cs="Calibri"/>
              </w:rPr>
            </w:pPr>
            <w:r w:rsidRPr="001616B2">
              <w:rPr>
                <w:rFonts w:ascii="Calibri" w:hAnsi="Calibri" w:cs="Calibri"/>
              </w:rPr>
              <w:t>337</w:t>
            </w:r>
          </w:p>
        </w:tc>
        <w:tc>
          <w:tcPr>
            <w:tcW w:w="1665" w:type="dxa"/>
            <w:tcBorders>
              <w:top w:val="nil"/>
              <w:left w:val="nil"/>
              <w:bottom w:val="nil"/>
              <w:right w:val="single" w:sz="8" w:space="0" w:color="auto"/>
            </w:tcBorders>
            <w:shd w:val="clear" w:color="auto" w:fill="auto"/>
            <w:noWrap/>
            <w:hideMark/>
          </w:tcPr>
          <w:p w14:paraId="4A891E55" w14:textId="3CC101DD" w:rsidR="00EF2CF6" w:rsidRPr="001616B2" w:rsidRDefault="00EF2CF6" w:rsidP="00EF2CF6">
            <w:pPr>
              <w:jc w:val="center"/>
              <w:rPr>
                <w:rFonts w:ascii="Calibri" w:hAnsi="Calibri" w:cs="Calibri"/>
              </w:rPr>
            </w:pPr>
            <w:r w:rsidRPr="001616B2">
              <w:rPr>
                <w:rFonts w:ascii="Calibri" w:hAnsi="Calibri" w:cs="Calibri"/>
              </w:rPr>
              <w:t>423</w:t>
            </w:r>
          </w:p>
        </w:tc>
      </w:tr>
      <w:tr w:rsidR="00833BD9" w:rsidRPr="00EF2CF6" w14:paraId="25D19AF9" w14:textId="77777777" w:rsidTr="00780625">
        <w:trPr>
          <w:cantSplit/>
          <w:trHeight w:val="68"/>
        </w:trPr>
        <w:tc>
          <w:tcPr>
            <w:tcW w:w="2245" w:type="dxa"/>
            <w:tcBorders>
              <w:top w:val="nil"/>
              <w:left w:val="single" w:sz="8" w:space="0" w:color="auto"/>
              <w:bottom w:val="nil"/>
              <w:right w:val="nil"/>
            </w:tcBorders>
            <w:shd w:val="clear" w:color="auto" w:fill="auto"/>
            <w:noWrap/>
            <w:hideMark/>
          </w:tcPr>
          <w:p w14:paraId="5A90EB6F" w14:textId="77777777" w:rsidR="00EF2CF6" w:rsidRPr="001616B2" w:rsidRDefault="00EF2CF6" w:rsidP="001616B2">
            <w:pPr>
              <w:rPr>
                <w:rFonts w:ascii="Calibri" w:hAnsi="Calibri" w:cs="Calibri"/>
                <w:b/>
                <w:bCs/>
              </w:rPr>
            </w:pPr>
            <w:r w:rsidRPr="001616B2">
              <w:rPr>
                <w:rFonts w:ascii="Calibri" w:hAnsi="Calibri" w:cs="Calibri"/>
                <w:b/>
                <w:bCs/>
              </w:rPr>
              <w:t>Profitability</w:t>
            </w:r>
          </w:p>
        </w:tc>
        <w:tc>
          <w:tcPr>
            <w:tcW w:w="1431" w:type="dxa"/>
            <w:tcBorders>
              <w:top w:val="nil"/>
              <w:left w:val="nil"/>
              <w:bottom w:val="nil"/>
              <w:right w:val="nil"/>
            </w:tcBorders>
            <w:shd w:val="clear" w:color="auto" w:fill="auto"/>
            <w:noWrap/>
            <w:hideMark/>
          </w:tcPr>
          <w:p w14:paraId="04A4E61B" w14:textId="3D1671E7" w:rsidR="00EF2CF6" w:rsidRPr="001616B2" w:rsidRDefault="00EF2CF6" w:rsidP="00EF2CF6">
            <w:pPr>
              <w:jc w:val="center"/>
              <w:rPr>
                <w:rFonts w:ascii="Calibri" w:hAnsi="Calibri" w:cs="Calibri"/>
              </w:rPr>
            </w:pPr>
          </w:p>
        </w:tc>
        <w:tc>
          <w:tcPr>
            <w:tcW w:w="1648" w:type="dxa"/>
            <w:tcBorders>
              <w:top w:val="nil"/>
              <w:left w:val="nil"/>
              <w:bottom w:val="nil"/>
              <w:right w:val="nil"/>
            </w:tcBorders>
            <w:shd w:val="clear" w:color="auto" w:fill="auto"/>
            <w:noWrap/>
            <w:hideMark/>
          </w:tcPr>
          <w:p w14:paraId="451C590C" w14:textId="211C7F70" w:rsidR="00EF2CF6" w:rsidRPr="001616B2" w:rsidRDefault="00EF2CF6" w:rsidP="00EF2CF6">
            <w:pPr>
              <w:jc w:val="center"/>
              <w:rPr>
                <w:rFonts w:ascii="Calibri" w:hAnsi="Calibri" w:cs="Calibri"/>
              </w:rPr>
            </w:pPr>
          </w:p>
        </w:tc>
        <w:tc>
          <w:tcPr>
            <w:tcW w:w="1648" w:type="dxa"/>
            <w:tcBorders>
              <w:top w:val="nil"/>
              <w:left w:val="nil"/>
              <w:bottom w:val="nil"/>
              <w:right w:val="nil"/>
            </w:tcBorders>
            <w:shd w:val="clear" w:color="auto" w:fill="auto"/>
            <w:noWrap/>
            <w:hideMark/>
          </w:tcPr>
          <w:p w14:paraId="6B9106E3" w14:textId="5D51C154" w:rsidR="00EF2CF6" w:rsidRPr="001616B2" w:rsidRDefault="00EF2CF6" w:rsidP="00EF2CF6">
            <w:pPr>
              <w:jc w:val="center"/>
              <w:rPr>
                <w:rFonts w:ascii="Calibri" w:hAnsi="Calibri" w:cs="Calibri"/>
              </w:rPr>
            </w:pPr>
          </w:p>
        </w:tc>
        <w:tc>
          <w:tcPr>
            <w:tcW w:w="1649" w:type="dxa"/>
            <w:tcBorders>
              <w:top w:val="nil"/>
              <w:left w:val="nil"/>
              <w:bottom w:val="nil"/>
              <w:right w:val="nil"/>
            </w:tcBorders>
            <w:shd w:val="clear" w:color="auto" w:fill="auto"/>
            <w:noWrap/>
            <w:hideMark/>
          </w:tcPr>
          <w:p w14:paraId="35C21106" w14:textId="2472A4F6" w:rsidR="00EF2CF6" w:rsidRPr="001616B2" w:rsidRDefault="00EF2CF6" w:rsidP="00EF2CF6">
            <w:pPr>
              <w:jc w:val="center"/>
              <w:rPr>
                <w:rFonts w:ascii="Calibri" w:hAnsi="Calibri" w:cs="Calibri"/>
              </w:rPr>
            </w:pPr>
          </w:p>
        </w:tc>
        <w:tc>
          <w:tcPr>
            <w:tcW w:w="1665" w:type="dxa"/>
            <w:tcBorders>
              <w:top w:val="nil"/>
              <w:left w:val="nil"/>
              <w:bottom w:val="nil"/>
              <w:right w:val="single" w:sz="8" w:space="0" w:color="auto"/>
            </w:tcBorders>
            <w:shd w:val="clear" w:color="auto" w:fill="auto"/>
            <w:noWrap/>
            <w:hideMark/>
          </w:tcPr>
          <w:p w14:paraId="7113F602" w14:textId="5D2F24FE" w:rsidR="00EF2CF6" w:rsidRPr="001616B2" w:rsidRDefault="00EF2CF6" w:rsidP="00EF2CF6">
            <w:pPr>
              <w:jc w:val="center"/>
              <w:rPr>
                <w:rFonts w:ascii="Calibri" w:hAnsi="Calibri" w:cs="Calibri"/>
              </w:rPr>
            </w:pPr>
          </w:p>
        </w:tc>
      </w:tr>
      <w:tr w:rsidR="00833BD9" w:rsidRPr="00EF2CF6" w14:paraId="4C42F35B" w14:textId="77777777" w:rsidTr="00780625">
        <w:trPr>
          <w:cantSplit/>
          <w:trHeight w:val="68"/>
        </w:trPr>
        <w:tc>
          <w:tcPr>
            <w:tcW w:w="2245" w:type="dxa"/>
            <w:tcBorders>
              <w:top w:val="nil"/>
              <w:left w:val="single" w:sz="8" w:space="0" w:color="auto"/>
              <w:bottom w:val="nil"/>
              <w:right w:val="nil"/>
            </w:tcBorders>
            <w:shd w:val="clear" w:color="auto" w:fill="auto"/>
            <w:noWrap/>
            <w:hideMark/>
          </w:tcPr>
          <w:p w14:paraId="7532F9D3" w14:textId="77777777" w:rsidR="00EF2CF6" w:rsidRPr="001616B2" w:rsidRDefault="00EF2CF6" w:rsidP="00833BD9">
            <w:pPr>
              <w:jc w:val="right"/>
              <w:rPr>
                <w:rFonts w:ascii="Calibri" w:hAnsi="Calibri" w:cs="Calibri"/>
              </w:rPr>
            </w:pPr>
            <w:r w:rsidRPr="001616B2">
              <w:rPr>
                <w:rFonts w:ascii="Calibri" w:hAnsi="Calibri" w:cs="Calibri"/>
              </w:rPr>
              <w:t>Operating Margin</w:t>
            </w:r>
          </w:p>
        </w:tc>
        <w:tc>
          <w:tcPr>
            <w:tcW w:w="1431" w:type="dxa"/>
            <w:tcBorders>
              <w:top w:val="nil"/>
              <w:left w:val="nil"/>
              <w:bottom w:val="nil"/>
              <w:right w:val="nil"/>
            </w:tcBorders>
            <w:shd w:val="clear" w:color="auto" w:fill="auto"/>
            <w:noWrap/>
            <w:hideMark/>
          </w:tcPr>
          <w:p w14:paraId="3FA71CC5" w14:textId="77777777" w:rsidR="00EF2CF6" w:rsidRPr="001616B2" w:rsidRDefault="00EF2CF6" w:rsidP="00EF2CF6">
            <w:pPr>
              <w:jc w:val="center"/>
              <w:rPr>
                <w:rFonts w:ascii="Calibri" w:hAnsi="Calibri" w:cs="Calibri"/>
              </w:rPr>
            </w:pPr>
            <w:r w:rsidRPr="001616B2">
              <w:rPr>
                <w:rFonts w:ascii="Calibri" w:hAnsi="Calibri" w:cs="Calibri"/>
              </w:rPr>
              <w:t>-4.7%</w:t>
            </w:r>
          </w:p>
        </w:tc>
        <w:tc>
          <w:tcPr>
            <w:tcW w:w="1648" w:type="dxa"/>
            <w:tcBorders>
              <w:top w:val="nil"/>
              <w:left w:val="nil"/>
              <w:bottom w:val="nil"/>
              <w:right w:val="nil"/>
            </w:tcBorders>
            <w:shd w:val="clear" w:color="auto" w:fill="auto"/>
            <w:noWrap/>
            <w:hideMark/>
          </w:tcPr>
          <w:p w14:paraId="09079AFF" w14:textId="77777777" w:rsidR="00EF2CF6" w:rsidRPr="001616B2" w:rsidRDefault="00EF2CF6" w:rsidP="00EF2CF6">
            <w:pPr>
              <w:jc w:val="center"/>
              <w:rPr>
                <w:rFonts w:ascii="Calibri" w:hAnsi="Calibri" w:cs="Calibri"/>
              </w:rPr>
            </w:pPr>
            <w:r w:rsidRPr="001616B2">
              <w:rPr>
                <w:rFonts w:ascii="Calibri" w:hAnsi="Calibri" w:cs="Calibri"/>
              </w:rPr>
              <w:t>11.0%</w:t>
            </w:r>
          </w:p>
        </w:tc>
        <w:tc>
          <w:tcPr>
            <w:tcW w:w="1648" w:type="dxa"/>
            <w:tcBorders>
              <w:top w:val="nil"/>
              <w:left w:val="nil"/>
              <w:bottom w:val="nil"/>
              <w:right w:val="nil"/>
            </w:tcBorders>
            <w:shd w:val="clear" w:color="auto" w:fill="auto"/>
            <w:noWrap/>
            <w:hideMark/>
          </w:tcPr>
          <w:p w14:paraId="03D1CB8F" w14:textId="77777777" w:rsidR="00EF2CF6" w:rsidRPr="001616B2" w:rsidRDefault="00EF2CF6" w:rsidP="00EF2CF6">
            <w:pPr>
              <w:jc w:val="center"/>
              <w:rPr>
                <w:rFonts w:ascii="Calibri" w:hAnsi="Calibri" w:cs="Calibri"/>
              </w:rPr>
            </w:pPr>
            <w:r w:rsidRPr="001616B2">
              <w:rPr>
                <w:rFonts w:ascii="Calibri" w:hAnsi="Calibri" w:cs="Calibri"/>
              </w:rPr>
              <w:t>11.3%</w:t>
            </w:r>
          </w:p>
        </w:tc>
        <w:tc>
          <w:tcPr>
            <w:tcW w:w="1649" w:type="dxa"/>
            <w:tcBorders>
              <w:top w:val="nil"/>
              <w:left w:val="nil"/>
              <w:bottom w:val="nil"/>
              <w:right w:val="nil"/>
            </w:tcBorders>
            <w:shd w:val="clear" w:color="auto" w:fill="auto"/>
            <w:noWrap/>
            <w:hideMark/>
          </w:tcPr>
          <w:p w14:paraId="227AD2CA" w14:textId="77777777" w:rsidR="00EF2CF6" w:rsidRPr="001616B2" w:rsidRDefault="00EF2CF6" w:rsidP="00EF2CF6">
            <w:pPr>
              <w:jc w:val="center"/>
              <w:rPr>
                <w:rFonts w:ascii="Calibri" w:hAnsi="Calibri" w:cs="Calibri"/>
              </w:rPr>
            </w:pPr>
            <w:r w:rsidRPr="001616B2">
              <w:rPr>
                <w:rFonts w:ascii="Calibri" w:hAnsi="Calibri" w:cs="Calibri"/>
              </w:rPr>
              <w:t>11.6%</w:t>
            </w:r>
          </w:p>
        </w:tc>
        <w:tc>
          <w:tcPr>
            <w:tcW w:w="1665" w:type="dxa"/>
            <w:tcBorders>
              <w:top w:val="nil"/>
              <w:left w:val="nil"/>
              <w:bottom w:val="nil"/>
              <w:right w:val="single" w:sz="8" w:space="0" w:color="auto"/>
            </w:tcBorders>
            <w:shd w:val="clear" w:color="auto" w:fill="auto"/>
            <w:noWrap/>
            <w:hideMark/>
          </w:tcPr>
          <w:p w14:paraId="5CF55ECE" w14:textId="77777777" w:rsidR="00EF2CF6" w:rsidRPr="001616B2" w:rsidRDefault="00EF2CF6" w:rsidP="00EF2CF6">
            <w:pPr>
              <w:jc w:val="center"/>
              <w:rPr>
                <w:rFonts w:ascii="Calibri" w:hAnsi="Calibri" w:cs="Calibri"/>
              </w:rPr>
            </w:pPr>
            <w:r w:rsidRPr="001616B2">
              <w:rPr>
                <w:rFonts w:ascii="Calibri" w:hAnsi="Calibri" w:cs="Calibri"/>
              </w:rPr>
              <w:t>12.0%</w:t>
            </w:r>
          </w:p>
        </w:tc>
      </w:tr>
      <w:tr w:rsidR="00833BD9" w:rsidRPr="00EF2CF6" w14:paraId="368A4360" w14:textId="77777777" w:rsidTr="00780625">
        <w:trPr>
          <w:cantSplit/>
          <w:trHeight w:val="68"/>
        </w:trPr>
        <w:tc>
          <w:tcPr>
            <w:tcW w:w="2245" w:type="dxa"/>
            <w:tcBorders>
              <w:top w:val="nil"/>
              <w:left w:val="single" w:sz="8" w:space="0" w:color="auto"/>
              <w:bottom w:val="nil"/>
              <w:right w:val="nil"/>
            </w:tcBorders>
            <w:shd w:val="clear" w:color="auto" w:fill="auto"/>
            <w:noWrap/>
            <w:hideMark/>
          </w:tcPr>
          <w:p w14:paraId="3F7EC0D3" w14:textId="77777777" w:rsidR="00EF2CF6" w:rsidRPr="001616B2" w:rsidRDefault="00EF2CF6" w:rsidP="00833BD9">
            <w:pPr>
              <w:jc w:val="right"/>
              <w:rPr>
                <w:rFonts w:ascii="Calibri" w:hAnsi="Calibri" w:cs="Calibri"/>
              </w:rPr>
            </w:pPr>
            <w:r w:rsidRPr="001616B2">
              <w:rPr>
                <w:rFonts w:ascii="Calibri" w:hAnsi="Calibri" w:cs="Calibri"/>
              </w:rPr>
              <w:t>EBIDA Margin</w:t>
            </w:r>
          </w:p>
        </w:tc>
        <w:tc>
          <w:tcPr>
            <w:tcW w:w="1431" w:type="dxa"/>
            <w:tcBorders>
              <w:top w:val="nil"/>
              <w:left w:val="nil"/>
              <w:bottom w:val="nil"/>
              <w:right w:val="nil"/>
            </w:tcBorders>
            <w:shd w:val="clear" w:color="auto" w:fill="auto"/>
            <w:noWrap/>
            <w:hideMark/>
          </w:tcPr>
          <w:p w14:paraId="7CB84587" w14:textId="77777777" w:rsidR="00EF2CF6" w:rsidRPr="001616B2" w:rsidRDefault="00EF2CF6" w:rsidP="00EF2CF6">
            <w:pPr>
              <w:jc w:val="center"/>
              <w:rPr>
                <w:rFonts w:ascii="Calibri" w:hAnsi="Calibri" w:cs="Calibri"/>
              </w:rPr>
            </w:pPr>
            <w:r w:rsidRPr="001616B2">
              <w:rPr>
                <w:rFonts w:ascii="Calibri" w:hAnsi="Calibri" w:cs="Calibri"/>
              </w:rPr>
              <w:t>15.1%</w:t>
            </w:r>
          </w:p>
        </w:tc>
        <w:tc>
          <w:tcPr>
            <w:tcW w:w="1648" w:type="dxa"/>
            <w:tcBorders>
              <w:top w:val="nil"/>
              <w:left w:val="nil"/>
              <w:bottom w:val="nil"/>
              <w:right w:val="nil"/>
            </w:tcBorders>
            <w:shd w:val="clear" w:color="auto" w:fill="auto"/>
            <w:noWrap/>
            <w:hideMark/>
          </w:tcPr>
          <w:p w14:paraId="445034F1" w14:textId="77777777" w:rsidR="00EF2CF6" w:rsidRPr="001616B2" w:rsidRDefault="00EF2CF6" w:rsidP="00EF2CF6">
            <w:pPr>
              <w:jc w:val="center"/>
              <w:rPr>
                <w:rFonts w:ascii="Calibri" w:hAnsi="Calibri" w:cs="Calibri"/>
              </w:rPr>
            </w:pPr>
            <w:r w:rsidRPr="001616B2">
              <w:rPr>
                <w:rFonts w:ascii="Calibri" w:hAnsi="Calibri" w:cs="Calibri"/>
              </w:rPr>
              <w:t>21.6%</w:t>
            </w:r>
          </w:p>
        </w:tc>
        <w:tc>
          <w:tcPr>
            <w:tcW w:w="1648" w:type="dxa"/>
            <w:tcBorders>
              <w:top w:val="nil"/>
              <w:left w:val="nil"/>
              <w:bottom w:val="nil"/>
              <w:right w:val="nil"/>
            </w:tcBorders>
            <w:shd w:val="clear" w:color="auto" w:fill="auto"/>
            <w:noWrap/>
            <w:hideMark/>
          </w:tcPr>
          <w:p w14:paraId="540BE6C7" w14:textId="77777777" w:rsidR="00EF2CF6" w:rsidRPr="001616B2" w:rsidRDefault="00EF2CF6" w:rsidP="00EF2CF6">
            <w:pPr>
              <w:jc w:val="center"/>
              <w:rPr>
                <w:rFonts w:ascii="Calibri" w:hAnsi="Calibri" w:cs="Calibri"/>
              </w:rPr>
            </w:pPr>
            <w:r w:rsidRPr="001616B2">
              <w:rPr>
                <w:rFonts w:ascii="Calibri" w:hAnsi="Calibri" w:cs="Calibri"/>
              </w:rPr>
              <w:t>21.6%</w:t>
            </w:r>
          </w:p>
        </w:tc>
        <w:tc>
          <w:tcPr>
            <w:tcW w:w="1649" w:type="dxa"/>
            <w:tcBorders>
              <w:top w:val="nil"/>
              <w:left w:val="nil"/>
              <w:bottom w:val="nil"/>
              <w:right w:val="nil"/>
            </w:tcBorders>
            <w:shd w:val="clear" w:color="auto" w:fill="auto"/>
            <w:noWrap/>
            <w:hideMark/>
          </w:tcPr>
          <w:p w14:paraId="67A14957" w14:textId="77777777" w:rsidR="00EF2CF6" w:rsidRPr="001616B2" w:rsidRDefault="00EF2CF6" w:rsidP="00EF2CF6">
            <w:pPr>
              <w:jc w:val="center"/>
              <w:rPr>
                <w:rFonts w:ascii="Calibri" w:hAnsi="Calibri" w:cs="Calibri"/>
              </w:rPr>
            </w:pPr>
            <w:r w:rsidRPr="001616B2">
              <w:rPr>
                <w:rFonts w:ascii="Calibri" w:hAnsi="Calibri" w:cs="Calibri"/>
              </w:rPr>
              <w:t>21.6%</w:t>
            </w:r>
          </w:p>
        </w:tc>
        <w:tc>
          <w:tcPr>
            <w:tcW w:w="1665" w:type="dxa"/>
            <w:tcBorders>
              <w:top w:val="nil"/>
              <w:left w:val="nil"/>
              <w:bottom w:val="nil"/>
              <w:right w:val="single" w:sz="8" w:space="0" w:color="auto"/>
            </w:tcBorders>
            <w:shd w:val="clear" w:color="auto" w:fill="auto"/>
            <w:noWrap/>
            <w:hideMark/>
          </w:tcPr>
          <w:p w14:paraId="318781C5" w14:textId="77777777" w:rsidR="00EF2CF6" w:rsidRPr="001616B2" w:rsidRDefault="00EF2CF6" w:rsidP="00EF2CF6">
            <w:pPr>
              <w:jc w:val="center"/>
              <w:rPr>
                <w:rFonts w:ascii="Calibri" w:hAnsi="Calibri" w:cs="Calibri"/>
              </w:rPr>
            </w:pPr>
            <w:r w:rsidRPr="001616B2">
              <w:rPr>
                <w:rFonts w:ascii="Calibri" w:hAnsi="Calibri" w:cs="Calibri"/>
              </w:rPr>
              <w:t>21.6%</w:t>
            </w:r>
          </w:p>
        </w:tc>
      </w:tr>
      <w:tr w:rsidR="00833BD9" w:rsidRPr="00EF2CF6" w14:paraId="1477268B" w14:textId="77777777" w:rsidTr="00780625">
        <w:trPr>
          <w:cantSplit/>
          <w:trHeight w:val="68"/>
        </w:trPr>
        <w:tc>
          <w:tcPr>
            <w:tcW w:w="2245" w:type="dxa"/>
            <w:tcBorders>
              <w:top w:val="nil"/>
              <w:left w:val="single" w:sz="8" w:space="0" w:color="auto"/>
              <w:bottom w:val="nil"/>
              <w:right w:val="nil"/>
            </w:tcBorders>
            <w:shd w:val="clear" w:color="auto" w:fill="auto"/>
            <w:noWrap/>
            <w:hideMark/>
          </w:tcPr>
          <w:p w14:paraId="60A6907A" w14:textId="77777777" w:rsidR="00EF2CF6" w:rsidRPr="001616B2" w:rsidRDefault="00EF2CF6" w:rsidP="001616B2">
            <w:pPr>
              <w:rPr>
                <w:rFonts w:ascii="Calibri" w:hAnsi="Calibri" w:cs="Calibri"/>
                <w:b/>
                <w:bCs/>
              </w:rPr>
            </w:pPr>
            <w:r w:rsidRPr="001616B2">
              <w:rPr>
                <w:rFonts w:ascii="Calibri" w:hAnsi="Calibri" w:cs="Calibri"/>
                <w:b/>
                <w:bCs/>
              </w:rPr>
              <w:t>Solvency</w:t>
            </w:r>
          </w:p>
        </w:tc>
        <w:tc>
          <w:tcPr>
            <w:tcW w:w="1431" w:type="dxa"/>
            <w:tcBorders>
              <w:top w:val="nil"/>
              <w:left w:val="nil"/>
              <w:bottom w:val="nil"/>
              <w:right w:val="nil"/>
            </w:tcBorders>
            <w:shd w:val="clear" w:color="auto" w:fill="auto"/>
            <w:noWrap/>
            <w:hideMark/>
          </w:tcPr>
          <w:p w14:paraId="71018470" w14:textId="510AFD77" w:rsidR="00EF2CF6" w:rsidRPr="001616B2" w:rsidRDefault="00EF2CF6" w:rsidP="00EF2CF6">
            <w:pPr>
              <w:jc w:val="center"/>
              <w:rPr>
                <w:rFonts w:ascii="Calibri" w:hAnsi="Calibri" w:cs="Calibri"/>
              </w:rPr>
            </w:pPr>
          </w:p>
        </w:tc>
        <w:tc>
          <w:tcPr>
            <w:tcW w:w="1648" w:type="dxa"/>
            <w:tcBorders>
              <w:top w:val="nil"/>
              <w:left w:val="nil"/>
              <w:bottom w:val="nil"/>
              <w:right w:val="nil"/>
            </w:tcBorders>
            <w:shd w:val="clear" w:color="auto" w:fill="auto"/>
            <w:noWrap/>
            <w:hideMark/>
          </w:tcPr>
          <w:p w14:paraId="6242C102" w14:textId="2DAA984C" w:rsidR="00EF2CF6" w:rsidRPr="001616B2" w:rsidRDefault="00EF2CF6" w:rsidP="00EF2CF6">
            <w:pPr>
              <w:jc w:val="center"/>
              <w:rPr>
                <w:rFonts w:ascii="Calibri" w:hAnsi="Calibri" w:cs="Calibri"/>
              </w:rPr>
            </w:pPr>
          </w:p>
        </w:tc>
        <w:tc>
          <w:tcPr>
            <w:tcW w:w="1648" w:type="dxa"/>
            <w:tcBorders>
              <w:top w:val="nil"/>
              <w:left w:val="nil"/>
              <w:bottom w:val="nil"/>
              <w:right w:val="nil"/>
            </w:tcBorders>
            <w:shd w:val="clear" w:color="auto" w:fill="auto"/>
            <w:noWrap/>
            <w:hideMark/>
          </w:tcPr>
          <w:p w14:paraId="35F3618A" w14:textId="04A15BD4" w:rsidR="00EF2CF6" w:rsidRPr="001616B2" w:rsidRDefault="00EF2CF6" w:rsidP="00EF2CF6">
            <w:pPr>
              <w:jc w:val="center"/>
              <w:rPr>
                <w:rFonts w:ascii="Calibri" w:hAnsi="Calibri" w:cs="Calibri"/>
              </w:rPr>
            </w:pPr>
          </w:p>
        </w:tc>
        <w:tc>
          <w:tcPr>
            <w:tcW w:w="1649" w:type="dxa"/>
            <w:tcBorders>
              <w:top w:val="nil"/>
              <w:left w:val="nil"/>
              <w:bottom w:val="nil"/>
              <w:right w:val="nil"/>
            </w:tcBorders>
            <w:shd w:val="clear" w:color="auto" w:fill="auto"/>
            <w:noWrap/>
            <w:hideMark/>
          </w:tcPr>
          <w:p w14:paraId="54F1AF9E" w14:textId="3D4C7AAE" w:rsidR="00EF2CF6" w:rsidRPr="001616B2" w:rsidRDefault="00EF2CF6" w:rsidP="00EF2CF6">
            <w:pPr>
              <w:jc w:val="center"/>
              <w:rPr>
                <w:rFonts w:ascii="Calibri" w:hAnsi="Calibri" w:cs="Calibri"/>
              </w:rPr>
            </w:pPr>
          </w:p>
        </w:tc>
        <w:tc>
          <w:tcPr>
            <w:tcW w:w="1665" w:type="dxa"/>
            <w:tcBorders>
              <w:top w:val="nil"/>
              <w:left w:val="nil"/>
              <w:bottom w:val="nil"/>
              <w:right w:val="single" w:sz="8" w:space="0" w:color="auto"/>
            </w:tcBorders>
            <w:shd w:val="clear" w:color="auto" w:fill="auto"/>
            <w:noWrap/>
            <w:hideMark/>
          </w:tcPr>
          <w:p w14:paraId="56EB1AFC" w14:textId="3A0B3490" w:rsidR="00EF2CF6" w:rsidRPr="001616B2" w:rsidRDefault="00EF2CF6" w:rsidP="00EF2CF6">
            <w:pPr>
              <w:jc w:val="center"/>
              <w:rPr>
                <w:rFonts w:ascii="Calibri" w:hAnsi="Calibri" w:cs="Calibri"/>
              </w:rPr>
            </w:pPr>
          </w:p>
        </w:tc>
      </w:tr>
      <w:tr w:rsidR="00833BD9" w:rsidRPr="00EF2CF6" w14:paraId="6BDFB6C3" w14:textId="77777777" w:rsidTr="00780625">
        <w:trPr>
          <w:cantSplit/>
          <w:trHeight w:val="68"/>
        </w:trPr>
        <w:tc>
          <w:tcPr>
            <w:tcW w:w="2245" w:type="dxa"/>
            <w:tcBorders>
              <w:top w:val="nil"/>
              <w:left w:val="single" w:sz="8" w:space="0" w:color="auto"/>
              <w:bottom w:val="nil"/>
              <w:right w:val="nil"/>
            </w:tcBorders>
            <w:shd w:val="clear" w:color="auto" w:fill="auto"/>
            <w:noWrap/>
            <w:hideMark/>
          </w:tcPr>
          <w:p w14:paraId="3A0E52AD" w14:textId="77777777" w:rsidR="00EF2CF6" w:rsidRPr="001616B2" w:rsidRDefault="00EF2CF6" w:rsidP="00833BD9">
            <w:pPr>
              <w:jc w:val="right"/>
              <w:rPr>
                <w:rFonts w:ascii="Calibri" w:hAnsi="Calibri" w:cs="Calibri"/>
              </w:rPr>
            </w:pPr>
            <w:r w:rsidRPr="001616B2">
              <w:rPr>
                <w:rFonts w:ascii="Calibri" w:hAnsi="Calibri" w:cs="Calibri"/>
              </w:rPr>
              <w:t>Current Ratio</w:t>
            </w:r>
          </w:p>
        </w:tc>
        <w:tc>
          <w:tcPr>
            <w:tcW w:w="1431" w:type="dxa"/>
            <w:tcBorders>
              <w:top w:val="nil"/>
              <w:left w:val="nil"/>
              <w:bottom w:val="nil"/>
              <w:right w:val="nil"/>
            </w:tcBorders>
            <w:shd w:val="clear" w:color="auto" w:fill="auto"/>
            <w:noWrap/>
            <w:hideMark/>
          </w:tcPr>
          <w:p w14:paraId="528688D2" w14:textId="3366BE64" w:rsidR="00EF2CF6" w:rsidRPr="001616B2" w:rsidRDefault="00EF2CF6" w:rsidP="00EF2CF6">
            <w:pPr>
              <w:jc w:val="center"/>
              <w:rPr>
                <w:rFonts w:ascii="Calibri" w:hAnsi="Calibri" w:cs="Calibri"/>
              </w:rPr>
            </w:pPr>
            <w:r w:rsidRPr="001616B2">
              <w:rPr>
                <w:rFonts w:ascii="Calibri" w:hAnsi="Calibri" w:cs="Calibri"/>
              </w:rPr>
              <w:t>1.56</w:t>
            </w:r>
          </w:p>
        </w:tc>
        <w:tc>
          <w:tcPr>
            <w:tcW w:w="1648" w:type="dxa"/>
            <w:tcBorders>
              <w:top w:val="nil"/>
              <w:left w:val="nil"/>
              <w:bottom w:val="nil"/>
              <w:right w:val="nil"/>
            </w:tcBorders>
            <w:shd w:val="clear" w:color="auto" w:fill="auto"/>
            <w:noWrap/>
            <w:hideMark/>
          </w:tcPr>
          <w:p w14:paraId="0E3BAF31" w14:textId="0A0B3BA8" w:rsidR="00EF2CF6" w:rsidRPr="001616B2" w:rsidRDefault="00EF2CF6" w:rsidP="00EF2CF6">
            <w:pPr>
              <w:jc w:val="center"/>
              <w:rPr>
                <w:rFonts w:ascii="Calibri" w:hAnsi="Calibri" w:cs="Calibri"/>
              </w:rPr>
            </w:pPr>
            <w:r w:rsidRPr="001616B2">
              <w:rPr>
                <w:rFonts w:ascii="Calibri" w:hAnsi="Calibri" w:cs="Calibri"/>
              </w:rPr>
              <w:t>2.27</w:t>
            </w:r>
          </w:p>
        </w:tc>
        <w:tc>
          <w:tcPr>
            <w:tcW w:w="1648" w:type="dxa"/>
            <w:tcBorders>
              <w:top w:val="nil"/>
              <w:left w:val="nil"/>
              <w:bottom w:val="nil"/>
              <w:right w:val="nil"/>
            </w:tcBorders>
            <w:shd w:val="clear" w:color="auto" w:fill="auto"/>
            <w:noWrap/>
            <w:hideMark/>
          </w:tcPr>
          <w:p w14:paraId="22BCA88B" w14:textId="488EAAE4" w:rsidR="00EF2CF6" w:rsidRPr="001616B2" w:rsidRDefault="00EF2CF6" w:rsidP="00EF2CF6">
            <w:pPr>
              <w:jc w:val="center"/>
              <w:rPr>
                <w:rFonts w:ascii="Calibri" w:hAnsi="Calibri" w:cs="Calibri"/>
              </w:rPr>
            </w:pPr>
            <w:r w:rsidRPr="001616B2">
              <w:rPr>
                <w:rFonts w:ascii="Calibri" w:hAnsi="Calibri" w:cs="Calibri"/>
              </w:rPr>
              <w:t>3.11</w:t>
            </w:r>
          </w:p>
        </w:tc>
        <w:tc>
          <w:tcPr>
            <w:tcW w:w="1649" w:type="dxa"/>
            <w:tcBorders>
              <w:top w:val="nil"/>
              <w:left w:val="nil"/>
              <w:bottom w:val="nil"/>
              <w:right w:val="nil"/>
            </w:tcBorders>
            <w:shd w:val="clear" w:color="auto" w:fill="auto"/>
            <w:noWrap/>
            <w:hideMark/>
          </w:tcPr>
          <w:p w14:paraId="3A9AA9BF" w14:textId="180A97C7" w:rsidR="00EF2CF6" w:rsidRPr="001616B2" w:rsidRDefault="00EF2CF6" w:rsidP="00EF2CF6">
            <w:pPr>
              <w:jc w:val="center"/>
              <w:rPr>
                <w:rFonts w:ascii="Calibri" w:hAnsi="Calibri" w:cs="Calibri"/>
              </w:rPr>
            </w:pPr>
            <w:r w:rsidRPr="001616B2">
              <w:rPr>
                <w:rFonts w:ascii="Calibri" w:hAnsi="Calibri" w:cs="Calibri"/>
              </w:rPr>
              <w:t>3.93</w:t>
            </w:r>
          </w:p>
        </w:tc>
        <w:tc>
          <w:tcPr>
            <w:tcW w:w="1665" w:type="dxa"/>
            <w:tcBorders>
              <w:top w:val="nil"/>
              <w:left w:val="nil"/>
              <w:bottom w:val="nil"/>
              <w:right w:val="single" w:sz="8" w:space="0" w:color="auto"/>
            </w:tcBorders>
            <w:shd w:val="clear" w:color="auto" w:fill="auto"/>
            <w:noWrap/>
            <w:hideMark/>
          </w:tcPr>
          <w:p w14:paraId="5A6EE8A4" w14:textId="26092183" w:rsidR="00EF2CF6" w:rsidRPr="001616B2" w:rsidRDefault="00EF2CF6" w:rsidP="00EF2CF6">
            <w:pPr>
              <w:jc w:val="center"/>
              <w:rPr>
                <w:rFonts w:ascii="Calibri" w:hAnsi="Calibri" w:cs="Calibri"/>
              </w:rPr>
            </w:pPr>
            <w:r w:rsidRPr="001616B2">
              <w:rPr>
                <w:rFonts w:ascii="Calibri" w:hAnsi="Calibri" w:cs="Calibri"/>
              </w:rPr>
              <w:t>4.71</w:t>
            </w:r>
          </w:p>
        </w:tc>
      </w:tr>
      <w:tr w:rsidR="001616B2" w:rsidRPr="00EF2CF6" w14:paraId="3108FF9B" w14:textId="77777777" w:rsidTr="00780625">
        <w:trPr>
          <w:cantSplit/>
          <w:trHeight w:val="372"/>
        </w:trPr>
        <w:tc>
          <w:tcPr>
            <w:tcW w:w="2245" w:type="dxa"/>
            <w:tcBorders>
              <w:top w:val="nil"/>
              <w:left w:val="single" w:sz="8" w:space="0" w:color="auto"/>
              <w:bottom w:val="single" w:sz="18" w:space="0" w:color="auto"/>
              <w:right w:val="nil"/>
            </w:tcBorders>
            <w:shd w:val="clear" w:color="auto" w:fill="auto"/>
            <w:noWrap/>
            <w:hideMark/>
          </w:tcPr>
          <w:p w14:paraId="00735938" w14:textId="77777777" w:rsidR="00EF2CF6" w:rsidRPr="001616B2" w:rsidRDefault="00EF2CF6" w:rsidP="00833BD9">
            <w:pPr>
              <w:jc w:val="right"/>
              <w:rPr>
                <w:rFonts w:ascii="Calibri" w:hAnsi="Calibri" w:cs="Calibri"/>
              </w:rPr>
            </w:pPr>
            <w:r w:rsidRPr="001616B2">
              <w:rPr>
                <w:rFonts w:ascii="Calibri" w:hAnsi="Calibri" w:cs="Calibri"/>
              </w:rPr>
              <w:t>Total Net Assets</w:t>
            </w:r>
          </w:p>
        </w:tc>
        <w:tc>
          <w:tcPr>
            <w:tcW w:w="1431" w:type="dxa"/>
            <w:tcBorders>
              <w:top w:val="nil"/>
              <w:left w:val="nil"/>
              <w:bottom w:val="single" w:sz="18" w:space="0" w:color="auto"/>
              <w:right w:val="nil"/>
            </w:tcBorders>
            <w:shd w:val="clear" w:color="auto" w:fill="auto"/>
            <w:noWrap/>
            <w:hideMark/>
          </w:tcPr>
          <w:p w14:paraId="64326EEA" w14:textId="4757762E" w:rsidR="00EF2CF6" w:rsidRPr="001616B2" w:rsidRDefault="00EF2CF6" w:rsidP="00EF2CF6">
            <w:pPr>
              <w:jc w:val="center"/>
              <w:rPr>
                <w:rFonts w:ascii="Calibri" w:hAnsi="Calibri" w:cs="Calibri"/>
              </w:rPr>
            </w:pPr>
            <w:r w:rsidRPr="001616B2">
              <w:rPr>
                <w:rFonts w:ascii="Calibri" w:hAnsi="Calibri" w:cs="Calibri"/>
              </w:rPr>
              <w:t>$16,686,129</w:t>
            </w:r>
          </w:p>
        </w:tc>
        <w:tc>
          <w:tcPr>
            <w:tcW w:w="1648" w:type="dxa"/>
            <w:tcBorders>
              <w:top w:val="nil"/>
              <w:left w:val="nil"/>
              <w:bottom w:val="single" w:sz="18" w:space="0" w:color="auto"/>
              <w:right w:val="nil"/>
            </w:tcBorders>
            <w:shd w:val="clear" w:color="auto" w:fill="auto"/>
            <w:noWrap/>
            <w:hideMark/>
          </w:tcPr>
          <w:p w14:paraId="7DD60256" w14:textId="015DA984" w:rsidR="00EF2CF6" w:rsidRPr="001616B2" w:rsidRDefault="00EF2CF6" w:rsidP="00EF2CF6">
            <w:pPr>
              <w:jc w:val="center"/>
              <w:rPr>
                <w:rFonts w:ascii="Calibri" w:hAnsi="Calibri" w:cs="Calibri"/>
              </w:rPr>
            </w:pPr>
            <w:r w:rsidRPr="001616B2">
              <w:rPr>
                <w:rFonts w:ascii="Calibri" w:hAnsi="Calibri" w:cs="Calibri"/>
              </w:rPr>
              <w:t>$19,735,405</w:t>
            </w:r>
          </w:p>
        </w:tc>
        <w:tc>
          <w:tcPr>
            <w:tcW w:w="1648" w:type="dxa"/>
            <w:tcBorders>
              <w:top w:val="nil"/>
              <w:left w:val="nil"/>
              <w:bottom w:val="single" w:sz="18" w:space="0" w:color="auto"/>
              <w:right w:val="nil"/>
            </w:tcBorders>
            <w:shd w:val="clear" w:color="auto" w:fill="auto"/>
            <w:noWrap/>
            <w:hideMark/>
          </w:tcPr>
          <w:p w14:paraId="1624A82A" w14:textId="013CE886" w:rsidR="00EF2CF6" w:rsidRPr="001616B2" w:rsidRDefault="00EF2CF6" w:rsidP="00EF2CF6">
            <w:pPr>
              <w:jc w:val="center"/>
              <w:rPr>
                <w:rFonts w:ascii="Calibri" w:hAnsi="Calibri" w:cs="Calibri"/>
              </w:rPr>
            </w:pPr>
            <w:r w:rsidRPr="001616B2">
              <w:rPr>
                <w:rFonts w:ascii="Calibri" w:hAnsi="Calibri" w:cs="Calibri"/>
              </w:rPr>
              <w:t>$22,997,202</w:t>
            </w:r>
          </w:p>
        </w:tc>
        <w:tc>
          <w:tcPr>
            <w:tcW w:w="1649" w:type="dxa"/>
            <w:tcBorders>
              <w:top w:val="nil"/>
              <w:left w:val="nil"/>
              <w:bottom w:val="single" w:sz="18" w:space="0" w:color="auto"/>
              <w:right w:val="nil"/>
            </w:tcBorders>
            <w:shd w:val="clear" w:color="auto" w:fill="auto"/>
            <w:noWrap/>
            <w:hideMark/>
          </w:tcPr>
          <w:p w14:paraId="1753FDBF" w14:textId="18B11FAB" w:rsidR="00EF2CF6" w:rsidRPr="001616B2" w:rsidRDefault="00EF2CF6" w:rsidP="00EF2CF6">
            <w:pPr>
              <w:jc w:val="center"/>
              <w:rPr>
                <w:rFonts w:ascii="Calibri" w:hAnsi="Calibri" w:cs="Calibri"/>
              </w:rPr>
            </w:pPr>
            <w:r w:rsidRPr="001616B2">
              <w:rPr>
                <w:rFonts w:ascii="Calibri" w:hAnsi="Calibri" w:cs="Calibri"/>
              </w:rPr>
              <w:t>$26,497,097</w:t>
            </w:r>
          </w:p>
        </w:tc>
        <w:tc>
          <w:tcPr>
            <w:tcW w:w="1665" w:type="dxa"/>
            <w:tcBorders>
              <w:top w:val="nil"/>
              <w:left w:val="nil"/>
              <w:bottom w:val="single" w:sz="18" w:space="0" w:color="auto"/>
              <w:right w:val="single" w:sz="8" w:space="0" w:color="auto"/>
            </w:tcBorders>
            <w:shd w:val="clear" w:color="auto" w:fill="auto"/>
            <w:noWrap/>
            <w:hideMark/>
          </w:tcPr>
          <w:p w14:paraId="0C3A3B7E" w14:textId="5E18B0EE" w:rsidR="00EF2CF6" w:rsidRPr="001616B2" w:rsidRDefault="00EF2CF6" w:rsidP="00EF2CF6">
            <w:pPr>
              <w:jc w:val="center"/>
              <w:rPr>
                <w:rFonts w:ascii="Calibri" w:hAnsi="Calibri" w:cs="Calibri"/>
              </w:rPr>
            </w:pPr>
            <w:r w:rsidRPr="001616B2">
              <w:rPr>
                <w:rFonts w:ascii="Calibri" w:hAnsi="Calibri" w:cs="Calibri"/>
              </w:rPr>
              <w:t>$30,244,442</w:t>
            </w:r>
          </w:p>
        </w:tc>
      </w:tr>
    </w:tbl>
    <w:p w14:paraId="1F1D07F7" w14:textId="6BB37A69" w:rsidR="00EF2CF6" w:rsidRPr="002057D9" w:rsidRDefault="00EF2CF6" w:rsidP="00EF2CF6">
      <w:pPr>
        <w:spacing w:after="0" w:line="240" w:lineRule="auto"/>
        <w:ind w:left="1080"/>
        <w:jc w:val="center"/>
        <w:rPr>
          <w:rFonts w:ascii="Calibri" w:hAnsi="Calibri" w:cs="Calibri"/>
          <w:color w:val="A20000"/>
          <w:sz w:val="22"/>
          <w:szCs w:val="22"/>
          <w:u w:val="single"/>
        </w:rPr>
      </w:pPr>
      <w:r w:rsidRPr="002057D9">
        <w:rPr>
          <w:rFonts w:ascii="Calibri" w:hAnsi="Calibri" w:cs="Calibri"/>
          <w:color w:val="A20000"/>
          <w:sz w:val="22"/>
          <w:szCs w:val="22"/>
          <w:u w:val="single"/>
        </w:rPr>
        <w:t>Table 2</w:t>
      </w:r>
    </w:p>
    <w:p w14:paraId="7A4C17F4" w14:textId="77777777" w:rsidR="00780625" w:rsidRPr="001616B2" w:rsidRDefault="00780625" w:rsidP="00780625">
      <w:pPr>
        <w:jc w:val="center"/>
        <w:rPr>
          <w:rFonts w:ascii="Calibri" w:hAnsi="Calibri" w:cs="Calibri"/>
        </w:rPr>
      </w:pPr>
      <w:r w:rsidRPr="001616B2">
        <w:rPr>
          <w:rFonts w:ascii="Calibri" w:hAnsi="Calibri" w:cs="Calibri"/>
        </w:rPr>
        <w:t>Based on the Atrius Waltham Prospective Financial Schedules, 2026-2030.</w:t>
      </w:r>
    </w:p>
    <w:p w14:paraId="23CDF225" w14:textId="77777777" w:rsidR="00921218" w:rsidRDefault="00921218" w:rsidP="005726AC">
      <w:pPr>
        <w:spacing w:after="0" w:line="240" w:lineRule="auto"/>
        <w:ind w:left="1080"/>
        <w:rPr>
          <w:rFonts w:ascii="Calibri" w:hAnsi="Calibri" w:cs="Calibri"/>
        </w:rPr>
      </w:pPr>
    </w:p>
    <w:p w14:paraId="3B7EDAD7" w14:textId="77777777" w:rsidR="005340ED" w:rsidRPr="005726AC" w:rsidRDefault="005340ED" w:rsidP="005726AC">
      <w:pPr>
        <w:spacing w:after="0" w:line="240" w:lineRule="auto"/>
        <w:ind w:left="1080"/>
        <w:rPr>
          <w:rFonts w:ascii="Calibri" w:hAnsi="Calibri" w:cs="Calibri"/>
        </w:rPr>
      </w:pPr>
    </w:p>
    <w:p w14:paraId="6BC36E1E" w14:textId="550D442E" w:rsidR="005726AC" w:rsidRPr="002052CB" w:rsidRDefault="005726AC" w:rsidP="005726AC">
      <w:pPr>
        <w:pStyle w:val="ListParagraph"/>
        <w:numPr>
          <w:ilvl w:val="0"/>
          <w:numId w:val="6"/>
        </w:numPr>
        <w:spacing w:after="0" w:line="240" w:lineRule="auto"/>
        <w:rPr>
          <w:rFonts w:ascii="Calibri" w:hAnsi="Calibri" w:cs="Calibri"/>
        </w:rPr>
      </w:pPr>
      <w:r w:rsidRPr="002052CB">
        <w:rPr>
          <w:rFonts w:ascii="Calibri" w:hAnsi="Calibri" w:cs="Calibri"/>
          <w:i/>
          <w:iCs/>
        </w:rPr>
        <w:t xml:space="preserve">“In forecasting prospective revenues, Atrius Management has taken into consideration case type when developing volume and revenue per case estimates.” </w:t>
      </w:r>
      <w:r w:rsidRPr="002052CB">
        <w:rPr>
          <w:rFonts w:ascii="Calibri" w:hAnsi="Calibri" w:cs="Calibri"/>
        </w:rPr>
        <w:t xml:space="preserve">Provide the payer-mix that was used throughout the projected timeframe. </w:t>
      </w:r>
    </w:p>
    <w:p w14:paraId="2D12290D" w14:textId="4FCB648D" w:rsidR="00D53F22" w:rsidRPr="002052CB" w:rsidRDefault="00D53F22" w:rsidP="00D53F22">
      <w:pPr>
        <w:pStyle w:val="ListParagraph"/>
        <w:spacing w:after="0" w:line="240" w:lineRule="auto"/>
        <w:ind w:left="1080"/>
        <w:rPr>
          <w:rFonts w:ascii="Calibri" w:hAnsi="Calibri" w:cs="Calibri"/>
          <w:b/>
          <w:bCs/>
          <w:color w:val="FF0000"/>
        </w:rPr>
      </w:pPr>
    </w:p>
    <w:tbl>
      <w:tblPr>
        <w:tblW w:w="5060" w:type="dxa"/>
        <w:tblInd w:w="1332" w:type="dxa"/>
        <w:tblLook w:val="04A0" w:firstRow="1" w:lastRow="0" w:firstColumn="1" w:lastColumn="0" w:noHBand="0" w:noVBand="1"/>
      </w:tblPr>
      <w:tblGrid>
        <w:gridCol w:w="4100"/>
        <w:gridCol w:w="960"/>
      </w:tblGrid>
      <w:tr w:rsidR="00DF6D44" w:rsidRPr="00DF6D44" w14:paraId="75954DE0" w14:textId="77777777" w:rsidTr="003A0A67">
        <w:trPr>
          <w:cantSplit/>
          <w:trHeight w:val="315"/>
          <w:tblHeader/>
        </w:trPr>
        <w:tc>
          <w:tcPr>
            <w:tcW w:w="4100" w:type="dxa"/>
            <w:tcBorders>
              <w:top w:val="nil"/>
              <w:left w:val="nil"/>
              <w:bottom w:val="nil"/>
              <w:right w:val="nil"/>
            </w:tcBorders>
            <w:shd w:val="clear" w:color="000000" w:fill="0E2841"/>
            <w:noWrap/>
            <w:vAlign w:val="center"/>
            <w:hideMark/>
          </w:tcPr>
          <w:p w14:paraId="64306FD9" w14:textId="77777777" w:rsidR="00DF6D44" w:rsidRPr="00937AF6" w:rsidRDefault="00DF6D44" w:rsidP="00DF6D44">
            <w:pPr>
              <w:spacing w:after="0" w:line="240" w:lineRule="auto"/>
              <w:rPr>
                <w:rFonts w:ascii="Calibri" w:eastAsia="Times New Roman" w:hAnsi="Calibri" w:cs="Calibri"/>
                <w:b/>
                <w:bCs/>
              </w:rPr>
            </w:pPr>
            <w:r w:rsidRPr="00937AF6">
              <w:rPr>
                <w:rFonts w:ascii="Calibri" w:eastAsia="Times New Roman" w:hAnsi="Calibri" w:cs="Calibri"/>
                <w:b/>
                <w:bCs/>
              </w:rPr>
              <w:t>Payer</w:t>
            </w:r>
          </w:p>
        </w:tc>
        <w:tc>
          <w:tcPr>
            <w:tcW w:w="960" w:type="dxa"/>
            <w:tcBorders>
              <w:top w:val="nil"/>
              <w:left w:val="nil"/>
              <w:bottom w:val="nil"/>
              <w:right w:val="nil"/>
            </w:tcBorders>
            <w:shd w:val="clear" w:color="000000" w:fill="0E2841"/>
            <w:noWrap/>
            <w:vAlign w:val="center"/>
            <w:hideMark/>
          </w:tcPr>
          <w:p w14:paraId="313FBF29" w14:textId="77777777" w:rsidR="00DF6D44" w:rsidRPr="00937AF6" w:rsidRDefault="00DF6D44" w:rsidP="00DF6D44">
            <w:pPr>
              <w:spacing w:after="0" w:line="240" w:lineRule="auto"/>
              <w:rPr>
                <w:rFonts w:ascii="Calibri" w:eastAsia="Times New Roman" w:hAnsi="Calibri" w:cs="Calibri"/>
                <w:b/>
                <w:bCs/>
              </w:rPr>
            </w:pPr>
            <w:r w:rsidRPr="00937AF6">
              <w:rPr>
                <w:rFonts w:ascii="Calibri" w:eastAsia="Times New Roman" w:hAnsi="Calibri" w:cs="Calibri"/>
                <w:b/>
                <w:bCs/>
              </w:rPr>
              <w:t>% Total</w:t>
            </w:r>
          </w:p>
        </w:tc>
      </w:tr>
      <w:tr w:rsidR="00DF6D44" w:rsidRPr="00DF6D44" w14:paraId="4A6ADE7C" w14:textId="77777777" w:rsidTr="003A0A67">
        <w:trPr>
          <w:cantSplit/>
          <w:trHeight w:val="315"/>
        </w:trPr>
        <w:tc>
          <w:tcPr>
            <w:tcW w:w="4100" w:type="dxa"/>
            <w:tcBorders>
              <w:top w:val="nil"/>
              <w:left w:val="nil"/>
              <w:bottom w:val="nil"/>
              <w:right w:val="nil"/>
            </w:tcBorders>
            <w:shd w:val="clear" w:color="auto" w:fill="auto"/>
            <w:noWrap/>
            <w:vAlign w:val="center"/>
            <w:hideMark/>
          </w:tcPr>
          <w:p w14:paraId="7BD97D3D" w14:textId="77777777" w:rsidR="00DF6D44" w:rsidRPr="00937AF6" w:rsidRDefault="00DF6D44" w:rsidP="00DF6D44">
            <w:pPr>
              <w:spacing w:after="0" w:line="240" w:lineRule="auto"/>
              <w:rPr>
                <w:rFonts w:ascii="Calibri" w:eastAsia="Times New Roman" w:hAnsi="Calibri" w:cs="Calibri"/>
                <w:color w:val="A20000"/>
              </w:rPr>
            </w:pPr>
            <w:r w:rsidRPr="00937AF6">
              <w:rPr>
                <w:rFonts w:ascii="Calibri" w:eastAsia="Times New Roman" w:hAnsi="Calibri" w:cs="Calibri"/>
                <w:color w:val="A20000"/>
              </w:rPr>
              <w:t>Commercial</w:t>
            </w:r>
          </w:p>
        </w:tc>
        <w:tc>
          <w:tcPr>
            <w:tcW w:w="960" w:type="dxa"/>
            <w:tcBorders>
              <w:top w:val="nil"/>
              <w:left w:val="nil"/>
              <w:bottom w:val="nil"/>
              <w:right w:val="nil"/>
            </w:tcBorders>
            <w:shd w:val="clear" w:color="auto" w:fill="auto"/>
            <w:noWrap/>
            <w:vAlign w:val="center"/>
            <w:hideMark/>
          </w:tcPr>
          <w:p w14:paraId="61A67888" w14:textId="77777777" w:rsidR="00DF6D44" w:rsidRPr="00937AF6" w:rsidRDefault="00DF6D44" w:rsidP="00DF6D44">
            <w:pPr>
              <w:spacing w:after="0" w:line="240" w:lineRule="auto"/>
              <w:jc w:val="right"/>
              <w:rPr>
                <w:rFonts w:ascii="Calibri" w:eastAsia="Times New Roman" w:hAnsi="Calibri" w:cs="Calibri"/>
                <w:color w:val="5C0000"/>
              </w:rPr>
            </w:pPr>
            <w:r w:rsidRPr="00937AF6">
              <w:rPr>
                <w:rFonts w:ascii="Calibri" w:eastAsia="Times New Roman" w:hAnsi="Calibri" w:cs="Calibri"/>
                <w:color w:val="5C0000"/>
              </w:rPr>
              <w:t>66%</w:t>
            </w:r>
          </w:p>
        </w:tc>
      </w:tr>
      <w:tr w:rsidR="00DF6D44" w:rsidRPr="00DF6D44" w14:paraId="3EF0923F" w14:textId="77777777" w:rsidTr="003A0A67">
        <w:trPr>
          <w:cantSplit/>
          <w:trHeight w:val="315"/>
        </w:trPr>
        <w:tc>
          <w:tcPr>
            <w:tcW w:w="4100" w:type="dxa"/>
            <w:tcBorders>
              <w:top w:val="nil"/>
              <w:left w:val="nil"/>
              <w:bottom w:val="nil"/>
              <w:right w:val="nil"/>
            </w:tcBorders>
            <w:shd w:val="clear" w:color="auto" w:fill="auto"/>
            <w:noWrap/>
            <w:vAlign w:val="center"/>
            <w:hideMark/>
          </w:tcPr>
          <w:p w14:paraId="00E6162A" w14:textId="77777777" w:rsidR="00DF6D44" w:rsidRPr="00937AF6" w:rsidRDefault="00DF6D44" w:rsidP="00DF6D44">
            <w:pPr>
              <w:spacing w:after="0" w:line="240" w:lineRule="auto"/>
              <w:rPr>
                <w:rFonts w:ascii="Calibri" w:eastAsia="Times New Roman" w:hAnsi="Calibri" w:cs="Calibri"/>
                <w:color w:val="A20000"/>
              </w:rPr>
            </w:pPr>
            <w:r w:rsidRPr="00937AF6">
              <w:rPr>
                <w:rFonts w:ascii="Calibri" w:eastAsia="Times New Roman" w:hAnsi="Calibri" w:cs="Calibri"/>
                <w:color w:val="A20000"/>
              </w:rPr>
              <w:t>Medicare</w:t>
            </w:r>
          </w:p>
        </w:tc>
        <w:tc>
          <w:tcPr>
            <w:tcW w:w="960" w:type="dxa"/>
            <w:tcBorders>
              <w:top w:val="nil"/>
              <w:left w:val="nil"/>
              <w:bottom w:val="nil"/>
              <w:right w:val="nil"/>
            </w:tcBorders>
            <w:shd w:val="clear" w:color="auto" w:fill="auto"/>
            <w:noWrap/>
            <w:vAlign w:val="center"/>
            <w:hideMark/>
          </w:tcPr>
          <w:p w14:paraId="15ECF7F1" w14:textId="77777777" w:rsidR="00DF6D44" w:rsidRPr="00937AF6" w:rsidRDefault="00DF6D44" w:rsidP="00DF6D44">
            <w:pPr>
              <w:spacing w:after="0" w:line="240" w:lineRule="auto"/>
              <w:jc w:val="right"/>
              <w:rPr>
                <w:rFonts w:ascii="Calibri" w:eastAsia="Times New Roman" w:hAnsi="Calibri" w:cs="Calibri"/>
                <w:color w:val="5C0000"/>
              </w:rPr>
            </w:pPr>
            <w:r w:rsidRPr="00937AF6">
              <w:rPr>
                <w:rFonts w:ascii="Calibri" w:eastAsia="Times New Roman" w:hAnsi="Calibri" w:cs="Calibri"/>
                <w:color w:val="5C0000"/>
              </w:rPr>
              <w:t>14%</w:t>
            </w:r>
          </w:p>
        </w:tc>
      </w:tr>
      <w:tr w:rsidR="00DF6D44" w:rsidRPr="00DF6D44" w14:paraId="6D025EB7" w14:textId="77777777" w:rsidTr="003A0A67">
        <w:trPr>
          <w:cantSplit/>
          <w:trHeight w:val="315"/>
        </w:trPr>
        <w:tc>
          <w:tcPr>
            <w:tcW w:w="4100" w:type="dxa"/>
            <w:tcBorders>
              <w:top w:val="nil"/>
              <w:left w:val="nil"/>
              <w:bottom w:val="nil"/>
              <w:right w:val="nil"/>
            </w:tcBorders>
            <w:shd w:val="clear" w:color="auto" w:fill="auto"/>
            <w:noWrap/>
            <w:vAlign w:val="center"/>
            <w:hideMark/>
          </w:tcPr>
          <w:p w14:paraId="2E275AFC" w14:textId="77777777" w:rsidR="00DF6D44" w:rsidRPr="00937AF6" w:rsidRDefault="00DF6D44" w:rsidP="00DF6D44">
            <w:pPr>
              <w:spacing w:after="0" w:line="240" w:lineRule="auto"/>
              <w:rPr>
                <w:rFonts w:ascii="Calibri" w:eastAsia="Times New Roman" w:hAnsi="Calibri" w:cs="Calibri"/>
                <w:color w:val="A20000"/>
              </w:rPr>
            </w:pPr>
            <w:r w:rsidRPr="00937AF6">
              <w:rPr>
                <w:rFonts w:ascii="Calibri" w:eastAsia="Times New Roman" w:hAnsi="Calibri" w:cs="Calibri"/>
                <w:color w:val="A20000"/>
              </w:rPr>
              <w:t>Managed Medicare</w:t>
            </w:r>
          </w:p>
        </w:tc>
        <w:tc>
          <w:tcPr>
            <w:tcW w:w="960" w:type="dxa"/>
            <w:tcBorders>
              <w:top w:val="nil"/>
              <w:left w:val="nil"/>
              <w:bottom w:val="nil"/>
              <w:right w:val="nil"/>
            </w:tcBorders>
            <w:shd w:val="clear" w:color="auto" w:fill="auto"/>
            <w:noWrap/>
            <w:vAlign w:val="center"/>
            <w:hideMark/>
          </w:tcPr>
          <w:p w14:paraId="36DA3A7B" w14:textId="77777777" w:rsidR="00DF6D44" w:rsidRPr="00937AF6" w:rsidRDefault="00DF6D44" w:rsidP="00DF6D44">
            <w:pPr>
              <w:spacing w:after="0" w:line="240" w:lineRule="auto"/>
              <w:jc w:val="right"/>
              <w:rPr>
                <w:rFonts w:ascii="Calibri" w:eastAsia="Times New Roman" w:hAnsi="Calibri" w:cs="Calibri"/>
                <w:color w:val="5C0000"/>
              </w:rPr>
            </w:pPr>
            <w:r w:rsidRPr="00937AF6">
              <w:rPr>
                <w:rFonts w:ascii="Calibri" w:eastAsia="Times New Roman" w:hAnsi="Calibri" w:cs="Calibri"/>
                <w:color w:val="5C0000"/>
              </w:rPr>
              <w:t>11%</w:t>
            </w:r>
          </w:p>
        </w:tc>
      </w:tr>
      <w:tr w:rsidR="00DF6D44" w:rsidRPr="00DF6D44" w14:paraId="6B1AFB50" w14:textId="77777777" w:rsidTr="003A0A67">
        <w:trPr>
          <w:cantSplit/>
          <w:trHeight w:val="315"/>
        </w:trPr>
        <w:tc>
          <w:tcPr>
            <w:tcW w:w="4100" w:type="dxa"/>
            <w:tcBorders>
              <w:top w:val="nil"/>
              <w:left w:val="nil"/>
              <w:bottom w:val="nil"/>
              <w:right w:val="nil"/>
            </w:tcBorders>
            <w:shd w:val="clear" w:color="auto" w:fill="auto"/>
            <w:noWrap/>
            <w:vAlign w:val="center"/>
            <w:hideMark/>
          </w:tcPr>
          <w:p w14:paraId="0EF8911D" w14:textId="77777777" w:rsidR="00DF6D44" w:rsidRPr="00937AF6" w:rsidRDefault="00DF6D44" w:rsidP="00DF6D44">
            <w:pPr>
              <w:spacing w:after="0" w:line="240" w:lineRule="auto"/>
              <w:rPr>
                <w:rFonts w:ascii="Calibri" w:eastAsia="Times New Roman" w:hAnsi="Calibri" w:cs="Calibri"/>
                <w:color w:val="A20000"/>
              </w:rPr>
            </w:pPr>
            <w:r w:rsidRPr="00937AF6">
              <w:rPr>
                <w:rFonts w:ascii="Calibri" w:eastAsia="Times New Roman" w:hAnsi="Calibri" w:cs="Calibri"/>
                <w:color w:val="A20000"/>
              </w:rPr>
              <w:t>Medicaid</w:t>
            </w:r>
          </w:p>
        </w:tc>
        <w:tc>
          <w:tcPr>
            <w:tcW w:w="960" w:type="dxa"/>
            <w:tcBorders>
              <w:top w:val="nil"/>
              <w:left w:val="nil"/>
              <w:bottom w:val="nil"/>
              <w:right w:val="nil"/>
            </w:tcBorders>
            <w:shd w:val="clear" w:color="auto" w:fill="auto"/>
            <w:noWrap/>
            <w:vAlign w:val="center"/>
            <w:hideMark/>
          </w:tcPr>
          <w:p w14:paraId="70E3B81C" w14:textId="77777777" w:rsidR="00DF6D44" w:rsidRPr="00937AF6" w:rsidRDefault="00DF6D44" w:rsidP="00DF6D44">
            <w:pPr>
              <w:spacing w:after="0" w:line="240" w:lineRule="auto"/>
              <w:jc w:val="right"/>
              <w:rPr>
                <w:rFonts w:ascii="Calibri" w:eastAsia="Times New Roman" w:hAnsi="Calibri" w:cs="Calibri"/>
                <w:color w:val="5C0000"/>
              </w:rPr>
            </w:pPr>
            <w:r w:rsidRPr="00937AF6">
              <w:rPr>
                <w:rFonts w:ascii="Calibri" w:eastAsia="Times New Roman" w:hAnsi="Calibri" w:cs="Calibri"/>
                <w:color w:val="5C0000"/>
              </w:rPr>
              <w:t>9%</w:t>
            </w:r>
          </w:p>
        </w:tc>
      </w:tr>
      <w:tr w:rsidR="00DF6D44" w:rsidRPr="00DF6D44" w14:paraId="60942A5F" w14:textId="77777777" w:rsidTr="003A0A67">
        <w:trPr>
          <w:cantSplit/>
          <w:trHeight w:val="330"/>
        </w:trPr>
        <w:tc>
          <w:tcPr>
            <w:tcW w:w="4100" w:type="dxa"/>
            <w:tcBorders>
              <w:top w:val="nil"/>
              <w:left w:val="nil"/>
              <w:bottom w:val="nil"/>
              <w:right w:val="nil"/>
            </w:tcBorders>
            <w:shd w:val="clear" w:color="auto" w:fill="auto"/>
            <w:noWrap/>
            <w:vAlign w:val="center"/>
            <w:hideMark/>
          </w:tcPr>
          <w:p w14:paraId="052810B2" w14:textId="77777777" w:rsidR="00DF6D44" w:rsidRPr="00937AF6" w:rsidRDefault="00DF6D44" w:rsidP="00DF6D44">
            <w:pPr>
              <w:spacing w:after="0" w:line="240" w:lineRule="auto"/>
              <w:rPr>
                <w:rFonts w:ascii="Calibri" w:eastAsia="Times New Roman" w:hAnsi="Calibri" w:cs="Calibri"/>
                <w:color w:val="A20000"/>
              </w:rPr>
            </w:pPr>
            <w:r w:rsidRPr="00937AF6">
              <w:rPr>
                <w:rFonts w:ascii="Calibri" w:eastAsia="Times New Roman" w:hAnsi="Calibri" w:cs="Calibri"/>
                <w:color w:val="A20000"/>
              </w:rPr>
              <w:t>Workers Comp</w:t>
            </w:r>
          </w:p>
        </w:tc>
        <w:tc>
          <w:tcPr>
            <w:tcW w:w="960" w:type="dxa"/>
            <w:tcBorders>
              <w:top w:val="nil"/>
              <w:left w:val="nil"/>
              <w:bottom w:val="nil"/>
              <w:right w:val="nil"/>
            </w:tcBorders>
            <w:shd w:val="clear" w:color="auto" w:fill="auto"/>
            <w:noWrap/>
            <w:vAlign w:val="center"/>
            <w:hideMark/>
          </w:tcPr>
          <w:p w14:paraId="6D152E0A" w14:textId="77777777" w:rsidR="00DF6D44" w:rsidRPr="00DF6D44" w:rsidRDefault="00DF6D44" w:rsidP="00DF6D44">
            <w:pPr>
              <w:spacing w:after="0" w:line="240" w:lineRule="auto"/>
              <w:jc w:val="right"/>
              <w:rPr>
                <w:rFonts w:ascii="Calibri" w:eastAsia="Times New Roman" w:hAnsi="Calibri" w:cs="Calibri"/>
                <w:color w:val="FF0000"/>
              </w:rPr>
            </w:pPr>
            <w:r w:rsidRPr="00937AF6">
              <w:rPr>
                <w:rFonts w:ascii="Calibri" w:eastAsia="Times New Roman" w:hAnsi="Calibri" w:cs="Calibri"/>
                <w:color w:val="A20000"/>
              </w:rPr>
              <w:t>1%</w:t>
            </w:r>
            <w:r w:rsidRPr="00DF6D44">
              <w:rPr>
                <w:rFonts w:ascii="Aptos" w:eastAsia="Times New Roman" w:hAnsi="Aptos" w:cs="Calibri"/>
                <w:color w:val="000000"/>
                <w:sz w:val="16"/>
                <w:szCs w:val="16"/>
              </w:rPr>
              <w:t> </w:t>
            </w:r>
          </w:p>
        </w:tc>
      </w:tr>
      <w:tr w:rsidR="00DF6D44" w:rsidRPr="00DF6D44" w14:paraId="4E745D8A" w14:textId="77777777" w:rsidTr="003A0A67">
        <w:trPr>
          <w:cantSplit/>
          <w:trHeight w:val="330"/>
        </w:trPr>
        <w:tc>
          <w:tcPr>
            <w:tcW w:w="4100" w:type="dxa"/>
            <w:tcBorders>
              <w:top w:val="single" w:sz="8" w:space="0" w:color="auto"/>
              <w:left w:val="single" w:sz="8" w:space="0" w:color="auto"/>
              <w:bottom w:val="single" w:sz="8" w:space="0" w:color="auto"/>
              <w:right w:val="nil"/>
            </w:tcBorders>
            <w:shd w:val="clear" w:color="000000" w:fill="D9D9D9"/>
            <w:noWrap/>
            <w:vAlign w:val="center"/>
            <w:hideMark/>
          </w:tcPr>
          <w:p w14:paraId="2F2A585A" w14:textId="77777777" w:rsidR="00DF6D44" w:rsidRPr="00937AF6" w:rsidRDefault="00DF6D44" w:rsidP="00DF6D44">
            <w:pPr>
              <w:spacing w:after="0" w:line="240" w:lineRule="auto"/>
              <w:rPr>
                <w:rFonts w:ascii="Calibri" w:eastAsia="Times New Roman" w:hAnsi="Calibri" w:cs="Calibri"/>
                <w:b/>
                <w:bCs/>
                <w:color w:val="790000"/>
              </w:rPr>
            </w:pPr>
            <w:r w:rsidRPr="00937AF6">
              <w:rPr>
                <w:rFonts w:ascii="Calibri" w:eastAsia="Times New Roman" w:hAnsi="Calibri" w:cs="Calibri"/>
                <w:b/>
                <w:bCs/>
                <w:color w:val="790000"/>
              </w:rPr>
              <w:t>Total</w:t>
            </w:r>
          </w:p>
        </w:tc>
        <w:tc>
          <w:tcPr>
            <w:tcW w:w="960" w:type="dxa"/>
            <w:tcBorders>
              <w:top w:val="single" w:sz="8" w:space="0" w:color="auto"/>
              <w:left w:val="nil"/>
              <w:bottom w:val="single" w:sz="8" w:space="0" w:color="auto"/>
              <w:right w:val="single" w:sz="8" w:space="0" w:color="auto"/>
            </w:tcBorders>
            <w:shd w:val="clear" w:color="000000" w:fill="D9D9D9"/>
            <w:noWrap/>
            <w:vAlign w:val="center"/>
            <w:hideMark/>
          </w:tcPr>
          <w:p w14:paraId="068C465F" w14:textId="77777777" w:rsidR="00DF6D44" w:rsidRPr="00937AF6" w:rsidRDefault="00DF6D44" w:rsidP="00DF6D44">
            <w:pPr>
              <w:spacing w:after="0" w:line="240" w:lineRule="auto"/>
              <w:jc w:val="right"/>
              <w:rPr>
                <w:rFonts w:ascii="Calibri" w:eastAsia="Times New Roman" w:hAnsi="Calibri" w:cs="Calibri"/>
                <w:b/>
                <w:bCs/>
                <w:color w:val="540000"/>
              </w:rPr>
            </w:pPr>
            <w:r w:rsidRPr="00937AF6">
              <w:rPr>
                <w:rFonts w:ascii="Calibri" w:eastAsia="Times New Roman" w:hAnsi="Calibri" w:cs="Calibri"/>
                <w:b/>
                <w:bCs/>
                <w:color w:val="540000"/>
              </w:rPr>
              <w:t>100%</w:t>
            </w:r>
          </w:p>
        </w:tc>
      </w:tr>
    </w:tbl>
    <w:p w14:paraId="35E93466" w14:textId="77777777" w:rsidR="002052CB" w:rsidRPr="00D53F22" w:rsidRDefault="002052CB" w:rsidP="00EF2CF6">
      <w:pPr>
        <w:pStyle w:val="ListParagraph"/>
        <w:spacing w:after="0" w:line="240" w:lineRule="auto"/>
        <w:ind w:left="1440"/>
        <w:rPr>
          <w:rFonts w:ascii="Calibri" w:hAnsi="Calibri" w:cs="Calibri"/>
          <w:color w:val="3A7C22" w:themeColor="accent6" w:themeShade="BF"/>
        </w:rPr>
      </w:pPr>
    </w:p>
    <w:p w14:paraId="3A0FF43B" w14:textId="77777777" w:rsidR="0096066E" w:rsidRPr="0096066E" w:rsidRDefault="0096066E" w:rsidP="0096066E">
      <w:pPr>
        <w:pStyle w:val="ListParagraph"/>
        <w:spacing w:after="0" w:line="240" w:lineRule="auto"/>
        <w:ind w:left="1080"/>
        <w:rPr>
          <w:rFonts w:ascii="Calibri" w:hAnsi="Calibri" w:cs="Calibri"/>
          <w:color w:val="FF0000"/>
        </w:rPr>
      </w:pPr>
    </w:p>
    <w:p w14:paraId="2FF8ED2C" w14:textId="77777777" w:rsidR="005340ED" w:rsidRPr="005726AC" w:rsidRDefault="005340ED" w:rsidP="005340ED">
      <w:pPr>
        <w:pStyle w:val="ListParagraph"/>
        <w:spacing w:after="0" w:line="240" w:lineRule="auto"/>
        <w:ind w:left="1080"/>
        <w:rPr>
          <w:rFonts w:ascii="Calibri" w:hAnsi="Calibri" w:cs="Calibri"/>
        </w:rPr>
      </w:pPr>
    </w:p>
    <w:p w14:paraId="2581861D" w14:textId="281764E5" w:rsidR="002869D0" w:rsidRPr="000E5C9C" w:rsidRDefault="002869D0" w:rsidP="002869D0">
      <w:pPr>
        <w:pStyle w:val="ListParagraph"/>
        <w:numPr>
          <w:ilvl w:val="0"/>
          <w:numId w:val="6"/>
        </w:numPr>
      </w:pPr>
      <w:r w:rsidRPr="000E5C9C">
        <w:t xml:space="preserve">Is the “utilization rate” the same as capacity?  How is 100% utilization calculated?  “Year one case volume is estimated to be 55 percent of stabilized year two case volume. Year two volumes assume an 83 percent utilization rate of six operating rooms.” Please explain further. </w:t>
      </w:r>
    </w:p>
    <w:p w14:paraId="5841F824" w14:textId="77777777" w:rsidR="00655700" w:rsidRPr="00937AF6" w:rsidRDefault="00655700" w:rsidP="008348BF">
      <w:pPr>
        <w:pStyle w:val="ListParagraph"/>
        <w:ind w:left="1080"/>
        <w:rPr>
          <w:rFonts w:ascii="Calibri" w:hAnsi="Calibri" w:cs="Calibri"/>
          <w:color w:val="A20000"/>
        </w:rPr>
      </w:pPr>
    </w:p>
    <w:p w14:paraId="345AC825" w14:textId="2D9AC0C8" w:rsidR="00FD7A7E" w:rsidRPr="00937AF6" w:rsidRDefault="00EB13A3" w:rsidP="008348BF">
      <w:pPr>
        <w:pStyle w:val="ListParagraph"/>
        <w:ind w:left="1080"/>
        <w:rPr>
          <w:color w:val="A20000"/>
        </w:rPr>
      </w:pPr>
      <w:r w:rsidRPr="00937AF6">
        <w:rPr>
          <w:rFonts w:ascii="Calibri" w:hAnsi="Calibri" w:cs="Calibri"/>
          <w:color w:val="A20000"/>
        </w:rPr>
        <w:t xml:space="preserve">As used by the Applicant, the utilization rate means the percent of total </w:t>
      </w:r>
      <w:r w:rsidR="00983888" w:rsidRPr="00937AF6">
        <w:rPr>
          <w:rFonts w:ascii="Calibri" w:hAnsi="Calibri" w:cs="Calibri"/>
          <w:color w:val="A20000"/>
        </w:rPr>
        <w:t>o</w:t>
      </w:r>
      <w:r w:rsidRPr="00937AF6">
        <w:rPr>
          <w:rFonts w:ascii="Calibri" w:hAnsi="Calibri" w:cs="Calibri"/>
          <w:color w:val="A20000"/>
        </w:rPr>
        <w:t xml:space="preserve">perating </w:t>
      </w:r>
      <w:r w:rsidR="00983888" w:rsidRPr="00937AF6">
        <w:rPr>
          <w:rFonts w:ascii="Calibri" w:hAnsi="Calibri" w:cs="Calibri"/>
          <w:color w:val="A20000"/>
        </w:rPr>
        <w:t>r</w:t>
      </w:r>
      <w:r w:rsidRPr="00937AF6">
        <w:rPr>
          <w:rFonts w:ascii="Calibri" w:hAnsi="Calibri" w:cs="Calibri"/>
          <w:color w:val="A20000"/>
        </w:rPr>
        <w:t xml:space="preserve">oom capacity utilized for the Surgical Services. For example, a </w:t>
      </w:r>
      <w:r w:rsidR="00FD7A7E" w:rsidRPr="00937AF6">
        <w:rPr>
          <w:rFonts w:ascii="Calibri" w:hAnsi="Calibri" w:cs="Calibri"/>
          <w:color w:val="A20000"/>
        </w:rPr>
        <w:t>100% utilization</w:t>
      </w:r>
      <w:r w:rsidRPr="00937AF6">
        <w:rPr>
          <w:rFonts w:ascii="Calibri" w:hAnsi="Calibri" w:cs="Calibri"/>
          <w:color w:val="A20000"/>
        </w:rPr>
        <w:t xml:space="preserve"> rate</w:t>
      </w:r>
      <w:r w:rsidR="00FD7A7E" w:rsidRPr="00937AF6">
        <w:rPr>
          <w:rFonts w:ascii="Calibri" w:hAnsi="Calibri" w:cs="Calibri"/>
          <w:color w:val="A20000"/>
        </w:rPr>
        <w:t xml:space="preserve"> </w:t>
      </w:r>
      <w:r w:rsidRPr="00937AF6">
        <w:rPr>
          <w:rFonts w:ascii="Calibri" w:hAnsi="Calibri" w:cs="Calibri"/>
          <w:color w:val="A20000"/>
        </w:rPr>
        <w:t xml:space="preserve">would mean that </w:t>
      </w:r>
      <w:r w:rsidR="00FD7A7E" w:rsidRPr="00937AF6">
        <w:rPr>
          <w:rFonts w:ascii="Calibri" w:hAnsi="Calibri" w:cs="Calibri"/>
          <w:color w:val="A20000"/>
        </w:rPr>
        <w:t xml:space="preserve">each </w:t>
      </w:r>
      <w:r w:rsidR="0012014C" w:rsidRPr="00937AF6">
        <w:rPr>
          <w:rFonts w:ascii="Calibri" w:hAnsi="Calibri" w:cs="Calibri"/>
          <w:color w:val="A20000"/>
        </w:rPr>
        <w:t xml:space="preserve">operating room </w:t>
      </w:r>
      <w:r w:rsidRPr="00937AF6">
        <w:rPr>
          <w:rFonts w:ascii="Calibri" w:hAnsi="Calibri" w:cs="Calibri"/>
          <w:color w:val="A20000"/>
        </w:rPr>
        <w:t>would have</w:t>
      </w:r>
      <w:r w:rsidR="00FD7A7E" w:rsidRPr="00937AF6">
        <w:rPr>
          <w:rFonts w:ascii="Calibri" w:hAnsi="Calibri" w:cs="Calibri"/>
          <w:color w:val="A20000"/>
        </w:rPr>
        <w:t xml:space="preserve"> cases being performed every </w:t>
      </w:r>
      <w:r w:rsidR="00FD7A7E" w:rsidRPr="00937AF6">
        <w:rPr>
          <w:rFonts w:ascii="Calibri" w:hAnsi="Calibri" w:cs="Calibri"/>
          <w:color w:val="A20000"/>
        </w:rPr>
        <w:lastRenderedPageBreak/>
        <w:t xml:space="preserve">hour that the </w:t>
      </w:r>
      <w:r w:rsidR="0012014C" w:rsidRPr="00937AF6">
        <w:rPr>
          <w:rFonts w:ascii="Calibri" w:hAnsi="Calibri" w:cs="Calibri"/>
          <w:color w:val="A20000"/>
        </w:rPr>
        <w:t>Proposed Project</w:t>
      </w:r>
      <w:r w:rsidR="00FD7A7E" w:rsidRPr="00937AF6">
        <w:rPr>
          <w:rFonts w:ascii="Calibri" w:hAnsi="Calibri" w:cs="Calibri"/>
          <w:color w:val="A20000"/>
        </w:rPr>
        <w:t xml:space="preserve"> is open, which</w:t>
      </w:r>
      <w:r w:rsidR="0012014C" w:rsidRPr="00937AF6">
        <w:rPr>
          <w:rFonts w:ascii="Calibri" w:hAnsi="Calibri" w:cs="Calibri"/>
          <w:color w:val="A20000"/>
        </w:rPr>
        <w:t xml:space="preserve"> does not account for downtime between surgeries and </w:t>
      </w:r>
      <w:r w:rsidR="00FD7A7E" w:rsidRPr="00937AF6">
        <w:rPr>
          <w:rFonts w:ascii="Calibri" w:hAnsi="Calibri" w:cs="Calibri"/>
          <w:color w:val="A20000"/>
        </w:rPr>
        <w:t>surgeon</w:t>
      </w:r>
      <w:r w:rsidR="0012014C" w:rsidRPr="00937AF6">
        <w:rPr>
          <w:rFonts w:ascii="Calibri" w:hAnsi="Calibri" w:cs="Calibri"/>
          <w:color w:val="A20000"/>
        </w:rPr>
        <w:t xml:space="preserve"> </w:t>
      </w:r>
      <w:r w:rsidR="008348BF" w:rsidRPr="00937AF6">
        <w:rPr>
          <w:rFonts w:ascii="Calibri" w:hAnsi="Calibri" w:cs="Calibri"/>
          <w:color w:val="A20000"/>
        </w:rPr>
        <w:t>availability.</w:t>
      </w:r>
      <w:r w:rsidR="00EF2CF6" w:rsidRPr="00937AF6">
        <w:rPr>
          <w:rFonts w:ascii="Calibri" w:hAnsi="Calibri" w:cs="Calibri"/>
          <w:color w:val="A20000"/>
        </w:rPr>
        <w:t xml:space="preserve"> </w:t>
      </w:r>
      <w:r w:rsidRPr="00937AF6">
        <w:rPr>
          <w:rFonts w:ascii="Calibri" w:hAnsi="Calibri" w:cs="Calibri"/>
          <w:color w:val="A20000"/>
        </w:rPr>
        <w:t xml:space="preserve">An 83% utilization rate means that cases being performed would account for 83% of the available operating room hours at the Proposed Project. </w:t>
      </w:r>
      <w:r w:rsidR="008348BF" w:rsidRPr="00937AF6">
        <w:rPr>
          <w:rStyle w:val="FootnoteReference"/>
          <w:rFonts w:ascii="Calibri" w:hAnsi="Calibri" w:cs="Calibri"/>
          <w:color w:val="A20000"/>
        </w:rPr>
        <w:footnoteReference w:id="1"/>
      </w:r>
      <w:r w:rsidR="008348BF" w:rsidRPr="00937AF6">
        <w:rPr>
          <w:rFonts w:ascii="Calibri" w:hAnsi="Calibri" w:cs="Calibri"/>
          <w:color w:val="A20000"/>
          <w:vertAlign w:val="superscript"/>
        </w:rPr>
        <w:t>,</w:t>
      </w:r>
      <w:r w:rsidR="008348BF" w:rsidRPr="00937AF6">
        <w:rPr>
          <w:rStyle w:val="FootnoteReference"/>
          <w:rFonts w:ascii="Calibri" w:hAnsi="Calibri" w:cs="Calibri"/>
          <w:color w:val="A20000"/>
        </w:rPr>
        <w:footnoteReference w:id="2"/>
      </w:r>
      <w:r w:rsidR="00FD7A7E" w:rsidRPr="00937AF6">
        <w:rPr>
          <w:rFonts w:ascii="Calibri" w:hAnsi="Calibri" w:cs="Calibri"/>
          <w:color w:val="A20000"/>
        </w:rPr>
        <w:t xml:space="preserve">. </w:t>
      </w:r>
    </w:p>
    <w:p w14:paraId="1BDAD61E" w14:textId="77777777" w:rsidR="005340ED" w:rsidRDefault="005340ED" w:rsidP="005340ED">
      <w:pPr>
        <w:pStyle w:val="ListParagraph"/>
      </w:pPr>
    </w:p>
    <w:p w14:paraId="3E28FDD1" w14:textId="64035BBA" w:rsidR="00FD7A7E" w:rsidRPr="00FD7A7E" w:rsidRDefault="00741DAE" w:rsidP="00FD7A7E">
      <w:pPr>
        <w:pStyle w:val="ListParagraph"/>
        <w:numPr>
          <w:ilvl w:val="0"/>
          <w:numId w:val="6"/>
        </w:numPr>
        <w:spacing w:after="0" w:line="240" w:lineRule="auto"/>
        <w:rPr>
          <w:rFonts w:ascii="Calibri" w:hAnsi="Calibri" w:cs="Calibri"/>
        </w:rPr>
      </w:pPr>
      <w:r w:rsidRPr="00FD7A7E">
        <w:rPr>
          <w:rFonts w:ascii="Calibri" w:hAnsi="Calibri" w:cs="Calibri"/>
        </w:rPr>
        <w:t xml:space="preserve">Explain why physician expenses are not included in the Atrius Waltham </w:t>
      </w:r>
      <w:r w:rsidR="009D3483" w:rsidRPr="00FD7A7E">
        <w:rPr>
          <w:rFonts w:ascii="Calibri" w:hAnsi="Calibri" w:cs="Calibri"/>
        </w:rPr>
        <w:t xml:space="preserve">ASC </w:t>
      </w:r>
      <w:r w:rsidRPr="00FD7A7E">
        <w:rPr>
          <w:rFonts w:ascii="Calibri" w:hAnsi="Calibri" w:cs="Calibri"/>
        </w:rPr>
        <w:t xml:space="preserve">Prospective Financial Schedules </w:t>
      </w:r>
      <w:r w:rsidR="003C315D" w:rsidRPr="00FD7A7E">
        <w:rPr>
          <w:rFonts w:ascii="Calibri" w:hAnsi="Calibri" w:cs="Calibri"/>
        </w:rPr>
        <w:t xml:space="preserve">since they are an expense related to the Proposed Project </w:t>
      </w:r>
      <w:r w:rsidRPr="00FD7A7E">
        <w:rPr>
          <w:rFonts w:ascii="Calibri" w:hAnsi="Calibri" w:cs="Calibri"/>
        </w:rPr>
        <w:t xml:space="preserve">and why these salaries will be paid by Atrius, and not the ASC. </w:t>
      </w:r>
      <w:r w:rsidR="004F2A87" w:rsidRPr="00FD7A7E">
        <w:rPr>
          <w:rFonts w:ascii="Calibri" w:hAnsi="Calibri" w:cs="Calibri"/>
        </w:rPr>
        <w:t xml:space="preserve"> </w:t>
      </w:r>
      <w:r w:rsidR="00D53F22" w:rsidRPr="00FD7A7E">
        <w:rPr>
          <w:rFonts w:ascii="Calibri" w:hAnsi="Calibri" w:cs="Calibri"/>
          <w:b/>
          <w:bCs/>
          <w:color w:val="3A7C22" w:themeColor="accent6" w:themeShade="BF"/>
        </w:rPr>
        <w:t xml:space="preserve"> </w:t>
      </w:r>
    </w:p>
    <w:p w14:paraId="4C7A7767" w14:textId="11AC54B3" w:rsidR="00FD7A7E" w:rsidRPr="00937AF6" w:rsidRDefault="00DF0491" w:rsidP="009345BB">
      <w:pPr>
        <w:pStyle w:val="ListParagraph"/>
        <w:ind w:left="1080"/>
        <w:rPr>
          <w:rFonts w:ascii="Calibri" w:hAnsi="Calibri" w:cs="Calibri"/>
          <w:color w:val="A20000"/>
        </w:rPr>
      </w:pPr>
      <w:r w:rsidRPr="00937AF6">
        <w:rPr>
          <w:rFonts w:ascii="Calibri" w:hAnsi="Calibri" w:cs="Calibri"/>
          <w:color w:val="A20000"/>
        </w:rPr>
        <w:t>The physician expenses are not included in the Atrius Waltham ASC Prospective Financial Schedules because a</w:t>
      </w:r>
      <w:r w:rsidR="00FD7A7E" w:rsidRPr="00937AF6">
        <w:rPr>
          <w:rFonts w:ascii="Calibri" w:hAnsi="Calibri" w:cs="Calibri"/>
          <w:color w:val="A20000"/>
        </w:rPr>
        <w:t xml:space="preserve">mbulatory </w:t>
      </w:r>
      <w:r w:rsidRPr="00937AF6">
        <w:rPr>
          <w:rFonts w:ascii="Calibri" w:hAnsi="Calibri" w:cs="Calibri"/>
          <w:color w:val="A20000"/>
        </w:rPr>
        <w:t>s</w:t>
      </w:r>
      <w:r w:rsidR="00FD7A7E" w:rsidRPr="00937AF6">
        <w:rPr>
          <w:rFonts w:ascii="Calibri" w:hAnsi="Calibri" w:cs="Calibri"/>
          <w:color w:val="A20000"/>
        </w:rPr>
        <w:t xml:space="preserve">urgery </w:t>
      </w:r>
      <w:r w:rsidRPr="00937AF6">
        <w:rPr>
          <w:rFonts w:ascii="Calibri" w:hAnsi="Calibri" w:cs="Calibri"/>
          <w:color w:val="A20000"/>
        </w:rPr>
        <w:t>c</w:t>
      </w:r>
      <w:r w:rsidR="00FD7A7E" w:rsidRPr="00937AF6">
        <w:rPr>
          <w:rFonts w:ascii="Calibri" w:hAnsi="Calibri" w:cs="Calibri"/>
          <w:color w:val="A20000"/>
        </w:rPr>
        <w:t>enters (</w:t>
      </w:r>
      <w:r w:rsidRPr="00937AF6">
        <w:rPr>
          <w:rFonts w:ascii="Calibri" w:hAnsi="Calibri" w:cs="Calibri"/>
          <w:color w:val="A20000"/>
        </w:rPr>
        <w:t>“</w:t>
      </w:r>
      <w:r w:rsidR="00FD7A7E" w:rsidRPr="00937AF6">
        <w:rPr>
          <w:rFonts w:ascii="Calibri" w:hAnsi="Calibri" w:cs="Calibri"/>
          <w:color w:val="A20000"/>
        </w:rPr>
        <w:t>ASCs</w:t>
      </w:r>
      <w:r w:rsidRPr="00937AF6">
        <w:rPr>
          <w:rFonts w:ascii="Calibri" w:hAnsi="Calibri" w:cs="Calibri"/>
          <w:color w:val="A20000"/>
        </w:rPr>
        <w:t>”</w:t>
      </w:r>
      <w:r w:rsidR="00FD7A7E" w:rsidRPr="00937AF6">
        <w:rPr>
          <w:rFonts w:ascii="Calibri" w:hAnsi="Calibri" w:cs="Calibri"/>
          <w:color w:val="A20000"/>
        </w:rPr>
        <w:t xml:space="preserve">) operate under a specific billing </w:t>
      </w:r>
      <w:r w:rsidRPr="00937AF6">
        <w:rPr>
          <w:rFonts w:ascii="Calibri" w:hAnsi="Calibri" w:cs="Calibri"/>
          <w:color w:val="A20000"/>
        </w:rPr>
        <w:t xml:space="preserve">methodology </w:t>
      </w:r>
      <w:r w:rsidR="00FD7A7E" w:rsidRPr="00937AF6">
        <w:rPr>
          <w:rFonts w:ascii="Calibri" w:hAnsi="Calibri" w:cs="Calibri"/>
          <w:color w:val="A20000"/>
        </w:rPr>
        <w:t>where the facility charges are</w:t>
      </w:r>
      <w:r w:rsidRPr="00937AF6">
        <w:rPr>
          <w:rFonts w:ascii="Calibri" w:hAnsi="Calibri" w:cs="Calibri"/>
          <w:color w:val="A20000"/>
        </w:rPr>
        <w:t xml:space="preserve"> billed</w:t>
      </w:r>
      <w:r w:rsidR="00FD7A7E" w:rsidRPr="00937AF6">
        <w:rPr>
          <w:rFonts w:ascii="Calibri" w:hAnsi="Calibri" w:cs="Calibri"/>
          <w:color w:val="A20000"/>
        </w:rPr>
        <w:t xml:space="preserve"> separate from </w:t>
      </w:r>
      <w:r w:rsidRPr="00937AF6">
        <w:rPr>
          <w:rFonts w:ascii="Calibri" w:hAnsi="Calibri" w:cs="Calibri"/>
          <w:color w:val="A20000"/>
        </w:rPr>
        <w:t xml:space="preserve">surgeon’s </w:t>
      </w:r>
      <w:r w:rsidR="00FD7A7E" w:rsidRPr="00937AF6">
        <w:rPr>
          <w:rFonts w:ascii="Calibri" w:hAnsi="Calibri" w:cs="Calibri"/>
          <w:color w:val="A20000"/>
        </w:rPr>
        <w:t>professional fees</w:t>
      </w:r>
      <w:r w:rsidRPr="00937AF6">
        <w:rPr>
          <w:rStyle w:val="FootnoteReference"/>
          <w:rFonts w:ascii="Calibri" w:hAnsi="Calibri" w:cs="Calibri"/>
          <w:color w:val="A20000"/>
        </w:rPr>
        <w:footnoteReference w:id="3"/>
      </w:r>
      <w:r w:rsidR="00FD7A7E" w:rsidRPr="00937AF6">
        <w:rPr>
          <w:rFonts w:ascii="Calibri" w:hAnsi="Calibri" w:cs="Calibri"/>
          <w:color w:val="A20000"/>
        </w:rPr>
        <w:t>. The ASC bills</w:t>
      </w:r>
      <w:r w:rsidRPr="00937AF6">
        <w:rPr>
          <w:rFonts w:ascii="Calibri" w:hAnsi="Calibri" w:cs="Calibri"/>
          <w:color w:val="A20000"/>
        </w:rPr>
        <w:t xml:space="preserve"> the </w:t>
      </w:r>
      <w:r w:rsidR="008348BF" w:rsidRPr="00937AF6">
        <w:rPr>
          <w:rFonts w:ascii="Calibri" w:hAnsi="Calibri" w:cs="Calibri"/>
          <w:color w:val="A20000"/>
        </w:rPr>
        <w:t>third-party</w:t>
      </w:r>
      <w:r w:rsidRPr="00937AF6">
        <w:rPr>
          <w:rFonts w:ascii="Calibri" w:hAnsi="Calibri" w:cs="Calibri"/>
          <w:color w:val="A20000"/>
        </w:rPr>
        <w:t xml:space="preserve"> payors</w:t>
      </w:r>
      <w:r w:rsidR="00FD7A7E" w:rsidRPr="00937AF6">
        <w:rPr>
          <w:rFonts w:ascii="Calibri" w:hAnsi="Calibri" w:cs="Calibri"/>
          <w:color w:val="A20000"/>
        </w:rPr>
        <w:t xml:space="preserve"> for facility</w:t>
      </w:r>
      <w:r w:rsidRPr="00937AF6">
        <w:rPr>
          <w:rFonts w:ascii="Calibri" w:hAnsi="Calibri" w:cs="Calibri"/>
          <w:color w:val="A20000"/>
        </w:rPr>
        <w:t xml:space="preserve"> services</w:t>
      </w:r>
      <w:r w:rsidR="00FD7A7E" w:rsidRPr="00937AF6">
        <w:rPr>
          <w:rFonts w:ascii="Calibri" w:hAnsi="Calibri" w:cs="Calibri"/>
          <w:color w:val="A20000"/>
        </w:rPr>
        <w:t xml:space="preserve">, which includes costs associated with the </w:t>
      </w:r>
      <w:r w:rsidRPr="00937AF6">
        <w:rPr>
          <w:rFonts w:ascii="Calibri" w:hAnsi="Calibri" w:cs="Calibri"/>
          <w:color w:val="A20000"/>
        </w:rPr>
        <w:t xml:space="preserve">operations of the ASC including, but not limited to, nursing, recovery care, drugs, </w:t>
      </w:r>
      <w:r w:rsidR="00FD7A7E" w:rsidRPr="00937AF6">
        <w:rPr>
          <w:rFonts w:ascii="Calibri" w:hAnsi="Calibri" w:cs="Calibri"/>
          <w:color w:val="A20000"/>
        </w:rPr>
        <w:t>staffing, equipment, and overhead. Surgeons</w:t>
      </w:r>
      <w:r w:rsidRPr="00937AF6">
        <w:rPr>
          <w:rFonts w:ascii="Calibri" w:hAnsi="Calibri" w:cs="Calibri"/>
          <w:color w:val="A20000"/>
        </w:rPr>
        <w:t xml:space="preserve"> and anesthesiologists</w:t>
      </w:r>
      <w:r w:rsidR="00FD7A7E" w:rsidRPr="00937AF6">
        <w:rPr>
          <w:rFonts w:ascii="Calibri" w:hAnsi="Calibri" w:cs="Calibri"/>
          <w:color w:val="A20000"/>
        </w:rPr>
        <w:t>, who perform procedures at the ASC, bill separately for their professional services</w:t>
      </w:r>
      <w:r w:rsidRPr="00937AF6">
        <w:rPr>
          <w:rFonts w:ascii="Calibri" w:hAnsi="Calibri" w:cs="Calibri"/>
          <w:color w:val="A20000"/>
        </w:rPr>
        <w:t xml:space="preserve"> under the physician fee schedule</w:t>
      </w:r>
      <w:r w:rsidR="00FD7A7E" w:rsidRPr="00937AF6">
        <w:rPr>
          <w:rFonts w:ascii="Calibri" w:hAnsi="Calibri" w:cs="Calibri"/>
          <w:color w:val="A20000"/>
        </w:rPr>
        <w:t>.</w:t>
      </w:r>
    </w:p>
    <w:p w14:paraId="45C88EFD" w14:textId="07983E45" w:rsidR="009345BB" w:rsidRPr="00937AF6" w:rsidRDefault="009345BB" w:rsidP="009345BB">
      <w:pPr>
        <w:ind w:left="1080"/>
        <w:rPr>
          <w:rFonts w:ascii="Calibri" w:hAnsi="Calibri" w:cs="Calibri"/>
          <w:color w:val="A20000"/>
        </w:rPr>
      </w:pPr>
      <w:r w:rsidRPr="00937AF6">
        <w:rPr>
          <w:rFonts w:ascii="Calibri" w:hAnsi="Calibri" w:cs="Calibri"/>
          <w:color w:val="A20000"/>
        </w:rPr>
        <w:t xml:space="preserve">The </w:t>
      </w:r>
      <w:r w:rsidR="00DF0491" w:rsidRPr="00937AF6">
        <w:rPr>
          <w:rFonts w:ascii="Calibri" w:hAnsi="Calibri" w:cs="Calibri"/>
          <w:color w:val="A20000"/>
        </w:rPr>
        <w:t xml:space="preserve">Proposed Project </w:t>
      </w:r>
      <w:r w:rsidRPr="00937AF6">
        <w:rPr>
          <w:rFonts w:ascii="Calibri" w:hAnsi="Calibri" w:cs="Calibri"/>
          <w:color w:val="A20000"/>
        </w:rPr>
        <w:t xml:space="preserve">is </w:t>
      </w:r>
      <w:r w:rsidR="008E5B1B" w:rsidRPr="00937AF6">
        <w:rPr>
          <w:rFonts w:ascii="Calibri" w:hAnsi="Calibri" w:cs="Calibri"/>
          <w:color w:val="A20000"/>
        </w:rPr>
        <w:t xml:space="preserve">a </w:t>
      </w:r>
      <w:r w:rsidRPr="00937AF6">
        <w:rPr>
          <w:rFonts w:ascii="Calibri" w:hAnsi="Calibri" w:cs="Calibri"/>
          <w:color w:val="A20000"/>
        </w:rPr>
        <w:t>free</w:t>
      </w:r>
      <w:r w:rsidR="008E5B1B" w:rsidRPr="00937AF6">
        <w:rPr>
          <w:rFonts w:ascii="Calibri" w:hAnsi="Calibri" w:cs="Calibri"/>
          <w:color w:val="A20000"/>
        </w:rPr>
        <w:t>-</w:t>
      </w:r>
      <w:r w:rsidRPr="00937AF6">
        <w:rPr>
          <w:rFonts w:ascii="Calibri" w:hAnsi="Calibri" w:cs="Calibri"/>
          <w:color w:val="A20000"/>
        </w:rPr>
        <w:t xml:space="preserve">standing </w:t>
      </w:r>
      <w:r w:rsidR="00DF0491" w:rsidRPr="00937AF6">
        <w:rPr>
          <w:rFonts w:ascii="Calibri" w:hAnsi="Calibri" w:cs="Calibri"/>
          <w:color w:val="A20000"/>
        </w:rPr>
        <w:t>ASC</w:t>
      </w:r>
      <w:r w:rsidRPr="00937AF6">
        <w:rPr>
          <w:rFonts w:ascii="Calibri" w:hAnsi="Calibri" w:cs="Calibri"/>
          <w:color w:val="A20000"/>
        </w:rPr>
        <w:t xml:space="preserve"> that </w:t>
      </w:r>
      <w:r w:rsidR="00DF0491" w:rsidRPr="00937AF6">
        <w:rPr>
          <w:rFonts w:ascii="Calibri" w:hAnsi="Calibri" w:cs="Calibri"/>
          <w:color w:val="A20000"/>
        </w:rPr>
        <w:t>will not employ the</w:t>
      </w:r>
      <w:r w:rsidRPr="00937AF6">
        <w:rPr>
          <w:rFonts w:ascii="Calibri" w:hAnsi="Calibri" w:cs="Calibri"/>
          <w:color w:val="A20000"/>
        </w:rPr>
        <w:t xml:space="preserve"> surgeons.  The surgeons are employed by </w:t>
      </w:r>
      <w:r w:rsidR="00DF0491" w:rsidRPr="00937AF6">
        <w:rPr>
          <w:rFonts w:ascii="Calibri" w:hAnsi="Calibri" w:cs="Calibri"/>
          <w:color w:val="A20000"/>
        </w:rPr>
        <w:t xml:space="preserve">the Applicant, </w:t>
      </w:r>
      <w:r w:rsidRPr="00937AF6">
        <w:rPr>
          <w:rFonts w:ascii="Calibri" w:hAnsi="Calibri" w:cs="Calibri"/>
          <w:color w:val="A20000"/>
        </w:rPr>
        <w:t xml:space="preserve">Atrius Health, Inc. </w:t>
      </w:r>
      <w:r w:rsidR="00EE2569" w:rsidRPr="00937AF6">
        <w:rPr>
          <w:rFonts w:ascii="Calibri" w:hAnsi="Calibri" w:cs="Calibri"/>
          <w:color w:val="A20000"/>
        </w:rPr>
        <w:t>who is responsible for the physician expenses</w:t>
      </w:r>
      <w:r w:rsidR="008348BF" w:rsidRPr="00937AF6">
        <w:rPr>
          <w:rFonts w:ascii="Calibri" w:hAnsi="Calibri" w:cs="Calibri"/>
          <w:color w:val="A20000"/>
        </w:rPr>
        <w:t>.</w:t>
      </w:r>
    </w:p>
    <w:p w14:paraId="2CF7AABE" w14:textId="77777777" w:rsidR="00E4209F" w:rsidRPr="005726AC" w:rsidRDefault="00E4209F" w:rsidP="00E4209F">
      <w:pPr>
        <w:pStyle w:val="ListParagraph"/>
        <w:spacing w:after="0" w:line="240" w:lineRule="auto"/>
        <w:ind w:left="1080"/>
        <w:rPr>
          <w:rFonts w:ascii="Calibri" w:hAnsi="Calibri" w:cs="Calibri"/>
        </w:rPr>
      </w:pPr>
    </w:p>
    <w:p w14:paraId="488D41FD" w14:textId="3F6A3885" w:rsidR="00741DAE" w:rsidRDefault="00741DAE" w:rsidP="005726AC">
      <w:pPr>
        <w:pStyle w:val="ListParagraph"/>
        <w:numPr>
          <w:ilvl w:val="0"/>
          <w:numId w:val="6"/>
        </w:numPr>
        <w:spacing w:after="0" w:line="240" w:lineRule="auto"/>
        <w:rPr>
          <w:rFonts w:ascii="Calibri" w:hAnsi="Calibri" w:cs="Calibri"/>
        </w:rPr>
      </w:pPr>
      <w:r w:rsidRPr="00836225">
        <w:rPr>
          <w:rFonts w:ascii="Calibri" w:hAnsi="Calibri" w:cs="Calibri"/>
        </w:rPr>
        <w:t xml:space="preserve">Explain what the impact of including </w:t>
      </w:r>
      <w:r w:rsidR="003C315D" w:rsidRPr="00836225">
        <w:rPr>
          <w:rFonts w:ascii="Calibri" w:hAnsi="Calibri" w:cs="Calibri"/>
        </w:rPr>
        <w:t xml:space="preserve">Surgeon expenses </w:t>
      </w:r>
      <w:r w:rsidRPr="00836225">
        <w:rPr>
          <w:rFonts w:ascii="Calibri" w:hAnsi="Calibri" w:cs="Calibri"/>
        </w:rPr>
        <w:t>in the ASC expenses would be</w:t>
      </w:r>
      <w:r w:rsidR="009D3483" w:rsidRPr="00836225">
        <w:rPr>
          <w:rFonts w:ascii="Calibri" w:hAnsi="Calibri" w:cs="Calibri"/>
        </w:rPr>
        <w:t>.</w:t>
      </w:r>
      <w:r w:rsidR="003C315D" w:rsidRPr="00836225">
        <w:rPr>
          <w:rFonts w:ascii="Calibri" w:hAnsi="Calibri" w:cs="Calibri"/>
        </w:rPr>
        <w:t xml:space="preserve"> What percentage of expenses do they account for, and what percentage of NPSR </w:t>
      </w:r>
      <w:r w:rsidR="005726AC" w:rsidRPr="00836225">
        <w:rPr>
          <w:rFonts w:ascii="Calibri" w:hAnsi="Calibri" w:cs="Calibri"/>
        </w:rPr>
        <w:t xml:space="preserve">is that? </w:t>
      </w:r>
      <w:r w:rsidR="004F2A87" w:rsidRPr="00836225">
        <w:rPr>
          <w:rFonts w:ascii="Calibri" w:hAnsi="Calibri" w:cs="Calibri"/>
        </w:rPr>
        <w:t>How would including those expenses impact your margins and days cash on hand?</w:t>
      </w:r>
    </w:p>
    <w:p w14:paraId="43BB7427" w14:textId="61C53B97" w:rsidR="00836225" w:rsidRPr="00937AF6" w:rsidRDefault="00EE2569" w:rsidP="00836225">
      <w:pPr>
        <w:pStyle w:val="ListParagraph"/>
        <w:ind w:left="1080"/>
        <w:rPr>
          <w:rFonts w:ascii="Calibri" w:hAnsi="Calibri" w:cs="Calibri"/>
          <w:color w:val="A20000"/>
        </w:rPr>
      </w:pPr>
      <w:r w:rsidRPr="00937AF6">
        <w:rPr>
          <w:rFonts w:ascii="Calibri" w:hAnsi="Calibri" w:cs="Calibri"/>
          <w:color w:val="A20000"/>
        </w:rPr>
        <w:t xml:space="preserve">As noted above, </w:t>
      </w:r>
      <w:r w:rsidR="0044357A" w:rsidRPr="00937AF6">
        <w:rPr>
          <w:rFonts w:ascii="Calibri" w:hAnsi="Calibri" w:cs="Calibri"/>
          <w:color w:val="A20000"/>
        </w:rPr>
        <w:t>s</w:t>
      </w:r>
      <w:r w:rsidR="00836225" w:rsidRPr="00937AF6">
        <w:rPr>
          <w:rFonts w:ascii="Calibri" w:hAnsi="Calibri" w:cs="Calibri"/>
          <w:color w:val="A20000"/>
        </w:rPr>
        <w:t xml:space="preserve">urgeon expenses are </w:t>
      </w:r>
      <w:r w:rsidRPr="00937AF6">
        <w:rPr>
          <w:rFonts w:ascii="Calibri" w:hAnsi="Calibri" w:cs="Calibri"/>
          <w:color w:val="A20000"/>
        </w:rPr>
        <w:t>not included in</w:t>
      </w:r>
      <w:r w:rsidR="00836225" w:rsidRPr="00937AF6">
        <w:rPr>
          <w:rFonts w:ascii="Calibri" w:hAnsi="Calibri" w:cs="Calibri"/>
          <w:color w:val="A20000"/>
        </w:rPr>
        <w:t xml:space="preserve"> ASC expenses.  </w:t>
      </w:r>
    </w:p>
    <w:p w14:paraId="354AA8B2" w14:textId="77777777" w:rsidR="00AA604A" w:rsidRDefault="00AA604A" w:rsidP="00AA604A">
      <w:pPr>
        <w:pStyle w:val="ListParagraph"/>
        <w:spacing w:after="0" w:line="240" w:lineRule="auto"/>
        <w:ind w:left="1080"/>
        <w:rPr>
          <w:rFonts w:ascii="Calibri" w:hAnsi="Calibri" w:cs="Calibri"/>
        </w:rPr>
      </w:pPr>
    </w:p>
    <w:p w14:paraId="7274F9A1" w14:textId="77777777" w:rsidR="00F23D23" w:rsidRDefault="00F23D23" w:rsidP="00AA604A">
      <w:pPr>
        <w:pStyle w:val="ListParagraph"/>
        <w:spacing w:after="0" w:line="240" w:lineRule="auto"/>
        <w:ind w:left="1080"/>
        <w:rPr>
          <w:rFonts w:ascii="Calibri" w:hAnsi="Calibri" w:cs="Calibri"/>
        </w:rPr>
      </w:pPr>
    </w:p>
    <w:p w14:paraId="76B24B6D" w14:textId="77777777" w:rsidR="00F23D23" w:rsidRDefault="00F23D23" w:rsidP="00AA604A">
      <w:pPr>
        <w:pStyle w:val="ListParagraph"/>
        <w:spacing w:after="0" w:line="240" w:lineRule="auto"/>
        <w:ind w:left="1080"/>
        <w:rPr>
          <w:rFonts w:ascii="Calibri" w:hAnsi="Calibri" w:cs="Calibri"/>
        </w:rPr>
      </w:pPr>
    </w:p>
    <w:p w14:paraId="1899651D" w14:textId="77777777" w:rsidR="00F23D23" w:rsidRDefault="00F23D23" w:rsidP="00AA604A">
      <w:pPr>
        <w:pStyle w:val="ListParagraph"/>
        <w:spacing w:after="0" w:line="240" w:lineRule="auto"/>
        <w:ind w:left="1080"/>
        <w:rPr>
          <w:rFonts w:ascii="Calibri" w:hAnsi="Calibri" w:cs="Calibri"/>
        </w:rPr>
      </w:pPr>
    </w:p>
    <w:p w14:paraId="67325DC8" w14:textId="77777777" w:rsidR="00F23D23" w:rsidRDefault="00F23D23" w:rsidP="00AA604A">
      <w:pPr>
        <w:pStyle w:val="ListParagraph"/>
        <w:spacing w:after="0" w:line="240" w:lineRule="auto"/>
        <w:ind w:left="1080"/>
        <w:rPr>
          <w:rFonts w:ascii="Calibri" w:hAnsi="Calibri" w:cs="Calibri"/>
        </w:rPr>
      </w:pPr>
    </w:p>
    <w:p w14:paraId="6DD47FE2" w14:textId="77777777" w:rsidR="00F23D23" w:rsidRDefault="00F23D23" w:rsidP="00AA604A">
      <w:pPr>
        <w:pStyle w:val="ListParagraph"/>
        <w:spacing w:after="0" w:line="240" w:lineRule="auto"/>
        <w:ind w:left="1080"/>
        <w:rPr>
          <w:rFonts w:ascii="Calibri" w:hAnsi="Calibri" w:cs="Calibri"/>
        </w:rPr>
      </w:pPr>
    </w:p>
    <w:p w14:paraId="1BCBC77E" w14:textId="0BD2E93E" w:rsidR="00914EB5" w:rsidRPr="00AA604A" w:rsidRDefault="00914EB5" w:rsidP="005726AC">
      <w:pPr>
        <w:pStyle w:val="ListParagraph"/>
        <w:numPr>
          <w:ilvl w:val="0"/>
          <w:numId w:val="6"/>
        </w:numPr>
        <w:spacing w:after="0" w:line="240" w:lineRule="auto"/>
        <w:rPr>
          <w:rFonts w:ascii="Calibri" w:hAnsi="Calibri" w:cs="Calibri"/>
        </w:rPr>
      </w:pPr>
      <w:r w:rsidRPr="00AA604A">
        <w:rPr>
          <w:rFonts w:ascii="Calibri" w:hAnsi="Calibri" w:cs="Calibri"/>
        </w:rPr>
        <w:t xml:space="preserve">Explain what the management fee includes </w:t>
      </w:r>
      <w:r w:rsidR="005C37DA" w:rsidRPr="00AA604A">
        <w:rPr>
          <w:rFonts w:ascii="Calibri" w:hAnsi="Calibri" w:cs="Calibri"/>
        </w:rPr>
        <w:t>since</w:t>
      </w:r>
      <w:r w:rsidRPr="00AA604A">
        <w:rPr>
          <w:rFonts w:ascii="Calibri" w:hAnsi="Calibri" w:cs="Calibri"/>
        </w:rPr>
        <w:t xml:space="preserve"> the fees listed below </w:t>
      </w:r>
      <w:r w:rsidR="005C37DA" w:rsidRPr="00AA604A">
        <w:rPr>
          <w:rFonts w:ascii="Calibri" w:hAnsi="Calibri" w:cs="Calibri"/>
        </w:rPr>
        <w:t xml:space="preserve">appear to be </w:t>
      </w:r>
      <w:r w:rsidRPr="00AA604A">
        <w:rPr>
          <w:rFonts w:ascii="Calibri" w:hAnsi="Calibri" w:cs="Calibri"/>
        </w:rPr>
        <w:t>separate.</w:t>
      </w:r>
    </w:p>
    <w:p w14:paraId="2D23ECFA" w14:textId="77777777" w:rsidR="005C37DA" w:rsidRDefault="005C37DA" w:rsidP="005726AC">
      <w:pPr>
        <w:pStyle w:val="VlnBullet3"/>
        <w:numPr>
          <w:ilvl w:val="0"/>
          <w:numId w:val="7"/>
        </w:numPr>
        <w:spacing w:after="0" w:line="240" w:lineRule="auto"/>
        <w:rPr>
          <w:rFonts w:ascii="Calibri" w:hAnsi="Calibri" w:cs="Calibri"/>
        </w:rPr>
      </w:pPr>
      <w:r w:rsidRPr="00AA604A">
        <w:rPr>
          <w:rFonts w:ascii="Calibri" w:hAnsi="Calibri" w:cs="Calibri"/>
        </w:rPr>
        <w:t xml:space="preserve">Management fees assumed to be approximately 1.2 to 1.3 percent of net patient service </w:t>
      </w:r>
      <w:proofErr w:type="gramStart"/>
      <w:r w:rsidRPr="00AA604A">
        <w:rPr>
          <w:rFonts w:ascii="Calibri" w:hAnsi="Calibri" w:cs="Calibri"/>
        </w:rPr>
        <w:t>revenue;</w:t>
      </w:r>
      <w:proofErr w:type="gramEnd"/>
    </w:p>
    <w:p w14:paraId="1AE922CB" w14:textId="1594FD4F" w:rsidR="00AA604A" w:rsidRPr="00937AF6" w:rsidRDefault="0037523C" w:rsidP="00AA604A">
      <w:pPr>
        <w:pStyle w:val="VlnBullet3"/>
        <w:numPr>
          <w:ilvl w:val="0"/>
          <w:numId w:val="0"/>
        </w:numPr>
        <w:spacing w:after="0" w:line="240" w:lineRule="auto"/>
        <w:ind w:left="1440"/>
        <w:rPr>
          <w:rFonts w:ascii="Calibri" w:hAnsi="Calibri" w:cs="Calibri"/>
          <w:color w:val="A20000"/>
        </w:rPr>
      </w:pPr>
      <w:r w:rsidRPr="00937AF6">
        <w:rPr>
          <w:rFonts w:ascii="Calibri" w:hAnsi="Calibri" w:cs="Calibri"/>
          <w:color w:val="A20000"/>
        </w:rPr>
        <w:lastRenderedPageBreak/>
        <w:t xml:space="preserve">The management fees include traditional management services such as accounting, day-to-day operations, human resources, regulatory compliance, and supply management. </w:t>
      </w:r>
    </w:p>
    <w:p w14:paraId="21A75045" w14:textId="77777777" w:rsidR="00AA604A" w:rsidRPr="00937AF6" w:rsidRDefault="00AA604A" w:rsidP="00AA604A">
      <w:pPr>
        <w:pStyle w:val="VlnBullet3"/>
        <w:numPr>
          <w:ilvl w:val="0"/>
          <w:numId w:val="0"/>
        </w:numPr>
        <w:spacing w:after="0" w:line="240" w:lineRule="auto"/>
        <w:ind w:left="1440"/>
        <w:rPr>
          <w:rFonts w:ascii="Calibri" w:hAnsi="Calibri" w:cs="Calibri"/>
          <w:color w:val="A20000"/>
        </w:rPr>
      </w:pPr>
    </w:p>
    <w:p w14:paraId="5646FFD8" w14:textId="77777777" w:rsidR="005C37DA" w:rsidRDefault="005C37DA" w:rsidP="005726AC">
      <w:pPr>
        <w:pStyle w:val="VlnBullet3"/>
        <w:numPr>
          <w:ilvl w:val="0"/>
          <w:numId w:val="7"/>
        </w:numPr>
        <w:spacing w:after="0" w:line="240" w:lineRule="auto"/>
        <w:rPr>
          <w:rFonts w:ascii="Calibri" w:hAnsi="Calibri" w:cs="Calibri"/>
        </w:rPr>
      </w:pPr>
      <w:r w:rsidRPr="00AA604A">
        <w:rPr>
          <w:rFonts w:ascii="Calibri" w:hAnsi="Calibri" w:cs="Calibri"/>
        </w:rPr>
        <w:t xml:space="preserve">Annual OM fees (back-office systems and processes, </w:t>
      </w:r>
      <w:proofErr w:type="gramStart"/>
      <w:r w:rsidRPr="00AA604A">
        <w:rPr>
          <w:rFonts w:ascii="Calibri" w:hAnsi="Calibri" w:cs="Calibri"/>
        </w:rPr>
        <w:t>including:</w:t>
      </w:r>
      <w:proofErr w:type="gramEnd"/>
      <w:r w:rsidRPr="00AA604A">
        <w:rPr>
          <w:rFonts w:ascii="Calibri" w:hAnsi="Calibri" w:cs="Calibri"/>
        </w:rPr>
        <w:t xml:space="preserve"> patient accounting system cost, clinical reporting, risk management/insurance, information technology, and related functions) assumed to increase 3 percent annually;</w:t>
      </w:r>
    </w:p>
    <w:p w14:paraId="2FE27554" w14:textId="6707DE44" w:rsidR="00AA604A" w:rsidRPr="00937AF6" w:rsidRDefault="00AA604A" w:rsidP="00AA604A">
      <w:pPr>
        <w:pStyle w:val="VlnBullet3"/>
        <w:numPr>
          <w:ilvl w:val="0"/>
          <w:numId w:val="0"/>
        </w:numPr>
        <w:spacing w:after="0" w:line="240" w:lineRule="auto"/>
        <w:ind w:left="1440"/>
        <w:rPr>
          <w:rFonts w:ascii="Calibri" w:hAnsi="Calibri" w:cs="Calibri"/>
          <w:color w:val="A20000"/>
        </w:rPr>
      </w:pPr>
      <w:r w:rsidRPr="00937AF6">
        <w:rPr>
          <w:rFonts w:ascii="Calibri" w:hAnsi="Calibri" w:cs="Calibri"/>
          <w:color w:val="A20000"/>
        </w:rPr>
        <w:t>These fees are for back</w:t>
      </w:r>
      <w:r w:rsidR="008E5B1B" w:rsidRPr="00937AF6">
        <w:rPr>
          <w:rFonts w:ascii="Calibri" w:hAnsi="Calibri" w:cs="Calibri"/>
          <w:color w:val="A20000"/>
        </w:rPr>
        <w:t>-</w:t>
      </w:r>
      <w:r w:rsidRPr="00937AF6">
        <w:rPr>
          <w:rFonts w:ascii="Calibri" w:hAnsi="Calibri" w:cs="Calibri"/>
          <w:color w:val="A20000"/>
        </w:rPr>
        <w:t xml:space="preserve">office systems and </w:t>
      </w:r>
      <w:r w:rsidR="00BA0BC5" w:rsidRPr="00937AF6">
        <w:rPr>
          <w:rFonts w:ascii="Calibri" w:hAnsi="Calibri" w:cs="Calibri"/>
          <w:color w:val="A20000"/>
        </w:rPr>
        <w:t>third-party</w:t>
      </w:r>
      <w:r w:rsidRPr="00937AF6">
        <w:rPr>
          <w:rFonts w:ascii="Calibri" w:hAnsi="Calibri" w:cs="Calibri"/>
          <w:color w:val="A20000"/>
        </w:rPr>
        <w:t xml:space="preserve"> vendors that help </w:t>
      </w:r>
      <w:r w:rsidR="00BA0BC5" w:rsidRPr="00937AF6">
        <w:rPr>
          <w:rFonts w:ascii="Calibri" w:hAnsi="Calibri" w:cs="Calibri"/>
          <w:color w:val="A20000"/>
        </w:rPr>
        <w:t>support the</w:t>
      </w:r>
      <w:r w:rsidR="0037523C" w:rsidRPr="00937AF6">
        <w:rPr>
          <w:rFonts w:ascii="Calibri" w:hAnsi="Calibri" w:cs="Calibri"/>
          <w:color w:val="A20000"/>
        </w:rPr>
        <w:t xml:space="preserve"> day-to-day operations of the </w:t>
      </w:r>
      <w:r w:rsidR="00B94095" w:rsidRPr="00937AF6">
        <w:rPr>
          <w:rFonts w:ascii="Calibri" w:hAnsi="Calibri" w:cs="Calibri"/>
          <w:color w:val="A20000"/>
        </w:rPr>
        <w:t>Proposed P</w:t>
      </w:r>
      <w:r w:rsidR="0037523C" w:rsidRPr="00937AF6">
        <w:rPr>
          <w:rFonts w:ascii="Calibri" w:hAnsi="Calibri" w:cs="Calibri"/>
          <w:color w:val="A20000"/>
        </w:rPr>
        <w:t>roject</w:t>
      </w:r>
      <w:r w:rsidRPr="00937AF6">
        <w:rPr>
          <w:rFonts w:ascii="Calibri" w:hAnsi="Calibri" w:cs="Calibri"/>
          <w:color w:val="A20000"/>
        </w:rPr>
        <w:t xml:space="preserve">. This expense covers items that are </w:t>
      </w:r>
      <w:r w:rsidR="00AD6774" w:rsidRPr="00937AF6">
        <w:rPr>
          <w:rFonts w:ascii="Calibri" w:hAnsi="Calibri" w:cs="Calibri"/>
          <w:color w:val="A20000"/>
        </w:rPr>
        <w:t>obtained from</w:t>
      </w:r>
      <w:r w:rsidRPr="00937AF6">
        <w:rPr>
          <w:rFonts w:ascii="Calibri" w:hAnsi="Calibri" w:cs="Calibri"/>
          <w:color w:val="A20000"/>
        </w:rPr>
        <w:t xml:space="preserve"> </w:t>
      </w:r>
      <w:r w:rsidR="00BA0BC5" w:rsidRPr="00937AF6">
        <w:rPr>
          <w:rFonts w:ascii="Calibri" w:hAnsi="Calibri" w:cs="Calibri"/>
          <w:color w:val="A20000"/>
        </w:rPr>
        <w:t>third parties</w:t>
      </w:r>
      <w:r w:rsidRPr="00937AF6">
        <w:rPr>
          <w:rFonts w:ascii="Calibri" w:hAnsi="Calibri" w:cs="Calibri"/>
          <w:color w:val="A20000"/>
        </w:rPr>
        <w:t>.</w:t>
      </w:r>
    </w:p>
    <w:p w14:paraId="49D73364" w14:textId="77777777" w:rsidR="00AA604A" w:rsidRPr="00AA604A" w:rsidRDefault="00AA604A" w:rsidP="00AA604A">
      <w:pPr>
        <w:pStyle w:val="VlnBullet3"/>
        <w:numPr>
          <w:ilvl w:val="0"/>
          <w:numId w:val="0"/>
        </w:numPr>
        <w:spacing w:after="0" w:line="240" w:lineRule="auto"/>
        <w:ind w:left="1440" w:hanging="360"/>
        <w:rPr>
          <w:rFonts w:ascii="Calibri" w:hAnsi="Calibri" w:cs="Calibri"/>
        </w:rPr>
      </w:pPr>
    </w:p>
    <w:p w14:paraId="6F975EDF" w14:textId="7CD1F72D" w:rsidR="00914EB5" w:rsidRPr="00AA604A" w:rsidRDefault="005C37DA" w:rsidP="005726AC">
      <w:pPr>
        <w:pStyle w:val="VlnBullet3"/>
        <w:numPr>
          <w:ilvl w:val="0"/>
          <w:numId w:val="7"/>
        </w:numPr>
        <w:spacing w:after="0" w:line="240" w:lineRule="auto"/>
        <w:rPr>
          <w:rFonts w:ascii="Calibri" w:hAnsi="Calibri" w:cs="Calibri"/>
        </w:rPr>
      </w:pPr>
      <w:r w:rsidRPr="00AA604A">
        <w:rPr>
          <w:rFonts w:ascii="Calibri" w:hAnsi="Calibri" w:cs="Calibri"/>
        </w:rPr>
        <w:t xml:space="preserve">RBO fee (revenue cycle, billing, collections and coding) expense assumed to be approximately 1.3 percent of net patient service </w:t>
      </w:r>
      <w:proofErr w:type="gramStart"/>
      <w:r w:rsidRPr="00AA604A">
        <w:rPr>
          <w:rFonts w:ascii="Calibri" w:hAnsi="Calibri" w:cs="Calibri"/>
        </w:rPr>
        <w:t>revenue;</w:t>
      </w:r>
      <w:proofErr w:type="gramEnd"/>
    </w:p>
    <w:p w14:paraId="79504620" w14:textId="3B44E22A" w:rsidR="00AA604A" w:rsidRPr="00937AF6" w:rsidRDefault="00AD6774" w:rsidP="00E4209F">
      <w:pPr>
        <w:pStyle w:val="VlnBullet3"/>
        <w:numPr>
          <w:ilvl w:val="0"/>
          <w:numId w:val="0"/>
        </w:numPr>
        <w:spacing w:after="0" w:line="240" w:lineRule="auto"/>
        <w:ind w:left="1440"/>
        <w:rPr>
          <w:rFonts w:ascii="Calibri" w:hAnsi="Calibri" w:cs="Calibri"/>
          <w:color w:val="A20000"/>
        </w:rPr>
      </w:pPr>
      <w:r w:rsidRPr="00937AF6">
        <w:rPr>
          <w:rFonts w:ascii="Calibri" w:hAnsi="Calibri" w:cs="Calibri"/>
          <w:color w:val="A20000"/>
        </w:rPr>
        <w:t>The RBO fee represents the fee for the Proposed Project’s</w:t>
      </w:r>
      <w:r w:rsidR="00124B79" w:rsidRPr="00937AF6">
        <w:rPr>
          <w:rFonts w:ascii="Calibri" w:hAnsi="Calibri" w:cs="Calibri"/>
          <w:color w:val="A20000"/>
        </w:rPr>
        <w:t xml:space="preserve"> billing and collection</w:t>
      </w:r>
      <w:r w:rsidR="008E5B1B" w:rsidRPr="00937AF6">
        <w:rPr>
          <w:rFonts w:ascii="Calibri" w:hAnsi="Calibri" w:cs="Calibri"/>
          <w:color w:val="A20000"/>
        </w:rPr>
        <w:t xml:space="preserve"> services</w:t>
      </w:r>
      <w:r w:rsidRPr="00937AF6">
        <w:rPr>
          <w:rFonts w:ascii="Calibri" w:hAnsi="Calibri" w:cs="Calibri"/>
          <w:color w:val="A20000"/>
        </w:rPr>
        <w:t>, including</w:t>
      </w:r>
      <w:r w:rsidR="00BA0BC5" w:rsidRPr="00937AF6">
        <w:rPr>
          <w:rFonts w:ascii="Calibri" w:hAnsi="Calibri" w:cs="Calibri"/>
          <w:color w:val="A20000"/>
        </w:rPr>
        <w:t xml:space="preserve"> </w:t>
      </w:r>
      <w:r w:rsidRPr="00937AF6">
        <w:rPr>
          <w:rFonts w:ascii="Calibri" w:hAnsi="Calibri" w:cs="Calibri"/>
          <w:color w:val="A20000"/>
        </w:rPr>
        <w:t>the</w:t>
      </w:r>
      <w:r w:rsidR="00124B79" w:rsidRPr="00937AF6">
        <w:rPr>
          <w:rFonts w:ascii="Calibri" w:hAnsi="Calibri" w:cs="Calibri"/>
          <w:color w:val="A20000"/>
        </w:rPr>
        <w:t xml:space="preserve"> costs </w:t>
      </w:r>
      <w:r w:rsidRPr="00937AF6">
        <w:rPr>
          <w:rFonts w:ascii="Calibri" w:hAnsi="Calibri" w:cs="Calibri"/>
          <w:color w:val="A20000"/>
        </w:rPr>
        <w:t xml:space="preserve">of </w:t>
      </w:r>
      <w:r w:rsidR="00BA0BC5" w:rsidRPr="00937AF6">
        <w:rPr>
          <w:rFonts w:ascii="Calibri" w:hAnsi="Calibri" w:cs="Calibri"/>
          <w:color w:val="A20000"/>
        </w:rPr>
        <w:t>third-party</w:t>
      </w:r>
      <w:r w:rsidR="00124B79" w:rsidRPr="00937AF6">
        <w:rPr>
          <w:rFonts w:ascii="Calibri" w:hAnsi="Calibri" w:cs="Calibri"/>
          <w:color w:val="A20000"/>
        </w:rPr>
        <w:t xml:space="preserve"> vendors.  </w:t>
      </w:r>
    </w:p>
    <w:p w14:paraId="1E01A326" w14:textId="77777777" w:rsidR="00124B79" w:rsidRPr="005726AC" w:rsidRDefault="00124B79" w:rsidP="00E4209F">
      <w:pPr>
        <w:pStyle w:val="VlnBullet3"/>
        <w:numPr>
          <w:ilvl w:val="0"/>
          <w:numId w:val="0"/>
        </w:numPr>
        <w:spacing w:after="0" w:line="240" w:lineRule="auto"/>
        <w:ind w:left="1440"/>
        <w:rPr>
          <w:rFonts w:ascii="Calibri" w:hAnsi="Calibri" w:cs="Calibri"/>
        </w:rPr>
      </w:pPr>
    </w:p>
    <w:p w14:paraId="27FC1FE8" w14:textId="41C3F653" w:rsidR="00741DAE" w:rsidRPr="00836225" w:rsidRDefault="005C37DA" w:rsidP="005726AC">
      <w:pPr>
        <w:pStyle w:val="ListParagraph"/>
        <w:numPr>
          <w:ilvl w:val="0"/>
          <w:numId w:val="6"/>
        </w:numPr>
        <w:spacing w:after="0" w:line="240" w:lineRule="auto"/>
        <w:rPr>
          <w:rFonts w:ascii="Calibri" w:hAnsi="Calibri" w:cs="Calibri"/>
        </w:rPr>
      </w:pPr>
      <w:r w:rsidRPr="00836225">
        <w:rPr>
          <w:rFonts w:ascii="Calibri" w:hAnsi="Calibri" w:cs="Calibri"/>
        </w:rPr>
        <w:t>Explain the impact on EBITDA of not including the surgeon expenses or the capital expenditures in the prospective financial statements.</w:t>
      </w:r>
    </w:p>
    <w:p w14:paraId="1D27F1D5" w14:textId="15739A67" w:rsidR="00836225" w:rsidRPr="00937AF6" w:rsidRDefault="00AD6774" w:rsidP="00836225">
      <w:pPr>
        <w:pStyle w:val="ListParagraph"/>
        <w:ind w:left="1080"/>
        <w:rPr>
          <w:rFonts w:ascii="Calibri" w:hAnsi="Calibri" w:cs="Calibri"/>
          <w:color w:val="A20000"/>
        </w:rPr>
      </w:pPr>
      <w:r w:rsidRPr="00937AF6">
        <w:rPr>
          <w:rFonts w:ascii="Calibri" w:hAnsi="Calibri" w:cs="Calibri"/>
          <w:color w:val="A20000"/>
        </w:rPr>
        <w:t xml:space="preserve">As noted </w:t>
      </w:r>
      <w:r w:rsidR="00BA0BC5" w:rsidRPr="00937AF6">
        <w:rPr>
          <w:rFonts w:ascii="Calibri" w:hAnsi="Calibri" w:cs="Calibri"/>
          <w:color w:val="A20000"/>
        </w:rPr>
        <w:t>above, the</w:t>
      </w:r>
      <w:r w:rsidR="00836225" w:rsidRPr="00937AF6">
        <w:rPr>
          <w:rFonts w:ascii="Calibri" w:hAnsi="Calibri" w:cs="Calibri"/>
          <w:color w:val="A20000"/>
        </w:rPr>
        <w:t xml:space="preserve"> </w:t>
      </w:r>
      <w:r w:rsidR="0044357A" w:rsidRPr="00937AF6">
        <w:rPr>
          <w:rFonts w:ascii="Calibri" w:hAnsi="Calibri" w:cs="Calibri"/>
          <w:color w:val="A20000"/>
        </w:rPr>
        <w:t>s</w:t>
      </w:r>
      <w:r w:rsidR="00836225" w:rsidRPr="00937AF6">
        <w:rPr>
          <w:rFonts w:ascii="Calibri" w:hAnsi="Calibri" w:cs="Calibri"/>
          <w:color w:val="A20000"/>
        </w:rPr>
        <w:t>urgeon expenses are separate from the ASC expenses and</w:t>
      </w:r>
      <w:r w:rsidRPr="00937AF6">
        <w:rPr>
          <w:rFonts w:ascii="Calibri" w:hAnsi="Calibri" w:cs="Calibri"/>
          <w:color w:val="A20000"/>
        </w:rPr>
        <w:t xml:space="preserve"> will </w:t>
      </w:r>
      <w:r w:rsidR="00B94095" w:rsidRPr="00937AF6">
        <w:rPr>
          <w:rFonts w:ascii="Calibri" w:hAnsi="Calibri" w:cs="Calibri"/>
          <w:color w:val="A20000"/>
        </w:rPr>
        <w:t>not impact</w:t>
      </w:r>
      <w:r w:rsidR="00836225" w:rsidRPr="00937AF6">
        <w:rPr>
          <w:rFonts w:ascii="Calibri" w:hAnsi="Calibri" w:cs="Calibri"/>
          <w:color w:val="A20000"/>
        </w:rPr>
        <w:t xml:space="preserve"> </w:t>
      </w:r>
      <w:r w:rsidRPr="00937AF6">
        <w:rPr>
          <w:rFonts w:ascii="Calibri" w:hAnsi="Calibri" w:cs="Calibri"/>
          <w:color w:val="A20000"/>
        </w:rPr>
        <w:t xml:space="preserve">the Proposed Project’s </w:t>
      </w:r>
      <w:r w:rsidR="00836225" w:rsidRPr="00937AF6">
        <w:rPr>
          <w:rFonts w:ascii="Calibri" w:hAnsi="Calibri" w:cs="Calibri"/>
          <w:color w:val="A20000"/>
        </w:rPr>
        <w:t xml:space="preserve">EBITDA or the capital expenditures.  </w:t>
      </w:r>
    </w:p>
    <w:bookmarkEnd w:id="1"/>
    <w:p w14:paraId="5D92443C" w14:textId="77777777" w:rsidR="000F1135" w:rsidRPr="005726AC" w:rsidRDefault="000F1135" w:rsidP="00D53F22">
      <w:pPr>
        <w:pStyle w:val="ListParagraph"/>
        <w:spacing w:after="0" w:line="240" w:lineRule="auto"/>
        <w:ind w:left="1080"/>
        <w:rPr>
          <w:rFonts w:ascii="Calibri" w:hAnsi="Calibri" w:cs="Calibri"/>
        </w:rPr>
      </w:pPr>
    </w:p>
    <w:p w14:paraId="077C8ABE" w14:textId="79F5DA54" w:rsidR="00E439BC" w:rsidRPr="005726AC" w:rsidRDefault="00E439BC" w:rsidP="005726AC">
      <w:pPr>
        <w:pStyle w:val="ListParagraph"/>
        <w:numPr>
          <w:ilvl w:val="0"/>
          <w:numId w:val="1"/>
        </w:numPr>
        <w:spacing w:after="0" w:line="240" w:lineRule="auto"/>
        <w:rPr>
          <w:rFonts w:ascii="Calibri" w:hAnsi="Calibri" w:cs="Calibri"/>
        </w:rPr>
      </w:pPr>
      <w:r w:rsidRPr="005726AC">
        <w:rPr>
          <w:rFonts w:ascii="Calibri" w:hAnsi="Calibri" w:cs="Calibri"/>
        </w:rPr>
        <w:t>You state “The Applicant has been a market leader in the Commonwealth in leveraging APMs to deliver efficiencies that result in overall costs savings while maintaining a high quality of care.  Under most of these arrangements, the Applicant is fully accountable for all care and treatment rendered to its patients.” Please explain further:</w:t>
      </w:r>
    </w:p>
    <w:p w14:paraId="692A125F" w14:textId="77777777" w:rsidR="00E439BC" w:rsidRDefault="00E439BC" w:rsidP="005726AC">
      <w:pPr>
        <w:pStyle w:val="ListParagraph"/>
        <w:numPr>
          <w:ilvl w:val="1"/>
          <w:numId w:val="1"/>
        </w:numPr>
        <w:spacing w:after="0" w:line="240" w:lineRule="auto"/>
        <w:rPr>
          <w:rFonts w:ascii="Calibri" w:hAnsi="Calibri" w:cs="Calibri"/>
        </w:rPr>
      </w:pPr>
      <w:r w:rsidRPr="005726AC">
        <w:rPr>
          <w:rFonts w:ascii="Calibri" w:hAnsi="Calibri" w:cs="Calibri"/>
        </w:rPr>
        <w:t xml:space="preserve">Specific efficiencies </w:t>
      </w:r>
    </w:p>
    <w:p w14:paraId="694F852E" w14:textId="5AF7DB43" w:rsidR="000B2A24" w:rsidRPr="00937AF6" w:rsidRDefault="005D51B4" w:rsidP="007C1402">
      <w:pPr>
        <w:spacing w:after="0" w:line="240" w:lineRule="auto"/>
        <w:ind w:left="1080"/>
        <w:rPr>
          <w:rFonts w:ascii="Calibri" w:hAnsi="Calibri" w:cs="Calibri"/>
          <w:color w:val="A20000"/>
        </w:rPr>
      </w:pPr>
      <w:r w:rsidRPr="00937AF6">
        <w:rPr>
          <w:rFonts w:ascii="Calibri" w:hAnsi="Calibri" w:cs="Calibri"/>
          <w:color w:val="A20000"/>
        </w:rPr>
        <w:t xml:space="preserve">APMs encourage provider organizations to redirect patients from </w:t>
      </w:r>
      <w:r w:rsidR="000521CD" w:rsidRPr="00937AF6">
        <w:rPr>
          <w:rFonts w:ascii="Calibri" w:hAnsi="Calibri" w:cs="Calibri"/>
          <w:color w:val="A20000"/>
        </w:rPr>
        <w:t>high-cost</w:t>
      </w:r>
      <w:r w:rsidRPr="00937AF6">
        <w:rPr>
          <w:rFonts w:ascii="Calibri" w:hAnsi="Calibri" w:cs="Calibri"/>
          <w:color w:val="A20000"/>
        </w:rPr>
        <w:t xml:space="preserve"> low value care to low-cost high value care. </w:t>
      </w:r>
      <w:r w:rsidR="00BA0BC5" w:rsidRPr="00937AF6">
        <w:rPr>
          <w:rFonts w:ascii="Calibri" w:hAnsi="Calibri" w:cs="Calibri"/>
          <w:color w:val="A20000"/>
        </w:rPr>
        <w:t xml:space="preserve">Through the APM arrangements, the Applicant </w:t>
      </w:r>
      <w:proofErr w:type="gramStart"/>
      <w:r w:rsidR="00BA0BC5" w:rsidRPr="00937AF6">
        <w:rPr>
          <w:rFonts w:ascii="Calibri" w:hAnsi="Calibri" w:cs="Calibri"/>
          <w:color w:val="A20000"/>
        </w:rPr>
        <w:t>is able to</w:t>
      </w:r>
      <w:proofErr w:type="gramEnd"/>
      <w:r w:rsidR="00BA0BC5" w:rsidRPr="00937AF6">
        <w:rPr>
          <w:rFonts w:ascii="Calibri" w:hAnsi="Calibri" w:cs="Calibri"/>
          <w:color w:val="A20000"/>
        </w:rPr>
        <w:t xml:space="preserve"> provide </w:t>
      </w:r>
      <w:r w:rsidR="007C1402" w:rsidRPr="00937AF6">
        <w:rPr>
          <w:rFonts w:ascii="Calibri" w:hAnsi="Calibri" w:cs="Calibri"/>
          <w:color w:val="A20000"/>
        </w:rPr>
        <w:t xml:space="preserve">high </w:t>
      </w:r>
      <w:r w:rsidR="00BA0BC5" w:rsidRPr="00937AF6">
        <w:rPr>
          <w:rFonts w:ascii="Calibri" w:hAnsi="Calibri" w:cs="Calibri"/>
          <w:color w:val="A20000"/>
        </w:rPr>
        <w:t xml:space="preserve">quality care at the right time and in the right setting. </w:t>
      </w:r>
      <w:r w:rsidR="000B2A24" w:rsidRPr="00937AF6">
        <w:rPr>
          <w:rFonts w:ascii="Calibri" w:hAnsi="Calibri" w:cs="Calibri"/>
          <w:color w:val="A20000"/>
        </w:rPr>
        <w:t xml:space="preserve">Specific examples of these efficiencies include, but </w:t>
      </w:r>
      <w:r w:rsidR="00EB13A3" w:rsidRPr="00937AF6">
        <w:rPr>
          <w:rFonts w:ascii="Calibri" w:hAnsi="Calibri" w:cs="Calibri"/>
          <w:color w:val="A20000"/>
        </w:rPr>
        <w:t xml:space="preserve">are </w:t>
      </w:r>
      <w:r w:rsidR="000B2A24" w:rsidRPr="00937AF6">
        <w:rPr>
          <w:rFonts w:ascii="Calibri" w:hAnsi="Calibri" w:cs="Calibri"/>
          <w:color w:val="A20000"/>
        </w:rPr>
        <w:t>not limited to, the Applicant</w:t>
      </w:r>
      <w:r w:rsidR="000B2A24" w:rsidRPr="00937AF6">
        <w:rPr>
          <w:rStyle w:val="FootnoteReference"/>
          <w:rFonts w:ascii="Calibri" w:hAnsi="Calibri" w:cs="Calibri"/>
          <w:color w:val="A20000"/>
        </w:rPr>
        <w:footnoteReference w:id="4"/>
      </w:r>
      <w:r w:rsidR="000B2A24" w:rsidRPr="00937AF6">
        <w:rPr>
          <w:rFonts w:ascii="Calibri" w:hAnsi="Calibri" w:cs="Calibri"/>
          <w:color w:val="A20000"/>
        </w:rPr>
        <w:t>:</w:t>
      </w:r>
    </w:p>
    <w:p w14:paraId="788FF8EF" w14:textId="43A41CB2" w:rsidR="000B2A24" w:rsidRPr="000B2A24" w:rsidRDefault="00EB13A3" w:rsidP="000B2A24">
      <w:pPr>
        <w:pStyle w:val="ListParagraph"/>
        <w:numPr>
          <w:ilvl w:val="0"/>
          <w:numId w:val="8"/>
        </w:numPr>
        <w:spacing w:after="0" w:line="240" w:lineRule="auto"/>
        <w:rPr>
          <w:rFonts w:ascii="Calibri" w:hAnsi="Calibri" w:cs="Calibri"/>
        </w:rPr>
      </w:pPr>
      <w:r w:rsidRPr="00937AF6">
        <w:rPr>
          <w:rFonts w:ascii="Calibri" w:hAnsi="Calibri" w:cs="Calibri"/>
          <w:color w:val="A20000"/>
        </w:rPr>
        <w:t>P</w:t>
      </w:r>
      <w:r w:rsidR="007C1402" w:rsidRPr="00937AF6">
        <w:rPr>
          <w:rFonts w:ascii="Calibri" w:hAnsi="Calibri" w:cs="Calibri"/>
          <w:color w:val="A20000"/>
        </w:rPr>
        <w:t>rioritiz</w:t>
      </w:r>
      <w:r w:rsidR="000B2A24" w:rsidRPr="00937AF6">
        <w:rPr>
          <w:rFonts w:ascii="Calibri" w:hAnsi="Calibri" w:cs="Calibri"/>
          <w:color w:val="A20000"/>
        </w:rPr>
        <w:t xml:space="preserve">ing </w:t>
      </w:r>
      <w:r w:rsidR="007C1402" w:rsidRPr="00937AF6">
        <w:rPr>
          <w:rFonts w:ascii="Calibri" w:hAnsi="Calibri" w:cs="Calibri"/>
          <w:color w:val="A20000"/>
        </w:rPr>
        <w:t xml:space="preserve">access to outpatient primary care and specialty care to prevent avoidable admissions and readmissions for its Patient </w:t>
      </w:r>
      <w:proofErr w:type="gramStart"/>
      <w:r w:rsidR="007C1402" w:rsidRPr="00937AF6">
        <w:rPr>
          <w:rFonts w:ascii="Calibri" w:hAnsi="Calibri" w:cs="Calibri"/>
          <w:color w:val="A20000"/>
        </w:rPr>
        <w:t>Panel</w:t>
      </w:r>
      <w:r w:rsidR="000B2A24" w:rsidRPr="00937AF6">
        <w:rPr>
          <w:rFonts w:ascii="Calibri" w:hAnsi="Calibri" w:cs="Calibri"/>
          <w:color w:val="A20000"/>
        </w:rPr>
        <w:t>;</w:t>
      </w:r>
      <w:proofErr w:type="gramEnd"/>
    </w:p>
    <w:p w14:paraId="00B097BD" w14:textId="76B57AB3" w:rsidR="000B2A24" w:rsidRPr="000B2A24" w:rsidRDefault="00EB13A3" w:rsidP="000B2A24">
      <w:pPr>
        <w:pStyle w:val="ListParagraph"/>
        <w:numPr>
          <w:ilvl w:val="0"/>
          <w:numId w:val="8"/>
        </w:numPr>
        <w:spacing w:after="0" w:line="240" w:lineRule="auto"/>
        <w:rPr>
          <w:rFonts w:ascii="Calibri" w:hAnsi="Calibri" w:cs="Calibri"/>
        </w:rPr>
      </w:pPr>
      <w:r w:rsidRPr="00937AF6">
        <w:rPr>
          <w:rFonts w:ascii="Calibri" w:hAnsi="Calibri" w:cs="Calibri"/>
          <w:color w:val="A20000"/>
        </w:rPr>
        <w:t>E</w:t>
      </w:r>
      <w:r w:rsidR="007C1402" w:rsidRPr="00937AF6">
        <w:rPr>
          <w:rFonts w:ascii="Calibri" w:hAnsi="Calibri" w:cs="Calibri"/>
          <w:color w:val="A20000"/>
        </w:rPr>
        <w:t>stablish</w:t>
      </w:r>
      <w:r w:rsidR="000B2A24" w:rsidRPr="00937AF6">
        <w:rPr>
          <w:rFonts w:ascii="Calibri" w:hAnsi="Calibri" w:cs="Calibri"/>
          <w:color w:val="A20000"/>
        </w:rPr>
        <w:t>ing</w:t>
      </w:r>
      <w:r w:rsidR="007C1402" w:rsidRPr="00937AF6">
        <w:rPr>
          <w:rFonts w:ascii="Calibri" w:hAnsi="Calibri" w:cs="Calibri"/>
          <w:color w:val="A20000"/>
        </w:rPr>
        <w:t xml:space="preserve"> a Mobile Integrated Health program known as “ED at Home</w:t>
      </w:r>
      <w:proofErr w:type="gramStart"/>
      <w:r w:rsidR="007C1402" w:rsidRPr="00937AF6">
        <w:rPr>
          <w:rFonts w:ascii="Calibri" w:hAnsi="Calibri" w:cs="Calibri"/>
          <w:color w:val="A20000"/>
        </w:rPr>
        <w:t>”</w:t>
      </w:r>
      <w:r w:rsidR="000B2A24" w:rsidRPr="00937AF6">
        <w:rPr>
          <w:rFonts w:ascii="Calibri" w:hAnsi="Calibri" w:cs="Calibri"/>
          <w:color w:val="A20000"/>
        </w:rPr>
        <w:t>;</w:t>
      </w:r>
      <w:proofErr w:type="gramEnd"/>
    </w:p>
    <w:p w14:paraId="4DD29E47" w14:textId="43722F45" w:rsidR="000B2A24" w:rsidRPr="000B2A24" w:rsidRDefault="00EB13A3" w:rsidP="000B2A24">
      <w:pPr>
        <w:pStyle w:val="ListParagraph"/>
        <w:numPr>
          <w:ilvl w:val="0"/>
          <w:numId w:val="8"/>
        </w:numPr>
        <w:spacing w:after="0" w:line="240" w:lineRule="auto"/>
        <w:rPr>
          <w:rFonts w:ascii="Calibri" w:hAnsi="Calibri" w:cs="Calibri"/>
        </w:rPr>
      </w:pPr>
      <w:r w:rsidRPr="00937AF6">
        <w:rPr>
          <w:rFonts w:ascii="Calibri" w:hAnsi="Calibri" w:cs="Calibri"/>
          <w:color w:val="A20000"/>
        </w:rPr>
        <w:t>I</w:t>
      </w:r>
      <w:r w:rsidR="007C1402" w:rsidRPr="00937AF6">
        <w:rPr>
          <w:rFonts w:ascii="Calibri" w:hAnsi="Calibri" w:cs="Calibri"/>
          <w:color w:val="A20000"/>
        </w:rPr>
        <w:t>mplement</w:t>
      </w:r>
      <w:r w:rsidR="000B2A24" w:rsidRPr="00937AF6">
        <w:rPr>
          <w:rFonts w:ascii="Calibri" w:hAnsi="Calibri" w:cs="Calibri"/>
          <w:color w:val="A20000"/>
        </w:rPr>
        <w:t>ing</w:t>
      </w:r>
      <w:r w:rsidR="007C1402" w:rsidRPr="00937AF6">
        <w:rPr>
          <w:rFonts w:ascii="Calibri" w:hAnsi="Calibri" w:cs="Calibri"/>
          <w:color w:val="A20000"/>
        </w:rPr>
        <w:t xml:space="preserve"> care coordination </w:t>
      </w:r>
      <w:proofErr w:type="gramStart"/>
      <w:r w:rsidR="000B2A24" w:rsidRPr="00937AF6">
        <w:rPr>
          <w:rFonts w:ascii="Calibri" w:hAnsi="Calibri" w:cs="Calibri"/>
          <w:color w:val="A20000"/>
        </w:rPr>
        <w:t>activities;</w:t>
      </w:r>
      <w:proofErr w:type="gramEnd"/>
    </w:p>
    <w:p w14:paraId="4F381E21" w14:textId="0E8C31A0" w:rsidR="007C1402" w:rsidRPr="000B2A24" w:rsidRDefault="00EB13A3" w:rsidP="000B2A24">
      <w:pPr>
        <w:pStyle w:val="ListParagraph"/>
        <w:numPr>
          <w:ilvl w:val="0"/>
          <w:numId w:val="8"/>
        </w:numPr>
        <w:spacing w:after="0" w:line="240" w:lineRule="auto"/>
        <w:rPr>
          <w:rFonts w:ascii="Calibri" w:hAnsi="Calibri" w:cs="Calibri"/>
        </w:rPr>
      </w:pPr>
      <w:r w:rsidRPr="00937AF6">
        <w:rPr>
          <w:rFonts w:ascii="Calibri" w:hAnsi="Calibri" w:cs="Calibri"/>
          <w:color w:val="A20000"/>
        </w:rPr>
        <w:t>R</w:t>
      </w:r>
      <w:r w:rsidR="000B2A24" w:rsidRPr="00937AF6">
        <w:rPr>
          <w:rFonts w:ascii="Calibri" w:hAnsi="Calibri" w:cs="Calibri"/>
          <w:color w:val="A20000"/>
        </w:rPr>
        <w:t xml:space="preserve">educed pharmacy spending </w:t>
      </w:r>
      <w:proofErr w:type="gramStart"/>
      <w:r w:rsidR="000B2A24" w:rsidRPr="00937AF6">
        <w:rPr>
          <w:rFonts w:ascii="Calibri" w:hAnsi="Calibri" w:cs="Calibri"/>
          <w:color w:val="A20000"/>
        </w:rPr>
        <w:t>through the use of</w:t>
      </w:r>
      <w:proofErr w:type="gramEnd"/>
      <w:r w:rsidR="000B2A24" w:rsidRPr="00937AF6">
        <w:rPr>
          <w:rFonts w:ascii="Calibri" w:hAnsi="Calibri" w:cs="Calibri"/>
          <w:color w:val="A20000"/>
        </w:rPr>
        <w:t xml:space="preserve"> the electronic medical record point-of-prescribing notifications; and</w:t>
      </w:r>
    </w:p>
    <w:p w14:paraId="3DA32066" w14:textId="2C554DD0" w:rsidR="00702669" w:rsidRPr="000B2A24" w:rsidRDefault="000B2A24" w:rsidP="000B2A24">
      <w:pPr>
        <w:pStyle w:val="ListParagraph"/>
        <w:numPr>
          <w:ilvl w:val="0"/>
          <w:numId w:val="8"/>
        </w:numPr>
        <w:spacing w:after="0" w:line="240" w:lineRule="auto"/>
        <w:rPr>
          <w:rFonts w:ascii="Calibri" w:hAnsi="Calibri" w:cs="Calibri"/>
        </w:rPr>
      </w:pPr>
      <w:r w:rsidRPr="00937AF6">
        <w:rPr>
          <w:rFonts w:ascii="Calibri" w:hAnsi="Calibri" w:cs="Calibri"/>
          <w:color w:val="A20000"/>
        </w:rPr>
        <w:lastRenderedPageBreak/>
        <w:t>Updating and improving patient reported race, ethnicity, language, sexual orientation, and gender identity data capture, which supports stratifying quality metric performance reports to identify opportunities to improve disparities.</w:t>
      </w:r>
    </w:p>
    <w:p w14:paraId="16E9B317" w14:textId="77777777" w:rsidR="000B2A24" w:rsidRPr="00857624" w:rsidRDefault="000B2A24" w:rsidP="000B2A24">
      <w:pPr>
        <w:pStyle w:val="ListParagraph"/>
        <w:spacing w:after="0" w:line="240" w:lineRule="auto"/>
        <w:ind w:left="1440"/>
        <w:rPr>
          <w:rFonts w:ascii="Calibri" w:hAnsi="Calibri" w:cs="Calibri"/>
        </w:rPr>
      </w:pPr>
    </w:p>
    <w:p w14:paraId="06325674" w14:textId="77777777" w:rsidR="00E439BC" w:rsidRDefault="00E439BC" w:rsidP="005726AC">
      <w:pPr>
        <w:pStyle w:val="ListParagraph"/>
        <w:numPr>
          <w:ilvl w:val="1"/>
          <w:numId w:val="1"/>
        </w:numPr>
        <w:spacing w:after="0" w:line="240" w:lineRule="auto"/>
        <w:rPr>
          <w:rFonts w:ascii="Calibri" w:hAnsi="Calibri" w:cs="Calibri"/>
        </w:rPr>
      </w:pPr>
      <w:r w:rsidRPr="005726AC">
        <w:rPr>
          <w:rFonts w:ascii="Calibri" w:hAnsi="Calibri" w:cs="Calibri"/>
        </w:rPr>
        <w:t>What is meant by “fully accountable”.</w:t>
      </w:r>
    </w:p>
    <w:p w14:paraId="6DD0F2B6" w14:textId="68AA32A8" w:rsidR="002F39F7" w:rsidRPr="00937AF6" w:rsidRDefault="00702669" w:rsidP="0016705A">
      <w:pPr>
        <w:pStyle w:val="ListParagraph"/>
        <w:spacing w:after="0" w:line="240" w:lineRule="auto"/>
        <w:ind w:left="1080"/>
        <w:rPr>
          <w:rFonts w:ascii="Calibri" w:hAnsi="Calibri" w:cs="Calibri"/>
          <w:color w:val="A20000"/>
        </w:rPr>
      </w:pPr>
      <w:r w:rsidRPr="00937AF6">
        <w:rPr>
          <w:rFonts w:ascii="Calibri" w:hAnsi="Calibri" w:cs="Calibri"/>
          <w:color w:val="A20000"/>
        </w:rPr>
        <w:t xml:space="preserve">Under the APM arrangements, </w:t>
      </w:r>
      <w:r w:rsidR="00724031" w:rsidRPr="00937AF6">
        <w:rPr>
          <w:rFonts w:ascii="Calibri" w:hAnsi="Calibri" w:cs="Calibri"/>
          <w:color w:val="A20000"/>
        </w:rPr>
        <w:t xml:space="preserve">the Applicant </w:t>
      </w:r>
      <w:r w:rsidRPr="00937AF6">
        <w:rPr>
          <w:rFonts w:ascii="Calibri" w:hAnsi="Calibri" w:cs="Calibri"/>
          <w:color w:val="A20000"/>
        </w:rPr>
        <w:t>takes financial risk and is financially responsible for care delivered across the care continuum</w:t>
      </w:r>
      <w:r w:rsidR="00EB13A3" w:rsidRPr="00937AF6">
        <w:rPr>
          <w:rFonts w:ascii="Calibri" w:hAnsi="Calibri" w:cs="Calibri"/>
          <w:color w:val="A20000"/>
        </w:rPr>
        <w:t xml:space="preserve">, meaning that the Applicant is responsible for the cost of </w:t>
      </w:r>
      <w:r w:rsidR="003C0BE8" w:rsidRPr="00937AF6">
        <w:rPr>
          <w:rFonts w:ascii="Calibri" w:hAnsi="Calibri" w:cs="Calibri"/>
          <w:color w:val="A20000"/>
        </w:rPr>
        <w:t>covered services</w:t>
      </w:r>
      <w:r w:rsidR="00EB13A3" w:rsidRPr="00937AF6">
        <w:rPr>
          <w:rFonts w:ascii="Calibri" w:hAnsi="Calibri" w:cs="Calibri"/>
          <w:color w:val="A20000"/>
        </w:rPr>
        <w:t xml:space="preserve"> delivered by the Applicant </w:t>
      </w:r>
      <w:proofErr w:type="gramStart"/>
      <w:r w:rsidR="003C0BE8" w:rsidRPr="00937AF6">
        <w:rPr>
          <w:rFonts w:ascii="Calibri" w:hAnsi="Calibri" w:cs="Calibri"/>
          <w:color w:val="A20000"/>
        </w:rPr>
        <w:t>and also</w:t>
      </w:r>
      <w:proofErr w:type="gramEnd"/>
      <w:r w:rsidR="003C0BE8" w:rsidRPr="00937AF6">
        <w:rPr>
          <w:rFonts w:ascii="Calibri" w:hAnsi="Calibri" w:cs="Calibri"/>
          <w:color w:val="A20000"/>
        </w:rPr>
        <w:t xml:space="preserve"> for expenses incurred for covered services not provided by the Applicant</w:t>
      </w:r>
      <w:r w:rsidRPr="00937AF6">
        <w:rPr>
          <w:rFonts w:ascii="Calibri" w:hAnsi="Calibri" w:cs="Calibri"/>
          <w:color w:val="A20000"/>
        </w:rPr>
        <w:t xml:space="preserve">. </w:t>
      </w:r>
    </w:p>
    <w:p w14:paraId="1C6551AC" w14:textId="77777777" w:rsidR="00E439BC" w:rsidRDefault="00E439BC" w:rsidP="00E439BC">
      <w:pPr>
        <w:pStyle w:val="ListParagraph"/>
        <w:spacing w:after="240" w:line="240" w:lineRule="auto"/>
        <w:ind w:left="1440"/>
        <w:rPr>
          <w:rFonts w:ascii="Calibri" w:hAnsi="Calibri" w:cs="Calibri"/>
        </w:rPr>
      </w:pPr>
    </w:p>
    <w:p w14:paraId="09E56ADF" w14:textId="77777777" w:rsidR="00A55F51" w:rsidRPr="00EC2964" w:rsidRDefault="00A55F51" w:rsidP="00A55F51">
      <w:pPr>
        <w:pStyle w:val="ListParagraph"/>
        <w:spacing w:after="240" w:line="240" w:lineRule="auto"/>
      </w:pPr>
    </w:p>
    <w:sectPr w:rsidR="00A55F51" w:rsidRPr="00EC2964" w:rsidSect="00B679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2448B" w14:textId="77777777" w:rsidR="00F302C2" w:rsidRDefault="00F302C2" w:rsidP="00986AC1">
      <w:pPr>
        <w:spacing w:after="0" w:line="240" w:lineRule="auto"/>
      </w:pPr>
      <w:r>
        <w:separator/>
      </w:r>
    </w:p>
  </w:endnote>
  <w:endnote w:type="continuationSeparator" w:id="0">
    <w:p w14:paraId="552FE00A" w14:textId="77777777" w:rsidR="00F302C2" w:rsidRDefault="00F302C2" w:rsidP="0098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AD477" w14:textId="65F35F4D" w:rsidR="00D15131" w:rsidRPr="00F23D23" w:rsidRDefault="00D15131" w:rsidP="00F2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431550"/>
      <w:docPartObj>
        <w:docPartGallery w:val="Page Numbers (Bottom of Page)"/>
        <w:docPartUnique/>
      </w:docPartObj>
    </w:sdtPr>
    <w:sdtEndPr>
      <w:rPr>
        <w:noProof/>
      </w:rPr>
    </w:sdtEndPr>
    <w:sdtContent>
      <w:p w14:paraId="58F3D957" w14:textId="77777777" w:rsidR="00D15131" w:rsidRDefault="00D15131" w:rsidP="0085268E">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128C9" w14:textId="1F42EFB9" w:rsidR="00D15131" w:rsidRPr="00F23D23" w:rsidRDefault="00D15131" w:rsidP="00F23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34428" w14:textId="77777777" w:rsidR="00F302C2" w:rsidRDefault="00F302C2" w:rsidP="00986AC1">
      <w:pPr>
        <w:spacing w:after="0" w:line="240" w:lineRule="auto"/>
      </w:pPr>
      <w:r>
        <w:separator/>
      </w:r>
    </w:p>
  </w:footnote>
  <w:footnote w:type="continuationSeparator" w:id="0">
    <w:p w14:paraId="4A0AA687" w14:textId="77777777" w:rsidR="00F302C2" w:rsidRDefault="00F302C2" w:rsidP="00986AC1">
      <w:pPr>
        <w:spacing w:after="0" w:line="240" w:lineRule="auto"/>
      </w:pPr>
      <w:r>
        <w:continuationSeparator/>
      </w:r>
    </w:p>
  </w:footnote>
  <w:footnote w:id="1">
    <w:p w14:paraId="3363D999" w14:textId="426B07D8" w:rsidR="008348BF" w:rsidRDefault="008348BF">
      <w:pPr>
        <w:pStyle w:val="FootnoteText"/>
      </w:pPr>
      <w:r>
        <w:rPr>
          <w:rStyle w:val="FootnoteReference"/>
        </w:rPr>
        <w:footnoteRef/>
      </w:r>
      <w:r>
        <w:t xml:space="preserve"> See Becker’s ASC Review “How Ensure Maximum Operating Room Utilization in a Surgery Center: Q&amp;A With Dawn Q. McLane of Health </w:t>
      </w:r>
      <w:proofErr w:type="spellStart"/>
      <w:r>
        <w:t>Inventures</w:t>
      </w:r>
      <w:proofErr w:type="spellEnd"/>
      <w:r>
        <w:t>” (February 2011).</w:t>
      </w:r>
    </w:p>
  </w:footnote>
  <w:footnote w:id="2">
    <w:p w14:paraId="59952036" w14:textId="279813D7" w:rsidR="008348BF" w:rsidRDefault="008348BF">
      <w:pPr>
        <w:pStyle w:val="FootnoteText"/>
      </w:pPr>
      <w:r>
        <w:rPr>
          <w:rStyle w:val="FootnoteReference"/>
        </w:rPr>
        <w:footnoteRef/>
      </w:r>
      <w:r>
        <w:t xml:space="preserve"> See Becker’s ASC Review “Defining ‘Full Utilization’ of an Ambulatory Surgery Center: Q&amp;A With Jim </w:t>
      </w:r>
      <w:proofErr w:type="spellStart"/>
      <w:r>
        <w:t>Scarsellla</w:t>
      </w:r>
      <w:proofErr w:type="spellEnd"/>
      <w:r>
        <w:t xml:space="preserve"> of Anesthesia Staffing Consultants” (February 2011).</w:t>
      </w:r>
    </w:p>
  </w:footnote>
  <w:footnote w:id="3">
    <w:p w14:paraId="57E4A648" w14:textId="77777777" w:rsidR="00DF0491" w:rsidRDefault="00DF0491" w:rsidP="00DF0491">
      <w:pPr>
        <w:pStyle w:val="FootnoteText"/>
      </w:pPr>
      <w:r>
        <w:rPr>
          <w:rStyle w:val="FootnoteReference"/>
        </w:rPr>
        <w:footnoteRef/>
      </w:r>
      <w:r>
        <w:t xml:space="preserve"> See, </w:t>
      </w:r>
      <w:proofErr w:type="spellStart"/>
      <w:r>
        <w:t>MedPac</w:t>
      </w:r>
      <w:proofErr w:type="spellEnd"/>
      <w:r>
        <w:t xml:space="preserve"> “Ambulatory Surgical Center Services Payment System” (November 2021). </w:t>
      </w:r>
    </w:p>
  </w:footnote>
  <w:footnote w:id="4">
    <w:p w14:paraId="6D1ACBC9" w14:textId="3E098842" w:rsidR="000B2A24" w:rsidRDefault="000B2A24">
      <w:pPr>
        <w:pStyle w:val="FootnoteText"/>
      </w:pPr>
      <w:r>
        <w:rPr>
          <w:rStyle w:val="FootnoteReference"/>
        </w:rPr>
        <w:footnoteRef/>
      </w:r>
      <w:r>
        <w:t xml:space="preserve"> See Massachusetts Health Policy Commission “2023 Pre-Filed Testimony PROVIDERS” (October 2023) </w:t>
      </w:r>
      <w:hyperlink r:id="rId1" w:history="1">
        <w:r>
          <w:rPr>
            <w:rStyle w:val="Hyperlink"/>
          </w:rPr>
          <w:t>2023-cth_pft-provider_atrius.pdf (masshpc.gov)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35500" w14:textId="77777777" w:rsidR="001777F4" w:rsidRDefault="00177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6E030" w14:textId="31A9883C" w:rsidR="00986AC1" w:rsidRPr="00DA4C80" w:rsidRDefault="00DB2A8B" w:rsidP="00810C86">
    <w:pPr>
      <w:spacing w:after="0" w:line="240" w:lineRule="auto"/>
      <w:jc w:val="center"/>
      <w:rPr>
        <w:rFonts w:ascii="Calibri" w:eastAsia="Calibri" w:hAnsi="Calibri" w:cs="Calibri"/>
        <w:b/>
        <w:sz w:val="28"/>
        <w:szCs w:val="28"/>
      </w:rPr>
    </w:pPr>
    <w:r>
      <w:rPr>
        <w:rFonts w:ascii="Calibri" w:eastAsia="Calibri" w:hAnsi="Calibri" w:cs="Calibri"/>
        <w:b/>
        <w:sz w:val="28"/>
        <w:szCs w:val="28"/>
      </w:rPr>
      <w:t xml:space="preserve">Atrius </w:t>
    </w:r>
    <w:r w:rsidR="00986AC1" w:rsidRPr="00DA4C80">
      <w:rPr>
        <w:rFonts w:ascii="Calibri" w:eastAsia="Calibri" w:hAnsi="Calibri" w:cs="Calibri"/>
        <w:b/>
        <w:sz w:val="28"/>
        <w:szCs w:val="28"/>
      </w:rPr>
      <w:t>HEALTH, INC.</w:t>
    </w:r>
  </w:p>
  <w:p w14:paraId="27BD307C" w14:textId="1FF9D838" w:rsidR="00DB2A8B" w:rsidRPr="00DA4C80" w:rsidRDefault="00986AC1" w:rsidP="00DB2A8B">
    <w:pPr>
      <w:autoSpaceDE w:val="0"/>
      <w:autoSpaceDN w:val="0"/>
      <w:spacing w:after="0" w:line="240" w:lineRule="auto"/>
      <w:jc w:val="center"/>
      <w:rPr>
        <w:rFonts w:ascii="Calibri" w:eastAsia="Calibri" w:hAnsi="Calibri" w:cs="Calibri"/>
        <w:b/>
        <w:sz w:val="28"/>
        <w:szCs w:val="28"/>
      </w:rPr>
    </w:pPr>
    <w:r w:rsidRPr="00DA4C80">
      <w:rPr>
        <w:rFonts w:ascii="Calibri" w:eastAsia="Calibri" w:hAnsi="Calibri" w:cs="Calibri"/>
        <w:b/>
        <w:sz w:val="28"/>
        <w:szCs w:val="28"/>
      </w:rPr>
      <w:t xml:space="preserve">DETERMINATION OF NEED APPLICATION </w:t>
    </w:r>
    <w:r w:rsidR="00DB2A8B" w:rsidRPr="00DB2A8B">
      <w:rPr>
        <w:rFonts w:ascii="Calibri" w:eastAsia="Calibri" w:hAnsi="Calibri" w:cs="Calibri"/>
        <w:b/>
        <w:sz w:val="28"/>
        <w:szCs w:val="28"/>
      </w:rPr>
      <w:t>24061110-AS</w:t>
    </w:r>
  </w:p>
  <w:p w14:paraId="33B9A3D3" w14:textId="4F7AA3F3" w:rsidR="00986AC1" w:rsidRDefault="00986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1306B" w14:textId="77777777" w:rsidR="001777F4" w:rsidRDefault="00177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2F56"/>
    <w:multiLevelType w:val="hybridMultilevel"/>
    <w:tmpl w:val="DAAA4600"/>
    <w:lvl w:ilvl="0" w:tplc="BEFE8F74">
      <w:start w:val="4"/>
      <w:numFmt w:val="bullet"/>
      <w:lvlText w:val="-"/>
      <w:lvlJc w:val="left"/>
      <w:pPr>
        <w:ind w:left="1440" w:hanging="360"/>
      </w:pPr>
      <w:rPr>
        <w:rFonts w:ascii="Calibri" w:eastAsiaTheme="minorHAnsi" w:hAnsi="Calibri" w:cs="Calibri"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C4B86"/>
    <w:multiLevelType w:val="hybridMultilevel"/>
    <w:tmpl w:val="4CF492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E1D6C"/>
    <w:multiLevelType w:val="hybridMultilevel"/>
    <w:tmpl w:val="F9FC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34C69"/>
    <w:multiLevelType w:val="multilevel"/>
    <w:tmpl w:val="06D4416A"/>
    <w:styleLink w:val="VlnBullets"/>
    <w:lvl w:ilvl="0">
      <w:start w:val="1"/>
      <w:numFmt w:val="bullet"/>
      <w:pStyle w:val="VlnBullet1"/>
      <w:lvlText w:val=""/>
      <w:lvlJc w:val="left"/>
      <w:pPr>
        <w:ind w:left="720" w:hanging="360"/>
      </w:pPr>
      <w:rPr>
        <w:rFonts w:ascii="Symbol" w:hAnsi="Symbol" w:hint="default"/>
        <w:color w:val="2DCCD3"/>
        <w:sz w:val="31"/>
      </w:rPr>
    </w:lvl>
    <w:lvl w:ilvl="1">
      <w:start w:val="1"/>
      <w:numFmt w:val="bullet"/>
      <w:pStyle w:val="VlnBullet2"/>
      <w:lvlText w:val="○"/>
      <w:lvlJc w:val="left"/>
      <w:pPr>
        <w:ind w:left="1080" w:hanging="360"/>
      </w:pPr>
      <w:rPr>
        <w:rFonts w:ascii="Times New Roman" w:hAnsi="Times New Roman" w:cs="Times New Roman" w:hint="default"/>
        <w:color w:val="2DCCD3"/>
        <w:sz w:val="26"/>
      </w:rPr>
    </w:lvl>
    <w:lvl w:ilvl="2">
      <w:start w:val="1"/>
      <w:numFmt w:val="bullet"/>
      <w:pStyle w:val="VlnBullet3"/>
      <w:lvlText w:val="-"/>
      <w:lvlJc w:val="left"/>
      <w:pPr>
        <w:ind w:left="1440" w:hanging="360"/>
      </w:pPr>
      <w:rPr>
        <w:rFonts w:ascii="Courier New" w:hAnsi="Courier New" w:hint="default"/>
        <w:color w:val="2DCCD3"/>
        <w:sz w:val="26"/>
      </w:rPr>
    </w:lvl>
    <w:lvl w:ilvl="3">
      <w:start w:val="1"/>
      <w:numFmt w:val="bullet"/>
      <w:pStyle w:val="VlnBullet4"/>
      <w:lvlText w:val=""/>
      <w:lvlJc w:val="left"/>
      <w:pPr>
        <w:ind w:left="1800" w:hanging="360"/>
      </w:pPr>
      <w:rPr>
        <w:rFonts w:ascii="Symbol" w:hAnsi="Symbol" w:hint="default"/>
        <w:color w:val="2DCCD3"/>
        <w:sz w:val="24"/>
      </w:rPr>
    </w:lvl>
    <w:lvl w:ilvl="4">
      <w:start w:val="1"/>
      <w:numFmt w:val="bullet"/>
      <w:pStyle w:val="VlnBullet5"/>
      <w:lvlText w:val="○"/>
      <w:lvlJc w:val="left"/>
      <w:pPr>
        <w:ind w:left="2160" w:hanging="360"/>
      </w:pPr>
      <w:rPr>
        <w:rFonts w:ascii="Times New Roman" w:hAnsi="Times New Roman" w:cs="Times New Roman" w:hint="default"/>
        <w:color w:val="2DCCD3"/>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77EB45EF"/>
    <w:multiLevelType w:val="hybridMultilevel"/>
    <w:tmpl w:val="8976F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87313"/>
    <w:multiLevelType w:val="hybridMultilevel"/>
    <w:tmpl w:val="FE8AC27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26519567">
    <w:abstractNumId w:val="5"/>
  </w:num>
  <w:num w:numId="2" w16cid:durableId="741759685">
    <w:abstractNumId w:val="2"/>
  </w:num>
  <w:num w:numId="3" w16cid:durableId="657997816">
    <w:abstractNumId w:val="3"/>
  </w:num>
  <w:num w:numId="4" w16cid:durableId="1142424080">
    <w:abstractNumId w:val="4"/>
  </w:num>
  <w:num w:numId="5" w16cid:durableId="344551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517076">
    <w:abstractNumId w:val="6"/>
  </w:num>
  <w:num w:numId="7" w16cid:durableId="2113668726">
    <w:abstractNumId w:val="1"/>
  </w:num>
  <w:num w:numId="8" w16cid:durableId="25147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FD"/>
    <w:rsid w:val="00046F76"/>
    <w:rsid w:val="000521CD"/>
    <w:rsid w:val="000559AB"/>
    <w:rsid w:val="00070A14"/>
    <w:rsid w:val="000A35C9"/>
    <w:rsid w:val="000B2A24"/>
    <w:rsid w:val="000C5A46"/>
    <w:rsid w:val="000D49F0"/>
    <w:rsid w:val="000E08AC"/>
    <w:rsid w:val="000E5C9C"/>
    <w:rsid w:val="000F1135"/>
    <w:rsid w:val="00113B6C"/>
    <w:rsid w:val="0012014C"/>
    <w:rsid w:val="00124B79"/>
    <w:rsid w:val="00131CA1"/>
    <w:rsid w:val="00135552"/>
    <w:rsid w:val="00135D6C"/>
    <w:rsid w:val="001616B2"/>
    <w:rsid w:val="0016705A"/>
    <w:rsid w:val="001777F4"/>
    <w:rsid w:val="001A177E"/>
    <w:rsid w:val="001D1DA5"/>
    <w:rsid w:val="001E7097"/>
    <w:rsid w:val="002052CB"/>
    <w:rsid w:val="002057D9"/>
    <w:rsid w:val="002125E2"/>
    <w:rsid w:val="00213BD3"/>
    <w:rsid w:val="0022277D"/>
    <w:rsid w:val="00276B07"/>
    <w:rsid w:val="00282004"/>
    <w:rsid w:val="002869D0"/>
    <w:rsid w:val="002A753C"/>
    <w:rsid w:val="002B397F"/>
    <w:rsid w:val="002C4B04"/>
    <w:rsid w:val="002C5381"/>
    <w:rsid w:val="002F39F7"/>
    <w:rsid w:val="00305ED6"/>
    <w:rsid w:val="00342DE1"/>
    <w:rsid w:val="0037523C"/>
    <w:rsid w:val="00390BFF"/>
    <w:rsid w:val="0039181B"/>
    <w:rsid w:val="003A0A67"/>
    <w:rsid w:val="003B42C1"/>
    <w:rsid w:val="003C0BE8"/>
    <w:rsid w:val="003C315D"/>
    <w:rsid w:val="003C573B"/>
    <w:rsid w:val="003F4F5F"/>
    <w:rsid w:val="004414EE"/>
    <w:rsid w:val="0044357A"/>
    <w:rsid w:val="004F2A87"/>
    <w:rsid w:val="005340ED"/>
    <w:rsid w:val="00553DD7"/>
    <w:rsid w:val="005726AC"/>
    <w:rsid w:val="00594D61"/>
    <w:rsid w:val="005A00E4"/>
    <w:rsid w:val="005C37DA"/>
    <w:rsid w:val="005D51B4"/>
    <w:rsid w:val="00605632"/>
    <w:rsid w:val="00627FFC"/>
    <w:rsid w:val="006467D5"/>
    <w:rsid w:val="00655700"/>
    <w:rsid w:val="00670B3F"/>
    <w:rsid w:val="00695EF1"/>
    <w:rsid w:val="006B2F2D"/>
    <w:rsid w:val="006B63F8"/>
    <w:rsid w:val="006C237A"/>
    <w:rsid w:val="006C268F"/>
    <w:rsid w:val="006C40DE"/>
    <w:rsid w:val="006C61B8"/>
    <w:rsid w:val="006C70E2"/>
    <w:rsid w:val="00702669"/>
    <w:rsid w:val="00724031"/>
    <w:rsid w:val="00741DAE"/>
    <w:rsid w:val="007679A8"/>
    <w:rsid w:val="00780625"/>
    <w:rsid w:val="007A0B33"/>
    <w:rsid w:val="007C1402"/>
    <w:rsid w:val="007E6BB9"/>
    <w:rsid w:val="00802B24"/>
    <w:rsid w:val="00810C86"/>
    <w:rsid w:val="00833BD9"/>
    <w:rsid w:val="008348BF"/>
    <w:rsid w:val="00834F43"/>
    <w:rsid w:val="00836225"/>
    <w:rsid w:val="008406DB"/>
    <w:rsid w:val="00857624"/>
    <w:rsid w:val="008E5B1B"/>
    <w:rsid w:val="00913E03"/>
    <w:rsid w:val="00914EB5"/>
    <w:rsid w:val="00921218"/>
    <w:rsid w:val="009345BB"/>
    <w:rsid w:val="00937AF6"/>
    <w:rsid w:val="0096066E"/>
    <w:rsid w:val="00983888"/>
    <w:rsid w:val="00985743"/>
    <w:rsid w:val="00986AC1"/>
    <w:rsid w:val="009A38EF"/>
    <w:rsid w:val="009B311F"/>
    <w:rsid w:val="009B45BD"/>
    <w:rsid w:val="009C29D2"/>
    <w:rsid w:val="009D3483"/>
    <w:rsid w:val="009D437B"/>
    <w:rsid w:val="009E2D83"/>
    <w:rsid w:val="009E5228"/>
    <w:rsid w:val="00A04A15"/>
    <w:rsid w:val="00A12E49"/>
    <w:rsid w:val="00A35385"/>
    <w:rsid w:val="00A447B0"/>
    <w:rsid w:val="00A55F51"/>
    <w:rsid w:val="00A62222"/>
    <w:rsid w:val="00AA4DB2"/>
    <w:rsid w:val="00AA604A"/>
    <w:rsid w:val="00AB2CD7"/>
    <w:rsid w:val="00AC461C"/>
    <w:rsid w:val="00AC47EA"/>
    <w:rsid w:val="00AC5267"/>
    <w:rsid w:val="00AD6774"/>
    <w:rsid w:val="00AF3022"/>
    <w:rsid w:val="00B42D8E"/>
    <w:rsid w:val="00B53967"/>
    <w:rsid w:val="00B67975"/>
    <w:rsid w:val="00B734DE"/>
    <w:rsid w:val="00B94095"/>
    <w:rsid w:val="00BA0BC5"/>
    <w:rsid w:val="00C22E56"/>
    <w:rsid w:val="00C576B8"/>
    <w:rsid w:val="00C60A6B"/>
    <w:rsid w:val="00CA324A"/>
    <w:rsid w:val="00CC3BE4"/>
    <w:rsid w:val="00CC4DEA"/>
    <w:rsid w:val="00CC7B90"/>
    <w:rsid w:val="00CC7C59"/>
    <w:rsid w:val="00CD244D"/>
    <w:rsid w:val="00CD5426"/>
    <w:rsid w:val="00CE0647"/>
    <w:rsid w:val="00CE553A"/>
    <w:rsid w:val="00CF6895"/>
    <w:rsid w:val="00D060B9"/>
    <w:rsid w:val="00D06D39"/>
    <w:rsid w:val="00D15131"/>
    <w:rsid w:val="00D42F66"/>
    <w:rsid w:val="00D44727"/>
    <w:rsid w:val="00D53F22"/>
    <w:rsid w:val="00D9119D"/>
    <w:rsid w:val="00DA4C80"/>
    <w:rsid w:val="00DB2A8B"/>
    <w:rsid w:val="00DF0491"/>
    <w:rsid w:val="00DF6D44"/>
    <w:rsid w:val="00E07AB6"/>
    <w:rsid w:val="00E4209F"/>
    <w:rsid w:val="00E439BC"/>
    <w:rsid w:val="00E54F03"/>
    <w:rsid w:val="00E66767"/>
    <w:rsid w:val="00E674EF"/>
    <w:rsid w:val="00E83D6A"/>
    <w:rsid w:val="00E84292"/>
    <w:rsid w:val="00E84CE1"/>
    <w:rsid w:val="00EB13A3"/>
    <w:rsid w:val="00EB48A5"/>
    <w:rsid w:val="00EC2964"/>
    <w:rsid w:val="00EC4E38"/>
    <w:rsid w:val="00ED0377"/>
    <w:rsid w:val="00ED54EE"/>
    <w:rsid w:val="00EE2569"/>
    <w:rsid w:val="00EF2CF6"/>
    <w:rsid w:val="00F2042E"/>
    <w:rsid w:val="00F23D23"/>
    <w:rsid w:val="00F268FD"/>
    <w:rsid w:val="00F302C2"/>
    <w:rsid w:val="00F43DE5"/>
    <w:rsid w:val="00F52A2E"/>
    <w:rsid w:val="00F55A73"/>
    <w:rsid w:val="00F940A9"/>
    <w:rsid w:val="00FC3178"/>
    <w:rsid w:val="00FD7A7E"/>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FB3E"/>
  <w15:chartTrackingRefBased/>
  <w15:docId w15:val="{D5109B67-B495-47D6-B08F-8955F059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94D61"/>
    <w:pPr>
      <w:tabs>
        <w:tab w:val="right" w:leader="dot" w:pos="9450"/>
      </w:tabs>
      <w:spacing w:after="100" w:line="276" w:lineRule="auto"/>
      <w:ind w:left="450"/>
    </w:pPr>
    <w:rPr>
      <w:rFonts w:ascii="Calibri" w:eastAsiaTheme="majorEastAsia" w:hAnsi="Calibri" w:cstheme="majorBidi"/>
      <w:noProof/>
      <w:color w:val="000000" w:themeColor="text1"/>
    </w:rPr>
  </w:style>
  <w:style w:type="paragraph" w:styleId="TOC2">
    <w:name w:val="toc 2"/>
    <w:basedOn w:val="Normal"/>
    <w:next w:val="Normal"/>
    <w:autoRedefine/>
    <w:uiPriority w:val="39"/>
    <w:unhideWhenUsed/>
    <w:rsid w:val="00594D61"/>
    <w:pPr>
      <w:tabs>
        <w:tab w:val="right" w:leader="dot" w:pos="9450"/>
      </w:tabs>
      <w:spacing w:after="100" w:line="276" w:lineRule="auto"/>
      <w:ind w:left="450"/>
    </w:pPr>
    <w:rPr>
      <w:rFonts w:ascii="Calibri" w:hAnsi="Calibri"/>
      <w:noProof/>
      <w:color w:val="000000" w:themeColor="text1"/>
    </w:rPr>
  </w:style>
  <w:style w:type="paragraph" w:styleId="TOC3">
    <w:name w:val="toc 3"/>
    <w:basedOn w:val="Normal"/>
    <w:next w:val="Normal"/>
    <w:autoRedefine/>
    <w:uiPriority w:val="39"/>
    <w:unhideWhenUsed/>
    <w:rsid w:val="00594D61"/>
    <w:pPr>
      <w:spacing w:after="100"/>
      <w:ind w:left="440"/>
    </w:pPr>
    <w:rPr>
      <w:rFonts w:eastAsiaTheme="minorEastAsia" w:cs="Times New Roman"/>
    </w:rPr>
  </w:style>
  <w:style w:type="character" w:customStyle="1" w:styleId="Heading1Char">
    <w:name w:val="Heading 1 Char"/>
    <w:basedOn w:val="DefaultParagraphFont"/>
    <w:link w:val="Heading1"/>
    <w:uiPriority w:val="9"/>
    <w:rsid w:val="00F26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8FD"/>
    <w:rPr>
      <w:rFonts w:eastAsiaTheme="majorEastAsia" w:cstheme="majorBidi"/>
      <w:color w:val="272727" w:themeColor="text1" w:themeTint="D8"/>
    </w:rPr>
  </w:style>
  <w:style w:type="paragraph" w:styleId="Title">
    <w:name w:val="Title"/>
    <w:basedOn w:val="Normal"/>
    <w:next w:val="Normal"/>
    <w:link w:val="TitleChar"/>
    <w:uiPriority w:val="10"/>
    <w:qFormat/>
    <w:rsid w:val="00F26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8FD"/>
    <w:pPr>
      <w:spacing w:before="160"/>
      <w:jc w:val="center"/>
    </w:pPr>
    <w:rPr>
      <w:i/>
      <w:iCs/>
      <w:color w:val="404040" w:themeColor="text1" w:themeTint="BF"/>
    </w:rPr>
  </w:style>
  <w:style w:type="character" w:customStyle="1" w:styleId="QuoteChar">
    <w:name w:val="Quote Char"/>
    <w:basedOn w:val="DefaultParagraphFont"/>
    <w:link w:val="Quote"/>
    <w:uiPriority w:val="29"/>
    <w:rsid w:val="00F268FD"/>
    <w:rPr>
      <w:i/>
      <w:iCs/>
      <w:color w:val="404040" w:themeColor="text1" w:themeTint="BF"/>
    </w:rPr>
  </w:style>
  <w:style w:type="paragraph" w:styleId="ListParagraph">
    <w:name w:val="List Paragraph"/>
    <w:basedOn w:val="Normal"/>
    <w:uiPriority w:val="34"/>
    <w:qFormat/>
    <w:rsid w:val="00F268FD"/>
    <w:pPr>
      <w:ind w:left="720"/>
      <w:contextualSpacing/>
    </w:pPr>
  </w:style>
  <w:style w:type="character" w:styleId="IntenseEmphasis">
    <w:name w:val="Intense Emphasis"/>
    <w:basedOn w:val="DefaultParagraphFont"/>
    <w:uiPriority w:val="21"/>
    <w:qFormat/>
    <w:rsid w:val="00F268FD"/>
    <w:rPr>
      <w:i/>
      <w:iCs/>
      <w:color w:val="0F4761" w:themeColor="accent1" w:themeShade="BF"/>
    </w:rPr>
  </w:style>
  <w:style w:type="paragraph" w:styleId="IntenseQuote">
    <w:name w:val="Intense Quote"/>
    <w:basedOn w:val="Normal"/>
    <w:next w:val="Normal"/>
    <w:link w:val="IntenseQuoteChar"/>
    <w:uiPriority w:val="30"/>
    <w:qFormat/>
    <w:rsid w:val="00F26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8FD"/>
    <w:rPr>
      <w:i/>
      <w:iCs/>
      <w:color w:val="0F4761" w:themeColor="accent1" w:themeShade="BF"/>
    </w:rPr>
  </w:style>
  <w:style w:type="character" w:styleId="IntenseReference">
    <w:name w:val="Intense Reference"/>
    <w:basedOn w:val="DefaultParagraphFont"/>
    <w:uiPriority w:val="32"/>
    <w:qFormat/>
    <w:rsid w:val="00F268FD"/>
    <w:rPr>
      <w:b/>
      <w:bCs/>
      <w:smallCaps/>
      <w:color w:val="0F4761" w:themeColor="accent1" w:themeShade="BF"/>
      <w:spacing w:val="5"/>
    </w:rPr>
  </w:style>
  <w:style w:type="table" w:styleId="TableGrid">
    <w:name w:val="Table Grid"/>
    <w:basedOn w:val="TableNormal"/>
    <w:uiPriority w:val="59"/>
    <w:rsid w:val="00D06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D39"/>
    <w:rPr>
      <w:color w:val="467886" w:themeColor="hyperlink"/>
      <w:u w:val="single"/>
    </w:rPr>
  </w:style>
  <w:style w:type="character" w:styleId="UnresolvedMention">
    <w:name w:val="Unresolved Mention"/>
    <w:basedOn w:val="DefaultParagraphFont"/>
    <w:uiPriority w:val="99"/>
    <w:semiHidden/>
    <w:unhideWhenUsed/>
    <w:rsid w:val="00D06D39"/>
    <w:rPr>
      <w:color w:val="605E5C"/>
      <w:shd w:val="clear" w:color="auto" w:fill="E1DFDD"/>
    </w:rPr>
  </w:style>
  <w:style w:type="paragraph" w:styleId="Header">
    <w:name w:val="header"/>
    <w:basedOn w:val="Normal"/>
    <w:link w:val="HeaderChar"/>
    <w:uiPriority w:val="99"/>
    <w:unhideWhenUsed/>
    <w:rsid w:val="00986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C1"/>
  </w:style>
  <w:style w:type="paragraph" w:styleId="Footer">
    <w:name w:val="footer"/>
    <w:basedOn w:val="Normal"/>
    <w:link w:val="FooterChar"/>
    <w:uiPriority w:val="99"/>
    <w:unhideWhenUsed/>
    <w:rsid w:val="00986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C1"/>
  </w:style>
  <w:style w:type="paragraph" w:customStyle="1" w:styleId="VlnBullet1">
    <w:name w:val="Vln Bullet 1"/>
    <w:basedOn w:val="BodyText"/>
    <w:qFormat/>
    <w:rsid w:val="00741DAE"/>
    <w:pPr>
      <w:numPr>
        <w:numId w:val="4"/>
      </w:numPr>
      <w:tabs>
        <w:tab w:val="num" w:pos="360"/>
      </w:tabs>
      <w:spacing w:after="160"/>
      <w:ind w:left="0" w:firstLine="0"/>
      <w:contextualSpacing/>
    </w:pPr>
  </w:style>
  <w:style w:type="paragraph" w:customStyle="1" w:styleId="VlnBullet2">
    <w:name w:val="Vln Bullet 2"/>
    <w:basedOn w:val="VlnBullet1"/>
    <w:qFormat/>
    <w:rsid w:val="00741DAE"/>
    <w:pPr>
      <w:numPr>
        <w:ilvl w:val="1"/>
      </w:numPr>
      <w:tabs>
        <w:tab w:val="num" w:pos="360"/>
      </w:tabs>
    </w:pPr>
    <w:rPr>
      <w:rFonts w:eastAsia="Times New Roman" w:cs="Times New Roman"/>
    </w:rPr>
  </w:style>
  <w:style w:type="paragraph" w:customStyle="1" w:styleId="VlnBullet3">
    <w:name w:val="Vln Bullet 3"/>
    <w:basedOn w:val="VlnBullet1"/>
    <w:qFormat/>
    <w:rsid w:val="00741DAE"/>
    <w:pPr>
      <w:numPr>
        <w:ilvl w:val="2"/>
      </w:numPr>
      <w:tabs>
        <w:tab w:val="num" w:pos="360"/>
      </w:tabs>
    </w:pPr>
  </w:style>
  <w:style w:type="paragraph" w:customStyle="1" w:styleId="VlnBullet4">
    <w:name w:val="Vln Bullet 4"/>
    <w:basedOn w:val="VlnBullet1"/>
    <w:qFormat/>
    <w:rsid w:val="00741DAE"/>
    <w:pPr>
      <w:numPr>
        <w:ilvl w:val="3"/>
      </w:numPr>
      <w:tabs>
        <w:tab w:val="num" w:pos="360"/>
      </w:tabs>
    </w:pPr>
  </w:style>
  <w:style w:type="paragraph" w:customStyle="1" w:styleId="VlnBullet5">
    <w:name w:val="Vln Bullet 5"/>
    <w:basedOn w:val="VlnBullet1"/>
    <w:qFormat/>
    <w:rsid w:val="00741DAE"/>
    <w:pPr>
      <w:numPr>
        <w:ilvl w:val="4"/>
      </w:numPr>
      <w:tabs>
        <w:tab w:val="num" w:pos="360"/>
      </w:tabs>
    </w:pPr>
  </w:style>
  <w:style w:type="numbering" w:customStyle="1" w:styleId="VlnBullets">
    <w:name w:val="Vln Bullets"/>
    <w:uiPriority w:val="99"/>
    <w:rsid w:val="00741DAE"/>
    <w:pPr>
      <w:numPr>
        <w:numId w:val="4"/>
      </w:numPr>
    </w:pPr>
  </w:style>
  <w:style w:type="paragraph" w:styleId="BodyText">
    <w:name w:val="Body Text"/>
    <w:basedOn w:val="Normal"/>
    <w:link w:val="BodyTextChar"/>
    <w:uiPriority w:val="99"/>
    <w:semiHidden/>
    <w:unhideWhenUsed/>
    <w:rsid w:val="00741DAE"/>
    <w:pPr>
      <w:spacing w:after="120"/>
    </w:pPr>
  </w:style>
  <w:style w:type="character" w:customStyle="1" w:styleId="BodyTextChar">
    <w:name w:val="Body Text Char"/>
    <w:basedOn w:val="DefaultParagraphFont"/>
    <w:link w:val="BodyText"/>
    <w:uiPriority w:val="99"/>
    <w:semiHidden/>
    <w:rsid w:val="00741DAE"/>
  </w:style>
  <w:style w:type="paragraph" w:styleId="Revision">
    <w:name w:val="Revision"/>
    <w:hidden/>
    <w:uiPriority w:val="99"/>
    <w:semiHidden/>
    <w:rsid w:val="00213BD3"/>
    <w:pPr>
      <w:spacing w:after="0" w:line="240" w:lineRule="auto"/>
    </w:pPr>
  </w:style>
  <w:style w:type="paragraph" w:customStyle="1" w:styleId="DocID">
    <w:name w:val="DocID"/>
    <w:basedOn w:val="Footer"/>
    <w:next w:val="Footer"/>
    <w:link w:val="DocIDChar"/>
    <w:rsid w:val="001777F4"/>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1777F4"/>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4414EE"/>
    <w:rPr>
      <w:sz w:val="16"/>
      <w:szCs w:val="16"/>
    </w:rPr>
  </w:style>
  <w:style w:type="paragraph" w:styleId="CommentText">
    <w:name w:val="annotation text"/>
    <w:basedOn w:val="Normal"/>
    <w:link w:val="CommentTextChar"/>
    <w:uiPriority w:val="99"/>
    <w:unhideWhenUsed/>
    <w:rsid w:val="004414EE"/>
    <w:pPr>
      <w:spacing w:line="240" w:lineRule="auto"/>
    </w:pPr>
    <w:rPr>
      <w:sz w:val="20"/>
      <w:szCs w:val="20"/>
    </w:rPr>
  </w:style>
  <w:style w:type="character" w:customStyle="1" w:styleId="CommentTextChar">
    <w:name w:val="Comment Text Char"/>
    <w:basedOn w:val="DefaultParagraphFont"/>
    <w:link w:val="CommentText"/>
    <w:uiPriority w:val="99"/>
    <w:rsid w:val="004414EE"/>
    <w:rPr>
      <w:sz w:val="20"/>
      <w:szCs w:val="20"/>
    </w:rPr>
  </w:style>
  <w:style w:type="paragraph" w:styleId="CommentSubject">
    <w:name w:val="annotation subject"/>
    <w:basedOn w:val="CommentText"/>
    <w:next w:val="CommentText"/>
    <w:link w:val="CommentSubjectChar"/>
    <w:uiPriority w:val="99"/>
    <w:semiHidden/>
    <w:unhideWhenUsed/>
    <w:rsid w:val="004414EE"/>
    <w:rPr>
      <w:b/>
      <w:bCs/>
    </w:rPr>
  </w:style>
  <w:style w:type="character" w:customStyle="1" w:styleId="CommentSubjectChar">
    <w:name w:val="Comment Subject Char"/>
    <w:basedOn w:val="CommentTextChar"/>
    <w:link w:val="CommentSubject"/>
    <w:uiPriority w:val="99"/>
    <w:semiHidden/>
    <w:rsid w:val="004414EE"/>
    <w:rPr>
      <w:b/>
      <w:bCs/>
      <w:sz w:val="20"/>
      <w:szCs w:val="20"/>
    </w:rPr>
  </w:style>
  <w:style w:type="character" w:styleId="FollowedHyperlink">
    <w:name w:val="FollowedHyperlink"/>
    <w:basedOn w:val="DefaultParagraphFont"/>
    <w:uiPriority w:val="99"/>
    <w:semiHidden/>
    <w:unhideWhenUsed/>
    <w:rsid w:val="0012014C"/>
    <w:rPr>
      <w:color w:val="96607D" w:themeColor="followedHyperlink"/>
      <w:u w:val="single"/>
    </w:rPr>
  </w:style>
  <w:style w:type="paragraph" w:styleId="FootnoteText">
    <w:name w:val="footnote text"/>
    <w:basedOn w:val="Normal"/>
    <w:link w:val="FootnoteTextChar"/>
    <w:uiPriority w:val="99"/>
    <w:semiHidden/>
    <w:unhideWhenUsed/>
    <w:rsid w:val="00DF0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0491"/>
    <w:rPr>
      <w:sz w:val="20"/>
      <w:szCs w:val="20"/>
    </w:rPr>
  </w:style>
  <w:style w:type="character" w:styleId="FootnoteReference">
    <w:name w:val="footnote reference"/>
    <w:basedOn w:val="DefaultParagraphFont"/>
    <w:uiPriority w:val="99"/>
    <w:semiHidden/>
    <w:unhideWhenUsed/>
    <w:rsid w:val="00DF0491"/>
    <w:rPr>
      <w:vertAlign w:val="superscript"/>
    </w:rPr>
  </w:style>
  <w:style w:type="paragraph" w:styleId="Caption">
    <w:name w:val="caption"/>
    <w:basedOn w:val="Normal"/>
    <w:next w:val="Normal"/>
    <w:uiPriority w:val="35"/>
    <w:unhideWhenUsed/>
    <w:qFormat/>
    <w:rsid w:val="00EF2CF6"/>
    <w:pPr>
      <w:jc w:val="center"/>
    </w:pPr>
    <w:rPr>
      <w:rFonts w:cstheme="minorBidi"/>
      <w:iCs/>
      <w:color w:val="5B6770"/>
      <w:kern w:val="2"/>
      <w:sz w:val="2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0131">
      <w:bodyDiv w:val="1"/>
      <w:marLeft w:val="0"/>
      <w:marRight w:val="0"/>
      <w:marTop w:val="0"/>
      <w:marBottom w:val="0"/>
      <w:divBdr>
        <w:top w:val="none" w:sz="0" w:space="0" w:color="auto"/>
        <w:left w:val="none" w:sz="0" w:space="0" w:color="auto"/>
        <w:bottom w:val="none" w:sz="0" w:space="0" w:color="auto"/>
        <w:right w:val="none" w:sz="0" w:space="0" w:color="auto"/>
      </w:divBdr>
    </w:div>
    <w:div w:id="446509652">
      <w:bodyDiv w:val="1"/>
      <w:marLeft w:val="0"/>
      <w:marRight w:val="0"/>
      <w:marTop w:val="0"/>
      <w:marBottom w:val="0"/>
      <w:divBdr>
        <w:top w:val="none" w:sz="0" w:space="0" w:color="auto"/>
        <w:left w:val="none" w:sz="0" w:space="0" w:color="auto"/>
        <w:bottom w:val="none" w:sz="0" w:space="0" w:color="auto"/>
        <w:right w:val="none" w:sz="0" w:space="0" w:color="auto"/>
      </w:divBdr>
    </w:div>
    <w:div w:id="513803433">
      <w:bodyDiv w:val="1"/>
      <w:marLeft w:val="0"/>
      <w:marRight w:val="0"/>
      <w:marTop w:val="0"/>
      <w:marBottom w:val="0"/>
      <w:divBdr>
        <w:top w:val="none" w:sz="0" w:space="0" w:color="auto"/>
        <w:left w:val="none" w:sz="0" w:space="0" w:color="auto"/>
        <w:bottom w:val="none" w:sz="0" w:space="0" w:color="auto"/>
        <w:right w:val="none" w:sz="0" w:space="0" w:color="auto"/>
      </w:divBdr>
    </w:div>
    <w:div w:id="542179683">
      <w:bodyDiv w:val="1"/>
      <w:marLeft w:val="0"/>
      <w:marRight w:val="0"/>
      <w:marTop w:val="0"/>
      <w:marBottom w:val="0"/>
      <w:divBdr>
        <w:top w:val="none" w:sz="0" w:space="0" w:color="auto"/>
        <w:left w:val="none" w:sz="0" w:space="0" w:color="auto"/>
        <w:bottom w:val="none" w:sz="0" w:space="0" w:color="auto"/>
        <w:right w:val="none" w:sz="0" w:space="0" w:color="auto"/>
      </w:divBdr>
    </w:div>
    <w:div w:id="567620553">
      <w:bodyDiv w:val="1"/>
      <w:marLeft w:val="0"/>
      <w:marRight w:val="0"/>
      <w:marTop w:val="0"/>
      <w:marBottom w:val="0"/>
      <w:divBdr>
        <w:top w:val="none" w:sz="0" w:space="0" w:color="auto"/>
        <w:left w:val="none" w:sz="0" w:space="0" w:color="auto"/>
        <w:bottom w:val="none" w:sz="0" w:space="0" w:color="auto"/>
        <w:right w:val="none" w:sz="0" w:space="0" w:color="auto"/>
      </w:divBdr>
    </w:div>
    <w:div w:id="868572356">
      <w:bodyDiv w:val="1"/>
      <w:marLeft w:val="0"/>
      <w:marRight w:val="0"/>
      <w:marTop w:val="0"/>
      <w:marBottom w:val="0"/>
      <w:divBdr>
        <w:top w:val="none" w:sz="0" w:space="0" w:color="auto"/>
        <w:left w:val="none" w:sz="0" w:space="0" w:color="auto"/>
        <w:bottom w:val="none" w:sz="0" w:space="0" w:color="auto"/>
        <w:right w:val="none" w:sz="0" w:space="0" w:color="auto"/>
      </w:divBdr>
    </w:div>
    <w:div w:id="880359116">
      <w:bodyDiv w:val="1"/>
      <w:marLeft w:val="0"/>
      <w:marRight w:val="0"/>
      <w:marTop w:val="0"/>
      <w:marBottom w:val="0"/>
      <w:divBdr>
        <w:top w:val="none" w:sz="0" w:space="0" w:color="auto"/>
        <w:left w:val="none" w:sz="0" w:space="0" w:color="auto"/>
        <w:bottom w:val="none" w:sz="0" w:space="0" w:color="auto"/>
        <w:right w:val="none" w:sz="0" w:space="0" w:color="auto"/>
      </w:divBdr>
    </w:div>
    <w:div w:id="909508621">
      <w:bodyDiv w:val="1"/>
      <w:marLeft w:val="0"/>
      <w:marRight w:val="0"/>
      <w:marTop w:val="0"/>
      <w:marBottom w:val="0"/>
      <w:divBdr>
        <w:top w:val="none" w:sz="0" w:space="0" w:color="auto"/>
        <w:left w:val="none" w:sz="0" w:space="0" w:color="auto"/>
        <w:bottom w:val="none" w:sz="0" w:space="0" w:color="auto"/>
        <w:right w:val="none" w:sz="0" w:space="0" w:color="auto"/>
      </w:divBdr>
    </w:div>
    <w:div w:id="945960161">
      <w:bodyDiv w:val="1"/>
      <w:marLeft w:val="0"/>
      <w:marRight w:val="0"/>
      <w:marTop w:val="0"/>
      <w:marBottom w:val="0"/>
      <w:divBdr>
        <w:top w:val="none" w:sz="0" w:space="0" w:color="auto"/>
        <w:left w:val="none" w:sz="0" w:space="0" w:color="auto"/>
        <w:bottom w:val="none" w:sz="0" w:space="0" w:color="auto"/>
        <w:right w:val="none" w:sz="0" w:space="0" w:color="auto"/>
      </w:divBdr>
    </w:div>
    <w:div w:id="1286544482">
      <w:bodyDiv w:val="1"/>
      <w:marLeft w:val="0"/>
      <w:marRight w:val="0"/>
      <w:marTop w:val="0"/>
      <w:marBottom w:val="0"/>
      <w:divBdr>
        <w:top w:val="none" w:sz="0" w:space="0" w:color="auto"/>
        <w:left w:val="none" w:sz="0" w:space="0" w:color="auto"/>
        <w:bottom w:val="none" w:sz="0" w:space="0" w:color="auto"/>
        <w:right w:val="none" w:sz="0" w:space="0" w:color="auto"/>
      </w:divBdr>
    </w:div>
    <w:div w:id="1290553623">
      <w:bodyDiv w:val="1"/>
      <w:marLeft w:val="0"/>
      <w:marRight w:val="0"/>
      <w:marTop w:val="0"/>
      <w:marBottom w:val="0"/>
      <w:divBdr>
        <w:top w:val="none" w:sz="0" w:space="0" w:color="auto"/>
        <w:left w:val="none" w:sz="0" w:space="0" w:color="auto"/>
        <w:bottom w:val="none" w:sz="0" w:space="0" w:color="auto"/>
        <w:right w:val="none" w:sz="0" w:space="0" w:color="auto"/>
      </w:divBdr>
    </w:div>
    <w:div w:id="1403143998">
      <w:bodyDiv w:val="1"/>
      <w:marLeft w:val="0"/>
      <w:marRight w:val="0"/>
      <w:marTop w:val="0"/>
      <w:marBottom w:val="0"/>
      <w:divBdr>
        <w:top w:val="none" w:sz="0" w:space="0" w:color="auto"/>
        <w:left w:val="none" w:sz="0" w:space="0" w:color="auto"/>
        <w:bottom w:val="none" w:sz="0" w:space="0" w:color="auto"/>
        <w:right w:val="none" w:sz="0" w:space="0" w:color="auto"/>
      </w:divBdr>
    </w:div>
    <w:div w:id="1428620780">
      <w:bodyDiv w:val="1"/>
      <w:marLeft w:val="0"/>
      <w:marRight w:val="0"/>
      <w:marTop w:val="0"/>
      <w:marBottom w:val="0"/>
      <w:divBdr>
        <w:top w:val="none" w:sz="0" w:space="0" w:color="auto"/>
        <w:left w:val="none" w:sz="0" w:space="0" w:color="auto"/>
        <w:bottom w:val="none" w:sz="0" w:space="0" w:color="auto"/>
        <w:right w:val="none" w:sz="0" w:space="0" w:color="auto"/>
      </w:divBdr>
    </w:div>
    <w:div w:id="1433818797">
      <w:bodyDiv w:val="1"/>
      <w:marLeft w:val="0"/>
      <w:marRight w:val="0"/>
      <w:marTop w:val="0"/>
      <w:marBottom w:val="0"/>
      <w:divBdr>
        <w:top w:val="none" w:sz="0" w:space="0" w:color="auto"/>
        <w:left w:val="none" w:sz="0" w:space="0" w:color="auto"/>
        <w:bottom w:val="none" w:sz="0" w:space="0" w:color="auto"/>
        <w:right w:val="none" w:sz="0" w:space="0" w:color="auto"/>
      </w:divBdr>
    </w:div>
    <w:div w:id="1450970391">
      <w:bodyDiv w:val="1"/>
      <w:marLeft w:val="0"/>
      <w:marRight w:val="0"/>
      <w:marTop w:val="0"/>
      <w:marBottom w:val="0"/>
      <w:divBdr>
        <w:top w:val="none" w:sz="0" w:space="0" w:color="auto"/>
        <w:left w:val="none" w:sz="0" w:space="0" w:color="auto"/>
        <w:bottom w:val="none" w:sz="0" w:space="0" w:color="auto"/>
        <w:right w:val="none" w:sz="0" w:space="0" w:color="auto"/>
      </w:divBdr>
    </w:div>
    <w:div w:id="1500774499">
      <w:bodyDiv w:val="1"/>
      <w:marLeft w:val="0"/>
      <w:marRight w:val="0"/>
      <w:marTop w:val="0"/>
      <w:marBottom w:val="0"/>
      <w:divBdr>
        <w:top w:val="none" w:sz="0" w:space="0" w:color="auto"/>
        <w:left w:val="none" w:sz="0" w:space="0" w:color="auto"/>
        <w:bottom w:val="none" w:sz="0" w:space="0" w:color="auto"/>
        <w:right w:val="none" w:sz="0" w:space="0" w:color="auto"/>
      </w:divBdr>
    </w:div>
    <w:div w:id="1508323093">
      <w:bodyDiv w:val="1"/>
      <w:marLeft w:val="0"/>
      <w:marRight w:val="0"/>
      <w:marTop w:val="0"/>
      <w:marBottom w:val="0"/>
      <w:divBdr>
        <w:top w:val="none" w:sz="0" w:space="0" w:color="auto"/>
        <w:left w:val="none" w:sz="0" w:space="0" w:color="auto"/>
        <w:bottom w:val="none" w:sz="0" w:space="0" w:color="auto"/>
        <w:right w:val="none" w:sz="0" w:space="0" w:color="auto"/>
      </w:divBdr>
    </w:div>
    <w:div w:id="1718775775">
      <w:bodyDiv w:val="1"/>
      <w:marLeft w:val="0"/>
      <w:marRight w:val="0"/>
      <w:marTop w:val="0"/>
      <w:marBottom w:val="0"/>
      <w:divBdr>
        <w:top w:val="none" w:sz="0" w:space="0" w:color="auto"/>
        <w:left w:val="none" w:sz="0" w:space="0" w:color="auto"/>
        <w:bottom w:val="none" w:sz="0" w:space="0" w:color="auto"/>
        <w:right w:val="none" w:sz="0" w:space="0" w:color="auto"/>
      </w:divBdr>
    </w:div>
    <w:div w:id="1787846977">
      <w:bodyDiv w:val="1"/>
      <w:marLeft w:val="0"/>
      <w:marRight w:val="0"/>
      <w:marTop w:val="0"/>
      <w:marBottom w:val="0"/>
      <w:divBdr>
        <w:top w:val="none" w:sz="0" w:space="0" w:color="auto"/>
        <w:left w:val="none" w:sz="0" w:space="0" w:color="auto"/>
        <w:bottom w:val="none" w:sz="0" w:space="0" w:color="auto"/>
        <w:right w:val="none" w:sz="0" w:space="0" w:color="auto"/>
      </w:divBdr>
    </w:div>
    <w:div w:id="1810322534">
      <w:bodyDiv w:val="1"/>
      <w:marLeft w:val="0"/>
      <w:marRight w:val="0"/>
      <w:marTop w:val="0"/>
      <w:marBottom w:val="0"/>
      <w:divBdr>
        <w:top w:val="none" w:sz="0" w:space="0" w:color="auto"/>
        <w:left w:val="none" w:sz="0" w:space="0" w:color="auto"/>
        <w:bottom w:val="none" w:sz="0" w:space="0" w:color="auto"/>
        <w:right w:val="none" w:sz="0" w:space="0" w:color="auto"/>
      </w:divBdr>
    </w:div>
    <w:div w:id="1816994473">
      <w:bodyDiv w:val="1"/>
      <w:marLeft w:val="0"/>
      <w:marRight w:val="0"/>
      <w:marTop w:val="0"/>
      <w:marBottom w:val="0"/>
      <w:divBdr>
        <w:top w:val="none" w:sz="0" w:space="0" w:color="auto"/>
        <w:left w:val="none" w:sz="0" w:space="0" w:color="auto"/>
        <w:bottom w:val="none" w:sz="0" w:space="0" w:color="auto"/>
        <w:right w:val="none" w:sz="0" w:space="0" w:color="auto"/>
      </w:divBdr>
    </w:div>
    <w:div w:id="181784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H.DON@State.MA.U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masshpc.gov/sites/default/files/2023-cth_pft-provider_atri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KBIMANAGE!2128090.1</documentid>
  <senderid>EBK</senderid>
  <senderemail>EKRETCHMER@KB-LAW.COM</senderemail>
  <lastmodified>2024-09-05T13:39:00.0000000-04:00</lastmodified>
  <database>KBIMANAGE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31194-7C50-4E7F-B7DF-1E41FEE8461D}">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A804842D-BE41-4BF8-8A6E-6B8B2120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2424</Words>
  <Characters>13217</Characters>
  <Application>Microsoft Office Word</Application>
  <DocSecurity>0</DocSecurity>
  <Lines>826</Lines>
  <Paragraphs>625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Conover, Lynn (DPH)</dc:creator>
  <cp:keywords/>
  <dc:description/>
  <cp:lastModifiedBy>Marks, Brett (DPH)</cp:lastModifiedBy>
  <cp:revision>13</cp:revision>
  <dcterms:created xsi:type="dcterms:W3CDTF">2024-09-05T17:39:00Z</dcterms:created>
  <dcterms:modified xsi:type="dcterms:W3CDTF">2024-09-10T12:44:00Z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ies>
</file>