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8BD40" w14:textId="2B0B053A" w:rsidR="000D0D41" w:rsidRPr="00BB09C5" w:rsidRDefault="00D223EB" w:rsidP="000D57D7">
      <w:pPr>
        <w:jc w:val="center"/>
        <w:rPr>
          <w:rFonts w:cstheme="minorHAnsi"/>
          <w:b/>
          <w:bCs/>
        </w:rPr>
      </w:pPr>
      <w:r w:rsidRPr="00BB09C5">
        <w:rPr>
          <w:rFonts w:cstheme="minorHAnsi"/>
          <w:b/>
          <w:bCs/>
        </w:rPr>
        <w:t>APPLICANT QUESTIONS</w:t>
      </w:r>
      <w:r w:rsidR="00026B6F" w:rsidRPr="00BB09C5">
        <w:rPr>
          <w:rFonts w:cstheme="minorHAnsi"/>
          <w:b/>
          <w:bCs/>
        </w:rPr>
        <w:t xml:space="preserve"> </w:t>
      </w:r>
      <w:r w:rsidR="00183D7F" w:rsidRPr="00BB09C5">
        <w:rPr>
          <w:rFonts w:cstheme="minorHAnsi"/>
          <w:b/>
          <w:bCs/>
        </w:rPr>
        <w:t>1</w:t>
      </w:r>
    </w:p>
    <w:p w14:paraId="230E4A6C" w14:textId="77777777" w:rsidR="00382F9A" w:rsidRPr="00BB09C5" w:rsidRDefault="00382F9A" w:rsidP="00DF733C">
      <w:pPr>
        <w:spacing w:after="0" w:line="229" w:lineRule="exact"/>
        <w:rPr>
          <w:rStyle w:val="cf01"/>
          <w:rFonts w:asciiTheme="minorHAnsi" w:hAnsiTheme="minorHAnsi" w:cstheme="minorHAnsi"/>
          <w:sz w:val="22"/>
          <w:szCs w:val="22"/>
          <w:highlight w:val="yellow"/>
        </w:rPr>
      </w:pPr>
    </w:p>
    <w:p w14:paraId="13135CCF" w14:textId="14DF4446" w:rsidR="00382F9A" w:rsidRPr="00BB09C5" w:rsidRDefault="00382F9A" w:rsidP="00382F9A">
      <w:pPr>
        <w:rPr>
          <w:rFonts w:cstheme="minorHAnsi"/>
          <w:b/>
          <w:bCs/>
        </w:rPr>
      </w:pPr>
      <w:r w:rsidRPr="00BB09C5">
        <w:rPr>
          <w:rFonts w:cstheme="minorHAnsi"/>
          <w:b/>
          <w:bCs/>
        </w:rPr>
        <w:t>Factor 1a</w:t>
      </w:r>
      <w:r w:rsidR="00F017A9" w:rsidRPr="00BB09C5">
        <w:rPr>
          <w:rFonts w:cstheme="minorHAnsi"/>
          <w:b/>
          <w:bCs/>
        </w:rPr>
        <w:t>i</w:t>
      </w:r>
      <w:r w:rsidRPr="00BB09C5">
        <w:rPr>
          <w:rFonts w:cstheme="minorHAnsi"/>
          <w:b/>
          <w:bCs/>
        </w:rPr>
        <w:t xml:space="preserve">: Patient Panel </w:t>
      </w:r>
    </w:p>
    <w:p w14:paraId="32D8C012" w14:textId="61BCF96C" w:rsidR="00BF3831" w:rsidRPr="00BB09C5" w:rsidRDefault="00746E66" w:rsidP="00BF3831">
      <w:pPr>
        <w:spacing w:after="0" w:line="229" w:lineRule="exact"/>
        <w:rPr>
          <w:rFonts w:cstheme="minorHAnsi"/>
          <w:b/>
          <w:bCs/>
        </w:rPr>
      </w:pPr>
      <w:r w:rsidRPr="00BB09C5">
        <w:rPr>
          <w:rFonts w:cstheme="minorHAnsi"/>
          <w:b/>
          <w:bCs/>
        </w:rPr>
        <w:t xml:space="preserve">Terms not defined below have the meaning set forth in the Narrative. </w:t>
      </w:r>
    </w:p>
    <w:p w14:paraId="4D236531" w14:textId="77777777" w:rsidR="00746E66" w:rsidRPr="00BB09C5" w:rsidRDefault="00746E66" w:rsidP="00BF3831">
      <w:pPr>
        <w:spacing w:after="0" w:line="229" w:lineRule="exact"/>
        <w:rPr>
          <w:rFonts w:cstheme="minorHAnsi"/>
        </w:rPr>
      </w:pPr>
    </w:p>
    <w:p w14:paraId="457BBD11" w14:textId="3F7C749F" w:rsidR="00D33B9C" w:rsidRDefault="00BE5D9B" w:rsidP="00916634">
      <w:pPr>
        <w:pStyle w:val="ListParagraph"/>
        <w:numPr>
          <w:ilvl w:val="0"/>
          <w:numId w:val="38"/>
        </w:numPr>
        <w:spacing w:after="0" w:line="229" w:lineRule="exact"/>
        <w:rPr>
          <w:rFonts w:cstheme="minorHAnsi"/>
        </w:rPr>
      </w:pPr>
      <w:r w:rsidRPr="00BB09C5">
        <w:rPr>
          <w:rFonts w:cstheme="minorHAnsi"/>
        </w:rPr>
        <w:t xml:space="preserve">DPH is assessing the impact of the pandemic on </w:t>
      </w:r>
      <w:r w:rsidR="00115F5D" w:rsidRPr="00BB09C5">
        <w:rPr>
          <w:rFonts w:cstheme="minorHAnsi"/>
        </w:rPr>
        <w:t>patient volume. As such, p</w:t>
      </w:r>
      <w:r w:rsidR="00F970D1" w:rsidRPr="00BB09C5">
        <w:rPr>
          <w:rFonts w:cstheme="minorHAnsi"/>
        </w:rPr>
        <w:t xml:space="preserve">lease provide the number of unique patients served </w:t>
      </w:r>
      <w:r w:rsidR="00E36FE4" w:rsidRPr="00BB09C5">
        <w:rPr>
          <w:rFonts w:cstheme="minorHAnsi"/>
        </w:rPr>
        <w:t xml:space="preserve">for </w:t>
      </w:r>
      <w:r w:rsidR="00115F5D" w:rsidRPr="00BB09C5">
        <w:rPr>
          <w:rFonts w:cstheme="minorHAnsi"/>
        </w:rPr>
        <w:t>2018-2020</w:t>
      </w:r>
      <w:r w:rsidR="00E36FE4" w:rsidRPr="00BB09C5">
        <w:rPr>
          <w:rFonts w:cstheme="minorHAnsi"/>
        </w:rPr>
        <w:t xml:space="preserve"> in the </w:t>
      </w:r>
      <w:r w:rsidR="00D94501" w:rsidRPr="00BB09C5">
        <w:rPr>
          <w:rFonts w:cstheme="minorHAnsi"/>
        </w:rPr>
        <w:t>t</w:t>
      </w:r>
      <w:r w:rsidR="00E36FE4" w:rsidRPr="00BB09C5">
        <w:rPr>
          <w:rFonts w:cstheme="minorHAnsi"/>
        </w:rPr>
        <w:t>able below</w:t>
      </w:r>
      <w:r w:rsidR="008A6BAF" w:rsidRPr="00BB09C5">
        <w:rPr>
          <w:rFonts w:cstheme="minorHAnsi"/>
        </w:rPr>
        <w:t>. Please note</w:t>
      </w:r>
      <w:r w:rsidR="00CA0FB3" w:rsidRPr="00BB09C5">
        <w:rPr>
          <w:rFonts w:cstheme="minorHAnsi"/>
        </w:rPr>
        <w:t>:</w:t>
      </w:r>
      <w:r w:rsidR="008A6BAF" w:rsidRPr="00BB09C5">
        <w:rPr>
          <w:rFonts w:cstheme="minorHAnsi"/>
        </w:rPr>
        <w:t xml:space="preserve"> the </w:t>
      </w:r>
      <w:r w:rsidR="00E716F0" w:rsidRPr="00BB09C5">
        <w:rPr>
          <w:rFonts w:cstheme="minorHAnsi"/>
        </w:rPr>
        <w:t xml:space="preserve">timeframes </w:t>
      </w:r>
      <w:r w:rsidR="00CA0FB3" w:rsidRPr="00BB09C5">
        <w:rPr>
          <w:rFonts w:cstheme="minorHAnsi"/>
        </w:rPr>
        <w:t xml:space="preserve">for the data </w:t>
      </w:r>
      <w:r w:rsidR="00E716F0" w:rsidRPr="00BB09C5">
        <w:rPr>
          <w:rFonts w:cstheme="minorHAnsi"/>
        </w:rPr>
        <w:t>should match the submissions in</w:t>
      </w:r>
      <w:r w:rsidR="00CA0FB3" w:rsidRPr="00BB09C5">
        <w:rPr>
          <w:rFonts w:cstheme="minorHAnsi"/>
        </w:rPr>
        <w:t xml:space="preserve"> </w:t>
      </w:r>
      <w:r w:rsidR="00E716F0" w:rsidRPr="00BB09C5">
        <w:rPr>
          <w:rFonts w:cstheme="minorHAnsi"/>
        </w:rPr>
        <w:t xml:space="preserve">Tables </w:t>
      </w:r>
      <w:r w:rsidR="00431EC4" w:rsidRPr="00BB09C5">
        <w:rPr>
          <w:rFonts w:cstheme="minorHAnsi"/>
        </w:rPr>
        <w:t>1</w:t>
      </w:r>
      <w:r w:rsidR="003C7A7B" w:rsidRPr="00BB09C5">
        <w:rPr>
          <w:rFonts w:cstheme="minorHAnsi"/>
        </w:rPr>
        <w:t>, 3, 5, and 7</w:t>
      </w:r>
      <w:r w:rsidR="00431EC4" w:rsidRPr="00BB09C5">
        <w:rPr>
          <w:rFonts w:cstheme="minorHAnsi"/>
        </w:rPr>
        <w:t xml:space="preserve"> in the Narrative</w:t>
      </w:r>
      <w:r w:rsidR="00CA0FB3" w:rsidRPr="00BB09C5">
        <w:rPr>
          <w:rFonts w:cstheme="minorHAnsi"/>
        </w:rPr>
        <w:t xml:space="preserve"> (Fiscal year or Calendar year)</w:t>
      </w:r>
    </w:p>
    <w:p w14:paraId="48F3DB0E" w14:textId="77777777" w:rsidR="001C68E2" w:rsidRPr="00BB09C5" w:rsidRDefault="001C68E2" w:rsidP="001C68E2">
      <w:pPr>
        <w:pStyle w:val="ListParagraph"/>
        <w:spacing w:after="0" w:line="229" w:lineRule="exact"/>
        <w:rPr>
          <w:rFonts w:cstheme="minorHAnsi"/>
        </w:rPr>
      </w:pPr>
    </w:p>
    <w:tbl>
      <w:tblPr>
        <w:tblStyle w:val="TableGrid"/>
        <w:tblW w:w="0" w:type="auto"/>
        <w:jc w:val="center"/>
        <w:tblLook w:val="04A0" w:firstRow="1" w:lastRow="0" w:firstColumn="1" w:lastColumn="0" w:noHBand="0" w:noVBand="1"/>
      </w:tblPr>
      <w:tblGrid>
        <w:gridCol w:w="2965"/>
        <w:gridCol w:w="1277"/>
        <w:gridCol w:w="1277"/>
        <w:gridCol w:w="1277"/>
      </w:tblGrid>
      <w:tr w:rsidR="001C68E2" w:rsidRPr="001C68E2" w14:paraId="5DB1FC88" w14:textId="77777777" w:rsidTr="00815D51">
        <w:trPr>
          <w:cantSplit/>
          <w:tblHeader/>
          <w:jc w:val="center"/>
        </w:trPr>
        <w:tc>
          <w:tcPr>
            <w:tcW w:w="2965" w:type="dxa"/>
          </w:tcPr>
          <w:p w14:paraId="3EB38FA7" w14:textId="52B993E2" w:rsidR="001C68E2" w:rsidRPr="001C68E2" w:rsidRDefault="001C68E2" w:rsidP="001C68E2">
            <w:pPr>
              <w:jc w:val="center"/>
              <w:rPr>
                <w:rFonts w:cstheme="minorHAnsi"/>
                <w:b/>
                <w:bCs/>
              </w:rPr>
            </w:pPr>
            <w:r w:rsidRPr="001C68E2">
              <w:rPr>
                <w:b/>
                <w:bCs/>
                <w:color w:val="000000"/>
              </w:rPr>
              <w:t>System/ Hospital</w:t>
            </w:r>
          </w:p>
        </w:tc>
        <w:tc>
          <w:tcPr>
            <w:tcW w:w="1277" w:type="dxa"/>
          </w:tcPr>
          <w:p w14:paraId="099AD349" w14:textId="0EB0FCA7" w:rsidR="001C68E2" w:rsidRPr="001C68E2" w:rsidRDefault="001C68E2" w:rsidP="001C68E2">
            <w:pPr>
              <w:jc w:val="center"/>
              <w:rPr>
                <w:rFonts w:cstheme="minorHAnsi"/>
                <w:b/>
                <w:bCs/>
              </w:rPr>
            </w:pPr>
            <w:r w:rsidRPr="001C68E2">
              <w:rPr>
                <w:b/>
                <w:bCs/>
                <w:color w:val="000000"/>
              </w:rPr>
              <w:t>FY2018</w:t>
            </w:r>
          </w:p>
        </w:tc>
        <w:tc>
          <w:tcPr>
            <w:tcW w:w="1277" w:type="dxa"/>
          </w:tcPr>
          <w:p w14:paraId="13A8544A" w14:textId="4BB7A4D5" w:rsidR="001C68E2" w:rsidRPr="001C68E2" w:rsidRDefault="001C68E2" w:rsidP="001C68E2">
            <w:pPr>
              <w:jc w:val="center"/>
              <w:rPr>
                <w:rFonts w:cstheme="minorHAnsi"/>
                <w:b/>
                <w:bCs/>
              </w:rPr>
            </w:pPr>
            <w:r w:rsidRPr="001C68E2">
              <w:rPr>
                <w:b/>
                <w:bCs/>
                <w:color w:val="000000"/>
              </w:rPr>
              <w:t>FY2019</w:t>
            </w:r>
          </w:p>
        </w:tc>
        <w:tc>
          <w:tcPr>
            <w:tcW w:w="1277" w:type="dxa"/>
          </w:tcPr>
          <w:p w14:paraId="3BB65A46" w14:textId="03F43E58" w:rsidR="001C68E2" w:rsidRPr="001C68E2" w:rsidRDefault="001C68E2" w:rsidP="001C68E2">
            <w:pPr>
              <w:jc w:val="center"/>
              <w:rPr>
                <w:rFonts w:cstheme="minorHAnsi"/>
                <w:b/>
                <w:bCs/>
              </w:rPr>
            </w:pPr>
            <w:r w:rsidRPr="001C68E2">
              <w:rPr>
                <w:b/>
                <w:bCs/>
                <w:color w:val="000000"/>
              </w:rPr>
              <w:t>FY2020</w:t>
            </w:r>
          </w:p>
        </w:tc>
      </w:tr>
      <w:tr w:rsidR="001C68E2" w:rsidRPr="001C68E2" w14:paraId="17FAC7DE" w14:textId="77777777" w:rsidTr="00815D51">
        <w:trPr>
          <w:cantSplit/>
          <w:jc w:val="center"/>
        </w:trPr>
        <w:tc>
          <w:tcPr>
            <w:tcW w:w="2965" w:type="dxa"/>
            <w:shd w:val="clear" w:color="auto" w:fill="FFFFFF" w:themeFill="background1"/>
          </w:tcPr>
          <w:p w14:paraId="1031C3BA" w14:textId="7C686D90" w:rsidR="001C68E2" w:rsidRPr="001C68E2" w:rsidRDefault="001C68E2" w:rsidP="001C68E2">
            <w:pPr>
              <w:rPr>
                <w:rFonts w:cstheme="minorHAnsi"/>
              </w:rPr>
            </w:pPr>
            <w:r w:rsidRPr="001C68E2">
              <w:rPr>
                <w:color w:val="000000"/>
              </w:rPr>
              <w:t>BID-Plymouth (Table 1)</w:t>
            </w:r>
          </w:p>
        </w:tc>
        <w:tc>
          <w:tcPr>
            <w:tcW w:w="1277" w:type="dxa"/>
          </w:tcPr>
          <w:p w14:paraId="602E73A3" w14:textId="4D401F94" w:rsidR="001C68E2" w:rsidRPr="001C68E2" w:rsidRDefault="001C68E2" w:rsidP="001C68E2">
            <w:pPr>
              <w:jc w:val="center"/>
              <w:rPr>
                <w:rFonts w:cstheme="minorHAnsi"/>
                <w:color w:val="000000"/>
                <w:highlight w:val="yellow"/>
              </w:rPr>
            </w:pPr>
            <w:r w:rsidRPr="001C68E2">
              <w:rPr>
                <w:color w:val="000000"/>
              </w:rPr>
              <w:t>NA</w:t>
            </w:r>
          </w:p>
        </w:tc>
        <w:tc>
          <w:tcPr>
            <w:tcW w:w="1277" w:type="dxa"/>
          </w:tcPr>
          <w:p w14:paraId="71170F7A" w14:textId="30084AC1" w:rsidR="001C68E2" w:rsidRPr="001C68E2" w:rsidRDefault="001C68E2" w:rsidP="001C68E2">
            <w:pPr>
              <w:jc w:val="center"/>
              <w:rPr>
                <w:rFonts w:cstheme="minorHAnsi"/>
                <w:color w:val="000000"/>
                <w:highlight w:val="yellow"/>
              </w:rPr>
            </w:pPr>
            <w:r w:rsidRPr="001C68E2">
              <w:rPr>
                <w:color w:val="000000"/>
              </w:rPr>
              <w:t>80,912</w:t>
            </w:r>
          </w:p>
        </w:tc>
        <w:tc>
          <w:tcPr>
            <w:tcW w:w="1277" w:type="dxa"/>
          </w:tcPr>
          <w:p w14:paraId="1CB99E4E" w14:textId="4928ADB9" w:rsidR="001C68E2" w:rsidRPr="001C68E2" w:rsidRDefault="001C68E2" w:rsidP="001C68E2">
            <w:pPr>
              <w:jc w:val="center"/>
              <w:rPr>
                <w:rFonts w:cstheme="minorHAnsi"/>
                <w:color w:val="000000"/>
                <w:highlight w:val="yellow"/>
              </w:rPr>
            </w:pPr>
            <w:r w:rsidRPr="001C68E2">
              <w:rPr>
                <w:color w:val="000000"/>
              </w:rPr>
              <w:t>75,625</w:t>
            </w:r>
          </w:p>
        </w:tc>
      </w:tr>
      <w:tr w:rsidR="001C68E2" w:rsidRPr="001C68E2" w14:paraId="5DBABF13" w14:textId="77777777" w:rsidTr="00815D51">
        <w:trPr>
          <w:cantSplit/>
          <w:jc w:val="center"/>
        </w:trPr>
        <w:tc>
          <w:tcPr>
            <w:tcW w:w="2965" w:type="dxa"/>
            <w:shd w:val="clear" w:color="auto" w:fill="FFFFFF" w:themeFill="background1"/>
          </w:tcPr>
          <w:p w14:paraId="0AD2459A" w14:textId="08F96909" w:rsidR="001C68E2" w:rsidRPr="001C68E2" w:rsidRDefault="001C68E2" w:rsidP="001C68E2">
            <w:pPr>
              <w:rPr>
                <w:rFonts w:cstheme="minorHAnsi"/>
              </w:rPr>
            </w:pPr>
            <w:r w:rsidRPr="001C68E2">
              <w:rPr>
                <w:color w:val="000000"/>
              </w:rPr>
              <w:t>BID-Plymouth Oncology (Table 3)</w:t>
            </w:r>
          </w:p>
        </w:tc>
        <w:tc>
          <w:tcPr>
            <w:tcW w:w="1277" w:type="dxa"/>
          </w:tcPr>
          <w:p w14:paraId="3FC4D008" w14:textId="633F42FA" w:rsidR="001C68E2" w:rsidRPr="001C68E2" w:rsidRDefault="001C68E2" w:rsidP="001C68E2">
            <w:pPr>
              <w:jc w:val="center"/>
              <w:rPr>
                <w:rFonts w:cstheme="minorHAnsi"/>
                <w:highlight w:val="yellow"/>
              </w:rPr>
            </w:pPr>
            <w:r w:rsidRPr="001C68E2">
              <w:rPr>
                <w:color w:val="000000"/>
              </w:rPr>
              <w:t>NA</w:t>
            </w:r>
          </w:p>
        </w:tc>
        <w:tc>
          <w:tcPr>
            <w:tcW w:w="1277" w:type="dxa"/>
          </w:tcPr>
          <w:p w14:paraId="7C6D8763" w14:textId="0CF96051" w:rsidR="001C68E2" w:rsidRPr="001C68E2" w:rsidRDefault="001C68E2" w:rsidP="001C68E2">
            <w:pPr>
              <w:jc w:val="center"/>
              <w:rPr>
                <w:rFonts w:cstheme="minorHAnsi"/>
                <w:highlight w:val="yellow"/>
              </w:rPr>
            </w:pPr>
            <w:r w:rsidRPr="001C68E2">
              <w:rPr>
                <w:color w:val="000000"/>
              </w:rPr>
              <w:t>3,637</w:t>
            </w:r>
          </w:p>
        </w:tc>
        <w:tc>
          <w:tcPr>
            <w:tcW w:w="1277" w:type="dxa"/>
          </w:tcPr>
          <w:p w14:paraId="10EFE1EB" w14:textId="55F0C1B1" w:rsidR="001C68E2" w:rsidRPr="001C68E2" w:rsidRDefault="001C68E2" w:rsidP="001C68E2">
            <w:pPr>
              <w:jc w:val="center"/>
              <w:rPr>
                <w:rFonts w:cstheme="minorHAnsi"/>
                <w:highlight w:val="yellow"/>
              </w:rPr>
            </w:pPr>
            <w:r w:rsidRPr="001C68E2">
              <w:rPr>
                <w:color w:val="000000"/>
              </w:rPr>
              <w:t>3,588</w:t>
            </w:r>
          </w:p>
        </w:tc>
      </w:tr>
      <w:tr w:rsidR="001C68E2" w:rsidRPr="001C68E2" w14:paraId="10BFB9E7" w14:textId="77777777" w:rsidTr="00815D51">
        <w:trPr>
          <w:cantSplit/>
          <w:jc w:val="center"/>
        </w:trPr>
        <w:tc>
          <w:tcPr>
            <w:tcW w:w="2965" w:type="dxa"/>
            <w:shd w:val="clear" w:color="auto" w:fill="FFFFFF" w:themeFill="background1"/>
          </w:tcPr>
          <w:p w14:paraId="60411969" w14:textId="07D14381" w:rsidR="001C68E2" w:rsidRPr="001C68E2" w:rsidRDefault="001C68E2" w:rsidP="001C68E2">
            <w:pPr>
              <w:rPr>
                <w:rFonts w:cstheme="minorHAnsi"/>
              </w:rPr>
            </w:pPr>
            <w:r w:rsidRPr="001C68E2">
              <w:rPr>
                <w:color w:val="000000"/>
              </w:rPr>
              <w:t>BILHPC Quincy (1)</w:t>
            </w:r>
          </w:p>
        </w:tc>
        <w:tc>
          <w:tcPr>
            <w:tcW w:w="1277" w:type="dxa"/>
          </w:tcPr>
          <w:p w14:paraId="3C78C55C" w14:textId="5649B76C" w:rsidR="001C68E2" w:rsidRPr="001C68E2" w:rsidRDefault="001C68E2" w:rsidP="001C68E2">
            <w:pPr>
              <w:jc w:val="center"/>
              <w:rPr>
                <w:rFonts w:cstheme="minorHAnsi"/>
              </w:rPr>
            </w:pPr>
            <w:r w:rsidRPr="001C68E2">
              <w:rPr>
                <w:color w:val="000000"/>
              </w:rPr>
              <w:t>NA</w:t>
            </w:r>
          </w:p>
        </w:tc>
        <w:tc>
          <w:tcPr>
            <w:tcW w:w="1277" w:type="dxa"/>
          </w:tcPr>
          <w:p w14:paraId="003829B3" w14:textId="7A9FC20C" w:rsidR="001C68E2" w:rsidRPr="001C68E2" w:rsidRDefault="001C68E2" w:rsidP="001C68E2">
            <w:pPr>
              <w:jc w:val="center"/>
              <w:rPr>
                <w:rFonts w:cstheme="minorHAnsi"/>
                <w:i/>
              </w:rPr>
            </w:pPr>
            <w:r w:rsidRPr="001C68E2">
              <w:rPr>
                <w:i/>
                <w:iCs/>
                <w:color w:val="000000"/>
              </w:rPr>
              <w:t>NA</w:t>
            </w:r>
          </w:p>
        </w:tc>
        <w:tc>
          <w:tcPr>
            <w:tcW w:w="1277" w:type="dxa"/>
          </w:tcPr>
          <w:p w14:paraId="05A47240" w14:textId="16C1F31A" w:rsidR="001C68E2" w:rsidRPr="001C68E2" w:rsidRDefault="001C68E2" w:rsidP="001C68E2">
            <w:pPr>
              <w:jc w:val="center"/>
              <w:rPr>
                <w:rFonts w:cstheme="minorHAnsi"/>
                <w:i/>
              </w:rPr>
            </w:pPr>
            <w:r w:rsidRPr="001C68E2">
              <w:rPr>
                <w:i/>
                <w:iCs/>
                <w:color w:val="000000"/>
              </w:rPr>
              <w:t>NA</w:t>
            </w:r>
          </w:p>
        </w:tc>
      </w:tr>
      <w:tr w:rsidR="001C68E2" w:rsidRPr="001C68E2" w14:paraId="3AB80F43" w14:textId="77777777" w:rsidTr="00815D51">
        <w:trPr>
          <w:cantSplit/>
          <w:jc w:val="center"/>
        </w:trPr>
        <w:tc>
          <w:tcPr>
            <w:tcW w:w="2965" w:type="dxa"/>
            <w:shd w:val="clear" w:color="auto" w:fill="FFFFFF" w:themeFill="background1"/>
          </w:tcPr>
          <w:p w14:paraId="264B7AB1" w14:textId="422E55A4" w:rsidR="001C68E2" w:rsidRPr="001C68E2" w:rsidRDefault="001C68E2" w:rsidP="001C68E2">
            <w:pPr>
              <w:rPr>
                <w:rFonts w:cstheme="minorHAnsi"/>
              </w:rPr>
            </w:pPr>
            <w:r w:rsidRPr="001C68E2">
              <w:rPr>
                <w:color w:val="000000"/>
              </w:rPr>
              <w:t>BILH Urgent Care Quincy (2)</w:t>
            </w:r>
          </w:p>
        </w:tc>
        <w:tc>
          <w:tcPr>
            <w:tcW w:w="1277" w:type="dxa"/>
          </w:tcPr>
          <w:p w14:paraId="38AEAC8F" w14:textId="1A252625" w:rsidR="001C68E2" w:rsidRPr="001C68E2" w:rsidRDefault="001C68E2" w:rsidP="001C68E2">
            <w:pPr>
              <w:jc w:val="center"/>
              <w:rPr>
                <w:rFonts w:cstheme="minorHAnsi"/>
              </w:rPr>
            </w:pPr>
            <w:r w:rsidRPr="001C68E2">
              <w:rPr>
                <w:color w:val="000000"/>
              </w:rPr>
              <w:t>NA</w:t>
            </w:r>
          </w:p>
        </w:tc>
        <w:tc>
          <w:tcPr>
            <w:tcW w:w="1277" w:type="dxa"/>
          </w:tcPr>
          <w:p w14:paraId="201EBA63" w14:textId="73D309D3" w:rsidR="001C68E2" w:rsidRPr="001C68E2" w:rsidRDefault="001C68E2" w:rsidP="001C68E2">
            <w:pPr>
              <w:jc w:val="center"/>
              <w:rPr>
                <w:rFonts w:cstheme="minorHAnsi"/>
                <w:i/>
              </w:rPr>
            </w:pPr>
            <w:r w:rsidRPr="001C68E2">
              <w:rPr>
                <w:i/>
                <w:iCs/>
                <w:color w:val="000000"/>
              </w:rPr>
              <w:t>NA</w:t>
            </w:r>
          </w:p>
        </w:tc>
        <w:tc>
          <w:tcPr>
            <w:tcW w:w="1277" w:type="dxa"/>
          </w:tcPr>
          <w:p w14:paraId="55E12E3F" w14:textId="0EF77CB1" w:rsidR="001C68E2" w:rsidRPr="001C68E2" w:rsidRDefault="001C68E2" w:rsidP="001C68E2">
            <w:pPr>
              <w:jc w:val="center"/>
              <w:rPr>
                <w:rFonts w:cstheme="minorHAnsi"/>
                <w:i/>
              </w:rPr>
            </w:pPr>
            <w:r w:rsidRPr="001C68E2">
              <w:rPr>
                <w:i/>
                <w:iCs/>
                <w:color w:val="000000"/>
              </w:rPr>
              <w:t>NA</w:t>
            </w:r>
          </w:p>
        </w:tc>
      </w:tr>
      <w:tr w:rsidR="001C68E2" w:rsidRPr="001C68E2" w14:paraId="7027ED0C" w14:textId="77777777" w:rsidTr="00815D51">
        <w:trPr>
          <w:cantSplit/>
          <w:jc w:val="center"/>
        </w:trPr>
        <w:tc>
          <w:tcPr>
            <w:tcW w:w="2965" w:type="dxa"/>
            <w:shd w:val="clear" w:color="auto" w:fill="FFFFFF" w:themeFill="background1"/>
          </w:tcPr>
          <w:p w14:paraId="422E5827" w14:textId="45E7EA07" w:rsidR="001C68E2" w:rsidRPr="001C68E2" w:rsidRDefault="001C68E2" w:rsidP="001C68E2">
            <w:pPr>
              <w:rPr>
                <w:rFonts w:cstheme="minorHAnsi"/>
              </w:rPr>
            </w:pPr>
            <w:r w:rsidRPr="001C68E2">
              <w:rPr>
                <w:color w:val="000000"/>
              </w:rPr>
              <w:t>BID Milton (Table 9)</w:t>
            </w:r>
          </w:p>
        </w:tc>
        <w:tc>
          <w:tcPr>
            <w:tcW w:w="1277" w:type="dxa"/>
          </w:tcPr>
          <w:p w14:paraId="06F8AFB5" w14:textId="6D09EDC6" w:rsidR="001C68E2" w:rsidRPr="001C68E2" w:rsidRDefault="001C68E2" w:rsidP="001C68E2">
            <w:pPr>
              <w:jc w:val="center"/>
              <w:rPr>
                <w:rFonts w:cstheme="minorHAnsi"/>
              </w:rPr>
            </w:pPr>
            <w:r w:rsidRPr="001C68E2">
              <w:rPr>
                <w:color w:val="000000"/>
              </w:rPr>
              <w:t>NA</w:t>
            </w:r>
          </w:p>
        </w:tc>
        <w:tc>
          <w:tcPr>
            <w:tcW w:w="1277" w:type="dxa"/>
          </w:tcPr>
          <w:p w14:paraId="0D795693" w14:textId="30F3BFF7" w:rsidR="001C68E2" w:rsidRPr="001C68E2" w:rsidRDefault="001C68E2" w:rsidP="001C68E2">
            <w:pPr>
              <w:jc w:val="center"/>
              <w:rPr>
                <w:rFonts w:cstheme="minorHAnsi"/>
              </w:rPr>
            </w:pPr>
            <w:r w:rsidRPr="001C68E2">
              <w:rPr>
                <w:color w:val="000000"/>
              </w:rPr>
              <w:t>59,669</w:t>
            </w:r>
          </w:p>
        </w:tc>
        <w:tc>
          <w:tcPr>
            <w:tcW w:w="1277" w:type="dxa"/>
          </w:tcPr>
          <w:p w14:paraId="02FAF223" w14:textId="1218241A" w:rsidR="001C68E2" w:rsidRPr="001C68E2" w:rsidRDefault="001C68E2" w:rsidP="001C68E2">
            <w:pPr>
              <w:jc w:val="center"/>
              <w:rPr>
                <w:rFonts w:cstheme="minorHAnsi"/>
              </w:rPr>
            </w:pPr>
            <w:r w:rsidRPr="001C68E2">
              <w:rPr>
                <w:color w:val="000000"/>
              </w:rPr>
              <w:t>54,997</w:t>
            </w:r>
          </w:p>
        </w:tc>
      </w:tr>
    </w:tbl>
    <w:p w14:paraId="22A11000" w14:textId="33916990" w:rsidR="005379D8" w:rsidRPr="00BB09C5" w:rsidRDefault="005379D8" w:rsidP="005379D8">
      <w:pPr>
        <w:spacing w:after="0" w:line="229" w:lineRule="exact"/>
        <w:jc w:val="both"/>
        <w:rPr>
          <w:rFonts w:cstheme="minorHAnsi"/>
          <w:b/>
          <w:bCs/>
          <w:highlight w:val="yellow"/>
        </w:rPr>
      </w:pPr>
    </w:p>
    <w:p w14:paraId="48A9E650" w14:textId="7A41D908" w:rsidR="005E01C0" w:rsidRPr="00BB09C5" w:rsidRDefault="005E01C0" w:rsidP="00051AEF">
      <w:pPr>
        <w:spacing w:after="0" w:line="229" w:lineRule="exact"/>
        <w:ind w:left="360" w:firstLine="360"/>
        <w:jc w:val="both"/>
        <w:rPr>
          <w:rFonts w:cstheme="minorHAnsi"/>
          <w:bCs/>
          <w:i/>
          <w:color w:val="4472C4" w:themeColor="accent1"/>
        </w:rPr>
      </w:pPr>
    </w:p>
    <w:p w14:paraId="3DC5128E" w14:textId="4A41A0CC" w:rsidR="007627BF" w:rsidRPr="00BB09C5" w:rsidRDefault="005E01C0" w:rsidP="005230B8">
      <w:pPr>
        <w:spacing w:after="0" w:line="229" w:lineRule="exact"/>
        <w:ind w:left="720"/>
        <w:jc w:val="both"/>
        <w:rPr>
          <w:rFonts w:cstheme="minorHAnsi"/>
          <w:b/>
          <w:iCs/>
        </w:rPr>
      </w:pPr>
      <w:r w:rsidRPr="00BB09C5">
        <w:rPr>
          <w:rFonts w:cstheme="minorHAnsi"/>
          <w:b/>
          <w:iCs/>
        </w:rPr>
        <w:t xml:space="preserve">The BILHPC Quincy </w:t>
      </w:r>
      <w:r w:rsidR="000F0649" w:rsidRPr="00BB09C5">
        <w:rPr>
          <w:rFonts w:cstheme="minorHAnsi"/>
          <w:b/>
          <w:iCs/>
        </w:rPr>
        <w:t>site</w:t>
      </w:r>
      <w:r w:rsidRPr="00BB09C5">
        <w:rPr>
          <w:rFonts w:cstheme="minorHAnsi"/>
          <w:b/>
          <w:iCs/>
        </w:rPr>
        <w:t xml:space="preserve"> was acquired in FY2021. As such, </w:t>
      </w:r>
      <w:r w:rsidR="000F0649" w:rsidRPr="00BB09C5">
        <w:rPr>
          <w:rFonts w:cstheme="minorHAnsi"/>
          <w:b/>
          <w:iCs/>
        </w:rPr>
        <w:t>the Applicant does</w:t>
      </w:r>
      <w:r w:rsidRPr="00BB09C5">
        <w:rPr>
          <w:rFonts w:cstheme="minorHAnsi"/>
          <w:b/>
          <w:iCs/>
        </w:rPr>
        <w:t xml:space="preserve"> not have data prior to FY2021.</w:t>
      </w:r>
      <w:r w:rsidR="000F0649" w:rsidRPr="00BB09C5">
        <w:rPr>
          <w:rFonts w:cstheme="minorHAnsi"/>
          <w:b/>
          <w:iCs/>
        </w:rPr>
        <w:t xml:space="preserve"> </w:t>
      </w:r>
      <w:r w:rsidRPr="00BB09C5">
        <w:rPr>
          <w:rFonts w:cstheme="minorHAnsi"/>
          <w:b/>
          <w:iCs/>
        </w:rPr>
        <w:t xml:space="preserve">The BILH Urgent Care Quincy center opened in October 2020, which is FY2021. As such, </w:t>
      </w:r>
      <w:r w:rsidR="000F0649" w:rsidRPr="00BB09C5">
        <w:rPr>
          <w:rFonts w:cstheme="minorHAnsi"/>
          <w:b/>
          <w:iCs/>
        </w:rPr>
        <w:t>the Applicant</w:t>
      </w:r>
      <w:r w:rsidRPr="00BB09C5">
        <w:rPr>
          <w:rFonts w:cstheme="minorHAnsi"/>
          <w:b/>
          <w:iCs/>
        </w:rPr>
        <w:t xml:space="preserve"> do</w:t>
      </w:r>
      <w:r w:rsidR="000F0649" w:rsidRPr="00BB09C5">
        <w:rPr>
          <w:rFonts w:cstheme="minorHAnsi"/>
          <w:b/>
          <w:iCs/>
        </w:rPr>
        <w:t>es</w:t>
      </w:r>
      <w:r w:rsidRPr="00BB09C5">
        <w:rPr>
          <w:rFonts w:cstheme="minorHAnsi"/>
          <w:b/>
          <w:iCs/>
        </w:rPr>
        <w:t xml:space="preserve"> not have data </w:t>
      </w:r>
      <w:r w:rsidR="000F0649" w:rsidRPr="00BB09C5">
        <w:rPr>
          <w:rFonts w:cstheme="minorHAnsi"/>
          <w:b/>
          <w:iCs/>
        </w:rPr>
        <w:t xml:space="preserve">for this site </w:t>
      </w:r>
      <w:r w:rsidRPr="00BB09C5">
        <w:rPr>
          <w:rFonts w:cstheme="minorHAnsi"/>
          <w:b/>
          <w:iCs/>
        </w:rPr>
        <w:t>prior to FY2021</w:t>
      </w:r>
      <w:r w:rsidR="005230B8" w:rsidRPr="00BB09C5">
        <w:rPr>
          <w:rFonts w:cstheme="minorHAnsi"/>
          <w:b/>
          <w:iCs/>
        </w:rPr>
        <w:t xml:space="preserve">. </w:t>
      </w:r>
    </w:p>
    <w:p w14:paraId="37856AE4" w14:textId="546E1256" w:rsidR="005E01C0" w:rsidRPr="00BB09C5" w:rsidRDefault="005E01C0" w:rsidP="005E01C0">
      <w:pPr>
        <w:pStyle w:val="ListParagraph"/>
        <w:spacing w:after="0" w:line="229" w:lineRule="exact"/>
        <w:jc w:val="both"/>
        <w:rPr>
          <w:rFonts w:cstheme="minorHAnsi"/>
          <w:b/>
          <w:bCs/>
          <w:color w:val="0070C0"/>
          <w:highlight w:val="yellow"/>
        </w:rPr>
      </w:pPr>
      <w:r w:rsidRPr="00BB09C5">
        <w:rPr>
          <w:rFonts w:cstheme="minorHAnsi"/>
          <w:b/>
          <w:bCs/>
          <w:highlight w:val="yellow"/>
        </w:rPr>
        <w:t xml:space="preserve">  </w:t>
      </w:r>
    </w:p>
    <w:p w14:paraId="37E85B78" w14:textId="043B90DE" w:rsidR="00AE6CA3" w:rsidRPr="00BB09C5" w:rsidRDefault="00015EFC" w:rsidP="00D17C2F">
      <w:pPr>
        <w:pStyle w:val="ListParagraph"/>
        <w:numPr>
          <w:ilvl w:val="0"/>
          <w:numId w:val="38"/>
        </w:numPr>
        <w:spacing w:before="240" w:after="0" w:line="229" w:lineRule="exact"/>
        <w:rPr>
          <w:rFonts w:cstheme="minorHAnsi"/>
          <w:color w:val="FF0000"/>
        </w:rPr>
      </w:pPr>
      <w:r w:rsidRPr="00BB09C5">
        <w:rPr>
          <w:rFonts w:cstheme="minorHAnsi"/>
        </w:rPr>
        <w:t xml:space="preserve">On Table 7 (Page </w:t>
      </w:r>
      <w:r w:rsidR="0019348F" w:rsidRPr="00BB09C5">
        <w:rPr>
          <w:rFonts w:cstheme="minorHAnsi"/>
        </w:rPr>
        <w:t xml:space="preserve">7 of the Narrative), Quincy Urgent Care had a very low volume (85 patients) in </w:t>
      </w:r>
      <w:r w:rsidR="00CF3F4C" w:rsidRPr="00BB09C5">
        <w:rPr>
          <w:rFonts w:cstheme="minorHAnsi"/>
        </w:rPr>
        <w:t>FY2021. Please explain the low volume in that year.</w:t>
      </w:r>
    </w:p>
    <w:p w14:paraId="27F7E495" w14:textId="77777777" w:rsidR="000F0649" w:rsidRPr="00BB09C5" w:rsidRDefault="000F0649" w:rsidP="00FF328B">
      <w:pPr>
        <w:pStyle w:val="ListParagraph"/>
        <w:spacing w:after="0" w:line="229" w:lineRule="exact"/>
        <w:rPr>
          <w:rStyle w:val="cf01"/>
          <w:rFonts w:asciiTheme="minorHAnsi" w:hAnsiTheme="minorHAnsi" w:cstheme="minorHAnsi"/>
          <w:i/>
          <w:color w:val="4472C4" w:themeColor="accent1"/>
          <w:sz w:val="22"/>
          <w:szCs w:val="22"/>
        </w:rPr>
      </w:pPr>
    </w:p>
    <w:p w14:paraId="72D35EF9" w14:textId="1A677FBA" w:rsidR="00051AEF" w:rsidRPr="00BB09C5" w:rsidRDefault="000F0649" w:rsidP="00FF328B">
      <w:pPr>
        <w:pStyle w:val="ListParagraph"/>
        <w:spacing w:after="0" w:line="229" w:lineRule="exact"/>
        <w:rPr>
          <w:rStyle w:val="cf01"/>
          <w:rFonts w:asciiTheme="minorHAnsi" w:hAnsiTheme="minorHAnsi" w:cstheme="minorHAnsi"/>
          <w:b/>
          <w:bCs/>
          <w:iCs/>
          <w:sz w:val="22"/>
          <w:szCs w:val="22"/>
        </w:rPr>
      </w:pPr>
      <w:r w:rsidRPr="00BB09C5">
        <w:rPr>
          <w:rStyle w:val="cf01"/>
          <w:rFonts w:asciiTheme="minorHAnsi" w:hAnsiTheme="minorHAnsi" w:cstheme="minorHAnsi"/>
          <w:b/>
          <w:bCs/>
          <w:iCs/>
          <w:sz w:val="22"/>
          <w:szCs w:val="22"/>
        </w:rPr>
        <w:t xml:space="preserve">The Applicant </w:t>
      </w:r>
      <w:r w:rsidR="005D54FE" w:rsidRPr="00BB09C5">
        <w:rPr>
          <w:rStyle w:val="cf01"/>
          <w:rFonts w:asciiTheme="minorHAnsi" w:hAnsiTheme="minorHAnsi" w:cstheme="minorHAnsi"/>
          <w:b/>
          <w:bCs/>
          <w:iCs/>
          <w:sz w:val="22"/>
          <w:szCs w:val="22"/>
        </w:rPr>
        <w:t>identified another data source and has provided updated Table 7 below for Quincy Urgent Care.</w:t>
      </w:r>
    </w:p>
    <w:p w14:paraId="72F4875B" w14:textId="49D83780" w:rsidR="000D57D7" w:rsidRPr="00BB09C5" w:rsidRDefault="000D57D7">
      <w:pPr>
        <w:rPr>
          <w:rFonts w:eastAsia="Times New Roman" w:cstheme="minorHAnsi"/>
          <w:b/>
          <w:bCs/>
          <w:color w:val="000000"/>
          <w:u w:val="single"/>
        </w:rPr>
      </w:pPr>
      <w:r w:rsidRPr="00BB09C5">
        <w:rPr>
          <w:rFonts w:eastAsia="Times New Roman" w:cstheme="minorHAnsi"/>
          <w:b/>
          <w:bCs/>
          <w:color w:val="000000"/>
          <w:u w:val="single"/>
        </w:rPr>
        <w:br w:type="page"/>
      </w:r>
    </w:p>
    <w:p w14:paraId="06D611F4" w14:textId="77777777" w:rsidR="00DE5006" w:rsidRPr="00BB09C5" w:rsidRDefault="00DE5006" w:rsidP="000D57D7">
      <w:pPr>
        <w:spacing w:after="0" w:line="229" w:lineRule="exact"/>
        <w:rPr>
          <w:rFonts w:eastAsia="Times New Roman" w:cstheme="minorHAnsi"/>
          <w:b/>
          <w:bCs/>
          <w:color w:val="000000"/>
          <w:u w:val="single"/>
        </w:rPr>
      </w:pPr>
    </w:p>
    <w:p w14:paraId="1DA05066" w14:textId="1FDA2936" w:rsidR="00E14572" w:rsidRPr="00BB09C5" w:rsidRDefault="00E14572" w:rsidP="00DE5006">
      <w:pPr>
        <w:pStyle w:val="ListParagraph"/>
        <w:spacing w:after="0" w:line="229" w:lineRule="exact"/>
        <w:jc w:val="center"/>
        <w:rPr>
          <w:rFonts w:eastAsia="Times New Roman" w:cstheme="minorHAnsi"/>
          <w:b/>
          <w:bCs/>
          <w:color w:val="000000"/>
          <w:u w:val="single"/>
        </w:rPr>
      </w:pPr>
      <w:r w:rsidRPr="00BB09C5">
        <w:rPr>
          <w:rFonts w:eastAsia="Times New Roman" w:cstheme="minorHAnsi"/>
          <w:b/>
          <w:bCs/>
          <w:color w:val="000000"/>
          <w:u w:val="single"/>
        </w:rPr>
        <w:t>Table 7</w:t>
      </w:r>
    </w:p>
    <w:p w14:paraId="0EEDF0A8" w14:textId="5B09AF8B" w:rsidR="00DE5006" w:rsidRPr="00BB09C5" w:rsidRDefault="00DE5006" w:rsidP="00DE5006">
      <w:pPr>
        <w:pStyle w:val="ListParagraph"/>
        <w:spacing w:after="0" w:line="229" w:lineRule="exact"/>
        <w:jc w:val="center"/>
        <w:rPr>
          <w:rFonts w:cstheme="minorHAnsi"/>
          <w:b/>
          <w:bCs/>
          <w:iCs/>
          <w:color w:val="4472C4" w:themeColor="accent1"/>
          <w:u w:val="single"/>
        </w:rPr>
      </w:pPr>
      <w:r w:rsidRPr="00BB09C5">
        <w:rPr>
          <w:rFonts w:eastAsia="Times New Roman" w:cstheme="minorHAnsi"/>
          <w:b/>
          <w:bCs/>
          <w:color w:val="000000"/>
          <w:u w:val="single"/>
        </w:rPr>
        <w:t>BILH Quincy Square Patient Panel Data (Urgent Care only) Visits</w:t>
      </w:r>
    </w:p>
    <w:tbl>
      <w:tblPr>
        <w:tblW w:w="10268" w:type="dxa"/>
        <w:tblInd w:w="-5" w:type="dxa"/>
        <w:tblLook w:val="04A0" w:firstRow="1" w:lastRow="0" w:firstColumn="1" w:lastColumn="0" w:noHBand="0" w:noVBand="1"/>
      </w:tblPr>
      <w:tblGrid>
        <w:gridCol w:w="3951"/>
        <w:gridCol w:w="962"/>
        <w:gridCol w:w="1071"/>
        <w:gridCol w:w="1071"/>
        <w:gridCol w:w="1071"/>
        <w:gridCol w:w="1071"/>
        <w:gridCol w:w="1071"/>
      </w:tblGrid>
      <w:tr w:rsidR="00006166" w:rsidRPr="00BB09C5" w14:paraId="4BF9B0A9" w14:textId="77777777" w:rsidTr="00AA3AE7">
        <w:trPr>
          <w:cantSplit/>
          <w:trHeight w:val="548"/>
          <w:tblHeader/>
        </w:trPr>
        <w:tc>
          <w:tcPr>
            <w:tcW w:w="3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D9305" w14:textId="675167BF" w:rsidR="00006166" w:rsidRPr="00BB09C5" w:rsidRDefault="000D57D7" w:rsidP="00006166">
            <w:pPr>
              <w:spacing w:after="0" w:line="240" w:lineRule="auto"/>
              <w:rPr>
                <w:rFonts w:eastAsia="Times New Roman" w:cstheme="minorHAnsi"/>
                <w:b/>
                <w:bCs/>
                <w:color w:val="000000"/>
              </w:rPr>
            </w:pPr>
            <w:r w:rsidRPr="00BB09C5">
              <w:rPr>
                <w:rFonts w:eastAsia="Times New Roman" w:cstheme="minorHAnsi"/>
                <w:b/>
                <w:bCs/>
                <w:color w:val="000000"/>
              </w:rPr>
              <w:t>Metrics</w:t>
            </w:r>
          </w:p>
        </w:tc>
        <w:tc>
          <w:tcPr>
            <w:tcW w:w="962" w:type="dxa"/>
            <w:tcBorders>
              <w:top w:val="single" w:sz="4" w:space="0" w:color="auto"/>
              <w:left w:val="nil"/>
              <w:bottom w:val="single" w:sz="4" w:space="0" w:color="auto"/>
              <w:right w:val="single" w:sz="4" w:space="0" w:color="auto"/>
            </w:tcBorders>
            <w:shd w:val="clear" w:color="auto" w:fill="auto"/>
            <w:vAlign w:val="bottom"/>
            <w:hideMark/>
          </w:tcPr>
          <w:p w14:paraId="032DF5DF" w14:textId="77777777" w:rsidR="00006166" w:rsidRPr="00BB09C5" w:rsidRDefault="00006166" w:rsidP="00006166">
            <w:pPr>
              <w:spacing w:after="0" w:line="240" w:lineRule="auto"/>
              <w:jc w:val="center"/>
              <w:rPr>
                <w:rFonts w:eastAsia="Times New Roman" w:cstheme="minorHAnsi"/>
                <w:b/>
                <w:bCs/>
                <w:color w:val="000000"/>
              </w:rPr>
            </w:pPr>
            <w:r w:rsidRPr="00BB09C5">
              <w:rPr>
                <w:rFonts w:eastAsia="Times New Roman" w:cstheme="minorHAnsi"/>
                <w:b/>
                <w:bCs/>
                <w:color w:val="000000"/>
              </w:rPr>
              <w:t>FY2021 Count</w:t>
            </w:r>
          </w:p>
        </w:tc>
        <w:tc>
          <w:tcPr>
            <w:tcW w:w="1071" w:type="dxa"/>
            <w:tcBorders>
              <w:top w:val="single" w:sz="4" w:space="0" w:color="auto"/>
              <w:left w:val="nil"/>
              <w:bottom w:val="single" w:sz="4" w:space="0" w:color="auto"/>
              <w:right w:val="single" w:sz="4" w:space="0" w:color="auto"/>
            </w:tcBorders>
            <w:shd w:val="clear" w:color="auto" w:fill="auto"/>
            <w:vAlign w:val="bottom"/>
            <w:hideMark/>
          </w:tcPr>
          <w:p w14:paraId="153E1154" w14:textId="77777777" w:rsidR="00006166" w:rsidRPr="00BB09C5" w:rsidRDefault="00006166" w:rsidP="00006166">
            <w:pPr>
              <w:spacing w:after="0" w:line="240" w:lineRule="auto"/>
              <w:jc w:val="center"/>
              <w:rPr>
                <w:rFonts w:eastAsia="Times New Roman" w:cstheme="minorHAnsi"/>
                <w:b/>
                <w:bCs/>
                <w:color w:val="000000"/>
              </w:rPr>
            </w:pPr>
            <w:r w:rsidRPr="00BB09C5">
              <w:rPr>
                <w:rFonts w:eastAsia="Times New Roman" w:cstheme="minorHAnsi"/>
                <w:b/>
                <w:bCs/>
                <w:color w:val="000000"/>
              </w:rPr>
              <w:t>FY2021 Percent</w:t>
            </w:r>
          </w:p>
        </w:tc>
        <w:tc>
          <w:tcPr>
            <w:tcW w:w="1071" w:type="dxa"/>
            <w:tcBorders>
              <w:top w:val="single" w:sz="4" w:space="0" w:color="auto"/>
              <w:left w:val="nil"/>
              <w:bottom w:val="single" w:sz="4" w:space="0" w:color="auto"/>
              <w:right w:val="single" w:sz="4" w:space="0" w:color="auto"/>
            </w:tcBorders>
            <w:shd w:val="clear" w:color="auto" w:fill="auto"/>
            <w:vAlign w:val="bottom"/>
            <w:hideMark/>
          </w:tcPr>
          <w:p w14:paraId="092B8888" w14:textId="77777777" w:rsidR="00006166" w:rsidRPr="00BB09C5" w:rsidRDefault="00006166" w:rsidP="00006166">
            <w:pPr>
              <w:spacing w:after="0" w:line="240" w:lineRule="auto"/>
              <w:jc w:val="center"/>
              <w:rPr>
                <w:rFonts w:eastAsia="Times New Roman" w:cstheme="minorHAnsi"/>
                <w:b/>
                <w:bCs/>
                <w:color w:val="000000"/>
              </w:rPr>
            </w:pPr>
            <w:r w:rsidRPr="00BB09C5">
              <w:rPr>
                <w:rFonts w:eastAsia="Times New Roman" w:cstheme="minorHAnsi"/>
                <w:b/>
                <w:bCs/>
                <w:color w:val="000000"/>
              </w:rPr>
              <w:t>FY2022 Count</w:t>
            </w:r>
          </w:p>
        </w:tc>
        <w:tc>
          <w:tcPr>
            <w:tcW w:w="1071" w:type="dxa"/>
            <w:tcBorders>
              <w:top w:val="single" w:sz="4" w:space="0" w:color="auto"/>
              <w:left w:val="nil"/>
              <w:bottom w:val="single" w:sz="4" w:space="0" w:color="auto"/>
              <w:right w:val="single" w:sz="4" w:space="0" w:color="auto"/>
            </w:tcBorders>
            <w:shd w:val="clear" w:color="auto" w:fill="auto"/>
            <w:vAlign w:val="bottom"/>
            <w:hideMark/>
          </w:tcPr>
          <w:p w14:paraId="662178AF" w14:textId="77777777" w:rsidR="00006166" w:rsidRPr="00BB09C5" w:rsidRDefault="00006166" w:rsidP="00006166">
            <w:pPr>
              <w:spacing w:after="0" w:line="240" w:lineRule="auto"/>
              <w:jc w:val="center"/>
              <w:rPr>
                <w:rFonts w:eastAsia="Times New Roman" w:cstheme="minorHAnsi"/>
                <w:b/>
                <w:bCs/>
                <w:color w:val="000000"/>
              </w:rPr>
            </w:pPr>
            <w:r w:rsidRPr="00BB09C5">
              <w:rPr>
                <w:rFonts w:eastAsia="Times New Roman" w:cstheme="minorHAnsi"/>
                <w:b/>
                <w:bCs/>
                <w:color w:val="000000"/>
              </w:rPr>
              <w:t>FY2022 Percent</w:t>
            </w:r>
          </w:p>
        </w:tc>
        <w:tc>
          <w:tcPr>
            <w:tcW w:w="1071" w:type="dxa"/>
            <w:tcBorders>
              <w:top w:val="single" w:sz="4" w:space="0" w:color="auto"/>
              <w:left w:val="nil"/>
              <w:bottom w:val="single" w:sz="4" w:space="0" w:color="auto"/>
              <w:right w:val="single" w:sz="4" w:space="0" w:color="auto"/>
            </w:tcBorders>
            <w:shd w:val="clear" w:color="auto" w:fill="auto"/>
            <w:vAlign w:val="bottom"/>
            <w:hideMark/>
          </w:tcPr>
          <w:p w14:paraId="2D1FC304" w14:textId="77777777" w:rsidR="00006166" w:rsidRPr="00BB09C5" w:rsidRDefault="00006166" w:rsidP="00006166">
            <w:pPr>
              <w:spacing w:after="0" w:line="240" w:lineRule="auto"/>
              <w:jc w:val="center"/>
              <w:rPr>
                <w:rFonts w:eastAsia="Times New Roman" w:cstheme="minorHAnsi"/>
                <w:b/>
                <w:bCs/>
                <w:color w:val="000000"/>
              </w:rPr>
            </w:pPr>
            <w:r w:rsidRPr="00BB09C5">
              <w:rPr>
                <w:rFonts w:eastAsia="Times New Roman" w:cstheme="minorHAnsi"/>
                <w:b/>
                <w:bCs/>
                <w:color w:val="000000"/>
              </w:rPr>
              <w:t>FY2023 Count</w:t>
            </w:r>
          </w:p>
        </w:tc>
        <w:tc>
          <w:tcPr>
            <w:tcW w:w="1071" w:type="dxa"/>
            <w:tcBorders>
              <w:top w:val="single" w:sz="4" w:space="0" w:color="auto"/>
              <w:left w:val="nil"/>
              <w:bottom w:val="single" w:sz="4" w:space="0" w:color="auto"/>
              <w:right w:val="single" w:sz="4" w:space="0" w:color="auto"/>
            </w:tcBorders>
            <w:shd w:val="clear" w:color="auto" w:fill="auto"/>
            <w:vAlign w:val="bottom"/>
            <w:hideMark/>
          </w:tcPr>
          <w:p w14:paraId="36894A71" w14:textId="77777777" w:rsidR="00006166" w:rsidRPr="00BB09C5" w:rsidRDefault="00006166" w:rsidP="00006166">
            <w:pPr>
              <w:spacing w:after="0" w:line="240" w:lineRule="auto"/>
              <w:jc w:val="center"/>
              <w:rPr>
                <w:rFonts w:eastAsia="Times New Roman" w:cstheme="minorHAnsi"/>
                <w:b/>
                <w:bCs/>
                <w:color w:val="000000"/>
              </w:rPr>
            </w:pPr>
            <w:r w:rsidRPr="00BB09C5">
              <w:rPr>
                <w:rFonts w:eastAsia="Times New Roman" w:cstheme="minorHAnsi"/>
                <w:b/>
                <w:bCs/>
                <w:color w:val="000000"/>
              </w:rPr>
              <w:t>FY2023 Percent</w:t>
            </w:r>
          </w:p>
        </w:tc>
      </w:tr>
      <w:tr w:rsidR="00006166" w:rsidRPr="00BB09C5" w14:paraId="3E15939E" w14:textId="77777777" w:rsidTr="00AA3AE7">
        <w:trPr>
          <w:cantSplit/>
          <w:trHeight w:val="274"/>
        </w:trPr>
        <w:tc>
          <w:tcPr>
            <w:tcW w:w="3951" w:type="dxa"/>
            <w:tcBorders>
              <w:top w:val="nil"/>
              <w:left w:val="single" w:sz="4" w:space="0" w:color="auto"/>
              <w:bottom w:val="single" w:sz="4" w:space="0" w:color="auto"/>
              <w:right w:val="single" w:sz="4" w:space="0" w:color="auto"/>
            </w:tcBorders>
            <w:shd w:val="clear" w:color="000000" w:fill="D9D9D9"/>
            <w:noWrap/>
            <w:vAlign w:val="bottom"/>
            <w:hideMark/>
          </w:tcPr>
          <w:p w14:paraId="44FB148B" w14:textId="77777777" w:rsidR="00006166" w:rsidRPr="00BB09C5" w:rsidRDefault="00006166" w:rsidP="00006166">
            <w:pPr>
              <w:spacing w:after="0" w:line="240" w:lineRule="auto"/>
              <w:rPr>
                <w:rFonts w:eastAsia="Times New Roman" w:cstheme="minorHAnsi"/>
                <w:b/>
                <w:bCs/>
                <w:color w:val="000000"/>
              </w:rPr>
            </w:pPr>
            <w:r w:rsidRPr="00BB09C5">
              <w:rPr>
                <w:rFonts w:eastAsia="Times New Roman" w:cstheme="minorHAnsi"/>
                <w:b/>
                <w:bCs/>
                <w:color w:val="000000"/>
              </w:rPr>
              <w:t>Total Visits</w:t>
            </w:r>
          </w:p>
        </w:tc>
        <w:tc>
          <w:tcPr>
            <w:tcW w:w="962" w:type="dxa"/>
            <w:tcBorders>
              <w:top w:val="nil"/>
              <w:left w:val="nil"/>
              <w:bottom w:val="single" w:sz="4" w:space="0" w:color="auto"/>
              <w:right w:val="single" w:sz="4" w:space="0" w:color="auto"/>
            </w:tcBorders>
            <w:shd w:val="clear" w:color="000000" w:fill="D9D9D9"/>
            <w:noWrap/>
            <w:vAlign w:val="bottom"/>
            <w:hideMark/>
          </w:tcPr>
          <w:p w14:paraId="6F4FE778"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13,621</w:t>
            </w:r>
          </w:p>
        </w:tc>
        <w:tc>
          <w:tcPr>
            <w:tcW w:w="1071" w:type="dxa"/>
            <w:tcBorders>
              <w:top w:val="nil"/>
              <w:left w:val="nil"/>
              <w:bottom w:val="single" w:sz="4" w:space="0" w:color="auto"/>
              <w:right w:val="single" w:sz="4" w:space="0" w:color="auto"/>
            </w:tcBorders>
            <w:shd w:val="clear" w:color="000000" w:fill="D9D9D9"/>
            <w:noWrap/>
            <w:vAlign w:val="bottom"/>
            <w:hideMark/>
          </w:tcPr>
          <w:p w14:paraId="676FD1AA" w14:textId="76EDD556"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100.0%</w:t>
            </w:r>
          </w:p>
        </w:tc>
        <w:tc>
          <w:tcPr>
            <w:tcW w:w="1071" w:type="dxa"/>
            <w:tcBorders>
              <w:top w:val="nil"/>
              <w:left w:val="nil"/>
              <w:bottom w:val="single" w:sz="4" w:space="0" w:color="auto"/>
              <w:right w:val="single" w:sz="4" w:space="0" w:color="auto"/>
            </w:tcBorders>
            <w:shd w:val="clear" w:color="000000" w:fill="D9D9D9"/>
            <w:noWrap/>
            <w:vAlign w:val="bottom"/>
            <w:hideMark/>
          </w:tcPr>
          <w:p w14:paraId="47CB5653"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15,343</w:t>
            </w:r>
          </w:p>
        </w:tc>
        <w:tc>
          <w:tcPr>
            <w:tcW w:w="1071" w:type="dxa"/>
            <w:tcBorders>
              <w:top w:val="nil"/>
              <w:left w:val="nil"/>
              <w:bottom w:val="single" w:sz="4" w:space="0" w:color="auto"/>
              <w:right w:val="single" w:sz="4" w:space="0" w:color="auto"/>
            </w:tcBorders>
            <w:shd w:val="clear" w:color="000000" w:fill="D9D9D9"/>
            <w:noWrap/>
            <w:vAlign w:val="bottom"/>
            <w:hideMark/>
          </w:tcPr>
          <w:p w14:paraId="5EBB99BF" w14:textId="5C58367C"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100.0%</w:t>
            </w:r>
          </w:p>
        </w:tc>
        <w:tc>
          <w:tcPr>
            <w:tcW w:w="1071" w:type="dxa"/>
            <w:tcBorders>
              <w:top w:val="nil"/>
              <w:left w:val="nil"/>
              <w:bottom w:val="single" w:sz="4" w:space="0" w:color="auto"/>
              <w:right w:val="single" w:sz="4" w:space="0" w:color="auto"/>
            </w:tcBorders>
            <w:shd w:val="clear" w:color="000000" w:fill="D9D9D9"/>
            <w:noWrap/>
            <w:vAlign w:val="bottom"/>
            <w:hideMark/>
          </w:tcPr>
          <w:p w14:paraId="5E062E4B"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14,228</w:t>
            </w:r>
          </w:p>
        </w:tc>
        <w:tc>
          <w:tcPr>
            <w:tcW w:w="1071" w:type="dxa"/>
            <w:tcBorders>
              <w:top w:val="nil"/>
              <w:left w:val="nil"/>
              <w:bottom w:val="single" w:sz="4" w:space="0" w:color="auto"/>
              <w:right w:val="single" w:sz="4" w:space="0" w:color="auto"/>
            </w:tcBorders>
            <w:shd w:val="clear" w:color="000000" w:fill="D9D9D9"/>
            <w:noWrap/>
            <w:vAlign w:val="bottom"/>
            <w:hideMark/>
          </w:tcPr>
          <w:p w14:paraId="2E2AE164" w14:textId="61CABA64"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100.0%</w:t>
            </w:r>
          </w:p>
        </w:tc>
      </w:tr>
      <w:tr w:rsidR="000D57D7" w:rsidRPr="00BB09C5" w14:paraId="5471CD76" w14:textId="77777777" w:rsidTr="00AA3AE7">
        <w:trPr>
          <w:cantSplit/>
          <w:trHeight w:val="274"/>
        </w:trPr>
        <w:tc>
          <w:tcPr>
            <w:tcW w:w="3951" w:type="dxa"/>
            <w:tcBorders>
              <w:top w:val="nil"/>
              <w:left w:val="single" w:sz="4" w:space="0" w:color="auto"/>
              <w:bottom w:val="single" w:sz="4" w:space="0" w:color="auto"/>
              <w:right w:val="single" w:sz="4" w:space="0" w:color="auto"/>
            </w:tcBorders>
            <w:shd w:val="clear" w:color="auto" w:fill="auto"/>
            <w:noWrap/>
            <w:vAlign w:val="bottom"/>
          </w:tcPr>
          <w:p w14:paraId="19D71B44" w14:textId="3350F0F9" w:rsidR="000D57D7" w:rsidRPr="00BB09C5" w:rsidRDefault="000D57D7" w:rsidP="00006166">
            <w:pPr>
              <w:spacing w:after="0" w:line="240" w:lineRule="auto"/>
              <w:rPr>
                <w:rFonts w:eastAsia="Times New Roman" w:cstheme="minorHAnsi"/>
                <w:b/>
                <w:bCs/>
                <w:color w:val="000000"/>
                <w:u w:val="single"/>
              </w:rPr>
            </w:pPr>
            <w:r w:rsidRPr="00BB09C5">
              <w:rPr>
                <w:rFonts w:eastAsia="Times New Roman" w:cstheme="minorHAnsi"/>
                <w:b/>
                <w:bCs/>
                <w:color w:val="000000"/>
                <w:u w:val="single"/>
              </w:rPr>
              <w:t>Age</w:t>
            </w:r>
          </w:p>
        </w:tc>
        <w:tc>
          <w:tcPr>
            <w:tcW w:w="962" w:type="dxa"/>
            <w:tcBorders>
              <w:top w:val="nil"/>
              <w:left w:val="nil"/>
              <w:bottom w:val="single" w:sz="4" w:space="0" w:color="auto"/>
              <w:right w:val="single" w:sz="4" w:space="0" w:color="auto"/>
            </w:tcBorders>
            <w:shd w:val="clear" w:color="auto" w:fill="auto"/>
            <w:noWrap/>
            <w:vAlign w:val="bottom"/>
          </w:tcPr>
          <w:p w14:paraId="6C3DCDDA" w14:textId="77777777" w:rsidR="000D57D7" w:rsidRPr="00BB09C5" w:rsidRDefault="000D57D7"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1A0F0F58" w14:textId="77777777" w:rsidR="000D57D7" w:rsidRPr="00BB09C5" w:rsidRDefault="000D57D7"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4ECC7337" w14:textId="77777777" w:rsidR="000D57D7" w:rsidRPr="00BB09C5" w:rsidRDefault="000D57D7"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146CF36E" w14:textId="77777777" w:rsidR="000D57D7" w:rsidRPr="00BB09C5" w:rsidRDefault="000D57D7"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32C36C66" w14:textId="77777777" w:rsidR="000D57D7" w:rsidRPr="00BB09C5" w:rsidRDefault="000D57D7"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0E2249B1" w14:textId="77777777" w:rsidR="000D57D7" w:rsidRPr="00BB09C5" w:rsidRDefault="000D57D7" w:rsidP="00006166">
            <w:pPr>
              <w:spacing w:after="0" w:line="240" w:lineRule="auto"/>
              <w:jc w:val="center"/>
              <w:rPr>
                <w:rFonts w:eastAsia="Times New Roman" w:cstheme="minorHAnsi"/>
                <w:color w:val="000000"/>
              </w:rPr>
            </w:pPr>
          </w:p>
        </w:tc>
      </w:tr>
      <w:tr w:rsidR="00006166" w:rsidRPr="00BB09C5" w14:paraId="1EE8FD42" w14:textId="77777777" w:rsidTr="00AA3AE7">
        <w:trPr>
          <w:cantSplit/>
          <w:trHeight w:val="274"/>
        </w:trPr>
        <w:tc>
          <w:tcPr>
            <w:tcW w:w="3951" w:type="dxa"/>
            <w:tcBorders>
              <w:top w:val="nil"/>
              <w:left w:val="single" w:sz="4" w:space="0" w:color="auto"/>
              <w:bottom w:val="single" w:sz="4" w:space="0" w:color="auto"/>
              <w:right w:val="single" w:sz="4" w:space="0" w:color="auto"/>
            </w:tcBorders>
            <w:shd w:val="clear" w:color="auto" w:fill="auto"/>
            <w:noWrap/>
            <w:vAlign w:val="bottom"/>
            <w:hideMark/>
          </w:tcPr>
          <w:p w14:paraId="5CCCE984" w14:textId="0E3DBD74" w:rsidR="00006166" w:rsidRPr="00BB09C5" w:rsidRDefault="00006166" w:rsidP="00006166">
            <w:pPr>
              <w:spacing w:after="0" w:line="240" w:lineRule="auto"/>
              <w:rPr>
                <w:rFonts w:eastAsia="Times New Roman" w:cstheme="minorHAnsi"/>
                <w:color w:val="000000"/>
              </w:rPr>
            </w:pPr>
            <w:r w:rsidRPr="00BB09C5">
              <w:rPr>
                <w:rFonts w:eastAsia="Times New Roman" w:cstheme="minorHAnsi"/>
                <w:color w:val="000000"/>
              </w:rPr>
              <w:t>0 to 18</w:t>
            </w:r>
          </w:p>
        </w:tc>
        <w:tc>
          <w:tcPr>
            <w:tcW w:w="962" w:type="dxa"/>
            <w:tcBorders>
              <w:top w:val="nil"/>
              <w:left w:val="nil"/>
              <w:bottom w:val="single" w:sz="4" w:space="0" w:color="auto"/>
              <w:right w:val="single" w:sz="4" w:space="0" w:color="auto"/>
            </w:tcBorders>
            <w:shd w:val="clear" w:color="auto" w:fill="auto"/>
            <w:noWrap/>
            <w:vAlign w:val="bottom"/>
            <w:hideMark/>
          </w:tcPr>
          <w:p w14:paraId="3C2753FB"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866</w:t>
            </w:r>
          </w:p>
        </w:tc>
        <w:tc>
          <w:tcPr>
            <w:tcW w:w="1071" w:type="dxa"/>
            <w:tcBorders>
              <w:top w:val="nil"/>
              <w:left w:val="nil"/>
              <w:bottom w:val="single" w:sz="4" w:space="0" w:color="auto"/>
              <w:right w:val="single" w:sz="4" w:space="0" w:color="auto"/>
            </w:tcBorders>
            <w:shd w:val="clear" w:color="auto" w:fill="auto"/>
            <w:noWrap/>
            <w:vAlign w:val="bottom"/>
            <w:hideMark/>
          </w:tcPr>
          <w:p w14:paraId="4BCD94A8" w14:textId="1D1E39A8"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6.0%</w:t>
            </w:r>
          </w:p>
        </w:tc>
        <w:tc>
          <w:tcPr>
            <w:tcW w:w="1071" w:type="dxa"/>
            <w:tcBorders>
              <w:top w:val="nil"/>
              <w:left w:val="nil"/>
              <w:bottom w:val="single" w:sz="4" w:space="0" w:color="auto"/>
              <w:right w:val="single" w:sz="4" w:space="0" w:color="auto"/>
            </w:tcBorders>
            <w:shd w:val="clear" w:color="auto" w:fill="auto"/>
            <w:noWrap/>
            <w:vAlign w:val="bottom"/>
            <w:hideMark/>
          </w:tcPr>
          <w:p w14:paraId="28CCCE05"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919</w:t>
            </w:r>
          </w:p>
        </w:tc>
        <w:tc>
          <w:tcPr>
            <w:tcW w:w="1071" w:type="dxa"/>
            <w:tcBorders>
              <w:top w:val="nil"/>
              <w:left w:val="nil"/>
              <w:bottom w:val="single" w:sz="4" w:space="0" w:color="auto"/>
              <w:right w:val="single" w:sz="4" w:space="0" w:color="auto"/>
            </w:tcBorders>
            <w:shd w:val="clear" w:color="auto" w:fill="auto"/>
            <w:noWrap/>
            <w:vAlign w:val="bottom"/>
            <w:hideMark/>
          </w:tcPr>
          <w:p w14:paraId="54085940" w14:textId="3F2F1E32"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6.0%</w:t>
            </w:r>
          </w:p>
        </w:tc>
        <w:tc>
          <w:tcPr>
            <w:tcW w:w="1071" w:type="dxa"/>
            <w:tcBorders>
              <w:top w:val="nil"/>
              <w:left w:val="nil"/>
              <w:bottom w:val="single" w:sz="4" w:space="0" w:color="auto"/>
              <w:right w:val="single" w:sz="4" w:space="0" w:color="auto"/>
            </w:tcBorders>
            <w:shd w:val="clear" w:color="auto" w:fill="auto"/>
            <w:noWrap/>
            <w:vAlign w:val="bottom"/>
            <w:hideMark/>
          </w:tcPr>
          <w:p w14:paraId="5F54D85F"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1,127</w:t>
            </w:r>
          </w:p>
        </w:tc>
        <w:tc>
          <w:tcPr>
            <w:tcW w:w="1071" w:type="dxa"/>
            <w:tcBorders>
              <w:top w:val="nil"/>
              <w:left w:val="nil"/>
              <w:bottom w:val="single" w:sz="4" w:space="0" w:color="auto"/>
              <w:right w:val="single" w:sz="4" w:space="0" w:color="auto"/>
            </w:tcBorders>
            <w:shd w:val="clear" w:color="auto" w:fill="auto"/>
            <w:noWrap/>
            <w:vAlign w:val="bottom"/>
            <w:hideMark/>
          </w:tcPr>
          <w:p w14:paraId="54FD9279" w14:textId="395D83D1"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7.9%</w:t>
            </w:r>
          </w:p>
        </w:tc>
      </w:tr>
      <w:tr w:rsidR="00006166" w:rsidRPr="00BB09C5" w14:paraId="226F77AD" w14:textId="77777777" w:rsidTr="00AA3AE7">
        <w:trPr>
          <w:cantSplit/>
          <w:trHeight w:val="274"/>
        </w:trPr>
        <w:tc>
          <w:tcPr>
            <w:tcW w:w="3951" w:type="dxa"/>
            <w:tcBorders>
              <w:top w:val="nil"/>
              <w:left w:val="single" w:sz="4" w:space="0" w:color="auto"/>
              <w:bottom w:val="single" w:sz="4" w:space="0" w:color="auto"/>
              <w:right w:val="single" w:sz="4" w:space="0" w:color="auto"/>
            </w:tcBorders>
            <w:shd w:val="clear" w:color="auto" w:fill="auto"/>
            <w:noWrap/>
            <w:vAlign w:val="bottom"/>
            <w:hideMark/>
          </w:tcPr>
          <w:p w14:paraId="6B488386" w14:textId="7199D491" w:rsidR="00006166" w:rsidRPr="00BB09C5" w:rsidRDefault="00006166" w:rsidP="00006166">
            <w:pPr>
              <w:spacing w:after="0" w:line="240" w:lineRule="auto"/>
              <w:rPr>
                <w:rFonts w:eastAsia="Times New Roman" w:cstheme="minorHAnsi"/>
                <w:color w:val="000000"/>
              </w:rPr>
            </w:pPr>
            <w:r w:rsidRPr="00BB09C5">
              <w:rPr>
                <w:rFonts w:eastAsia="Times New Roman" w:cstheme="minorHAnsi"/>
                <w:color w:val="000000"/>
              </w:rPr>
              <w:t>19-64</w:t>
            </w:r>
          </w:p>
        </w:tc>
        <w:tc>
          <w:tcPr>
            <w:tcW w:w="962" w:type="dxa"/>
            <w:tcBorders>
              <w:top w:val="nil"/>
              <w:left w:val="nil"/>
              <w:bottom w:val="single" w:sz="4" w:space="0" w:color="auto"/>
              <w:right w:val="single" w:sz="4" w:space="0" w:color="auto"/>
            </w:tcBorders>
            <w:shd w:val="clear" w:color="auto" w:fill="auto"/>
            <w:noWrap/>
            <w:vAlign w:val="bottom"/>
            <w:hideMark/>
          </w:tcPr>
          <w:p w14:paraId="57EA8E82"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9,129</w:t>
            </w:r>
          </w:p>
        </w:tc>
        <w:tc>
          <w:tcPr>
            <w:tcW w:w="1071" w:type="dxa"/>
            <w:tcBorders>
              <w:top w:val="nil"/>
              <w:left w:val="nil"/>
              <w:bottom w:val="single" w:sz="4" w:space="0" w:color="auto"/>
              <w:right w:val="single" w:sz="4" w:space="0" w:color="auto"/>
            </w:tcBorders>
            <w:shd w:val="clear" w:color="auto" w:fill="auto"/>
            <w:noWrap/>
            <w:vAlign w:val="bottom"/>
            <w:hideMark/>
          </w:tcPr>
          <w:p w14:paraId="5C6A018B" w14:textId="2B96ADC9"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67.0%</w:t>
            </w:r>
          </w:p>
        </w:tc>
        <w:tc>
          <w:tcPr>
            <w:tcW w:w="1071" w:type="dxa"/>
            <w:tcBorders>
              <w:top w:val="nil"/>
              <w:left w:val="nil"/>
              <w:bottom w:val="single" w:sz="4" w:space="0" w:color="auto"/>
              <w:right w:val="single" w:sz="4" w:space="0" w:color="auto"/>
            </w:tcBorders>
            <w:shd w:val="clear" w:color="auto" w:fill="auto"/>
            <w:noWrap/>
            <w:vAlign w:val="bottom"/>
            <w:hideMark/>
          </w:tcPr>
          <w:p w14:paraId="69CA160C"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10,514</w:t>
            </w:r>
          </w:p>
        </w:tc>
        <w:tc>
          <w:tcPr>
            <w:tcW w:w="1071" w:type="dxa"/>
            <w:tcBorders>
              <w:top w:val="nil"/>
              <w:left w:val="nil"/>
              <w:bottom w:val="single" w:sz="4" w:space="0" w:color="auto"/>
              <w:right w:val="single" w:sz="4" w:space="0" w:color="auto"/>
            </w:tcBorders>
            <w:shd w:val="clear" w:color="auto" w:fill="auto"/>
            <w:noWrap/>
            <w:vAlign w:val="bottom"/>
            <w:hideMark/>
          </w:tcPr>
          <w:p w14:paraId="08BCC16D" w14:textId="0DA63444"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69.0%</w:t>
            </w:r>
          </w:p>
        </w:tc>
        <w:tc>
          <w:tcPr>
            <w:tcW w:w="1071" w:type="dxa"/>
            <w:tcBorders>
              <w:top w:val="nil"/>
              <w:left w:val="nil"/>
              <w:bottom w:val="single" w:sz="4" w:space="0" w:color="auto"/>
              <w:right w:val="single" w:sz="4" w:space="0" w:color="auto"/>
            </w:tcBorders>
            <w:shd w:val="clear" w:color="auto" w:fill="auto"/>
            <w:noWrap/>
            <w:vAlign w:val="bottom"/>
            <w:hideMark/>
          </w:tcPr>
          <w:p w14:paraId="4C5517C3"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9,591</w:t>
            </w:r>
          </w:p>
        </w:tc>
        <w:tc>
          <w:tcPr>
            <w:tcW w:w="1071" w:type="dxa"/>
            <w:tcBorders>
              <w:top w:val="nil"/>
              <w:left w:val="nil"/>
              <w:bottom w:val="single" w:sz="4" w:space="0" w:color="auto"/>
              <w:right w:val="single" w:sz="4" w:space="0" w:color="auto"/>
            </w:tcBorders>
            <w:shd w:val="clear" w:color="auto" w:fill="auto"/>
            <w:noWrap/>
            <w:vAlign w:val="bottom"/>
            <w:hideMark/>
          </w:tcPr>
          <w:p w14:paraId="777D7146" w14:textId="5396BB92"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67.4%</w:t>
            </w:r>
          </w:p>
        </w:tc>
      </w:tr>
      <w:tr w:rsidR="00006166" w:rsidRPr="00BB09C5" w14:paraId="74124D31" w14:textId="77777777" w:rsidTr="00AA3AE7">
        <w:trPr>
          <w:cantSplit/>
          <w:trHeight w:val="274"/>
        </w:trPr>
        <w:tc>
          <w:tcPr>
            <w:tcW w:w="3951" w:type="dxa"/>
            <w:tcBorders>
              <w:top w:val="nil"/>
              <w:left w:val="single" w:sz="4" w:space="0" w:color="auto"/>
              <w:bottom w:val="single" w:sz="4" w:space="0" w:color="auto"/>
              <w:right w:val="single" w:sz="4" w:space="0" w:color="auto"/>
            </w:tcBorders>
            <w:shd w:val="clear" w:color="auto" w:fill="auto"/>
            <w:noWrap/>
            <w:vAlign w:val="bottom"/>
            <w:hideMark/>
          </w:tcPr>
          <w:p w14:paraId="294EFB65" w14:textId="357CBF2E" w:rsidR="00006166" w:rsidRPr="00BB09C5" w:rsidRDefault="00006166" w:rsidP="00006166">
            <w:pPr>
              <w:spacing w:after="0" w:line="240" w:lineRule="auto"/>
              <w:rPr>
                <w:rFonts w:eastAsia="Times New Roman" w:cstheme="minorHAnsi"/>
                <w:color w:val="000000"/>
              </w:rPr>
            </w:pPr>
            <w:r w:rsidRPr="00BB09C5">
              <w:rPr>
                <w:rFonts w:eastAsia="Times New Roman" w:cstheme="minorHAnsi"/>
                <w:color w:val="000000"/>
              </w:rPr>
              <w:t>65+</w:t>
            </w:r>
          </w:p>
        </w:tc>
        <w:tc>
          <w:tcPr>
            <w:tcW w:w="962" w:type="dxa"/>
            <w:tcBorders>
              <w:top w:val="nil"/>
              <w:left w:val="nil"/>
              <w:bottom w:val="single" w:sz="4" w:space="0" w:color="auto"/>
              <w:right w:val="single" w:sz="4" w:space="0" w:color="auto"/>
            </w:tcBorders>
            <w:shd w:val="clear" w:color="auto" w:fill="auto"/>
            <w:noWrap/>
            <w:vAlign w:val="bottom"/>
            <w:hideMark/>
          </w:tcPr>
          <w:p w14:paraId="560F1979"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3,626</w:t>
            </w:r>
          </w:p>
        </w:tc>
        <w:tc>
          <w:tcPr>
            <w:tcW w:w="1071" w:type="dxa"/>
            <w:tcBorders>
              <w:top w:val="nil"/>
              <w:left w:val="nil"/>
              <w:bottom w:val="single" w:sz="4" w:space="0" w:color="auto"/>
              <w:right w:val="single" w:sz="4" w:space="0" w:color="auto"/>
            </w:tcBorders>
            <w:shd w:val="clear" w:color="auto" w:fill="auto"/>
            <w:noWrap/>
            <w:vAlign w:val="bottom"/>
            <w:hideMark/>
          </w:tcPr>
          <w:p w14:paraId="1C511140" w14:textId="4E95C3FF"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27.0%</w:t>
            </w:r>
          </w:p>
        </w:tc>
        <w:tc>
          <w:tcPr>
            <w:tcW w:w="1071" w:type="dxa"/>
            <w:tcBorders>
              <w:top w:val="nil"/>
              <w:left w:val="nil"/>
              <w:bottom w:val="single" w:sz="4" w:space="0" w:color="auto"/>
              <w:right w:val="single" w:sz="4" w:space="0" w:color="auto"/>
            </w:tcBorders>
            <w:shd w:val="clear" w:color="auto" w:fill="auto"/>
            <w:noWrap/>
            <w:vAlign w:val="bottom"/>
            <w:hideMark/>
          </w:tcPr>
          <w:p w14:paraId="6D0F7301"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3,764</w:t>
            </w:r>
          </w:p>
        </w:tc>
        <w:tc>
          <w:tcPr>
            <w:tcW w:w="1071" w:type="dxa"/>
            <w:tcBorders>
              <w:top w:val="nil"/>
              <w:left w:val="nil"/>
              <w:bottom w:val="single" w:sz="4" w:space="0" w:color="auto"/>
              <w:right w:val="single" w:sz="4" w:space="0" w:color="auto"/>
            </w:tcBorders>
            <w:shd w:val="clear" w:color="auto" w:fill="auto"/>
            <w:noWrap/>
            <w:vAlign w:val="bottom"/>
            <w:hideMark/>
          </w:tcPr>
          <w:p w14:paraId="04BBD465" w14:textId="3C2FCED9"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25.0%</w:t>
            </w:r>
          </w:p>
        </w:tc>
        <w:tc>
          <w:tcPr>
            <w:tcW w:w="1071" w:type="dxa"/>
            <w:tcBorders>
              <w:top w:val="nil"/>
              <w:left w:val="nil"/>
              <w:bottom w:val="single" w:sz="4" w:space="0" w:color="auto"/>
              <w:right w:val="single" w:sz="4" w:space="0" w:color="auto"/>
            </w:tcBorders>
            <w:shd w:val="clear" w:color="auto" w:fill="auto"/>
            <w:noWrap/>
            <w:vAlign w:val="bottom"/>
            <w:hideMark/>
          </w:tcPr>
          <w:p w14:paraId="34CFD0E1"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3,510</w:t>
            </w:r>
          </w:p>
        </w:tc>
        <w:tc>
          <w:tcPr>
            <w:tcW w:w="1071" w:type="dxa"/>
            <w:tcBorders>
              <w:top w:val="nil"/>
              <w:left w:val="nil"/>
              <w:bottom w:val="single" w:sz="4" w:space="0" w:color="auto"/>
              <w:right w:val="single" w:sz="4" w:space="0" w:color="auto"/>
            </w:tcBorders>
            <w:shd w:val="clear" w:color="auto" w:fill="auto"/>
            <w:noWrap/>
            <w:vAlign w:val="bottom"/>
            <w:hideMark/>
          </w:tcPr>
          <w:p w14:paraId="238D0555" w14:textId="3B3615F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24.</w:t>
            </w:r>
            <w:r w:rsidR="00BD6D73" w:rsidRPr="00BB09C5">
              <w:rPr>
                <w:rFonts w:eastAsia="Times New Roman" w:cstheme="minorHAnsi"/>
                <w:color w:val="000000"/>
              </w:rPr>
              <w:t>7</w:t>
            </w:r>
            <w:r w:rsidRPr="00BB09C5">
              <w:rPr>
                <w:rFonts w:eastAsia="Times New Roman" w:cstheme="minorHAnsi"/>
                <w:color w:val="000000"/>
              </w:rPr>
              <w:t>%</w:t>
            </w:r>
          </w:p>
        </w:tc>
      </w:tr>
      <w:tr w:rsidR="000D57D7" w:rsidRPr="00BB09C5" w14:paraId="5C9B647B" w14:textId="77777777" w:rsidTr="00AA3AE7">
        <w:trPr>
          <w:cantSplit/>
          <w:trHeight w:val="274"/>
        </w:trPr>
        <w:tc>
          <w:tcPr>
            <w:tcW w:w="3951" w:type="dxa"/>
            <w:tcBorders>
              <w:top w:val="nil"/>
              <w:left w:val="single" w:sz="4" w:space="0" w:color="auto"/>
              <w:bottom w:val="single" w:sz="4" w:space="0" w:color="auto"/>
              <w:right w:val="single" w:sz="4" w:space="0" w:color="auto"/>
            </w:tcBorders>
            <w:shd w:val="clear" w:color="auto" w:fill="auto"/>
            <w:noWrap/>
            <w:vAlign w:val="bottom"/>
          </w:tcPr>
          <w:p w14:paraId="74EA5811" w14:textId="06CF96A8" w:rsidR="000D57D7" w:rsidRPr="00BB09C5" w:rsidRDefault="000D57D7" w:rsidP="00006166">
            <w:pPr>
              <w:spacing w:after="0" w:line="240" w:lineRule="auto"/>
              <w:rPr>
                <w:rFonts w:eastAsia="Times New Roman" w:cstheme="minorHAnsi"/>
                <w:b/>
                <w:bCs/>
                <w:color w:val="000000"/>
                <w:u w:val="single"/>
              </w:rPr>
            </w:pPr>
            <w:r w:rsidRPr="00BB09C5">
              <w:rPr>
                <w:rFonts w:eastAsia="Times New Roman" w:cstheme="minorHAnsi"/>
                <w:b/>
                <w:bCs/>
                <w:color w:val="000000"/>
                <w:u w:val="single"/>
              </w:rPr>
              <w:t>Gender</w:t>
            </w:r>
          </w:p>
        </w:tc>
        <w:tc>
          <w:tcPr>
            <w:tcW w:w="962" w:type="dxa"/>
            <w:tcBorders>
              <w:top w:val="nil"/>
              <w:left w:val="nil"/>
              <w:bottom w:val="single" w:sz="4" w:space="0" w:color="auto"/>
              <w:right w:val="single" w:sz="4" w:space="0" w:color="auto"/>
            </w:tcBorders>
            <w:shd w:val="clear" w:color="auto" w:fill="auto"/>
            <w:noWrap/>
            <w:vAlign w:val="bottom"/>
          </w:tcPr>
          <w:p w14:paraId="5D4172D8" w14:textId="77777777" w:rsidR="000D57D7" w:rsidRPr="00BB09C5" w:rsidRDefault="000D57D7"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32DFAD40" w14:textId="77777777" w:rsidR="000D57D7" w:rsidRPr="00BB09C5" w:rsidRDefault="000D57D7"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4A062F7D" w14:textId="77777777" w:rsidR="000D57D7" w:rsidRPr="00BB09C5" w:rsidRDefault="000D57D7"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6A58B3F0" w14:textId="77777777" w:rsidR="000D57D7" w:rsidRPr="00BB09C5" w:rsidRDefault="000D57D7"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67FBDCBF" w14:textId="77777777" w:rsidR="000D57D7" w:rsidRPr="00BB09C5" w:rsidRDefault="000D57D7"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44506E11" w14:textId="77777777" w:rsidR="000D57D7" w:rsidRPr="00BB09C5" w:rsidRDefault="000D57D7" w:rsidP="00006166">
            <w:pPr>
              <w:spacing w:after="0" w:line="240" w:lineRule="auto"/>
              <w:jc w:val="center"/>
              <w:rPr>
                <w:rFonts w:eastAsia="Times New Roman" w:cstheme="minorHAnsi"/>
                <w:color w:val="000000"/>
              </w:rPr>
            </w:pPr>
          </w:p>
        </w:tc>
      </w:tr>
      <w:tr w:rsidR="00006166" w:rsidRPr="00BB09C5" w14:paraId="593B5E07" w14:textId="77777777" w:rsidTr="00AA3AE7">
        <w:trPr>
          <w:cantSplit/>
          <w:trHeight w:val="274"/>
        </w:trPr>
        <w:tc>
          <w:tcPr>
            <w:tcW w:w="3951" w:type="dxa"/>
            <w:tcBorders>
              <w:top w:val="nil"/>
              <w:left w:val="single" w:sz="4" w:space="0" w:color="auto"/>
              <w:bottom w:val="single" w:sz="4" w:space="0" w:color="auto"/>
              <w:right w:val="single" w:sz="4" w:space="0" w:color="auto"/>
            </w:tcBorders>
            <w:shd w:val="clear" w:color="auto" w:fill="auto"/>
            <w:noWrap/>
            <w:vAlign w:val="bottom"/>
            <w:hideMark/>
          </w:tcPr>
          <w:p w14:paraId="64BC3960" w14:textId="536EB6CE" w:rsidR="00006166" w:rsidRPr="00BB09C5" w:rsidRDefault="00006166" w:rsidP="00006166">
            <w:pPr>
              <w:spacing w:after="0" w:line="240" w:lineRule="auto"/>
              <w:rPr>
                <w:rFonts w:eastAsia="Times New Roman" w:cstheme="minorHAnsi"/>
                <w:color w:val="000000"/>
              </w:rPr>
            </w:pPr>
            <w:r w:rsidRPr="00BB09C5">
              <w:rPr>
                <w:rFonts w:eastAsia="Times New Roman" w:cstheme="minorHAnsi"/>
                <w:color w:val="000000"/>
              </w:rPr>
              <w:t>Male</w:t>
            </w:r>
          </w:p>
        </w:tc>
        <w:tc>
          <w:tcPr>
            <w:tcW w:w="962" w:type="dxa"/>
            <w:tcBorders>
              <w:top w:val="nil"/>
              <w:left w:val="nil"/>
              <w:bottom w:val="single" w:sz="4" w:space="0" w:color="auto"/>
              <w:right w:val="single" w:sz="4" w:space="0" w:color="auto"/>
            </w:tcBorders>
            <w:shd w:val="clear" w:color="auto" w:fill="auto"/>
            <w:noWrap/>
            <w:vAlign w:val="bottom"/>
            <w:hideMark/>
          </w:tcPr>
          <w:p w14:paraId="23F2160E"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4,807</w:t>
            </w:r>
          </w:p>
        </w:tc>
        <w:tc>
          <w:tcPr>
            <w:tcW w:w="1071" w:type="dxa"/>
            <w:tcBorders>
              <w:top w:val="nil"/>
              <w:left w:val="nil"/>
              <w:bottom w:val="single" w:sz="4" w:space="0" w:color="auto"/>
              <w:right w:val="single" w:sz="4" w:space="0" w:color="auto"/>
            </w:tcBorders>
            <w:shd w:val="clear" w:color="auto" w:fill="auto"/>
            <w:noWrap/>
            <w:vAlign w:val="bottom"/>
            <w:hideMark/>
          </w:tcPr>
          <w:p w14:paraId="1944EC6F" w14:textId="513C3F62"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35.</w:t>
            </w:r>
            <w:r w:rsidR="00BD6D73" w:rsidRPr="00BB09C5">
              <w:rPr>
                <w:rFonts w:eastAsia="Times New Roman" w:cstheme="minorHAnsi"/>
                <w:color w:val="000000"/>
              </w:rPr>
              <w:t>3</w:t>
            </w:r>
            <w:r w:rsidRPr="00BB09C5">
              <w:rPr>
                <w:rFonts w:eastAsia="Times New Roman" w:cstheme="minorHAnsi"/>
                <w:color w:val="000000"/>
              </w:rPr>
              <w:t>%</w:t>
            </w:r>
          </w:p>
        </w:tc>
        <w:tc>
          <w:tcPr>
            <w:tcW w:w="1071" w:type="dxa"/>
            <w:tcBorders>
              <w:top w:val="nil"/>
              <w:left w:val="nil"/>
              <w:bottom w:val="single" w:sz="4" w:space="0" w:color="auto"/>
              <w:right w:val="single" w:sz="4" w:space="0" w:color="auto"/>
            </w:tcBorders>
            <w:shd w:val="clear" w:color="auto" w:fill="auto"/>
            <w:noWrap/>
            <w:vAlign w:val="bottom"/>
            <w:hideMark/>
          </w:tcPr>
          <w:p w14:paraId="042F0D88"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5,198</w:t>
            </w:r>
          </w:p>
        </w:tc>
        <w:tc>
          <w:tcPr>
            <w:tcW w:w="1071" w:type="dxa"/>
            <w:tcBorders>
              <w:top w:val="nil"/>
              <w:left w:val="nil"/>
              <w:bottom w:val="single" w:sz="4" w:space="0" w:color="auto"/>
              <w:right w:val="single" w:sz="4" w:space="0" w:color="auto"/>
            </w:tcBorders>
            <w:shd w:val="clear" w:color="auto" w:fill="auto"/>
            <w:noWrap/>
            <w:vAlign w:val="bottom"/>
            <w:hideMark/>
          </w:tcPr>
          <w:p w14:paraId="1C26DE85" w14:textId="22F1F68C"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33.</w:t>
            </w:r>
            <w:r w:rsidR="00BD6D73" w:rsidRPr="00BB09C5">
              <w:rPr>
                <w:rFonts w:eastAsia="Times New Roman" w:cstheme="minorHAnsi"/>
                <w:color w:val="000000"/>
              </w:rPr>
              <w:t>9</w:t>
            </w:r>
            <w:r w:rsidRPr="00BB09C5">
              <w:rPr>
                <w:rFonts w:eastAsia="Times New Roman" w:cstheme="minorHAnsi"/>
                <w:color w:val="000000"/>
              </w:rPr>
              <w:t>%</w:t>
            </w:r>
          </w:p>
        </w:tc>
        <w:tc>
          <w:tcPr>
            <w:tcW w:w="1071" w:type="dxa"/>
            <w:tcBorders>
              <w:top w:val="nil"/>
              <w:left w:val="nil"/>
              <w:bottom w:val="single" w:sz="4" w:space="0" w:color="auto"/>
              <w:right w:val="single" w:sz="4" w:space="0" w:color="auto"/>
            </w:tcBorders>
            <w:shd w:val="clear" w:color="auto" w:fill="auto"/>
            <w:noWrap/>
            <w:vAlign w:val="bottom"/>
            <w:hideMark/>
          </w:tcPr>
          <w:p w14:paraId="1A334C11"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4,928</w:t>
            </w:r>
          </w:p>
        </w:tc>
        <w:tc>
          <w:tcPr>
            <w:tcW w:w="1071" w:type="dxa"/>
            <w:tcBorders>
              <w:top w:val="nil"/>
              <w:left w:val="nil"/>
              <w:bottom w:val="single" w:sz="4" w:space="0" w:color="auto"/>
              <w:right w:val="single" w:sz="4" w:space="0" w:color="auto"/>
            </w:tcBorders>
            <w:shd w:val="clear" w:color="auto" w:fill="auto"/>
            <w:noWrap/>
            <w:vAlign w:val="bottom"/>
            <w:hideMark/>
          </w:tcPr>
          <w:p w14:paraId="3CF9E10C" w14:textId="24F5694B"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34.6%</w:t>
            </w:r>
          </w:p>
        </w:tc>
      </w:tr>
      <w:tr w:rsidR="00006166" w:rsidRPr="00BB09C5" w14:paraId="40C83F73" w14:textId="77777777" w:rsidTr="00AA3AE7">
        <w:trPr>
          <w:cantSplit/>
          <w:trHeight w:val="274"/>
        </w:trPr>
        <w:tc>
          <w:tcPr>
            <w:tcW w:w="3951" w:type="dxa"/>
            <w:tcBorders>
              <w:top w:val="nil"/>
              <w:left w:val="single" w:sz="4" w:space="0" w:color="auto"/>
              <w:bottom w:val="single" w:sz="4" w:space="0" w:color="auto"/>
              <w:right w:val="single" w:sz="4" w:space="0" w:color="auto"/>
            </w:tcBorders>
            <w:shd w:val="clear" w:color="auto" w:fill="auto"/>
            <w:noWrap/>
            <w:vAlign w:val="bottom"/>
            <w:hideMark/>
          </w:tcPr>
          <w:p w14:paraId="5593161F" w14:textId="7F029AC3" w:rsidR="00006166" w:rsidRPr="00BB09C5" w:rsidRDefault="00006166" w:rsidP="00006166">
            <w:pPr>
              <w:spacing w:after="0" w:line="240" w:lineRule="auto"/>
              <w:rPr>
                <w:rFonts w:eastAsia="Times New Roman" w:cstheme="minorHAnsi"/>
                <w:color w:val="000000"/>
              </w:rPr>
            </w:pPr>
            <w:r w:rsidRPr="00BB09C5">
              <w:rPr>
                <w:rFonts w:eastAsia="Times New Roman" w:cstheme="minorHAnsi"/>
                <w:color w:val="000000"/>
              </w:rPr>
              <w:t>Female</w:t>
            </w:r>
          </w:p>
        </w:tc>
        <w:tc>
          <w:tcPr>
            <w:tcW w:w="962" w:type="dxa"/>
            <w:tcBorders>
              <w:top w:val="nil"/>
              <w:left w:val="nil"/>
              <w:bottom w:val="single" w:sz="4" w:space="0" w:color="auto"/>
              <w:right w:val="single" w:sz="4" w:space="0" w:color="auto"/>
            </w:tcBorders>
            <w:shd w:val="clear" w:color="auto" w:fill="auto"/>
            <w:noWrap/>
            <w:vAlign w:val="bottom"/>
            <w:hideMark/>
          </w:tcPr>
          <w:p w14:paraId="06C48C77"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8,814</w:t>
            </w:r>
          </w:p>
        </w:tc>
        <w:tc>
          <w:tcPr>
            <w:tcW w:w="1071" w:type="dxa"/>
            <w:tcBorders>
              <w:top w:val="nil"/>
              <w:left w:val="nil"/>
              <w:bottom w:val="single" w:sz="4" w:space="0" w:color="auto"/>
              <w:right w:val="single" w:sz="4" w:space="0" w:color="auto"/>
            </w:tcBorders>
            <w:shd w:val="clear" w:color="auto" w:fill="auto"/>
            <w:noWrap/>
            <w:vAlign w:val="bottom"/>
            <w:hideMark/>
          </w:tcPr>
          <w:p w14:paraId="3D4D659B" w14:textId="0F58840C"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64.7%</w:t>
            </w:r>
          </w:p>
        </w:tc>
        <w:tc>
          <w:tcPr>
            <w:tcW w:w="1071" w:type="dxa"/>
            <w:tcBorders>
              <w:top w:val="nil"/>
              <w:left w:val="nil"/>
              <w:bottom w:val="single" w:sz="4" w:space="0" w:color="auto"/>
              <w:right w:val="single" w:sz="4" w:space="0" w:color="auto"/>
            </w:tcBorders>
            <w:shd w:val="clear" w:color="auto" w:fill="auto"/>
            <w:noWrap/>
            <w:vAlign w:val="bottom"/>
            <w:hideMark/>
          </w:tcPr>
          <w:p w14:paraId="5D3FC3DF"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10,144</w:t>
            </w:r>
          </w:p>
        </w:tc>
        <w:tc>
          <w:tcPr>
            <w:tcW w:w="1071" w:type="dxa"/>
            <w:tcBorders>
              <w:top w:val="nil"/>
              <w:left w:val="nil"/>
              <w:bottom w:val="single" w:sz="4" w:space="0" w:color="auto"/>
              <w:right w:val="single" w:sz="4" w:space="0" w:color="auto"/>
            </w:tcBorders>
            <w:shd w:val="clear" w:color="auto" w:fill="auto"/>
            <w:noWrap/>
            <w:vAlign w:val="bottom"/>
            <w:hideMark/>
          </w:tcPr>
          <w:p w14:paraId="724A36AC" w14:textId="378C1E2B"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66.1%</w:t>
            </w:r>
          </w:p>
        </w:tc>
        <w:tc>
          <w:tcPr>
            <w:tcW w:w="1071" w:type="dxa"/>
            <w:tcBorders>
              <w:top w:val="nil"/>
              <w:left w:val="nil"/>
              <w:bottom w:val="single" w:sz="4" w:space="0" w:color="auto"/>
              <w:right w:val="single" w:sz="4" w:space="0" w:color="auto"/>
            </w:tcBorders>
            <w:shd w:val="clear" w:color="auto" w:fill="auto"/>
            <w:noWrap/>
            <w:vAlign w:val="bottom"/>
            <w:hideMark/>
          </w:tcPr>
          <w:p w14:paraId="24205D92"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9,300</w:t>
            </w:r>
          </w:p>
        </w:tc>
        <w:tc>
          <w:tcPr>
            <w:tcW w:w="1071" w:type="dxa"/>
            <w:tcBorders>
              <w:top w:val="nil"/>
              <w:left w:val="nil"/>
              <w:bottom w:val="single" w:sz="4" w:space="0" w:color="auto"/>
              <w:right w:val="single" w:sz="4" w:space="0" w:color="auto"/>
            </w:tcBorders>
            <w:shd w:val="clear" w:color="auto" w:fill="auto"/>
            <w:noWrap/>
            <w:vAlign w:val="bottom"/>
            <w:hideMark/>
          </w:tcPr>
          <w:p w14:paraId="08B271E6" w14:textId="5B87CAF1"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65.</w:t>
            </w:r>
            <w:r w:rsidR="00BD6D73" w:rsidRPr="00BB09C5">
              <w:rPr>
                <w:rFonts w:eastAsia="Times New Roman" w:cstheme="minorHAnsi"/>
                <w:color w:val="000000"/>
              </w:rPr>
              <w:t>4</w:t>
            </w:r>
            <w:r w:rsidRPr="00BB09C5">
              <w:rPr>
                <w:rFonts w:eastAsia="Times New Roman" w:cstheme="minorHAnsi"/>
                <w:color w:val="000000"/>
              </w:rPr>
              <w:t>%</w:t>
            </w:r>
          </w:p>
        </w:tc>
      </w:tr>
      <w:tr w:rsidR="000D57D7" w:rsidRPr="00BB09C5" w14:paraId="197B90EA" w14:textId="77777777" w:rsidTr="00AA3AE7">
        <w:trPr>
          <w:cantSplit/>
          <w:trHeight w:val="274"/>
        </w:trPr>
        <w:tc>
          <w:tcPr>
            <w:tcW w:w="3951" w:type="dxa"/>
            <w:tcBorders>
              <w:top w:val="nil"/>
              <w:left w:val="single" w:sz="4" w:space="0" w:color="auto"/>
              <w:bottom w:val="single" w:sz="4" w:space="0" w:color="auto"/>
              <w:right w:val="single" w:sz="4" w:space="0" w:color="auto"/>
            </w:tcBorders>
            <w:shd w:val="clear" w:color="auto" w:fill="auto"/>
            <w:noWrap/>
            <w:vAlign w:val="bottom"/>
          </w:tcPr>
          <w:p w14:paraId="1CCAB89C" w14:textId="7EB17A74" w:rsidR="000D57D7" w:rsidRPr="00BB09C5" w:rsidRDefault="000D57D7" w:rsidP="00006166">
            <w:pPr>
              <w:spacing w:after="0" w:line="240" w:lineRule="auto"/>
              <w:rPr>
                <w:rFonts w:eastAsia="Times New Roman" w:cstheme="minorHAnsi"/>
                <w:b/>
                <w:bCs/>
                <w:color w:val="000000"/>
                <w:u w:val="single"/>
              </w:rPr>
            </w:pPr>
            <w:r w:rsidRPr="00BB09C5">
              <w:rPr>
                <w:rFonts w:eastAsia="Times New Roman" w:cstheme="minorHAnsi"/>
                <w:b/>
                <w:bCs/>
                <w:color w:val="000000"/>
                <w:u w:val="single"/>
              </w:rPr>
              <w:t>Race</w:t>
            </w:r>
          </w:p>
        </w:tc>
        <w:tc>
          <w:tcPr>
            <w:tcW w:w="962" w:type="dxa"/>
            <w:tcBorders>
              <w:top w:val="nil"/>
              <w:left w:val="nil"/>
              <w:bottom w:val="single" w:sz="4" w:space="0" w:color="auto"/>
              <w:right w:val="single" w:sz="4" w:space="0" w:color="auto"/>
            </w:tcBorders>
            <w:shd w:val="clear" w:color="auto" w:fill="auto"/>
            <w:noWrap/>
            <w:vAlign w:val="bottom"/>
          </w:tcPr>
          <w:p w14:paraId="28190C25" w14:textId="77777777" w:rsidR="000D57D7" w:rsidRPr="00BB09C5" w:rsidRDefault="000D57D7"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63F3A841" w14:textId="77777777" w:rsidR="000D57D7" w:rsidRPr="00BB09C5" w:rsidRDefault="000D57D7"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158AA407" w14:textId="77777777" w:rsidR="000D57D7" w:rsidRPr="00BB09C5" w:rsidRDefault="000D57D7"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02C34EED" w14:textId="77777777" w:rsidR="000D57D7" w:rsidRPr="00BB09C5" w:rsidRDefault="000D57D7"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19B79E49" w14:textId="77777777" w:rsidR="000D57D7" w:rsidRPr="00BB09C5" w:rsidRDefault="000D57D7"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3440153D" w14:textId="77777777" w:rsidR="000D57D7" w:rsidRPr="00BB09C5" w:rsidRDefault="000D57D7" w:rsidP="00006166">
            <w:pPr>
              <w:spacing w:after="0" w:line="240" w:lineRule="auto"/>
              <w:jc w:val="center"/>
              <w:rPr>
                <w:rFonts w:eastAsia="Times New Roman" w:cstheme="minorHAnsi"/>
                <w:color w:val="000000"/>
              </w:rPr>
            </w:pPr>
          </w:p>
        </w:tc>
      </w:tr>
      <w:tr w:rsidR="00006166" w:rsidRPr="00BB09C5" w14:paraId="172DB114" w14:textId="77777777" w:rsidTr="00AA3AE7">
        <w:trPr>
          <w:cantSplit/>
          <w:trHeight w:val="274"/>
        </w:trPr>
        <w:tc>
          <w:tcPr>
            <w:tcW w:w="3951" w:type="dxa"/>
            <w:tcBorders>
              <w:top w:val="nil"/>
              <w:left w:val="single" w:sz="4" w:space="0" w:color="auto"/>
              <w:bottom w:val="single" w:sz="4" w:space="0" w:color="auto"/>
              <w:right w:val="single" w:sz="4" w:space="0" w:color="auto"/>
            </w:tcBorders>
            <w:shd w:val="clear" w:color="auto" w:fill="auto"/>
            <w:noWrap/>
            <w:vAlign w:val="bottom"/>
            <w:hideMark/>
          </w:tcPr>
          <w:p w14:paraId="17D3AE83" w14:textId="77777777" w:rsidR="00006166" w:rsidRPr="00BB09C5" w:rsidRDefault="00006166" w:rsidP="00006166">
            <w:pPr>
              <w:spacing w:after="0" w:line="240" w:lineRule="auto"/>
              <w:rPr>
                <w:rFonts w:eastAsia="Times New Roman" w:cstheme="minorHAnsi"/>
                <w:color w:val="000000"/>
              </w:rPr>
            </w:pPr>
            <w:r w:rsidRPr="00BB09C5">
              <w:rPr>
                <w:rFonts w:eastAsia="Times New Roman" w:cstheme="minorHAnsi"/>
                <w:color w:val="000000"/>
              </w:rPr>
              <w:t>Race - Unknown</w:t>
            </w:r>
          </w:p>
        </w:tc>
        <w:tc>
          <w:tcPr>
            <w:tcW w:w="962" w:type="dxa"/>
            <w:tcBorders>
              <w:top w:val="nil"/>
              <w:left w:val="nil"/>
              <w:bottom w:val="single" w:sz="4" w:space="0" w:color="auto"/>
              <w:right w:val="single" w:sz="4" w:space="0" w:color="auto"/>
            </w:tcBorders>
            <w:shd w:val="clear" w:color="auto" w:fill="auto"/>
            <w:noWrap/>
            <w:vAlign w:val="bottom"/>
            <w:hideMark/>
          </w:tcPr>
          <w:p w14:paraId="2EDA8D17"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13,621</w:t>
            </w:r>
          </w:p>
        </w:tc>
        <w:tc>
          <w:tcPr>
            <w:tcW w:w="1071" w:type="dxa"/>
            <w:tcBorders>
              <w:top w:val="nil"/>
              <w:left w:val="nil"/>
              <w:bottom w:val="single" w:sz="4" w:space="0" w:color="auto"/>
              <w:right w:val="single" w:sz="4" w:space="0" w:color="auto"/>
            </w:tcBorders>
            <w:shd w:val="clear" w:color="auto" w:fill="auto"/>
            <w:noWrap/>
            <w:vAlign w:val="bottom"/>
            <w:hideMark/>
          </w:tcPr>
          <w:p w14:paraId="1163795C" w14:textId="51CE73FC"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100.0%</w:t>
            </w:r>
          </w:p>
        </w:tc>
        <w:tc>
          <w:tcPr>
            <w:tcW w:w="1071" w:type="dxa"/>
            <w:tcBorders>
              <w:top w:val="nil"/>
              <w:left w:val="nil"/>
              <w:bottom w:val="single" w:sz="4" w:space="0" w:color="auto"/>
              <w:right w:val="single" w:sz="4" w:space="0" w:color="auto"/>
            </w:tcBorders>
            <w:shd w:val="clear" w:color="auto" w:fill="auto"/>
            <w:noWrap/>
            <w:vAlign w:val="bottom"/>
            <w:hideMark/>
          </w:tcPr>
          <w:p w14:paraId="30337545"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15,343</w:t>
            </w:r>
          </w:p>
        </w:tc>
        <w:tc>
          <w:tcPr>
            <w:tcW w:w="1071" w:type="dxa"/>
            <w:tcBorders>
              <w:top w:val="nil"/>
              <w:left w:val="nil"/>
              <w:bottom w:val="single" w:sz="4" w:space="0" w:color="auto"/>
              <w:right w:val="single" w:sz="4" w:space="0" w:color="auto"/>
            </w:tcBorders>
            <w:shd w:val="clear" w:color="auto" w:fill="auto"/>
            <w:noWrap/>
            <w:vAlign w:val="bottom"/>
            <w:hideMark/>
          </w:tcPr>
          <w:p w14:paraId="4126B068" w14:textId="156E3223"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100.0%</w:t>
            </w:r>
          </w:p>
        </w:tc>
        <w:tc>
          <w:tcPr>
            <w:tcW w:w="1071" w:type="dxa"/>
            <w:tcBorders>
              <w:top w:val="nil"/>
              <w:left w:val="nil"/>
              <w:bottom w:val="single" w:sz="4" w:space="0" w:color="auto"/>
              <w:right w:val="single" w:sz="4" w:space="0" w:color="auto"/>
            </w:tcBorders>
            <w:shd w:val="clear" w:color="auto" w:fill="auto"/>
            <w:noWrap/>
            <w:vAlign w:val="bottom"/>
            <w:hideMark/>
          </w:tcPr>
          <w:p w14:paraId="044A658B"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14,228</w:t>
            </w:r>
          </w:p>
        </w:tc>
        <w:tc>
          <w:tcPr>
            <w:tcW w:w="1071" w:type="dxa"/>
            <w:tcBorders>
              <w:top w:val="nil"/>
              <w:left w:val="nil"/>
              <w:bottom w:val="single" w:sz="4" w:space="0" w:color="auto"/>
              <w:right w:val="single" w:sz="4" w:space="0" w:color="auto"/>
            </w:tcBorders>
            <w:shd w:val="clear" w:color="auto" w:fill="auto"/>
            <w:noWrap/>
            <w:vAlign w:val="bottom"/>
            <w:hideMark/>
          </w:tcPr>
          <w:p w14:paraId="35263E38" w14:textId="038154F9"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100.0%</w:t>
            </w:r>
          </w:p>
        </w:tc>
      </w:tr>
      <w:tr w:rsidR="000D57D7" w:rsidRPr="00BB09C5" w14:paraId="3BA11A20" w14:textId="77777777" w:rsidTr="00AA3AE7">
        <w:trPr>
          <w:cantSplit/>
          <w:trHeight w:val="274"/>
        </w:trPr>
        <w:tc>
          <w:tcPr>
            <w:tcW w:w="3951" w:type="dxa"/>
            <w:tcBorders>
              <w:top w:val="nil"/>
              <w:left w:val="single" w:sz="4" w:space="0" w:color="auto"/>
              <w:bottom w:val="single" w:sz="4" w:space="0" w:color="auto"/>
              <w:right w:val="single" w:sz="4" w:space="0" w:color="auto"/>
            </w:tcBorders>
            <w:shd w:val="clear" w:color="auto" w:fill="auto"/>
            <w:noWrap/>
            <w:vAlign w:val="bottom"/>
          </w:tcPr>
          <w:p w14:paraId="100737CE" w14:textId="5333CF46" w:rsidR="000D57D7" w:rsidRPr="00BB09C5" w:rsidRDefault="000D57D7" w:rsidP="00006166">
            <w:pPr>
              <w:spacing w:after="0" w:line="240" w:lineRule="auto"/>
              <w:rPr>
                <w:rFonts w:eastAsia="Times New Roman" w:cstheme="minorHAnsi"/>
                <w:b/>
                <w:bCs/>
                <w:color w:val="000000"/>
                <w:u w:val="single"/>
              </w:rPr>
            </w:pPr>
            <w:r w:rsidRPr="00BB09C5">
              <w:rPr>
                <w:rFonts w:eastAsia="Times New Roman" w:cstheme="minorHAnsi"/>
                <w:b/>
                <w:bCs/>
                <w:color w:val="000000"/>
                <w:u w:val="single"/>
              </w:rPr>
              <w:t>Ethnicity</w:t>
            </w:r>
          </w:p>
        </w:tc>
        <w:tc>
          <w:tcPr>
            <w:tcW w:w="962" w:type="dxa"/>
            <w:tcBorders>
              <w:top w:val="nil"/>
              <w:left w:val="nil"/>
              <w:bottom w:val="single" w:sz="4" w:space="0" w:color="auto"/>
              <w:right w:val="single" w:sz="4" w:space="0" w:color="auto"/>
            </w:tcBorders>
            <w:shd w:val="clear" w:color="auto" w:fill="auto"/>
            <w:noWrap/>
            <w:vAlign w:val="bottom"/>
          </w:tcPr>
          <w:p w14:paraId="7FF49853" w14:textId="77777777" w:rsidR="000D57D7" w:rsidRPr="00BB09C5" w:rsidRDefault="000D57D7"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658494B9" w14:textId="77777777" w:rsidR="000D57D7" w:rsidRPr="00BB09C5" w:rsidRDefault="000D57D7"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2A4A5EB1" w14:textId="77777777" w:rsidR="000D57D7" w:rsidRPr="00BB09C5" w:rsidRDefault="000D57D7"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021F6BD8" w14:textId="77777777" w:rsidR="000D57D7" w:rsidRPr="00BB09C5" w:rsidRDefault="000D57D7"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0A78F226" w14:textId="77777777" w:rsidR="000D57D7" w:rsidRPr="00BB09C5" w:rsidRDefault="000D57D7"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5CEE4385" w14:textId="77777777" w:rsidR="000D57D7" w:rsidRPr="00BB09C5" w:rsidRDefault="000D57D7" w:rsidP="00006166">
            <w:pPr>
              <w:spacing w:after="0" w:line="240" w:lineRule="auto"/>
              <w:jc w:val="center"/>
              <w:rPr>
                <w:rFonts w:eastAsia="Times New Roman" w:cstheme="minorHAnsi"/>
                <w:color w:val="000000"/>
              </w:rPr>
            </w:pPr>
          </w:p>
        </w:tc>
      </w:tr>
      <w:tr w:rsidR="00006166" w:rsidRPr="00BB09C5" w14:paraId="21BB6B79" w14:textId="77777777" w:rsidTr="00AA3AE7">
        <w:trPr>
          <w:cantSplit/>
          <w:trHeight w:val="274"/>
        </w:trPr>
        <w:tc>
          <w:tcPr>
            <w:tcW w:w="3951" w:type="dxa"/>
            <w:tcBorders>
              <w:top w:val="nil"/>
              <w:left w:val="single" w:sz="4" w:space="0" w:color="auto"/>
              <w:bottom w:val="single" w:sz="4" w:space="0" w:color="auto"/>
              <w:right w:val="single" w:sz="4" w:space="0" w:color="auto"/>
            </w:tcBorders>
            <w:shd w:val="clear" w:color="auto" w:fill="auto"/>
            <w:noWrap/>
            <w:vAlign w:val="bottom"/>
            <w:hideMark/>
          </w:tcPr>
          <w:p w14:paraId="40FDA9CF" w14:textId="77777777" w:rsidR="00006166" w:rsidRPr="00BB09C5" w:rsidRDefault="00006166" w:rsidP="00006166">
            <w:pPr>
              <w:spacing w:after="0" w:line="240" w:lineRule="auto"/>
              <w:rPr>
                <w:rFonts w:eastAsia="Times New Roman" w:cstheme="minorHAnsi"/>
                <w:color w:val="000000"/>
              </w:rPr>
            </w:pPr>
            <w:r w:rsidRPr="00BB09C5">
              <w:rPr>
                <w:rFonts w:eastAsia="Times New Roman" w:cstheme="minorHAnsi"/>
                <w:color w:val="000000"/>
              </w:rPr>
              <w:t>Ethnicity - Unknown</w:t>
            </w:r>
          </w:p>
        </w:tc>
        <w:tc>
          <w:tcPr>
            <w:tcW w:w="962" w:type="dxa"/>
            <w:tcBorders>
              <w:top w:val="nil"/>
              <w:left w:val="nil"/>
              <w:bottom w:val="single" w:sz="4" w:space="0" w:color="auto"/>
              <w:right w:val="single" w:sz="4" w:space="0" w:color="auto"/>
            </w:tcBorders>
            <w:shd w:val="clear" w:color="auto" w:fill="auto"/>
            <w:noWrap/>
            <w:vAlign w:val="bottom"/>
            <w:hideMark/>
          </w:tcPr>
          <w:p w14:paraId="5E6833A1"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13,621</w:t>
            </w:r>
          </w:p>
        </w:tc>
        <w:tc>
          <w:tcPr>
            <w:tcW w:w="1071" w:type="dxa"/>
            <w:tcBorders>
              <w:top w:val="nil"/>
              <w:left w:val="nil"/>
              <w:bottom w:val="single" w:sz="4" w:space="0" w:color="auto"/>
              <w:right w:val="single" w:sz="4" w:space="0" w:color="auto"/>
            </w:tcBorders>
            <w:shd w:val="clear" w:color="auto" w:fill="auto"/>
            <w:noWrap/>
            <w:vAlign w:val="bottom"/>
            <w:hideMark/>
          </w:tcPr>
          <w:p w14:paraId="5E9181A0" w14:textId="78446A2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100.0%</w:t>
            </w:r>
          </w:p>
        </w:tc>
        <w:tc>
          <w:tcPr>
            <w:tcW w:w="1071" w:type="dxa"/>
            <w:tcBorders>
              <w:top w:val="nil"/>
              <w:left w:val="nil"/>
              <w:bottom w:val="single" w:sz="4" w:space="0" w:color="auto"/>
              <w:right w:val="single" w:sz="4" w:space="0" w:color="auto"/>
            </w:tcBorders>
            <w:shd w:val="clear" w:color="auto" w:fill="auto"/>
            <w:noWrap/>
            <w:vAlign w:val="bottom"/>
            <w:hideMark/>
          </w:tcPr>
          <w:p w14:paraId="0F26C4AC"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15,343</w:t>
            </w:r>
          </w:p>
        </w:tc>
        <w:tc>
          <w:tcPr>
            <w:tcW w:w="1071" w:type="dxa"/>
            <w:tcBorders>
              <w:top w:val="nil"/>
              <w:left w:val="nil"/>
              <w:bottom w:val="single" w:sz="4" w:space="0" w:color="auto"/>
              <w:right w:val="single" w:sz="4" w:space="0" w:color="auto"/>
            </w:tcBorders>
            <w:shd w:val="clear" w:color="auto" w:fill="auto"/>
            <w:noWrap/>
            <w:vAlign w:val="bottom"/>
            <w:hideMark/>
          </w:tcPr>
          <w:p w14:paraId="5D53C363" w14:textId="3F862C60"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100.0%</w:t>
            </w:r>
          </w:p>
        </w:tc>
        <w:tc>
          <w:tcPr>
            <w:tcW w:w="1071" w:type="dxa"/>
            <w:tcBorders>
              <w:top w:val="nil"/>
              <w:left w:val="nil"/>
              <w:bottom w:val="single" w:sz="4" w:space="0" w:color="auto"/>
              <w:right w:val="single" w:sz="4" w:space="0" w:color="auto"/>
            </w:tcBorders>
            <w:shd w:val="clear" w:color="auto" w:fill="auto"/>
            <w:noWrap/>
            <w:vAlign w:val="bottom"/>
            <w:hideMark/>
          </w:tcPr>
          <w:p w14:paraId="717BA30D"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14,228</w:t>
            </w:r>
          </w:p>
        </w:tc>
        <w:tc>
          <w:tcPr>
            <w:tcW w:w="1071" w:type="dxa"/>
            <w:tcBorders>
              <w:top w:val="nil"/>
              <w:left w:val="nil"/>
              <w:bottom w:val="single" w:sz="4" w:space="0" w:color="auto"/>
              <w:right w:val="single" w:sz="4" w:space="0" w:color="auto"/>
            </w:tcBorders>
            <w:shd w:val="clear" w:color="auto" w:fill="auto"/>
            <w:noWrap/>
            <w:vAlign w:val="bottom"/>
            <w:hideMark/>
          </w:tcPr>
          <w:p w14:paraId="2F2B0DC1" w14:textId="13A58AA2"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100.0%</w:t>
            </w:r>
          </w:p>
        </w:tc>
      </w:tr>
      <w:tr w:rsidR="00BD6D73" w:rsidRPr="00BB09C5" w14:paraId="7761EAC1" w14:textId="77777777" w:rsidTr="00AA3AE7">
        <w:trPr>
          <w:cantSplit/>
          <w:trHeight w:val="274"/>
        </w:trPr>
        <w:tc>
          <w:tcPr>
            <w:tcW w:w="3951" w:type="dxa"/>
            <w:tcBorders>
              <w:top w:val="nil"/>
              <w:left w:val="single" w:sz="4" w:space="0" w:color="auto"/>
              <w:bottom w:val="single" w:sz="4" w:space="0" w:color="auto"/>
              <w:right w:val="single" w:sz="4" w:space="0" w:color="auto"/>
            </w:tcBorders>
            <w:shd w:val="clear" w:color="auto" w:fill="auto"/>
            <w:noWrap/>
            <w:vAlign w:val="bottom"/>
          </w:tcPr>
          <w:p w14:paraId="52591362" w14:textId="643240D3" w:rsidR="00BD6D73" w:rsidRPr="00BB09C5" w:rsidRDefault="00BD6D73" w:rsidP="00006166">
            <w:pPr>
              <w:spacing w:after="0" w:line="240" w:lineRule="auto"/>
              <w:rPr>
                <w:rFonts w:eastAsia="Times New Roman" w:cstheme="minorHAnsi"/>
                <w:b/>
                <w:bCs/>
                <w:color w:val="000000"/>
                <w:u w:val="single"/>
              </w:rPr>
            </w:pPr>
            <w:r w:rsidRPr="00BB09C5">
              <w:rPr>
                <w:rFonts w:eastAsia="Times New Roman" w:cstheme="minorHAnsi"/>
                <w:b/>
                <w:bCs/>
                <w:color w:val="000000"/>
                <w:u w:val="single"/>
              </w:rPr>
              <w:t>Payor</w:t>
            </w:r>
          </w:p>
        </w:tc>
        <w:tc>
          <w:tcPr>
            <w:tcW w:w="962" w:type="dxa"/>
            <w:tcBorders>
              <w:top w:val="nil"/>
              <w:left w:val="nil"/>
              <w:bottom w:val="single" w:sz="4" w:space="0" w:color="auto"/>
              <w:right w:val="single" w:sz="4" w:space="0" w:color="auto"/>
            </w:tcBorders>
            <w:shd w:val="clear" w:color="auto" w:fill="auto"/>
            <w:noWrap/>
            <w:vAlign w:val="bottom"/>
          </w:tcPr>
          <w:p w14:paraId="3E497BD5" w14:textId="77777777" w:rsidR="00BD6D73" w:rsidRPr="00BB09C5" w:rsidRDefault="00BD6D73"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24205D11" w14:textId="77777777" w:rsidR="00BD6D73" w:rsidRPr="00BB09C5" w:rsidRDefault="00BD6D73"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089F21FB" w14:textId="77777777" w:rsidR="00BD6D73" w:rsidRPr="00BB09C5" w:rsidRDefault="00BD6D73"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5BE754A0" w14:textId="77777777" w:rsidR="00BD6D73" w:rsidRPr="00BB09C5" w:rsidRDefault="00BD6D73"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54A6720A" w14:textId="77777777" w:rsidR="00BD6D73" w:rsidRPr="00BB09C5" w:rsidRDefault="00BD6D73" w:rsidP="00006166">
            <w:pPr>
              <w:spacing w:after="0" w:line="240" w:lineRule="auto"/>
              <w:jc w:val="center"/>
              <w:rPr>
                <w:rFonts w:eastAsia="Times New Roman" w:cstheme="minorHAnsi"/>
                <w:color w:val="000000"/>
              </w:rPr>
            </w:pPr>
          </w:p>
        </w:tc>
        <w:tc>
          <w:tcPr>
            <w:tcW w:w="1071" w:type="dxa"/>
            <w:tcBorders>
              <w:top w:val="nil"/>
              <w:left w:val="nil"/>
              <w:bottom w:val="single" w:sz="4" w:space="0" w:color="auto"/>
              <w:right w:val="single" w:sz="4" w:space="0" w:color="auto"/>
            </w:tcBorders>
            <w:shd w:val="clear" w:color="auto" w:fill="auto"/>
            <w:noWrap/>
            <w:vAlign w:val="bottom"/>
          </w:tcPr>
          <w:p w14:paraId="1071C366" w14:textId="77777777" w:rsidR="00BD6D73" w:rsidRPr="00BB09C5" w:rsidRDefault="00BD6D73" w:rsidP="00006166">
            <w:pPr>
              <w:spacing w:after="0" w:line="240" w:lineRule="auto"/>
              <w:jc w:val="center"/>
              <w:rPr>
                <w:rFonts w:eastAsia="Times New Roman" w:cstheme="minorHAnsi"/>
                <w:color w:val="000000"/>
              </w:rPr>
            </w:pPr>
          </w:p>
        </w:tc>
      </w:tr>
      <w:tr w:rsidR="00006166" w:rsidRPr="00BB09C5" w14:paraId="4890F850" w14:textId="77777777" w:rsidTr="00AA3AE7">
        <w:trPr>
          <w:cantSplit/>
          <w:trHeight w:val="274"/>
        </w:trPr>
        <w:tc>
          <w:tcPr>
            <w:tcW w:w="3951" w:type="dxa"/>
            <w:tcBorders>
              <w:top w:val="nil"/>
              <w:left w:val="single" w:sz="4" w:space="0" w:color="auto"/>
              <w:bottom w:val="single" w:sz="4" w:space="0" w:color="auto"/>
              <w:right w:val="single" w:sz="4" w:space="0" w:color="auto"/>
            </w:tcBorders>
            <w:shd w:val="clear" w:color="auto" w:fill="auto"/>
            <w:noWrap/>
            <w:vAlign w:val="bottom"/>
            <w:hideMark/>
          </w:tcPr>
          <w:p w14:paraId="2E16C9F0" w14:textId="2986EF71" w:rsidR="00006166" w:rsidRPr="00BB09C5" w:rsidRDefault="00006166" w:rsidP="00006166">
            <w:pPr>
              <w:spacing w:after="0" w:line="240" w:lineRule="auto"/>
              <w:rPr>
                <w:rFonts w:eastAsia="Times New Roman" w:cstheme="minorHAnsi"/>
                <w:color w:val="000000"/>
              </w:rPr>
            </w:pPr>
            <w:r w:rsidRPr="00BB09C5">
              <w:rPr>
                <w:rFonts w:eastAsia="Times New Roman" w:cstheme="minorHAnsi"/>
                <w:color w:val="000000"/>
              </w:rPr>
              <w:t>Commercial</w:t>
            </w:r>
          </w:p>
        </w:tc>
        <w:tc>
          <w:tcPr>
            <w:tcW w:w="962" w:type="dxa"/>
            <w:tcBorders>
              <w:top w:val="nil"/>
              <w:left w:val="nil"/>
              <w:bottom w:val="single" w:sz="4" w:space="0" w:color="auto"/>
              <w:right w:val="single" w:sz="4" w:space="0" w:color="auto"/>
            </w:tcBorders>
            <w:shd w:val="clear" w:color="auto" w:fill="auto"/>
            <w:noWrap/>
            <w:vAlign w:val="bottom"/>
            <w:hideMark/>
          </w:tcPr>
          <w:p w14:paraId="3B4DD2E1"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9,221</w:t>
            </w:r>
          </w:p>
        </w:tc>
        <w:tc>
          <w:tcPr>
            <w:tcW w:w="1071" w:type="dxa"/>
            <w:tcBorders>
              <w:top w:val="nil"/>
              <w:left w:val="nil"/>
              <w:bottom w:val="single" w:sz="4" w:space="0" w:color="auto"/>
              <w:right w:val="single" w:sz="4" w:space="0" w:color="auto"/>
            </w:tcBorders>
            <w:shd w:val="clear" w:color="auto" w:fill="auto"/>
            <w:noWrap/>
            <w:vAlign w:val="bottom"/>
            <w:hideMark/>
          </w:tcPr>
          <w:p w14:paraId="339FE1A6" w14:textId="73A951AD"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67.7%</w:t>
            </w:r>
          </w:p>
        </w:tc>
        <w:tc>
          <w:tcPr>
            <w:tcW w:w="1071" w:type="dxa"/>
            <w:tcBorders>
              <w:top w:val="nil"/>
              <w:left w:val="nil"/>
              <w:bottom w:val="single" w:sz="4" w:space="0" w:color="auto"/>
              <w:right w:val="single" w:sz="4" w:space="0" w:color="auto"/>
            </w:tcBorders>
            <w:shd w:val="clear" w:color="auto" w:fill="auto"/>
            <w:noWrap/>
            <w:vAlign w:val="bottom"/>
            <w:hideMark/>
          </w:tcPr>
          <w:p w14:paraId="17A063F7"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8,899</w:t>
            </w:r>
          </w:p>
        </w:tc>
        <w:tc>
          <w:tcPr>
            <w:tcW w:w="1071" w:type="dxa"/>
            <w:tcBorders>
              <w:top w:val="nil"/>
              <w:left w:val="nil"/>
              <w:bottom w:val="single" w:sz="4" w:space="0" w:color="auto"/>
              <w:right w:val="single" w:sz="4" w:space="0" w:color="auto"/>
            </w:tcBorders>
            <w:shd w:val="clear" w:color="auto" w:fill="auto"/>
            <w:noWrap/>
            <w:vAlign w:val="bottom"/>
            <w:hideMark/>
          </w:tcPr>
          <w:p w14:paraId="7F27B938" w14:textId="1961398A"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58.0%</w:t>
            </w:r>
          </w:p>
        </w:tc>
        <w:tc>
          <w:tcPr>
            <w:tcW w:w="1071" w:type="dxa"/>
            <w:tcBorders>
              <w:top w:val="nil"/>
              <w:left w:val="nil"/>
              <w:bottom w:val="single" w:sz="4" w:space="0" w:color="auto"/>
              <w:right w:val="single" w:sz="4" w:space="0" w:color="auto"/>
            </w:tcBorders>
            <w:shd w:val="clear" w:color="auto" w:fill="auto"/>
            <w:noWrap/>
            <w:vAlign w:val="bottom"/>
            <w:hideMark/>
          </w:tcPr>
          <w:p w14:paraId="31F985EB"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8,252</w:t>
            </w:r>
          </w:p>
        </w:tc>
        <w:tc>
          <w:tcPr>
            <w:tcW w:w="1071" w:type="dxa"/>
            <w:tcBorders>
              <w:top w:val="nil"/>
              <w:left w:val="nil"/>
              <w:bottom w:val="single" w:sz="4" w:space="0" w:color="auto"/>
              <w:right w:val="single" w:sz="4" w:space="0" w:color="auto"/>
            </w:tcBorders>
            <w:shd w:val="clear" w:color="auto" w:fill="auto"/>
            <w:noWrap/>
            <w:vAlign w:val="bottom"/>
            <w:hideMark/>
          </w:tcPr>
          <w:p w14:paraId="4C93437D" w14:textId="50C428D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58.0%</w:t>
            </w:r>
          </w:p>
        </w:tc>
      </w:tr>
      <w:tr w:rsidR="00006166" w:rsidRPr="00BB09C5" w14:paraId="1FB7A017" w14:textId="77777777" w:rsidTr="00AA3AE7">
        <w:trPr>
          <w:cantSplit/>
          <w:trHeight w:val="274"/>
        </w:trPr>
        <w:tc>
          <w:tcPr>
            <w:tcW w:w="3951" w:type="dxa"/>
            <w:tcBorders>
              <w:top w:val="nil"/>
              <w:left w:val="single" w:sz="4" w:space="0" w:color="auto"/>
              <w:bottom w:val="single" w:sz="4" w:space="0" w:color="auto"/>
              <w:right w:val="single" w:sz="4" w:space="0" w:color="auto"/>
            </w:tcBorders>
            <w:shd w:val="clear" w:color="auto" w:fill="auto"/>
            <w:noWrap/>
            <w:vAlign w:val="bottom"/>
            <w:hideMark/>
          </w:tcPr>
          <w:p w14:paraId="7C92F019" w14:textId="389C8C4E" w:rsidR="00006166" w:rsidRPr="00BB09C5" w:rsidRDefault="00006166" w:rsidP="00006166">
            <w:pPr>
              <w:spacing w:after="0" w:line="240" w:lineRule="auto"/>
              <w:rPr>
                <w:rFonts w:eastAsia="Times New Roman" w:cstheme="minorHAnsi"/>
                <w:color w:val="000000"/>
              </w:rPr>
            </w:pPr>
            <w:r w:rsidRPr="00BB09C5">
              <w:rPr>
                <w:rFonts w:eastAsia="Times New Roman" w:cstheme="minorHAnsi"/>
                <w:color w:val="000000"/>
              </w:rPr>
              <w:t>Medicare</w:t>
            </w:r>
          </w:p>
        </w:tc>
        <w:tc>
          <w:tcPr>
            <w:tcW w:w="962" w:type="dxa"/>
            <w:tcBorders>
              <w:top w:val="nil"/>
              <w:left w:val="nil"/>
              <w:bottom w:val="single" w:sz="4" w:space="0" w:color="auto"/>
              <w:right w:val="single" w:sz="4" w:space="0" w:color="auto"/>
            </w:tcBorders>
            <w:shd w:val="clear" w:color="auto" w:fill="auto"/>
            <w:noWrap/>
            <w:vAlign w:val="bottom"/>
            <w:hideMark/>
          </w:tcPr>
          <w:p w14:paraId="2C11E386"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1,750</w:t>
            </w:r>
          </w:p>
        </w:tc>
        <w:tc>
          <w:tcPr>
            <w:tcW w:w="1071" w:type="dxa"/>
            <w:tcBorders>
              <w:top w:val="nil"/>
              <w:left w:val="nil"/>
              <w:bottom w:val="single" w:sz="4" w:space="0" w:color="auto"/>
              <w:right w:val="single" w:sz="4" w:space="0" w:color="auto"/>
            </w:tcBorders>
            <w:shd w:val="clear" w:color="auto" w:fill="auto"/>
            <w:noWrap/>
            <w:vAlign w:val="bottom"/>
            <w:hideMark/>
          </w:tcPr>
          <w:p w14:paraId="455249A5" w14:textId="3A6D4E73"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12.</w:t>
            </w:r>
            <w:r w:rsidR="00BD6D73" w:rsidRPr="00BB09C5">
              <w:rPr>
                <w:rFonts w:eastAsia="Times New Roman" w:cstheme="minorHAnsi"/>
                <w:color w:val="000000"/>
              </w:rPr>
              <w:t>9</w:t>
            </w:r>
            <w:r w:rsidRPr="00BB09C5">
              <w:rPr>
                <w:rFonts w:eastAsia="Times New Roman" w:cstheme="minorHAnsi"/>
                <w:color w:val="000000"/>
              </w:rPr>
              <w:t>%</w:t>
            </w:r>
          </w:p>
        </w:tc>
        <w:tc>
          <w:tcPr>
            <w:tcW w:w="1071" w:type="dxa"/>
            <w:tcBorders>
              <w:top w:val="nil"/>
              <w:left w:val="nil"/>
              <w:bottom w:val="single" w:sz="4" w:space="0" w:color="auto"/>
              <w:right w:val="single" w:sz="4" w:space="0" w:color="auto"/>
            </w:tcBorders>
            <w:shd w:val="clear" w:color="auto" w:fill="auto"/>
            <w:noWrap/>
            <w:vAlign w:val="bottom"/>
            <w:hideMark/>
          </w:tcPr>
          <w:p w14:paraId="00E0211A"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2,301</w:t>
            </w:r>
          </w:p>
        </w:tc>
        <w:tc>
          <w:tcPr>
            <w:tcW w:w="1071" w:type="dxa"/>
            <w:tcBorders>
              <w:top w:val="nil"/>
              <w:left w:val="nil"/>
              <w:bottom w:val="single" w:sz="4" w:space="0" w:color="auto"/>
              <w:right w:val="single" w:sz="4" w:space="0" w:color="auto"/>
            </w:tcBorders>
            <w:shd w:val="clear" w:color="auto" w:fill="auto"/>
            <w:noWrap/>
            <w:vAlign w:val="bottom"/>
            <w:hideMark/>
          </w:tcPr>
          <w:p w14:paraId="316293F9" w14:textId="41E934BB"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15.0%</w:t>
            </w:r>
          </w:p>
        </w:tc>
        <w:tc>
          <w:tcPr>
            <w:tcW w:w="1071" w:type="dxa"/>
            <w:tcBorders>
              <w:top w:val="nil"/>
              <w:left w:val="nil"/>
              <w:bottom w:val="single" w:sz="4" w:space="0" w:color="auto"/>
              <w:right w:val="single" w:sz="4" w:space="0" w:color="auto"/>
            </w:tcBorders>
            <w:shd w:val="clear" w:color="auto" w:fill="auto"/>
            <w:noWrap/>
            <w:vAlign w:val="bottom"/>
            <w:hideMark/>
          </w:tcPr>
          <w:p w14:paraId="2DD393C5"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1,992</w:t>
            </w:r>
          </w:p>
        </w:tc>
        <w:tc>
          <w:tcPr>
            <w:tcW w:w="1071" w:type="dxa"/>
            <w:tcBorders>
              <w:top w:val="nil"/>
              <w:left w:val="nil"/>
              <w:bottom w:val="single" w:sz="4" w:space="0" w:color="auto"/>
              <w:right w:val="single" w:sz="4" w:space="0" w:color="auto"/>
            </w:tcBorders>
            <w:shd w:val="clear" w:color="auto" w:fill="auto"/>
            <w:noWrap/>
            <w:vAlign w:val="bottom"/>
            <w:hideMark/>
          </w:tcPr>
          <w:p w14:paraId="28D8C984" w14:textId="105F9E98"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14.0%</w:t>
            </w:r>
          </w:p>
        </w:tc>
      </w:tr>
      <w:tr w:rsidR="00006166" w:rsidRPr="00BB09C5" w14:paraId="3E2E599B" w14:textId="77777777" w:rsidTr="00AA3AE7">
        <w:trPr>
          <w:cantSplit/>
          <w:trHeight w:val="274"/>
        </w:trPr>
        <w:tc>
          <w:tcPr>
            <w:tcW w:w="3951" w:type="dxa"/>
            <w:tcBorders>
              <w:top w:val="nil"/>
              <w:left w:val="single" w:sz="4" w:space="0" w:color="auto"/>
              <w:bottom w:val="single" w:sz="4" w:space="0" w:color="auto"/>
              <w:right w:val="single" w:sz="4" w:space="0" w:color="auto"/>
            </w:tcBorders>
            <w:shd w:val="clear" w:color="auto" w:fill="auto"/>
            <w:noWrap/>
            <w:vAlign w:val="bottom"/>
            <w:hideMark/>
          </w:tcPr>
          <w:p w14:paraId="628546FE" w14:textId="49F13CE1" w:rsidR="00006166" w:rsidRPr="00BB09C5" w:rsidRDefault="00006166" w:rsidP="00006166">
            <w:pPr>
              <w:spacing w:after="0" w:line="240" w:lineRule="auto"/>
              <w:rPr>
                <w:rFonts w:eastAsia="Times New Roman" w:cstheme="minorHAnsi"/>
                <w:color w:val="000000"/>
              </w:rPr>
            </w:pPr>
            <w:r w:rsidRPr="00BB09C5">
              <w:rPr>
                <w:rFonts w:eastAsia="Times New Roman" w:cstheme="minorHAnsi"/>
                <w:color w:val="000000"/>
              </w:rPr>
              <w:t>Medicaid</w:t>
            </w:r>
          </w:p>
        </w:tc>
        <w:tc>
          <w:tcPr>
            <w:tcW w:w="962" w:type="dxa"/>
            <w:tcBorders>
              <w:top w:val="nil"/>
              <w:left w:val="nil"/>
              <w:bottom w:val="single" w:sz="4" w:space="0" w:color="auto"/>
              <w:right w:val="single" w:sz="4" w:space="0" w:color="auto"/>
            </w:tcBorders>
            <w:shd w:val="clear" w:color="auto" w:fill="auto"/>
            <w:noWrap/>
            <w:vAlign w:val="bottom"/>
            <w:hideMark/>
          </w:tcPr>
          <w:p w14:paraId="2E015C0C"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1,348</w:t>
            </w:r>
          </w:p>
        </w:tc>
        <w:tc>
          <w:tcPr>
            <w:tcW w:w="1071" w:type="dxa"/>
            <w:tcBorders>
              <w:top w:val="nil"/>
              <w:left w:val="nil"/>
              <w:bottom w:val="single" w:sz="4" w:space="0" w:color="auto"/>
              <w:right w:val="single" w:sz="4" w:space="0" w:color="auto"/>
            </w:tcBorders>
            <w:shd w:val="clear" w:color="auto" w:fill="auto"/>
            <w:noWrap/>
            <w:vAlign w:val="bottom"/>
            <w:hideMark/>
          </w:tcPr>
          <w:p w14:paraId="05350B62" w14:textId="0E6766AD"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9.9%</w:t>
            </w:r>
          </w:p>
        </w:tc>
        <w:tc>
          <w:tcPr>
            <w:tcW w:w="1071" w:type="dxa"/>
            <w:tcBorders>
              <w:top w:val="nil"/>
              <w:left w:val="nil"/>
              <w:bottom w:val="single" w:sz="4" w:space="0" w:color="auto"/>
              <w:right w:val="single" w:sz="4" w:space="0" w:color="auto"/>
            </w:tcBorders>
            <w:shd w:val="clear" w:color="auto" w:fill="auto"/>
            <w:noWrap/>
            <w:vAlign w:val="bottom"/>
            <w:hideMark/>
          </w:tcPr>
          <w:p w14:paraId="5F026BF7"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2,301</w:t>
            </w:r>
          </w:p>
        </w:tc>
        <w:tc>
          <w:tcPr>
            <w:tcW w:w="1071" w:type="dxa"/>
            <w:tcBorders>
              <w:top w:val="nil"/>
              <w:left w:val="nil"/>
              <w:bottom w:val="single" w:sz="4" w:space="0" w:color="auto"/>
              <w:right w:val="single" w:sz="4" w:space="0" w:color="auto"/>
            </w:tcBorders>
            <w:shd w:val="clear" w:color="auto" w:fill="auto"/>
            <w:noWrap/>
            <w:vAlign w:val="bottom"/>
            <w:hideMark/>
          </w:tcPr>
          <w:p w14:paraId="7AF4D9DD" w14:textId="2A98BC5B"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15.0%</w:t>
            </w:r>
          </w:p>
        </w:tc>
        <w:tc>
          <w:tcPr>
            <w:tcW w:w="1071" w:type="dxa"/>
            <w:tcBorders>
              <w:top w:val="nil"/>
              <w:left w:val="nil"/>
              <w:bottom w:val="single" w:sz="4" w:space="0" w:color="auto"/>
              <w:right w:val="single" w:sz="4" w:space="0" w:color="auto"/>
            </w:tcBorders>
            <w:shd w:val="clear" w:color="auto" w:fill="auto"/>
            <w:noWrap/>
            <w:vAlign w:val="bottom"/>
            <w:hideMark/>
          </w:tcPr>
          <w:p w14:paraId="1E56EC26"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1,850</w:t>
            </w:r>
          </w:p>
        </w:tc>
        <w:tc>
          <w:tcPr>
            <w:tcW w:w="1071" w:type="dxa"/>
            <w:tcBorders>
              <w:top w:val="nil"/>
              <w:left w:val="nil"/>
              <w:bottom w:val="single" w:sz="4" w:space="0" w:color="auto"/>
              <w:right w:val="single" w:sz="4" w:space="0" w:color="auto"/>
            </w:tcBorders>
            <w:shd w:val="clear" w:color="auto" w:fill="auto"/>
            <w:noWrap/>
            <w:vAlign w:val="bottom"/>
            <w:hideMark/>
          </w:tcPr>
          <w:p w14:paraId="07AE20D6" w14:textId="3F53E291"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13.0%</w:t>
            </w:r>
          </w:p>
        </w:tc>
      </w:tr>
      <w:tr w:rsidR="000D57D7" w:rsidRPr="00BB09C5" w14:paraId="66D889FA" w14:textId="77777777" w:rsidTr="00AA3AE7">
        <w:trPr>
          <w:cantSplit/>
          <w:trHeight w:val="274"/>
        </w:trPr>
        <w:tc>
          <w:tcPr>
            <w:tcW w:w="3951" w:type="dxa"/>
            <w:tcBorders>
              <w:top w:val="nil"/>
              <w:left w:val="single" w:sz="4" w:space="0" w:color="auto"/>
              <w:bottom w:val="single" w:sz="4" w:space="0" w:color="auto"/>
              <w:right w:val="single" w:sz="4" w:space="0" w:color="auto"/>
            </w:tcBorders>
            <w:shd w:val="clear" w:color="auto" w:fill="auto"/>
            <w:noWrap/>
            <w:vAlign w:val="bottom"/>
            <w:hideMark/>
          </w:tcPr>
          <w:p w14:paraId="13305B10" w14:textId="46B95316" w:rsidR="000D57D7" w:rsidRPr="00BB09C5" w:rsidRDefault="000D57D7" w:rsidP="000D57D7">
            <w:pPr>
              <w:spacing w:after="0" w:line="240" w:lineRule="auto"/>
              <w:rPr>
                <w:rFonts w:eastAsia="Times New Roman" w:cstheme="minorHAnsi"/>
                <w:color w:val="000000"/>
              </w:rPr>
            </w:pPr>
            <w:r w:rsidRPr="00BB09C5">
              <w:rPr>
                <w:rFonts w:eastAsia="Times New Roman" w:cstheme="minorHAnsi"/>
                <w:color w:val="000000"/>
              </w:rPr>
              <w:t>Multiple Payors</w:t>
            </w:r>
          </w:p>
        </w:tc>
        <w:tc>
          <w:tcPr>
            <w:tcW w:w="962" w:type="dxa"/>
            <w:tcBorders>
              <w:top w:val="nil"/>
              <w:left w:val="nil"/>
              <w:bottom w:val="single" w:sz="4" w:space="0" w:color="auto"/>
              <w:right w:val="single" w:sz="4" w:space="0" w:color="auto"/>
            </w:tcBorders>
            <w:shd w:val="clear" w:color="auto" w:fill="auto"/>
            <w:noWrap/>
            <w:hideMark/>
          </w:tcPr>
          <w:p w14:paraId="412240CA" w14:textId="3786C705" w:rsidR="000D57D7" w:rsidRPr="00BB09C5" w:rsidRDefault="000D57D7" w:rsidP="000D57D7">
            <w:pPr>
              <w:spacing w:after="0" w:line="240" w:lineRule="auto"/>
              <w:jc w:val="center"/>
              <w:rPr>
                <w:rFonts w:eastAsia="Times New Roman" w:cstheme="minorHAnsi"/>
                <w:color w:val="000000"/>
              </w:rPr>
            </w:pPr>
            <w:r w:rsidRPr="00BB09C5">
              <w:rPr>
                <w:rFonts w:eastAsia="Times New Roman" w:cstheme="minorHAnsi"/>
                <w:i/>
                <w:iCs/>
                <w:color w:val="000000"/>
              </w:rPr>
              <w:t>Masked</w:t>
            </w:r>
          </w:p>
        </w:tc>
        <w:tc>
          <w:tcPr>
            <w:tcW w:w="1071" w:type="dxa"/>
            <w:tcBorders>
              <w:top w:val="nil"/>
              <w:left w:val="nil"/>
              <w:bottom w:val="single" w:sz="4" w:space="0" w:color="auto"/>
              <w:right w:val="single" w:sz="4" w:space="0" w:color="auto"/>
            </w:tcBorders>
            <w:shd w:val="clear" w:color="auto" w:fill="auto"/>
            <w:noWrap/>
            <w:hideMark/>
          </w:tcPr>
          <w:p w14:paraId="5A1C6644" w14:textId="06BD9061" w:rsidR="000D57D7" w:rsidRPr="00BB09C5" w:rsidRDefault="000D57D7" w:rsidP="000D57D7">
            <w:pPr>
              <w:spacing w:after="0" w:line="240" w:lineRule="auto"/>
              <w:jc w:val="center"/>
              <w:rPr>
                <w:rFonts w:eastAsia="Times New Roman" w:cstheme="minorHAnsi"/>
                <w:color w:val="000000"/>
              </w:rPr>
            </w:pPr>
            <w:r w:rsidRPr="00BB09C5">
              <w:rPr>
                <w:rFonts w:eastAsia="Times New Roman" w:cstheme="minorHAnsi"/>
                <w:i/>
                <w:iCs/>
                <w:color w:val="000000"/>
              </w:rPr>
              <w:t>Masked</w:t>
            </w:r>
          </w:p>
        </w:tc>
        <w:tc>
          <w:tcPr>
            <w:tcW w:w="1071" w:type="dxa"/>
            <w:tcBorders>
              <w:top w:val="nil"/>
              <w:left w:val="nil"/>
              <w:bottom w:val="single" w:sz="4" w:space="0" w:color="auto"/>
              <w:right w:val="single" w:sz="4" w:space="0" w:color="auto"/>
            </w:tcBorders>
            <w:shd w:val="clear" w:color="auto" w:fill="auto"/>
            <w:noWrap/>
            <w:vAlign w:val="bottom"/>
            <w:hideMark/>
          </w:tcPr>
          <w:p w14:paraId="0E8C133A" w14:textId="77777777" w:rsidR="000D57D7" w:rsidRPr="00BB09C5" w:rsidRDefault="000D57D7" w:rsidP="000D57D7">
            <w:pPr>
              <w:spacing w:after="0" w:line="240" w:lineRule="auto"/>
              <w:jc w:val="center"/>
              <w:rPr>
                <w:rFonts w:eastAsia="Times New Roman" w:cstheme="minorHAnsi"/>
                <w:color w:val="000000"/>
              </w:rPr>
            </w:pPr>
            <w:r w:rsidRPr="00BB09C5">
              <w:rPr>
                <w:rFonts w:eastAsia="Times New Roman" w:cstheme="minorHAnsi"/>
                <w:color w:val="000000"/>
              </w:rPr>
              <w:t>153</w:t>
            </w:r>
          </w:p>
        </w:tc>
        <w:tc>
          <w:tcPr>
            <w:tcW w:w="1071" w:type="dxa"/>
            <w:tcBorders>
              <w:top w:val="nil"/>
              <w:left w:val="nil"/>
              <w:bottom w:val="single" w:sz="4" w:space="0" w:color="auto"/>
              <w:right w:val="single" w:sz="4" w:space="0" w:color="auto"/>
            </w:tcBorders>
            <w:shd w:val="clear" w:color="auto" w:fill="auto"/>
            <w:noWrap/>
            <w:vAlign w:val="bottom"/>
            <w:hideMark/>
          </w:tcPr>
          <w:p w14:paraId="2ECA475A" w14:textId="407EC168" w:rsidR="000D57D7" w:rsidRPr="00BB09C5" w:rsidRDefault="000D57D7" w:rsidP="000D57D7">
            <w:pPr>
              <w:spacing w:after="0" w:line="240" w:lineRule="auto"/>
              <w:jc w:val="center"/>
              <w:rPr>
                <w:rFonts w:eastAsia="Times New Roman" w:cstheme="minorHAnsi"/>
                <w:color w:val="000000"/>
              </w:rPr>
            </w:pPr>
            <w:r w:rsidRPr="00BB09C5">
              <w:rPr>
                <w:rFonts w:eastAsia="Times New Roman" w:cstheme="minorHAnsi"/>
                <w:color w:val="000000"/>
              </w:rPr>
              <w:t>1.0%</w:t>
            </w:r>
          </w:p>
        </w:tc>
        <w:tc>
          <w:tcPr>
            <w:tcW w:w="1071" w:type="dxa"/>
            <w:tcBorders>
              <w:top w:val="nil"/>
              <w:left w:val="nil"/>
              <w:bottom w:val="single" w:sz="4" w:space="0" w:color="auto"/>
              <w:right w:val="single" w:sz="4" w:space="0" w:color="auto"/>
            </w:tcBorders>
            <w:shd w:val="clear" w:color="auto" w:fill="auto"/>
            <w:noWrap/>
            <w:vAlign w:val="bottom"/>
            <w:hideMark/>
          </w:tcPr>
          <w:p w14:paraId="212012C7" w14:textId="77777777" w:rsidR="000D57D7" w:rsidRPr="00BB09C5" w:rsidRDefault="000D57D7" w:rsidP="000D57D7">
            <w:pPr>
              <w:spacing w:after="0" w:line="240" w:lineRule="auto"/>
              <w:jc w:val="center"/>
              <w:rPr>
                <w:rFonts w:eastAsia="Times New Roman" w:cstheme="minorHAnsi"/>
                <w:color w:val="000000"/>
              </w:rPr>
            </w:pPr>
            <w:r w:rsidRPr="00BB09C5">
              <w:rPr>
                <w:rFonts w:eastAsia="Times New Roman" w:cstheme="minorHAnsi"/>
                <w:color w:val="000000"/>
              </w:rPr>
              <w:t>142</w:t>
            </w:r>
          </w:p>
        </w:tc>
        <w:tc>
          <w:tcPr>
            <w:tcW w:w="1071" w:type="dxa"/>
            <w:tcBorders>
              <w:top w:val="nil"/>
              <w:left w:val="nil"/>
              <w:bottom w:val="single" w:sz="4" w:space="0" w:color="auto"/>
              <w:right w:val="single" w:sz="4" w:space="0" w:color="auto"/>
            </w:tcBorders>
            <w:shd w:val="clear" w:color="auto" w:fill="auto"/>
            <w:noWrap/>
            <w:vAlign w:val="bottom"/>
            <w:hideMark/>
          </w:tcPr>
          <w:p w14:paraId="667D0FEB" w14:textId="1027BB1B" w:rsidR="000D57D7" w:rsidRPr="00BB09C5" w:rsidRDefault="000D57D7" w:rsidP="000D57D7">
            <w:pPr>
              <w:spacing w:after="0" w:line="240" w:lineRule="auto"/>
              <w:jc w:val="center"/>
              <w:rPr>
                <w:rFonts w:eastAsia="Times New Roman" w:cstheme="minorHAnsi"/>
                <w:color w:val="000000"/>
              </w:rPr>
            </w:pPr>
            <w:r w:rsidRPr="00BB09C5">
              <w:rPr>
                <w:rFonts w:eastAsia="Times New Roman" w:cstheme="minorHAnsi"/>
                <w:color w:val="000000"/>
              </w:rPr>
              <w:t>1.0%</w:t>
            </w:r>
          </w:p>
        </w:tc>
      </w:tr>
      <w:tr w:rsidR="00006166" w:rsidRPr="00BB09C5" w14:paraId="20805890" w14:textId="77777777" w:rsidTr="00AA3AE7">
        <w:trPr>
          <w:cantSplit/>
          <w:trHeight w:val="274"/>
        </w:trPr>
        <w:tc>
          <w:tcPr>
            <w:tcW w:w="3951" w:type="dxa"/>
            <w:tcBorders>
              <w:top w:val="nil"/>
              <w:left w:val="single" w:sz="4" w:space="0" w:color="auto"/>
              <w:bottom w:val="single" w:sz="4" w:space="0" w:color="auto"/>
              <w:right w:val="single" w:sz="4" w:space="0" w:color="auto"/>
            </w:tcBorders>
            <w:shd w:val="clear" w:color="auto" w:fill="auto"/>
            <w:noWrap/>
            <w:vAlign w:val="bottom"/>
            <w:hideMark/>
          </w:tcPr>
          <w:p w14:paraId="1C323355" w14:textId="4EB55A8B" w:rsidR="00006166" w:rsidRPr="00BB09C5" w:rsidRDefault="00006166" w:rsidP="00006166">
            <w:pPr>
              <w:spacing w:after="0" w:line="240" w:lineRule="auto"/>
              <w:rPr>
                <w:rFonts w:eastAsia="Times New Roman" w:cstheme="minorHAnsi"/>
                <w:color w:val="000000"/>
              </w:rPr>
            </w:pPr>
            <w:r w:rsidRPr="00BB09C5">
              <w:rPr>
                <w:rFonts w:eastAsia="Times New Roman" w:cstheme="minorHAnsi"/>
                <w:color w:val="000000"/>
              </w:rPr>
              <w:t>Other</w:t>
            </w:r>
          </w:p>
        </w:tc>
        <w:tc>
          <w:tcPr>
            <w:tcW w:w="962" w:type="dxa"/>
            <w:tcBorders>
              <w:top w:val="nil"/>
              <w:left w:val="nil"/>
              <w:bottom w:val="single" w:sz="4" w:space="0" w:color="auto"/>
              <w:right w:val="single" w:sz="4" w:space="0" w:color="auto"/>
            </w:tcBorders>
            <w:shd w:val="clear" w:color="auto" w:fill="auto"/>
            <w:noWrap/>
            <w:vAlign w:val="bottom"/>
            <w:hideMark/>
          </w:tcPr>
          <w:p w14:paraId="4CE812DA"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1,304</w:t>
            </w:r>
          </w:p>
        </w:tc>
        <w:tc>
          <w:tcPr>
            <w:tcW w:w="1071" w:type="dxa"/>
            <w:tcBorders>
              <w:top w:val="nil"/>
              <w:left w:val="nil"/>
              <w:bottom w:val="single" w:sz="4" w:space="0" w:color="auto"/>
              <w:right w:val="single" w:sz="4" w:space="0" w:color="auto"/>
            </w:tcBorders>
            <w:shd w:val="clear" w:color="auto" w:fill="auto"/>
            <w:noWrap/>
            <w:vAlign w:val="bottom"/>
            <w:hideMark/>
          </w:tcPr>
          <w:p w14:paraId="7E282044" w14:textId="2BD3184E"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9.</w:t>
            </w:r>
            <w:r w:rsidR="00BD6D73" w:rsidRPr="00BB09C5">
              <w:rPr>
                <w:rFonts w:eastAsia="Times New Roman" w:cstheme="minorHAnsi"/>
                <w:color w:val="000000"/>
              </w:rPr>
              <w:t>6</w:t>
            </w:r>
            <w:r w:rsidRPr="00BB09C5">
              <w:rPr>
                <w:rFonts w:eastAsia="Times New Roman" w:cstheme="minorHAnsi"/>
                <w:color w:val="000000"/>
              </w:rPr>
              <w:t>%</w:t>
            </w:r>
          </w:p>
        </w:tc>
        <w:tc>
          <w:tcPr>
            <w:tcW w:w="1071" w:type="dxa"/>
            <w:tcBorders>
              <w:top w:val="nil"/>
              <w:left w:val="nil"/>
              <w:bottom w:val="single" w:sz="4" w:space="0" w:color="auto"/>
              <w:right w:val="single" w:sz="4" w:space="0" w:color="auto"/>
            </w:tcBorders>
            <w:shd w:val="clear" w:color="auto" w:fill="auto"/>
            <w:noWrap/>
            <w:vAlign w:val="bottom"/>
            <w:hideMark/>
          </w:tcPr>
          <w:p w14:paraId="646AC032"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1,841</w:t>
            </w:r>
          </w:p>
        </w:tc>
        <w:tc>
          <w:tcPr>
            <w:tcW w:w="1071" w:type="dxa"/>
            <w:tcBorders>
              <w:top w:val="nil"/>
              <w:left w:val="nil"/>
              <w:bottom w:val="single" w:sz="4" w:space="0" w:color="auto"/>
              <w:right w:val="single" w:sz="4" w:space="0" w:color="auto"/>
            </w:tcBorders>
            <w:shd w:val="clear" w:color="auto" w:fill="auto"/>
            <w:noWrap/>
            <w:vAlign w:val="bottom"/>
            <w:hideMark/>
          </w:tcPr>
          <w:p w14:paraId="6E5C22CA" w14:textId="59CE7E28"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12.0%</w:t>
            </w:r>
          </w:p>
        </w:tc>
        <w:tc>
          <w:tcPr>
            <w:tcW w:w="1071" w:type="dxa"/>
            <w:tcBorders>
              <w:top w:val="nil"/>
              <w:left w:val="nil"/>
              <w:bottom w:val="single" w:sz="4" w:space="0" w:color="auto"/>
              <w:right w:val="single" w:sz="4" w:space="0" w:color="auto"/>
            </w:tcBorders>
            <w:shd w:val="clear" w:color="auto" w:fill="auto"/>
            <w:noWrap/>
            <w:vAlign w:val="bottom"/>
            <w:hideMark/>
          </w:tcPr>
          <w:p w14:paraId="5FAF9D69" w14:textId="77777777"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1,992</w:t>
            </w:r>
          </w:p>
        </w:tc>
        <w:tc>
          <w:tcPr>
            <w:tcW w:w="1071" w:type="dxa"/>
            <w:tcBorders>
              <w:top w:val="nil"/>
              <w:left w:val="nil"/>
              <w:bottom w:val="single" w:sz="4" w:space="0" w:color="auto"/>
              <w:right w:val="single" w:sz="4" w:space="0" w:color="auto"/>
            </w:tcBorders>
            <w:shd w:val="clear" w:color="auto" w:fill="auto"/>
            <w:noWrap/>
            <w:vAlign w:val="bottom"/>
            <w:hideMark/>
          </w:tcPr>
          <w:p w14:paraId="6F36B310" w14:textId="5F41B9E6" w:rsidR="00006166" w:rsidRPr="00BB09C5" w:rsidRDefault="00006166" w:rsidP="00006166">
            <w:pPr>
              <w:spacing w:after="0" w:line="240" w:lineRule="auto"/>
              <w:jc w:val="center"/>
              <w:rPr>
                <w:rFonts w:eastAsia="Times New Roman" w:cstheme="minorHAnsi"/>
                <w:color w:val="000000"/>
              </w:rPr>
            </w:pPr>
            <w:r w:rsidRPr="00BB09C5">
              <w:rPr>
                <w:rFonts w:eastAsia="Times New Roman" w:cstheme="minorHAnsi"/>
                <w:color w:val="000000"/>
              </w:rPr>
              <w:t>14.0%</w:t>
            </w:r>
          </w:p>
        </w:tc>
      </w:tr>
    </w:tbl>
    <w:p w14:paraId="6432AE5D" w14:textId="77777777" w:rsidR="002F7CF4" w:rsidRPr="00BB09C5" w:rsidRDefault="002F7CF4" w:rsidP="00FF328B">
      <w:pPr>
        <w:pStyle w:val="ListParagraph"/>
        <w:spacing w:after="0" w:line="229" w:lineRule="exact"/>
        <w:rPr>
          <w:rStyle w:val="cf01"/>
          <w:rFonts w:asciiTheme="minorHAnsi" w:hAnsiTheme="minorHAnsi" w:cstheme="minorHAnsi"/>
          <w:color w:val="4472C4" w:themeColor="accent1"/>
          <w:sz w:val="22"/>
          <w:szCs w:val="22"/>
        </w:rPr>
      </w:pPr>
    </w:p>
    <w:p w14:paraId="6A8A3C43" w14:textId="77777777" w:rsidR="00051AEF" w:rsidRPr="00BB09C5" w:rsidRDefault="00051AEF" w:rsidP="00FF328B">
      <w:pPr>
        <w:pStyle w:val="ListParagraph"/>
        <w:spacing w:after="0" w:line="229" w:lineRule="exact"/>
        <w:rPr>
          <w:rStyle w:val="cf01"/>
          <w:rFonts w:asciiTheme="minorHAnsi" w:hAnsiTheme="minorHAnsi" w:cstheme="minorHAnsi"/>
          <w:sz w:val="22"/>
          <w:szCs w:val="22"/>
        </w:rPr>
      </w:pPr>
    </w:p>
    <w:p w14:paraId="0FDCC5B2" w14:textId="129C7387" w:rsidR="00CF3F4C" w:rsidRPr="00BB09C5" w:rsidRDefault="00FF328B" w:rsidP="00DF54A7">
      <w:pPr>
        <w:rPr>
          <w:rFonts w:cstheme="minorHAnsi"/>
          <w:b/>
          <w:bCs/>
        </w:rPr>
      </w:pPr>
      <w:r w:rsidRPr="00BB09C5">
        <w:rPr>
          <w:rFonts w:cstheme="minorHAnsi"/>
          <w:b/>
          <w:bCs/>
        </w:rPr>
        <w:t>Factor 1a</w:t>
      </w:r>
      <w:r w:rsidR="00DF54A7" w:rsidRPr="00BB09C5">
        <w:rPr>
          <w:rFonts w:cstheme="minorHAnsi"/>
          <w:b/>
          <w:bCs/>
        </w:rPr>
        <w:t>i</w:t>
      </w:r>
      <w:r w:rsidRPr="00BB09C5">
        <w:rPr>
          <w:rFonts w:cstheme="minorHAnsi"/>
          <w:b/>
          <w:bCs/>
        </w:rPr>
        <w:t>i: Patient Panel Need</w:t>
      </w:r>
    </w:p>
    <w:p w14:paraId="5F4BE054" w14:textId="69DB5A79" w:rsidR="00A80684" w:rsidRPr="00BB09C5" w:rsidRDefault="00A80684" w:rsidP="00D17C2F">
      <w:pPr>
        <w:pStyle w:val="ListParagraph"/>
        <w:numPr>
          <w:ilvl w:val="0"/>
          <w:numId w:val="38"/>
        </w:numPr>
        <w:spacing w:before="240" w:after="0" w:line="229" w:lineRule="exact"/>
        <w:rPr>
          <w:rFonts w:cstheme="minorHAnsi"/>
        </w:rPr>
      </w:pPr>
      <w:r w:rsidRPr="00BB09C5">
        <w:rPr>
          <w:rFonts w:cstheme="minorHAnsi"/>
        </w:rPr>
        <w:t>Page 15 of the Narrative states</w:t>
      </w:r>
      <w:r w:rsidR="00CD72FB" w:rsidRPr="00BB09C5">
        <w:rPr>
          <w:rFonts w:cstheme="minorHAnsi"/>
        </w:rPr>
        <w:t>, “</w:t>
      </w:r>
      <w:r w:rsidR="00021767" w:rsidRPr="00BB09C5">
        <w:rPr>
          <w:rFonts w:cstheme="minorHAnsi"/>
        </w:rPr>
        <w:t>there is a significant undersupply of hematology-oncology physicians in the Plymouth area.” Please provide any</w:t>
      </w:r>
      <w:r w:rsidR="006149B7" w:rsidRPr="00BB09C5">
        <w:rPr>
          <w:rFonts w:cstheme="minorHAnsi"/>
        </w:rPr>
        <w:t xml:space="preserve"> research or data demonstrating that the area is undersupplied in hematology-oncology physicians.</w:t>
      </w:r>
    </w:p>
    <w:p w14:paraId="1F2AB930" w14:textId="36D16E2D" w:rsidR="008C57DC" w:rsidRPr="00BB09C5" w:rsidRDefault="008C57DC" w:rsidP="008C57DC">
      <w:pPr>
        <w:pStyle w:val="ListParagraph"/>
        <w:spacing w:before="240" w:after="0" w:line="229" w:lineRule="exact"/>
        <w:rPr>
          <w:rFonts w:cstheme="minorHAnsi"/>
        </w:rPr>
      </w:pPr>
    </w:p>
    <w:p w14:paraId="1B7C91B6" w14:textId="1455B551" w:rsidR="008C57DC" w:rsidRPr="00BB09C5" w:rsidRDefault="008C57DC" w:rsidP="008C57DC">
      <w:pPr>
        <w:pStyle w:val="ListParagraph"/>
        <w:spacing w:before="240" w:after="0" w:line="229" w:lineRule="exact"/>
        <w:rPr>
          <w:rFonts w:cstheme="minorHAnsi"/>
          <w:b/>
          <w:bCs/>
          <w:iCs/>
        </w:rPr>
      </w:pPr>
      <w:r w:rsidRPr="00BB09C5">
        <w:rPr>
          <w:rFonts w:cstheme="minorHAnsi"/>
          <w:b/>
          <w:bCs/>
          <w:iCs/>
        </w:rPr>
        <w:t xml:space="preserve">BILH uses the STRATUS ambulatory planning tool through </w:t>
      </w:r>
      <w:r w:rsidR="00746E66" w:rsidRPr="00BB09C5">
        <w:rPr>
          <w:rFonts w:cstheme="minorHAnsi"/>
          <w:b/>
          <w:bCs/>
          <w:iCs/>
        </w:rPr>
        <w:t xml:space="preserve">its </w:t>
      </w:r>
      <w:r w:rsidRPr="00BB09C5">
        <w:rPr>
          <w:rFonts w:cstheme="minorHAnsi"/>
          <w:b/>
          <w:bCs/>
          <w:iCs/>
        </w:rPr>
        <w:t>contract with Real Estate Strategies (</w:t>
      </w:r>
      <w:r w:rsidR="00BD6D73" w:rsidRPr="00BB09C5">
        <w:rPr>
          <w:rFonts w:cstheme="minorHAnsi"/>
          <w:b/>
          <w:bCs/>
          <w:iCs/>
        </w:rPr>
        <w:t>“</w:t>
      </w:r>
      <w:r w:rsidRPr="00BB09C5">
        <w:rPr>
          <w:rFonts w:cstheme="minorHAnsi"/>
          <w:b/>
          <w:bCs/>
          <w:iCs/>
        </w:rPr>
        <w:t>RES</w:t>
      </w:r>
      <w:r w:rsidR="00BD6D73" w:rsidRPr="00BB09C5">
        <w:rPr>
          <w:rFonts w:cstheme="minorHAnsi"/>
          <w:b/>
          <w:bCs/>
          <w:iCs/>
        </w:rPr>
        <w:t>”</w:t>
      </w:r>
      <w:r w:rsidRPr="00BB09C5">
        <w:rPr>
          <w:rFonts w:cstheme="minorHAnsi"/>
          <w:b/>
          <w:bCs/>
          <w:iCs/>
        </w:rPr>
        <w:t xml:space="preserve">). The tool </w:t>
      </w:r>
      <w:r w:rsidR="00EF55AD" w:rsidRPr="00BB09C5">
        <w:rPr>
          <w:rFonts w:cstheme="minorHAnsi"/>
          <w:b/>
          <w:bCs/>
          <w:iCs/>
        </w:rPr>
        <w:t xml:space="preserve">applies predictive analytics to a combined dataset of </w:t>
      </w:r>
      <w:r w:rsidRPr="00BB09C5">
        <w:rPr>
          <w:rFonts w:cstheme="minorHAnsi"/>
          <w:b/>
          <w:bCs/>
          <w:iCs/>
        </w:rPr>
        <w:t>market demographic</w:t>
      </w:r>
      <w:r w:rsidR="00EF55AD" w:rsidRPr="00BB09C5">
        <w:rPr>
          <w:rFonts w:cstheme="minorHAnsi"/>
          <w:b/>
          <w:bCs/>
          <w:iCs/>
        </w:rPr>
        <w:t>s</w:t>
      </w:r>
      <w:r w:rsidRPr="00BB09C5">
        <w:rPr>
          <w:rFonts w:cstheme="minorHAnsi"/>
          <w:b/>
          <w:bCs/>
          <w:iCs/>
        </w:rPr>
        <w:t xml:space="preserve"> from </w:t>
      </w:r>
      <w:r w:rsidR="00746E66" w:rsidRPr="00BB09C5">
        <w:rPr>
          <w:rFonts w:cstheme="minorHAnsi"/>
          <w:b/>
          <w:bCs/>
          <w:iCs/>
        </w:rPr>
        <w:t>Environmental Systems Research Institute, Inc (“ESRI”)</w:t>
      </w:r>
      <w:r w:rsidR="00006166" w:rsidRPr="00BB09C5">
        <w:rPr>
          <w:rFonts w:cstheme="minorHAnsi"/>
          <w:b/>
          <w:bCs/>
          <w:iCs/>
        </w:rPr>
        <w:t xml:space="preserve"> </w:t>
      </w:r>
      <w:r w:rsidR="00EF55AD" w:rsidRPr="00BB09C5">
        <w:rPr>
          <w:rFonts w:cstheme="minorHAnsi"/>
          <w:b/>
          <w:bCs/>
          <w:iCs/>
        </w:rPr>
        <w:t>and healthcare claims from IBM Watson to project patient demand and physician need</w:t>
      </w:r>
      <w:r w:rsidR="007F7F7A" w:rsidRPr="00BB09C5">
        <w:rPr>
          <w:rFonts w:cstheme="minorHAnsi"/>
          <w:b/>
          <w:bCs/>
          <w:iCs/>
        </w:rPr>
        <w:t xml:space="preserve"> for ambulatory services</w:t>
      </w:r>
      <w:r w:rsidR="00EF55AD" w:rsidRPr="00BB09C5">
        <w:rPr>
          <w:rFonts w:cstheme="minorHAnsi"/>
          <w:b/>
          <w:bCs/>
          <w:iCs/>
        </w:rPr>
        <w:t xml:space="preserve">. The </w:t>
      </w:r>
      <w:r w:rsidR="00051AEF" w:rsidRPr="00BB09C5">
        <w:rPr>
          <w:rFonts w:cstheme="minorHAnsi"/>
          <w:b/>
          <w:bCs/>
          <w:iCs/>
        </w:rPr>
        <w:t xml:space="preserve">table below captures the </w:t>
      </w:r>
      <w:r w:rsidR="00EF55AD" w:rsidRPr="00BB09C5">
        <w:rPr>
          <w:rFonts w:cstheme="minorHAnsi"/>
          <w:b/>
          <w:bCs/>
          <w:iCs/>
        </w:rPr>
        <w:t>results for the Plymouth region</w:t>
      </w:r>
      <w:r w:rsidR="00051AEF" w:rsidRPr="00BB09C5">
        <w:rPr>
          <w:rFonts w:cstheme="minorHAnsi"/>
          <w:b/>
          <w:bCs/>
          <w:iCs/>
        </w:rPr>
        <w:t>.</w:t>
      </w:r>
    </w:p>
    <w:p w14:paraId="4D8CBB05" w14:textId="019B1A6B" w:rsidR="00252CB8" w:rsidRPr="00BB09C5" w:rsidRDefault="00252CB8" w:rsidP="008C57DC">
      <w:pPr>
        <w:pStyle w:val="ListParagraph"/>
        <w:spacing w:before="240" w:after="0" w:line="229" w:lineRule="exact"/>
        <w:rPr>
          <w:rFonts w:cstheme="minorHAnsi"/>
          <w:b/>
          <w:bCs/>
          <w:iCs/>
        </w:rPr>
      </w:pPr>
    </w:p>
    <w:p w14:paraId="365124FB" w14:textId="3B21E7DB" w:rsidR="00252CB8" w:rsidRPr="00BB09C5" w:rsidRDefault="00252CB8" w:rsidP="008C57DC">
      <w:pPr>
        <w:pStyle w:val="ListParagraph"/>
        <w:spacing w:before="240" w:after="0" w:line="229" w:lineRule="exact"/>
        <w:rPr>
          <w:rFonts w:cstheme="minorHAnsi"/>
          <w:b/>
          <w:bCs/>
          <w:iCs/>
        </w:rPr>
      </w:pPr>
      <w:r w:rsidRPr="00BB09C5">
        <w:rPr>
          <w:rFonts w:cstheme="minorHAnsi"/>
          <w:b/>
          <w:bCs/>
          <w:iCs/>
        </w:rPr>
        <w:t xml:space="preserve">Market Demand reflects the 5-year forecasted demand for Hematology-Oncology outpatient services in the BID Plymouth service area. </w:t>
      </w:r>
      <w:r w:rsidR="003B00E6" w:rsidRPr="00BB09C5">
        <w:rPr>
          <w:rFonts w:cstheme="minorHAnsi"/>
          <w:b/>
          <w:bCs/>
          <w:iCs/>
        </w:rPr>
        <w:t>The calculation(s) used to forecast future demand is based on a proprietary methodology created by RES.</w:t>
      </w:r>
    </w:p>
    <w:p w14:paraId="00C21C2C" w14:textId="46FDCEDE" w:rsidR="00FB2481" w:rsidRPr="00BB09C5" w:rsidRDefault="00FB2481" w:rsidP="008C57DC">
      <w:pPr>
        <w:pStyle w:val="ListParagraph"/>
        <w:spacing w:before="240" w:after="0" w:line="229" w:lineRule="exact"/>
        <w:rPr>
          <w:rFonts w:cstheme="minorHAnsi"/>
          <w:b/>
          <w:bCs/>
          <w:iCs/>
        </w:rPr>
      </w:pPr>
    </w:p>
    <w:p w14:paraId="11F5FB29" w14:textId="4E22BB7E" w:rsidR="00FB2481" w:rsidRPr="00BB09C5" w:rsidRDefault="00FB2481" w:rsidP="008C57DC">
      <w:pPr>
        <w:pStyle w:val="ListParagraph"/>
        <w:spacing w:before="240" w:after="0" w:line="229" w:lineRule="exact"/>
        <w:rPr>
          <w:rFonts w:cstheme="minorHAnsi"/>
          <w:b/>
          <w:bCs/>
          <w:iCs/>
        </w:rPr>
      </w:pPr>
      <w:r w:rsidRPr="00BB09C5">
        <w:rPr>
          <w:rFonts w:cstheme="minorHAnsi"/>
          <w:b/>
          <w:bCs/>
          <w:iCs/>
        </w:rPr>
        <w:t xml:space="preserve">Market Physician Need reflects the FTE </w:t>
      </w:r>
      <w:r w:rsidR="00C924E3" w:rsidRPr="00BB09C5">
        <w:rPr>
          <w:rFonts w:cstheme="minorHAnsi"/>
          <w:b/>
          <w:bCs/>
          <w:iCs/>
        </w:rPr>
        <w:t xml:space="preserve">Hematology-Oncology </w:t>
      </w:r>
      <w:r w:rsidRPr="00BB09C5">
        <w:rPr>
          <w:rFonts w:cstheme="minorHAnsi"/>
          <w:b/>
          <w:bCs/>
          <w:iCs/>
        </w:rPr>
        <w:t xml:space="preserve">physician need </w:t>
      </w:r>
      <w:r w:rsidR="00C924E3" w:rsidRPr="00BB09C5">
        <w:rPr>
          <w:rFonts w:cstheme="minorHAnsi"/>
          <w:b/>
          <w:bCs/>
          <w:iCs/>
        </w:rPr>
        <w:t xml:space="preserve">in order to accommodate the Market Demand defined above </w:t>
      </w:r>
      <w:r w:rsidRPr="00BB09C5">
        <w:rPr>
          <w:rFonts w:cstheme="minorHAnsi"/>
          <w:b/>
          <w:bCs/>
          <w:iCs/>
        </w:rPr>
        <w:t>in the BID Plymouth service area.</w:t>
      </w:r>
      <w:r w:rsidR="00D4092D" w:rsidRPr="00BB09C5">
        <w:rPr>
          <w:rFonts w:cstheme="minorHAnsi"/>
          <w:b/>
          <w:bCs/>
          <w:iCs/>
        </w:rPr>
        <w:t xml:space="preserve"> This is calculated applying the above defined 5-year forecasted Market Demand</w:t>
      </w:r>
      <w:r w:rsidR="003B00E6" w:rsidRPr="00BB09C5">
        <w:rPr>
          <w:rFonts w:cstheme="minorHAnsi"/>
          <w:b/>
          <w:bCs/>
          <w:iCs/>
        </w:rPr>
        <w:t xml:space="preserve"> against a proprietary methodology of physician productivity by specialty created by RES.</w:t>
      </w:r>
    </w:p>
    <w:p w14:paraId="7A901204" w14:textId="29F793EE" w:rsidR="00FB2481" w:rsidRPr="00BB09C5" w:rsidRDefault="00FB2481" w:rsidP="008C57DC">
      <w:pPr>
        <w:pStyle w:val="ListParagraph"/>
        <w:spacing w:before="240" w:after="0" w:line="229" w:lineRule="exact"/>
        <w:rPr>
          <w:rFonts w:cstheme="minorHAnsi"/>
          <w:b/>
          <w:bCs/>
          <w:iCs/>
        </w:rPr>
      </w:pPr>
    </w:p>
    <w:p w14:paraId="6BDFEC63" w14:textId="1B94452C" w:rsidR="00FB2481" w:rsidRPr="00BB09C5" w:rsidRDefault="00FB2481" w:rsidP="008C57DC">
      <w:pPr>
        <w:pStyle w:val="ListParagraph"/>
        <w:spacing w:before="240" w:after="0" w:line="229" w:lineRule="exact"/>
        <w:rPr>
          <w:rFonts w:cstheme="minorHAnsi"/>
          <w:b/>
          <w:bCs/>
          <w:iCs/>
        </w:rPr>
      </w:pPr>
      <w:r w:rsidRPr="00BB09C5">
        <w:rPr>
          <w:rFonts w:cstheme="minorHAnsi"/>
          <w:b/>
          <w:bCs/>
          <w:iCs/>
        </w:rPr>
        <w:t xml:space="preserve">Physician Supply represents the FTE count of Hematology-Oncology physicians in the BID Plymouth service area as of </w:t>
      </w:r>
      <w:r w:rsidR="00D4092D" w:rsidRPr="00BB09C5">
        <w:rPr>
          <w:rFonts w:cstheme="minorHAnsi"/>
          <w:b/>
          <w:bCs/>
          <w:iCs/>
        </w:rPr>
        <w:t>2022.</w:t>
      </w:r>
    </w:p>
    <w:p w14:paraId="1CD45F00" w14:textId="77777777" w:rsidR="00D4092D" w:rsidRPr="00BB09C5" w:rsidRDefault="00D4092D" w:rsidP="008C57DC">
      <w:pPr>
        <w:pStyle w:val="ListParagraph"/>
        <w:spacing w:before="240" w:after="0" w:line="229" w:lineRule="exact"/>
        <w:rPr>
          <w:rFonts w:cstheme="minorHAnsi"/>
          <w:b/>
          <w:bCs/>
          <w:iCs/>
        </w:rPr>
      </w:pPr>
    </w:p>
    <w:p w14:paraId="3B3C6851" w14:textId="32022F32" w:rsidR="00FB2481" w:rsidRPr="00BB09C5" w:rsidRDefault="00FB2481" w:rsidP="008C57DC">
      <w:pPr>
        <w:pStyle w:val="ListParagraph"/>
        <w:spacing w:before="240" w:after="0" w:line="229" w:lineRule="exact"/>
        <w:rPr>
          <w:rFonts w:cstheme="minorHAnsi"/>
          <w:b/>
          <w:bCs/>
          <w:iCs/>
        </w:rPr>
      </w:pPr>
      <w:r w:rsidRPr="00BB09C5">
        <w:rPr>
          <w:rFonts w:cstheme="minorHAnsi"/>
          <w:b/>
          <w:bCs/>
          <w:iCs/>
        </w:rPr>
        <w:lastRenderedPageBreak/>
        <w:t xml:space="preserve">Market Unmet Demand represents the </w:t>
      </w:r>
      <w:r w:rsidR="00EB7EB9" w:rsidRPr="00BB09C5">
        <w:rPr>
          <w:rFonts w:cstheme="minorHAnsi"/>
          <w:b/>
          <w:bCs/>
          <w:iCs/>
        </w:rPr>
        <w:t>gap between the current Physician FTE Supply noted above and the Physician Supply that w</w:t>
      </w:r>
      <w:r w:rsidR="00C924E3" w:rsidRPr="00BB09C5">
        <w:rPr>
          <w:rFonts w:cstheme="minorHAnsi"/>
          <w:b/>
          <w:bCs/>
          <w:iCs/>
        </w:rPr>
        <w:t>ill</w:t>
      </w:r>
      <w:r w:rsidR="00EB7EB9" w:rsidRPr="00BB09C5">
        <w:rPr>
          <w:rFonts w:cstheme="minorHAnsi"/>
          <w:b/>
          <w:bCs/>
          <w:iCs/>
        </w:rPr>
        <w:t xml:space="preserve"> be needed to provide Hematology-Oncology services to meet 100% of th</w:t>
      </w:r>
      <w:r w:rsidR="00215B58" w:rsidRPr="00BB09C5">
        <w:rPr>
          <w:rFonts w:cstheme="minorHAnsi"/>
          <w:b/>
          <w:bCs/>
          <w:iCs/>
        </w:rPr>
        <w:t xml:space="preserve">e 5-year forecasted </w:t>
      </w:r>
      <w:r w:rsidRPr="00BB09C5">
        <w:rPr>
          <w:rFonts w:cstheme="minorHAnsi"/>
          <w:b/>
          <w:bCs/>
          <w:iCs/>
        </w:rPr>
        <w:t xml:space="preserve">Market Demand </w:t>
      </w:r>
      <w:r w:rsidR="00EB7EB9" w:rsidRPr="00BB09C5">
        <w:rPr>
          <w:rFonts w:cstheme="minorHAnsi"/>
          <w:b/>
          <w:bCs/>
          <w:iCs/>
        </w:rPr>
        <w:t>noted above</w:t>
      </w:r>
      <w:r w:rsidR="00215B58" w:rsidRPr="00BB09C5">
        <w:rPr>
          <w:rFonts w:cstheme="minorHAnsi"/>
          <w:b/>
          <w:bCs/>
          <w:iCs/>
        </w:rPr>
        <w:t>.</w:t>
      </w:r>
      <w:r w:rsidR="00C92FBB" w:rsidRPr="00BB09C5">
        <w:rPr>
          <w:rFonts w:cstheme="minorHAnsi"/>
          <w:b/>
          <w:bCs/>
          <w:iCs/>
        </w:rPr>
        <w:t xml:space="preserve"> </w:t>
      </w:r>
    </w:p>
    <w:p w14:paraId="38D3019D" w14:textId="0EF79B84" w:rsidR="00215B58" w:rsidRPr="00BB09C5" w:rsidRDefault="00215B58" w:rsidP="008C57DC">
      <w:pPr>
        <w:pStyle w:val="ListParagraph"/>
        <w:spacing w:before="240" w:after="0" w:line="229" w:lineRule="exact"/>
        <w:rPr>
          <w:rFonts w:cstheme="minorHAnsi"/>
          <w:b/>
          <w:bCs/>
          <w:iCs/>
        </w:rPr>
      </w:pPr>
    </w:p>
    <w:p w14:paraId="4C15BFCA" w14:textId="09EAA0D5" w:rsidR="00215B58" w:rsidRPr="00BB09C5" w:rsidRDefault="00215B58" w:rsidP="008C57DC">
      <w:pPr>
        <w:pStyle w:val="ListParagraph"/>
        <w:spacing w:before="240" w:after="0" w:line="229" w:lineRule="exact"/>
        <w:rPr>
          <w:rFonts w:cstheme="minorHAnsi"/>
          <w:b/>
          <w:bCs/>
          <w:iCs/>
        </w:rPr>
      </w:pPr>
      <w:r w:rsidRPr="00BB09C5">
        <w:rPr>
          <w:rFonts w:cstheme="minorHAnsi"/>
          <w:b/>
          <w:bCs/>
          <w:iCs/>
        </w:rPr>
        <w:t>BILH Physician FTE Supply represents the FTE count of Hematology-Oncology physicia</w:t>
      </w:r>
      <w:r w:rsidR="00C924E3" w:rsidRPr="00BB09C5">
        <w:rPr>
          <w:rFonts w:cstheme="minorHAnsi"/>
          <w:b/>
          <w:bCs/>
          <w:iCs/>
        </w:rPr>
        <w:t xml:space="preserve">ns in the </w:t>
      </w:r>
      <w:r w:rsidRPr="00BB09C5">
        <w:rPr>
          <w:rFonts w:cstheme="minorHAnsi"/>
          <w:b/>
          <w:bCs/>
          <w:iCs/>
        </w:rPr>
        <w:t xml:space="preserve">BID Plymouth service area as of </w:t>
      </w:r>
      <w:r w:rsidR="00D4092D" w:rsidRPr="00BB09C5">
        <w:rPr>
          <w:rFonts w:cstheme="minorHAnsi"/>
          <w:b/>
          <w:bCs/>
          <w:iCs/>
        </w:rPr>
        <w:t>2022</w:t>
      </w:r>
      <w:r w:rsidR="00EB7EB9" w:rsidRPr="00BB09C5">
        <w:rPr>
          <w:rFonts w:cstheme="minorHAnsi"/>
          <w:b/>
          <w:bCs/>
          <w:iCs/>
        </w:rPr>
        <w:t xml:space="preserve"> who are in the Beth Israel Lahey Health Performance Network</w:t>
      </w:r>
      <w:r w:rsidRPr="00BB09C5">
        <w:rPr>
          <w:rFonts w:cstheme="minorHAnsi"/>
          <w:b/>
          <w:bCs/>
          <w:iCs/>
        </w:rPr>
        <w:t>.</w:t>
      </w:r>
    </w:p>
    <w:p w14:paraId="19F2DC3E" w14:textId="7E144D21" w:rsidR="00FB2481" w:rsidRPr="00BB09C5" w:rsidRDefault="00FB2481" w:rsidP="008C57DC">
      <w:pPr>
        <w:pStyle w:val="ListParagraph"/>
        <w:spacing w:before="240" w:after="0" w:line="229" w:lineRule="exact"/>
        <w:rPr>
          <w:rFonts w:cstheme="minorHAnsi"/>
          <w:b/>
          <w:bCs/>
          <w:iCs/>
        </w:rPr>
      </w:pPr>
      <w:r w:rsidRPr="00BB09C5">
        <w:rPr>
          <w:rFonts w:cstheme="minorHAnsi"/>
          <w:b/>
          <w:bCs/>
          <w:iCs/>
        </w:rPr>
        <w:t xml:space="preserve"> </w:t>
      </w:r>
    </w:p>
    <w:p w14:paraId="65FDEB5D" w14:textId="77777777" w:rsidR="00EF55AD" w:rsidRPr="00BB09C5" w:rsidRDefault="00EF55AD" w:rsidP="008C57DC">
      <w:pPr>
        <w:pStyle w:val="ListParagraph"/>
        <w:spacing w:before="240" w:after="0" w:line="229" w:lineRule="exact"/>
        <w:rPr>
          <w:rFonts w:cstheme="minorHAnsi"/>
        </w:rPr>
      </w:pPr>
    </w:p>
    <w:tbl>
      <w:tblPr>
        <w:tblStyle w:val="TableGrid"/>
        <w:tblW w:w="0" w:type="auto"/>
        <w:tblInd w:w="720" w:type="dxa"/>
        <w:tblLook w:val="04A0" w:firstRow="1" w:lastRow="0" w:firstColumn="1" w:lastColumn="0" w:noHBand="0" w:noVBand="1"/>
      </w:tblPr>
      <w:tblGrid>
        <w:gridCol w:w="1762"/>
        <w:gridCol w:w="1562"/>
        <w:gridCol w:w="1604"/>
        <w:gridCol w:w="1604"/>
        <w:gridCol w:w="1561"/>
        <w:gridCol w:w="1257"/>
      </w:tblGrid>
      <w:tr w:rsidR="00C20F9A" w:rsidRPr="00BB09C5" w14:paraId="7526FED6" w14:textId="63988D28" w:rsidTr="00BB09C5">
        <w:tc>
          <w:tcPr>
            <w:tcW w:w="1762" w:type="dxa"/>
            <w:shd w:val="clear" w:color="auto" w:fill="BDD6EE" w:themeFill="accent5" w:themeFillTint="66"/>
            <w:vAlign w:val="center"/>
          </w:tcPr>
          <w:p w14:paraId="480D9E73" w14:textId="3A7EA425" w:rsidR="00C20F9A" w:rsidRPr="00BB09C5" w:rsidRDefault="00C20F9A" w:rsidP="00BB09C5">
            <w:pPr>
              <w:pStyle w:val="ListParagraph"/>
              <w:spacing w:before="240" w:line="229" w:lineRule="exact"/>
              <w:ind w:left="0"/>
              <w:jc w:val="center"/>
              <w:rPr>
                <w:rFonts w:cstheme="minorHAnsi"/>
                <w:b/>
                <w:iCs/>
              </w:rPr>
            </w:pPr>
            <w:r w:rsidRPr="00BB09C5">
              <w:rPr>
                <w:rFonts w:cstheme="minorHAnsi"/>
                <w:b/>
                <w:iCs/>
              </w:rPr>
              <w:t>Specialty</w:t>
            </w:r>
          </w:p>
        </w:tc>
        <w:tc>
          <w:tcPr>
            <w:tcW w:w="1562" w:type="dxa"/>
            <w:shd w:val="clear" w:color="auto" w:fill="BDD6EE" w:themeFill="accent5" w:themeFillTint="66"/>
            <w:vAlign w:val="center"/>
          </w:tcPr>
          <w:p w14:paraId="4D8487AE" w14:textId="77FC0E0B" w:rsidR="00C20F9A" w:rsidRPr="00BB09C5" w:rsidRDefault="00C20F9A" w:rsidP="00BB09C5">
            <w:pPr>
              <w:pStyle w:val="ListParagraph"/>
              <w:spacing w:before="240" w:line="229" w:lineRule="exact"/>
              <w:ind w:left="0"/>
              <w:jc w:val="center"/>
              <w:rPr>
                <w:rFonts w:cstheme="minorHAnsi"/>
                <w:b/>
                <w:iCs/>
              </w:rPr>
            </w:pPr>
            <w:r w:rsidRPr="00BB09C5">
              <w:rPr>
                <w:rFonts w:cstheme="minorHAnsi"/>
                <w:b/>
                <w:iCs/>
              </w:rPr>
              <w:t>Market Demand</w:t>
            </w:r>
          </w:p>
        </w:tc>
        <w:tc>
          <w:tcPr>
            <w:tcW w:w="1604" w:type="dxa"/>
            <w:shd w:val="clear" w:color="auto" w:fill="BDD6EE" w:themeFill="accent5" w:themeFillTint="66"/>
            <w:vAlign w:val="center"/>
          </w:tcPr>
          <w:p w14:paraId="7055F93F" w14:textId="661CD134" w:rsidR="00C20F9A" w:rsidRPr="00BB09C5" w:rsidRDefault="00C20F9A" w:rsidP="00BB09C5">
            <w:pPr>
              <w:pStyle w:val="ListParagraph"/>
              <w:spacing w:before="240" w:line="229" w:lineRule="exact"/>
              <w:ind w:left="0"/>
              <w:jc w:val="center"/>
              <w:rPr>
                <w:rFonts w:cstheme="minorHAnsi"/>
                <w:b/>
                <w:iCs/>
              </w:rPr>
            </w:pPr>
            <w:r w:rsidRPr="00BB09C5">
              <w:rPr>
                <w:rFonts w:cstheme="minorHAnsi"/>
                <w:b/>
                <w:iCs/>
              </w:rPr>
              <w:t>Market Physician Need</w:t>
            </w:r>
          </w:p>
        </w:tc>
        <w:tc>
          <w:tcPr>
            <w:tcW w:w="1604" w:type="dxa"/>
            <w:shd w:val="clear" w:color="auto" w:fill="BDD6EE" w:themeFill="accent5" w:themeFillTint="66"/>
            <w:vAlign w:val="center"/>
          </w:tcPr>
          <w:p w14:paraId="2D47DA54" w14:textId="5E7B1238" w:rsidR="00C20F9A" w:rsidRPr="00BB09C5" w:rsidRDefault="00C20F9A" w:rsidP="00BB09C5">
            <w:pPr>
              <w:pStyle w:val="ListParagraph"/>
              <w:spacing w:before="240" w:line="229" w:lineRule="exact"/>
              <w:ind w:left="0"/>
              <w:jc w:val="center"/>
              <w:rPr>
                <w:rFonts w:cstheme="minorHAnsi"/>
                <w:b/>
                <w:iCs/>
              </w:rPr>
            </w:pPr>
            <w:r w:rsidRPr="00BB09C5">
              <w:rPr>
                <w:rFonts w:cstheme="minorHAnsi"/>
                <w:b/>
                <w:iCs/>
              </w:rPr>
              <w:t>Physician FTE Supply</w:t>
            </w:r>
          </w:p>
        </w:tc>
        <w:tc>
          <w:tcPr>
            <w:tcW w:w="1561" w:type="dxa"/>
            <w:shd w:val="clear" w:color="auto" w:fill="BDD6EE" w:themeFill="accent5" w:themeFillTint="66"/>
            <w:vAlign w:val="center"/>
          </w:tcPr>
          <w:p w14:paraId="388F867B" w14:textId="7A052C91" w:rsidR="00C20F9A" w:rsidRPr="00BB09C5" w:rsidRDefault="00C20F9A" w:rsidP="00BB09C5">
            <w:pPr>
              <w:pStyle w:val="ListParagraph"/>
              <w:spacing w:before="240" w:line="229" w:lineRule="exact"/>
              <w:ind w:left="0"/>
              <w:jc w:val="center"/>
              <w:rPr>
                <w:rFonts w:cstheme="minorHAnsi"/>
                <w:b/>
                <w:iCs/>
              </w:rPr>
            </w:pPr>
            <w:r w:rsidRPr="00BB09C5">
              <w:rPr>
                <w:rFonts w:cstheme="minorHAnsi"/>
                <w:b/>
                <w:iCs/>
              </w:rPr>
              <w:t>Market Unmet Demand (FTE)</w:t>
            </w:r>
          </w:p>
        </w:tc>
        <w:tc>
          <w:tcPr>
            <w:tcW w:w="1257" w:type="dxa"/>
            <w:shd w:val="clear" w:color="auto" w:fill="BDD6EE" w:themeFill="accent5" w:themeFillTint="66"/>
            <w:vAlign w:val="center"/>
          </w:tcPr>
          <w:p w14:paraId="6E6C162A" w14:textId="5F9FF847" w:rsidR="00C20F9A" w:rsidRPr="00BB09C5" w:rsidRDefault="00C20F9A" w:rsidP="00BB09C5">
            <w:pPr>
              <w:pStyle w:val="ListParagraph"/>
              <w:spacing w:before="240" w:line="229" w:lineRule="exact"/>
              <w:ind w:left="0"/>
              <w:jc w:val="center"/>
              <w:rPr>
                <w:rFonts w:cstheme="minorHAnsi"/>
                <w:b/>
                <w:iCs/>
              </w:rPr>
            </w:pPr>
            <w:r w:rsidRPr="00BB09C5">
              <w:rPr>
                <w:rFonts w:cstheme="minorHAnsi"/>
                <w:b/>
                <w:iCs/>
              </w:rPr>
              <w:t>BILH Physician FTE Supply</w:t>
            </w:r>
          </w:p>
        </w:tc>
      </w:tr>
      <w:tr w:rsidR="00C20F9A" w:rsidRPr="00BB09C5" w14:paraId="76C1BDCE" w14:textId="439B32E8" w:rsidTr="00D808DE">
        <w:trPr>
          <w:trHeight w:val="413"/>
        </w:trPr>
        <w:tc>
          <w:tcPr>
            <w:tcW w:w="1762" w:type="dxa"/>
            <w:vAlign w:val="center"/>
          </w:tcPr>
          <w:p w14:paraId="740B55FE" w14:textId="168E8AB5" w:rsidR="00C20F9A" w:rsidRPr="00BB09C5" w:rsidRDefault="00C20F9A" w:rsidP="00D808DE">
            <w:pPr>
              <w:pStyle w:val="ListParagraph"/>
              <w:spacing w:line="229" w:lineRule="exact"/>
              <w:ind w:left="0"/>
              <w:jc w:val="center"/>
              <w:rPr>
                <w:rFonts w:cstheme="minorHAnsi"/>
                <w:iCs/>
              </w:rPr>
            </w:pPr>
            <w:r w:rsidRPr="00BB09C5">
              <w:rPr>
                <w:rFonts w:cstheme="minorHAnsi"/>
                <w:iCs/>
              </w:rPr>
              <w:t>Hematology-Oncology</w:t>
            </w:r>
          </w:p>
        </w:tc>
        <w:tc>
          <w:tcPr>
            <w:tcW w:w="1562" w:type="dxa"/>
            <w:vAlign w:val="center"/>
          </w:tcPr>
          <w:p w14:paraId="71EEF405" w14:textId="04737E77" w:rsidR="00C20F9A" w:rsidRPr="00BB09C5" w:rsidRDefault="00C20F9A" w:rsidP="005D54FE">
            <w:pPr>
              <w:pStyle w:val="ListParagraph"/>
              <w:spacing w:before="240" w:line="229" w:lineRule="exact"/>
              <w:ind w:left="0"/>
              <w:jc w:val="center"/>
              <w:rPr>
                <w:rFonts w:cstheme="minorHAnsi"/>
                <w:iCs/>
              </w:rPr>
            </w:pPr>
            <w:r w:rsidRPr="00BB09C5">
              <w:rPr>
                <w:rFonts w:cstheme="minorHAnsi"/>
                <w:iCs/>
              </w:rPr>
              <w:t>42,195</w:t>
            </w:r>
          </w:p>
        </w:tc>
        <w:tc>
          <w:tcPr>
            <w:tcW w:w="1604" w:type="dxa"/>
            <w:vAlign w:val="center"/>
          </w:tcPr>
          <w:p w14:paraId="771462AB" w14:textId="2F7CE304" w:rsidR="00C20F9A" w:rsidRPr="00BB09C5" w:rsidRDefault="00C20F9A" w:rsidP="005D54FE">
            <w:pPr>
              <w:pStyle w:val="ListParagraph"/>
              <w:spacing w:before="240" w:line="229" w:lineRule="exact"/>
              <w:ind w:left="0"/>
              <w:jc w:val="center"/>
              <w:rPr>
                <w:rFonts w:cstheme="minorHAnsi"/>
                <w:iCs/>
              </w:rPr>
            </w:pPr>
            <w:r w:rsidRPr="00BB09C5">
              <w:rPr>
                <w:rFonts w:cstheme="minorHAnsi"/>
                <w:iCs/>
              </w:rPr>
              <w:t>22.5</w:t>
            </w:r>
          </w:p>
        </w:tc>
        <w:tc>
          <w:tcPr>
            <w:tcW w:w="1604" w:type="dxa"/>
            <w:vAlign w:val="center"/>
          </w:tcPr>
          <w:p w14:paraId="641A27E4" w14:textId="2F19CE67" w:rsidR="00C20F9A" w:rsidRPr="00BB09C5" w:rsidRDefault="00C20F9A" w:rsidP="005D54FE">
            <w:pPr>
              <w:pStyle w:val="ListParagraph"/>
              <w:spacing w:before="240" w:line="229" w:lineRule="exact"/>
              <w:ind w:left="0"/>
              <w:jc w:val="center"/>
              <w:rPr>
                <w:rFonts w:cstheme="minorHAnsi"/>
                <w:iCs/>
              </w:rPr>
            </w:pPr>
            <w:r w:rsidRPr="00BB09C5">
              <w:rPr>
                <w:rFonts w:cstheme="minorHAnsi"/>
                <w:iCs/>
              </w:rPr>
              <w:t>8.2</w:t>
            </w:r>
          </w:p>
        </w:tc>
        <w:tc>
          <w:tcPr>
            <w:tcW w:w="1561" w:type="dxa"/>
            <w:vAlign w:val="center"/>
          </w:tcPr>
          <w:p w14:paraId="5A7933B6" w14:textId="0B8FA3D5" w:rsidR="00C20F9A" w:rsidRPr="00BB09C5" w:rsidRDefault="00C20F9A" w:rsidP="005D54FE">
            <w:pPr>
              <w:pStyle w:val="ListParagraph"/>
              <w:spacing w:before="240" w:line="229" w:lineRule="exact"/>
              <w:ind w:left="0"/>
              <w:jc w:val="center"/>
              <w:rPr>
                <w:rFonts w:cstheme="minorHAnsi"/>
                <w:iCs/>
              </w:rPr>
            </w:pPr>
            <w:r w:rsidRPr="00BB09C5">
              <w:rPr>
                <w:rFonts w:cstheme="minorHAnsi"/>
                <w:iCs/>
              </w:rPr>
              <w:t>14.3</w:t>
            </w:r>
          </w:p>
        </w:tc>
        <w:tc>
          <w:tcPr>
            <w:tcW w:w="1257" w:type="dxa"/>
            <w:vAlign w:val="center"/>
          </w:tcPr>
          <w:p w14:paraId="33FCCC9E" w14:textId="774EE00A" w:rsidR="00C20F9A" w:rsidRPr="00BB09C5" w:rsidRDefault="00C20F9A" w:rsidP="005D54FE">
            <w:pPr>
              <w:pStyle w:val="ListParagraph"/>
              <w:spacing w:before="240" w:line="229" w:lineRule="exact"/>
              <w:ind w:left="0"/>
              <w:jc w:val="center"/>
              <w:rPr>
                <w:rFonts w:cstheme="minorHAnsi"/>
                <w:iCs/>
              </w:rPr>
            </w:pPr>
            <w:r w:rsidRPr="00BB09C5">
              <w:rPr>
                <w:rFonts w:cstheme="minorHAnsi"/>
                <w:iCs/>
              </w:rPr>
              <w:t>8.2</w:t>
            </w:r>
          </w:p>
        </w:tc>
      </w:tr>
    </w:tbl>
    <w:p w14:paraId="1EB56846" w14:textId="77777777" w:rsidR="00654E2F" w:rsidRPr="00BB09C5" w:rsidRDefault="00654E2F" w:rsidP="00654E2F">
      <w:pPr>
        <w:pStyle w:val="ListParagraph"/>
        <w:rPr>
          <w:rFonts w:cstheme="minorHAnsi"/>
        </w:rPr>
      </w:pPr>
    </w:p>
    <w:p w14:paraId="632C7BB8" w14:textId="03771365" w:rsidR="009D0B90" w:rsidRPr="00BB09C5" w:rsidRDefault="00654E2F" w:rsidP="00252CB8">
      <w:pPr>
        <w:pStyle w:val="ListParagraph"/>
        <w:numPr>
          <w:ilvl w:val="0"/>
          <w:numId w:val="38"/>
        </w:numPr>
        <w:spacing w:before="240" w:after="0" w:line="229" w:lineRule="exact"/>
        <w:rPr>
          <w:rFonts w:cstheme="minorHAnsi"/>
          <w:color w:val="FF0000"/>
        </w:rPr>
      </w:pPr>
      <w:r w:rsidRPr="00BB09C5">
        <w:rPr>
          <w:rFonts w:cstheme="minorHAnsi"/>
        </w:rPr>
        <w:t xml:space="preserve">As part of DPH’s efforts to assess the impact of the pandemic on utilization, please provide </w:t>
      </w:r>
      <w:r w:rsidR="00CE722D" w:rsidRPr="00BB09C5">
        <w:rPr>
          <w:rFonts w:cstheme="minorHAnsi"/>
        </w:rPr>
        <w:t xml:space="preserve">the following </w:t>
      </w:r>
      <w:r w:rsidR="00CB4C5C" w:rsidRPr="00BB09C5">
        <w:rPr>
          <w:rFonts w:cstheme="minorHAnsi"/>
        </w:rPr>
        <w:t>Utilization of Infusion Treatment at BID Plymouth data back to 2018:</w:t>
      </w:r>
      <w:r w:rsidR="00AA6E9C" w:rsidRPr="00BB09C5">
        <w:rPr>
          <w:rFonts w:cstheme="minorHAnsi"/>
        </w:rPr>
        <w:t xml:space="preserve"> </w:t>
      </w:r>
    </w:p>
    <w:p w14:paraId="0A2FC171" w14:textId="77777777" w:rsidR="00EB65B1" w:rsidRPr="00BB09C5" w:rsidRDefault="00EB65B1" w:rsidP="00EB65B1">
      <w:pPr>
        <w:pStyle w:val="ListParagraph"/>
        <w:spacing w:before="240" w:after="0" w:line="229" w:lineRule="exact"/>
        <w:rPr>
          <w:rFonts w:cstheme="minorHAnsi"/>
          <w:color w:val="FF0000"/>
        </w:rPr>
      </w:pPr>
    </w:p>
    <w:tbl>
      <w:tblPr>
        <w:tblStyle w:val="TableGrid"/>
        <w:tblW w:w="5100" w:type="pct"/>
        <w:jc w:val="center"/>
        <w:tblLook w:val="04A0" w:firstRow="1" w:lastRow="0" w:firstColumn="1" w:lastColumn="0" w:noHBand="0" w:noVBand="1"/>
      </w:tblPr>
      <w:tblGrid>
        <w:gridCol w:w="4071"/>
        <w:gridCol w:w="2066"/>
        <w:gridCol w:w="2067"/>
        <w:gridCol w:w="2067"/>
      </w:tblGrid>
      <w:tr w:rsidR="00CE722D" w:rsidRPr="00BB09C5" w14:paraId="68900063" w14:textId="77777777" w:rsidTr="00743F3B">
        <w:trPr>
          <w:cantSplit/>
          <w:tblHeader/>
          <w:jc w:val="center"/>
        </w:trPr>
        <w:tc>
          <w:tcPr>
            <w:tcW w:w="4071" w:type="dxa"/>
            <w:shd w:val="clear" w:color="auto" w:fill="BDD6EE" w:themeFill="accent5" w:themeFillTint="66"/>
            <w:vAlign w:val="center"/>
          </w:tcPr>
          <w:p w14:paraId="33468D0A" w14:textId="77777777" w:rsidR="00CE722D" w:rsidRPr="00BB09C5" w:rsidRDefault="00CE722D" w:rsidP="00BB09C5">
            <w:pPr>
              <w:spacing w:after="160" w:line="259" w:lineRule="auto"/>
              <w:jc w:val="center"/>
              <w:rPr>
                <w:rFonts w:cstheme="minorHAnsi"/>
              </w:rPr>
            </w:pPr>
            <w:r w:rsidRPr="00BB09C5">
              <w:rPr>
                <w:rFonts w:cstheme="minorHAnsi"/>
                <w:b/>
                <w:bCs/>
              </w:rPr>
              <w:t>Metric</w:t>
            </w:r>
          </w:p>
        </w:tc>
        <w:tc>
          <w:tcPr>
            <w:tcW w:w="2066" w:type="dxa"/>
            <w:shd w:val="clear" w:color="auto" w:fill="BDD6EE" w:themeFill="accent5" w:themeFillTint="66"/>
            <w:vAlign w:val="center"/>
          </w:tcPr>
          <w:p w14:paraId="349D988B" w14:textId="28FE8726" w:rsidR="00CE722D" w:rsidRPr="00BB09C5" w:rsidRDefault="00CE722D" w:rsidP="00BB09C5">
            <w:pPr>
              <w:spacing w:line="259" w:lineRule="auto"/>
              <w:jc w:val="center"/>
              <w:rPr>
                <w:rFonts w:cstheme="minorHAnsi"/>
                <w:b/>
                <w:bCs/>
              </w:rPr>
            </w:pPr>
            <w:r w:rsidRPr="00BB09C5">
              <w:rPr>
                <w:rFonts w:cstheme="minorHAnsi"/>
                <w:b/>
                <w:bCs/>
              </w:rPr>
              <w:t>20</w:t>
            </w:r>
            <w:r w:rsidR="00CB4C5C" w:rsidRPr="00BB09C5">
              <w:rPr>
                <w:rFonts w:cstheme="minorHAnsi"/>
                <w:b/>
                <w:bCs/>
              </w:rPr>
              <w:t>18</w:t>
            </w:r>
            <w:r w:rsidRPr="00BB09C5">
              <w:rPr>
                <w:rFonts w:cstheme="minorHAnsi"/>
                <w:b/>
                <w:bCs/>
              </w:rPr>
              <w:t xml:space="preserve"> Count</w:t>
            </w:r>
          </w:p>
        </w:tc>
        <w:tc>
          <w:tcPr>
            <w:tcW w:w="2067" w:type="dxa"/>
            <w:shd w:val="clear" w:color="auto" w:fill="BDD6EE" w:themeFill="accent5" w:themeFillTint="66"/>
            <w:vAlign w:val="center"/>
          </w:tcPr>
          <w:p w14:paraId="1CF1D328" w14:textId="58D699DF" w:rsidR="00CE722D" w:rsidRPr="00BB09C5" w:rsidRDefault="00CE722D" w:rsidP="00BB09C5">
            <w:pPr>
              <w:spacing w:line="259" w:lineRule="auto"/>
              <w:jc w:val="center"/>
              <w:rPr>
                <w:rFonts w:cstheme="minorHAnsi"/>
                <w:b/>
                <w:bCs/>
              </w:rPr>
            </w:pPr>
            <w:r w:rsidRPr="00BB09C5">
              <w:rPr>
                <w:rFonts w:cstheme="minorHAnsi"/>
                <w:b/>
                <w:bCs/>
              </w:rPr>
              <w:t>20</w:t>
            </w:r>
            <w:r w:rsidR="00CB4C5C" w:rsidRPr="00BB09C5">
              <w:rPr>
                <w:rFonts w:cstheme="minorHAnsi"/>
                <w:b/>
                <w:bCs/>
              </w:rPr>
              <w:t>19</w:t>
            </w:r>
            <w:r w:rsidRPr="00BB09C5">
              <w:rPr>
                <w:rFonts w:cstheme="minorHAnsi"/>
                <w:b/>
                <w:bCs/>
              </w:rPr>
              <w:t xml:space="preserve"> Count</w:t>
            </w:r>
          </w:p>
        </w:tc>
        <w:tc>
          <w:tcPr>
            <w:tcW w:w="2067" w:type="dxa"/>
            <w:shd w:val="clear" w:color="auto" w:fill="BDD6EE" w:themeFill="accent5" w:themeFillTint="66"/>
            <w:vAlign w:val="center"/>
          </w:tcPr>
          <w:p w14:paraId="043E6407" w14:textId="7FF757B0" w:rsidR="00CE722D" w:rsidRPr="00BB09C5" w:rsidRDefault="00CE722D" w:rsidP="00BB09C5">
            <w:pPr>
              <w:spacing w:line="259" w:lineRule="auto"/>
              <w:jc w:val="center"/>
              <w:rPr>
                <w:rFonts w:cstheme="minorHAnsi"/>
                <w:b/>
                <w:bCs/>
              </w:rPr>
            </w:pPr>
            <w:r w:rsidRPr="00BB09C5">
              <w:rPr>
                <w:rFonts w:cstheme="minorHAnsi"/>
                <w:b/>
                <w:bCs/>
              </w:rPr>
              <w:t>20</w:t>
            </w:r>
            <w:r w:rsidR="00CB4C5C" w:rsidRPr="00BB09C5">
              <w:rPr>
                <w:rFonts w:cstheme="minorHAnsi"/>
                <w:b/>
                <w:bCs/>
              </w:rPr>
              <w:t>20</w:t>
            </w:r>
            <w:r w:rsidR="000D2295" w:rsidRPr="00BB09C5">
              <w:rPr>
                <w:rFonts w:cstheme="minorHAnsi"/>
                <w:b/>
                <w:bCs/>
              </w:rPr>
              <w:t xml:space="preserve"> </w:t>
            </w:r>
            <w:r w:rsidRPr="00BB09C5">
              <w:rPr>
                <w:rFonts w:cstheme="minorHAnsi"/>
                <w:b/>
                <w:bCs/>
              </w:rPr>
              <w:t>Count</w:t>
            </w:r>
          </w:p>
        </w:tc>
      </w:tr>
      <w:tr w:rsidR="00006166" w:rsidRPr="00BB09C5" w14:paraId="2F78F9E9" w14:textId="77777777" w:rsidTr="00743F3B">
        <w:trPr>
          <w:cantSplit/>
          <w:jc w:val="center"/>
        </w:trPr>
        <w:tc>
          <w:tcPr>
            <w:tcW w:w="4071" w:type="dxa"/>
          </w:tcPr>
          <w:p w14:paraId="776BB75E" w14:textId="77777777" w:rsidR="00006166" w:rsidRPr="00BB09C5" w:rsidRDefault="00006166" w:rsidP="00006166">
            <w:pPr>
              <w:spacing w:line="259" w:lineRule="auto"/>
              <w:rPr>
                <w:rFonts w:cstheme="minorHAnsi"/>
              </w:rPr>
            </w:pPr>
            <w:r w:rsidRPr="00BB09C5">
              <w:rPr>
                <w:rFonts w:cstheme="minorHAnsi"/>
              </w:rPr>
              <w:t>Patient Visits for Chemotherapy by Infusion Treatment</w:t>
            </w:r>
          </w:p>
        </w:tc>
        <w:tc>
          <w:tcPr>
            <w:tcW w:w="2066" w:type="dxa"/>
            <w:vAlign w:val="center"/>
          </w:tcPr>
          <w:p w14:paraId="7A669671" w14:textId="315AC9AC" w:rsidR="00006166" w:rsidRPr="00BB09C5" w:rsidRDefault="000D2295" w:rsidP="00DE5006">
            <w:pPr>
              <w:spacing w:line="259" w:lineRule="auto"/>
              <w:jc w:val="center"/>
              <w:rPr>
                <w:rFonts w:cstheme="minorHAnsi"/>
              </w:rPr>
            </w:pPr>
            <w:r w:rsidRPr="00BB09C5">
              <w:rPr>
                <w:rFonts w:cstheme="minorHAnsi"/>
              </w:rPr>
              <w:t>3,226</w:t>
            </w:r>
          </w:p>
        </w:tc>
        <w:tc>
          <w:tcPr>
            <w:tcW w:w="2067" w:type="dxa"/>
            <w:vAlign w:val="center"/>
          </w:tcPr>
          <w:p w14:paraId="4CA672A6" w14:textId="795A7DB7" w:rsidR="00006166" w:rsidRPr="00BB09C5" w:rsidRDefault="00006166" w:rsidP="00DE5006">
            <w:pPr>
              <w:spacing w:line="259" w:lineRule="auto"/>
              <w:jc w:val="center"/>
              <w:rPr>
                <w:rFonts w:cstheme="minorHAnsi"/>
              </w:rPr>
            </w:pPr>
            <w:r w:rsidRPr="00BB09C5">
              <w:rPr>
                <w:rFonts w:cstheme="minorHAnsi"/>
              </w:rPr>
              <w:t>12,890</w:t>
            </w:r>
          </w:p>
        </w:tc>
        <w:tc>
          <w:tcPr>
            <w:tcW w:w="2067" w:type="dxa"/>
            <w:shd w:val="clear" w:color="auto" w:fill="auto"/>
            <w:vAlign w:val="center"/>
          </w:tcPr>
          <w:p w14:paraId="28891F0D" w14:textId="4F28865F" w:rsidR="00006166" w:rsidRPr="00BB09C5" w:rsidRDefault="00006166" w:rsidP="00DE5006">
            <w:pPr>
              <w:spacing w:line="259" w:lineRule="auto"/>
              <w:jc w:val="center"/>
              <w:rPr>
                <w:rFonts w:cstheme="minorHAnsi"/>
              </w:rPr>
            </w:pPr>
            <w:r w:rsidRPr="00BB09C5">
              <w:rPr>
                <w:rFonts w:cstheme="minorHAnsi"/>
              </w:rPr>
              <w:t>12,532</w:t>
            </w:r>
          </w:p>
        </w:tc>
      </w:tr>
      <w:tr w:rsidR="00006166" w:rsidRPr="00BB09C5" w14:paraId="204E753B" w14:textId="77777777" w:rsidTr="00743F3B">
        <w:trPr>
          <w:cantSplit/>
          <w:jc w:val="center"/>
        </w:trPr>
        <w:tc>
          <w:tcPr>
            <w:tcW w:w="4071" w:type="dxa"/>
          </w:tcPr>
          <w:p w14:paraId="4F181E5C" w14:textId="77777777" w:rsidR="00006166" w:rsidRPr="00BB09C5" w:rsidRDefault="00006166" w:rsidP="00006166">
            <w:pPr>
              <w:spacing w:line="259" w:lineRule="auto"/>
              <w:rPr>
                <w:rFonts w:cstheme="minorHAnsi"/>
              </w:rPr>
            </w:pPr>
            <w:r w:rsidRPr="00BB09C5">
              <w:rPr>
                <w:rFonts w:cstheme="minorHAnsi"/>
              </w:rPr>
              <w:t>Patients Visits for Non-Chemotherapy Infusion Treatments</w:t>
            </w:r>
          </w:p>
        </w:tc>
        <w:tc>
          <w:tcPr>
            <w:tcW w:w="2066" w:type="dxa"/>
            <w:vAlign w:val="center"/>
          </w:tcPr>
          <w:p w14:paraId="6B518A88" w14:textId="7A3ABE4D" w:rsidR="00006166" w:rsidRPr="00BB09C5" w:rsidRDefault="000D2295" w:rsidP="00DE5006">
            <w:pPr>
              <w:spacing w:line="259" w:lineRule="auto"/>
              <w:jc w:val="center"/>
              <w:rPr>
                <w:rFonts w:cstheme="minorHAnsi"/>
              </w:rPr>
            </w:pPr>
            <w:r w:rsidRPr="00BB09C5">
              <w:rPr>
                <w:rFonts w:cstheme="minorHAnsi"/>
                <w:color w:val="000000"/>
              </w:rPr>
              <w:t>1,366</w:t>
            </w:r>
          </w:p>
        </w:tc>
        <w:tc>
          <w:tcPr>
            <w:tcW w:w="2067" w:type="dxa"/>
            <w:vAlign w:val="center"/>
          </w:tcPr>
          <w:p w14:paraId="323C7ED0" w14:textId="05369F66" w:rsidR="00006166" w:rsidRPr="00BB09C5" w:rsidRDefault="00006166" w:rsidP="00DE5006">
            <w:pPr>
              <w:spacing w:line="259" w:lineRule="auto"/>
              <w:jc w:val="center"/>
              <w:rPr>
                <w:rFonts w:cstheme="minorHAnsi"/>
              </w:rPr>
            </w:pPr>
            <w:r w:rsidRPr="00BB09C5">
              <w:rPr>
                <w:rFonts w:cstheme="minorHAnsi"/>
              </w:rPr>
              <w:t>6,719</w:t>
            </w:r>
          </w:p>
        </w:tc>
        <w:tc>
          <w:tcPr>
            <w:tcW w:w="2067" w:type="dxa"/>
            <w:shd w:val="clear" w:color="auto" w:fill="auto"/>
            <w:vAlign w:val="center"/>
          </w:tcPr>
          <w:p w14:paraId="55D9D1B2" w14:textId="25339606" w:rsidR="00006166" w:rsidRPr="00BB09C5" w:rsidRDefault="00006166" w:rsidP="00DE5006">
            <w:pPr>
              <w:spacing w:line="259" w:lineRule="auto"/>
              <w:jc w:val="center"/>
              <w:rPr>
                <w:rFonts w:cstheme="minorHAnsi"/>
              </w:rPr>
            </w:pPr>
            <w:r w:rsidRPr="00BB09C5">
              <w:rPr>
                <w:rFonts w:cstheme="minorHAnsi"/>
              </w:rPr>
              <w:t>6,097</w:t>
            </w:r>
          </w:p>
        </w:tc>
      </w:tr>
      <w:tr w:rsidR="00CE722D" w:rsidRPr="00BB09C5" w14:paraId="26ADA248" w14:textId="77777777" w:rsidTr="00743F3B">
        <w:trPr>
          <w:cantSplit/>
          <w:jc w:val="center"/>
        </w:trPr>
        <w:tc>
          <w:tcPr>
            <w:tcW w:w="4071" w:type="dxa"/>
          </w:tcPr>
          <w:p w14:paraId="7CF40A8F" w14:textId="77777777" w:rsidR="00CE722D" w:rsidRPr="00BB09C5" w:rsidRDefault="00CE722D" w:rsidP="00252CB8">
            <w:pPr>
              <w:spacing w:line="259" w:lineRule="auto"/>
              <w:rPr>
                <w:rFonts w:cstheme="minorHAnsi"/>
                <w:b/>
                <w:bCs/>
              </w:rPr>
            </w:pPr>
            <w:r w:rsidRPr="00BB09C5">
              <w:rPr>
                <w:rFonts w:cstheme="minorHAnsi"/>
                <w:b/>
                <w:bCs/>
              </w:rPr>
              <w:t>TOTAL</w:t>
            </w:r>
          </w:p>
        </w:tc>
        <w:tc>
          <w:tcPr>
            <w:tcW w:w="2066" w:type="dxa"/>
            <w:vAlign w:val="center"/>
          </w:tcPr>
          <w:p w14:paraId="3945FDA5" w14:textId="13BE3AFE" w:rsidR="00CE722D" w:rsidRPr="00BB09C5" w:rsidRDefault="000D2295" w:rsidP="00252CB8">
            <w:pPr>
              <w:spacing w:line="259" w:lineRule="auto"/>
              <w:jc w:val="center"/>
              <w:rPr>
                <w:rFonts w:cstheme="minorHAnsi"/>
              </w:rPr>
            </w:pPr>
            <w:r w:rsidRPr="00BB09C5">
              <w:rPr>
                <w:rFonts w:cstheme="minorHAnsi"/>
              </w:rPr>
              <w:t>4,592</w:t>
            </w:r>
          </w:p>
        </w:tc>
        <w:tc>
          <w:tcPr>
            <w:tcW w:w="2067" w:type="dxa"/>
            <w:vAlign w:val="center"/>
          </w:tcPr>
          <w:p w14:paraId="4D2079C8" w14:textId="7105986A" w:rsidR="00CE722D" w:rsidRPr="00BB09C5" w:rsidRDefault="000D2295" w:rsidP="00252CB8">
            <w:pPr>
              <w:spacing w:line="259" w:lineRule="auto"/>
              <w:jc w:val="center"/>
              <w:rPr>
                <w:rFonts w:cstheme="minorHAnsi"/>
              </w:rPr>
            </w:pPr>
            <w:r w:rsidRPr="00BB09C5">
              <w:rPr>
                <w:rFonts w:cstheme="minorHAnsi"/>
              </w:rPr>
              <w:t>19,609</w:t>
            </w:r>
          </w:p>
        </w:tc>
        <w:tc>
          <w:tcPr>
            <w:tcW w:w="2067" w:type="dxa"/>
            <w:shd w:val="clear" w:color="auto" w:fill="auto"/>
            <w:vAlign w:val="center"/>
          </w:tcPr>
          <w:p w14:paraId="71ECDB80" w14:textId="1C29E037" w:rsidR="00CE722D" w:rsidRPr="00BB09C5" w:rsidRDefault="000D2295" w:rsidP="00252CB8">
            <w:pPr>
              <w:spacing w:line="259" w:lineRule="auto"/>
              <w:jc w:val="center"/>
              <w:rPr>
                <w:rFonts w:cstheme="minorHAnsi"/>
              </w:rPr>
            </w:pPr>
            <w:r w:rsidRPr="00BB09C5">
              <w:rPr>
                <w:rFonts w:cstheme="minorHAnsi"/>
              </w:rPr>
              <w:t>18,629</w:t>
            </w:r>
          </w:p>
        </w:tc>
      </w:tr>
    </w:tbl>
    <w:p w14:paraId="7E23B476" w14:textId="1B886353" w:rsidR="00CE722D" w:rsidRPr="00BB09C5" w:rsidRDefault="00CE722D" w:rsidP="00CE722D">
      <w:pPr>
        <w:pStyle w:val="ListParagraph"/>
        <w:rPr>
          <w:rFonts w:cstheme="minorHAnsi"/>
        </w:rPr>
      </w:pPr>
    </w:p>
    <w:p w14:paraId="5A5715E8" w14:textId="1B7232C4" w:rsidR="000D2295" w:rsidRPr="00BB09C5" w:rsidRDefault="000D2295" w:rsidP="00CE722D">
      <w:pPr>
        <w:pStyle w:val="ListParagraph"/>
        <w:rPr>
          <w:rFonts w:cstheme="minorHAnsi"/>
          <w:b/>
        </w:rPr>
      </w:pPr>
      <w:r w:rsidRPr="00BB09C5">
        <w:rPr>
          <w:rFonts w:cstheme="minorHAnsi"/>
          <w:b/>
        </w:rPr>
        <w:t>The Applicant changed electronic health record systems in 2018 (to Meditech). As such, only partial year Meditech data is reflected for 2018.</w:t>
      </w:r>
    </w:p>
    <w:p w14:paraId="04981588" w14:textId="77777777" w:rsidR="000D2295" w:rsidRPr="00BB09C5" w:rsidRDefault="000D2295" w:rsidP="00CE722D">
      <w:pPr>
        <w:pStyle w:val="ListParagraph"/>
        <w:rPr>
          <w:rFonts w:cstheme="minorHAnsi"/>
        </w:rPr>
      </w:pPr>
    </w:p>
    <w:p w14:paraId="5E18F2B3" w14:textId="38431472" w:rsidR="00CE722D" w:rsidRPr="00BB09C5" w:rsidRDefault="00B93245" w:rsidP="00D17C2F">
      <w:pPr>
        <w:pStyle w:val="ListParagraph"/>
        <w:numPr>
          <w:ilvl w:val="0"/>
          <w:numId w:val="38"/>
        </w:numPr>
        <w:spacing w:before="240" w:after="0" w:line="229" w:lineRule="exact"/>
        <w:rPr>
          <w:rFonts w:cstheme="minorHAnsi"/>
          <w:color w:val="FF0000"/>
        </w:rPr>
      </w:pPr>
      <w:r w:rsidRPr="00BB09C5">
        <w:rPr>
          <w:rFonts w:cstheme="minorHAnsi"/>
        </w:rPr>
        <w:t xml:space="preserve">Page 15 of the Narrative states, “The average new patient appointment wait time to the hematology-oncology clinic in FY23 was 50 days, nearly triple the 18 days average wait in FY21.” </w:t>
      </w:r>
      <w:r w:rsidR="00C7150E" w:rsidRPr="00BB09C5">
        <w:rPr>
          <w:rFonts w:cstheme="minorHAnsi"/>
        </w:rPr>
        <w:t>Please provide the following information:</w:t>
      </w:r>
    </w:p>
    <w:p w14:paraId="00743475" w14:textId="78578BDA" w:rsidR="004673C6" w:rsidRPr="00BB09C5" w:rsidRDefault="004673C6" w:rsidP="004673C6">
      <w:pPr>
        <w:pStyle w:val="ListParagraph"/>
        <w:spacing w:before="240" w:after="0" w:line="229" w:lineRule="exact"/>
        <w:rPr>
          <w:rFonts w:cstheme="minorHAnsi"/>
        </w:rPr>
      </w:pPr>
    </w:p>
    <w:p w14:paraId="519D1F02" w14:textId="161F0178" w:rsidR="004673C6" w:rsidRPr="00BB09C5" w:rsidRDefault="004673C6" w:rsidP="004673C6">
      <w:pPr>
        <w:pStyle w:val="ListParagraph"/>
        <w:spacing w:before="240" w:after="0" w:line="229" w:lineRule="exact"/>
        <w:rPr>
          <w:rFonts w:cstheme="minorHAnsi"/>
          <w:b/>
          <w:bCs/>
          <w:iCs/>
        </w:rPr>
      </w:pPr>
      <w:r w:rsidRPr="00BB09C5">
        <w:rPr>
          <w:rFonts w:cstheme="minorHAnsi"/>
          <w:b/>
          <w:bCs/>
          <w:iCs/>
        </w:rPr>
        <w:t xml:space="preserve">Please see completed table, below. </w:t>
      </w:r>
    </w:p>
    <w:p w14:paraId="1D2F3BC3" w14:textId="381461AF" w:rsidR="003C37FC" w:rsidRPr="00BB09C5" w:rsidRDefault="003C37FC" w:rsidP="003C37FC">
      <w:pPr>
        <w:spacing w:before="240" w:after="0" w:line="229" w:lineRule="exact"/>
        <w:ind w:left="360"/>
        <w:rPr>
          <w:rFonts w:cstheme="minorHAnsi"/>
          <w:i/>
          <w:color w:val="4472C4" w:themeColor="accent1"/>
        </w:rPr>
      </w:pPr>
      <w:r w:rsidRPr="00BB09C5">
        <w:rPr>
          <w:rFonts w:cstheme="minorHAnsi"/>
          <w:b/>
          <w:bCs/>
          <w:iCs/>
        </w:rPr>
        <w:t>Average New Patient Appointment Wait Time for BID-P Hematology-Oncology Clinic</w:t>
      </w:r>
    </w:p>
    <w:tbl>
      <w:tblPr>
        <w:tblStyle w:val="TableGrid"/>
        <w:tblW w:w="0" w:type="auto"/>
        <w:jc w:val="center"/>
        <w:tblLook w:val="04A0" w:firstRow="1" w:lastRow="0" w:firstColumn="1" w:lastColumn="0" w:noHBand="0" w:noVBand="1"/>
      </w:tblPr>
      <w:tblGrid>
        <w:gridCol w:w="1335"/>
        <w:gridCol w:w="1335"/>
        <w:gridCol w:w="1336"/>
        <w:gridCol w:w="1336"/>
        <w:gridCol w:w="1336"/>
        <w:gridCol w:w="1336"/>
        <w:gridCol w:w="1336"/>
      </w:tblGrid>
      <w:tr w:rsidR="00BA49FE" w:rsidRPr="00BB09C5" w14:paraId="1097A2AA" w14:textId="77777777" w:rsidTr="00746E66">
        <w:trPr>
          <w:jc w:val="center"/>
        </w:trPr>
        <w:tc>
          <w:tcPr>
            <w:tcW w:w="1335" w:type="dxa"/>
            <w:shd w:val="clear" w:color="auto" w:fill="BDD6EE" w:themeFill="accent5" w:themeFillTint="66"/>
          </w:tcPr>
          <w:p w14:paraId="40F49F04" w14:textId="69A4F85F" w:rsidR="00BA49FE" w:rsidRPr="00BB09C5" w:rsidRDefault="00324C6D" w:rsidP="00252CB8">
            <w:pPr>
              <w:rPr>
                <w:rFonts w:cstheme="minorHAnsi"/>
                <w:b/>
                <w:bCs/>
                <w:iCs/>
              </w:rPr>
            </w:pPr>
            <w:r w:rsidRPr="00BB09C5">
              <w:rPr>
                <w:rFonts w:cstheme="minorHAnsi"/>
                <w:b/>
                <w:bCs/>
                <w:iCs/>
              </w:rPr>
              <w:t>Metric</w:t>
            </w:r>
          </w:p>
        </w:tc>
        <w:tc>
          <w:tcPr>
            <w:tcW w:w="1335" w:type="dxa"/>
            <w:shd w:val="clear" w:color="auto" w:fill="BDD6EE" w:themeFill="accent5" w:themeFillTint="66"/>
          </w:tcPr>
          <w:p w14:paraId="0385255D" w14:textId="77777777" w:rsidR="00BA49FE" w:rsidRPr="00BB09C5" w:rsidRDefault="00BA49FE" w:rsidP="00DE5006">
            <w:pPr>
              <w:jc w:val="center"/>
              <w:rPr>
                <w:rFonts w:cstheme="minorHAnsi"/>
                <w:b/>
                <w:bCs/>
                <w:iCs/>
              </w:rPr>
            </w:pPr>
            <w:r w:rsidRPr="00BB09C5">
              <w:rPr>
                <w:rFonts w:cstheme="minorHAnsi"/>
                <w:b/>
                <w:bCs/>
                <w:iCs/>
              </w:rPr>
              <w:t>FY2018</w:t>
            </w:r>
          </w:p>
        </w:tc>
        <w:tc>
          <w:tcPr>
            <w:tcW w:w="1336" w:type="dxa"/>
            <w:shd w:val="clear" w:color="auto" w:fill="BDD6EE" w:themeFill="accent5" w:themeFillTint="66"/>
          </w:tcPr>
          <w:p w14:paraId="25F70A26" w14:textId="77777777" w:rsidR="00BA49FE" w:rsidRPr="00BB09C5" w:rsidRDefault="00BA49FE" w:rsidP="00DE5006">
            <w:pPr>
              <w:jc w:val="center"/>
              <w:rPr>
                <w:rFonts w:cstheme="minorHAnsi"/>
                <w:b/>
                <w:bCs/>
                <w:iCs/>
              </w:rPr>
            </w:pPr>
            <w:r w:rsidRPr="00BB09C5">
              <w:rPr>
                <w:rFonts w:cstheme="minorHAnsi"/>
                <w:b/>
                <w:bCs/>
                <w:iCs/>
              </w:rPr>
              <w:t>FY2019</w:t>
            </w:r>
          </w:p>
        </w:tc>
        <w:tc>
          <w:tcPr>
            <w:tcW w:w="1336" w:type="dxa"/>
            <w:shd w:val="clear" w:color="auto" w:fill="BDD6EE" w:themeFill="accent5" w:themeFillTint="66"/>
          </w:tcPr>
          <w:p w14:paraId="114D1179" w14:textId="77777777" w:rsidR="00BA49FE" w:rsidRPr="00BB09C5" w:rsidRDefault="00BA49FE" w:rsidP="00DE5006">
            <w:pPr>
              <w:jc w:val="center"/>
              <w:rPr>
                <w:rFonts w:cstheme="minorHAnsi"/>
                <w:b/>
                <w:bCs/>
                <w:iCs/>
              </w:rPr>
            </w:pPr>
            <w:r w:rsidRPr="00BB09C5">
              <w:rPr>
                <w:rFonts w:cstheme="minorHAnsi"/>
                <w:b/>
                <w:bCs/>
                <w:iCs/>
              </w:rPr>
              <w:t>FY2020</w:t>
            </w:r>
          </w:p>
        </w:tc>
        <w:tc>
          <w:tcPr>
            <w:tcW w:w="1336" w:type="dxa"/>
            <w:shd w:val="clear" w:color="auto" w:fill="BDD6EE" w:themeFill="accent5" w:themeFillTint="66"/>
          </w:tcPr>
          <w:p w14:paraId="54A4153D" w14:textId="77777777" w:rsidR="00BA49FE" w:rsidRPr="00BB09C5" w:rsidRDefault="00BA49FE" w:rsidP="00DE5006">
            <w:pPr>
              <w:jc w:val="center"/>
              <w:rPr>
                <w:rFonts w:cstheme="minorHAnsi"/>
                <w:b/>
                <w:bCs/>
                <w:iCs/>
              </w:rPr>
            </w:pPr>
            <w:r w:rsidRPr="00BB09C5">
              <w:rPr>
                <w:rFonts w:cstheme="minorHAnsi"/>
                <w:b/>
                <w:bCs/>
                <w:iCs/>
              </w:rPr>
              <w:t>FY2021</w:t>
            </w:r>
          </w:p>
        </w:tc>
        <w:tc>
          <w:tcPr>
            <w:tcW w:w="1336" w:type="dxa"/>
            <w:shd w:val="clear" w:color="auto" w:fill="BDD6EE" w:themeFill="accent5" w:themeFillTint="66"/>
          </w:tcPr>
          <w:p w14:paraId="35CFAD89" w14:textId="77777777" w:rsidR="00BA49FE" w:rsidRPr="00BB09C5" w:rsidRDefault="00BA49FE" w:rsidP="00DE5006">
            <w:pPr>
              <w:jc w:val="center"/>
              <w:rPr>
                <w:rFonts w:cstheme="minorHAnsi"/>
                <w:b/>
                <w:bCs/>
                <w:iCs/>
              </w:rPr>
            </w:pPr>
            <w:r w:rsidRPr="00BB09C5">
              <w:rPr>
                <w:rFonts w:cstheme="minorHAnsi"/>
                <w:b/>
                <w:bCs/>
                <w:iCs/>
              </w:rPr>
              <w:t>FY2022</w:t>
            </w:r>
          </w:p>
        </w:tc>
        <w:tc>
          <w:tcPr>
            <w:tcW w:w="1336" w:type="dxa"/>
            <w:shd w:val="clear" w:color="auto" w:fill="BDD6EE" w:themeFill="accent5" w:themeFillTint="66"/>
          </w:tcPr>
          <w:p w14:paraId="7B413B94" w14:textId="77777777" w:rsidR="00BA49FE" w:rsidRPr="00BB09C5" w:rsidRDefault="00BA49FE" w:rsidP="00DE5006">
            <w:pPr>
              <w:jc w:val="center"/>
              <w:rPr>
                <w:rFonts w:cstheme="minorHAnsi"/>
                <w:b/>
                <w:bCs/>
                <w:iCs/>
              </w:rPr>
            </w:pPr>
            <w:r w:rsidRPr="00BB09C5">
              <w:rPr>
                <w:rFonts w:cstheme="minorHAnsi"/>
                <w:b/>
                <w:bCs/>
                <w:iCs/>
              </w:rPr>
              <w:t>FY2023</w:t>
            </w:r>
          </w:p>
        </w:tc>
      </w:tr>
      <w:tr w:rsidR="00BA49FE" w:rsidRPr="00BB09C5" w14:paraId="74C4F19D" w14:textId="77777777" w:rsidTr="00DE5006">
        <w:trPr>
          <w:jc w:val="center"/>
        </w:trPr>
        <w:tc>
          <w:tcPr>
            <w:tcW w:w="1335" w:type="dxa"/>
          </w:tcPr>
          <w:p w14:paraId="24481E04" w14:textId="77777777" w:rsidR="00BA49FE" w:rsidRPr="00BB09C5" w:rsidRDefault="00BA49FE" w:rsidP="00252CB8">
            <w:pPr>
              <w:rPr>
                <w:rFonts w:cstheme="minorHAnsi"/>
                <w:iCs/>
              </w:rPr>
            </w:pPr>
            <w:r w:rsidRPr="00BB09C5">
              <w:rPr>
                <w:rFonts w:cstheme="minorHAnsi"/>
                <w:iCs/>
              </w:rPr>
              <w:t>Wait time (In days)</w:t>
            </w:r>
          </w:p>
        </w:tc>
        <w:tc>
          <w:tcPr>
            <w:tcW w:w="1335" w:type="dxa"/>
            <w:vAlign w:val="center"/>
          </w:tcPr>
          <w:p w14:paraId="7DB43326" w14:textId="7E03E632" w:rsidR="00BA49FE" w:rsidRPr="00BB09C5" w:rsidRDefault="007A5E33" w:rsidP="00DE5006">
            <w:pPr>
              <w:jc w:val="center"/>
              <w:rPr>
                <w:rFonts w:cstheme="minorHAnsi"/>
                <w:iCs/>
              </w:rPr>
            </w:pPr>
            <w:r w:rsidRPr="00BB09C5">
              <w:rPr>
                <w:rFonts w:cstheme="minorHAnsi"/>
                <w:iCs/>
              </w:rPr>
              <w:t>20</w:t>
            </w:r>
          </w:p>
        </w:tc>
        <w:tc>
          <w:tcPr>
            <w:tcW w:w="1336" w:type="dxa"/>
            <w:vAlign w:val="center"/>
          </w:tcPr>
          <w:p w14:paraId="051B45C0" w14:textId="42DDCEB0" w:rsidR="00BA49FE" w:rsidRPr="00BB09C5" w:rsidRDefault="007A5E33" w:rsidP="00DE5006">
            <w:pPr>
              <w:jc w:val="center"/>
              <w:rPr>
                <w:rFonts w:cstheme="minorHAnsi"/>
                <w:iCs/>
              </w:rPr>
            </w:pPr>
            <w:r w:rsidRPr="00BB09C5">
              <w:rPr>
                <w:rFonts w:cstheme="minorHAnsi"/>
                <w:iCs/>
              </w:rPr>
              <w:t>26</w:t>
            </w:r>
          </w:p>
        </w:tc>
        <w:tc>
          <w:tcPr>
            <w:tcW w:w="1336" w:type="dxa"/>
            <w:vAlign w:val="center"/>
          </w:tcPr>
          <w:p w14:paraId="024F7D7E" w14:textId="632684F3" w:rsidR="00BA49FE" w:rsidRPr="00BB09C5" w:rsidRDefault="007A5E33" w:rsidP="00DE5006">
            <w:pPr>
              <w:jc w:val="center"/>
              <w:rPr>
                <w:rFonts w:cstheme="minorHAnsi"/>
                <w:iCs/>
              </w:rPr>
            </w:pPr>
            <w:r w:rsidRPr="00BB09C5">
              <w:rPr>
                <w:rFonts w:cstheme="minorHAnsi"/>
                <w:iCs/>
              </w:rPr>
              <w:t>25</w:t>
            </w:r>
          </w:p>
        </w:tc>
        <w:tc>
          <w:tcPr>
            <w:tcW w:w="1336" w:type="dxa"/>
            <w:vAlign w:val="center"/>
          </w:tcPr>
          <w:p w14:paraId="3E8DFABA" w14:textId="77777777" w:rsidR="00BA49FE" w:rsidRPr="00BB09C5" w:rsidRDefault="00BA49FE" w:rsidP="00DE5006">
            <w:pPr>
              <w:jc w:val="center"/>
              <w:rPr>
                <w:rFonts w:cstheme="minorHAnsi"/>
                <w:iCs/>
              </w:rPr>
            </w:pPr>
            <w:r w:rsidRPr="00BB09C5">
              <w:rPr>
                <w:rFonts w:cstheme="minorHAnsi"/>
                <w:iCs/>
              </w:rPr>
              <w:t>18</w:t>
            </w:r>
          </w:p>
        </w:tc>
        <w:tc>
          <w:tcPr>
            <w:tcW w:w="1336" w:type="dxa"/>
            <w:vAlign w:val="center"/>
          </w:tcPr>
          <w:p w14:paraId="67D89500" w14:textId="5FD1D023" w:rsidR="00BA49FE" w:rsidRPr="00BB09C5" w:rsidRDefault="00883587" w:rsidP="00DE5006">
            <w:pPr>
              <w:jc w:val="center"/>
              <w:rPr>
                <w:rFonts w:cstheme="minorHAnsi"/>
                <w:iCs/>
              </w:rPr>
            </w:pPr>
            <w:r w:rsidRPr="00BB09C5">
              <w:rPr>
                <w:rFonts w:cstheme="minorHAnsi"/>
                <w:iCs/>
              </w:rPr>
              <w:t>27</w:t>
            </w:r>
          </w:p>
        </w:tc>
        <w:tc>
          <w:tcPr>
            <w:tcW w:w="1336" w:type="dxa"/>
            <w:vAlign w:val="center"/>
          </w:tcPr>
          <w:p w14:paraId="7AD91343" w14:textId="77777777" w:rsidR="00BA49FE" w:rsidRPr="00BB09C5" w:rsidRDefault="00BA49FE" w:rsidP="00DE5006">
            <w:pPr>
              <w:jc w:val="center"/>
              <w:rPr>
                <w:rFonts w:cstheme="minorHAnsi"/>
                <w:iCs/>
              </w:rPr>
            </w:pPr>
            <w:r w:rsidRPr="00BB09C5">
              <w:rPr>
                <w:rFonts w:cstheme="minorHAnsi"/>
                <w:iCs/>
              </w:rPr>
              <w:t>50</w:t>
            </w:r>
          </w:p>
        </w:tc>
      </w:tr>
    </w:tbl>
    <w:p w14:paraId="7CE9DA3E" w14:textId="77777777" w:rsidR="00A80684" w:rsidRPr="00BB09C5" w:rsidRDefault="00A80684" w:rsidP="00DF54A7">
      <w:pPr>
        <w:rPr>
          <w:rFonts w:cstheme="minorHAnsi"/>
          <w:highlight w:val="yellow"/>
        </w:rPr>
      </w:pPr>
    </w:p>
    <w:p w14:paraId="2D2C03A8" w14:textId="15597F0E" w:rsidR="00AA6233" w:rsidRPr="00BB09C5" w:rsidRDefault="00E06C94" w:rsidP="000F0649">
      <w:pPr>
        <w:pStyle w:val="ListParagraph"/>
        <w:numPr>
          <w:ilvl w:val="0"/>
          <w:numId w:val="38"/>
        </w:numPr>
        <w:spacing w:before="240" w:after="0" w:line="229" w:lineRule="exact"/>
        <w:rPr>
          <w:rFonts w:cstheme="minorHAnsi"/>
        </w:rPr>
      </w:pPr>
      <w:r w:rsidRPr="00BB09C5">
        <w:rPr>
          <w:rFonts w:cstheme="minorHAnsi"/>
        </w:rPr>
        <w:t xml:space="preserve">On page 17 of the Narrative, </w:t>
      </w:r>
      <w:r w:rsidR="00AB76B3" w:rsidRPr="00BB09C5">
        <w:rPr>
          <w:rFonts w:cstheme="minorHAnsi"/>
        </w:rPr>
        <w:t>it states that the need for imaging equipment at the Quincy satellite was assessed using, “referral ratios for imaging exams at their other ambulatory sites to project utilization of imaging services in the Quincy Satellite.</w:t>
      </w:r>
      <w:r w:rsidR="001C2FE0" w:rsidRPr="00BB09C5">
        <w:rPr>
          <w:rFonts w:cstheme="minorHAnsi"/>
        </w:rPr>
        <w:t>” Please provide the referral ratio data referenced in this statement</w:t>
      </w:r>
      <w:r w:rsidR="005230B8" w:rsidRPr="00BB09C5">
        <w:rPr>
          <w:rFonts w:cstheme="minorHAnsi"/>
        </w:rPr>
        <w:t>.</w:t>
      </w:r>
    </w:p>
    <w:p w14:paraId="2280AF9E" w14:textId="3B0C63F8" w:rsidR="00AA6233" w:rsidRPr="00BB09C5" w:rsidRDefault="00AA6233" w:rsidP="00DE5006">
      <w:pPr>
        <w:spacing w:before="240" w:after="0" w:line="229" w:lineRule="exact"/>
        <w:ind w:firstLine="720"/>
        <w:rPr>
          <w:rFonts w:cstheme="minorHAnsi"/>
          <w:b/>
          <w:bCs/>
          <w:iCs/>
          <w:color w:val="4472C4" w:themeColor="accent1"/>
        </w:rPr>
      </w:pPr>
      <w:r w:rsidRPr="00BB09C5">
        <w:rPr>
          <w:rFonts w:cstheme="minorHAnsi"/>
          <w:b/>
          <w:bCs/>
          <w:iCs/>
        </w:rPr>
        <w:t>Please see the table below for the radiology referral ratios by service and modality.</w:t>
      </w:r>
    </w:p>
    <w:p w14:paraId="42F04611" w14:textId="42EBBC85" w:rsidR="00746E66" w:rsidRPr="00BB09C5" w:rsidRDefault="00746E66" w:rsidP="00746E66">
      <w:pPr>
        <w:spacing w:before="240" w:after="0" w:line="229" w:lineRule="exact"/>
        <w:ind w:firstLine="720"/>
        <w:jc w:val="center"/>
        <w:rPr>
          <w:rFonts w:cstheme="minorHAnsi"/>
          <w:b/>
          <w:bCs/>
          <w:iCs/>
          <w:color w:val="4472C4" w:themeColor="accent1"/>
        </w:rPr>
      </w:pPr>
      <w:r w:rsidRPr="00BB09C5">
        <w:rPr>
          <w:rFonts w:cstheme="minorHAnsi"/>
          <w:b/>
          <w:bCs/>
          <w:iCs/>
        </w:rPr>
        <w:t xml:space="preserve">Radiology Referral Ratios </w:t>
      </w:r>
      <w:r w:rsidR="0020248B" w:rsidRPr="00BB09C5">
        <w:rPr>
          <w:rFonts w:cstheme="minorHAnsi"/>
          <w:b/>
          <w:bCs/>
          <w:iCs/>
        </w:rPr>
        <w:t>b</w:t>
      </w:r>
      <w:r w:rsidRPr="00BB09C5">
        <w:rPr>
          <w:rFonts w:cstheme="minorHAnsi"/>
          <w:b/>
          <w:bCs/>
          <w:iCs/>
        </w:rPr>
        <w:t xml:space="preserve">y Service </w:t>
      </w:r>
      <w:r w:rsidR="0020248B" w:rsidRPr="00BB09C5">
        <w:rPr>
          <w:rFonts w:cstheme="minorHAnsi"/>
          <w:b/>
          <w:bCs/>
          <w:iCs/>
        </w:rPr>
        <w:t>a</w:t>
      </w:r>
      <w:r w:rsidRPr="00BB09C5">
        <w:rPr>
          <w:rFonts w:cstheme="minorHAnsi"/>
          <w:b/>
          <w:bCs/>
          <w:iCs/>
        </w:rPr>
        <w:t>nd Modality.</w:t>
      </w:r>
    </w:p>
    <w:tbl>
      <w:tblPr>
        <w:tblW w:w="8914" w:type="dxa"/>
        <w:tblLook w:val="04A0" w:firstRow="1" w:lastRow="0" w:firstColumn="1" w:lastColumn="0" w:noHBand="0" w:noVBand="1"/>
      </w:tblPr>
      <w:tblGrid>
        <w:gridCol w:w="2280"/>
        <w:gridCol w:w="1395"/>
        <w:gridCol w:w="555"/>
        <w:gridCol w:w="652"/>
        <w:gridCol w:w="51"/>
        <w:gridCol w:w="1327"/>
        <w:gridCol w:w="184"/>
        <w:gridCol w:w="845"/>
        <w:gridCol w:w="298"/>
        <w:gridCol w:w="1327"/>
      </w:tblGrid>
      <w:tr w:rsidR="008A7974" w:rsidRPr="00BB09C5" w14:paraId="61B4638B" w14:textId="77777777" w:rsidTr="003E7D0E">
        <w:trPr>
          <w:cantSplit/>
          <w:trHeight w:val="300"/>
          <w:tblHeader/>
        </w:trPr>
        <w:tc>
          <w:tcPr>
            <w:tcW w:w="2280" w:type="dxa"/>
            <w:tcBorders>
              <w:top w:val="nil"/>
              <w:left w:val="nil"/>
              <w:bottom w:val="nil"/>
              <w:right w:val="nil"/>
            </w:tcBorders>
            <w:shd w:val="clear" w:color="auto" w:fill="auto"/>
            <w:noWrap/>
            <w:vAlign w:val="bottom"/>
            <w:hideMark/>
          </w:tcPr>
          <w:p w14:paraId="3972CD4D" w14:textId="77777777" w:rsidR="008A7974" w:rsidRPr="00BB09C5" w:rsidRDefault="008A7974" w:rsidP="00AA6233">
            <w:pPr>
              <w:spacing w:after="0" w:line="240" w:lineRule="auto"/>
              <w:rPr>
                <w:rFonts w:eastAsia="Times New Roman" w:cstheme="minorHAnsi"/>
              </w:rPr>
            </w:pPr>
          </w:p>
        </w:tc>
        <w:tc>
          <w:tcPr>
            <w:tcW w:w="1326" w:type="dxa"/>
            <w:tcBorders>
              <w:top w:val="single" w:sz="4" w:space="0" w:color="auto"/>
              <w:left w:val="single" w:sz="4" w:space="0" w:color="auto"/>
              <w:bottom w:val="single" w:sz="4" w:space="0" w:color="auto"/>
            </w:tcBorders>
            <w:shd w:val="clear" w:color="000000" w:fill="BDD7EE"/>
            <w:noWrap/>
            <w:vAlign w:val="bottom"/>
            <w:hideMark/>
          </w:tcPr>
          <w:p w14:paraId="5A1615CA" w14:textId="77777777" w:rsidR="008A7974" w:rsidRPr="00BB09C5" w:rsidRDefault="008A7974" w:rsidP="00AA6233">
            <w:pPr>
              <w:spacing w:after="0" w:line="240" w:lineRule="auto"/>
              <w:jc w:val="center"/>
              <w:rPr>
                <w:rFonts w:eastAsia="Times New Roman" w:cstheme="minorHAnsi"/>
                <w:b/>
                <w:bCs/>
                <w:color w:val="000000"/>
              </w:rPr>
            </w:pPr>
            <w:r w:rsidRPr="00BB09C5">
              <w:rPr>
                <w:rFonts w:eastAsia="Times New Roman" w:cstheme="minorHAnsi"/>
                <w:b/>
                <w:bCs/>
                <w:color w:val="000000"/>
              </w:rPr>
              <w:t>Radiology Assumptions</w:t>
            </w:r>
          </w:p>
        </w:tc>
        <w:tc>
          <w:tcPr>
            <w:tcW w:w="1327" w:type="dxa"/>
            <w:gridSpan w:val="3"/>
            <w:tcBorders>
              <w:top w:val="single" w:sz="4" w:space="0" w:color="auto"/>
              <w:left w:val="nil"/>
              <w:bottom w:val="single" w:sz="4" w:space="0" w:color="auto"/>
            </w:tcBorders>
            <w:shd w:val="clear" w:color="000000" w:fill="BDD7EE"/>
            <w:vAlign w:val="bottom"/>
          </w:tcPr>
          <w:p w14:paraId="1C4EC3BF" w14:textId="77777777" w:rsidR="008A7974" w:rsidRPr="00BB09C5" w:rsidRDefault="008A7974" w:rsidP="00AA6233">
            <w:pPr>
              <w:spacing w:after="0" w:line="240" w:lineRule="auto"/>
              <w:jc w:val="center"/>
              <w:rPr>
                <w:rFonts w:eastAsia="Times New Roman" w:cstheme="minorHAnsi"/>
                <w:b/>
                <w:bCs/>
                <w:color w:val="000000"/>
              </w:rPr>
            </w:pPr>
          </w:p>
        </w:tc>
        <w:tc>
          <w:tcPr>
            <w:tcW w:w="1327" w:type="dxa"/>
            <w:tcBorders>
              <w:top w:val="single" w:sz="4" w:space="0" w:color="auto"/>
              <w:left w:val="nil"/>
              <w:bottom w:val="single" w:sz="4" w:space="0" w:color="auto"/>
            </w:tcBorders>
            <w:shd w:val="clear" w:color="000000" w:fill="BDD7EE"/>
            <w:vAlign w:val="bottom"/>
          </w:tcPr>
          <w:p w14:paraId="14B8364E" w14:textId="77777777" w:rsidR="008A7974" w:rsidRPr="00BB09C5" w:rsidRDefault="008A7974" w:rsidP="00AA6233">
            <w:pPr>
              <w:spacing w:after="0" w:line="240" w:lineRule="auto"/>
              <w:jc w:val="center"/>
              <w:rPr>
                <w:rFonts w:eastAsia="Times New Roman" w:cstheme="minorHAnsi"/>
                <w:b/>
                <w:bCs/>
                <w:color w:val="000000"/>
              </w:rPr>
            </w:pPr>
          </w:p>
        </w:tc>
        <w:tc>
          <w:tcPr>
            <w:tcW w:w="1327" w:type="dxa"/>
            <w:gridSpan w:val="3"/>
            <w:tcBorders>
              <w:top w:val="single" w:sz="4" w:space="0" w:color="auto"/>
              <w:left w:val="nil"/>
              <w:bottom w:val="single" w:sz="4" w:space="0" w:color="auto"/>
            </w:tcBorders>
            <w:shd w:val="clear" w:color="000000" w:fill="BDD7EE"/>
            <w:vAlign w:val="bottom"/>
          </w:tcPr>
          <w:p w14:paraId="7A07FF7C" w14:textId="77777777" w:rsidR="008A7974" w:rsidRPr="00BB09C5" w:rsidRDefault="008A7974" w:rsidP="00AA6233">
            <w:pPr>
              <w:spacing w:after="0" w:line="240" w:lineRule="auto"/>
              <w:jc w:val="center"/>
              <w:rPr>
                <w:rFonts w:eastAsia="Times New Roman" w:cstheme="minorHAnsi"/>
                <w:b/>
                <w:bCs/>
                <w:color w:val="000000"/>
              </w:rPr>
            </w:pPr>
          </w:p>
        </w:tc>
        <w:tc>
          <w:tcPr>
            <w:tcW w:w="1327" w:type="dxa"/>
            <w:tcBorders>
              <w:top w:val="single" w:sz="4" w:space="0" w:color="auto"/>
              <w:left w:val="nil"/>
              <w:bottom w:val="single" w:sz="4" w:space="0" w:color="auto"/>
              <w:right w:val="single" w:sz="4" w:space="0" w:color="auto"/>
            </w:tcBorders>
            <w:shd w:val="clear" w:color="000000" w:fill="BDD7EE"/>
            <w:vAlign w:val="bottom"/>
          </w:tcPr>
          <w:p w14:paraId="043AE01D" w14:textId="33B8F830" w:rsidR="008A7974" w:rsidRPr="00BB09C5" w:rsidRDefault="008A7974" w:rsidP="00AA6233">
            <w:pPr>
              <w:spacing w:after="0" w:line="240" w:lineRule="auto"/>
              <w:jc w:val="center"/>
              <w:rPr>
                <w:rFonts w:eastAsia="Times New Roman" w:cstheme="minorHAnsi"/>
                <w:b/>
                <w:bCs/>
                <w:color w:val="000000"/>
              </w:rPr>
            </w:pPr>
          </w:p>
        </w:tc>
      </w:tr>
      <w:tr w:rsidR="00AA6233" w:rsidRPr="00BB09C5" w14:paraId="65A6A257" w14:textId="77777777" w:rsidTr="003E7D0E">
        <w:trPr>
          <w:cantSplit/>
          <w:trHeight w:val="590"/>
          <w:tblHeader/>
        </w:trPr>
        <w:tc>
          <w:tcPr>
            <w:tcW w:w="2280" w:type="dxa"/>
            <w:tcBorders>
              <w:top w:val="single" w:sz="4" w:space="0" w:color="auto"/>
              <w:left w:val="single" w:sz="4" w:space="0" w:color="auto"/>
              <w:bottom w:val="single" w:sz="4" w:space="0" w:color="auto"/>
              <w:right w:val="nil"/>
            </w:tcBorders>
            <w:shd w:val="clear" w:color="000000" w:fill="BDD7EE"/>
            <w:vAlign w:val="center"/>
            <w:hideMark/>
          </w:tcPr>
          <w:p w14:paraId="605BAF60" w14:textId="5D15174D" w:rsidR="00AA6233" w:rsidRPr="00BB09C5" w:rsidRDefault="00AA6233" w:rsidP="00BB09C5">
            <w:pPr>
              <w:spacing w:after="0" w:line="240" w:lineRule="auto"/>
              <w:jc w:val="center"/>
              <w:rPr>
                <w:rFonts w:eastAsia="Times New Roman" w:cstheme="minorHAnsi"/>
                <w:b/>
                <w:bCs/>
                <w:color w:val="000000"/>
              </w:rPr>
            </w:pPr>
            <w:r w:rsidRPr="00BB09C5">
              <w:rPr>
                <w:rFonts w:eastAsia="Times New Roman" w:cstheme="minorHAnsi"/>
                <w:b/>
                <w:bCs/>
                <w:color w:val="000000"/>
              </w:rPr>
              <w:t>Specialty</w:t>
            </w:r>
          </w:p>
        </w:tc>
        <w:tc>
          <w:tcPr>
            <w:tcW w:w="1950" w:type="dxa"/>
            <w:gridSpan w:val="2"/>
            <w:tcBorders>
              <w:top w:val="nil"/>
              <w:left w:val="single" w:sz="4" w:space="0" w:color="auto"/>
              <w:bottom w:val="single" w:sz="4" w:space="0" w:color="auto"/>
              <w:right w:val="single" w:sz="4" w:space="0" w:color="auto"/>
            </w:tcBorders>
            <w:shd w:val="clear" w:color="000000" w:fill="BDD7EE"/>
            <w:vAlign w:val="center"/>
            <w:hideMark/>
          </w:tcPr>
          <w:p w14:paraId="3863D496" w14:textId="77777777" w:rsidR="00AA6233" w:rsidRPr="00BB09C5" w:rsidRDefault="00AA6233" w:rsidP="00BB09C5">
            <w:pPr>
              <w:spacing w:after="0" w:line="240" w:lineRule="auto"/>
              <w:jc w:val="center"/>
              <w:rPr>
                <w:rFonts w:eastAsia="Times New Roman" w:cstheme="minorHAnsi"/>
                <w:b/>
                <w:bCs/>
                <w:color w:val="000000"/>
              </w:rPr>
            </w:pPr>
            <w:r w:rsidRPr="00BB09C5">
              <w:rPr>
                <w:rFonts w:eastAsia="Times New Roman" w:cstheme="minorHAnsi"/>
                <w:b/>
                <w:bCs/>
                <w:color w:val="000000"/>
              </w:rPr>
              <w:t>Diagnostic   X-Ray</w:t>
            </w:r>
          </w:p>
        </w:tc>
        <w:tc>
          <w:tcPr>
            <w:tcW w:w="652" w:type="dxa"/>
            <w:tcBorders>
              <w:top w:val="nil"/>
              <w:left w:val="nil"/>
              <w:bottom w:val="single" w:sz="4" w:space="0" w:color="auto"/>
              <w:right w:val="single" w:sz="4" w:space="0" w:color="auto"/>
            </w:tcBorders>
            <w:shd w:val="clear" w:color="000000" w:fill="BDD7EE"/>
            <w:noWrap/>
            <w:vAlign w:val="center"/>
            <w:hideMark/>
          </w:tcPr>
          <w:p w14:paraId="68DF48BE" w14:textId="77777777" w:rsidR="00AA6233" w:rsidRPr="00BB09C5" w:rsidRDefault="00AA6233" w:rsidP="00BB09C5">
            <w:pPr>
              <w:spacing w:after="0" w:line="240" w:lineRule="auto"/>
              <w:jc w:val="center"/>
              <w:rPr>
                <w:rFonts w:eastAsia="Times New Roman" w:cstheme="minorHAnsi"/>
                <w:b/>
                <w:bCs/>
                <w:color w:val="000000"/>
              </w:rPr>
            </w:pPr>
            <w:r w:rsidRPr="00BB09C5">
              <w:rPr>
                <w:rFonts w:eastAsia="Times New Roman" w:cstheme="minorHAnsi"/>
                <w:b/>
                <w:bCs/>
                <w:color w:val="000000"/>
              </w:rPr>
              <w:t>CT</w:t>
            </w:r>
          </w:p>
        </w:tc>
        <w:tc>
          <w:tcPr>
            <w:tcW w:w="1562" w:type="dxa"/>
            <w:gridSpan w:val="3"/>
            <w:tcBorders>
              <w:top w:val="nil"/>
              <w:left w:val="nil"/>
              <w:bottom w:val="single" w:sz="4" w:space="0" w:color="auto"/>
              <w:right w:val="single" w:sz="4" w:space="0" w:color="auto"/>
            </w:tcBorders>
            <w:shd w:val="clear" w:color="000000" w:fill="BDD7EE"/>
            <w:noWrap/>
            <w:vAlign w:val="center"/>
            <w:hideMark/>
          </w:tcPr>
          <w:p w14:paraId="58F6A173" w14:textId="77777777" w:rsidR="00AA6233" w:rsidRPr="00BB09C5" w:rsidRDefault="00AA6233" w:rsidP="00BB09C5">
            <w:pPr>
              <w:spacing w:after="0" w:line="240" w:lineRule="auto"/>
              <w:jc w:val="center"/>
              <w:rPr>
                <w:rFonts w:eastAsia="Times New Roman" w:cstheme="minorHAnsi"/>
                <w:b/>
                <w:bCs/>
                <w:color w:val="000000"/>
              </w:rPr>
            </w:pPr>
            <w:r w:rsidRPr="00BB09C5">
              <w:rPr>
                <w:rFonts w:eastAsia="Times New Roman" w:cstheme="minorHAnsi"/>
                <w:b/>
                <w:bCs/>
                <w:color w:val="000000"/>
              </w:rPr>
              <w:t>Ultrasound</w:t>
            </w:r>
          </w:p>
        </w:tc>
        <w:tc>
          <w:tcPr>
            <w:tcW w:w="845" w:type="dxa"/>
            <w:tcBorders>
              <w:top w:val="nil"/>
              <w:left w:val="nil"/>
              <w:bottom w:val="single" w:sz="4" w:space="0" w:color="auto"/>
              <w:right w:val="single" w:sz="4" w:space="0" w:color="auto"/>
            </w:tcBorders>
            <w:shd w:val="clear" w:color="000000" w:fill="BDD7EE"/>
            <w:noWrap/>
            <w:vAlign w:val="center"/>
            <w:hideMark/>
          </w:tcPr>
          <w:p w14:paraId="089C9F5C" w14:textId="77777777" w:rsidR="00AA6233" w:rsidRPr="00BB09C5" w:rsidRDefault="00AA6233" w:rsidP="00BB09C5">
            <w:pPr>
              <w:spacing w:after="0" w:line="240" w:lineRule="auto"/>
              <w:jc w:val="center"/>
              <w:rPr>
                <w:rFonts w:eastAsia="Times New Roman" w:cstheme="minorHAnsi"/>
                <w:b/>
                <w:bCs/>
                <w:color w:val="000000"/>
              </w:rPr>
            </w:pPr>
            <w:r w:rsidRPr="00BB09C5">
              <w:rPr>
                <w:rFonts w:eastAsia="Times New Roman" w:cstheme="minorHAnsi"/>
                <w:b/>
                <w:bCs/>
                <w:color w:val="000000"/>
              </w:rPr>
              <w:t>MRI</w:t>
            </w:r>
          </w:p>
        </w:tc>
        <w:tc>
          <w:tcPr>
            <w:tcW w:w="1625" w:type="dxa"/>
            <w:gridSpan w:val="2"/>
            <w:tcBorders>
              <w:top w:val="nil"/>
              <w:left w:val="nil"/>
              <w:bottom w:val="single" w:sz="4" w:space="0" w:color="auto"/>
              <w:right w:val="single" w:sz="4" w:space="0" w:color="auto"/>
            </w:tcBorders>
            <w:shd w:val="clear" w:color="000000" w:fill="BDD7EE"/>
            <w:noWrap/>
            <w:vAlign w:val="center"/>
            <w:hideMark/>
          </w:tcPr>
          <w:p w14:paraId="7B9A3315" w14:textId="1DCB9A87" w:rsidR="00AA6233" w:rsidRPr="00BB09C5" w:rsidRDefault="00AA6233" w:rsidP="00BB09C5">
            <w:pPr>
              <w:spacing w:after="0" w:line="240" w:lineRule="auto"/>
              <w:jc w:val="center"/>
              <w:rPr>
                <w:rFonts w:eastAsia="Times New Roman" w:cstheme="minorHAnsi"/>
                <w:b/>
                <w:bCs/>
                <w:color w:val="000000"/>
              </w:rPr>
            </w:pPr>
            <w:r w:rsidRPr="00BB09C5">
              <w:rPr>
                <w:rFonts w:eastAsia="Times New Roman" w:cstheme="minorHAnsi"/>
                <w:b/>
                <w:bCs/>
                <w:color w:val="000000"/>
              </w:rPr>
              <w:t>Mammo</w:t>
            </w:r>
            <w:r w:rsidR="005230B8" w:rsidRPr="00BB09C5">
              <w:rPr>
                <w:rFonts w:eastAsia="Times New Roman" w:cstheme="minorHAnsi"/>
                <w:b/>
                <w:bCs/>
                <w:color w:val="000000"/>
              </w:rPr>
              <w:t>graphy</w:t>
            </w:r>
          </w:p>
        </w:tc>
      </w:tr>
      <w:tr w:rsidR="00AA6233" w:rsidRPr="00BB09C5" w14:paraId="352CC2FB" w14:textId="77777777" w:rsidTr="008A7974">
        <w:trPr>
          <w:cantSplit/>
          <w:trHeight w:val="288"/>
        </w:trPr>
        <w:tc>
          <w:tcPr>
            <w:tcW w:w="2280" w:type="dxa"/>
            <w:tcBorders>
              <w:top w:val="nil"/>
              <w:left w:val="single" w:sz="4" w:space="0" w:color="auto"/>
              <w:bottom w:val="single" w:sz="4" w:space="0" w:color="auto"/>
              <w:right w:val="nil"/>
            </w:tcBorders>
            <w:shd w:val="clear" w:color="auto" w:fill="auto"/>
            <w:vAlign w:val="bottom"/>
            <w:hideMark/>
          </w:tcPr>
          <w:p w14:paraId="44AECB3B" w14:textId="77777777" w:rsidR="00AA6233" w:rsidRPr="00BB09C5" w:rsidRDefault="00AA6233" w:rsidP="00AA6233">
            <w:pPr>
              <w:spacing w:after="0" w:line="240" w:lineRule="auto"/>
              <w:rPr>
                <w:rFonts w:eastAsia="Times New Roman" w:cstheme="minorHAnsi"/>
                <w:iCs/>
              </w:rPr>
            </w:pPr>
            <w:r w:rsidRPr="00BB09C5">
              <w:rPr>
                <w:rFonts w:eastAsia="Times New Roman" w:cstheme="minorHAnsi"/>
                <w:iCs/>
              </w:rPr>
              <w:t>Urgent Care</w:t>
            </w:r>
          </w:p>
        </w:tc>
        <w:tc>
          <w:tcPr>
            <w:tcW w:w="19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B7784B"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29.9%</w:t>
            </w:r>
          </w:p>
        </w:tc>
        <w:tc>
          <w:tcPr>
            <w:tcW w:w="652" w:type="dxa"/>
            <w:tcBorders>
              <w:top w:val="nil"/>
              <w:left w:val="nil"/>
              <w:bottom w:val="single" w:sz="4" w:space="0" w:color="auto"/>
              <w:right w:val="single" w:sz="4" w:space="0" w:color="auto"/>
            </w:tcBorders>
            <w:shd w:val="clear" w:color="auto" w:fill="auto"/>
            <w:noWrap/>
            <w:vAlign w:val="bottom"/>
            <w:hideMark/>
          </w:tcPr>
          <w:p w14:paraId="198E9144"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9.5%</w:t>
            </w:r>
          </w:p>
        </w:tc>
        <w:tc>
          <w:tcPr>
            <w:tcW w:w="1562" w:type="dxa"/>
            <w:gridSpan w:val="3"/>
            <w:tcBorders>
              <w:top w:val="nil"/>
              <w:left w:val="nil"/>
              <w:bottom w:val="single" w:sz="4" w:space="0" w:color="auto"/>
              <w:right w:val="single" w:sz="4" w:space="0" w:color="auto"/>
            </w:tcBorders>
            <w:shd w:val="clear" w:color="auto" w:fill="auto"/>
            <w:noWrap/>
            <w:vAlign w:val="bottom"/>
            <w:hideMark/>
          </w:tcPr>
          <w:p w14:paraId="0D67A424"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6.4%</w:t>
            </w:r>
          </w:p>
        </w:tc>
        <w:tc>
          <w:tcPr>
            <w:tcW w:w="845" w:type="dxa"/>
            <w:tcBorders>
              <w:top w:val="nil"/>
              <w:left w:val="nil"/>
              <w:bottom w:val="single" w:sz="4" w:space="0" w:color="auto"/>
              <w:right w:val="single" w:sz="4" w:space="0" w:color="auto"/>
            </w:tcBorders>
            <w:shd w:val="clear" w:color="auto" w:fill="auto"/>
            <w:noWrap/>
            <w:vAlign w:val="bottom"/>
            <w:hideMark/>
          </w:tcPr>
          <w:p w14:paraId="5C10AE2A"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0.0%</w:t>
            </w:r>
          </w:p>
        </w:tc>
        <w:tc>
          <w:tcPr>
            <w:tcW w:w="1625" w:type="dxa"/>
            <w:gridSpan w:val="2"/>
            <w:tcBorders>
              <w:top w:val="nil"/>
              <w:left w:val="nil"/>
              <w:bottom w:val="single" w:sz="4" w:space="0" w:color="auto"/>
              <w:right w:val="single" w:sz="4" w:space="0" w:color="auto"/>
            </w:tcBorders>
            <w:shd w:val="clear" w:color="auto" w:fill="auto"/>
            <w:noWrap/>
            <w:vAlign w:val="bottom"/>
            <w:hideMark/>
          </w:tcPr>
          <w:p w14:paraId="06F6627B"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0.0%</w:t>
            </w:r>
          </w:p>
        </w:tc>
      </w:tr>
      <w:tr w:rsidR="00AA6233" w:rsidRPr="00BB09C5" w14:paraId="5DC2D856" w14:textId="77777777" w:rsidTr="008A7974">
        <w:trPr>
          <w:cantSplit/>
          <w:trHeight w:val="288"/>
        </w:trPr>
        <w:tc>
          <w:tcPr>
            <w:tcW w:w="2280" w:type="dxa"/>
            <w:tcBorders>
              <w:top w:val="nil"/>
              <w:left w:val="single" w:sz="4" w:space="0" w:color="auto"/>
              <w:bottom w:val="single" w:sz="4" w:space="0" w:color="auto"/>
              <w:right w:val="nil"/>
            </w:tcBorders>
            <w:shd w:val="clear" w:color="auto" w:fill="auto"/>
            <w:vAlign w:val="bottom"/>
            <w:hideMark/>
          </w:tcPr>
          <w:p w14:paraId="1140D6CD" w14:textId="77777777" w:rsidR="00AA6233" w:rsidRPr="00BB09C5" w:rsidRDefault="00AA6233" w:rsidP="00AA6233">
            <w:pPr>
              <w:spacing w:after="0" w:line="240" w:lineRule="auto"/>
              <w:rPr>
                <w:rFonts w:eastAsia="Times New Roman" w:cstheme="minorHAnsi"/>
                <w:iCs/>
              </w:rPr>
            </w:pPr>
            <w:r w:rsidRPr="00BB09C5">
              <w:rPr>
                <w:rFonts w:eastAsia="Times New Roman" w:cstheme="minorHAnsi"/>
                <w:iCs/>
              </w:rPr>
              <w:t>Primary Care</w:t>
            </w:r>
          </w:p>
        </w:tc>
        <w:tc>
          <w:tcPr>
            <w:tcW w:w="19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7D321D"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5.2%</w:t>
            </w:r>
          </w:p>
        </w:tc>
        <w:tc>
          <w:tcPr>
            <w:tcW w:w="652" w:type="dxa"/>
            <w:tcBorders>
              <w:top w:val="nil"/>
              <w:left w:val="nil"/>
              <w:bottom w:val="single" w:sz="4" w:space="0" w:color="auto"/>
              <w:right w:val="single" w:sz="4" w:space="0" w:color="auto"/>
            </w:tcBorders>
            <w:shd w:val="clear" w:color="auto" w:fill="auto"/>
            <w:noWrap/>
            <w:vAlign w:val="bottom"/>
            <w:hideMark/>
          </w:tcPr>
          <w:p w14:paraId="00F872DB"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1.6%</w:t>
            </w:r>
          </w:p>
        </w:tc>
        <w:tc>
          <w:tcPr>
            <w:tcW w:w="1562" w:type="dxa"/>
            <w:gridSpan w:val="3"/>
            <w:tcBorders>
              <w:top w:val="nil"/>
              <w:left w:val="nil"/>
              <w:bottom w:val="single" w:sz="4" w:space="0" w:color="auto"/>
              <w:right w:val="single" w:sz="4" w:space="0" w:color="auto"/>
            </w:tcBorders>
            <w:shd w:val="clear" w:color="auto" w:fill="auto"/>
            <w:noWrap/>
            <w:vAlign w:val="bottom"/>
            <w:hideMark/>
          </w:tcPr>
          <w:p w14:paraId="565AF9D3"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3.6%</w:t>
            </w:r>
          </w:p>
        </w:tc>
        <w:tc>
          <w:tcPr>
            <w:tcW w:w="845" w:type="dxa"/>
            <w:tcBorders>
              <w:top w:val="nil"/>
              <w:left w:val="nil"/>
              <w:bottom w:val="single" w:sz="4" w:space="0" w:color="auto"/>
              <w:right w:val="single" w:sz="4" w:space="0" w:color="auto"/>
            </w:tcBorders>
            <w:shd w:val="clear" w:color="auto" w:fill="auto"/>
            <w:noWrap/>
            <w:vAlign w:val="bottom"/>
            <w:hideMark/>
          </w:tcPr>
          <w:p w14:paraId="7B2EEB51"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1.5%</w:t>
            </w:r>
          </w:p>
        </w:tc>
        <w:tc>
          <w:tcPr>
            <w:tcW w:w="1625" w:type="dxa"/>
            <w:gridSpan w:val="2"/>
            <w:tcBorders>
              <w:top w:val="nil"/>
              <w:left w:val="nil"/>
              <w:bottom w:val="single" w:sz="4" w:space="0" w:color="auto"/>
              <w:right w:val="single" w:sz="4" w:space="0" w:color="auto"/>
            </w:tcBorders>
            <w:shd w:val="clear" w:color="auto" w:fill="auto"/>
            <w:noWrap/>
            <w:vAlign w:val="bottom"/>
            <w:hideMark/>
          </w:tcPr>
          <w:p w14:paraId="52067BA9"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14.8%</w:t>
            </w:r>
          </w:p>
        </w:tc>
      </w:tr>
      <w:tr w:rsidR="00AA6233" w:rsidRPr="00BB09C5" w14:paraId="27B96225" w14:textId="77777777" w:rsidTr="008A7974">
        <w:trPr>
          <w:cantSplit/>
          <w:trHeight w:val="288"/>
        </w:trPr>
        <w:tc>
          <w:tcPr>
            <w:tcW w:w="2280" w:type="dxa"/>
            <w:tcBorders>
              <w:top w:val="nil"/>
              <w:left w:val="single" w:sz="4" w:space="0" w:color="auto"/>
              <w:bottom w:val="single" w:sz="4" w:space="0" w:color="auto"/>
              <w:right w:val="nil"/>
            </w:tcBorders>
            <w:shd w:val="clear" w:color="auto" w:fill="auto"/>
            <w:vAlign w:val="bottom"/>
            <w:hideMark/>
          </w:tcPr>
          <w:p w14:paraId="16F24232" w14:textId="77777777" w:rsidR="00AA6233" w:rsidRPr="00BB09C5" w:rsidRDefault="00AA6233" w:rsidP="00AA6233">
            <w:pPr>
              <w:spacing w:after="0" w:line="240" w:lineRule="auto"/>
              <w:rPr>
                <w:rFonts w:eastAsia="Times New Roman" w:cstheme="minorHAnsi"/>
                <w:iCs/>
              </w:rPr>
            </w:pPr>
            <w:r w:rsidRPr="00BB09C5">
              <w:rPr>
                <w:rFonts w:eastAsia="Times New Roman" w:cstheme="minorHAnsi"/>
                <w:iCs/>
              </w:rPr>
              <w:t>Cardiology</w:t>
            </w:r>
          </w:p>
        </w:tc>
        <w:tc>
          <w:tcPr>
            <w:tcW w:w="19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E241AB"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10FE1E3B"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1562" w:type="dxa"/>
            <w:gridSpan w:val="3"/>
            <w:tcBorders>
              <w:top w:val="nil"/>
              <w:left w:val="nil"/>
              <w:bottom w:val="single" w:sz="4" w:space="0" w:color="auto"/>
              <w:right w:val="single" w:sz="4" w:space="0" w:color="auto"/>
            </w:tcBorders>
            <w:shd w:val="clear" w:color="auto" w:fill="auto"/>
            <w:noWrap/>
            <w:vAlign w:val="bottom"/>
            <w:hideMark/>
          </w:tcPr>
          <w:p w14:paraId="7FDA807E"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7C80516A"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1.5%</w:t>
            </w:r>
          </w:p>
        </w:tc>
        <w:tc>
          <w:tcPr>
            <w:tcW w:w="1625" w:type="dxa"/>
            <w:gridSpan w:val="2"/>
            <w:tcBorders>
              <w:top w:val="nil"/>
              <w:left w:val="nil"/>
              <w:bottom w:val="single" w:sz="4" w:space="0" w:color="auto"/>
              <w:right w:val="single" w:sz="4" w:space="0" w:color="auto"/>
            </w:tcBorders>
            <w:shd w:val="clear" w:color="auto" w:fill="auto"/>
            <w:noWrap/>
            <w:vAlign w:val="bottom"/>
            <w:hideMark/>
          </w:tcPr>
          <w:p w14:paraId="61C04239"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0.0%</w:t>
            </w:r>
          </w:p>
        </w:tc>
      </w:tr>
      <w:tr w:rsidR="00AA6233" w:rsidRPr="00BB09C5" w14:paraId="15428F34" w14:textId="77777777" w:rsidTr="008A7974">
        <w:trPr>
          <w:cantSplit/>
          <w:trHeight w:val="288"/>
        </w:trPr>
        <w:tc>
          <w:tcPr>
            <w:tcW w:w="2280" w:type="dxa"/>
            <w:tcBorders>
              <w:top w:val="nil"/>
              <w:left w:val="single" w:sz="4" w:space="0" w:color="auto"/>
              <w:bottom w:val="single" w:sz="4" w:space="0" w:color="auto"/>
              <w:right w:val="nil"/>
            </w:tcBorders>
            <w:shd w:val="clear" w:color="auto" w:fill="auto"/>
            <w:vAlign w:val="bottom"/>
            <w:hideMark/>
          </w:tcPr>
          <w:p w14:paraId="0DF6EC54" w14:textId="77777777" w:rsidR="00AA6233" w:rsidRPr="00BB09C5" w:rsidRDefault="00AA6233" w:rsidP="00AA6233">
            <w:pPr>
              <w:spacing w:after="0" w:line="240" w:lineRule="auto"/>
              <w:rPr>
                <w:rFonts w:eastAsia="Times New Roman" w:cstheme="minorHAnsi"/>
                <w:iCs/>
              </w:rPr>
            </w:pPr>
            <w:r w:rsidRPr="00BB09C5">
              <w:rPr>
                <w:rFonts w:eastAsia="Times New Roman" w:cstheme="minorHAnsi"/>
                <w:iCs/>
              </w:rPr>
              <w:t>Neurology</w:t>
            </w:r>
          </w:p>
        </w:tc>
        <w:tc>
          <w:tcPr>
            <w:tcW w:w="19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D4FF8C"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0A5C7E12"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1562" w:type="dxa"/>
            <w:gridSpan w:val="3"/>
            <w:tcBorders>
              <w:top w:val="nil"/>
              <w:left w:val="nil"/>
              <w:bottom w:val="single" w:sz="4" w:space="0" w:color="auto"/>
              <w:right w:val="single" w:sz="4" w:space="0" w:color="auto"/>
            </w:tcBorders>
            <w:shd w:val="clear" w:color="auto" w:fill="auto"/>
            <w:noWrap/>
            <w:vAlign w:val="bottom"/>
            <w:hideMark/>
          </w:tcPr>
          <w:p w14:paraId="195D34B6"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27BBD820"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1.5%</w:t>
            </w:r>
          </w:p>
        </w:tc>
        <w:tc>
          <w:tcPr>
            <w:tcW w:w="1625" w:type="dxa"/>
            <w:gridSpan w:val="2"/>
            <w:tcBorders>
              <w:top w:val="nil"/>
              <w:left w:val="nil"/>
              <w:bottom w:val="single" w:sz="4" w:space="0" w:color="auto"/>
              <w:right w:val="single" w:sz="4" w:space="0" w:color="auto"/>
            </w:tcBorders>
            <w:shd w:val="clear" w:color="auto" w:fill="auto"/>
            <w:noWrap/>
            <w:vAlign w:val="bottom"/>
            <w:hideMark/>
          </w:tcPr>
          <w:p w14:paraId="6C5F0B54"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0.0%</w:t>
            </w:r>
          </w:p>
        </w:tc>
      </w:tr>
      <w:tr w:rsidR="00AA6233" w:rsidRPr="00BB09C5" w14:paraId="34B775A0" w14:textId="77777777" w:rsidTr="008A7974">
        <w:trPr>
          <w:cantSplit/>
          <w:trHeight w:val="288"/>
        </w:trPr>
        <w:tc>
          <w:tcPr>
            <w:tcW w:w="2280" w:type="dxa"/>
            <w:tcBorders>
              <w:top w:val="nil"/>
              <w:left w:val="single" w:sz="4" w:space="0" w:color="auto"/>
              <w:bottom w:val="single" w:sz="4" w:space="0" w:color="auto"/>
              <w:right w:val="nil"/>
            </w:tcBorders>
            <w:shd w:val="clear" w:color="auto" w:fill="auto"/>
            <w:vAlign w:val="bottom"/>
            <w:hideMark/>
          </w:tcPr>
          <w:p w14:paraId="357C70C5" w14:textId="77777777" w:rsidR="00AA6233" w:rsidRPr="00BB09C5" w:rsidRDefault="00AA6233" w:rsidP="00AA6233">
            <w:pPr>
              <w:spacing w:after="0" w:line="240" w:lineRule="auto"/>
              <w:rPr>
                <w:rFonts w:eastAsia="Times New Roman" w:cstheme="minorHAnsi"/>
                <w:iCs/>
              </w:rPr>
            </w:pPr>
            <w:r w:rsidRPr="00BB09C5">
              <w:rPr>
                <w:rFonts w:eastAsia="Times New Roman" w:cstheme="minorHAnsi"/>
                <w:iCs/>
              </w:rPr>
              <w:t>Ob/Gyn</w:t>
            </w:r>
          </w:p>
        </w:tc>
        <w:tc>
          <w:tcPr>
            <w:tcW w:w="19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1FEF5DC"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0.0%</w:t>
            </w:r>
          </w:p>
        </w:tc>
        <w:tc>
          <w:tcPr>
            <w:tcW w:w="652" w:type="dxa"/>
            <w:tcBorders>
              <w:top w:val="nil"/>
              <w:left w:val="nil"/>
              <w:bottom w:val="single" w:sz="4" w:space="0" w:color="auto"/>
              <w:right w:val="single" w:sz="4" w:space="0" w:color="auto"/>
            </w:tcBorders>
            <w:shd w:val="clear" w:color="auto" w:fill="auto"/>
            <w:noWrap/>
            <w:vAlign w:val="bottom"/>
            <w:hideMark/>
          </w:tcPr>
          <w:p w14:paraId="2D2AA68E"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0.0%</w:t>
            </w:r>
          </w:p>
        </w:tc>
        <w:tc>
          <w:tcPr>
            <w:tcW w:w="1562" w:type="dxa"/>
            <w:gridSpan w:val="3"/>
            <w:tcBorders>
              <w:top w:val="nil"/>
              <w:left w:val="nil"/>
              <w:bottom w:val="single" w:sz="4" w:space="0" w:color="auto"/>
              <w:right w:val="single" w:sz="4" w:space="0" w:color="auto"/>
            </w:tcBorders>
            <w:shd w:val="clear" w:color="auto" w:fill="auto"/>
            <w:noWrap/>
            <w:vAlign w:val="bottom"/>
            <w:hideMark/>
          </w:tcPr>
          <w:p w14:paraId="584460D1"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12.0%</w:t>
            </w:r>
          </w:p>
        </w:tc>
        <w:tc>
          <w:tcPr>
            <w:tcW w:w="845" w:type="dxa"/>
            <w:tcBorders>
              <w:top w:val="nil"/>
              <w:left w:val="nil"/>
              <w:bottom w:val="single" w:sz="4" w:space="0" w:color="auto"/>
              <w:right w:val="single" w:sz="4" w:space="0" w:color="auto"/>
            </w:tcBorders>
            <w:shd w:val="clear" w:color="auto" w:fill="auto"/>
            <w:noWrap/>
            <w:vAlign w:val="bottom"/>
            <w:hideMark/>
          </w:tcPr>
          <w:p w14:paraId="52430A7D"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0.0%</w:t>
            </w:r>
          </w:p>
        </w:tc>
        <w:tc>
          <w:tcPr>
            <w:tcW w:w="1625" w:type="dxa"/>
            <w:gridSpan w:val="2"/>
            <w:tcBorders>
              <w:top w:val="nil"/>
              <w:left w:val="nil"/>
              <w:bottom w:val="single" w:sz="4" w:space="0" w:color="auto"/>
              <w:right w:val="single" w:sz="4" w:space="0" w:color="auto"/>
            </w:tcBorders>
            <w:shd w:val="clear" w:color="auto" w:fill="auto"/>
            <w:noWrap/>
            <w:vAlign w:val="bottom"/>
            <w:hideMark/>
          </w:tcPr>
          <w:p w14:paraId="70F65212"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0.0%</w:t>
            </w:r>
          </w:p>
        </w:tc>
      </w:tr>
      <w:tr w:rsidR="00AA6233" w:rsidRPr="00BB09C5" w14:paraId="4BEC8E09" w14:textId="77777777" w:rsidTr="008A7974">
        <w:trPr>
          <w:cantSplit/>
          <w:trHeight w:val="288"/>
        </w:trPr>
        <w:tc>
          <w:tcPr>
            <w:tcW w:w="2280" w:type="dxa"/>
            <w:tcBorders>
              <w:top w:val="nil"/>
              <w:left w:val="single" w:sz="4" w:space="0" w:color="auto"/>
              <w:bottom w:val="single" w:sz="4" w:space="0" w:color="auto"/>
              <w:right w:val="nil"/>
            </w:tcBorders>
            <w:shd w:val="clear" w:color="auto" w:fill="auto"/>
            <w:vAlign w:val="bottom"/>
            <w:hideMark/>
          </w:tcPr>
          <w:p w14:paraId="7D2842FA" w14:textId="77777777" w:rsidR="00AA6233" w:rsidRPr="00BB09C5" w:rsidRDefault="00AA6233" w:rsidP="00AA6233">
            <w:pPr>
              <w:spacing w:after="0" w:line="240" w:lineRule="auto"/>
              <w:rPr>
                <w:rFonts w:eastAsia="Times New Roman" w:cstheme="minorHAnsi"/>
                <w:iCs/>
              </w:rPr>
            </w:pPr>
            <w:r w:rsidRPr="00BB09C5">
              <w:rPr>
                <w:rFonts w:eastAsia="Times New Roman" w:cstheme="minorHAnsi"/>
                <w:iCs/>
              </w:rPr>
              <w:t>Orthopedics</w:t>
            </w:r>
          </w:p>
        </w:tc>
        <w:tc>
          <w:tcPr>
            <w:tcW w:w="19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C9E7872"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35.0%</w:t>
            </w:r>
          </w:p>
        </w:tc>
        <w:tc>
          <w:tcPr>
            <w:tcW w:w="652" w:type="dxa"/>
            <w:tcBorders>
              <w:top w:val="nil"/>
              <w:left w:val="nil"/>
              <w:bottom w:val="single" w:sz="4" w:space="0" w:color="auto"/>
              <w:right w:val="single" w:sz="4" w:space="0" w:color="auto"/>
            </w:tcBorders>
            <w:shd w:val="clear" w:color="auto" w:fill="auto"/>
            <w:noWrap/>
            <w:vAlign w:val="bottom"/>
            <w:hideMark/>
          </w:tcPr>
          <w:p w14:paraId="367F5833"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0.0%</w:t>
            </w:r>
          </w:p>
        </w:tc>
        <w:tc>
          <w:tcPr>
            <w:tcW w:w="1562" w:type="dxa"/>
            <w:gridSpan w:val="3"/>
            <w:tcBorders>
              <w:top w:val="nil"/>
              <w:left w:val="nil"/>
              <w:bottom w:val="single" w:sz="4" w:space="0" w:color="auto"/>
              <w:right w:val="single" w:sz="4" w:space="0" w:color="auto"/>
            </w:tcBorders>
            <w:shd w:val="clear" w:color="auto" w:fill="auto"/>
            <w:noWrap/>
            <w:vAlign w:val="bottom"/>
            <w:hideMark/>
          </w:tcPr>
          <w:p w14:paraId="4E676B80"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2.0%</w:t>
            </w:r>
          </w:p>
        </w:tc>
        <w:tc>
          <w:tcPr>
            <w:tcW w:w="845" w:type="dxa"/>
            <w:tcBorders>
              <w:top w:val="nil"/>
              <w:left w:val="nil"/>
              <w:bottom w:val="single" w:sz="4" w:space="0" w:color="auto"/>
              <w:right w:val="single" w:sz="4" w:space="0" w:color="auto"/>
            </w:tcBorders>
            <w:shd w:val="clear" w:color="auto" w:fill="auto"/>
            <w:noWrap/>
            <w:vAlign w:val="bottom"/>
            <w:hideMark/>
          </w:tcPr>
          <w:p w14:paraId="7093F892"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17.0%</w:t>
            </w:r>
          </w:p>
        </w:tc>
        <w:tc>
          <w:tcPr>
            <w:tcW w:w="1625" w:type="dxa"/>
            <w:gridSpan w:val="2"/>
            <w:tcBorders>
              <w:top w:val="nil"/>
              <w:left w:val="nil"/>
              <w:bottom w:val="single" w:sz="4" w:space="0" w:color="auto"/>
              <w:right w:val="single" w:sz="4" w:space="0" w:color="auto"/>
            </w:tcBorders>
            <w:shd w:val="clear" w:color="auto" w:fill="auto"/>
            <w:noWrap/>
            <w:vAlign w:val="bottom"/>
            <w:hideMark/>
          </w:tcPr>
          <w:p w14:paraId="77B3E887"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0.0%</w:t>
            </w:r>
          </w:p>
        </w:tc>
      </w:tr>
      <w:tr w:rsidR="00AA6233" w:rsidRPr="00BB09C5" w14:paraId="7EAFDFF3" w14:textId="77777777" w:rsidTr="008A7974">
        <w:trPr>
          <w:cantSplit/>
          <w:trHeight w:val="288"/>
        </w:trPr>
        <w:tc>
          <w:tcPr>
            <w:tcW w:w="2280" w:type="dxa"/>
            <w:tcBorders>
              <w:top w:val="nil"/>
              <w:left w:val="single" w:sz="4" w:space="0" w:color="auto"/>
              <w:bottom w:val="single" w:sz="4" w:space="0" w:color="auto"/>
              <w:right w:val="nil"/>
            </w:tcBorders>
            <w:shd w:val="clear" w:color="auto" w:fill="auto"/>
            <w:vAlign w:val="bottom"/>
            <w:hideMark/>
          </w:tcPr>
          <w:p w14:paraId="4D11C703" w14:textId="77777777" w:rsidR="00AA6233" w:rsidRPr="00BB09C5" w:rsidRDefault="00AA6233" w:rsidP="00AA6233">
            <w:pPr>
              <w:spacing w:after="0" w:line="240" w:lineRule="auto"/>
              <w:rPr>
                <w:rFonts w:eastAsia="Times New Roman" w:cstheme="minorHAnsi"/>
                <w:iCs/>
              </w:rPr>
            </w:pPr>
            <w:r w:rsidRPr="00BB09C5">
              <w:rPr>
                <w:rFonts w:eastAsia="Times New Roman" w:cstheme="minorHAnsi"/>
                <w:iCs/>
              </w:rPr>
              <w:t>Endocrine Surgery</w:t>
            </w:r>
          </w:p>
        </w:tc>
        <w:tc>
          <w:tcPr>
            <w:tcW w:w="19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0C8C77"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02758AEC"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1562" w:type="dxa"/>
            <w:gridSpan w:val="3"/>
            <w:tcBorders>
              <w:top w:val="nil"/>
              <w:left w:val="nil"/>
              <w:bottom w:val="single" w:sz="4" w:space="0" w:color="auto"/>
              <w:right w:val="single" w:sz="4" w:space="0" w:color="auto"/>
            </w:tcBorders>
            <w:shd w:val="clear" w:color="auto" w:fill="auto"/>
            <w:noWrap/>
            <w:vAlign w:val="bottom"/>
            <w:hideMark/>
          </w:tcPr>
          <w:p w14:paraId="725F4378"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4BAC343A"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1.5%</w:t>
            </w:r>
          </w:p>
        </w:tc>
        <w:tc>
          <w:tcPr>
            <w:tcW w:w="1625" w:type="dxa"/>
            <w:gridSpan w:val="2"/>
            <w:tcBorders>
              <w:top w:val="nil"/>
              <w:left w:val="nil"/>
              <w:bottom w:val="single" w:sz="4" w:space="0" w:color="auto"/>
              <w:right w:val="single" w:sz="4" w:space="0" w:color="auto"/>
            </w:tcBorders>
            <w:shd w:val="clear" w:color="auto" w:fill="auto"/>
            <w:noWrap/>
            <w:vAlign w:val="bottom"/>
            <w:hideMark/>
          </w:tcPr>
          <w:p w14:paraId="285C798D"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0.0%</w:t>
            </w:r>
          </w:p>
        </w:tc>
      </w:tr>
      <w:tr w:rsidR="00AA6233" w:rsidRPr="00BB09C5" w14:paraId="7EE6E56F" w14:textId="77777777" w:rsidTr="008A7974">
        <w:trPr>
          <w:cantSplit/>
          <w:trHeight w:val="288"/>
        </w:trPr>
        <w:tc>
          <w:tcPr>
            <w:tcW w:w="2280" w:type="dxa"/>
            <w:tcBorders>
              <w:top w:val="nil"/>
              <w:left w:val="single" w:sz="4" w:space="0" w:color="auto"/>
              <w:bottom w:val="single" w:sz="4" w:space="0" w:color="auto"/>
              <w:right w:val="nil"/>
            </w:tcBorders>
            <w:shd w:val="clear" w:color="auto" w:fill="auto"/>
            <w:vAlign w:val="bottom"/>
            <w:hideMark/>
          </w:tcPr>
          <w:p w14:paraId="3C2F634A" w14:textId="77777777" w:rsidR="00AA6233" w:rsidRPr="00BB09C5" w:rsidRDefault="00AA6233" w:rsidP="00AA6233">
            <w:pPr>
              <w:spacing w:after="0" w:line="240" w:lineRule="auto"/>
              <w:rPr>
                <w:rFonts w:eastAsia="Times New Roman" w:cstheme="minorHAnsi"/>
                <w:iCs/>
              </w:rPr>
            </w:pPr>
            <w:r w:rsidRPr="00BB09C5">
              <w:rPr>
                <w:rFonts w:eastAsia="Times New Roman" w:cstheme="minorHAnsi"/>
                <w:iCs/>
              </w:rPr>
              <w:t>ENT</w:t>
            </w:r>
          </w:p>
        </w:tc>
        <w:tc>
          <w:tcPr>
            <w:tcW w:w="19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100EB06"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1B44F031"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1562" w:type="dxa"/>
            <w:gridSpan w:val="3"/>
            <w:tcBorders>
              <w:top w:val="nil"/>
              <w:left w:val="nil"/>
              <w:bottom w:val="single" w:sz="4" w:space="0" w:color="auto"/>
              <w:right w:val="single" w:sz="4" w:space="0" w:color="auto"/>
            </w:tcBorders>
            <w:shd w:val="clear" w:color="auto" w:fill="auto"/>
            <w:noWrap/>
            <w:vAlign w:val="bottom"/>
            <w:hideMark/>
          </w:tcPr>
          <w:p w14:paraId="3EBF4552"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4AD31EA3"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1.5%</w:t>
            </w:r>
          </w:p>
        </w:tc>
        <w:tc>
          <w:tcPr>
            <w:tcW w:w="1625" w:type="dxa"/>
            <w:gridSpan w:val="2"/>
            <w:tcBorders>
              <w:top w:val="nil"/>
              <w:left w:val="nil"/>
              <w:bottom w:val="single" w:sz="4" w:space="0" w:color="auto"/>
              <w:right w:val="single" w:sz="4" w:space="0" w:color="auto"/>
            </w:tcBorders>
            <w:shd w:val="clear" w:color="auto" w:fill="auto"/>
            <w:noWrap/>
            <w:vAlign w:val="bottom"/>
            <w:hideMark/>
          </w:tcPr>
          <w:p w14:paraId="204B2C15"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0.0%</w:t>
            </w:r>
          </w:p>
        </w:tc>
      </w:tr>
      <w:tr w:rsidR="00AA6233" w:rsidRPr="00BB09C5" w14:paraId="511FF619" w14:textId="77777777" w:rsidTr="008A7974">
        <w:trPr>
          <w:cantSplit/>
          <w:trHeight w:val="290"/>
        </w:trPr>
        <w:tc>
          <w:tcPr>
            <w:tcW w:w="2280" w:type="dxa"/>
            <w:tcBorders>
              <w:top w:val="nil"/>
              <w:left w:val="single" w:sz="4" w:space="0" w:color="auto"/>
              <w:bottom w:val="single" w:sz="4" w:space="0" w:color="auto"/>
              <w:right w:val="nil"/>
            </w:tcBorders>
            <w:shd w:val="clear" w:color="auto" w:fill="auto"/>
            <w:vAlign w:val="bottom"/>
            <w:hideMark/>
          </w:tcPr>
          <w:p w14:paraId="7AFCE249" w14:textId="77777777" w:rsidR="00AA6233" w:rsidRPr="00BB09C5" w:rsidRDefault="00AA6233" w:rsidP="00AA6233">
            <w:pPr>
              <w:spacing w:after="0" w:line="240" w:lineRule="auto"/>
              <w:rPr>
                <w:rFonts w:eastAsia="Times New Roman" w:cstheme="minorHAnsi"/>
                <w:iCs/>
              </w:rPr>
            </w:pPr>
            <w:r w:rsidRPr="00BB09C5">
              <w:rPr>
                <w:rFonts w:eastAsia="Times New Roman" w:cstheme="minorHAnsi"/>
                <w:iCs/>
              </w:rPr>
              <w:t>Gerontology</w:t>
            </w:r>
          </w:p>
        </w:tc>
        <w:tc>
          <w:tcPr>
            <w:tcW w:w="19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81FA3D"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5F69C967"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1562" w:type="dxa"/>
            <w:gridSpan w:val="3"/>
            <w:tcBorders>
              <w:top w:val="nil"/>
              <w:left w:val="nil"/>
              <w:bottom w:val="single" w:sz="4" w:space="0" w:color="auto"/>
              <w:right w:val="single" w:sz="4" w:space="0" w:color="auto"/>
            </w:tcBorders>
            <w:shd w:val="clear" w:color="auto" w:fill="auto"/>
            <w:noWrap/>
            <w:vAlign w:val="bottom"/>
            <w:hideMark/>
          </w:tcPr>
          <w:p w14:paraId="78606D0D"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2644767F"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1.5%</w:t>
            </w:r>
          </w:p>
        </w:tc>
        <w:tc>
          <w:tcPr>
            <w:tcW w:w="1625" w:type="dxa"/>
            <w:gridSpan w:val="2"/>
            <w:tcBorders>
              <w:top w:val="nil"/>
              <w:left w:val="nil"/>
              <w:bottom w:val="single" w:sz="4" w:space="0" w:color="auto"/>
              <w:right w:val="single" w:sz="4" w:space="0" w:color="auto"/>
            </w:tcBorders>
            <w:shd w:val="clear" w:color="auto" w:fill="auto"/>
            <w:noWrap/>
            <w:vAlign w:val="bottom"/>
            <w:hideMark/>
          </w:tcPr>
          <w:p w14:paraId="2B82B9D5"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0.0%</w:t>
            </w:r>
          </w:p>
        </w:tc>
      </w:tr>
      <w:tr w:rsidR="00AA6233" w:rsidRPr="00BB09C5" w14:paraId="536BB519" w14:textId="77777777" w:rsidTr="008A7974">
        <w:trPr>
          <w:cantSplit/>
          <w:trHeight w:val="290"/>
        </w:trPr>
        <w:tc>
          <w:tcPr>
            <w:tcW w:w="2280" w:type="dxa"/>
            <w:tcBorders>
              <w:top w:val="nil"/>
              <w:left w:val="single" w:sz="4" w:space="0" w:color="auto"/>
              <w:bottom w:val="single" w:sz="4" w:space="0" w:color="auto"/>
              <w:right w:val="nil"/>
            </w:tcBorders>
            <w:shd w:val="clear" w:color="auto" w:fill="auto"/>
            <w:vAlign w:val="bottom"/>
            <w:hideMark/>
          </w:tcPr>
          <w:p w14:paraId="5230EF21" w14:textId="77777777" w:rsidR="00AA6233" w:rsidRPr="00BB09C5" w:rsidRDefault="00AA6233" w:rsidP="00AA6233">
            <w:pPr>
              <w:spacing w:after="0" w:line="240" w:lineRule="auto"/>
              <w:rPr>
                <w:rFonts w:eastAsia="Times New Roman" w:cstheme="minorHAnsi"/>
                <w:iCs/>
              </w:rPr>
            </w:pPr>
            <w:r w:rsidRPr="00BB09C5">
              <w:rPr>
                <w:rFonts w:eastAsia="Times New Roman" w:cstheme="minorHAnsi"/>
                <w:iCs/>
              </w:rPr>
              <w:t>GI</w:t>
            </w:r>
          </w:p>
        </w:tc>
        <w:tc>
          <w:tcPr>
            <w:tcW w:w="19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529ADB"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0E0BA38C"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1562" w:type="dxa"/>
            <w:gridSpan w:val="3"/>
            <w:tcBorders>
              <w:top w:val="nil"/>
              <w:left w:val="nil"/>
              <w:bottom w:val="single" w:sz="4" w:space="0" w:color="auto"/>
              <w:right w:val="single" w:sz="4" w:space="0" w:color="auto"/>
            </w:tcBorders>
            <w:shd w:val="clear" w:color="auto" w:fill="auto"/>
            <w:noWrap/>
            <w:vAlign w:val="bottom"/>
            <w:hideMark/>
          </w:tcPr>
          <w:p w14:paraId="6F8DD91F"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2FCF5AFF"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1.5%</w:t>
            </w:r>
          </w:p>
        </w:tc>
        <w:tc>
          <w:tcPr>
            <w:tcW w:w="1625" w:type="dxa"/>
            <w:gridSpan w:val="2"/>
            <w:tcBorders>
              <w:top w:val="nil"/>
              <w:left w:val="nil"/>
              <w:bottom w:val="single" w:sz="4" w:space="0" w:color="auto"/>
              <w:right w:val="single" w:sz="4" w:space="0" w:color="auto"/>
            </w:tcBorders>
            <w:shd w:val="clear" w:color="auto" w:fill="auto"/>
            <w:noWrap/>
            <w:vAlign w:val="bottom"/>
            <w:hideMark/>
          </w:tcPr>
          <w:p w14:paraId="40E2AF4B"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0.0%</w:t>
            </w:r>
          </w:p>
        </w:tc>
      </w:tr>
      <w:tr w:rsidR="00AA6233" w:rsidRPr="00BB09C5" w14:paraId="198E8730" w14:textId="77777777" w:rsidTr="008A7974">
        <w:trPr>
          <w:cantSplit/>
          <w:trHeight w:val="288"/>
        </w:trPr>
        <w:tc>
          <w:tcPr>
            <w:tcW w:w="2280" w:type="dxa"/>
            <w:tcBorders>
              <w:top w:val="nil"/>
              <w:left w:val="single" w:sz="4" w:space="0" w:color="auto"/>
              <w:bottom w:val="single" w:sz="4" w:space="0" w:color="auto"/>
              <w:right w:val="nil"/>
            </w:tcBorders>
            <w:shd w:val="clear" w:color="auto" w:fill="auto"/>
            <w:vAlign w:val="bottom"/>
            <w:hideMark/>
          </w:tcPr>
          <w:p w14:paraId="660F6CA7" w14:textId="6AE0CBD1" w:rsidR="00AA6233" w:rsidRPr="00BB09C5" w:rsidRDefault="00AA6233" w:rsidP="00AA6233">
            <w:pPr>
              <w:spacing w:after="0" w:line="240" w:lineRule="auto"/>
              <w:rPr>
                <w:rFonts w:eastAsia="Times New Roman" w:cstheme="minorHAnsi"/>
                <w:iCs/>
              </w:rPr>
            </w:pPr>
            <w:r w:rsidRPr="00BB09C5">
              <w:rPr>
                <w:rFonts w:eastAsia="Times New Roman" w:cstheme="minorHAnsi"/>
                <w:iCs/>
              </w:rPr>
              <w:t>Hematology/Oncology</w:t>
            </w:r>
          </w:p>
        </w:tc>
        <w:tc>
          <w:tcPr>
            <w:tcW w:w="19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C82412"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311CCBD6"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1562" w:type="dxa"/>
            <w:gridSpan w:val="3"/>
            <w:tcBorders>
              <w:top w:val="nil"/>
              <w:left w:val="nil"/>
              <w:bottom w:val="single" w:sz="4" w:space="0" w:color="auto"/>
              <w:right w:val="single" w:sz="4" w:space="0" w:color="auto"/>
            </w:tcBorders>
            <w:shd w:val="clear" w:color="auto" w:fill="auto"/>
            <w:noWrap/>
            <w:vAlign w:val="bottom"/>
            <w:hideMark/>
          </w:tcPr>
          <w:p w14:paraId="38C4AFFA"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6C9FDE7D"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1.5%</w:t>
            </w:r>
          </w:p>
        </w:tc>
        <w:tc>
          <w:tcPr>
            <w:tcW w:w="1625" w:type="dxa"/>
            <w:gridSpan w:val="2"/>
            <w:tcBorders>
              <w:top w:val="nil"/>
              <w:left w:val="nil"/>
              <w:bottom w:val="single" w:sz="4" w:space="0" w:color="auto"/>
              <w:right w:val="single" w:sz="4" w:space="0" w:color="auto"/>
            </w:tcBorders>
            <w:shd w:val="clear" w:color="auto" w:fill="auto"/>
            <w:noWrap/>
            <w:vAlign w:val="bottom"/>
            <w:hideMark/>
          </w:tcPr>
          <w:p w14:paraId="4C2744FD"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0.0%</w:t>
            </w:r>
          </w:p>
        </w:tc>
      </w:tr>
      <w:tr w:rsidR="00AA6233" w:rsidRPr="00BB09C5" w14:paraId="5E7AB013" w14:textId="77777777" w:rsidTr="008A7974">
        <w:trPr>
          <w:cantSplit/>
          <w:trHeight w:val="290"/>
        </w:trPr>
        <w:tc>
          <w:tcPr>
            <w:tcW w:w="2280" w:type="dxa"/>
            <w:tcBorders>
              <w:top w:val="nil"/>
              <w:left w:val="single" w:sz="4" w:space="0" w:color="auto"/>
              <w:bottom w:val="single" w:sz="4" w:space="0" w:color="auto"/>
              <w:right w:val="nil"/>
            </w:tcBorders>
            <w:shd w:val="clear" w:color="auto" w:fill="auto"/>
            <w:vAlign w:val="bottom"/>
            <w:hideMark/>
          </w:tcPr>
          <w:p w14:paraId="0BE4F7C9" w14:textId="77777777" w:rsidR="00AA6233" w:rsidRPr="00BB09C5" w:rsidRDefault="00AA6233" w:rsidP="00AA6233">
            <w:pPr>
              <w:spacing w:after="0" w:line="240" w:lineRule="auto"/>
              <w:rPr>
                <w:rFonts w:eastAsia="Times New Roman" w:cstheme="minorHAnsi"/>
                <w:iCs/>
              </w:rPr>
            </w:pPr>
            <w:r w:rsidRPr="00BB09C5">
              <w:rPr>
                <w:rFonts w:eastAsia="Times New Roman" w:cstheme="minorHAnsi"/>
                <w:iCs/>
              </w:rPr>
              <w:t>Infectious Disease</w:t>
            </w:r>
          </w:p>
        </w:tc>
        <w:tc>
          <w:tcPr>
            <w:tcW w:w="19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028819"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7E2C1C1E"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1562" w:type="dxa"/>
            <w:gridSpan w:val="3"/>
            <w:tcBorders>
              <w:top w:val="nil"/>
              <w:left w:val="nil"/>
              <w:bottom w:val="single" w:sz="4" w:space="0" w:color="auto"/>
              <w:right w:val="single" w:sz="4" w:space="0" w:color="auto"/>
            </w:tcBorders>
            <w:shd w:val="clear" w:color="auto" w:fill="auto"/>
            <w:noWrap/>
            <w:vAlign w:val="bottom"/>
            <w:hideMark/>
          </w:tcPr>
          <w:p w14:paraId="7D3FA075"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0CFBA88F"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1.5%</w:t>
            </w:r>
          </w:p>
        </w:tc>
        <w:tc>
          <w:tcPr>
            <w:tcW w:w="1625" w:type="dxa"/>
            <w:gridSpan w:val="2"/>
            <w:tcBorders>
              <w:top w:val="nil"/>
              <w:left w:val="nil"/>
              <w:bottom w:val="single" w:sz="4" w:space="0" w:color="auto"/>
              <w:right w:val="single" w:sz="4" w:space="0" w:color="auto"/>
            </w:tcBorders>
            <w:shd w:val="clear" w:color="auto" w:fill="auto"/>
            <w:noWrap/>
            <w:vAlign w:val="bottom"/>
            <w:hideMark/>
          </w:tcPr>
          <w:p w14:paraId="2D7E39C3"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0.0%</w:t>
            </w:r>
          </w:p>
        </w:tc>
      </w:tr>
      <w:tr w:rsidR="00AA6233" w:rsidRPr="00BB09C5" w14:paraId="565779E7" w14:textId="77777777" w:rsidTr="008A7974">
        <w:trPr>
          <w:cantSplit/>
          <w:trHeight w:val="290"/>
        </w:trPr>
        <w:tc>
          <w:tcPr>
            <w:tcW w:w="2280" w:type="dxa"/>
            <w:tcBorders>
              <w:top w:val="nil"/>
              <w:left w:val="single" w:sz="4" w:space="0" w:color="auto"/>
              <w:bottom w:val="single" w:sz="4" w:space="0" w:color="auto"/>
              <w:right w:val="nil"/>
            </w:tcBorders>
            <w:shd w:val="clear" w:color="auto" w:fill="auto"/>
            <w:vAlign w:val="bottom"/>
            <w:hideMark/>
          </w:tcPr>
          <w:p w14:paraId="23C1B89F" w14:textId="77777777" w:rsidR="00AA6233" w:rsidRPr="00BB09C5" w:rsidRDefault="00AA6233" w:rsidP="00AA6233">
            <w:pPr>
              <w:spacing w:after="0" w:line="240" w:lineRule="auto"/>
              <w:rPr>
                <w:rFonts w:eastAsia="Times New Roman" w:cstheme="minorHAnsi"/>
                <w:iCs/>
              </w:rPr>
            </w:pPr>
            <w:r w:rsidRPr="00BB09C5">
              <w:rPr>
                <w:rFonts w:eastAsia="Times New Roman" w:cstheme="minorHAnsi"/>
                <w:iCs/>
              </w:rPr>
              <w:t>Pulmonary</w:t>
            </w:r>
          </w:p>
        </w:tc>
        <w:tc>
          <w:tcPr>
            <w:tcW w:w="19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D47EEE"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48166221"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1562" w:type="dxa"/>
            <w:gridSpan w:val="3"/>
            <w:tcBorders>
              <w:top w:val="nil"/>
              <w:left w:val="nil"/>
              <w:bottom w:val="single" w:sz="4" w:space="0" w:color="auto"/>
              <w:right w:val="single" w:sz="4" w:space="0" w:color="auto"/>
            </w:tcBorders>
            <w:shd w:val="clear" w:color="auto" w:fill="auto"/>
            <w:noWrap/>
            <w:vAlign w:val="bottom"/>
            <w:hideMark/>
          </w:tcPr>
          <w:p w14:paraId="1DBF5485"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501A4590"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1.5%</w:t>
            </w:r>
          </w:p>
        </w:tc>
        <w:tc>
          <w:tcPr>
            <w:tcW w:w="1625" w:type="dxa"/>
            <w:gridSpan w:val="2"/>
            <w:tcBorders>
              <w:top w:val="nil"/>
              <w:left w:val="nil"/>
              <w:bottom w:val="single" w:sz="4" w:space="0" w:color="auto"/>
              <w:right w:val="single" w:sz="4" w:space="0" w:color="auto"/>
            </w:tcBorders>
            <w:shd w:val="clear" w:color="auto" w:fill="auto"/>
            <w:noWrap/>
            <w:vAlign w:val="bottom"/>
            <w:hideMark/>
          </w:tcPr>
          <w:p w14:paraId="1AEB7796"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0.0%</w:t>
            </w:r>
          </w:p>
        </w:tc>
      </w:tr>
      <w:tr w:rsidR="00AA6233" w:rsidRPr="00BB09C5" w14:paraId="66FAB19C" w14:textId="77777777" w:rsidTr="008A7974">
        <w:trPr>
          <w:cantSplit/>
          <w:trHeight w:val="290"/>
        </w:trPr>
        <w:tc>
          <w:tcPr>
            <w:tcW w:w="2280" w:type="dxa"/>
            <w:tcBorders>
              <w:top w:val="nil"/>
              <w:left w:val="single" w:sz="4" w:space="0" w:color="auto"/>
              <w:bottom w:val="single" w:sz="4" w:space="0" w:color="auto"/>
              <w:right w:val="nil"/>
            </w:tcBorders>
            <w:shd w:val="clear" w:color="auto" w:fill="auto"/>
            <w:vAlign w:val="bottom"/>
            <w:hideMark/>
          </w:tcPr>
          <w:p w14:paraId="74EC6689" w14:textId="77777777" w:rsidR="00AA6233" w:rsidRPr="00BB09C5" w:rsidRDefault="00AA6233" w:rsidP="00AA6233">
            <w:pPr>
              <w:spacing w:after="0" w:line="240" w:lineRule="auto"/>
              <w:rPr>
                <w:rFonts w:eastAsia="Times New Roman" w:cstheme="minorHAnsi"/>
                <w:iCs/>
              </w:rPr>
            </w:pPr>
            <w:r w:rsidRPr="00BB09C5">
              <w:rPr>
                <w:rFonts w:eastAsia="Times New Roman" w:cstheme="minorHAnsi"/>
                <w:iCs/>
              </w:rPr>
              <w:t>Nephrology</w:t>
            </w:r>
          </w:p>
        </w:tc>
        <w:tc>
          <w:tcPr>
            <w:tcW w:w="19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268AE2"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5DAAD658"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1562" w:type="dxa"/>
            <w:gridSpan w:val="3"/>
            <w:tcBorders>
              <w:top w:val="nil"/>
              <w:left w:val="nil"/>
              <w:bottom w:val="single" w:sz="4" w:space="0" w:color="auto"/>
              <w:right w:val="single" w:sz="4" w:space="0" w:color="auto"/>
            </w:tcBorders>
            <w:shd w:val="clear" w:color="auto" w:fill="auto"/>
            <w:noWrap/>
            <w:vAlign w:val="bottom"/>
            <w:hideMark/>
          </w:tcPr>
          <w:p w14:paraId="7DEDCA6D"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267BBD59"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1.5%</w:t>
            </w:r>
          </w:p>
        </w:tc>
        <w:tc>
          <w:tcPr>
            <w:tcW w:w="1625" w:type="dxa"/>
            <w:gridSpan w:val="2"/>
            <w:tcBorders>
              <w:top w:val="nil"/>
              <w:left w:val="nil"/>
              <w:bottom w:val="single" w:sz="4" w:space="0" w:color="auto"/>
              <w:right w:val="single" w:sz="4" w:space="0" w:color="auto"/>
            </w:tcBorders>
            <w:shd w:val="clear" w:color="auto" w:fill="auto"/>
            <w:noWrap/>
            <w:vAlign w:val="bottom"/>
            <w:hideMark/>
          </w:tcPr>
          <w:p w14:paraId="741BBBA5"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0.0%</w:t>
            </w:r>
          </w:p>
        </w:tc>
      </w:tr>
      <w:tr w:rsidR="00AA6233" w:rsidRPr="00BB09C5" w14:paraId="481DCCC0" w14:textId="77777777" w:rsidTr="008A7974">
        <w:trPr>
          <w:cantSplit/>
          <w:trHeight w:val="288"/>
        </w:trPr>
        <w:tc>
          <w:tcPr>
            <w:tcW w:w="2280" w:type="dxa"/>
            <w:tcBorders>
              <w:top w:val="nil"/>
              <w:left w:val="single" w:sz="4" w:space="0" w:color="auto"/>
              <w:bottom w:val="single" w:sz="4" w:space="0" w:color="auto"/>
              <w:right w:val="nil"/>
            </w:tcBorders>
            <w:shd w:val="clear" w:color="auto" w:fill="auto"/>
            <w:vAlign w:val="bottom"/>
            <w:hideMark/>
          </w:tcPr>
          <w:p w14:paraId="3A7C9380" w14:textId="77777777" w:rsidR="00AA6233" w:rsidRPr="00BB09C5" w:rsidRDefault="00AA6233" w:rsidP="00AA6233">
            <w:pPr>
              <w:spacing w:after="0" w:line="240" w:lineRule="auto"/>
              <w:rPr>
                <w:rFonts w:eastAsia="Times New Roman" w:cstheme="minorHAnsi"/>
                <w:iCs/>
              </w:rPr>
            </w:pPr>
            <w:r w:rsidRPr="00BB09C5">
              <w:rPr>
                <w:rFonts w:eastAsia="Times New Roman" w:cstheme="minorHAnsi"/>
                <w:iCs/>
              </w:rPr>
              <w:t>Podiatry</w:t>
            </w:r>
          </w:p>
        </w:tc>
        <w:tc>
          <w:tcPr>
            <w:tcW w:w="19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336992"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4765D83C"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1562" w:type="dxa"/>
            <w:gridSpan w:val="3"/>
            <w:tcBorders>
              <w:top w:val="nil"/>
              <w:left w:val="nil"/>
              <w:bottom w:val="single" w:sz="4" w:space="0" w:color="auto"/>
              <w:right w:val="single" w:sz="4" w:space="0" w:color="auto"/>
            </w:tcBorders>
            <w:shd w:val="clear" w:color="auto" w:fill="auto"/>
            <w:noWrap/>
            <w:vAlign w:val="bottom"/>
            <w:hideMark/>
          </w:tcPr>
          <w:p w14:paraId="2925599A"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18EB40B0"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1.5%</w:t>
            </w:r>
          </w:p>
        </w:tc>
        <w:tc>
          <w:tcPr>
            <w:tcW w:w="1625" w:type="dxa"/>
            <w:gridSpan w:val="2"/>
            <w:tcBorders>
              <w:top w:val="nil"/>
              <w:left w:val="nil"/>
              <w:bottom w:val="single" w:sz="4" w:space="0" w:color="auto"/>
              <w:right w:val="single" w:sz="4" w:space="0" w:color="auto"/>
            </w:tcBorders>
            <w:shd w:val="clear" w:color="auto" w:fill="auto"/>
            <w:noWrap/>
            <w:vAlign w:val="bottom"/>
            <w:hideMark/>
          </w:tcPr>
          <w:p w14:paraId="141D6E51"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0.0%</w:t>
            </w:r>
          </w:p>
        </w:tc>
      </w:tr>
      <w:tr w:rsidR="00AA6233" w:rsidRPr="00BB09C5" w14:paraId="59968BEA" w14:textId="77777777" w:rsidTr="008A7974">
        <w:trPr>
          <w:cantSplit/>
          <w:trHeight w:val="290"/>
        </w:trPr>
        <w:tc>
          <w:tcPr>
            <w:tcW w:w="2280" w:type="dxa"/>
            <w:tcBorders>
              <w:top w:val="nil"/>
              <w:left w:val="single" w:sz="4" w:space="0" w:color="auto"/>
              <w:bottom w:val="single" w:sz="4" w:space="0" w:color="auto"/>
              <w:right w:val="nil"/>
            </w:tcBorders>
            <w:shd w:val="clear" w:color="auto" w:fill="auto"/>
            <w:vAlign w:val="bottom"/>
            <w:hideMark/>
          </w:tcPr>
          <w:p w14:paraId="3A44CBD9" w14:textId="77777777" w:rsidR="00AA6233" w:rsidRPr="00BB09C5" w:rsidRDefault="00AA6233" w:rsidP="00AA6233">
            <w:pPr>
              <w:spacing w:after="0" w:line="240" w:lineRule="auto"/>
              <w:rPr>
                <w:rFonts w:eastAsia="Times New Roman" w:cstheme="minorHAnsi"/>
                <w:iCs/>
              </w:rPr>
            </w:pPr>
            <w:r w:rsidRPr="00BB09C5">
              <w:rPr>
                <w:rFonts w:eastAsia="Times New Roman" w:cstheme="minorHAnsi"/>
                <w:iCs/>
              </w:rPr>
              <w:t>Rheumatology</w:t>
            </w:r>
          </w:p>
        </w:tc>
        <w:tc>
          <w:tcPr>
            <w:tcW w:w="19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4D2576"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652" w:type="dxa"/>
            <w:tcBorders>
              <w:top w:val="nil"/>
              <w:left w:val="nil"/>
              <w:bottom w:val="single" w:sz="4" w:space="0" w:color="auto"/>
              <w:right w:val="single" w:sz="4" w:space="0" w:color="auto"/>
            </w:tcBorders>
            <w:shd w:val="clear" w:color="auto" w:fill="auto"/>
            <w:noWrap/>
            <w:vAlign w:val="bottom"/>
            <w:hideMark/>
          </w:tcPr>
          <w:p w14:paraId="36A313B5"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7.4%</w:t>
            </w:r>
          </w:p>
        </w:tc>
        <w:tc>
          <w:tcPr>
            <w:tcW w:w="1562" w:type="dxa"/>
            <w:gridSpan w:val="3"/>
            <w:tcBorders>
              <w:top w:val="nil"/>
              <w:left w:val="nil"/>
              <w:bottom w:val="single" w:sz="4" w:space="0" w:color="auto"/>
              <w:right w:val="single" w:sz="4" w:space="0" w:color="auto"/>
            </w:tcBorders>
            <w:shd w:val="clear" w:color="auto" w:fill="auto"/>
            <w:noWrap/>
            <w:vAlign w:val="bottom"/>
            <w:hideMark/>
          </w:tcPr>
          <w:p w14:paraId="2937D9B4"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1.6%</w:t>
            </w:r>
          </w:p>
        </w:tc>
        <w:tc>
          <w:tcPr>
            <w:tcW w:w="845" w:type="dxa"/>
            <w:tcBorders>
              <w:top w:val="nil"/>
              <w:left w:val="nil"/>
              <w:bottom w:val="single" w:sz="4" w:space="0" w:color="auto"/>
              <w:right w:val="single" w:sz="4" w:space="0" w:color="auto"/>
            </w:tcBorders>
            <w:shd w:val="clear" w:color="auto" w:fill="auto"/>
            <w:noWrap/>
            <w:vAlign w:val="bottom"/>
            <w:hideMark/>
          </w:tcPr>
          <w:p w14:paraId="5EA784C9"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1.5%</w:t>
            </w:r>
          </w:p>
        </w:tc>
        <w:tc>
          <w:tcPr>
            <w:tcW w:w="1625" w:type="dxa"/>
            <w:gridSpan w:val="2"/>
            <w:tcBorders>
              <w:top w:val="nil"/>
              <w:left w:val="nil"/>
              <w:bottom w:val="single" w:sz="4" w:space="0" w:color="auto"/>
              <w:right w:val="single" w:sz="4" w:space="0" w:color="auto"/>
            </w:tcBorders>
            <w:shd w:val="clear" w:color="auto" w:fill="auto"/>
            <w:noWrap/>
            <w:vAlign w:val="bottom"/>
            <w:hideMark/>
          </w:tcPr>
          <w:p w14:paraId="5B9E0E46" w14:textId="77777777" w:rsidR="00AA6233" w:rsidRPr="00BB09C5" w:rsidRDefault="00AA6233" w:rsidP="00AA6233">
            <w:pPr>
              <w:spacing w:after="0" w:line="240" w:lineRule="auto"/>
              <w:jc w:val="center"/>
              <w:rPr>
                <w:rFonts w:eastAsia="Times New Roman" w:cstheme="minorHAnsi"/>
                <w:iCs/>
              </w:rPr>
            </w:pPr>
            <w:r w:rsidRPr="00BB09C5">
              <w:rPr>
                <w:rFonts w:eastAsia="Times New Roman" w:cstheme="minorHAnsi"/>
                <w:iCs/>
              </w:rPr>
              <w:t>0.0%</w:t>
            </w:r>
          </w:p>
        </w:tc>
      </w:tr>
    </w:tbl>
    <w:p w14:paraId="7A33BBA9" w14:textId="77777777" w:rsidR="00AA6233" w:rsidRPr="00BB09C5" w:rsidRDefault="00AA6233" w:rsidP="00051AEF">
      <w:pPr>
        <w:pStyle w:val="ListParagraph"/>
        <w:spacing w:before="240" w:after="0" w:line="229" w:lineRule="exact"/>
        <w:rPr>
          <w:rFonts w:cstheme="minorHAnsi"/>
        </w:rPr>
      </w:pPr>
    </w:p>
    <w:p w14:paraId="2D7ABFC8" w14:textId="0CEAD3CA" w:rsidR="00DE1DC5" w:rsidRPr="00BB09C5" w:rsidRDefault="00DF54A7" w:rsidP="00F52B8A">
      <w:pPr>
        <w:spacing w:after="0" w:line="229" w:lineRule="exact"/>
        <w:ind w:left="360"/>
        <w:rPr>
          <w:rFonts w:cstheme="minorHAnsi"/>
          <w:highlight w:val="yellow"/>
        </w:rPr>
      </w:pPr>
      <w:r w:rsidRPr="00BB09C5">
        <w:rPr>
          <w:rFonts w:cstheme="minorHAnsi"/>
          <w:b/>
          <w:bCs/>
        </w:rPr>
        <w:t>Factor 1</w:t>
      </w:r>
      <w:r w:rsidR="00F52B8A" w:rsidRPr="00BB09C5">
        <w:rPr>
          <w:rFonts w:cstheme="minorHAnsi"/>
          <w:b/>
          <w:bCs/>
        </w:rPr>
        <w:t>b</w:t>
      </w:r>
      <w:r w:rsidRPr="00BB09C5">
        <w:rPr>
          <w:rFonts w:cstheme="minorHAnsi"/>
          <w:b/>
          <w:bCs/>
        </w:rPr>
        <w:t xml:space="preserve">i: </w:t>
      </w:r>
      <w:r w:rsidR="00F52B8A" w:rsidRPr="00BB09C5">
        <w:rPr>
          <w:rFonts w:cstheme="minorHAnsi"/>
          <w:b/>
          <w:bCs/>
        </w:rPr>
        <w:t>Public Health Value/ Evidence Based</w:t>
      </w:r>
      <w:r w:rsidRPr="00BB09C5">
        <w:rPr>
          <w:rFonts w:cstheme="minorHAnsi"/>
          <w:b/>
          <w:bCs/>
        </w:rPr>
        <w:t xml:space="preserve"> </w:t>
      </w:r>
    </w:p>
    <w:p w14:paraId="448BE4D6" w14:textId="77777777" w:rsidR="009C11D6" w:rsidRPr="00BB09C5" w:rsidRDefault="009B046C" w:rsidP="00A23564">
      <w:pPr>
        <w:pStyle w:val="ListParagraph"/>
        <w:numPr>
          <w:ilvl w:val="0"/>
          <w:numId w:val="38"/>
        </w:numPr>
        <w:spacing w:before="240" w:after="0" w:line="229" w:lineRule="exact"/>
        <w:rPr>
          <w:rFonts w:cstheme="minorHAnsi"/>
        </w:rPr>
      </w:pPr>
      <w:r w:rsidRPr="00BB09C5">
        <w:rPr>
          <w:rFonts w:cstheme="minorHAnsi"/>
        </w:rPr>
        <w:t xml:space="preserve">Page 19 of the Narrative states, “There is also limited local specialty referral access to certain specialty services, including hematology-oncology, OBGYN, endocrinology, gastroenterology, pulmonology, and rheumatology services in Quincy.” </w:t>
      </w:r>
    </w:p>
    <w:p w14:paraId="2E2D82B9" w14:textId="255A2CA1" w:rsidR="00A23564" w:rsidRPr="00BB09C5" w:rsidRDefault="009B046C" w:rsidP="009C11D6">
      <w:pPr>
        <w:pStyle w:val="ListParagraph"/>
        <w:numPr>
          <w:ilvl w:val="1"/>
          <w:numId w:val="38"/>
        </w:numPr>
        <w:spacing w:before="240" w:after="0" w:line="229" w:lineRule="exact"/>
        <w:rPr>
          <w:rFonts w:cstheme="minorHAnsi"/>
        </w:rPr>
      </w:pPr>
      <w:r w:rsidRPr="00BB09C5">
        <w:rPr>
          <w:rFonts w:cstheme="minorHAnsi"/>
        </w:rPr>
        <w:t xml:space="preserve">Please provide </w:t>
      </w:r>
      <w:r w:rsidR="00DE1DC5" w:rsidRPr="00BB09C5">
        <w:rPr>
          <w:rFonts w:cstheme="minorHAnsi"/>
        </w:rPr>
        <w:t>any research and/or data that supports this statement.</w:t>
      </w:r>
    </w:p>
    <w:p w14:paraId="3FAAD850" w14:textId="77777777" w:rsidR="00E53ADF" w:rsidRPr="00BB09C5" w:rsidRDefault="00E53ADF" w:rsidP="003173E7">
      <w:pPr>
        <w:pStyle w:val="ListParagraph"/>
        <w:spacing w:before="240" w:after="0" w:line="229" w:lineRule="exact"/>
        <w:rPr>
          <w:rFonts w:cstheme="minorHAnsi"/>
          <w:i/>
          <w:color w:val="4472C4" w:themeColor="accent1"/>
        </w:rPr>
      </w:pPr>
    </w:p>
    <w:p w14:paraId="6CBB7FC3" w14:textId="00F8FE27" w:rsidR="000F0649" w:rsidRPr="00BB09C5" w:rsidRDefault="000F0649" w:rsidP="003173E7">
      <w:pPr>
        <w:pStyle w:val="ListParagraph"/>
        <w:spacing w:before="240" w:after="0" w:line="229" w:lineRule="exact"/>
        <w:rPr>
          <w:rFonts w:cstheme="minorHAnsi"/>
          <w:b/>
          <w:bCs/>
          <w:iCs/>
        </w:rPr>
      </w:pPr>
      <w:r w:rsidRPr="00BB09C5">
        <w:rPr>
          <w:rFonts w:cstheme="minorHAnsi"/>
          <w:b/>
          <w:bCs/>
          <w:iCs/>
        </w:rPr>
        <w:t>The Applicant</w:t>
      </w:r>
      <w:r w:rsidR="003173E7" w:rsidRPr="00BB09C5">
        <w:rPr>
          <w:rFonts w:cstheme="minorHAnsi"/>
          <w:b/>
          <w:bCs/>
          <w:iCs/>
        </w:rPr>
        <w:t xml:space="preserve"> uses the STRATUS ambulatory planning tool through </w:t>
      </w:r>
      <w:r w:rsidR="00746E66" w:rsidRPr="00BB09C5">
        <w:rPr>
          <w:rFonts w:cstheme="minorHAnsi"/>
          <w:b/>
          <w:bCs/>
          <w:iCs/>
        </w:rPr>
        <w:t xml:space="preserve">its </w:t>
      </w:r>
      <w:r w:rsidR="003173E7" w:rsidRPr="00BB09C5">
        <w:rPr>
          <w:rFonts w:cstheme="minorHAnsi"/>
          <w:b/>
          <w:bCs/>
          <w:iCs/>
        </w:rPr>
        <w:t xml:space="preserve">contract with </w:t>
      </w:r>
      <w:r w:rsidR="00BD6D73" w:rsidRPr="00BB09C5">
        <w:rPr>
          <w:rFonts w:cstheme="minorHAnsi"/>
          <w:b/>
          <w:bCs/>
          <w:iCs/>
        </w:rPr>
        <w:t>RES</w:t>
      </w:r>
      <w:r w:rsidR="003173E7" w:rsidRPr="00BB09C5">
        <w:rPr>
          <w:rFonts w:cstheme="minorHAnsi"/>
          <w:b/>
          <w:bCs/>
          <w:iCs/>
        </w:rPr>
        <w:t>. The tool applies predictive analytics to a combined dataset of market demographics from ESRI and healthcare claims from IBM Watson to project patient demand and physician need</w:t>
      </w:r>
      <w:r w:rsidR="007F7F7A" w:rsidRPr="00BB09C5">
        <w:rPr>
          <w:rFonts w:cstheme="minorHAnsi"/>
          <w:b/>
          <w:bCs/>
          <w:iCs/>
        </w:rPr>
        <w:t xml:space="preserve"> for ambulatory services</w:t>
      </w:r>
      <w:r w:rsidR="003173E7" w:rsidRPr="00BB09C5">
        <w:rPr>
          <w:rFonts w:cstheme="minorHAnsi"/>
          <w:b/>
          <w:bCs/>
          <w:iCs/>
        </w:rPr>
        <w:t xml:space="preserve">. The table below captures the results for the </w:t>
      </w:r>
      <w:r w:rsidR="00E53ADF" w:rsidRPr="00BB09C5">
        <w:rPr>
          <w:rFonts w:cstheme="minorHAnsi"/>
          <w:b/>
          <w:bCs/>
          <w:iCs/>
        </w:rPr>
        <w:t>Quincy</w:t>
      </w:r>
      <w:r w:rsidR="003173E7" w:rsidRPr="00BB09C5">
        <w:rPr>
          <w:rFonts w:cstheme="minorHAnsi"/>
          <w:b/>
          <w:bCs/>
          <w:iCs/>
        </w:rPr>
        <w:t xml:space="preserve"> region.</w:t>
      </w:r>
    </w:p>
    <w:p w14:paraId="6D1196F3" w14:textId="77777777" w:rsidR="00EB7EB9" w:rsidRPr="00BB09C5" w:rsidRDefault="00EB7EB9" w:rsidP="00EB7EB9">
      <w:pPr>
        <w:pStyle w:val="ListParagraph"/>
        <w:spacing w:before="240" w:after="0" w:line="229" w:lineRule="exact"/>
        <w:rPr>
          <w:rFonts w:cstheme="minorHAnsi"/>
          <w:b/>
          <w:bCs/>
          <w:iCs/>
        </w:rPr>
      </w:pPr>
    </w:p>
    <w:p w14:paraId="441483CE" w14:textId="745C519B" w:rsidR="00EB7EB9" w:rsidRPr="00BB09C5" w:rsidRDefault="00EB7EB9" w:rsidP="00EB7EB9">
      <w:pPr>
        <w:pStyle w:val="ListParagraph"/>
        <w:spacing w:before="240" w:after="0" w:line="229" w:lineRule="exact"/>
        <w:rPr>
          <w:rFonts w:cstheme="minorHAnsi"/>
          <w:b/>
          <w:bCs/>
          <w:iCs/>
        </w:rPr>
      </w:pPr>
      <w:r w:rsidRPr="00BB09C5">
        <w:rPr>
          <w:rFonts w:cstheme="minorHAnsi"/>
          <w:b/>
          <w:bCs/>
          <w:iCs/>
        </w:rPr>
        <w:t>Market Demand reflects the 5-year forecasted demand for outpatient services for the Specialties listed below in the Quincy service area. The calculation(s) used to forecast future demand is based on a proprietary methodology created by RES.</w:t>
      </w:r>
    </w:p>
    <w:p w14:paraId="62114F60" w14:textId="77777777" w:rsidR="00EB7EB9" w:rsidRPr="00BB09C5" w:rsidRDefault="00EB7EB9" w:rsidP="00EB7EB9">
      <w:pPr>
        <w:pStyle w:val="ListParagraph"/>
        <w:spacing w:before="240" w:after="0" w:line="229" w:lineRule="exact"/>
        <w:rPr>
          <w:rFonts w:cstheme="minorHAnsi"/>
          <w:b/>
          <w:bCs/>
          <w:iCs/>
        </w:rPr>
      </w:pPr>
    </w:p>
    <w:p w14:paraId="4D1EF209" w14:textId="12E3D153" w:rsidR="00EB7EB9" w:rsidRPr="00BB09C5" w:rsidRDefault="00EB7EB9" w:rsidP="00EB7EB9">
      <w:pPr>
        <w:pStyle w:val="ListParagraph"/>
        <w:spacing w:before="240" w:after="0" w:line="229" w:lineRule="exact"/>
        <w:rPr>
          <w:rFonts w:cstheme="minorHAnsi"/>
          <w:b/>
          <w:bCs/>
          <w:iCs/>
        </w:rPr>
      </w:pPr>
      <w:r w:rsidRPr="00BB09C5">
        <w:rPr>
          <w:rFonts w:cstheme="minorHAnsi"/>
          <w:b/>
          <w:bCs/>
          <w:iCs/>
        </w:rPr>
        <w:t xml:space="preserve">Market Physician Need reflects the FTE physician need </w:t>
      </w:r>
      <w:r w:rsidR="00C924E3" w:rsidRPr="00BB09C5">
        <w:rPr>
          <w:rFonts w:cstheme="minorHAnsi"/>
          <w:b/>
          <w:bCs/>
          <w:iCs/>
        </w:rPr>
        <w:t xml:space="preserve">for the </w:t>
      </w:r>
      <w:r w:rsidR="00BD6D73" w:rsidRPr="00BB09C5">
        <w:rPr>
          <w:rFonts w:cstheme="minorHAnsi"/>
          <w:b/>
          <w:bCs/>
          <w:iCs/>
        </w:rPr>
        <w:t>s</w:t>
      </w:r>
      <w:r w:rsidRPr="00BB09C5">
        <w:rPr>
          <w:rFonts w:cstheme="minorHAnsi"/>
          <w:b/>
          <w:bCs/>
          <w:iCs/>
        </w:rPr>
        <w:t xml:space="preserve">pecialties listed below in </w:t>
      </w:r>
      <w:r w:rsidR="00C924E3" w:rsidRPr="00BB09C5">
        <w:rPr>
          <w:rFonts w:cstheme="minorHAnsi"/>
          <w:b/>
          <w:bCs/>
          <w:iCs/>
        </w:rPr>
        <w:t xml:space="preserve">to accommodate the Market Demand in </w:t>
      </w:r>
      <w:r w:rsidRPr="00BB09C5">
        <w:rPr>
          <w:rFonts w:cstheme="minorHAnsi"/>
          <w:b/>
          <w:bCs/>
          <w:iCs/>
        </w:rPr>
        <w:t>the Quincy service area. This is calculated applying the above defined 5-year forecasted Market Demand against a proprietary methodology of physician productivity by specialty created by RES.</w:t>
      </w:r>
    </w:p>
    <w:p w14:paraId="37382D25" w14:textId="77777777" w:rsidR="00EB7EB9" w:rsidRPr="00BB09C5" w:rsidRDefault="00EB7EB9" w:rsidP="00EB7EB9">
      <w:pPr>
        <w:pStyle w:val="ListParagraph"/>
        <w:spacing w:before="240" w:after="0" w:line="229" w:lineRule="exact"/>
        <w:rPr>
          <w:rFonts w:cstheme="minorHAnsi"/>
          <w:b/>
          <w:bCs/>
          <w:iCs/>
        </w:rPr>
      </w:pPr>
    </w:p>
    <w:p w14:paraId="0128B12C" w14:textId="2493576E" w:rsidR="00EB7EB9" w:rsidRPr="00BB09C5" w:rsidRDefault="00EB7EB9" w:rsidP="00EB7EB9">
      <w:pPr>
        <w:pStyle w:val="ListParagraph"/>
        <w:spacing w:before="240" w:after="0" w:line="229" w:lineRule="exact"/>
        <w:rPr>
          <w:rFonts w:cstheme="minorHAnsi"/>
          <w:b/>
          <w:bCs/>
          <w:iCs/>
        </w:rPr>
      </w:pPr>
      <w:r w:rsidRPr="00BB09C5">
        <w:rPr>
          <w:rFonts w:cstheme="minorHAnsi"/>
          <w:b/>
          <w:bCs/>
          <w:iCs/>
        </w:rPr>
        <w:t xml:space="preserve">Physician Supply represents the FTE count of physicians </w:t>
      </w:r>
      <w:r w:rsidR="0020248B" w:rsidRPr="00BB09C5">
        <w:rPr>
          <w:rFonts w:cstheme="minorHAnsi"/>
          <w:b/>
          <w:bCs/>
          <w:iCs/>
        </w:rPr>
        <w:t xml:space="preserve">in the </w:t>
      </w:r>
      <w:r w:rsidR="00BD6D73" w:rsidRPr="00BB09C5">
        <w:rPr>
          <w:rFonts w:cstheme="minorHAnsi"/>
          <w:b/>
          <w:bCs/>
          <w:iCs/>
        </w:rPr>
        <w:t>s</w:t>
      </w:r>
      <w:r w:rsidR="0020248B" w:rsidRPr="00BB09C5">
        <w:rPr>
          <w:rFonts w:cstheme="minorHAnsi"/>
          <w:b/>
          <w:bCs/>
          <w:iCs/>
        </w:rPr>
        <w:t xml:space="preserve">pecialties listed below </w:t>
      </w:r>
      <w:r w:rsidR="00C924E3" w:rsidRPr="00BB09C5">
        <w:rPr>
          <w:rFonts w:cstheme="minorHAnsi"/>
          <w:b/>
          <w:bCs/>
          <w:iCs/>
        </w:rPr>
        <w:t xml:space="preserve">in the </w:t>
      </w:r>
      <w:r w:rsidR="0020248B" w:rsidRPr="00BB09C5">
        <w:rPr>
          <w:rFonts w:cstheme="minorHAnsi"/>
          <w:b/>
          <w:bCs/>
          <w:iCs/>
        </w:rPr>
        <w:t>Quincy</w:t>
      </w:r>
      <w:r w:rsidRPr="00BB09C5">
        <w:rPr>
          <w:rFonts w:cstheme="minorHAnsi"/>
          <w:b/>
          <w:bCs/>
          <w:iCs/>
        </w:rPr>
        <w:t xml:space="preserve"> service area as of 2022.</w:t>
      </w:r>
    </w:p>
    <w:p w14:paraId="11219877" w14:textId="77777777" w:rsidR="00EB7EB9" w:rsidRPr="00BB09C5" w:rsidRDefault="00EB7EB9" w:rsidP="00EB7EB9">
      <w:pPr>
        <w:pStyle w:val="ListParagraph"/>
        <w:spacing w:before="240" w:after="0" w:line="229" w:lineRule="exact"/>
        <w:rPr>
          <w:rFonts w:cstheme="minorHAnsi"/>
          <w:b/>
          <w:bCs/>
          <w:iCs/>
        </w:rPr>
      </w:pPr>
    </w:p>
    <w:p w14:paraId="50E2B88A" w14:textId="2D71F5CE" w:rsidR="00EB7EB9" w:rsidRPr="00BB09C5" w:rsidRDefault="00EB7EB9" w:rsidP="00EB7EB9">
      <w:pPr>
        <w:pStyle w:val="ListParagraph"/>
        <w:spacing w:before="240" w:after="0" w:line="229" w:lineRule="exact"/>
        <w:rPr>
          <w:rFonts w:cstheme="minorHAnsi"/>
          <w:b/>
          <w:bCs/>
          <w:iCs/>
        </w:rPr>
      </w:pPr>
      <w:r w:rsidRPr="00BB09C5">
        <w:rPr>
          <w:rFonts w:cstheme="minorHAnsi"/>
          <w:b/>
          <w:bCs/>
          <w:iCs/>
        </w:rPr>
        <w:t xml:space="preserve">Market Unmet Demand represents the gap between the current Physician FTE Supply noted above and the Physician Supply that would be needed to provide </w:t>
      </w:r>
      <w:r w:rsidR="0020248B" w:rsidRPr="00BB09C5">
        <w:rPr>
          <w:rFonts w:cstheme="minorHAnsi"/>
          <w:b/>
          <w:bCs/>
          <w:iCs/>
        </w:rPr>
        <w:t xml:space="preserve">the </w:t>
      </w:r>
      <w:r w:rsidR="00BD6D73" w:rsidRPr="00BB09C5">
        <w:rPr>
          <w:rFonts w:cstheme="minorHAnsi"/>
          <w:b/>
          <w:bCs/>
          <w:iCs/>
        </w:rPr>
        <w:t>s</w:t>
      </w:r>
      <w:r w:rsidR="0020248B" w:rsidRPr="00BB09C5">
        <w:rPr>
          <w:rFonts w:cstheme="minorHAnsi"/>
          <w:b/>
          <w:bCs/>
          <w:iCs/>
        </w:rPr>
        <w:t xml:space="preserve">pecialty </w:t>
      </w:r>
      <w:r w:rsidRPr="00BB09C5">
        <w:rPr>
          <w:rFonts w:cstheme="minorHAnsi"/>
          <w:b/>
          <w:bCs/>
          <w:iCs/>
        </w:rPr>
        <w:t xml:space="preserve">services </w:t>
      </w:r>
      <w:r w:rsidR="0020248B" w:rsidRPr="00BB09C5">
        <w:rPr>
          <w:rFonts w:cstheme="minorHAnsi"/>
          <w:b/>
          <w:bCs/>
          <w:iCs/>
        </w:rPr>
        <w:t xml:space="preserve">listed below </w:t>
      </w:r>
      <w:r w:rsidRPr="00BB09C5">
        <w:rPr>
          <w:rFonts w:cstheme="minorHAnsi"/>
          <w:b/>
          <w:bCs/>
          <w:iCs/>
        </w:rPr>
        <w:t xml:space="preserve">to meet 100% of the 5-year forecasted Market Demand noted above. </w:t>
      </w:r>
    </w:p>
    <w:p w14:paraId="24CE6B07" w14:textId="77777777" w:rsidR="00EB7EB9" w:rsidRPr="00BB09C5" w:rsidRDefault="00EB7EB9" w:rsidP="00EB7EB9">
      <w:pPr>
        <w:pStyle w:val="ListParagraph"/>
        <w:spacing w:before="240" w:after="0" w:line="229" w:lineRule="exact"/>
        <w:rPr>
          <w:rFonts w:cstheme="minorHAnsi"/>
          <w:b/>
          <w:bCs/>
          <w:iCs/>
        </w:rPr>
      </w:pPr>
    </w:p>
    <w:p w14:paraId="1DECA218" w14:textId="70071AFF" w:rsidR="00EB7EB9" w:rsidRPr="00BB09C5" w:rsidRDefault="00EB7EB9" w:rsidP="00EB7EB9">
      <w:pPr>
        <w:pStyle w:val="ListParagraph"/>
        <w:spacing w:before="240" w:after="0" w:line="229" w:lineRule="exact"/>
        <w:rPr>
          <w:rFonts w:cstheme="minorHAnsi"/>
          <w:b/>
          <w:bCs/>
          <w:iCs/>
        </w:rPr>
      </w:pPr>
      <w:r w:rsidRPr="00BB09C5">
        <w:rPr>
          <w:rFonts w:cstheme="minorHAnsi"/>
          <w:b/>
          <w:bCs/>
          <w:iCs/>
        </w:rPr>
        <w:lastRenderedPageBreak/>
        <w:t xml:space="preserve">BILH Physician FTE Supply represents the FTE count of physicians </w:t>
      </w:r>
      <w:r w:rsidR="0020248B" w:rsidRPr="00BB09C5">
        <w:rPr>
          <w:rFonts w:cstheme="minorHAnsi"/>
          <w:b/>
          <w:bCs/>
          <w:iCs/>
        </w:rPr>
        <w:t xml:space="preserve">in the </w:t>
      </w:r>
      <w:r w:rsidR="00BD6D73" w:rsidRPr="00BB09C5">
        <w:rPr>
          <w:rFonts w:cstheme="minorHAnsi"/>
          <w:b/>
          <w:bCs/>
          <w:iCs/>
        </w:rPr>
        <w:t>s</w:t>
      </w:r>
      <w:r w:rsidR="0020248B" w:rsidRPr="00BB09C5">
        <w:rPr>
          <w:rFonts w:cstheme="minorHAnsi"/>
          <w:b/>
          <w:bCs/>
          <w:iCs/>
        </w:rPr>
        <w:t xml:space="preserve">pecialties listed below </w:t>
      </w:r>
      <w:r w:rsidRPr="00BB09C5">
        <w:rPr>
          <w:rFonts w:cstheme="minorHAnsi"/>
          <w:b/>
          <w:bCs/>
          <w:iCs/>
        </w:rPr>
        <w:t xml:space="preserve">in the </w:t>
      </w:r>
      <w:r w:rsidR="0020248B" w:rsidRPr="00BB09C5">
        <w:rPr>
          <w:rFonts w:cstheme="minorHAnsi"/>
          <w:b/>
          <w:bCs/>
          <w:iCs/>
        </w:rPr>
        <w:t>Quincy servi</w:t>
      </w:r>
      <w:r w:rsidRPr="00BB09C5">
        <w:rPr>
          <w:rFonts w:cstheme="minorHAnsi"/>
          <w:b/>
          <w:bCs/>
          <w:iCs/>
        </w:rPr>
        <w:t>ce area as of 2022 who are in the Beth Israel Lahey Health Performance Network.</w:t>
      </w:r>
    </w:p>
    <w:p w14:paraId="4C41F953" w14:textId="3F586D9B" w:rsidR="00E53ADF" w:rsidRPr="00BB09C5" w:rsidRDefault="00E53ADF" w:rsidP="003173E7">
      <w:pPr>
        <w:pStyle w:val="ListParagraph"/>
        <w:spacing w:before="240" w:after="0" w:line="229" w:lineRule="exact"/>
        <w:rPr>
          <w:rFonts w:cstheme="minorHAnsi"/>
          <w:i/>
          <w:color w:val="4472C4" w:themeColor="accent1"/>
        </w:rPr>
      </w:pPr>
    </w:p>
    <w:p w14:paraId="3E719D7D" w14:textId="77777777" w:rsidR="00EB7EB9" w:rsidRPr="00BB09C5" w:rsidRDefault="00EB7EB9" w:rsidP="003173E7">
      <w:pPr>
        <w:pStyle w:val="ListParagraph"/>
        <w:spacing w:before="240" w:after="0" w:line="229" w:lineRule="exact"/>
        <w:rPr>
          <w:rFonts w:cstheme="minorHAnsi"/>
          <w:i/>
          <w:color w:val="4472C4" w:themeColor="accent1"/>
        </w:rPr>
      </w:pPr>
    </w:p>
    <w:p w14:paraId="3054D9CE" w14:textId="4C90495D" w:rsidR="00C0482D" w:rsidRPr="00BB09C5" w:rsidRDefault="00C0482D" w:rsidP="00C0482D">
      <w:pPr>
        <w:pStyle w:val="ListParagraph"/>
        <w:spacing w:before="240" w:after="0" w:line="229" w:lineRule="exact"/>
        <w:jc w:val="center"/>
        <w:rPr>
          <w:rFonts w:cstheme="minorHAnsi"/>
          <w:i/>
          <w:color w:val="4472C4" w:themeColor="accent1"/>
        </w:rPr>
      </w:pPr>
      <w:r w:rsidRPr="00BB09C5">
        <w:rPr>
          <w:rFonts w:cstheme="minorHAnsi"/>
          <w:b/>
          <w:bCs/>
          <w:iCs/>
        </w:rPr>
        <w:t xml:space="preserve">Patient Demand </w:t>
      </w:r>
      <w:r w:rsidR="0020248B" w:rsidRPr="00BB09C5">
        <w:rPr>
          <w:rFonts w:cstheme="minorHAnsi"/>
          <w:b/>
          <w:bCs/>
          <w:iCs/>
        </w:rPr>
        <w:t>a</w:t>
      </w:r>
      <w:r w:rsidRPr="00BB09C5">
        <w:rPr>
          <w:rFonts w:cstheme="minorHAnsi"/>
          <w:b/>
          <w:bCs/>
          <w:iCs/>
        </w:rPr>
        <w:t>nd Physician Need For Ambulatory Services</w:t>
      </w:r>
    </w:p>
    <w:tbl>
      <w:tblPr>
        <w:tblStyle w:val="TableGrid"/>
        <w:tblW w:w="0" w:type="auto"/>
        <w:tblInd w:w="720" w:type="dxa"/>
        <w:tblLook w:val="04A0" w:firstRow="1" w:lastRow="0" w:firstColumn="1" w:lastColumn="0" w:noHBand="0" w:noVBand="1"/>
      </w:tblPr>
      <w:tblGrid>
        <w:gridCol w:w="1964"/>
        <w:gridCol w:w="1525"/>
        <w:gridCol w:w="1571"/>
        <w:gridCol w:w="1571"/>
        <w:gridCol w:w="1525"/>
        <w:gridCol w:w="1194"/>
      </w:tblGrid>
      <w:tr w:rsidR="00505F96" w:rsidRPr="00BB09C5" w14:paraId="66981EFB" w14:textId="1E9230DB" w:rsidTr="00394A1D">
        <w:trPr>
          <w:cantSplit/>
          <w:tblHeader/>
        </w:trPr>
        <w:tc>
          <w:tcPr>
            <w:tcW w:w="1964" w:type="dxa"/>
            <w:shd w:val="clear" w:color="auto" w:fill="BDD6EE" w:themeFill="accent5" w:themeFillTint="66"/>
            <w:vAlign w:val="center"/>
          </w:tcPr>
          <w:p w14:paraId="5EE60529" w14:textId="13F2B501" w:rsidR="00505F96" w:rsidRPr="00BB09C5" w:rsidRDefault="00505F96" w:rsidP="00BB09C5">
            <w:pPr>
              <w:pStyle w:val="ListParagraph"/>
              <w:spacing w:before="240" w:line="229" w:lineRule="exact"/>
              <w:ind w:left="0"/>
              <w:jc w:val="center"/>
              <w:rPr>
                <w:rFonts w:cstheme="minorHAnsi"/>
                <w:b/>
                <w:iCs/>
              </w:rPr>
            </w:pPr>
            <w:r w:rsidRPr="00BB09C5">
              <w:rPr>
                <w:rFonts w:cstheme="minorHAnsi"/>
                <w:b/>
                <w:iCs/>
              </w:rPr>
              <w:t>Specialty</w:t>
            </w:r>
          </w:p>
        </w:tc>
        <w:tc>
          <w:tcPr>
            <w:tcW w:w="1525" w:type="dxa"/>
            <w:shd w:val="clear" w:color="auto" w:fill="BDD6EE" w:themeFill="accent5" w:themeFillTint="66"/>
            <w:vAlign w:val="center"/>
          </w:tcPr>
          <w:p w14:paraId="3960ECBB" w14:textId="77777777" w:rsidR="00505F96" w:rsidRPr="00BB09C5" w:rsidRDefault="00505F96" w:rsidP="00BB09C5">
            <w:pPr>
              <w:pStyle w:val="ListParagraph"/>
              <w:spacing w:before="240" w:line="229" w:lineRule="exact"/>
              <w:ind w:left="0"/>
              <w:jc w:val="center"/>
              <w:rPr>
                <w:rFonts w:cstheme="minorHAnsi"/>
                <w:b/>
                <w:iCs/>
              </w:rPr>
            </w:pPr>
            <w:r w:rsidRPr="00BB09C5">
              <w:rPr>
                <w:rFonts w:cstheme="minorHAnsi"/>
                <w:b/>
                <w:iCs/>
              </w:rPr>
              <w:t>Market Demand</w:t>
            </w:r>
          </w:p>
        </w:tc>
        <w:tc>
          <w:tcPr>
            <w:tcW w:w="1571" w:type="dxa"/>
            <w:shd w:val="clear" w:color="auto" w:fill="BDD6EE" w:themeFill="accent5" w:themeFillTint="66"/>
            <w:vAlign w:val="center"/>
          </w:tcPr>
          <w:p w14:paraId="56669EEB" w14:textId="77777777" w:rsidR="00505F96" w:rsidRPr="00BB09C5" w:rsidRDefault="00505F96" w:rsidP="00BB09C5">
            <w:pPr>
              <w:pStyle w:val="ListParagraph"/>
              <w:spacing w:before="240" w:line="229" w:lineRule="exact"/>
              <w:ind w:left="0"/>
              <w:jc w:val="center"/>
              <w:rPr>
                <w:rFonts w:cstheme="minorHAnsi"/>
                <w:b/>
                <w:iCs/>
              </w:rPr>
            </w:pPr>
            <w:r w:rsidRPr="00BB09C5">
              <w:rPr>
                <w:rFonts w:cstheme="minorHAnsi"/>
                <w:b/>
                <w:iCs/>
              </w:rPr>
              <w:t>Market Physician Need</w:t>
            </w:r>
          </w:p>
        </w:tc>
        <w:tc>
          <w:tcPr>
            <w:tcW w:w="1571" w:type="dxa"/>
            <w:shd w:val="clear" w:color="auto" w:fill="BDD6EE" w:themeFill="accent5" w:themeFillTint="66"/>
            <w:vAlign w:val="center"/>
          </w:tcPr>
          <w:p w14:paraId="39EB872C" w14:textId="77777777" w:rsidR="00505F96" w:rsidRPr="00BB09C5" w:rsidRDefault="00505F96" w:rsidP="00BB09C5">
            <w:pPr>
              <w:pStyle w:val="ListParagraph"/>
              <w:spacing w:before="240" w:line="229" w:lineRule="exact"/>
              <w:ind w:left="0"/>
              <w:jc w:val="center"/>
              <w:rPr>
                <w:rFonts w:cstheme="minorHAnsi"/>
                <w:b/>
                <w:iCs/>
              </w:rPr>
            </w:pPr>
            <w:r w:rsidRPr="00BB09C5">
              <w:rPr>
                <w:rFonts w:cstheme="minorHAnsi"/>
                <w:b/>
                <w:iCs/>
              </w:rPr>
              <w:t>Physician FTE Supply</w:t>
            </w:r>
          </w:p>
        </w:tc>
        <w:tc>
          <w:tcPr>
            <w:tcW w:w="1525" w:type="dxa"/>
            <w:shd w:val="clear" w:color="auto" w:fill="BDD6EE" w:themeFill="accent5" w:themeFillTint="66"/>
            <w:vAlign w:val="center"/>
          </w:tcPr>
          <w:p w14:paraId="1BAD68BF" w14:textId="77777777" w:rsidR="00505F96" w:rsidRPr="00BB09C5" w:rsidRDefault="00505F96" w:rsidP="00BB09C5">
            <w:pPr>
              <w:pStyle w:val="ListParagraph"/>
              <w:spacing w:before="240" w:line="229" w:lineRule="exact"/>
              <w:ind w:left="0"/>
              <w:jc w:val="center"/>
              <w:rPr>
                <w:rFonts w:cstheme="minorHAnsi"/>
                <w:b/>
                <w:iCs/>
              </w:rPr>
            </w:pPr>
            <w:r w:rsidRPr="00BB09C5">
              <w:rPr>
                <w:rFonts w:cstheme="minorHAnsi"/>
                <w:b/>
                <w:iCs/>
              </w:rPr>
              <w:t>Market Unmet Demand (FTE)</w:t>
            </w:r>
          </w:p>
        </w:tc>
        <w:tc>
          <w:tcPr>
            <w:tcW w:w="1194" w:type="dxa"/>
            <w:shd w:val="clear" w:color="auto" w:fill="BDD6EE" w:themeFill="accent5" w:themeFillTint="66"/>
            <w:vAlign w:val="center"/>
          </w:tcPr>
          <w:p w14:paraId="6968FC60" w14:textId="6852190F" w:rsidR="00505F96" w:rsidRPr="00BB09C5" w:rsidRDefault="00505F96" w:rsidP="00BB09C5">
            <w:pPr>
              <w:pStyle w:val="ListParagraph"/>
              <w:spacing w:before="240" w:line="229" w:lineRule="exact"/>
              <w:ind w:left="0"/>
              <w:jc w:val="center"/>
              <w:rPr>
                <w:rFonts w:cstheme="minorHAnsi"/>
                <w:b/>
                <w:iCs/>
              </w:rPr>
            </w:pPr>
            <w:r w:rsidRPr="00BB09C5">
              <w:rPr>
                <w:rFonts w:cstheme="minorHAnsi"/>
                <w:b/>
                <w:iCs/>
              </w:rPr>
              <w:t>BILH Physician FTE Supply</w:t>
            </w:r>
          </w:p>
        </w:tc>
      </w:tr>
      <w:tr w:rsidR="00505F96" w:rsidRPr="00BB09C5" w14:paraId="48C78053" w14:textId="7BA6DF44" w:rsidTr="00394A1D">
        <w:trPr>
          <w:cantSplit/>
        </w:trPr>
        <w:tc>
          <w:tcPr>
            <w:tcW w:w="1964" w:type="dxa"/>
          </w:tcPr>
          <w:p w14:paraId="74E97AD7" w14:textId="459A7B53" w:rsidR="00505F96" w:rsidRPr="00BB09C5" w:rsidRDefault="00505F96" w:rsidP="00D808DE">
            <w:pPr>
              <w:pStyle w:val="ListParagraph"/>
              <w:spacing w:before="240" w:line="229" w:lineRule="exact"/>
              <w:ind w:left="0"/>
              <w:jc w:val="center"/>
              <w:rPr>
                <w:rFonts w:cstheme="minorHAnsi"/>
                <w:iCs/>
              </w:rPr>
            </w:pPr>
            <w:r w:rsidRPr="00BB09C5">
              <w:rPr>
                <w:rFonts w:cstheme="minorHAnsi"/>
                <w:iCs/>
              </w:rPr>
              <w:t>Endocrinology</w:t>
            </w:r>
          </w:p>
        </w:tc>
        <w:tc>
          <w:tcPr>
            <w:tcW w:w="1525" w:type="dxa"/>
            <w:vAlign w:val="center"/>
          </w:tcPr>
          <w:p w14:paraId="3C1A8D61" w14:textId="0CEFB007"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19,635</w:t>
            </w:r>
          </w:p>
        </w:tc>
        <w:tc>
          <w:tcPr>
            <w:tcW w:w="1571" w:type="dxa"/>
            <w:vAlign w:val="center"/>
          </w:tcPr>
          <w:p w14:paraId="61AEA511" w14:textId="34E2D722"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6.8</w:t>
            </w:r>
          </w:p>
        </w:tc>
        <w:tc>
          <w:tcPr>
            <w:tcW w:w="1571" w:type="dxa"/>
            <w:vAlign w:val="center"/>
          </w:tcPr>
          <w:p w14:paraId="03FF6D6C" w14:textId="4539DB6E"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11.4</w:t>
            </w:r>
          </w:p>
        </w:tc>
        <w:tc>
          <w:tcPr>
            <w:tcW w:w="1525" w:type="dxa"/>
            <w:vAlign w:val="center"/>
          </w:tcPr>
          <w:p w14:paraId="79157F74" w14:textId="2E251440"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-4.6</w:t>
            </w:r>
          </w:p>
        </w:tc>
        <w:tc>
          <w:tcPr>
            <w:tcW w:w="1194" w:type="dxa"/>
            <w:vAlign w:val="center"/>
          </w:tcPr>
          <w:p w14:paraId="4BD01F3A" w14:textId="6E9025CA"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2.3</w:t>
            </w:r>
          </w:p>
        </w:tc>
      </w:tr>
      <w:tr w:rsidR="00505F96" w:rsidRPr="00BB09C5" w14:paraId="1E68F0CA" w14:textId="0A4AC0BA" w:rsidTr="00394A1D">
        <w:trPr>
          <w:cantSplit/>
        </w:trPr>
        <w:tc>
          <w:tcPr>
            <w:tcW w:w="1964" w:type="dxa"/>
          </w:tcPr>
          <w:p w14:paraId="2428C11B" w14:textId="3C52A42D" w:rsidR="00505F96" w:rsidRPr="00BB09C5" w:rsidRDefault="00505F96" w:rsidP="00D808DE">
            <w:pPr>
              <w:pStyle w:val="ListParagraph"/>
              <w:spacing w:before="240" w:line="229" w:lineRule="exact"/>
              <w:ind w:left="0"/>
              <w:jc w:val="center"/>
              <w:rPr>
                <w:rFonts w:cstheme="minorHAnsi"/>
                <w:iCs/>
              </w:rPr>
            </w:pPr>
            <w:r w:rsidRPr="00BB09C5">
              <w:rPr>
                <w:rFonts w:cstheme="minorHAnsi"/>
                <w:iCs/>
              </w:rPr>
              <w:t>Gastroenterology</w:t>
            </w:r>
          </w:p>
        </w:tc>
        <w:tc>
          <w:tcPr>
            <w:tcW w:w="1525" w:type="dxa"/>
            <w:vAlign w:val="center"/>
          </w:tcPr>
          <w:p w14:paraId="4A84FE14" w14:textId="1B53696A"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28,772</w:t>
            </w:r>
          </w:p>
        </w:tc>
        <w:tc>
          <w:tcPr>
            <w:tcW w:w="1571" w:type="dxa"/>
            <w:vAlign w:val="center"/>
          </w:tcPr>
          <w:p w14:paraId="6B1413DD" w14:textId="658FA8D3"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26.0</w:t>
            </w:r>
          </w:p>
        </w:tc>
        <w:tc>
          <w:tcPr>
            <w:tcW w:w="1571" w:type="dxa"/>
            <w:vAlign w:val="center"/>
          </w:tcPr>
          <w:p w14:paraId="7C4AF3E0" w14:textId="106DD82F"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24.3</w:t>
            </w:r>
          </w:p>
        </w:tc>
        <w:tc>
          <w:tcPr>
            <w:tcW w:w="1525" w:type="dxa"/>
            <w:vAlign w:val="center"/>
          </w:tcPr>
          <w:p w14:paraId="627ADC79" w14:textId="5F8F4725"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-3.7</w:t>
            </w:r>
          </w:p>
        </w:tc>
        <w:tc>
          <w:tcPr>
            <w:tcW w:w="1194" w:type="dxa"/>
            <w:vAlign w:val="center"/>
          </w:tcPr>
          <w:p w14:paraId="70D04C13" w14:textId="0F35FF58"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2.7</w:t>
            </w:r>
          </w:p>
        </w:tc>
      </w:tr>
      <w:tr w:rsidR="00505F96" w:rsidRPr="00BB09C5" w14:paraId="4058438C" w14:textId="02037110" w:rsidTr="00394A1D">
        <w:trPr>
          <w:cantSplit/>
        </w:trPr>
        <w:tc>
          <w:tcPr>
            <w:tcW w:w="1964" w:type="dxa"/>
          </w:tcPr>
          <w:p w14:paraId="32AA995F" w14:textId="7763012D" w:rsidR="00505F96" w:rsidRPr="00BB09C5" w:rsidRDefault="00505F96" w:rsidP="00D808DE">
            <w:pPr>
              <w:pStyle w:val="ListParagraph"/>
              <w:spacing w:before="240" w:line="229" w:lineRule="exact"/>
              <w:ind w:left="0"/>
              <w:jc w:val="center"/>
              <w:rPr>
                <w:rFonts w:cstheme="minorHAnsi"/>
                <w:iCs/>
              </w:rPr>
            </w:pPr>
            <w:r w:rsidRPr="00BB09C5">
              <w:rPr>
                <w:rFonts w:cstheme="minorHAnsi"/>
                <w:iCs/>
              </w:rPr>
              <w:t>Hematology-Oncology</w:t>
            </w:r>
          </w:p>
        </w:tc>
        <w:tc>
          <w:tcPr>
            <w:tcW w:w="1525" w:type="dxa"/>
            <w:vAlign w:val="center"/>
          </w:tcPr>
          <w:p w14:paraId="55CA971E" w14:textId="01E88AC9"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64,935</w:t>
            </w:r>
          </w:p>
        </w:tc>
        <w:tc>
          <w:tcPr>
            <w:tcW w:w="1571" w:type="dxa"/>
            <w:vAlign w:val="center"/>
          </w:tcPr>
          <w:p w14:paraId="58145049" w14:textId="110F1136"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34.7</w:t>
            </w:r>
          </w:p>
        </w:tc>
        <w:tc>
          <w:tcPr>
            <w:tcW w:w="1571" w:type="dxa"/>
            <w:vAlign w:val="center"/>
          </w:tcPr>
          <w:p w14:paraId="1E58DA10" w14:textId="6001C233"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21.8</w:t>
            </w:r>
          </w:p>
        </w:tc>
        <w:tc>
          <w:tcPr>
            <w:tcW w:w="1525" w:type="dxa"/>
            <w:vAlign w:val="center"/>
          </w:tcPr>
          <w:p w14:paraId="51B24D9C" w14:textId="0AEE0D40"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12.9</w:t>
            </w:r>
          </w:p>
        </w:tc>
        <w:tc>
          <w:tcPr>
            <w:tcW w:w="1194" w:type="dxa"/>
            <w:vAlign w:val="center"/>
          </w:tcPr>
          <w:p w14:paraId="5915258A" w14:textId="25445297"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0.1</w:t>
            </w:r>
          </w:p>
        </w:tc>
      </w:tr>
      <w:tr w:rsidR="00505F96" w:rsidRPr="00BB09C5" w14:paraId="76B9563E" w14:textId="1B4DF7DA" w:rsidTr="00394A1D">
        <w:trPr>
          <w:cantSplit/>
        </w:trPr>
        <w:tc>
          <w:tcPr>
            <w:tcW w:w="1964" w:type="dxa"/>
          </w:tcPr>
          <w:p w14:paraId="1A34A38C" w14:textId="755EACFC" w:rsidR="00505F96" w:rsidRPr="00BB09C5" w:rsidRDefault="00505F96" w:rsidP="00D808DE">
            <w:pPr>
              <w:pStyle w:val="ListParagraph"/>
              <w:spacing w:before="240" w:line="229" w:lineRule="exact"/>
              <w:ind w:left="0"/>
              <w:jc w:val="center"/>
              <w:rPr>
                <w:rFonts w:cstheme="minorHAnsi"/>
                <w:iCs/>
              </w:rPr>
            </w:pPr>
            <w:r w:rsidRPr="00BB09C5">
              <w:rPr>
                <w:rFonts w:cstheme="minorHAnsi"/>
                <w:iCs/>
              </w:rPr>
              <w:t>OBGYN</w:t>
            </w:r>
          </w:p>
        </w:tc>
        <w:tc>
          <w:tcPr>
            <w:tcW w:w="1525" w:type="dxa"/>
            <w:vAlign w:val="center"/>
          </w:tcPr>
          <w:p w14:paraId="70730374" w14:textId="7109CD26"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76,523</w:t>
            </w:r>
          </w:p>
        </w:tc>
        <w:tc>
          <w:tcPr>
            <w:tcW w:w="1571" w:type="dxa"/>
            <w:vAlign w:val="center"/>
          </w:tcPr>
          <w:p w14:paraId="075871EE" w14:textId="474FDB9A"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48.6</w:t>
            </w:r>
          </w:p>
        </w:tc>
        <w:tc>
          <w:tcPr>
            <w:tcW w:w="1571" w:type="dxa"/>
            <w:vAlign w:val="center"/>
          </w:tcPr>
          <w:p w14:paraId="67176371" w14:textId="3D6F4546"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37.9</w:t>
            </w:r>
          </w:p>
        </w:tc>
        <w:tc>
          <w:tcPr>
            <w:tcW w:w="1525" w:type="dxa"/>
            <w:vAlign w:val="center"/>
          </w:tcPr>
          <w:p w14:paraId="074ED7CC" w14:textId="2F7E77A2"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10.7</w:t>
            </w:r>
          </w:p>
        </w:tc>
        <w:tc>
          <w:tcPr>
            <w:tcW w:w="1194" w:type="dxa"/>
            <w:vAlign w:val="center"/>
          </w:tcPr>
          <w:p w14:paraId="192A3313" w14:textId="46853160"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6.7</w:t>
            </w:r>
          </w:p>
        </w:tc>
      </w:tr>
      <w:tr w:rsidR="00505F96" w:rsidRPr="00BB09C5" w14:paraId="2FC53FD9" w14:textId="02F62152" w:rsidTr="00394A1D">
        <w:trPr>
          <w:cantSplit/>
        </w:trPr>
        <w:tc>
          <w:tcPr>
            <w:tcW w:w="1964" w:type="dxa"/>
          </w:tcPr>
          <w:p w14:paraId="41DD561F" w14:textId="15F2D54A" w:rsidR="00505F96" w:rsidRPr="00BB09C5" w:rsidRDefault="00505F96" w:rsidP="00D808DE">
            <w:pPr>
              <w:pStyle w:val="ListParagraph"/>
              <w:spacing w:before="240" w:line="229" w:lineRule="exact"/>
              <w:ind w:left="0"/>
              <w:jc w:val="center"/>
              <w:rPr>
                <w:rFonts w:cstheme="minorHAnsi"/>
                <w:iCs/>
              </w:rPr>
            </w:pPr>
            <w:r w:rsidRPr="00BB09C5">
              <w:rPr>
                <w:rFonts w:cstheme="minorHAnsi"/>
                <w:iCs/>
              </w:rPr>
              <w:t>Pulmonology</w:t>
            </w:r>
          </w:p>
        </w:tc>
        <w:tc>
          <w:tcPr>
            <w:tcW w:w="1525" w:type="dxa"/>
            <w:vAlign w:val="center"/>
          </w:tcPr>
          <w:p w14:paraId="633DC770" w14:textId="084B7357"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17,607</w:t>
            </w:r>
          </w:p>
        </w:tc>
        <w:tc>
          <w:tcPr>
            <w:tcW w:w="1571" w:type="dxa"/>
            <w:vAlign w:val="center"/>
          </w:tcPr>
          <w:p w14:paraId="54190E45" w14:textId="4A5ABF22"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13.1</w:t>
            </w:r>
          </w:p>
        </w:tc>
        <w:tc>
          <w:tcPr>
            <w:tcW w:w="1571" w:type="dxa"/>
            <w:vAlign w:val="center"/>
          </w:tcPr>
          <w:p w14:paraId="60454D33" w14:textId="288C93F5"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16.2</w:t>
            </w:r>
          </w:p>
        </w:tc>
        <w:tc>
          <w:tcPr>
            <w:tcW w:w="1525" w:type="dxa"/>
            <w:vAlign w:val="center"/>
          </w:tcPr>
          <w:p w14:paraId="5DAF7917" w14:textId="0EEA77C8"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-3.1</w:t>
            </w:r>
          </w:p>
        </w:tc>
        <w:tc>
          <w:tcPr>
            <w:tcW w:w="1194" w:type="dxa"/>
            <w:vAlign w:val="center"/>
          </w:tcPr>
          <w:p w14:paraId="3768E9DB" w14:textId="61936355"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5.6</w:t>
            </w:r>
          </w:p>
        </w:tc>
      </w:tr>
      <w:tr w:rsidR="00505F96" w:rsidRPr="00BB09C5" w14:paraId="299B09B3" w14:textId="4EE050B3" w:rsidTr="00394A1D">
        <w:trPr>
          <w:cantSplit/>
        </w:trPr>
        <w:tc>
          <w:tcPr>
            <w:tcW w:w="1964" w:type="dxa"/>
          </w:tcPr>
          <w:p w14:paraId="5B7CDD19" w14:textId="3F2DF8AA" w:rsidR="00505F96" w:rsidRPr="00BB09C5" w:rsidRDefault="00505F96" w:rsidP="00D808DE">
            <w:pPr>
              <w:pStyle w:val="ListParagraph"/>
              <w:spacing w:before="240" w:line="229" w:lineRule="exact"/>
              <w:ind w:left="0"/>
              <w:jc w:val="center"/>
              <w:rPr>
                <w:rFonts w:cstheme="minorHAnsi"/>
                <w:iCs/>
              </w:rPr>
            </w:pPr>
            <w:r w:rsidRPr="00BB09C5">
              <w:rPr>
                <w:rFonts w:cstheme="minorHAnsi"/>
                <w:iCs/>
              </w:rPr>
              <w:t>Rheumatology</w:t>
            </w:r>
          </w:p>
        </w:tc>
        <w:tc>
          <w:tcPr>
            <w:tcW w:w="1525" w:type="dxa"/>
            <w:vAlign w:val="center"/>
          </w:tcPr>
          <w:p w14:paraId="603AE059" w14:textId="0C806BCF"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16,311</w:t>
            </w:r>
          </w:p>
        </w:tc>
        <w:tc>
          <w:tcPr>
            <w:tcW w:w="1571" w:type="dxa"/>
            <w:vAlign w:val="center"/>
          </w:tcPr>
          <w:p w14:paraId="4DBD8F1F" w14:textId="13BD2208" w:rsidR="00505F96" w:rsidRPr="00BB09C5" w:rsidRDefault="00505F96" w:rsidP="00E14572">
            <w:pPr>
              <w:pStyle w:val="ListParagraph"/>
              <w:spacing w:before="240" w:line="229" w:lineRule="exact"/>
              <w:ind w:left="0"/>
              <w:jc w:val="center"/>
              <w:rPr>
                <w:rFonts w:cstheme="minorHAnsi"/>
                <w:iCs/>
              </w:rPr>
            </w:pPr>
            <w:r w:rsidRPr="00BB09C5">
              <w:rPr>
                <w:rFonts w:cstheme="minorHAnsi"/>
                <w:iCs/>
              </w:rPr>
              <w:t>5.8</w:t>
            </w:r>
          </w:p>
        </w:tc>
        <w:tc>
          <w:tcPr>
            <w:tcW w:w="1571" w:type="dxa"/>
            <w:vAlign w:val="center"/>
          </w:tcPr>
          <w:p w14:paraId="7C287B77" w14:textId="749DB4FE" w:rsidR="00505F96" w:rsidRPr="00BB09C5" w:rsidRDefault="007F7F7A" w:rsidP="00E14572">
            <w:pPr>
              <w:pStyle w:val="ListParagraph"/>
              <w:spacing w:before="240" w:line="229" w:lineRule="exact"/>
              <w:ind w:left="0"/>
              <w:jc w:val="center"/>
              <w:rPr>
                <w:rFonts w:cstheme="minorHAnsi"/>
                <w:iCs/>
              </w:rPr>
            </w:pPr>
            <w:r w:rsidRPr="00BB09C5">
              <w:rPr>
                <w:rFonts w:cstheme="minorHAnsi"/>
                <w:iCs/>
              </w:rPr>
              <w:t>6.2</w:t>
            </w:r>
          </w:p>
        </w:tc>
        <w:tc>
          <w:tcPr>
            <w:tcW w:w="1525" w:type="dxa"/>
            <w:vAlign w:val="center"/>
          </w:tcPr>
          <w:p w14:paraId="381570F4" w14:textId="105456E0" w:rsidR="00505F96" w:rsidRPr="00BB09C5" w:rsidRDefault="007F7F7A" w:rsidP="00E14572">
            <w:pPr>
              <w:pStyle w:val="ListParagraph"/>
              <w:spacing w:before="240" w:line="229" w:lineRule="exact"/>
              <w:ind w:left="0"/>
              <w:jc w:val="center"/>
              <w:rPr>
                <w:rFonts w:cstheme="minorHAnsi"/>
                <w:iCs/>
              </w:rPr>
            </w:pPr>
            <w:r w:rsidRPr="00BB09C5">
              <w:rPr>
                <w:rFonts w:cstheme="minorHAnsi"/>
                <w:iCs/>
              </w:rPr>
              <w:t>-0.4</w:t>
            </w:r>
          </w:p>
        </w:tc>
        <w:tc>
          <w:tcPr>
            <w:tcW w:w="1194" w:type="dxa"/>
            <w:vAlign w:val="center"/>
          </w:tcPr>
          <w:p w14:paraId="0E84C137" w14:textId="00852BD6" w:rsidR="00505F96" w:rsidRPr="00BB09C5" w:rsidRDefault="007F7F7A" w:rsidP="00E14572">
            <w:pPr>
              <w:pStyle w:val="ListParagraph"/>
              <w:spacing w:before="240" w:line="229" w:lineRule="exact"/>
              <w:ind w:left="0"/>
              <w:jc w:val="center"/>
              <w:rPr>
                <w:rFonts w:cstheme="minorHAnsi"/>
                <w:iCs/>
              </w:rPr>
            </w:pPr>
            <w:r w:rsidRPr="00BB09C5">
              <w:rPr>
                <w:rFonts w:cstheme="minorHAnsi"/>
                <w:iCs/>
              </w:rPr>
              <w:t>1.2</w:t>
            </w:r>
          </w:p>
        </w:tc>
      </w:tr>
    </w:tbl>
    <w:p w14:paraId="4CE565ED" w14:textId="6316958D" w:rsidR="007F7F7A" w:rsidRPr="00BB09C5" w:rsidRDefault="007F7F7A" w:rsidP="005230B8">
      <w:pPr>
        <w:spacing w:before="240" w:after="0" w:line="229" w:lineRule="exact"/>
        <w:ind w:left="720"/>
        <w:rPr>
          <w:rFonts w:cstheme="minorHAnsi"/>
          <w:b/>
          <w:bCs/>
          <w:iCs/>
          <w:color w:val="4472C4" w:themeColor="accent1"/>
        </w:rPr>
      </w:pPr>
      <w:r w:rsidRPr="00BB09C5">
        <w:rPr>
          <w:rFonts w:cstheme="minorHAnsi"/>
          <w:b/>
          <w:bCs/>
          <w:iCs/>
        </w:rPr>
        <w:t xml:space="preserve">Additionally, as highlighted in the Narrative, </w:t>
      </w:r>
      <w:r w:rsidR="000F0649" w:rsidRPr="00BB09C5">
        <w:rPr>
          <w:rFonts w:cstheme="minorHAnsi"/>
          <w:b/>
          <w:bCs/>
          <w:iCs/>
        </w:rPr>
        <w:t>the Applicant</w:t>
      </w:r>
      <w:r w:rsidRPr="00BB09C5">
        <w:rPr>
          <w:rFonts w:cstheme="minorHAnsi"/>
          <w:b/>
          <w:bCs/>
          <w:iCs/>
        </w:rPr>
        <w:t xml:space="preserve"> met with local community health center leaders</w:t>
      </w:r>
      <w:r w:rsidR="00BB09C5">
        <w:rPr>
          <w:rFonts w:cstheme="minorHAnsi"/>
          <w:b/>
          <w:bCs/>
          <w:iCs/>
        </w:rPr>
        <w:t xml:space="preserve"> at </w:t>
      </w:r>
      <w:r w:rsidRPr="00BB09C5">
        <w:rPr>
          <w:rFonts w:cstheme="minorHAnsi"/>
          <w:b/>
          <w:bCs/>
          <w:iCs/>
        </w:rPr>
        <w:t xml:space="preserve">South Cove and Manet, as well as local BILH primary care providers to understand the services that their patients have trouble accessing locally. </w:t>
      </w:r>
      <w:r w:rsidR="005230B8" w:rsidRPr="00BB09C5">
        <w:rPr>
          <w:rFonts w:cstheme="minorHAnsi"/>
          <w:b/>
          <w:bCs/>
          <w:iCs/>
        </w:rPr>
        <w:t xml:space="preserve">For South Cove, as of February 2023, those services included </w:t>
      </w:r>
      <w:r w:rsidR="005230B8" w:rsidRPr="00BB09C5">
        <w:rPr>
          <w:rFonts w:cstheme="minorHAnsi"/>
          <w:b/>
          <w:bCs/>
        </w:rPr>
        <w:t xml:space="preserve">cardiology, pediatric urgent care, and ultrasound. For other BILH primary care providers, those services include </w:t>
      </w:r>
      <w:r w:rsidR="005230B8" w:rsidRPr="00BB09C5">
        <w:rPr>
          <w:rFonts w:cstheme="minorHAnsi"/>
          <w:b/>
          <w:bCs/>
          <w:iCs/>
        </w:rPr>
        <w:t>hematology/oncology, OBGYN, endocrinology, GI, pulmonology, and rheumatology. For Manet, as of March 2023, those services include gastrointestinal, endocrinology, hematology/oncology, and neurology.</w:t>
      </w:r>
    </w:p>
    <w:p w14:paraId="5CE7AD20" w14:textId="3DDC7510" w:rsidR="009C11D6" w:rsidRPr="00BB09C5" w:rsidRDefault="00124116" w:rsidP="009C11D6">
      <w:pPr>
        <w:pStyle w:val="ListParagraph"/>
        <w:numPr>
          <w:ilvl w:val="1"/>
          <w:numId w:val="38"/>
        </w:numPr>
        <w:spacing w:before="240" w:after="0" w:line="229" w:lineRule="exact"/>
        <w:rPr>
          <w:rFonts w:cstheme="minorHAnsi"/>
        </w:rPr>
      </w:pPr>
      <w:r w:rsidRPr="00BB09C5">
        <w:rPr>
          <w:rFonts w:cstheme="minorHAnsi"/>
        </w:rPr>
        <w:t>Please provide references to research pointing to</w:t>
      </w:r>
      <w:r w:rsidR="00E765D3" w:rsidRPr="00BB09C5">
        <w:rPr>
          <w:rFonts w:cstheme="minorHAnsi"/>
        </w:rPr>
        <w:t xml:space="preserve"> </w:t>
      </w:r>
      <w:r w:rsidR="00B0601D" w:rsidRPr="00BB09C5">
        <w:rPr>
          <w:rFonts w:cstheme="minorHAnsi"/>
        </w:rPr>
        <w:t>improved outcomes</w:t>
      </w:r>
      <w:r w:rsidR="001D079B" w:rsidRPr="00BB09C5">
        <w:rPr>
          <w:rFonts w:cstheme="minorHAnsi"/>
        </w:rPr>
        <w:t xml:space="preserve"> associated with access</w:t>
      </w:r>
      <w:r w:rsidR="00E765D3" w:rsidRPr="00BB09C5">
        <w:rPr>
          <w:rFonts w:cstheme="minorHAnsi"/>
        </w:rPr>
        <w:t xml:space="preserve"> to the</w:t>
      </w:r>
      <w:r w:rsidR="00B0601D" w:rsidRPr="00BB09C5">
        <w:rPr>
          <w:rFonts w:cstheme="minorHAnsi"/>
        </w:rPr>
        <w:t xml:space="preserve"> specific</w:t>
      </w:r>
      <w:r w:rsidR="00E765D3" w:rsidRPr="00BB09C5">
        <w:rPr>
          <w:rFonts w:cstheme="minorHAnsi"/>
        </w:rPr>
        <w:t xml:space="preserve"> specialty services that will be offered at the Quincy satellite.</w:t>
      </w:r>
    </w:p>
    <w:p w14:paraId="37E7729B" w14:textId="77777777" w:rsidR="00735774" w:rsidRPr="00BB09C5" w:rsidRDefault="00735774" w:rsidP="00735774">
      <w:pPr>
        <w:pStyle w:val="ListParagraph"/>
        <w:spacing w:before="240" w:after="0" w:line="229" w:lineRule="exact"/>
        <w:rPr>
          <w:rFonts w:cstheme="minorHAnsi"/>
        </w:rPr>
      </w:pPr>
    </w:p>
    <w:p w14:paraId="4D83A9DF" w14:textId="51AAF01D" w:rsidR="00735774" w:rsidRPr="00BB09C5" w:rsidRDefault="00735774" w:rsidP="00735774">
      <w:pPr>
        <w:pStyle w:val="ListParagraph"/>
        <w:spacing w:before="240" w:after="0" w:line="229" w:lineRule="exact"/>
        <w:rPr>
          <w:rFonts w:cstheme="minorHAnsi"/>
          <w:b/>
          <w:bCs/>
          <w:iCs/>
        </w:rPr>
      </w:pPr>
      <w:r w:rsidRPr="00BB09C5">
        <w:rPr>
          <w:rFonts w:cstheme="minorHAnsi"/>
          <w:b/>
          <w:bCs/>
          <w:iCs/>
        </w:rPr>
        <w:t xml:space="preserve">Please see reference articles, below. </w:t>
      </w:r>
    </w:p>
    <w:p w14:paraId="52CEC5C4" w14:textId="00B761F7" w:rsidR="00735774" w:rsidRPr="00BB09C5" w:rsidRDefault="00735774" w:rsidP="00735774">
      <w:pPr>
        <w:pStyle w:val="ListParagraph"/>
        <w:spacing w:before="240" w:after="0" w:line="229" w:lineRule="exact"/>
        <w:rPr>
          <w:rFonts w:cstheme="minorHAnsi"/>
          <w:iCs/>
        </w:rPr>
      </w:pPr>
    </w:p>
    <w:p w14:paraId="21A24E36" w14:textId="6E08CF23" w:rsidR="009D6CE8" w:rsidRPr="00BB09C5" w:rsidRDefault="009D6CE8" w:rsidP="001F03C7">
      <w:pPr>
        <w:pStyle w:val="ListParagraph"/>
        <w:numPr>
          <w:ilvl w:val="0"/>
          <w:numId w:val="49"/>
        </w:numPr>
        <w:spacing w:before="240" w:line="229" w:lineRule="exact"/>
        <w:rPr>
          <w:rFonts w:cstheme="minorHAnsi"/>
          <w:bCs/>
          <w:iCs/>
          <w:color w:val="4472C4" w:themeColor="accent1"/>
        </w:rPr>
      </w:pPr>
      <w:r w:rsidRPr="00BB09C5">
        <w:rPr>
          <w:rFonts w:cstheme="minorHAnsi"/>
          <w:b/>
          <w:iCs/>
        </w:rPr>
        <w:t xml:space="preserve">Kelly C, Holme C, Farragher T, Clarke G, BMJ Open, 6 (11) (2016) </w:t>
      </w:r>
      <w:hyperlink r:id="rId11" w:history="1">
        <w:r w:rsidRPr="00F43DDD">
          <w:rPr>
            <w:rStyle w:val="Hyperlink"/>
            <w:rFonts w:cstheme="minorHAnsi"/>
            <w:b/>
            <w:iCs/>
            <w:color w:val="auto"/>
            <w:u w:val="none"/>
          </w:rPr>
          <w:t>Are differences in travel time or distance to healthcare for adults in global north countries associated with an impact on health outcomes: a systematic review</w:t>
        </w:r>
        <w:r w:rsidR="00387A47" w:rsidRPr="00F43DDD">
          <w:rPr>
            <w:rStyle w:val="Hyperlink"/>
            <w:rFonts w:cstheme="minorHAnsi"/>
            <w:b/>
            <w:iCs/>
            <w:color w:val="auto"/>
            <w:u w:val="none"/>
          </w:rPr>
          <w:t>.</w:t>
        </w:r>
      </w:hyperlink>
      <w:r w:rsidR="001F03C7" w:rsidRPr="00F43DDD">
        <w:rPr>
          <w:rFonts w:cstheme="minorHAnsi"/>
          <w:b/>
          <w:iCs/>
        </w:rPr>
        <w:t xml:space="preserve"> </w:t>
      </w:r>
      <w:r w:rsidR="001F03C7" w:rsidRPr="00BB09C5">
        <w:rPr>
          <w:rFonts w:cstheme="minorHAnsi"/>
          <w:bCs/>
          <w:iCs/>
          <w:color w:val="4472C4" w:themeColor="accent1"/>
        </w:rPr>
        <w:t>(</w:t>
      </w:r>
      <w:hyperlink r:id="rId12" w:history="1">
        <w:r w:rsidR="001F03C7" w:rsidRPr="00BB09C5">
          <w:rPr>
            <w:rStyle w:val="Hyperlink"/>
            <w:rFonts w:cstheme="minorHAnsi"/>
            <w:bCs/>
            <w:iCs/>
            <w:u w:val="none"/>
          </w:rPr>
          <w:t>https://bmjopen.bmj.com/content/6/11/e013059.short</w:t>
        </w:r>
      </w:hyperlink>
      <w:r w:rsidR="001F03C7" w:rsidRPr="00BB09C5">
        <w:rPr>
          <w:rFonts w:cstheme="minorHAnsi"/>
          <w:bCs/>
          <w:iCs/>
        </w:rPr>
        <w:t>)</w:t>
      </w:r>
    </w:p>
    <w:p w14:paraId="483979BE" w14:textId="77777777" w:rsidR="009D6CE8" w:rsidRPr="00BB09C5" w:rsidRDefault="009D6CE8" w:rsidP="00B33CE4">
      <w:pPr>
        <w:pStyle w:val="ListParagraph"/>
        <w:spacing w:before="240" w:line="229" w:lineRule="exact"/>
        <w:rPr>
          <w:rFonts w:cstheme="minorHAnsi"/>
          <w:bCs/>
          <w:iCs/>
          <w:color w:val="4472C4" w:themeColor="accent1"/>
        </w:rPr>
      </w:pPr>
    </w:p>
    <w:p w14:paraId="78A6F075" w14:textId="77777777" w:rsidR="009D6CE8" w:rsidRPr="00BB09C5" w:rsidRDefault="009D6CE8" w:rsidP="00B33CE4">
      <w:pPr>
        <w:pStyle w:val="ListParagraph"/>
        <w:spacing w:before="240" w:line="229" w:lineRule="exact"/>
        <w:rPr>
          <w:rFonts w:cstheme="minorHAnsi"/>
          <w:bCs/>
          <w:iCs/>
          <w:color w:val="4472C4" w:themeColor="accent1"/>
        </w:rPr>
      </w:pPr>
    </w:p>
    <w:p w14:paraId="5A155F94" w14:textId="62CEAAEC" w:rsidR="00387A47" w:rsidRPr="00BB09C5" w:rsidRDefault="009D6CE8" w:rsidP="001F03C7">
      <w:pPr>
        <w:pStyle w:val="ListParagraph"/>
        <w:numPr>
          <w:ilvl w:val="0"/>
          <w:numId w:val="49"/>
        </w:numPr>
        <w:spacing w:before="240" w:line="229" w:lineRule="exact"/>
        <w:rPr>
          <w:rFonts w:cstheme="minorHAnsi"/>
          <w:bCs/>
          <w:iCs/>
          <w:color w:val="4472C4" w:themeColor="accent1"/>
        </w:rPr>
      </w:pPr>
      <w:r w:rsidRPr="00BB09C5">
        <w:rPr>
          <w:rFonts w:cstheme="minorHAnsi"/>
          <w:b/>
          <w:bCs/>
          <w:iCs/>
        </w:rPr>
        <w:t xml:space="preserve">Cyr ME, </w:t>
      </w:r>
      <w:proofErr w:type="spellStart"/>
      <w:r w:rsidRPr="00BB09C5">
        <w:rPr>
          <w:rFonts w:cstheme="minorHAnsi"/>
          <w:b/>
          <w:bCs/>
          <w:iCs/>
        </w:rPr>
        <w:t>Etchin</w:t>
      </w:r>
      <w:proofErr w:type="spellEnd"/>
      <w:r w:rsidRPr="00BB09C5">
        <w:rPr>
          <w:rFonts w:cstheme="minorHAnsi"/>
          <w:b/>
          <w:bCs/>
          <w:iCs/>
        </w:rPr>
        <w:t xml:space="preserve"> AG, Guthrie BJ, </w:t>
      </w:r>
      <w:proofErr w:type="spellStart"/>
      <w:r w:rsidRPr="00BB09C5">
        <w:rPr>
          <w:rFonts w:cstheme="minorHAnsi"/>
          <w:b/>
          <w:bCs/>
          <w:iCs/>
        </w:rPr>
        <w:t>Benneyan</w:t>
      </w:r>
      <w:proofErr w:type="spellEnd"/>
      <w:r w:rsidRPr="00BB09C5">
        <w:rPr>
          <w:rFonts w:cstheme="minorHAnsi"/>
          <w:b/>
          <w:bCs/>
          <w:iCs/>
        </w:rPr>
        <w:t xml:space="preserve"> JC, BMC Health </w:t>
      </w:r>
      <w:proofErr w:type="spellStart"/>
      <w:r w:rsidRPr="00BB09C5">
        <w:rPr>
          <w:rFonts w:cstheme="minorHAnsi"/>
          <w:b/>
          <w:bCs/>
          <w:iCs/>
        </w:rPr>
        <w:t>Srvc</w:t>
      </w:r>
      <w:proofErr w:type="spellEnd"/>
      <w:r w:rsidRPr="00BB09C5">
        <w:rPr>
          <w:rFonts w:cstheme="minorHAnsi"/>
          <w:b/>
          <w:bCs/>
          <w:iCs/>
        </w:rPr>
        <w:t xml:space="preserve"> Res, 19 (1) (2019) pp. 1-17, </w:t>
      </w:r>
      <w:hyperlink r:id="rId13" w:history="1">
        <w:r w:rsidR="00387A47" w:rsidRPr="00F43DDD">
          <w:rPr>
            <w:rStyle w:val="Hyperlink"/>
            <w:rFonts w:cstheme="minorHAnsi"/>
            <w:b/>
            <w:bCs/>
            <w:iCs/>
            <w:color w:val="auto"/>
            <w:u w:val="none"/>
          </w:rPr>
          <w:t>Access to specialty healthcare in urban vs rural US populations: a systematic literature review</w:t>
        </w:r>
      </w:hyperlink>
      <w:r w:rsidR="00387A47" w:rsidRPr="00F43DDD">
        <w:rPr>
          <w:rFonts w:cstheme="minorHAnsi"/>
          <w:b/>
          <w:bCs/>
          <w:iCs/>
        </w:rPr>
        <w:t>.</w:t>
      </w:r>
      <w:r w:rsidR="001F03C7" w:rsidRPr="00F43DDD">
        <w:rPr>
          <w:rFonts w:cstheme="minorHAnsi"/>
          <w:bCs/>
          <w:iCs/>
        </w:rPr>
        <w:t xml:space="preserve"> </w:t>
      </w:r>
      <w:r w:rsidR="001F03C7" w:rsidRPr="00BB09C5">
        <w:rPr>
          <w:rFonts w:cstheme="minorHAnsi"/>
          <w:bCs/>
          <w:iCs/>
          <w:color w:val="4472C4" w:themeColor="accent1"/>
        </w:rPr>
        <w:t>(</w:t>
      </w:r>
      <w:hyperlink r:id="rId14" w:history="1">
        <w:r w:rsidR="001F03C7" w:rsidRPr="00BB09C5">
          <w:rPr>
            <w:rStyle w:val="Hyperlink"/>
            <w:rFonts w:cstheme="minorHAnsi"/>
            <w:bCs/>
            <w:iCs/>
            <w:u w:val="none"/>
          </w:rPr>
          <w:t>https://link.springer.com/article/10.1186/s12913-019-4815-5</w:t>
        </w:r>
      </w:hyperlink>
      <w:r w:rsidR="001F03C7" w:rsidRPr="00BB09C5">
        <w:rPr>
          <w:rFonts w:cstheme="minorHAnsi"/>
          <w:bCs/>
          <w:iCs/>
        </w:rPr>
        <w:t>)</w:t>
      </w:r>
    </w:p>
    <w:p w14:paraId="324B1624" w14:textId="77777777" w:rsidR="009D6CE8" w:rsidRPr="00BB09C5" w:rsidRDefault="009D6CE8" w:rsidP="00B33CE4">
      <w:pPr>
        <w:pStyle w:val="ListParagraph"/>
        <w:spacing w:before="240" w:line="229" w:lineRule="exact"/>
        <w:rPr>
          <w:rFonts w:cstheme="minorHAnsi"/>
          <w:bCs/>
          <w:iCs/>
          <w:color w:val="4472C4" w:themeColor="accent1"/>
        </w:rPr>
      </w:pPr>
    </w:p>
    <w:p w14:paraId="32751232" w14:textId="49D9CCF2" w:rsidR="00B33CE4" w:rsidRPr="00BB09C5" w:rsidRDefault="00B33CE4" w:rsidP="001F03C7">
      <w:pPr>
        <w:pStyle w:val="ListParagraph"/>
        <w:numPr>
          <w:ilvl w:val="0"/>
          <w:numId w:val="49"/>
        </w:numPr>
        <w:spacing w:before="240" w:line="229" w:lineRule="exact"/>
        <w:rPr>
          <w:rFonts w:cstheme="minorHAnsi"/>
          <w:bCs/>
          <w:iCs/>
          <w:color w:val="4472C4" w:themeColor="accent1"/>
        </w:rPr>
      </w:pPr>
      <w:proofErr w:type="spellStart"/>
      <w:r w:rsidRPr="00BB09C5">
        <w:rPr>
          <w:rFonts w:cstheme="minorHAnsi"/>
          <w:b/>
          <w:bCs/>
          <w:iCs/>
        </w:rPr>
        <w:t>Mseke</w:t>
      </w:r>
      <w:proofErr w:type="spellEnd"/>
      <w:r w:rsidRPr="00BB09C5">
        <w:rPr>
          <w:rFonts w:cstheme="minorHAnsi"/>
          <w:b/>
          <w:bCs/>
          <w:iCs/>
        </w:rPr>
        <w:t xml:space="preserve"> EP, Jessup B, Barnett T, </w:t>
      </w:r>
      <w:hyperlink r:id="rId15" w:anchor=":~:text=Ensuring%20that%20services%20are%20within,et%20al.%2C%202008" w:history="1">
        <w:r w:rsidRPr="003F0972">
          <w:rPr>
            <w:rStyle w:val="Hyperlink"/>
            <w:rFonts w:cstheme="minorHAnsi"/>
            <w:b/>
            <w:bCs/>
            <w:iCs/>
            <w:color w:val="auto"/>
            <w:u w:val="none"/>
          </w:rPr>
          <w:t>Impact of distance and/or travel time on healthcare service access in rural and remote areas: A scoping review</w:t>
        </w:r>
      </w:hyperlink>
      <w:r w:rsidRPr="003F0972">
        <w:rPr>
          <w:rFonts w:cstheme="minorHAnsi"/>
          <w:b/>
          <w:bCs/>
          <w:iCs/>
        </w:rPr>
        <w:t xml:space="preserve">; Journal </w:t>
      </w:r>
      <w:r w:rsidRPr="00BB09C5">
        <w:rPr>
          <w:rFonts w:cstheme="minorHAnsi"/>
          <w:b/>
          <w:bCs/>
          <w:iCs/>
        </w:rPr>
        <w:t>of Transport &amp; Health, Vol 37, July 2024</w:t>
      </w:r>
      <w:r w:rsidR="001F03C7" w:rsidRPr="00BB09C5">
        <w:rPr>
          <w:rFonts w:cstheme="minorHAnsi"/>
          <w:b/>
          <w:bCs/>
          <w:iCs/>
        </w:rPr>
        <w:t xml:space="preserve"> </w:t>
      </w:r>
      <w:r w:rsidR="001F03C7" w:rsidRPr="00BB09C5">
        <w:rPr>
          <w:rFonts w:cstheme="minorHAnsi"/>
          <w:bCs/>
          <w:iCs/>
          <w:color w:val="4472C4" w:themeColor="accent1"/>
        </w:rPr>
        <w:t>(</w:t>
      </w:r>
      <w:hyperlink r:id="rId16" w:anchor=":~:text=Ensuring%20that%20services%20are%20within,et%20al.%2C%202008" w:history="1">
        <w:r w:rsidR="001F03C7" w:rsidRPr="00BB09C5">
          <w:rPr>
            <w:rStyle w:val="Hyperlink"/>
            <w:rFonts w:cstheme="minorHAnsi"/>
            <w:iCs/>
            <w:u w:val="none"/>
          </w:rPr>
          <w:t>https://www.sciencedirect.com/science/article/pii/S2214140524000653#:~:text=Ensuring%20that%20services%20are%20within,et%20al.%2C%202008</w:t>
        </w:r>
      </w:hyperlink>
      <w:r w:rsidRPr="00BB09C5">
        <w:rPr>
          <w:rFonts w:cstheme="minorHAnsi"/>
          <w:iCs/>
          <w:color w:val="4472C4" w:themeColor="accent1"/>
        </w:rPr>
        <w:t>)</w:t>
      </w:r>
      <w:r w:rsidR="001F03C7" w:rsidRPr="00BB09C5">
        <w:rPr>
          <w:rFonts w:cstheme="minorHAnsi"/>
          <w:iCs/>
          <w:color w:val="4472C4" w:themeColor="accent1"/>
        </w:rPr>
        <w:t>)</w:t>
      </w:r>
    </w:p>
    <w:p w14:paraId="02854D33" w14:textId="77777777" w:rsidR="00B33CE4" w:rsidRPr="00BB09C5" w:rsidRDefault="00B33CE4" w:rsidP="00B97154">
      <w:pPr>
        <w:pStyle w:val="ListParagraph"/>
        <w:spacing w:before="240" w:line="229" w:lineRule="exact"/>
        <w:rPr>
          <w:rFonts w:cstheme="minorHAnsi"/>
          <w:iCs/>
          <w:color w:val="4472C4" w:themeColor="accent1"/>
        </w:rPr>
      </w:pPr>
    </w:p>
    <w:p w14:paraId="66A7E8A3" w14:textId="40417871" w:rsidR="00735774" w:rsidRPr="00BB09C5" w:rsidRDefault="00B97154" w:rsidP="001F03C7">
      <w:pPr>
        <w:pStyle w:val="ListParagraph"/>
        <w:numPr>
          <w:ilvl w:val="0"/>
          <w:numId w:val="49"/>
        </w:numPr>
        <w:spacing w:before="240" w:line="229" w:lineRule="exact"/>
        <w:rPr>
          <w:rFonts w:cstheme="minorHAnsi"/>
          <w:iCs/>
          <w:color w:val="4472C4" w:themeColor="accent1"/>
        </w:rPr>
      </w:pPr>
      <w:r w:rsidRPr="00BB09C5">
        <w:rPr>
          <w:rFonts w:cstheme="minorHAnsi"/>
          <w:b/>
          <w:bCs/>
          <w:iCs/>
        </w:rPr>
        <w:t xml:space="preserve">Massimo </w:t>
      </w:r>
      <w:proofErr w:type="spellStart"/>
      <w:r w:rsidRPr="00BB09C5">
        <w:rPr>
          <w:rFonts w:cstheme="minorHAnsi"/>
          <w:b/>
          <w:bCs/>
          <w:iCs/>
        </w:rPr>
        <w:t>Ambroggi</w:t>
      </w:r>
      <w:proofErr w:type="spellEnd"/>
      <w:r w:rsidRPr="00BB09C5">
        <w:rPr>
          <w:rFonts w:cstheme="minorHAnsi"/>
          <w:b/>
          <w:bCs/>
          <w:iCs/>
        </w:rPr>
        <w:t xml:space="preserve">, </w:t>
      </w:r>
      <w:r w:rsidRPr="002E364B">
        <w:rPr>
          <w:rFonts w:cstheme="minorHAnsi"/>
          <w:b/>
          <w:bCs/>
          <w:iCs/>
        </w:rPr>
        <w:t xml:space="preserve">et al., </w:t>
      </w:r>
      <w:hyperlink r:id="rId17" w:history="1">
        <w:r w:rsidRPr="002E364B">
          <w:rPr>
            <w:rStyle w:val="Hyperlink"/>
            <w:rFonts w:cstheme="minorHAnsi"/>
            <w:b/>
            <w:bCs/>
            <w:iCs/>
            <w:color w:val="auto"/>
            <w:u w:val="none"/>
          </w:rPr>
          <w:t>Distance as a Barrier to Cancer Diagnosis and Treatment: Review of the Literature</w:t>
        </w:r>
      </w:hyperlink>
      <w:r w:rsidR="002E364B" w:rsidRPr="002E364B">
        <w:rPr>
          <w:rFonts w:cstheme="minorHAnsi"/>
          <w:b/>
          <w:bCs/>
          <w:iCs/>
        </w:rPr>
        <w:t>v</w:t>
      </w:r>
      <w:r w:rsidRPr="002E364B">
        <w:rPr>
          <w:rFonts w:cstheme="minorHAnsi"/>
          <w:b/>
          <w:bCs/>
          <w:iCs/>
        </w:rPr>
        <w:t xml:space="preserve">, </w:t>
      </w:r>
      <w:r w:rsidR="008D7A80" w:rsidRPr="002E364B">
        <w:rPr>
          <w:rFonts w:cstheme="minorHAnsi"/>
          <w:b/>
          <w:bCs/>
          <w:iCs/>
        </w:rPr>
        <w:t>O</w:t>
      </w:r>
      <w:r w:rsidRPr="002E364B">
        <w:rPr>
          <w:rFonts w:cstheme="minorHAnsi"/>
          <w:b/>
          <w:bCs/>
          <w:iCs/>
        </w:rPr>
        <w:t xml:space="preserve">ncologist </w:t>
      </w:r>
      <w:r w:rsidRPr="00BB09C5">
        <w:rPr>
          <w:rFonts w:cstheme="minorHAnsi"/>
          <w:b/>
          <w:bCs/>
          <w:iCs/>
        </w:rPr>
        <w:t>(Dec. 20, 2015).</w:t>
      </w:r>
      <w:r w:rsidR="001F03C7" w:rsidRPr="00BB09C5">
        <w:rPr>
          <w:rFonts w:cstheme="minorHAnsi"/>
          <w:b/>
          <w:bCs/>
          <w:iCs/>
        </w:rPr>
        <w:t xml:space="preserve"> </w:t>
      </w:r>
      <w:r w:rsidR="001F03C7" w:rsidRPr="00BB09C5">
        <w:rPr>
          <w:rFonts w:cstheme="minorHAnsi"/>
          <w:iCs/>
          <w:color w:val="4472C4" w:themeColor="accent1"/>
        </w:rPr>
        <w:t>(</w:t>
      </w:r>
      <w:hyperlink r:id="rId18" w:history="1">
        <w:r w:rsidR="001F03C7" w:rsidRPr="00BB09C5">
          <w:rPr>
            <w:rStyle w:val="Hyperlink"/>
            <w:rFonts w:cstheme="minorHAnsi"/>
            <w:iCs/>
            <w:u w:val="none"/>
          </w:rPr>
          <w:t>https://pubmed.ncbi.nlm.nih.gov/26512045/</w:t>
        </w:r>
      </w:hyperlink>
      <w:r w:rsidR="001F03C7" w:rsidRPr="00BB09C5">
        <w:rPr>
          <w:rFonts w:cstheme="minorHAnsi"/>
          <w:iCs/>
        </w:rPr>
        <w:t>)</w:t>
      </w:r>
    </w:p>
    <w:p w14:paraId="01FFCC0E" w14:textId="67E3DB4D" w:rsidR="00B97154" w:rsidRPr="00BB09C5" w:rsidRDefault="00B97154" w:rsidP="00735774">
      <w:pPr>
        <w:pStyle w:val="ListParagraph"/>
        <w:spacing w:before="240" w:line="229" w:lineRule="exact"/>
        <w:rPr>
          <w:rFonts w:cstheme="minorHAnsi"/>
          <w:iCs/>
          <w:color w:val="4472C4" w:themeColor="accent1"/>
        </w:rPr>
      </w:pPr>
    </w:p>
    <w:p w14:paraId="751FD0E1" w14:textId="3547B61C" w:rsidR="00581DB2" w:rsidRPr="00BB09C5" w:rsidRDefault="00B97154" w:rsidP="001F03C7">
      <w:pPr>
        <w:pStyle w:val="ListParagraph"/>
        <w:numPr>
          <w:ilvl w:val="0"/>
          <w:numId w:val="49"/>
        </w:numPr>
        <w:spacing w:before="240" w:line="229" w:lineRule="exact"/>
        <w:rPr>
          <w:rFonts w:cstheme="minorHAnsi"/>
          <w:iCs/>
          <w:color w:val="4472C4" w:themeColor="accent1"/>
        </w:rPr>
      </w:pPr>
      <w:r w:rsidRPr="00BB09C5">
        <w:rPr>
          <w:rFonts w:cstheme="minorHAnsi"/>
          <w:b/>
          <w:bCs/>
          <w:iCs/>
        </w:rPr>
        <w:lastRenderedPageBreak/>
        <w:t xml:space="preserve">Jewett PI, </w:t>
      </w:r>
      <w:proofErr w:type="spellStart"/>
      <w:r w:rsidRPr="00BB09C5">
        <w:rPr>
          <w:rFonts w:cstheme="minorHAnsi"/>
          <w:b/>
          <w:bCs/>
          <w:iCs/>
        </w:rPr>
        <w:t>Gangnon</w:t>
      </w:r>
      <w:proofErr w:type="spellEnd"/>
      <w:r w:rsidRPr="00BB09C5">
        <w:rPr>
          <w:rFonts w:cstheme="minorHAnsi"/>
          <w:b/>
          <w:bCs/>
          <w:iCs/>
        </w:rPr>
        <w:t xml:space="preserve"> RE, Elkin E, et al. </w:t>
      </w:r>
      <w:hyperlink r:id="rId19" w:history="1">
        <w:r w:rsidRPr="00F10E3B">
          <w:rPr>
            <w:rStyle w:val="Hyperlink"/>
            <w:rFonts w:cstheme="minorHAnsi"/>
            <w:b/>
            <w:bCs/>
            <w:iCs/>
            <w:color w:val="auto"/>
            <w:u w:val="none"/>
          </w:rPr>
          <w:t>Geographic access to mammography facilities and frequency of mammography screening</w:t>
        </w:r>
      </w:hyperlink>
      <w:r w:rsidRPr="00F10E3B">
        <w:rPr>
          <w:rFonts w:cstheme="minorHAnsi"/>
          <w:b/>
          <w:bCs/>
          <w:iCs/>
        </w:rPr>
        <w:t>. Ann Epidemiol</w:t>
      </w:r>
      <w:r w:rsidRPr="00BB09C5">
        <w:rPr>
          <w:rFonts w:cstheme="minorHAnsi"/>
          <w:b/>
          <w:bCs/>
          <w:iCs/>
        </w:rPr>
        <w:t>. 2018;28(2):65.e2-71.e2. doi:10.1016/j.annepidem.2017.11.012</w:t>
      </w:r>
      <w:r w:rsidR="001F03C7" w:rsidRPr="00BB09C5">
        <w:rPr>
          <w:rFonts w:cstheme="minorHAnsi"/>
          <w:b/>
          <w:bCs/>
          <w:iCs/>
        </w:rPr>
        <w:t xml:space="preserve">. </w:t>
      </w:r>
      <w:r w:rsidR="001F03C7" w:rsidRPr="00BB09C5">
        <w:rPr>
          <w:rFonts w:cstheme="minorHAnsi"/>
          <w:iCs/>
          <w:color w:val="4472C4" w:themeColor="accent1"/>
        </w:rPr>
        <w:t>(</w:t>
      </w:r>
      <w:hyperlink r:id="rId20" w:history="1">
        <w:r w:rsidR="001F03C7" w:rsidRPr="00BB09C5">
          <w:rPr>
            <w:rStyle w:val="Hyperlink"/>
            <w:rFonts w:cstheme="minorHAnsi"/>
            <w:iCs/>
            <w:u w:val="none"/>
          </w:rPr>
          <w:t>https://pubmed.ncbi.nlm.nih.gov/29439783/</w:t>
        </w:r>
      </w:hyperlink>
      <w:r w:rsidR="001F03C7" w:rsidRPr="00BB09C5">
        <w:rPr>
          <w:rFonts w:cstheme="minorHAnsi"/>
          <w:iCs/>
        </w:rPr>
        <w:t xml:space="preserve">) </w:t>
      </w:r>
    </w:p>
    <w:p w14:paraId="355A5021" w14:textId="761D530F" w:rsidR="00C73799" w:rsidRPr="00BB09C5" w:rsidRDefault="00C73799" w:rsidP="00B97154">
      <w:pPr>
        <w:spacing w:before="240" w:after="0" w:line="229" w:lineRule="exact"/>
        <w:rPr>
          <w:rFonts w:cstheme="minorHAnsi"/>
        </w:rPr>
      </w:pPr>
    </w:p>
    <w:p w14:paraId="417300EB" w14:textId="739399F4" w:rsidR="00A23564" w:rsidRPr="00BB09C5" w:rsidRDefault="006A7E86" w:rsidP="006B4E04">
      <w:pPr>
        <w:pStyle w:val="ListParagraph"/>
        <w:numPr>
          <w:ilvl w:val="0"/>
          <w:numId w:val="38"/>
        </w:numPr>
        <w:spacing w:after="0" w:line="229" w:lineRule="exact"/>
        <w:rPr>
          <w:rFonts w:cstheme="minorHAnsi"/>
        </w:rPr>
      </w:pPr>
      <w:r w:rsidRPr="00BB09C5">
        <w:rPr>
          <w:rStyle w:val="cf01"/>
          <w:rFonts w:asciiTheme="minorHAnsi" w:hAnsiTheme="minorHAnsi" w:cstheme="minorHAnsi"/>
          <w:sz w:val="22"/>
          <w:szCs w:val="22"/>
        </w:rPr>
        <w:t xml:space="preserve">Page 19 of the Narrative discusses the </w:t>
      </w:r>
      <w:r w:rsidR="00F5250D" w:rsidRPr="00BB09C5">
        <w:rPr>
          <w:rStyle w:val="cf01"/>
          <w:rFonts w:asciiTheme="minorHAnsi" w:hAnsiTheme="minorHAnsi" w:cstheme="minorHAnsi"/>
          <w:sz w:val="22"/>
          <w:szCs w:val="22"/>
        </w:rPr>
        <w:t xml:space="preserve">value of reducing travel burden for patients. </w:t>
      </w:r>
      <w:r w:rsidR="00C73799" w:rsidRPr="00BB09C5">
        <w:rPr>
          <w:rFonts w:cstheme="minorHAnsi"/>
        </w:rPr>
        <w:t>Please provide data on the distance and time patients are currently traveling for the specialized services in the proposed Satellites.</w:t>
      </w:r>
    </w:p>
    <w:p w14:paraId="0086233A" w14:textId="2FAB53E4" w:rsidR="00624686" w:rsidRPr="00BB09C5" w:rsidRDefault="00624686" w:rsidP="00624686">
      <w:pPr>
        <w:pStyle w:val="ListParagraph"/>
        <w:spacing w:after="0" w:line="229" w:lineRule="exact"/>
        <w:rPr>
          <w:rFonts w:cstheme="minorHAnsi"/>
        </w:rPr>
      </w:pPr>
    </w:p>
    <w:p w14:paraId="5ABE205A" w14:textId="24F6D993" w:rsidR="00624686" w:rsidRPr="00BB09C5" w:rsidRDefault="00007CBD" w:rsidP="00624686">
      <w:pPr>
        <w:pStyle w:val="ListParagraph"/>
        <w:spacing w:after="0" w:line="229" w:lineRule="exact"/>
        <w:rPr>
          <w:rFonts w:cstheme="minorHAnsi"/>
          <w:b/>
          <w:bCs/>
          <w:iCs/>
        </w:rPr>
      </w:pPr>
      <w:r w:rsidRPr="00BB09C5">
        <w:rPr>
          <w:rFonts w:cstheme="minorHAnsi"/>
          <w:b/>
          <w:bCs/>
          <w:iCs/>
        </w:rPr>
        <w:t xml:space="preserve">Currently, </w:t>
      </w:r>
      <w:r w:rsidR="001F03C7" w:rsidRPr="00BB09C5">
        <w:rPr>
          <w:rFonts w:cstheme="minorHAnsi"/>
          <w:b/>
          <w:bCs/>
          <w:iCs/>
        </w:rPr>
        <w:t xml:space="preserve">patients living in the Quincy region </w:t>
      </w:r>
      <w:r w:rsidRPr="00BB09C5">
        <w:rPr>
          <w:rFonts w:cstheme="minorHAnsi"/>
          <w:b/>
          <w:bCs/>
          <w:iCs/>
        </w:rPr>
        <w:t xml:space="preserve">are traveling between </w:t>
      </w:r>
      <w:r w:rsidR="004445A0" w:rsidRPr="00BB09C5">
        <w:rPr>
          <w:rFonts w:cstheme="minorHAnsi"/>
          <w:b/>
          <w:bCs/>
          <w:iCs/>
        </w:rPr>
        <w:t>9</w:t>
      </w:r>
      <w:r w:rsidRPr="00BB09C5">
        <w:rPr>
          <w:rFonts w:cstheme="minorHAnsi"/>
          <w:b/>
          <w:bCs/>
          <w:iCs/>
        </w:rPr>
        <w:t xml:space="preserve"> miles and 28 minutes fr</w:t>
      </w:r>
      <w:r w:rsidR="004445A0" w:rsidRPr="00BB09C5">
        <w:rPr>
          <w:rFonts w:cstheme="minorHAnsi"/>
          <w:b/>
          <w:bCs/>
          <w:iCs/>
        </w:rPr>
        <w:t>om</w:t>
      </w:r>
      <w:r w:rsidRPr="00BB09C5">
        <w:rPr>
          <w:rFonts w:cstheme="minorHAnsi"/>
          <w:b/>
          <w:bCs/>
          <w:iCs/>
        </w:rPr>
        <w:t xml:space="preserve"> </w:t>
      </w:r>
      <w:r w:rsidR="004445A0" w:rsidRPr="00BB09C5">
        <w:rPr>
          <w:rFonts w:cstheme="minorHAnsi"/>
          <w:b/>
          <w:bCs/>
          <w:iCs/>
        </w:rPr>
        <w:t>Quincy</w:t>
      </w:r>
      <w:r w:rsidRPr="00BB09C5">
        <w:rPr>
          <w:rFonts w:cstheme="minorHAnsi"/>
          <w:b/>
          <w:bCs/>
          <w:iCs/>
        </w:rPr>
        <w:t xml:space="preserve"> and 30 miles and 55 minutes fr</w:t>
      </w:r>
      <w:r w:rsidR="004445A0" w:rsidRPr="00BB09C5">
        <w:rPr>
          <w:rFonts w:cstheme="minorHAnsi"/>
          <w:b/>
          <w:bCs/>
          <w:iCs/>
        </w:rPr>
        <w:t>om</w:t>
      </w:r>
      <w:r w:rsidRPr="00BB09C5">
        <w:rPr>
          <w:rFonts w:cstheme="minorHAnsi"/>
          <w:b/>
          <w:bCs/>
          <w:iCs/>
        </w:rPr>
        <w:t xml:space="preserve"> M</w:t>
      </w:r>
      <w:r w:rsidR="004445A0" w:rsidRPr="00BB09C5">
        <w:rPr>
          <w:rFonts w:cstheme="minorHAnsi"/>
          <w:b/>
          <w:bCs/>
          <w:iCs/>
        </w:rPr>
        <w:t xml:space="preserve">arshfield </w:t>
      </w:r>
      <w:r w:rsidRPr="00BB09C5">
        <w:rPr>
          <w:rFonts w:cstheme="minorHAnsi"/>
          <w:b/>
          <w:bCs/>
          <w:iCs/>
        </w:rPr>
        <w:t xml:space="preserve">to </w:t>
      </w:r>
      <w:r w:rsidR="00C0482D" w:rsidRPr="00BB09C5">
        <w:rPr>
          <w:rFonts w:cstheme="minorHAnsi"/>
          <w:b/>
          <w:bCs/>
          <w:iCs/>
        </w:rPr>
        <w:t xml:space="preserve">BIDMC </w:t>
      </w:r>
      <w:r w:rsidRPr="00BB09C5">
        <w:rPr>
          <w:rFonts w:cstheme="minorHAnsi"/>
          <w:b/>
          <w:bCs/>
          <w:iCs/>
        </w:rPr>
        <w:t xml:space="preserve">in Boston for </w:t>
      </w:r>
      <w:r w:rsidR="004445A0" w:rsidRPr="00BB09C5">
        <w:rPr>
          <w:rFonts w:cstheme="minorHAnsi"/>
          <w:b/>
          <w:bCs/>
          <w:iCs/>
        </w:rPr>
        <w:t xml:space="preserve">a number </w:t>
      </w:r>
      <w:r w:rsidRPr="00BB09C5">
        <w:rPr>
          <w:rFonts w:cstheme="minorHAnsi"/>
          <w:b/>
          <w:bCs/>
          <w:iCs/>
        </w:rPr>
        <w:t xml:space="preserve">of the services that will be provided in the new center. Services such as hematology/oncology, cardiology, neurology and </w:t>
      </w:r>
      <w:r w:rsidR="001F03C7" w:rsidRPr="00BB09C5">
        <w:rPr>
          <w:rFonts w:cstheme="minorHAnsi"/>
          <w:b/>
          <w:bCs/>
          <w:iCs/>
        </w:rPr>
        <w:t>obstetrics gynecology</w:t>
      </w:r>
      <w:r w:rsidR="004445A0" w:rsidRPr="00BB09C5">
        <w:rPr>
          <w:rFonts w:cstheme="minorHAnsi"/>
          <w:b/>
          <w:bCs/>
          <w:iCs/>
        </w:rPr>
        <w:t>.</w:t>
      </w:r>
    </w:p>
    <w:p w14:paraId="2BF62BBE" w14:textId="217FEF16" w:rsidR="004445A0" w:rsidRPr="00BB09C5" w:rsidRDefault="004445A0" w:rsidP="00624686">
      <w:pPr>
        <w:pStyle w:val="ListParagraph"/>
        <w:spacing w:after="0" w:line="229" w:lineRule="exact"/>
        <w:rPr>
          <w:rFonts w:cstheme="minorHAnsi"/>
          <w:b/>
          <w:bCs/>
          <w:iCs/>
        </w:rPr>
      </w:pPr>
    </w:p>
    <w:p w14:paraId="4403F070" w14:textId="5062B232" w:rsidR="004445A0" w:rsidRPr="00BB09C5" w:rsidRDefault="008809A6" w:rsidP="00624686">
      <w:pPr>
        <w:pStyle w:val="ListParagraph"/>
        <w:spacing w:after="0" w:line="229" w:lineRule="exact"/>
        <w:rPr>
          <w:rFonts w:cstheme="minorHAnsi"/>
          <w:b/>
          <w:bCs/>
          <w:iCs/>
        </w:rPr>
      </w:pPr>
      <w:r w:rsidRPr="00BB09C5">
        <w:rPr>
          <w:rFonts w:cstheme="minorHAnsi"/>
          <w:b/>
          <w:bCs/>
          <w:iCs/>
        </w:rPr>
        <w:t xml:space="preserve">Additionally, patients with cancer who reside in Plymouth are traveling </w:t>
      </w:r>
      <w:r w:rsidR="00B67CB1" w:rsidRPr="00BB09C5">
        <w:rPr>
          <w:rFonts w:cstheme="minorHAnsi"/>
          <w:b/>
          <w:bCs/>
          <w:iCs/>
        </w:rPr>
        <w:t>25 miles and 30 minutes to South Shore Hospital in South Weymouth, 40 miles and 1 hr 10 mins to BIDMC in Boston, 40 miles and 1 hr 11 mins to Brigham &amp; Women’s Hospital in Boston, and 41 miles and 1 hr 6 mins to Massachusetts General Hospital in Boston.</w:t>
      </w:r>
    </w:p>
    <w:p w14:paraId="755B13AF" w14:textId="6B9B5B2A" w:rsidR="00B67CB1" w:rsidRPr="00BB09C5" w:rsidRDefault="00B67CB1" w:rsidP="00624686">
      <w:pPr>
        <w:pStyle w:val="ListParagraph"/>
        <w:spacing w:after="0" w:line="229" w:lineRule="exact"/>
        <w:rPr>
          <w:rFonts w:cstheme="minorHAnsi"/>
          <w:b/>
          <w:bCs/>
          <w:iCs/>
        </w:rPr>
      </w:pPr>
    </w:p>
    <w:p w14:paraId="42055823" w14:textId="0DA0174F" w:rsidR="00B67CB1" w:rsidRPr="00BB09C5" w:rsidRDefault="001F03C7" w:rsidP="00624686">
      <w:pPr>
        <w:pStyle w:val="ListParagraph"/>
        <w:spacing w:after="0" w:line="229" w:lineRule="exact"/>
        <w:rPr>
          <w:rFonts w:cstheme="minorHAnsi"/>
          <w:i/>
          <w:color w:val="4472C4" w:themeColor="accent1"/>
        </w:rPr>
      </w:pPr>
      <w:r w:rsidRPr="00BB09C5">
        <w:rPr>
          <w:rFonts w:cstheme="minorHAnsi"/>
          <w:b/>
          <w:bCs/>
          <w:iCs/>
        </w:rPr>
        <w:t>These t</w:t>
      </w:r>
      <w:r w:rsidR="00B67CB1" w:rsidRPr="00BB09C5">
        <w:rPr>
          <w:rFonts w:cstheme="minorHAnsi"/>
          <w:b/>
          <w:bCs/>
          <w:iCs/>
        </w:rPr>
        <w:t xml:space="preserve">ravel distances and times </w:t>
      </w:r>
      <w:r w:rsidRPr="00BB09C5">
        <w:rPr>
          <w:rFonts w:cstheme="minorHAnsi"/>
          <w:b/>
          <w:bCs/>
          <w:iCs/>
        </w:rPr>
        <w:t xml:space="preserve">are </w:t>
      </w:r>
      <w:r w:rsidR="00B67CB1" w:rsidRPr="00BB09C5">
        <w:rPr>
          <w:rFonts w:cstheme="minorHAnsi"/>
          <w:b/>
          <w:bCs/>
          <w:iCs/>
        </w:rPr>
        <w:t>based on GlobeFeed.com Distance Calculator.</w:t>
      </w:r>
    </w:p>
    <w:p w14:paraId="40EE13DB" w14:textId="77777777" w:rsidR="00C73799" w:rsidRPr="00BB09C5" w:rsidRDefault="00C73799" w:rsidP="00C73799">
      <w:pPr>
        <w:spacing w:after="0" w:line="229" w:lineRule="exact"/>
        <w:ind w:left="360"/>
        <w:rPr>
          <w:rStyle w:val="cf01"/>
          <w:rFonts w:asciiTheme="minorHAnsi" w:hAnsiTheme="minorHAnsi" w:cstheme="minorHAnsi"/>
          <w:sz w:val="22"/>
          <w:szCs w:val="22"/>
          <w:highlight w:val="yellow"/>
        </w:rPr>
      </w:pPr>
    </w:p>
    <w:p w14:paraId="56562269" w14:textId="62ED5B80" w:rsidR="00A23564" w:rsidRPr="00BB09C5" w:rsidRDefault="00A23564" w:rsidP="00A23564">
      <w:pPr>
        <w:rPr>
          <w:rFonts w:cstheme="minorHAnsi"/>
          <w:b/>
          <w:bCs/>
        </w:rPr>
      </w:pPr>
      <w:r w:rsidRPr="00BB09C5">
        <w:rPr>
          <w:rFonts w:cstheme="minorHAnsi"/>
          <w:b/>
          <w:bCs/>
        </w:rPr>
        <w:t>Factor 2a: Cost Containment</w:t>
      </w:r>
    </w:p>
    <w:p w14:paraId="718FEF08" w14:textId="49C3F7CE" w:rsidR="0043588D" w:rsidRPr="00BB09C5" w:rsidRDefault="0088093B" w:rsidP="00D76F45">
      <w:pPr>
        <w:pStyle w:val="ListParagraph"/>
        <w:numPr>
          <w:ilvl w:val="0"/>
          <w:numId w:val="38"/>
        </w:numPr>
        <w:tabs>
          <w:tab w:val="left" w:pos="1440"/>
        </w:tabs>
        <w:autoSpaceDE w:val="0"/>
        <w:autoSpaceDN w:val="0"/>
        <w:adjustRightInd w:val="0"/>
        <w:spacing w:after="0" w:line="240" w:lineRule="auto"/>
        <w:rPr>
          <w:rFonts w:cstheme="minorHAnsi"/>
        </w:rPr>
      </w:pPr>
      <w:r w:rsidRPr="00BB09C5">
        <w:rPr>
          <w:rFonts w:cstheme="minorHAnsi"/>
        </w:rPr>
        <w:t xml:space="preserve">Page 28 of the Narrative states, “As a licensed off-campus outpatient department of BIDMC, specialty services and most ancillaries offered through the Quincy Satellite will be at a 40% lower cost to both patients and insurers.” </w:t>
      </w:r>
    </w:p>
    <w:p w14:paraId="3E75078B" w14:textId="52130C2A" w:rsidR="0043588D" w:rsidRPr="00BB09C5" w:rsidRDefault="00847411" w:rsidP="00D76F45">
      <w:pPr>
        <w:pStyle w:val="ListParagraph"/>
        <w:numPr>
          <w:ilvl w:val="1"/>
          <w:numId w:val="38"/>
        </w:numPr>
        <w:tabs>
          <w:tab w:val="left" w:pos="1440"/>
        </w:tabs>
        <w:autoSpaceDE w:val="0"/>
        <w:autoSpaceDN w:val="0"/>
        <w:adjustRightInd w:val="0"/>
        <w:spacing w:after="0" w:line="240" w:lineRule="auto"/>
        <w:rPr>
          <w:rFonts w:cstheme="minorHAnsi"/>
          <w:color w:val="FF0000"/>
        </w:rPr>
      </w:pPr>
      <w:r w:rsidRPr="00BB09C5">
        <w:rPr>
          <w:rFonts w:cstheme="minorHAnsi"/>
        </w:rPr>
        <w:t>Please clarify</w:t>
      </w:r>
      <w:r w:rsidR="005E6826" w:rsidRPr="00BB09C5">
        <w:rPr>
          <w:rFonts w:cstheme="minorHAnsi"/>
        </w:rPr>
        <w:t>:</w:t>
      </w:r>
      <w:r w:rsidRPr="00BB09C5">
        <w:rPr>
          <w:rFonts w:cstheme="minorHAnsi"/>
        </w:rPr>
        <w:t xml:space="preserve"> the 40% lower cost </w:t>
      </w:r>
      <w:r w:rsidR="009D71EE" w:rsidRPr="00BB09C5">
        <w:rPr>
          <w:rFonts w:cstheme="minorHAnsi"/>
        </w:rPr>
        <w:t xml:space="preserve">to patients and insurers </w:t>
      </w:r>
      <w:r w:rsidR="00D76F45" w:rsidRPr="00BB09C5">
        <w:rPr>
          <w:rFonts w:cstheme="minorHAnsi"/>
        </w:rPr>
        <w:t xml:space="preserve">is </w:t>
      </w:r>
      <w:r w:rsidR="00D54AD2" w:rsidRPr="00BB09C5">
        <w:rPr>
          <w:rFonts w:cstheme="minorHAnsi"/>
        </w:rPr>
        <w:t xml:space="preserve">being compared to the cost of receiving </w:t>
      </w:r>
      <w:r w:rsidR="00807D3F" w:rsidRPr="00BB09C5">
        <w:rPr>
          <w:rFonts w:cstheme="minorHAnsi"/>
        </w:rPr>
        <w:t xml:space="preserve">care in </w:t>
      </w:r>
      <w:r w:rsidR="005E6826" w:rsidRPr="00BB09C5">
        <w:rPr>
          <w:rFonts w:cstheme="minorHAnsi"/>
        </w:rPr>
        <w:t>what</w:t>
      </w:r>
      <w:r w:rsidR="00807D3F" w:rsidRPr="00BB09C5">
        <w:rPr>
          <w:rFonts w:cstheme="minorHAnsi"/>
        </w:rPr>
        <w:t xml:space="preserve"> setting?</w:t>
      </w:r>
    </w:p>
    <w:p w14:paraId="3FC6812C" w14:textId="53FE59D7" w:rsidR="00BB26D4" w:rsidRPr="00BB09C5" w:rsidRDefault="00BB26D4" w:rsidP="00BB26D4">
      <w:pPr>
        <w:pStyle w:val="ListParagraph"/>
        <w:tabs>
          <w:tab w:val="left" w:pos="1440"/>
        </w:tabs>
        <w:autoSpaceDE w:val="0"/>
        <w:autoSpaceDN w:val="0"/>
        <w:adjustRightInd w:val="0"/>
        <w:spacing w:after="0" w:line="240" w:lineRule="auto"/>
        <w:ind w:left="1080"/>
        <w:rPr>
          <w:rFonts w:cstheme="minorHAnsi"/>
        </w:rPr>
      </w:pPr>
    </w:p>
    <w:p w14:paraId="330A1A21" w14:textId="28FC48A4" w:rsidR="00FA6363" w:rsidRPr="00BB09C5" w:rsidRDefault="001F03C7" w:rsidP="008B0352">
      <w:pPr>
        <w:pStyle w:val="ListParagraph"/>
        <w:tabs>
          <w:tab w:val="left" w:pos="1440"/>
        </w:tabs>
        <w:autoSpaceDE w:val="0"/>
        <w:autoSpaceDN w:val="0"/>
        <w:adjustRightInd w:val="0"/>
        <w:spacing w:after="0" w:line="240" w:lineRule="auto"/>
        <w:rPr>
          <w:rFonts w:cstheme="minorHAnsi"/>
          <w:b/>
          <w:bCs/>
          <w:iCs/>
          <w:color w:val="4472C4" w:themeColor="accent1"/>
        </w:rPr>
      </w:pPr>
      <w:r w:rsidRPr="00BB09C5">
        <w:rPr>
          <w:rFonts w:cstheme="minorHAnsi"/>
          <w:b/>
          <w:bCs/>
          <w:iCs/>
        </w:rPr>
        <w:t>T</w:t>
      </w:r>
      <w:r w:rsidR="00FA6363" w:rsidRPr="00BB09C5">
        <w:rPr>
          <w:rFonts w:cstheme="minorHAnsi"/>
          <w:b/>
          <w:bCs/>
          <w:iCs/>
        </w:rPr>
        <w:t>he Quincy pro forma assumes a 40% reduction in average net patient service revenue at the Quincy satellite as compared to the cost for the same services delivered at BIDMC-licensed outpatient centers in Chestnut Hill (200 Boylston Street), Lexington (482 Bedford Street) and Needham (310 Chestnut Street).</w:t>
      </w:r>
    </w:p>
    <w:p w14:paraId="5FC9643F" w14:textId="5DE7CAFB" w:rsidR="00BB26D4" w:rsidRPr="00BB09C5" w:rsidRDefault="00BB26D4" w:rsidP="00BB26D4">
      <w:pPr>
        <w:pStyle w:val="ListParagraph"/>
        <w:tabs>
          <w:tab w:val="left" w:pos="1440"/>
        </w:tabs>
        <w:autoSpaceDE w:val="0"/>
        <w:autoSpaceDN w:val="0"/>
        <w:adjustRightInd w:val="0"/>
        <w:spacing w:after="0" w:line="240" w:lineRule="auto"/>
        <w:ind w:left="1080"/>
        <w:rPr>
          <w:rFonts w:cstheme="minorHAnsi"/>
          <w:color w:val="FF0000"/>
        </w:rPr>
      </w:pPr>
    </w:p>
    <w:p w14:paraId="41E816A5" w14:textId="16ADC5F9" w:rsidR="00F22098" w:rsidRPr="00BB09C5" w:rsidRDefault="0088093B" w:rsidP="00D76F45">
      <w:pPr>
        <w:pStyle w:val="ListParagraph"/>
        <w:numPr>
          <w:ilvl w:val="1"/>
          <w:numId w:val="38"/>
        </w:numPr>
        <w:tabs>
          <w:tab w:val="left" w:pos="1440"/>
        </w:tabs>
        <w:autoSpaceDE w:val="0"/>
        <w:autoSpaceDN w:val="0"/>
        <w:adjustRightInd w:val="0"/>
        <w:spacing w:after="0" w:line="240" w:lineRule="auto"/>
        <w:rPr>
          <w:rFonts w:cstheme="minorHAnsi"/>
          <w:color w:val="FF0000"/>
        </w:rPr>
      </w:pPr>
      <w:r w:rsidRPr="00BB09C5">
        <w:rPr>
          <w:rFonts w:cstheme="minorHAnsi"/>
        </w:rPr>
        <w:t xml:space="preserve">Please provide a cost </w:t>
      </w:r>
      <w:r w:rsidR="00D56AEF" w:rsidRPr="00BB09C5">
        <w:rPr>
          <w:rFonts w:cstheme="minorHAnsi"/>
        </w:rPr>
        <w:t xml:space="preserve">comparison chart for the average cost of specialty services in </w:t>
      </w:r>
      <w:r w:rsidR="0043588D" w:rsidRPr="00BB09C5">
        <w:rPr>
          <w:rFonts w:cstheme="minorHAnsi"/>
        </w:rPr>
        <w:t>the</w:t>
      </w:r>
      <w:r w:rsidR="00D76F45" w:rsidRPr="00BB09C5">
        <w:rPr>
          <w:rFonts w:cstheme="minorHAnsi"/>
        </w:rPr>
        <w:t xml:space="preserve"> proposed </w:t>
      </w:r>
      <w:r w:rsidR="0043588D" w:rsidRPr="00BB09C5">
        <w:rPr>
          <w:rFonts w:cstheme="minorHAnsi"/>
        </w:rPr>
        <w:t xml:space="preserve">off campus outpatient department </w:t>
      </w:r>
      <w:r w:rsidR="009D71EE" w:rsidRPr="00BB09C5">
        <w:rPr>
          <w:rFonts w:cstheme="minorHAnsi"/>
        </w:rPr>
        <w:t xml:space="preserve">versus the </w:t>
      </w:r>
      <w:r w:rsidR="00807D3F" w:rsidRPr="00BB09C5">
        <w:rPr>
          <w:rFonts w:cstheme="minorHAnsi"/>
        </w:rPr>
        <w:t>setting noted in the above answer.</w:t>
      </w:r>
    </w:p>
    <w:p w14:paraId="23909F33" w14:textId="655E898F" w:rsidR="008B0352" w:rsidRPr="00BB09C5" w:rsidRDefault="008B0352" w:rsidP="008B0352">
      <w:pPr>
        <w:pStyle w:val="ListParagraph"/>
        <w:tabs>
          <w:tab w:val="left" w:pos="1440"/>
        </w:tabs>
        <w:autoSpaceDE w:val="0"/>
        <w:autoSpaceDN w:val="0"/>
        <w:adjustRightInd w:val="0"/>
        <w:spacing w:after="0" w:line="240" w:lineRule="auto"/>
        <w:ind w:left="1440"/>
        <w:rPr>
          <w:rFonts w:cstheme="minorHAnsi"/>
          <w:color w:val="FF0000"/>
        </w:rPr>
      </w:pPr>
    </w:p>
    <w:p w14:paraId="517A0E2B" w14:textId="4B082BE1" w:rsidR="00DE5006" w:rsidRPr="00BB09C5" w:rsidRDefault="008B0352" w:rsidP="005A2EA2">
      <w:pPr>
        <w:pStyle w:val="ListParagraph"/>
        <w:tabs>
          <w:tab w:val="left" w:pos="1440"/>
        </w:tabs>
        <w:autoSpaceDE w:val="0"/>
        <w:autoSpaceDN w:val="0"/>
        <w:adjustRightInd w:val="0"/>
        <w:spacing w:after="0" w:line="240" w:lineRule="auto"/>
        <w:rPr>
          <w:rFonts w:cstheme="minorHAnsi"/>
          <w:b/>
          <w:bCs/>
          <w:iCs/>
        </w:rPr>
        <w:sectPr w:rsidR="00DE5006" w:rsidRPr="00BB09C5" w:rsidSect="00C938D8">
          <w:headerReference w:type="even" r:id="rId21"/>
          <w:headerReference w:type="default" r:id="rId22"/>
          <w:footerReference w:type="even" r:id="rId23"/>
          <w:footerReference w:type="default" r:id="rId24"/>
          <w:headerReference w:type="first" r:id="rId25"/>
          <w:footerReference w:type="first" r:id="rId26"/>
          <w:pgSz w:w="12240" w:h="15840"/>
          <w:pgMar w:top="1440" w:right="1080" w:bottom="1440" w:left="1080" w:header="720" w:footer="720" w:gutter="0"/>
          <w:cols w:space="720"/>
          <w:docGrid w:linePitch="360"/>
        </w:sectPr>
      </w:pPr>
      <w:r w:rsidRPr="00BB09C5">
        <w:rPr>
          <w:rFonts w:cstheme="minorHAnsi"/>
          <w:b/>
          <w:bCs/>
          <w:iCs/>
        </w:rPr>
        <w:t>Please refer to the table below</w:t>
      </w:r>
      <w:r w:rsidR="005A2EA2" w:rsidRPr="00BB09C5">
        <w:rPr>
          <w:rFonts w:cstheme="minorHAnsi"/>
          <w:b/>
          <w:bCs/>
          <w:iCs/>
        </w:rPr>
        <w:t>.</w:t>
      </w:r>
    </w:p>
    <w:tbl>
      <w:tblPr>
        <w:tblpPr w:leftFromText="180" w:rightFromText="180" w:vertAnchor="page" w:horzAnchor="margin" w:tblpXSpec="center" w:tblpY="1786"/>
        <w:tblW w:w="4133" w:type="pct"/>
        <w:tblLook w:val="04A0" w:firstRow="1" w:lastRow="0" w:firstColumn="1" w:lastColumn="0" w:noHBand="0" w:noVBand="1"/>
      </w:tblPr>
      <w:tblGrid>
        <w:gridCol w:w="2164"/>
        <w:gridCol w:w="1553"/>
        <w:gridCol w:w="1232"/>
        <w:gridCol w:w="2876"/>
        <w:gridCol w:w="2880"/>
      </w:tblGrid>
      <w:tr w:rsidR="00A87271" w:rsidRPr="00BB09C5" w14:paraId="33D6CE15" w14:textId="77777777" w:rsidTr="00A87271">
        <w:trPr>
          <w:cantSplit/>
          <w:trHeight w:val="286"/>
          <w:tblHeader/>
        </w:trPr>
        <w:tc>
          <w:tcPr>
            <w:tcW w:w="2164" w:type="dxa"/>
            <w:tcBorders>
              <w:top w:val="single" w:sz="4" w:space="0" w:color="auto"/>
              <w:left w:val="single" w:sz="4" w:space="0" w:color="auto"/>
              <w:right w:val="single" w:sz="4" w:space="0" w:color="auto"/>
            </w:tcBorders>
            <w:shd w:val="clear" w:color="auto" w:fill="auto"/>
            <w:noWrap/>
            <w:vAlign w:val="center"/>
            <w:hideMark/>
          </w:tcPr>
          <w:p w14:paraId="646976CA" w14:textId="09DBD4C9" w:rsidR="00A87271" w:rsidRPr="00BB09C5" w:rsidRDefault="00A87271" w:rsidP="001571BE">
            <w:pPr>
              <w:spacing w:after="0" w:line="240" w:lineRule="auto"/>
              <w:jc w:val="center"/>
              <w:rPr>
                <w:rFonts w:eastAsia="Times New Roman" w:cstheme="minorHAnsi"/>
                <w:color w:val="000000"/>
              </w:rPr>
            </w:pPr>
            <w:r w:rsidRPr="00BB09C5">
              <w:rPr>
                <w:rFonts w:eastAsia="Times New Roman" w:cstheme="minorHAnsi"/>
                <w:b/>
                <w:bCs/>
                <w:color w:val="000000"/>
              </w:rPr>
              <w:lastRenderedPageBreak/>
              <w:t>Specialty</w:t>
            </w:r>
          </w:p>
        </w:tc>
        <w:tc>
          <w:tcPr>
            <w:tcW w:w="155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801A33B" w14:textId="77777777" w:rsidR="00A87271" w:rsidRDefault="00A87271" w:rsidP="00A87271">
            <w:pPr>
              <w:spacing w:after="0" w:line="240" w:lineRule="auto"/>
              <w:jc w:val="center"/>
              <w:rPr>
                <w:rFonts w:eastAsia="Times New Roman" w:cstheme="minorHAnsi"/>
                <w:b/>
                <w:bCs/>
                <w:color w:val="000000"/>
              </w:rPr>
            </w:pPr>
            <w:r w:rsidRPr="00BB09C5">
              <w:rPr>
                <w:rFonts w:eastAsia="Times New Roman" w:cstheme="minorHAnsi"/>
                <w:b/>
                <w:bCs/>
                <w:color w:val="000000"/>
              </w:rPr>
              <w:t>Net Patient Service Revenue per Visit</w:t>
            </w:r>
          </w:p>
          <w:p w14:paraId="5445E662" w14:textId="61DFE008" w:rsidR="00A87271" w:rsidRPr="00BB09C5" w:rsidRDefault="00A87271" w:rsidP="00A87271">
            <w:pPr>
              <w:spacing w:after="0" w:line="240" w:lineRule="auto"/>
              <w:jc w:val="center"/>
              <w:rPr>
                <w:rFonts w:eastAsia="Times New Roman" w:cstheme="minorHAnsi"/>
                <w:b/>
                <w:bCs/>
                <w:color w:val="000000"/>
              </w:rPr>
            </w:pPr>
            <w:r>
              <w:rPr>
                <w:rFonts w:cstheme="minorHAnsi"/>
                <w:b/>
                <w:bCs/>
                <w:iCs/>
              </w:rPr>
              <w:t>Other BIDMC-Licensed</w:t>
            </w:r>
            <w:r w:rsidRPr="00BB09C5">
              <w:rPr>
                <w:rFonts w:cstheme="minorHAnsi"/>
                <w:b/>
                <w:bCs/>
                <w:iCs/>
              </w:rPr>
              <w:t xml:space="preserve"> </w:t>
            </w:r>
            <w:r>
              <w:rPr>
                <w:rFonts w:cstheme="minorHAnsi"/>
                <w:b/>
                <w:bCs/>
                <w:iCs/>
              </w:rPr>
              <w:t>O</w:t>
            </w:r>
            <w:r w:rsidRPr="00BB09C5">
              <w:rPr>
                <w:rFonts w:cstheme="minorHAnsi"/>
                <w:b/>
                <w:bCs/>
                <w:iCs/>
              </w:rPr>
              <w:t xml:space="preserve">utpatient </w:t>
            </w:r>
            <w:r>
              <w:rPr>
                <w:rFonts w:cstheme="minorHAnsi"/>
                <w:b/>
                <w:bCs/>
                <w:iCs/>
              </w:rPr>
              <w:t>C</w:t>
            </w:r>
            <w:r w:rsidRPr="00BB09C5">
              <w:rPr>
                <w:rFonts w:cstheme="minorHAnsi"/>
                <w:b/>
                <w:bCs/>
                <w:iCs/>
              </w:rPr>
              <w:t>enters</w:t>
            </w:r>
          </w:p>
        </w:tc>
        <w:tc>
          <w:tcPr>
            <w:tcW w:w="1232" w:type="dxa"/>
            <w:tcBorders>
              <w:top w:val="single" w:sz="4" w:space="0" w:color="auto"/>
              <w:left w:val="single" w:sz="4" w:space="0" w:color="auto"/>
              <w:bottom w:val="single" w:sz="4" w:space="0" w:color="auto"/>
              <w:right w:val="single" w:sz="4" w:space="0" w:color="auto"/>
            </w:tcBorders>
            <w:shd w:val="clear" w:color="000000" w:fill="C5D9F1"/>
            <w:vAlign w:val="bottom"/>
          </w:tcPr>
          <w:p w14:paraId="3A5BFB19" w14:textId="77777777" w:rsidR="00A87271" w:rsidRDefault="00A87271" w:rsidP="00A87271">
            <w:pPr>
              <w:spacing w:after="0" w:line="240" w:lineRule="auto"/>
              <w:jc w:val="center"/>
              <w:rPr>
                <w:rFonts w:eastAsia="Times New Roman" w:cstheme="minorHAnsi"/>
                <w:b/>
                <w:bCs/>
                <w:color w:val="000000"/>
              </w:rPr>
            </w:pPr>
            <w:r w:rsidRPr="00BB09C5">
              <w:rPr>
                <w:rFonts w:eastAsia="Times New Roman" w:cstheme="minorHAnsi"/>
                <w:b/>
                <w:bCs/>
                <w:color w:val="000000"/>
              </w:rPr>
              <w:t>Net Patient Service Revenue per Visit</w:t>
            </w:r>
          </w:p>
          <w:p w14:paraId="18A42EBF" w14:textId="75BCBD81" w:rsidR="00A87271" w:rsidRPr="00BB09C5" w:rsidRDefault="00A87271" w:rsidP="00A87271">
            <w:pPr>
              <w:spacing w:after="0" w:line="240" w:lineRule="auto"/>
              <w:jc w:val="center"/>
              <w:rPr>
                <w:rFonts w:eastAsia="Times New Roman" w:cstheme="minorHAnsi"/>
                <w:b/>
                <w:bCs/>
                <w:color w:val="000000"/>
              </w:rPr>
            </w:pPr>
            <w:r>
              <w:rPr>
                <w:rFonts w:cstheme="minorHAnsi"/>
                <w:b/>
                <w:bCs/>
                <w:iCs/>
              </w:rPr>
              <w:t>Other BIDMC-Licensed</w:t>
            </w:r>
            <w:r w:rsidRPr="00BB09C5">
              <w:rPr>
                <w:rFonts w:cstheme="minorHAnsi"/>
                <w:b/>
                <w:bCs/>
                <w:iCs/>
              </w:rPr>
              <w:t xml:space="preserve"> </w:t>
            </w:r>
            <w:r>
              <w:rPr>
                <w:rFonts w:cstheme="minorHAnsi"/>
                <w:b/>
                <w:bCs/>
                <w:iCs/>
              </w:rPr>
              <w:t>O</w:t>
            </w:r>
            <w:r w:rsidRPr="00BB09C5">
              <w:rPr>
                <w:rFonts w:cstheme="minorHAnsi"/>
                <w:b/>
                <w:bCs/>
                <w:iCs/>
              </w:rPr>
              <w:t xml:space="preserve">utpatient </w:t>
            </w:r>
            <w:r>
              <w:rPr>
                <w:rFonts w:cstheme="minorHAnsi"/>
                <w:b/>
                <w:bCs/>
                <w:iCs/>
              </w:rPr>
              <w:t>C</w:t>
            </w:r>
            <w:r w:rsidRPr="00BB09C5">
              <w:rPr>
                <w:rFonts w:cstheme="minorHAnsi"/>
                <w:b/>
                <w:bCs/>
                <w:iCs/>
              </w:rPr>
              <w:t>enters</w:t>
            </w:r>
          </w:p>
        </w:tc>
        <w:tc>
          <w:tcPr>
            <w:tcW w:w="2876" w:type="dxa"/>
            <w:tcBorders>
              <w:top w:val="single" w:sz="4" w:space="0" w:color="auto"/>
              <w:left w:val="single" w:sz="4" w:space="0" w:color="auto"/>
              <w:bottom w:val="single" w:sz="4" w:space="0" w:color="auto"/>
              <w:right w:val="single" w:sz="4" w:space="0" w:color="auto"/>
            </w:tcBorders>
            <w:shd w:val="clear" w:color="000000" w:fill="C5D9F1"/>
            <w:vAlign w:val="bottom"/>
          </w:tcPr>
          <w:p w14:paraId="2C24D6E6" w14:textId="77777777" w:rsidR="00A87271" w:rsidRDefault="00A87271" w:rsidP="00A87271">
            <w:pPr>
              <w:spacing w:after="0" w:line="240" w:lineRule="auto"/>
              <w:jc w:val="center"/>
              <w:rPr>
                <w:rFonts w:eastAsia="Times New Roman" w:cstheme="minorHAnsi"/>
                <w:b/>
                <w:bCs/>
                <w:color w:val="000000"/>
              </w:rPr>
            </w:pPr>
            <w:r w:rsidRPr="00BB09C5">
              <w:rPr>
                <w:rFonts w:eastAsia="Times New Roman" w:cstheme="minorHAnsi"/>
                <w:b/>
                <w:bCs/>
                <w:color w:val="000000"/>
              </w:rPr>
              <w:t>Net Patient Service Revenue per Visit</w:t>
            </w:r>
          </w:p>
          <w:p w14:paraId="3CFF120D" w14:textId="1C54F3F9" w:rsidR="00A87271" w:rsidRPr="00BB09C5" w:rsidRDefault="00A87271" w:rsidP="00A87271">
            <w:pPr>
              <w:spacing w:after="0" w:line="240" w:lineRule="auto"/>
              <w:jc w:val="center"/>
              <w:rPr>
                <w:rFonts w:eastAsia="Times New Roman" w:cstheme="minorHAnsi"/>
                <w:b/>
                <w:bCs/>
                <w:color w:val="000000"/>
              </w:rPr>
            </w:pPr>
            <w:r>
              <w:rPr>
                <w:rFonts w:cstheme="minorHAnsi"/>
                <w:b/>
                <w:bCs/>
                <w:iCs/>
              </w:rPr>
              <w:t>Other BIDMC-Licensed</w:t>
            </w:r>
            <w:r w:rsidRPr="00BB09C5">
              <w:rPr>
                <w:rFonts w:cstheme="minorHAnsi"/>
                <w:b/>
                <w:bCs/>
                <w:iCs/>
              </w:rPr>
              <w:t xml:space="preserve"> </w:t>
            </w:r>
            <w:r>
              <w:rPr>
                <w:rFonts w:cstheme="minorHAnsi"/>
                <w:b/>
                <w:bCs/>
                <w:iCs/>
              </w:rPr>
              <w:t>O</w:t>
            </w:r>
            <w:r w:rsidRPr="00BB09C5">
              <w:rPr>
                <w:rFonts w:cstheme="minorHAnsi"/>
                <w:b/>
                <w:bCs/>
                <w:iCs/>
              </w:rPr>
              <w:t xml:space="preserve">utpatient </w:t>
            </w:r>
            <w:r>
              <w:rPr>
                <w:rFonts w:cstheme="minorHAnsi"/>
                <w:b/>
                <w:bCs/>
                <w:iCs/>
              </w:rPr>
              <w:t>C</w:t>
            </w:r>
            <w:r w:rsidRPr="00BB09C5">
              <w:rPr>
                <w:rFonts w:cstheme="minorHAnsi"/>
                <w:b/>
                <w:bCs/>
                <w:iCs/>
              </w:rPr>
              <w:t>enters</w:t>
            </w:r>
          </w:p>
        </w:tc>
        <w:tc>
          <w:tcPr>
            <w:tcW w:w="2880" w:type="dxa"/>
            <w:tcBorders>
              <w:top w:val="single" w:sz="4" w:space="0" w:color="auto"/>
              <w:left w:val="single" w:sz="4" w:space="0" w:color="auto"/>
              <w:right w:val="single" w:sz="4" w:space="0" w:color="auto"/>
            </w:tcBorders>
            <w:shd w:val="clear" w:color="000000" w:fill="C5D9F1"/>
            <w:noWrap/>
            <w:vAlign w:val="bottom"/>
            <w:hideMark/>
          </w:tcPr>
          <w:p w14:paraId="5D112A48" w14:textId="77777777" w:rsidR="00A87271" w:rsidRDefault="00A87271" w:rsidP="005A2EA2">
            <w:pPr>
              <w:spacing w:after="0" w:line="240" w:lineRule="auto"/>
              <w:jc w:val="center"/>
              <w:rPr>
                <w:rFonts w:eastAsia="Times New Roman" w:cstheme="minorHAnsi"/>
                <w:b/>
                <w:bCs/>
                <w:color w:val="000000"/>
              </w:rPr>
            </w:pPr>
            <w:r w:rsidRPr="00BB09C5">
              <w:rPr>
                <w:rFonts w:eastAsia="Times New Roman" w:cstheme="minorHAnsi"/>
                <w:b/>
                <w:bCs/>
                <w:color w:val="000000"/>
              </w:rPr>
              <w:t>NPSR per Visit</w:t>
            </w:r>
            <w:r>
              <w:rPr>
                <w:rFonts w:eastAsia="Times New Roman" w:cstheme="minorHAnsi"/>
                <w:b/>
                <w:bCs/>
                <w:color w:val="000000"/>
              </w:rPr>
              <w:t xml:space="preserve"> </w:t>
            </w:r>
          </w:p>
          <w:p w14:paraId="3E6CD13E" w14:textId="057B0F93" w:rsidR="00A87271" w:rsidRPr="00BB09C5" w:rsidRDefault="00A87271" w:rsidP="005A2EA2">
            <w:pPr>
              <w:spacing w:after="0" w:line="240" w:lineRule="auto"/>
              <w:jc w:val="center"/>
              <w:rPr>
                <w:rFonts w:eastAsia="Times New Roman" w:cstheme="minorHAnsi"/>
                <w:b/>
                <w:bCs/>
                <w:color w:val="000000"/>
              </w:rPr>
            </w:pPr>
            <w:r>
              <w:rPr>
                <w:rFonts w:eastAsia="Times New Roman" w:cstheme="minorHAnsi"/>
                <w:b/>
                <w:bCs/>
                <w:color w:val="000000"/>
              </w:rPr>
              <w:t>(Blended + Discount)</w:t>
            </w:r>
          </w:p>
          <w:p w14:paraId="45FA713B" w14:textId="1CC79CD1" w:rsidR="00A87271" w:rsidRPr="00BB09C5" w:rsidRDefault="00A87271" w:rsidP="008B463E">
            <w:pPr>
              <w:spacing w:after="0" w:line="240" w:lineRule="auto"/>
              <w:jc w:val="center"/>
              <w:rPr>
                <w:rFonts w:eastAsia="Times New Roman" w:cstheme="minorHAnsi"/>
                <w:b/>
                <w:bCs/>
                <w:color w:val="000000"/>
              </w:rPr>
            </w:pPr>
            <w:r w:rsidRPr="00BB09C5">
              <w:rPr>
                <w:rFonts w:cstheme="minorHAnsi"/>
                <w:b/>
                <w:bCs/>
              </w:rPr>
              <w:t>Quincy Satellite</w:t>
            </w:r>
          </w:p>
        </w:tc>
      </w:tr>
      <w:tr w:rsidR="001571BE" w:rsidRPr="00BB09C5" w14:paraId="72BDBDB4" w14:textId="77777777" w:rsidTr="00A87271">
        <w:trPr>
          <w:cantSplit/>
          <w:trHeight w:val="80"/>
          <w:tblHeader/>
        </w:trPr>
        <w:tc>
          <w:tcPr>
            <w:tcW w:w="2164" w:type="dxa"/>
            <w:tcBorders>
              <w:left w:val="single" w:sz="4" w:space="0" w:color="auto"/>
              <w:bottom w:val="single" w:sz="4" w:space="0" w:color="auto"/>
              <w:right w:val="single" w:sz="4" w:space="0" w:color="auto"/>
            </w:tcBorders>
            <w:shd w:val="clear" w:color="auto" w:fill="auto"/>
            <w:noWrap/>
            <w:vAlign w:val="bottom"/>
            <w:hideMark/>
          </w:tcPr>
          <w:p w14:paraId="52ACD9D0" w14:textId="01FB3CC9" w:rsidR="001571BE" w:rsidRPr="00BB09C5" w:rsidRDefault="001571BE" w:rsidP="005A2EA2">
            <w:pPr>
              <w:spacing w:after="0" w:line="240" w:lineRule="auto"/>
              <w:rPr>
                <w:rFonts w:eastAsia="Times New Roman" w:cstheme="minorHAnsi"/>
                <w:b/>
                <w:bCs/>
                <w:color w:val="000000"/>
              </w:rPr>
            </w:pP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CE6C4" w14:textId="77777777" w:rsidR="001571BE" w:rsidRPr="00BB09C5" w:rsidRDefault="001571BE" w:rsidP="005A2EA2">
            <w:pPr>
              <w:spacing w:after="0" w:line="240" w:lineRule="auto"/>
              <w:jc w:val="center"/>
              <w:rPr>
                <w:rFonts w:eastAsia="Times New Roman" w:cstheme="minorHAnsi"/>
                <w:b/>
                <w:bCs/>
                <w:color w:val="000000"/>
              </w:rPr>
            </w:pPr>
            <w:r w:rsidRPr="00BB09C5">
              <w:rPr>
                <w:rFonts w:eastAsia="Times New Roman" w:cstheme="minorHAnsi"/>
                <w:b/>
                <w:bCs/>
                <w:color w:val="000000"/>
              </w:rPr>
              <w:t>Commercial</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DBDC0" w14:textId="77777777" w:rsidR="001571BE" w:rsidRPr="00BB09C5" w:rsidRDefault="001571BE" w:rsidP="005A2EA2">
            <w:pPr>
              <w:spacing w:after="0" w:line="240" w:lineRule="auto"/>
              <w:jc w:val="center"/>
              <w:rPr>
                <w:rFonts w:eastAsia="Times New Roman" w:cstheme="minorHAnsi"/>
                <w:b/>
                <w:bCs/>
                <w:color w:val="000000"/>
              </w:rPr>
            </w:pPr>
            <w:r w:rsidRPr="00BB09C5">
              <w:rPr>
                <w:rFonts w:eastAsia="Times New Roman" w:cstheme="minorHAnsi"/>
                <w:b/>
                <w:bCs/>
                <w:color w:val="000000"/>
              </w:rPr>
              <w:t>Medicare</w:t>
            </w:r>
          </w:p>
        </w:tc>
        <w:tc>
          <w:tcPr>
            <w:tcW w:w="28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8552B4" w14:textId="77777777" w:rsidR="001571BE" w:rsidRPr="00BB09C5" w:rsidRDefault="001571BE" w:rsidP="005A2EA2">
            <w:pPr>
              <w:spacing w:after="0" w:line="240" w:lineRule="auto"/>
              <w:jc w:val="center"/>
              <w:rPr>
                <w:rFonts w:eastAsia="Times New Roman" w:cstheme="minorHAnsi"/>
                <w:b/>
                <w:bCs/>
                <w:color w:val="000000"/>
              </w:rPr>
            </w:pPr>
            <w:r w:rsidRPr="00BB09C5">
              <w:rPr>
                <w:rFonts w:eastAsia="Times New Roman" w:cstheme="minorHAnsi"/>
                <w:b/>
                <w:bCs/>
                <w:color w:val="000000"/>
              </w:rPr>
              <w:t>Medicaid + Other</w:t>
            </w:r>
          </w:p>
        </w:tc>
        <w:tc>
          <w:tcPr>
            <w:tcW w:w="2880" w:type="dxa"/>
            <w:tcBorders>
              <w:left w:val="single" w:sz="4" w:space="0" w:color="auto"/>
              <w:bottom w:val="single" w:sz="4" w:space="0" w:color="auto"/>
              <w:right w:val="single" w:sz="4" w:space="0" w:color="auto"/>
            </w:tcBorders>
            <w:shd w:val="clear" w:color="000000" w:fill="C5D9F1"/>
            <w:vAlign w:val="bottom"/>
            <w:hideMark/>
          </w:tcPr>
          <w:p w14:paraId="4AE29D6A" w14:textId="3018B1E1" w:rsidR="001571BE" w:rsidRPr="00BB09C5" w:rsidRDefault="001571BE" w:rsidP="005A2EA2">
            <w:pPr>
              <w:spacing w:after="0" w:line="240" w:lineRule="auto"/>
              <w:jc w:val="center"/>
              <w:rPr>
                <w:rFonts w:eastAsia="Times New Roman" w:cstheme="minorHAnsi"/>
                <w:b/>
                <w:bCs/>
                <w:color w:val="000000"/>
              </w:rPr>
            </w:pPr>
          </w:p>
        </w:tc>
      </w:tr>
      <w:tr w:rsidR="001571BE" w:rsidRPr="00BB09C5" w14:paraId="5F49C5EB" w14:textId="77777777" w:rsidTr="00A87271">
        <w:trPr>
          <w:cantSplit/>
          <w:trHeight w:val="286"/>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38631" w14:textId="77777777" w:rsidR="001571BE" w:rsidRPr="00BB09C5" w:rsidRDefault="001571BE" w:rsidP="005A2EA2">
            <w:pPr>
              <w:spacing w:after="0" w:line="240" w:lineRule="auto"/>
              <w:rPr>
                <w:rFonts w:eastAsia="Times New Roman" w:cstheme="minorHAnsi"/>
                <w:color w:val="000000"/>
              </w:rPr>
            </w:pPr>
            <w:r w:rsidRPr="00BB09C5">
              <w:rPr>
                <w:rFonts w:eastAsia="Times New Roman" w:cstheme="minorHAnsi"/>
                <w:color w:val="000000"/>
              </w:rPr>
              <w:t>Cardiology</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003E9"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418</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2A9BB"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199</w:t>
            </w:r>
          </w:p>
        </w:tc>
        <w:tc>
          <w:tcPr>
            <w:tcW w:w="2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64B98"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236</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85E62"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181</w:t>
            </w:r>
          </w:p>
        </w:tc>
      </w:tr>
      <w:tr w:rsidR="001571BE" w:rsidRPr="00BB09C5" w14:paraId="2B12D5EA" w14:textId="77777777" w:rsidTr="00A87271">
        <w:trPr>
          <w:cantSplit/>
          <w:trHeight w:val="286"/>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AAD00" w14:textId="77777777" w:rsidR="001571BE" w:rsidRPr="00BB09C5" w:rsidRDefault="001571BE" w:rsidP="005A2EA2">
            <w:pPr>
              <w:spacing w:after="0" w:line="240" w:lineRule="auto"/>
              <w:rPr>
                <w:rFonts w:eastAsia="Times New Roman" w:cstheme="minorHAnsi"/>
                <w:color w:val="000000"/>
              </w:rPr>
            </w:pPr>
            <w:r w:rsidRPr="00BB09C5">
              <w:rPr>
                <w:rFonts w:eastAsia="Times New Roman" w:cstheme="minorHAnsi"/>
                <w:color w:val="000000"/>
              </w:rPr>
              <w:t>Gastroenterology</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BB0AA"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165</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55786"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80</w:t>
            </w:r>
          </w:p>
        </w:tc>
        <w:tc>
          <w:tcPr>
            <w:tcW w:w="2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BB3DB"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183</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D6B87"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80</w:t>
            </w:r>
          </w:p>
        </w:tc>
      </w:tr>
      <w:tr w:rsidR="001571BE" w:rsidRPr="00BB09C5" w14:paraId="04892599" w14:textId="77777777" w:rsidTr="00A87271">
        <w:trPr>
          <w:cantSplit/>
          <w:trHeight w:val="286"/>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52A82" w14:textId="77777777" w:rsidR="001571BE" w:rsidRPr="00BB09C5" w:rsidRDefault="001571BE" w:rsidP="005A2EA2">
            <w:pPr>
              <w:spacing w:after="0" w:line="240" w:lineRule="auto"/>
              <w:rPr>
                <w:rFonts w:eastAsia="Times New Roman" w:cstheme="minorHAnsi"/>
                <w:color w:val="000000"/>
              </w:rPr>
            </w:pPr>
            <w:r w:rsidRPr="00BB09C5">
              <w:rPr>
                <w:rFonts w:eastAsia="Times New Roman" w:cstheme="minorHAnsi"/>
                <w:color w:val="000000"/>
              </w:rPr>
              <w:t>Hem/</w:t>
            </w:r>
            <w:proofErr w:type="spellStart"/>
            <w:r w:rsidRPr="00BB09C5">
              <w:rPr>
                <w:rFonts w:eastAsia="Times New Roman" w:cstheme="minorHAnsi"/>
                <w:color w:val="000000"/>
              </w:rPr>
              <w:t>Onc</w:t>
            </w:r>
            <w:proofErr w:type="spellEnd"/>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C6F0E"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1,066</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D3DE8"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1,157</w:t>
            </w:r>
          </w:p>
        </w:tc>
        <w:tc>
          <w:tcPr>
            <w:tcW w:w="2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CD49C"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1,873</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51B67"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738</w:t>
            </w:r>
          </w:p>
        </w:tc>
      </w:tr>
      <w:tr w:rsidR="001571BE" w:rsidRPr="00BB09C5" w14:paraId="6B91C521" w14:textId="77777777" w:rsidTr="00A87271">
        <w:trPr>
          <w:cantSplit/>
          <w:trHeight w:val="286"/>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416A2" w14:textId="77777777" w:rsidR="001571BE" w:rsidRPr="00BB09C5" w:rsidRDefault="001571BE" w:rsidP="005A2EA2">
            <w:pPr>
              <w:spacing w:after="0" w:line="240" w:lineRule="auto"/>
              <w:rPr>
                <w:rFonts w:eastAsia="Times New Roman" w:cstheme="minorHAnsi"/>
                <w:color w:val="000000"/>
              </w:rPr>
            </w:pPr>
            <w:r w:rsidRPr="00BB09C5">
              <w:rPr>
                <w:rFonts w:eastAsia="Times New Roman" w:cstheme="minorHAnsi"/>
                <w:color w:val="000000"/>
              </w:rPr>
              <w:t>OBGYN</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4F33C"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208</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408FB"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105</w:t>
            </w:r>
          </w:p>
        </w:tc>
        <w:tc>
          <w:tcPr>
            <w:tcW w:w="2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96A42"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188</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3A22F"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98</w:t>
            </w:r>
          </w:p>
        </w:tc>
      </w:tr>
      <w:tr w:rsidR="001571BE" w:rsidRPr="00BB09C5" w14:paraId="34501FDE" w14:textId="77777777" w:rsidTr="00A87271">
        <w:trPr>
          <w:cantSplit/>
          <w:trHeight w:val="286"/>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47DF2" w14:textId="77777777" w:rsidR="001571BE" w:rsidRPr="00BB09C5" w:rsidRDefault="001571BE" w:rsidP="005A2EA2">
            <w:pPr>
              <w:spacing w:after="0" w:line="240" w:lineRule="auto"/>
              <w:rPr>
                <w:rFonts w:eastAsia="Times New Roman" w:cstheme="minorHAnsi"/>
                <w:color w:val="000000"/>
              </w:rPr>
            </w:pPr>
            <w:r w:rsidRPr="00BB09C5">
              <w:rPr>
                <w:rFonts w:eastAsia="Times New Roman" w:cstheme="minorHAnsi"/>
                <w:color w:val="000000"/>
              </w:rPr>
              <w:t>Orthopedics:</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0899A"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161</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BA6DF"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222</w:t>
            </w:r>
          </w:p>
        </w:tc>
        <w:tc>
          <w:tcPr>
            <w:tcW w:w="2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D8F40"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186</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9F170"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114</w:t>
            </w:r>
          </w:p>
        </w:tc>
      </w:tr>
      <w:tr w:rsidR="001571BE" w:rsidRPr="00BB09C5" w14:paraId="010171BC" w14:textId="77777777" w:rsidTr="00A87271">
        <w:trPr>
          <w:cantSplit/>
          <w:trHeight w:val="286"/>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35AC0" w14:textId="77777777" w:rsidR="001571BE" w:rsidRPr="00BB09C5" w:rsidRDefault="001571BE" w:rsidP="005A2EA2">
            <w:pPr>
              <w:spacing w:after="0" w:line="240" w:lineRule="auto"/>
              <w:ind w:firstLineChars="100" w:firstLine="220"/>
              <w:rPr>
                <w:rFonts w:eastAsia="Times New Roman" w:cstheme="minorHAnsi"/>
                <w:color w:val="000000"/>
              </w:rPr>
            </w:pPr>
            <w:r w:rsidRPr="00BB09C5">
              <w:rPr>
                <w:rFonts w:eastAsia="Times New Roman" w:cstheme="minorHAnsi"/>
                <w:color w:val="000000"/>
              </w:rPr>
              <w:t>Sports Medicine</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D15B9"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65</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726DC"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133</w:t>
            </w:r>
          </w:p>
        </w:tc>
        <w:tc>
          <w:tcPr>
            <w:tcW w:w="2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AA44C"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110</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E8A6E"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60</w:t>
            </w:r>
          </w:p>
        </w:tc>
      </w:tr>
      <w:tr w:rsidR="001571BE" w:rsidRPr="00BB09C5" w14:paraId="20DF7BA6" w14:textId="77777777" w:rsidTr="00A87271">
        <w:trPr>
          <w:cantSplit/>
          <w:trHeight w:val="286"/>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4EF9F" w14:textId="77777777" w:rsidR="001571BE" w:rsidRPr="00BB09C5" w:rsidRDefault="001571BE" w:rsidP="005A2EA2">
            <w:pPr>
              <w:spacing w:after="0" w:line="240" w:lineRule="auto"/>
              <w:ind w:firstLineChars="100" w:firstLine="220"/>
              <w:rPr>
                <w:rFonts w:eastAsia="Times New Roman" w:cstheme="minorHAnsi"/>
                <w:color w:val="000000"/>
              </w:rPr>
            </w:pPr>
            <w:r w:rsidRPr="00BB09C5">
              <w:rPr>
                <w:rFonts w:eastAsia="Times New Roman" w:cstheme="minorHAnsi"/>
                <w:color w:val="000000"/>
              </w:rPr>
              <w:t>Hand</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974B0"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89</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E65AE"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126</w:t>
            </w:r>
          </w:p>
        </w:tc>
        <w:tc>
          <w:tcPr>
            <w:tcW w:w="2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FAF53"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126</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F25F1"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66</w:t>
            </w:r>
          </w:p>
        </w:tc>
      </w:tr>
      <w:tr w:rsidR="001571BE" w:rsidRPr="00BB09C5" w14:paraId="0E3732DA" w14:textId="77777777" w:rsidTr="00A87271">
        <w:trPr>
          <w:cantSplit/>
          <w:trHeight w:val="286"/>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754C4" w14:textId="77777777" w:rsidR="001571BE" w:rsidRPr="00BB09C5" w:rsidRDefault="001571BE" w:rsidP="005A2EA2">
            <w:pPr>
              <w:spacing w:after="0" w:line="240" w:lineRule="auto"/>
              <w:ind w:firstLineChars="100" w:firstLine="220"/>
              <w:rPr>
                <w:rFonts w:eastAsia="Times New Roman" w:cstheme="minorHAnsi"/>
                <w:color w:val="000000"/>
              </w:rPr>
            </w:pPr>
            <w:r w:rsidRPr="00BB09C5">
              <w:rPr>
                <w:rFonts w:eastAsia="Times New Roman" w:cstheme="minorHAnsi"/>
                <w:color w:val="000000"/>
              </w:rPr>
              <w:t>Foot and Ankle</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BA54B"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236</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0E9AB"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260</w:t>
            </w:r>
          </w:p>
        </w:tc>
        <w:tc>
          <w:tcPr>
            <w:tcW w:w="2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0FA2C"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235</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E61B4"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147</w:t>
            </w:r>
          </w:p>
        </w:tc>
      </w:tr>
      <w:tr w:rsidR="001571BE" w:rsidRPr="00BB09C5" w14:paraId="132DF14B" w14:textId="77777777" w:rsidTr="00A87271">
        <w:trPr>
          <w:cantSplit/>
          <w:trHeight w:val="286"/>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67D5B" w14:textId="77777777" w:rsidR="001571BE" w:rsidRPr="00BB09C5" w:rsidRDefault="001571BE" w:rsidP="005A2EA2">
            <w:pPr>
              <w:spacing w:after="0" w:line="240" w:lineRule="auto"/>
              <w:ind w:firstLineChars="100" w:firstLine="220"/>
              <w:rPr>
                <w:rFonts w:eastAsia="Times New Roman" w:cstheme="minorHAnsi"/>
                <w:color w:val="000000"/>
              </w:rPr>
            </w:pPr>
            <w:r w:rsidRPr="00BB09C5">
              <w:rPr>
                <w:rFonts w:eastAsia="Times New Roman" w:cstheme="minorHAnsi"/>
                <w:color w:val="000000"/>
              </w:rPr>
              <w:t>Spine</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3F3AF"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22</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86282"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68</w:t>
            </w:r>
          </w:p>
        </w:tc>
        <w:tc>
          <w:tcPr>
            <w:tcW w:w="2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7D84B"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58</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00F76"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28</w:t>
            </w:r>
          </w:p>
        </w:tc>
      </w:tr>
      <w:tr w:rsidR="001571BE" w:rsidRPr="00BB09C5" w14:paraId="3362A9D0" w14:textId="77777777" w:rsidTr="00A87271">
        <w:trPr>
          <w:cantSplit/>
          <w:trHeight w:val="286"/>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E9266" w14:textId="77777777" w:rsidR="001571BE" w:rsidRPr="00BB09C5" w:rsidRDefault="001571BE" w:rsidP="005A2EA2">
            <w:pPr>
              <w:spacing w:after="0" w:line="240" w:lineRule="auto"/>
              <w:ind w:firstLineChars="100" w:firstLine="220"/>
              <w:rPr>
                <w:rFonts w:eastAsia="Times New Roman" w:cstheme="minorHAnsi"/>
                <w:color w:val="000000"/>
              </w:rPr>
            </w:pPr>
            <w:r w:rsidRPr="00BB09C5">
              <w:rPr>
                <w:rFonts w:eastAsia="Times New Roman" w:cstheme="minorHAnsi"/>
                <w:color w:val="000000"/>
              </w:rPr>
              <w:t>MSK</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3502F"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236</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801F3"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260</w:t>
            </w:r>
          </w:p>
        </w:tc>
        <w:tc>
          <w:tcPr>
            <w:tcW w:w="2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FB02C"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235</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85788"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147</w:t>
            </w:r>
          </w:p>
        </w:tc>
      </w:tr>
      <w:tr w:rsidR="001571BE" w:rsidRPr="00BB09C5" w14:paraId="44E6761B" w14:textId="77777777" w:rsidTr="00A87271">
        <w:trPr>
          <w:cantSplit/>
          <w:trHeight w:val="286"/>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96D3F" w14:textId="77777777" w:rsidR="001571BE" w:rsidRPr="00BB09C5" w:rsidRDefault="001571BE" w:rsidP="005A2EA2">
            <w:pPr>
              <w:spacing w:after="0" w:line="240" w:lineRule="auto"/>
              <w:rPr>
                <w:rFonts w:eastAsia="Times New Roman" w:cstheme="minorHAnsi"/>
                <w:color w:val="000000"/>
              </w:rPr>
            </w:pPr>
            <w:r w:rsidRPr="00BB09C5">
              <w:rPr>
                <w:rFonts w:eastAsia="Times New Roman" w:cstheme="minorHAnsi"/>
                <w:color w:val="000000"/>
              </w:rPr>
              <w:t>Podiatry</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0FE2D"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91</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3DA96"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96</w:t>
            </w:r>
          </w:p>
        </w:tc>
        <w:tc>
          <w:tcPr>
            <w:tcW w:w="2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5AF51"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161</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CC88B"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62</w:t>
            </w:r>
          </w:p>
        </w:tc>
      </w:tr>
      <w:tr w:rsidR="001571BE" w:rsidRPr="00BB09C5" w14:paraId="587033DB" w14:textId="77777777" w:rsidTr="00A87271">
        <w:trPr>
          <w:cantSplit/>
          <w:trHeight w:val="286"/>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DBC14" w14:textId="77777777" w:rsidR="001571BE" w:rsidRPr="00BB09C5" w:rsidRDefault="001571BE" w:rsidP="005A2EA2">
            <w:pPr>
              <w:spacing w:after="0" w:line="240" w:lineRule="auto"/>
              <w:rPr>
                <w:rFonts w:eastAsia="Times New Roman" w:cstheme="minorHAnsi"/>
                <w:color w:val="000000"/>
              </w:rPr>
            </w:pPr>
            <w:r w:rsidRPr="00BB09C5">
              <w:rPr>
                <w:rFonts w:eastAsia="Times New Roman" w:cstheme="minorHAnsi"/>
                <w:color w:val="000000"/>
              </w:rPr>
              <w:t>Endocrine Surgery</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5360A"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128</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6F141"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75</w:t>
            </w:r>
          </w:p>
        </w:tc>
        <w:tc>
          <w:tcPr>
            <w:tcW w:w="2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2195E"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141</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39822"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65</w:t>
            </w:r>
          </w:p>
        </w:tc>
      </w:tr>
      <w:tr w:rsidR="001571BE" w:rsidRPr="00BB09C5" w14:paraId="7C8EE581" w14:textId="77777777" w:rsidTr="00A87271">
        <w:trPr>
          <w:cantSplit/>
          <w:trHeight w:val="286"/>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23ACA" w14:textId="77777777" w:rsidR="001571BE" w:rsidRPr="00BB09C5" w:rsidRDefault="001571BE" w:rsidP="005A2EA2">
            <w:pPr>
              <w:spacing w:after="0" w:line="240" w:lineRule="auto"/>
              <w:rPr>
                <w:rFonts w:eastAsia="Times New Roman" w:cstheme="minorHAnsi"/>
                <w:color w:val="000000"/>
              </w:rPr>
            </w:pPr>
            <w:r w:rsidRPr="00BB09C5">
              <w:rPr>
                <w:rFonts w:eastAsia="Times New Roman" w:cstheme="minorHAnsi"/>
                <w:color w:val="000000"/>
              </w:rPr>
              <w:t>Gerontology</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6363F"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518</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BC0B6"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73</w:t>
            </w:r>
          </w:p>
        </w:tc>
        <w:tc>
          <w:tcPr>
            <w:tcW w:w="2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CFE4D"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N/A</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8CAF4"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44</w:t>
            </w:r>
          </w:p>
        </w:tc>
      </w:tr>
      <w:tr w:rsidR="001571BE" w:rsidRPr="00BB09C5" w14:paraId="452F87E0" w14:textId="77777777" w:rsidTr="00A87271">
        <w:trPr>
          <w:cantSplit/>
          <w:trHeight w:val="286"/>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7713D" w14:textId="77777777" w:rsidR="001571BE" w:rsidRPr="00BB09C5" w:rsidRDefault="001571BE" w:rsidP="005A2EA2">
            <w:pPr>
              <w:spacing w:after="0" w:line="240" w:lineRule="auto"/>
              <w:rPr>
                <w:rFonts w:eastAsia="Times New Roman" w:cstheme="minorHAnsi"/>
                <w:color w:val="000000"/>
              </w:rPr>
            </w:pPr>
            <w:r w:rsidRPr="00BB09C5">
              <w:rPr>
                <w:rFonts w:eastAsia="Times New Roman" w:cstheme="minorHAnsi"/>
                <w:color w:val="000000"/>
              </w:rPr>
              <w:t>Infectious Disease</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FEFE0"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82</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23F7C"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78</w:t>
            </w:r>
          </w:p>
        </w:tc>
        <w:tc>
          <w:tcPr>
            <w:tcW w:w="2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A7374"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163</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9BE1E"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56</w:t>
            </w:r>
          </w:p>
        </w:tc>
      </w:tr>
      <w:tr w:rsidR="001571BE" w:rsidRPr="00BB09C5" w14:paraId="44796CE5" w14:textId="77777777" w:rsidTr="00A87271">
        <w:trPr>
          <w:cantSplit/>
          <w:trHeight w:val="286"/>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C6355" w14:textId="77777777" w:rsidR="001571BE" w:rsidRPr="00BB09C5" w:rsidRDefault="001571BE" w:rsidP="005A2EA2">
            <w:pPr>
              <w:spacing w:after="0" w:line="240" w:lineRule="auto"/>
              <w:rPr>
                <w:rFonts w:eastAsia="Times New Roman" w:cstheme="minorHAnsi"/>
                <w:color w:val="000000"/>
              </w:rPr>
            </w:pPr>
            <w:r w:rsidRPr="00BB09C5">
              <w:rPr>
                <w:rFonts w:eastAsia="Times New Roman" w:cstheme="minorHAnsi"/>
                <w:color w:val="000000"/>
              </w:rPr>
              <w:t>Nephrology</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B8E3D"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284</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CBC9C"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72</w:t>
            </w:r>
          </w:p>
        </w:tc>
        <w:tc>
          <w:tcPr>
            <w:tcW w:w="2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C8FA7"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186</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45764"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110</w:t>
            </w:r>
          </w:p>
        </w:tc>
      </w:tr>
      <w:tr w:rsidR="001571BE" w:rsidRPr="00BB09C5" w14:paraId="3309C9BF" w14:textId="77777777" w:rsidTr="00A87271">
        <w:trPr>
          <w:cantSplit/>
          <w:trHeight w:val="286"/>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377AB" w14:textId="77777777" w:rsidR="001571BE" w:rsidRPr="00BB09C5" w:rsidRDefault="001571BE" w:rsidP="005A2EA2">
            <w:pPr>
              <w:spacing w:after="0" w:line="240" w:lineRule="auto"/>
              <w:rPr>
                <w:rFonts w:eastAsia="Times New Roman" w:cstheme="minorHAnsi"/>
                <w:color w:val="000000"/>
              </w:rPr>
            </w:pPr>
            <w:r w:rsidRPr="00BB09C5">
              <w:rPr>
                <w:rFonts w:eastAsia="Times New Roman" w:cstheme="minorHAnsi"/>
                <w:color w:val="000000"/>
              </w:rPr>
              <w:t>Neurology</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292DD"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82</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92DE3"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78</w:t>
            </w:r>
          </w:p>
        </w:tc>
        <w:tc>
          <w:tcPr>
            <w:tcW w:w="2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21763"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163</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C59B1"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56</w:t>
            </w:r>
          </w:p>
        </w:tc>
      </w:tr>
      <w:tr w:rsidR="001571BE" w:rsidRPr="00BB09C5" w14:paraId="76A54764" w14:textId="77777777" w:rsidTr="00A87271">
        <w:trPr>
          <w:cantSplit/>
          <w:trHeight w:val="286"/>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D7456" w14:textId="77777777" w:rsidR="001571BE" w:rsidRPr="00BB09C5" w:rsidRDefault="001571BE" w:rsidP="005A2EA2">
            <w:pPr>
              <w:spacing w:after="0" w:line="240" w:lineRule="auto"/>
              <w:rPr>
                <w:rFonts w:eastAsia="Times New Roman" w:cstheme="minorHAnsi"/>
                <w:color w:val="000000"/>
              </w:rPr>
            </w:pPr>
            <w:r w:rsidRPr="00BB09C5">
              <w:rPr>
                <w:rFonts w:eastAsia="Times New Roman" w:cstheme="minorHAnsi"/>
                <w:color w:val="000000"/>
              </w:rPr>
              <w:t>Pulmonology</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4D9D0"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144</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4E0D8"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121</w:t>
            </w:r>
          </w:p>
        </w:tc>
        <w:tc>
          <w:tcPr>
            <w:tcW w:w="2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2A7F7"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216</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DE921"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88</w:t>
            </w:r>
          </w:p>
        </w:tc>
      </w:tr>
      <w:tr w:rsidR="001571BE" w:rsidRPr="00BB09C5" w14:paraId="24DD933B" w14:textId="77777777" w:rsidTr="00A87271">
        <w:trPr>
          <w:cantSplit/>
          <w:trHeight w:val="286"/>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0AE35" w14:textId="77777777" w:rsidR="001571BE" w:rsidRPr="00BB09C5" w:rsidRDefault="001571BE" w:rsidP="005A2EA2">
            <w:pPr>
              <w:spacing w:after="0" w:line="240" w:lineRule="auto"/>
              <w:rPr>
                <w:rFonts w:eastAsia="Times New Roman" w:cstheme="minorHAnsi"/>
                <w:color w:val="000000"/>
              </w:rPr>
            </w:pPr>
            <w:r w:rsidRPr="00BB09C5">
              <w:rPr>
                <w:rFonts w:eastAsia="Times New Roman" w:cstheme="minorHAnsi"/>
                <w:color w:val="000000"/>
              </w:rPr>
              <w:t>Rheumatology</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7E9DE"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82</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3AF7C"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78</w:t>
            </w:r>
          </w:p>
        </w:tc>
        <w:tc>
          <w:tcPr>
            <w:tcW w:w="2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FE69E"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163</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90EE7"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56</w:t>
            </w:r>
          </w:p>
        </w:tc>
      </w:tr>
      <w:tr w:rsidR="001571BE" w:rsidRPr="00BB09C5" w14:paraId="1953FBDC" w14:textId="77777777" w:rsidTr="00A87271">
        <w:trPr>
          <w:cantSplit/>
          <w:trHeight w:val="286"/>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5F3B5" w14:textId="77777777" w:rsidR="001571BE" w:rsidRPr="00BB09C5" w:rsidRDefault="001571BE" w:rsidP="005A2EA2">
            <w:pPr>
              <w:spacing w:after="0" w:line="240" w:lineRule="auto"/>
              <w:rPr>
                <w:rFonts w:eastAsia="Times New Roman" w:cstheme="minorHAnsi"/>
                <w:color w:val="000000"/>
              </w:rPr>
            </w:pPr>
            <w:r w:rsidRPr="00BB09C5">
              <w:rPr>
                <w:rFonts w:eastAsia="Times New Roman" w:cstheme="minorHAnsi"/>
                <w:color w:val="000000"/>
              </w:rPr>
              <w:t>Urology</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34636"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152</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96F32"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111</w:t>
            </w:r>
          </w:p>
        </w:tc>
        <w:tc>
          <w:tcPr>
            <w:tcW w:w="2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B8205"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149</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84B78" w14:textId="77777777" w:rsidR="001571BE" w:rsidRPr="00BB09C5" w:rsidRDefault="001571BE" w:rsidP="005A2EA2">
            <w:pPr>
              <w:spacing w:after="0" w:line="240" w:lineRule="auto"/>
              <w:jc w:val="center"/>
              <w:rPr>
                <w:rFonts w:eastAsia="Times New Roman" w:cstheme="minorHAnsi"/>
                <w:color w:val="000000"/>
              </w:rPr>
            </w:pPr>
            <w:r w:rsidRPr="00BB09C5">
              <w:rPr>
                <w:rFonts w:eastAsia="Times New Roman" w:cstheme="minorHAnsi"/>
                <w:color w:val="000000"/>
              </w:rPr>
              <w:t>81</w:t>
            </w:r>
          </w:p>
        </w:tc>
      </w:tr>
    </w:tbl>
    <w:p w14:paraId="7D4C9C02" w14:textId="348D2309" w:rsidR="008B0352" w:rsidRPr="00BB09C5" w:rsidRDefault="00E14572" w:rsidP="00E14572">
      <w:pPr>
        <w:tabs>
          <w:tab w:val="left" w:pos="1440"/>
        </w:tabs>
        <w:autoSpaceDE w:val="0"/>
        <w:autoSpaceDN w:val="0"/>
        <w:adjustRightInd w:val="0"/>
        <w:spacing w:after="0" w:line="240" w:lineRule="auto"/>
        <w:jc w:val="center"/>
        <w:rPr>
          <w:rFonts w:cstheme="minorHAnsi"/>
          <w:b/>
          <w:bCs/>
          <w:color w:val="FF0000"/>
          <w:u w:val="single"/>
        </w:rPr>
      </w:pPr>
      <w:r w:rsidRPr="00BB09C5">
        <w:rPr>
          <w:rFonts w:cstheme="minorHAnsi"/>
          <w:b/>
          <w:bCs/>
          <w:u w:val="single"/>
        </w:rPr>
        <w:t>Comparison of Average Cost of Specialty Services</w:t>
      </w:r>
    </w:p>
    <w:p w14:paraId="14B64CEA" w14:textId="073DE372" w:rsidR="008B0352" w:rsidRPr="00BB09C5" w:rsidRDefault="008B0352" w:rsidP="008B0352">
      <w:pPr>
        <w:pStyle w:val="ListParagraph"/>
        <w:tabs>
          <w:tab w:val="left" w:pos="1440"/>
        </w:tabs>
        <w:autoSpaceDE w:val="0"/>
        <w:autoSpaceDN w:val="0"/>
        <w:adjustRightInd w:val="0"/>
        <w:spacing w:after="0" w:line="240" w:lineRule="auto"/>
        <w:rPr>
          <w:rFonts w:cstheme="minorHAnsi"/>
          <w:color w:val="FF0000"/>
        </w:rPr>
      </w:pPr>
    </w:p>
    <w:sectPr w:rsidR="008B0352" w:rsidRPr="00BB09C5" w:rsidSect="00DE5006">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C3349" w14:textId="77777777" w:rsidR="00D35CF9" w:rsidRDefault="00D35CF9" w:rsidP="00231103">
      <w:pPr>
        <w:spacing w:after="0" w:line="240" w:lineRule="auto"/>
      </w:pPr>
      <w:r>
        <w:separator/>
      </w:r>
    </w:p>
  </w:endnote>
  <w:endnote w:type="continuationSeparator" w:id="0">
    <w:p w14:paraId="7AC60817" w14:textId="77777777" w:rsidR="00D35CF9" w:rsidRDefault="00D35CF9" w:rsidP="00231103">
      <w:pPr>
        <w:spacing w:after="0" w:line="240" w:lineRule="auto"/>
      </w:pPr>
      <w:r>
        <w:continuationSeparator/>
      </w:r>
    </w:p>
  </w:endnote>
  <w:endnote w:type="continuationNotice" w:id="1">
    <w:p w14:paraId="725AB278" w14:textId="77777777" w:rsidR="00D35CF9" w:rsidRDefault="00D35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CC05E" w14:textId="2FCD2CD9" w:rsidR="00252CB8" w:rsidRDefault="00D808DE" w:rsidP="00AA55B4">
    <w:pPr>
      <w:pStyle w:val="DocID"/>
    </w:pPr>
    <w:r>
      <w:fldChar w:fldCharType="begin"/>
    </w:r>
    <w:r w:rsidR="00AA55B4">
      <w:instrText xml:space="preserve">DOCPROPERTY DOCXDOCID DMS=IManage Format=&lt;&lt;NUM&gt;&gt;_&lt;&lt;VER&gt;&gt; \* MERGEFORMAT </w:instrText>
    </w:r>
    <w:r>
      <w:fldChar w:fldCharType="separate"/>
    </w:r>
    <w:r w:rsidR="00AA55B4" w:rsidRPr="00AA55B4">
      <w:t>148642159_6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878915"/>
      <w:docPartObj>
        <w:docPartGallery w:val="Page Numbers (Bottom of Page)"/>
        <w:docPartUnique/>
      </w:docPartObj>
    </w:sdtPr>
    <w:sdtEndPr>
      <w:rPr>
        <w:noProof/>
      </w:rPr>
    </w:sdtEndPr>
    <w:sdtContent>
      <w:p w14:paraId="0D149475" w14:textId="787EEE3E" w:rsidR="00252CB8" w:rsidRDefault="00252CB8">
        <w:pPr>
          <w:pStyle w:val="Footer"/>
          <w:jc w:val="center"/>
        </w:pPr>
        <w:r>
          <w:fldChar w:fldCharType="begin"/>
        </w:r>
        <w:r>
          <w:instrText xml:space="preserve"> PAGE   \* MERGEFORMAT </w:instrText>
        </w:r>
        <w:r>
          <w:fldChar w:fldCharType="separate"/>
        </w:r>
        <w:r w:rsidR="00C924E3">
          <w:rPr>
            <w:noProof/>
          </w:rPr>
          <w:t>1</w:t>
        </w:r>
        <w:r>
          <w:rPr>
            <w:noProof/>
          </w:rPr>
          <w:fldChar w:fldCharType="end"/>
        </w:r>
      </w:p>
    </w:sdtContent>
  </w:sdt>
  <w:p w14:paraId="6BBA7089" w14:textId="38272A49" w:rsidR="00252CB8" w:rsidRDefault="00D808DE" w:rsidP="00AA55B4">
    <w:pPr>
      <w:pStyle w:val="DocID"/>
    </w:pPr>
    <w:r>
      <w:fldChar w:fldCharType="begin"/>
    </w:r>
    <w:r w:rsidR="00AA55B4">
      <w:instrText xml:space="preserve">DOCPROPERTY DOCXDOCID DMS=IManage Format=&lt;&lt;NUM&gt;&gt;_&lt;&lt;VER&gt;&gt; \* MERGEFORMAT </w:instrText>
    </w:r>
    <w:r>
      <w:fldChar w:fldCharType="separate"/>
    </w:r>
    <w:r w:rsidR="00AA55B4" w:rsidRPr="00AA55B4">
      <w:t>148642159_6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F11BD" w14:textId="0E98C7D3" w:rsidR="00252CB8" w:rsidRDefault="00D808DE" w:rsidP="00AA55B4">
    <w:pPr>
      <w:pStyle w:val="DocID"/>
    </w:pPr>
    <w:r>
      <w:fldChar w:fldCharType="begin"/>
    </w:r>
    <w:r w:rsidR="00AA55B4">
      <w:instrText xml:space="preserve">DOCPROPERTY DOCXDOCID DMS=IManage Format=&lt;&lt;NUM&gt;&gt;_&lt;&lt;VER&gt;&gt; \* MERGEFORMAT </w:instrText>
    </w:r>
    <w:r>
      <w:fldChar w:fldCharType="separate"/>
    </w:r>
    <w:r w:rsidR="00AA55B4" w:rsidRPr="00AA55B4">
      <w:t>148642159_6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3CE0A" w14:textId="77777777" w:rsidR="00D35CF9" w:rsidRDefault="00D35CF9" w:rsidP="00231103">
      <w:pPr>
        <w:spacing w:after="0" w:line="240" w:lineRule="auto"/>
      </w:pPr>
      <w:r>
        <w:separator/>
      </w:r>
    </w:p>
  </w:footnote>
  <w:footnote w:type="continuationSeparator" w:id="0">
    <w:p w14:paraId="0E75E98D" w14:textId="77777777" w:rsidR="00D35CF9" w:rsidRDefault="00D35CF9" w:rsidP="00231103">
      <w:pPr>
        <w:spacing w:after="0" w:line="240" w:lineRule="auto"/>
      </w:pPr>
      <w:r>
        <w:continuationSeparator/>
      </w:r>
    </w:p>
  </w:footnote>
  <w:footnote w:type="continuationNotice" w:id="1">
    <w:p w14:paraId="3A771A38" w14:textId="77777777" w:rsidR="00D35CF9" w:rsidRDefault="00D35C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F69B5" w14:textId="77777777" w:rsidR="00252CB8" w:rsidRDefault="00252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C7675" w14:textId="1B6DDD83" w:rsidR="00252CB8" w:rsidRPr="001C1A06" w:rsidRDefault="00252CB8" w:rsidP="00D223EB">
    <w:pPr>
      <w:pStyle w:val="Header"/>
      <w:pBdr>
        <w:bottom w:val="single" w:sz="4" w:space="1" w:color="auto"/>
      </w:pBdr>
      <w:jc w:val="center"/>
      <w:rPr>
        <w:rFonts w:ascii="Arial-BoldMT" w:hAnsi="Arial-BoldMT" w:cs="Arial-BoldMT"/>
        <w:b/>
        <w:bCs/>
        <w:sz w:val="28"/>
        <w:szCs w:val="28"/>
      </w:rPr>
    </w:pPr>
    <w:r w:rsidRPr="001C1A06">
      <w:rPr>
        <w:rFonts w:ascii="Arial-BoldMT" w:hAnsi="Arial-BoldMT" w:cs="Arial-BoldMT"/>
        <w:b/>
        <w:bCs/>
        <w:sz w:val="28"/>
        <w:szCs w:val="28"/>
      </w:rPr>
      <w:t>Beth Israel Lahey Health</w:t>
    </w:r>
    <w:r>
      <w:rPr>
        <w:rFonts w:ascii="Arial-BoldMT" w:hAnsi="Arial-BoldMT" w:cs="Arial-BoldMT"/>
        <w:b/>
        <w:bCs/>
        <w:sz w:val="28"/>
        <w:szCs w:val="28"/>
      </w:rPr>
      <w:t>, Inc</w:t>
    </w:r>
  </w:p>
  <w:p w14:paraId="78DC6D8E" w14:textId="3768623B" w:rsidR="00252CB8" w:rsidRPr="001C1A06" w:rsidRDefault="00252CB8" w:rsidP="008F67D8">
    <w:pPr>
      <w:pStyle w:val="Header"/>
      <w:pBdr>
        <w:bottom w:val="single" w:sz="4" w:space="1" w:color="auto"/>
      </w:pBdr>
      <w:jc w:val="center"/>
      <w:rPr>
        <w:rFonts w:ascii="Arial-BoldMT" w:hAnsi="Arial-BoldMT" w:cs="Arial-BoldMT"/>
        <w:b/>
        <w:bCs/>
        <w:sz w:val="24"/>
        <w:szCs w:val="24"/>
      </w:rPr>
    </w:pPr>
    <w:r w:rsidRPr="008F67D8">
      <w:rPr>
        <w:rFonts w:ascii="Arial-BoldMT" w:hAnsi="Arial-BoldMT" w:cs="Arial-BoldMT"/>
        <w:b/>
        <w:bCs/>
        <w:sz w:val="24"/>
        <w:szCs w:val="24"/>
      </w:rPr>
      <w:t xml:space="preserve">DON # </w:t>
    </w:r>
    <w:r w:rsidRPr="009B320B">
      <w:rPr>
        <w:rFonts w:ascii="Arial-BoldMT" w:hAnsi="Arial-BoldMT" w:cs="Arial-BoldMT"/>
        <w:b/>
        <w:bCs/>
        <w:sz w:val="24"/>
        <w:szCs w:val="24"/>
      </w:rPr>
      <w:t>BILH-24080714-HE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DA0BF" w14:textId="77777777" w:rsidR="00252CB8" w:rsidRDefault="00252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353D47"/>
    <w:multiLevelType w:val="hybridMultilevel"/>
    <w:tmpl w:val="5F00E6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B92C64"/>
    <w:multiLevelType w:val="hybridMultilevel"/>
    <w:tmpl w:val="849E0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40C2F"/>
    <w:multiLevelType w:val="hybridMultilevel"/>
    <w:tmpl w:val="80769EDC"/>
    <w:lvl w:ilvl="0" w:tplc="87380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26CA4"/>
    <w:multiLevelType w:val="hybridMultilevel"/>
    <w:tmpl w:val="2BB67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B094B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6313F"/>
    <w:multiLevelType w:val="hybridMultilevel"/>
    <w:tmpl w:val="FAD2D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711C84"/>
    <w:multiLevelType w:val="hybridMultilevel"/>
    <w:tmpl w:val="422E347E"/>
    <w:lvl w:ilvl="0" w:tplc="87380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473D67"/>
    <w:multiLevelType w:val="hybridMultilevel"/>
    <w:tmpl w:val="C610C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054EFB"/>
    <w:multiLevelType w:val="hybridMultilevel"/>
    <w:tmpl w:val="2A2C3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BE0AEA"/>
    <w:multiLevelType w:val="hybridMultilevel"/>
    <w:tmpl w:val="7572FAC8"/>
    <w:lvl w:ilvl="0" w:tplc="D3504E2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976FC6"/>
    <w:multiLevelType w:val="hybridMultilevel"/>
    <w:tmpl w:val="A98C0492"/>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F651E2"/>
    <w:multiLevelType w:val="hybridMultilevel"/>
    <w:tmpl w:val="86168E88"/>
    <w:lvl w:ilvl="0" w:tplc="7D48BE8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09266D"/>
    <w:multiLevelType w:val="hybridMultilevel"/>
    <w:tmpl w:val="AE847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9C42DB"/>
    <w:multiLevelType w:val="hybridMultilevel"/>
    <w:tmpl w:val="CF4C1016"/>
    <w:lvl w:ilvl="0" w:tplc="72CC744C">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5E6056"/>
    <w:multiLevelType w:val="multilevel"/>
    <w:tmpl w:val="2AB83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A837BDC"/>
    <w:multiLevelType w:val="hybridMultilevel"/>
    <w:tmpl w:val="AEE623C4"/>
    <w:lvl w:ilvl="0" w:tplc="330CE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511235"/>
    <w:multiLevelType w:val="hybridMultilevel"/>
    <w:tmpl w:val="51E4F1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641600">
    <w:abstractNumId w:val="32"/>
  </w:num>
  <w:num w:numId="2" w16cid:durableId="1966887440">
    <w:abstractNumId w:val="48"/>
  </w:num>
  <w:num w:numId="3" w16cid:durableId="985815090">
    <w:abstractNumId w:val="43"/>
  </w:num>
  <w:num w:numId="4" w16cid:durableId="18093245">
    <w:abstractNumId w:val="11"/>
  </w:num>
  <w:num w:numId="5" w16cid:durableId="464205427">
    <w:abstractNumId w:val="37"/>
  </w:num>
  <w:num w:numId="6" w16cid:durableId="1769078958">
    <w:abstractNumId w:val="24"/>
  </w:num>
  <w:num w:numId="7" w16cid:durableId="903219595">
    <w:abstractNumId w:val="13"/>
  </w:num>
  <w:num w:numId="8" w16cid:durableId="1902862382">
    <w:abstractNumId w:val="9"/>
  </w:num>
  <w:num w:numId="9" w16cid:durableId="779571918">
    <w:abstractNumId w:val="21"/>
  </w:num>
  <w:num w:numId="10" w16cid:durableId="1334602537">
    <w:abstractNumId w:val="35"/>
  </w:num>
  <w:num w:numId="11" w16cid:durableId="1830517669">
    <w:abstractNumId w:val="23"/>
  </w:num>
  <w:num w:numId="12" w16cid:durableId="493298271">
    <w:abstractNumId w:val="34"/>
  </w:num>
  <w:num w:numId="13" w16cid:durableId="1061560543">
    <w:abstractNumId w:val="10"/>
  </w:num>
  <w:num w:numId="14" w16cid:durableId="173763615">
    <w:abstractNumId w:val="14"/>
  </w:num>
  <w:num w:numId="15" w16cid:durableId="938222889">
    <w:abstractNumId w:val="42"/>
  </w:num>
  <w:num w:numId="16" w16cid:durableId="722212358">
    <w:abstractNumId w:val="8"/>
  </w:num>
  <w:num w:numId="17" w16cid:durableId="1249849661">
    <w:abstractNumId w:val="16"/>
  </w:num>
  <w:num w:numId="18" w16cid:durableId="399257562">
    <w:abstractNumId w:val="6"/>
  </w:num>
  <w:num w:numId="19" w16cid:durableId="492142143">
    <w:abstractNumId w:val="4"/>
  </w:num>
  <w:num w:numId="20" w16cid:durableId="1903563434">
    <w:abstractNumId w:val="46"/>
  </w:num>
  <w:num w:numId="21" w16cid:durableId="1275751624">
    <w:abstractNumId w:val="39"/>
  </w:num>
  <w:num w:numId="22" w16cid:durableId="1596672714">
    <w:abstractNumId w:val="45"/>
  </w:num>
  <w:num w:numId="23" w16cid:durableId="675573117">
    <w:abstractNumId w:val="47"/>
  </w:num>
  <w:num w:numId="24" w16cid:durableId="1364358160">
    <w:abstractNumId w:val="27"/>
  </w:num>
  <w:num w:numId="25" w16cid:durableId="1031031573">
    <w:abstractNumId w:val="29"/>
  </w:num>
  <w:num w:numId="26" w16cid:durableId="113717690">
    <w:abstractNumId w:val="28"/>
  </w:num>
  <w:num w:numId="27" w16cid:durableId="600794651">
    <w:abstractNumId w:val="0"/>
  </w:num>
  <w:num w:numId="28" w16cid:durableId="1170634969">
    <w:abstractNumId w:val="1"/>
  </w:num>
  <w:num w:numId="29" w16cid:durableId="948127572">
    <w:abstractNumId w:val="36"/>
  </w:num>
  <w:num w:numId="30" w16cid:durableId="1592931749">
    <w:abstractNumId w:val="3"/>
  </w:num>
  <w:num w:numId="31" w16cid:durableId="690686443">
    <w:abstractNumId w:val="40"/>
  </w:num>
  <w:num w:numId="32" w16cid:durableId="1424103338">
    <w:abstractNumId w:val="44"/>
  </w:num>
  <w:num w:numId="33" w16cid:durableId="1178420016">
    <w:abstractNumId w:val="25"/>
  </w:num>
  <w:num w:numId="34" w16cid:durableId="651757101">
    <w:abstractNumId w:val="19"/>
  </w:num>
  <w:num w:numId="35" w16cid:durableId="1527869034">
    <w:abstractNumId w:val="15"/>
  </w:num>
  <w:num w:numId="36" w16cid:durableId="721179042">
    <w:abstractNumId w:val="12"/>
  </w:num>
  <w:num w:numId="37" w16cid:durableId="1473208138">
    <w:abstractNumId w:val="7"/>
  </w:num>
  <w:num w:numId="38" w16cid:durableId="1694305222">
    <w:abstractNumId w:val="31"/>
  </w:num>
  <w:num w:numId="39" w16cid:durableId="1648315543">
    <w:abstractNumId w:val="18"/>
  </w:num>
  <w:num w:numId="40" w16cid:durableId="299461637">
    <w:abstractNumId w:val="5"/>
  </w:num>
  <w:num w:numId="41" w16cid:durableId="446583096">
    <w:abstractNumId w:val="30"/>
  </w:num>
  <w:num w:numId="42" w16cid:durableId="16226898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1069150">
    <w:abstractNumId w:val="22"/>
  </w:num>
  <w:num w:numId="44" w16cid:durableId="1885753951">
    <w:abstractNumId w:val="2"/>
  </w:num>
  <w:num w:numId="45" w16cid:durableId="1995059883">
    <w:abstractNumId w:val="38"/>
  </w:num>
  <w:num w:numId="46" w16cid:durableId="1905136077">
    <w:abstractNumId w:val="20"/>
  </w:num>
  <w:num w:numId="47" w16cid:durableId="110125740">
    <w:abstractNumId w:val="17"/>
  </w:num>
  <w:num w:numId="48" w16cid:durableId="117454684">
    <w:abstractNumId w:val="41"/>
  </w:num>
  <w:num w:numId="49" w16cid:durableId="2086343389">
    <w:abstractNumId w:val="33"/>
  </w:num>
  <w:num w:numId="50" w16cid:durableId="7173654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C5C"/>
    <w:rsid w:val="00000463"/>
    <w:rsid w:val="000012DD"/>
    <w:rsid w:val="000037BD"/>
    <w:rsid w:val="000038CE"/>
    <w:rsid w:val="0000498C"/>
    <w:rsid w:val="00005930"/>
    <w:rsid w:val="00006166"/>
    <w:rsid w:val="00007CBD"/>
    <w:rsid w:val="00011385"/>
    <w:rsid w:val="00012264"/>
    <w:rsid w:val="00012279"/>
    <w:rsid w:val="00015EFC"/>
    <w:rsid w:val="000168C2"/>
    <w:rsid w:val="00016E99"/>
    <w:rsid w:val="00021767"/>
    <w:rsid w:val="00021A01"/>
    <w:rsid w:val="0002235E"/>
    <w:rsid w:val="00024C6C"/>
    <w:rsid w:val="00025521"/>
    <w:rsid w:val="00026B6F"/>
    <w:rsid w:val="00027FBC"/>
    <w:rsid w:val="0003012E"/>
    <w:rsid w:val="0003035A"/>
    <w:rsid w:val="00030F72"/>
    <w:rsid w:val="00032FF5"/>
    <w:rsid w:val="00040965"/>
    <w:rsid w:val="000413D6"/>
    <w:rsid w:val="0004380F"/>
    <w:rsid w:val="0004645C"/>
    <w:rsid w:val="00051AEF"/>
    <w:rsid w:val="00054FF4"/>
    <w:rsid w:val="0005525D"/>
    <w:rsid w:val="00055942"/>
    <w:rsid w:val="00055F9E"/>
    <w:rsid w:val="00056D5B"/>
    <w:rsid w:val="00057A92"/>
    <w:rsid w:val="000618A4"/>
    <w:rsid w:val="00063414"/>
    <w:rsid w:val="00064206"/>
    <w:rsid w:val="0006445F"/>
    <w:rsid w:val="00071162"/>
    <w:rsid w:val="00072EE3"/>
    <w:rsid w:val="00073DC9"/>
    <w:rsid w:val="00074092"/>
    <w:rsid w:val="00076535"/>
    <w:rsid w:val="000766DC"/>
    <w:rsid w:val="00076A84"/>
    <w:rsid w:val="00076CB2"/>
    <w:rsid w:val="000775B1"/>
    <w:rsid w:val="00080AC6"/>
    <w:rsid w:val="000826CB"/>
    <w:rsid w:val="00083193"/>
    <w:rsid w:val="0008493D"/>
    <w:rsid w:val="000862E1"/>
    <w:rsid w:val="0009039F"/>
    <w:rsid w:val="000906E1"/>
    <w:rsid w:val="000907F9"/>
    <w:rsid w:val="00091C4C"/>
    <w:rsid w:val="00092910"/>
    <w:rsid w:val="000952FD"/>
    <w:rsid w:val="00095621"/>
    <w:rsid w:val="00095FAB"/>
    <w:rsid w:val="00096ACB"/>
    <w:rsid w:val="00097B2C"/>
    <w:rsid w:val="000A56D4"/>
    <w:rsid w:val="000A5A22"/>
    <w:rsid w:val="000A691D"/>
    <w:rsid w:val="000A7A45"/>
    <w:rsid w:val="000B0A7F"/>
    <w:rsid w:val="000B1438"/>
    <w:rsid w:val="000B1D01"/>
    <w:rsid w:val="000C2766"/>
    <w:rsid w:val="000C4405"/>
    <w:rsid w:val="000C6277"/>
    <w:rsid w:val="000C7F71"/>
    <w:rsid w:val="000D0D41"/>
    <w:rsid w:val="000D2295"/>
    <w:rsid w:val="000D57D7"/>
    <w:rsid w:val="000E0B48"/>
    <w:rsid w:val="000E2F30"/>
    <w:rsid w:val="000E3622"/>
    <w:rsid w:val="000E5EC9"/>
    <w:rsid w:val="000E7E1B"/>
    <w:rsid w:val="000F0649"/>
    <w:rsid w:val="000F0EDD"/>
    <w:rsid w:val="000F4FA3"/>
    <w:rsid w:val="000F5BAD"/>
    <w:rsid w:val="000F5CC4"/>
    <w:rsid w:val="000F6503"/>
    <w:rsid w:val="00101646"/>
    <w:rsid w:val="001017F6"/>
    <w:rsid w:val="001018CF"/>
    <w:rsid w:val="00104288"/>
    <w:rsid w:val="001050F4"/>
    <w:rsid w:val="00105768"/>
    <w:rsid w:val="00106D23"/>
    <w:rsid w:val="00106F2E"/>
    <w:rsid w:val="00112BDF"/>
    <w:rsid w:val="00112E92"/>
    <w:rsid w:val="00113110"/>
    <w:rsid w:val="00115F5D"/>
    <w:rsid w:val="001204FE"/>
    <w:rsid w:val="00120FB5"/>
    <w:rsid w:val="00122099"/>
    <w:rsid w:val="0012232D"/>
    <w:rsid w:val="00123EE2"/>
    <w:rsid w:val="00124116"/>
    <w:rsid w:val="00125F6B"/>
    <w:rsid w:val="00126E85"/>
    <w:rsid w:val="0013225C"/>
    <w:rsid w:val="001332C7"/>
    <w:rsid w:val="00133CF7"/>
    <w:rsid w:val="00137A46"/>
    <w:rsid w:val="00137C36"/>
    <w:rsid w:val="0014505C"/>
    <w:rsid w:val="001459CB"/>
    <w:rsid w:val="00146FB4"/>
    <w:rsid w:val="0014727D"/>
    <w:rsid w:val="00147ED6"/>
    <w:rsid w:val="00150337"/>
    <w:rsid w:val="00152CFB"/>
    <w:rsid w:val="001538B2"/>
    <w:rsid w:val="00153D99"/>
    <w:rsid w:val="00154A10"/>
    <w:rsid w:val="001571BE"/>
    <w:rsid w:val="00160C67"/>
    <w:rsid w:val="00162A72"/>
    <w:rsid w:val="00164EAE"/>
    <w:rsid w:val="00166158"/>
    <w:rsid w:val="001679DC"/>
    <w:rsid w:val="00167F71"/>
    <w:rsid w:val="001701AE"/>
    <w:rsid w:val="00170D7F"/>
    <w:rsid w:val="00174CFB"/>
    <w:rsid w:val="00176547"/>
    <w:rsid w:val="00176C56"/>
    <w:rsid w:val="00180580"/>
    <w:rsid w:val="00182533"/>
    <w:rsid w:val="00183D7F"/>
    <w:rsid w:val="00185A10"/>
    <w:rsid w:val="00190646"/>
    <w:rsid w:val="0019184A"/>
    <w:rsid w:val="00191B78"/>
    <w:rsid w:val="00191DAC"/>
    <w:rsid w:val="001926A6"/>
    <w:rsid w:val="00192CFC"/>
    <w:rsid w:val="0019348F"/>
    <w:rsid w:val="00193CD7"/>
    <w:rsid w:val="001A0425"/>
    <w:rsid w:val="001A0FB0"/>
    <w:rsid w:val="001A11D0"/>
    <w:rsid w:val="001A170B"/>
    <w:rsid w:val="001A35DC"/>
    <w:rsid w:val="001A511B"/>
    <w:rsid w:val="001A66A9"/>
    <w:rsid w:val="001A767E"/>
    <w:rsid w:val="001B32E1"/>
    <w:rsid w:val="001B3A91"/>
    <w:rsid w:val="001B517F"/>
    <w:rsid w:val="001B569F"/>
    <w:rsid w:val="001B5845"/>
    <w:rsid w:val="001B5C12"/>
    <w:rsid w:val="001B7912"/>
    <w:rsid w:val="001B7F98"/>
    <w:rsid w:val="001C1986"/>
    <w:rsid w:val="001C1A06"/>
    <w:rsid w:val="001C2783"/>
    <w:rsid w:val="001C2A01"/>
    <w:rsid w:val="001C2FE0"/>
    <w:rsid w:val="001C44D2"/>
    <w:rsid w:val="001C5BF3"/>
    <w:rsid w:val="001C68E2"/>
    <w:rsid w:val="001C6B00"/>
    <w:rsid w:val="001C6D93"/>
    <w:rsid w:val="001D0111"/>
    <w:rsid w:val="001D01BF"/>
    <w:rsid w:val="001D079B"/>
    <w:rsid w:val="001D1521"/>
    <w:rsid w:val="001D1813"/>
    <w:rsid w:val="001D7C2C"/>
    <w:rsid w:val="001E07C3"/>
    <w:rsid w:val="001E0B77"/>
    <w:rsid w:val="001E0B94"/>
    <w:rsid w:val="001E19D7"/>
    <w:rsid w:val="001E21D7"/>
    <w:rsid w:val="001E2EA3"/>
    <w:rsid w:val="001E4503"/>
    <w:rsid w:val="001E5650"/>
    <w:rsid w:val="001E5807"/>
    <w:rsid w:val="001F02F3"/>
    <w:rsid w:val="001F03C7"/>
    <w:rsid w:val="001F27B7"/>
    <w:rsid w:val="001F30FB"/>
    <w:rsid w:val="001F5FDD"/>
    <w:rsid w:val="001F667D"/>
    <w:rsid w:val="001F687E"/>
    <w:rsid w:val="00200334"/>
    <w:rsid w:val="00201F6E"/>
    <w:rsid w:val="00202022"/>
    <w:rsid w:val="0020248B"/>
    <w:rsid w:val="00202AD7"/>
    <w:rsid w:val="002037DF"/>
    <w:rsid w:val="00203E5A"/>
    <w:rsid w:val="002050B9"/>
    <w:rsid w:val="00205E02"/>
    <w:rsid w:val="002069DD"/>
    <w:rsid w:val="002102EF"/>
    <w:rsid w:val="00212619"/>
    <w:rsid w:val="002131E4"/>
    <w:rsid w:val="00214FAA"/>
    <w:rsid w:val="002155ED"/>
    <w:rsid w:val="0021563E"/>
    <w:rsid w:val="00215B58"/>
    <w:rsid w:val="00216777"/>
    <w:rsid w:val="002179D1"/>
    <w:rsid w:val="00220641"/>
    <w:rsid w:val="00224770"/>
    <w:rsid w:val="00225057"/>
    <w:rsid w:val="00225B1E"/>
    <w:rsid w:val="00225C8A"/>
    <w:rsid w:val="00226A63"/>
    <w:rsid w:val="00227005"/>
    <w:rsid w:val="00227BD5"/>
    <w:rsid w:val="00230C3B"/>
    <w:rsid w:val="00230EF5"/>
    <w:rsid w:val="00231103"/>
    <w:rsid w:val="002314FF"/>
    <w:rsid w:val="00231E3B"/>
    <w:rsid w:val="00233AFE"/>
    <w:rsid w:val="00233C6B"/>
    <w:rsid w:val="00234272"/>
    <w:rsid w:val="002364A1"/>
    <w:rsid w:val="00236B31"/>
    <w:rsid w:val="00236D23"/>
    <w:rsid w:val="00241F52"/>
    <w:rsid w:val="0024261D"/>
    <w:rsid w:val="002458BA"/>
    <w:rsid w:val="0024615C"/>
    <w:rsid w:val="00246BD6"/>
    <w:rsid w:val="00246FBB"/>
    <w:rsid w:val="00251BEF"/>
    <w:rsid w:val="00252CB8"/>
    <w:rsid w:val="002533DB"/>
    <w:rsid w:val="0025349C"/>
    <w:rsid w:val="00253AF3"/>
    <w:rsid w:val="00253B0A"/>
    <w:rsid w:val="00254265"/>
    <w:rsid w:val="002542A0"/>
    <w:rsid w:val="00257224"/>
    <w:rsid w:val="0025780A"/>
    <w:rsid w:val="0025792F"/>
    <w:rsid w:val="00262131"/>
    <w:rsid w:val="00262359"/>
    <w:rsid w:val="00262E53"/>
    <w:rsid w:val="002643AF"/>
    <w:rsid w:val="00264588"/>
    <w:rsid w:val="0026558B"/>
    <w:rsid w:val="00267859"/>
    <w:rsid w:val="00270B47"/>
    <w:rsid w:val="00271BF5"/>
    <w:rsid w:val="00271D85"/>
    <w:rsid w:val="0027221A"/>
    <w:rsid w:val="0027284F"/>
    <w:rsid w:val="002750A6"/>
    <w:rsid w:val="002750C0"/>
    <w:rsid w:val="00276196"/>
    <w:rsid w:val="0027783A"/>
    <w:rsid w:val="002865E8"/>
    <w:rsid w:val="002906CE"/>
    <w:rsid w:val="002912FB"/>
    <w:rsid w:val="00291912"/>
    <w:rsid w:val="00292B13"/>
    <w:rsid w:val="00293147"/>
    <w:rsid w:val="00294D49"/>
    <w:rsid w:val="00296F21"/>
    <w:rsid w:val="0029738B"/>
    <w:rsid w:val="002A36DF"/>
    <w:rsid w:val="002A4110"/>
    <w:rsid w:val="002A47FE"/>
    <w:rsid w:val="002A518F"/>
    <w:rsid w:val="002A540F"/>
    <w:rsid w:val="002A5E73"/>
    <w:rsid w:val="002A6759"/>
    <w:rsid w:val="002B3476"/>
    <w:rsid w:val="002B4234"/>
    <w:rsid w:val="002B5ADB"/>
    <w:rsid w:val="002C0C55"/>
    <w:rsid w:val="002C0C71"/>
    <w:rsid w:val="002C3C86"/>
    <w:rsid w:val="002C568C"/>
    <w:rsid w:val="002C5E88"/>
    <w:rsid w:val="002D012B"/>
    <w:rsid w:val="002D06F7"/>
    <w:rsid w:val="002D18BF"/>
    <w:rsid w:val="002D1CC3"/>
    <w:rsid w:val="002D39AC"/>
    <w:rsid w:val="002D5E75"/>
    <w:rsid w:val="002D5F7A"/>
    <w:rsid w:val="002E364B"/>
    <w:rsid w:val="002E3CEF"/>
    <w:rsid w:val="002E46AB"/>
    <w:rsid w:val="002E5CA9"/>
    <w:rsid w:val="002F0337"/>
    <w:rsid w:val="002F3CDD"/>
    <w:rsid w:val="002F5878"/>
    <w:rsid w:val="002F7B99"/>
    <w:rsid w:val="002F7CF4"/>
    <w:rsid w:val="00301D82"/>
    <w:rsid w:val="00302D3F"/>
    <w:rsid w:val="003030AA"/>
    <w:rsid w:val="00303DD8"/>
    <w:rsid w:val="00303EE3"/>
    <w:rsid w:val="00306307"/>
    <w:rsid w:val="0030785A"/>
    <w:rsid w:val="003078B4"/>
    <w:rsid w:val="003079EC"/>
    <w:rsid w:val="00307F98"/>
    <w:rsid w:val="003103B0"/>
    <w:rsid w:val="00312739"/>
    <w:rsid w:val="00312A19"/>
    <w:rsid w:val="003173E7"/>
    <w:rsid w:val="00317580"/>
    <w:rsid w:val="00320371"/>
    <w:rsid w:val="00324696"/>
    <w:rsid w:val="0032484D"/>
    <w:rsid w:val="00324C6D"/>
    <w:rsid w:val="00325C01"/>
    <w:rsid w:val="00327903"/>
    <w:rsid w:val="00327EAC"/>
    <w:rsid w:val="00331E8E"/>
    <w:rsid w:val="00332A40"/>
    <w:rsid w:val="00332C4B"/>
    <w:rsid w:val="00333E04"/>
    <w:rsid w:val="00335F54"/>
    <w:rsid w:val="00336346"/>
    <w:rsid w:val="00342240"/>
    <w:rsid w:val="00344402"/>
    <w:rsid w:val="00344DAC"/>
    <w:rsid w:val="00345F1B"/>
    <w:rsid w:val="00346884"/>
    <w:rsid w:val="00346FEF"/>
    <w:rsid w:val="003506AE"/>
    <w:rsid w:val="003522D7"/>
    <w:rsid w:val="003533CA"/>
    <w:rsid w:val="00354D26"/>
    <w:rsid w:val="00356283"/>
    <w:rsid w:val="0035653B"/>
    <w:rsid w:val="00357756"/>
    <w:rsid w:val="00357BA6"/>
    <w:rsid w:val="003602C2"/>
    <w:rsid w:val="003620FB"/>
    <w:rsid w:val="00364225"/>
    <w:rsid w:val="00366505"/>
    <w:rsid w:val="0036671D"/>
    <w:rsid w:val="00366918"/>
    <w:rsid w:val="00366DCC"/>
    <w:rsid w:val="003675D5"/>
    <w:rsid w:val="003741E5"/>
    <w:rsid w:val="00375F14"/>
    <w:rsid w:val="003764DE"/>
    <w:rsid w:val="003765A6"/>
    <w:rsid w:val="003769AF"/>
    <w:rsid w:val="00380361"/>
    <w:rsid w:val="00380B28"/>
    <w:rsid w:val="00380BB5"/>
    <w:rsid w:val="00380E08"/>
    <w:rsid w:val="003813A0"/>
    <w:rsid w:val="00381CBF"/>
    <w:rsid w:val="00382217"/>
    <w:rsid w:val="00382F9A"/>
    <w:rsid w:val="00384767"/>
    <w:rsid w:val="0038699A"/>
    <w:rsid w:val="00387527"/>
    <w:rsid w:val="00387A47"/>
    <w:rsid w:val="00392D76"/>
    <w:rsid w:val="00393F8C"/>
    <w:rsid w:val="00394105"/>
    <w:rsid w:val="00394A1D"/>
    <w:rsid w:val="00395F3D"/>
    <w:rsid w:val="0039698B"/>
    <w:rsid w:val="003A1793"/>
    <w:rsid w:val="003A2B5B"/>
    <w:rsid w:val="003A36B2"/>
    <w:rsid w:val="003A4882"/>
    <w:rsid w:val="003A4DC6"/>
    <w:rsid w:val="003A5F8B"/>
    <w:rsid w:val="003A7217"/>
    <w:rsid w:val="003A7AB8"/>
    <w:rsid w:val="003B0073"/>
    <w:rsid w:val="003B00E6"/>
    <w:rsid w:val="003B0D30"/>
    <w:rsid w:val="003B1445"/>
    <w:rsid w:val="003B4D42"/>
    <w:rsid w:val="003B575F"/>
    <w:rsid w:val="003B5953"/>
    <w:rsid w:val="003C1787"/>
    <w:rsid w:val="003C2495"/>
    <w:rsid w:val="003C28D0"/>
    <w:rsid w:val="003C3117"/>
    <w:rsid w:val="003C37FC"/>
    <w:rsid w:val="003C38F5"/>
    <w:rsid w:val="003C3B18"/>
    <w:rsid w:val="003C3FFC"/>
    <w:rsid w:val="003C6F58"/>
    <w:rsid w:val="003C7A7B"/>
    <w:rsid w:val="003C7C67"/>
    <w:rsid w:val="003C7D2A"/>
    <w:rsid w:val="003D0F39"/>
    <w:rsid w:val="003D14BA"/>
    <w:rsid w:val="003D2A24"/>
    <w:rsid w:val="003D31FD"/>
    <w:rsid w:val="003D3D7D"/>
    <w:rsid w:val="003D4A6F"/>
    <w:rsid w:val="003D50D2"/>
    <w:rsid w:val="003D5D6C"/>
    <w:rsid w:val="003D7315"/>
    <w:rsid w:val="003D7942"/>
    <w:rsid w:val="003E0045"/>
    <w:rsid w:val="003E4BD2"/>
    <w:rsid w:val="003E4F87"/>
    <w:rsid w:val="003E5576"/>
    <w:rsid w:val="003E5688"/>
    <w:rsid w:val="003E7D0E"/>
    <w:rsid w:val="003F0972"/>
    <w:rsid w:val="003F1211"/>
    <w:rsid w:val="003F159E"/>
    <w:rsid w:val="003F5EF2"/>
    <w:rsid w:val="003F665D"/>
    <w:rsid w:val="003F7754"/>
    <w:rsid w:val="00401947"/>
    <w:rsid w:val="00402AC2"/>
    <w:rsid w:val="004035C4"/>
    <w:rsid w:val="00404913"/>
    <w:rsid w:val="00407E19"/>
    <w:rsid w:val="004102C5"/>
    <w:rsid w:val="00411D30"/>
    <w:rsid w:val="004141A0"/>
    <w:rsid w:val="0041770C"/>
    <w:rsid w:val="0042031C"/>
    <w:rsid w:val="00421844"/>
    <w:rsid w:val="00421B81"/>
    <w:rsid w:val="00421C21"/>
    <w:rsid w:val="00422255"/>
    <w:rsid w:val="004253AA"/>
    <w:rsid w:val="00426884"/>
    <w:rsid w:val="00431EC4"/>
    <w:rsid w:val="00432D19"/>
    <w:rsid w:val="0043468F"/>
    <w:rsid w:val="0043588D"/>
    <w:rsid w:val="00435E97"/>
    <w:rsid w:val="004365EF"/>
    <w:rsid w:val="00436DA5"/>
    <w:rsid w:val="00441ECA"/>
    <w:rsid w:val="00441F3E"/>
    <w:rsid w:val="004445A0"/>
    <w:rsid w:val="004449E1"/>
    <w:rsid w:val="00444A21"/>
    <w:rsid w:val="00445B4E"/>
    <w:rsid w:val="00447333"/>
    <w:rsid w:val="0045317B"/>
    <w:rsid w:val="004537FA"/>
    <w:rsid w:val="00455504"/>
    <w:rsid w:val="00456B10"/>
    <w:rsid w:val="00456FCF"/>
    <w:rsid w:val="00463824"/>
    <w:rsid w:val="00464ACB"/>
    <w:rsid w:val="00465F4D"/>
    <w:rsid w:val="004673C6"/>
    <w:rsid w:val="00470202"/>
    <w:rsid w:val="00470E1E"/>
    <w:rsid w:val="004739A3"/>
    <w:rsid w:val="00480049"/>
    <w:rsid w:val="00481ADC"/>
    <w:rsid w:val="004821A3"/>
    <w:rsid w:val="00484231"/>
    <w:rsid w:val="00484A85"/>
    <w:rsid w:val="004873F3"/>
    <w:rsid w:val="004901A5"/>
    <w:rsid w:val="00490846"/>
    <w:rsid w:val="00491AA3"/>
    <w:rsid w:val="004921DF"/>
    <w:rsid w:val="004931F9"/>
    <w:rsid w:val="00497513"/>
    <w:rsid w:val="0049782E"/>
    <w:rsid w:val="004A0DDC"/>
    <w:rsid w:val="004A1907"/>
    <w:rsid w:val="004A1B2F"/>
    <w:rsid w:val="004A1BB1"/>
    <w:rsid w:val="004A1D25"/>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998"/>
    <w:rsid w:val="004C2AE3"/>
    <w:rsid w:val="004C2EFC"/>
    <w:rsid w:val="004C3AB7"/>
    <w:rsid w:val="004C7C09"/>
    <w:rsid w:val="004D036D"/>
    <w:rsid w:val="004D0BF9"/>
    <w:rsid w:val="004D293C"/>
    <w:rsid w:val="004D3ED0"/>
    <w:rsid w:val="004D7C5C"/>
    <w:rsid w:val="004E166A"/>
    <w:rsid w:val="004E6482"/>
    <w:rsid w:val="004F432A"/>
    <w:rsid w:val="004F590F"/>
    <w:rsid w:val="004F6BB4"/>
    <w:rsid w:val="005002DE"/>
    <w:rsid w:val="005006E2"/>
    <w:rsid w:val="00502404"/>
    <w:rsid w:val="00505F96"/>
    <w:rsid w:val="00507039"/>
    <w:rsid w:val="00510EC8"/>
    <w:rsid w:val="00512FDF"/>
    <w:rsid w:val="005145C3"/>
    <w:rsid w:val="00514968"/>
    <w:rsid w:val="00514ECB"/>
    <w:rsid w:val="0051617E"/>
    <w:rsid w:val="00517104"/>
    <w:rsid w:val="00517D5A"/>
    <w:rsid w:val="00520833"/>
    <w:rsid w:val="00520941"/>
    <w:rsid w:val="00520CE7"/>
    <w:rsid w:val="005218C7"/>
    <w:rsid w:val="00522D14"/>
    <w:rsid w:val="00522F5F"/>
    <w:rsid w:val="005230B8"/>
    <w:rsid w:val="00524144"/>
    <w:rsid w:val="005248A7"/>
    <w:rsid w:val="00525292"/>
    <w:rsid w:val="005257D0"/>
    <w:rsid w:val="00525D26"/>
    <w:rsid w:val="00527788"/>
    <w:rsid w:val="005301FC"/>
    <w:rsid w:val="00530477"/>
    <w:rsid w:val="00532D6E"/>
    <w:rsid w:val="005338A0"/>
    <w:rsid w:val="00534C78"/>
    <w:rsid w:val="005356C2"/>
    <w:rsid w:val="00535A15"/>
    <w:rsid w:val="00536A69"/>
    <w:rsid w:val="00536B22"/>
    <w:rsid w:val="005379D8"/>
    <w:rsid w:val="00540589"/>
    <w:rsid w:val="00541E48"/>
    <w:rsid w:val="005430C8"/>
    <w:rsid w:val="0054339D"/>
    <w:rsid w:val="00546917"/>
    <w:rsid w:val="00547324"/>
    <w:rsid w:val="005475AF"/>
    <w:rsid w:val="005506E6"/>
    <w:rsid w:val="00551569"/>
    <w:rsid w:val="00554017"/>
    <w:rsid w:val="00554544"/>
    <w:rsid w:val="00554CF4"/>
    <w:rsid w:val="00555A05"/>
    <w:rsid w:val="005560CC"/>
    <w:rsid w:val="00561790"/>
    <w:rsid w:val="00561BCC"/>
    <w:rsid w:val="0056282F"/>
    <w:rsid w:val="00564C1B"/>
    <w:rsid w:val="00564F33"/>
    <w:rsid w:val="0056515A"/>
    <w:rsid w:val="00566687"/>
    <w:rsid w:val="00567A48"/>
    <w:rsid w:val="00570873"/>
    <w:rsid w:val="00573656"/>
    <w:rsid w:val="005759B7"/>
    <w:rsid w:val="005768C9"/>
    <w:rsid w:val="00577B19"/>
    <w:rsid w:val="00580CB5"/>
    <w:rsid w:val="00580E2B"/>
    <w:rsid w:val="0058155B"/>
    <w:rsid w:val="00581DB2"/>
    <w:rsid w:val="00581E7E"/>
    <w:rsid w:val="00587600"/>
    <w:rsid w:val="0059124F"/>
    <w:rsid w:val="005921B2"/>
    <w:rsid w:val="00592CEF"/>
    <w:rsid w:val="005941A3"/>
    <w:rsid w:val="005946AB"/>
    <w:rsid w:val="00595372"/>
    <w:rsid w:val="00595A74"/>
    <w:rsid w:val="00596226"/>
    <w:rsid w:val="00596309"/>
    <w:rsid w:val="00596F2D"/>
    <w:rsid w:val="00597369"/>
    <w:rsid w:val="005977E8"/>
    <w:rsid w:val="005A081D"/>
    <w:rsid w:val="005A11D8"/>
    <w:rsid w:val="005A2505"/>
    <w:rsid w:val="005A2EA2"/>
    <w:rsid w:val="005A2F6B"/>
    <w:rsid w:val="005A390D"/>
    <w:rsid w:val="005A3A68"/>
    <w:rsid w:val="005A5F29"/>
    <w:rsid w:val="005A71F5"/>
    <w:rsid w:val="005B24C1"/>
    <w:rsid w:val="005C1745"/>
    <w:rsid w:val="005C1922"/>
    <w:rsid w:val="005C1E0B"/>
    <w:rsid w:val="005C3394"/>
    <w:rsid w:val="005C4433"/>
    <w:rsid w:val="005C4EB9"/>
    <w:rsid w:val="005C5476"/>
    <w:rsid w:val="005C7D0C"/>
    <w:rsid w:val="005D4244"/>
    <w:rsid w:val="005D543B"/>
    <w:rsid w:val="005D54FE"/>
    <w:rsid w:val="005E01C0"/>
    <w:rsid w:val="005E07A8"/>
    <w:rsid w:val="005E1AEF"/>
    <w:rsid w:val="005E3669"/>
    <w:rsid w:val="005E55AF"/>
    <w:rsid w:val="005E6826"/>
    <w:rsid w:val="005E72B7"/>
    <w:rsid w:val="005F2E76"/>
    <w:rsid w:val="005F5F80"/>
    <w:rsid w:val="005F62ED"/>
    <w:rsid w:val="005F7339"/>
    <w:rsid w:val="00605067"/>
    <w:rsid w:val="006054A8"/>
    <w:rsid w:val="00605AB6"/>
    <w:rsid w:val="00607E0F"/>
    <w:rsid w:val="00610F50"/>
    <w:rsid w:val="006113E0"/>
    <w:rsid w:val="0061268C"/>
    <w:rsid w:val="00612D41"/>
    <w:rsid w:val="006149B7"/>
    <w:rsid w:val="00615C75"/>
    <w:rsid w:val="00621087"/>
    <w:rsid w:val="00623AD7"/>
    <w:rsid w:val="00624686"/>
    <w:rsid w:val="00624F1A"/>
    <w:rsid w:val="006269A1"/>
    <w:rsid w:val="00627A68"/>
    <w:rsid w:val="006303FF"/>
    <w:rsid w:val="00631829"/>
    <w:rsid w:val="006325B1"/>
    <w:rsid w:val="00632AEC"/>
    <w:rsid w:val="00636A3D"/>
    <w:rsid w:val="00636D6D"/>
    <w:rsid w:val="006403D2"/>
    <w:rsid w:val="00643226"/>
    <w:rsid w:val="00643D57"/>
    <w:rsid w:val="0064499E"/>
    <w:rsid w:val="00645592"/>
    <w:rsid w:val="006513CC"/>
    <w:rsid w:val="0065176F"/>
    <w:rsid w:val="006520E7"/>
    <w:rsid w:val="006533A2"/>
    <w:rsid w:val="0065372D"/>
    <w:rsid w:val="00654E2F"/>
    <w:rsid w:val="006560F8"/>
    <w:rsid w:val="006650CD"/>
    <w:rsid w:val="0066694A"/>
    <w:rsid w:val="006705F7"/>
    <w:rsid w:val="006708F8"/>
    <w:rsid w:val="006733D5"/>
    <w:rsid w:val="00674E0A"/>
    <w:rsid w:val="00680AD8"/>
    <w:rsid w:val="006814E7"/>
    <w:rsid w:val="00682275"/>
    <w:rsid w:val="006826AF"/>
    <w:rsid w:val="00684458"/>
    <w:rsid w:val="00687E3F"/>
    <w:rsid w:val="006906F3"/>
    <w:rsid w:val="00692BAB"/>
    <w:rsid w:val="00693E98"/>
    <w:rsid w:val="006969C6"/>
    <w:rsid w:val="006A11AA"/>
    <w:rsid w:val="006A1400"/>
    <w:rsid w:val="006A21E4"/>
    <w:rsid w:val="006A25D2"/>
    <w:rsid w:val="006A2BD7"/>
    <w:rsid w:val="006A3466"/>
    <w:rsid w:val="006A4D5B"/>
    <w:rsid w:val="006A5179"/>
    <w:rsid w:val="006A7E86"/>
    <w:rsid w:val="006A7EAE"/>
    <w:rsid w:val="006B0549"/>
    <w:rsid w:val="006B0698"/>
    <w:rsid w:val="006B0C48"/>
    <w:rsid w:val="006B0F22"/>
    <w:rsid w:val="006B4E04"/>
    <w:rsid w:val="006B5BEF"/>
    <w:rsid w:val="006B68C4"/>
    <w:rsid w:val="006B7171"/>
    <w:rsid w:val="006C1B8D"/>
    <w:rsid w:val="006C3ED5"/>
    <w:rsid w:val="006C552B"/>
    <w:rsid w:val="006D01D3"/>
    <w:rsid w:val="006D501C"/>
    <w:rsid w:val="006D6315"/>
    <w:rsid w:val="006D650D"/>
    <w:rsid w:val="006D6994"/>
    <w:rsid w:val="006D7054"/>
    <w:rsid w:val="006E112C"/>
    <w:rsid w:val="006E1D4C"/>
    <w:rsid w:val="006E279C"/>
    <w:rsid w:val="006E29DE"/>
    <w:rsid w:val="006E4E00"/>
    <w:rsid w:val="006E5304"/>
    <w:rsid w:val="006E5486"/>
    <w:rsid w:val="006E567F"/>
    <w:rsid w:val="006E5CDF"/>
    <w:rsid w:val="006E6DA9"/>
    <w:rsid w:val="006F0472"/>
    <w:rsid w:val="006F4EF5"/>
    <w:rsid w:val="006F5D61"/>
    <w:rsid w:val="006F7519"/>
    <w:rsid w:val="007013CB"/>
    <w:rsid w:val="00703ED5"/>
    <w:rsid w:val="0070409F"/>
    <w:rsid w:val="007113DC"/>
    <w:rsid w:val="00711700"/>
    <w:rsid w:val="00712FA6"/>
    <w:rsid w:val="0071352B"/>
    <w:rsid w:val="0071402E"/>
    <w:rsid w:val="0071563E"/>
    <w:rsid w:val="00715918"/>
    <w:rsid w:val="007172F6"/>
    <w:rsid w:val="007200B2"/>
    <w:rsid w:val="00722F8A"/>
    <w:rsid w:val="007230BC"/>
    <w:rsid w:val="00723188"/>
    <w:rsid w:val="00723E74"/>
    <w:rsid w:val="007242B4"/>
    <w:rsid w:val="00724BED"/>
    <w:rsid w:val="0073005B"/>
    <w:rsid w:val="00730E81"/>
    <w:rsid w:val="00733BDE"/>
    <w:rsid w:val="00733E21"/>
    <w:rsid w:val="0073404F"/>
    <w:rsid w:val="00734A0C"/>
    <w:rsid w:val="00735774"/>
    <w:rsid w:val="00740B16"/>
    <w:rsid w:val="00742E67"/>
    <w:rsid w:val="0074357F"/>
    <w:rsid w:val="00743F3B"/>
    <w:rsid w:val="00743F50"/>
    <w:rsid w:val="00746E66"/>
    <w:rsid w:val="00747EF6"/>
    <w:rsid w:val="007508EF"/>
    <w:rsid w:val="00750B62"/>
    <w:rsid w:val="0075159B"/>
    <w:rsid w:val="007525CA"/>
    <w:rsid w:val="007531D5"/>
    <w:rsid w:val="0075373D"/>
    <w:rsid w:val="00753F14"/>
    <w:rsid w:val="00757106"/>
    <w:rsid w:val="0076155B"/>
    <w:rsid w:val="00761997"/>
    <w:rsid w:val="0076213B"/>
    <w:rsid w:val="007627BF"/>
    <w:rsid w:val="00762CA1"/>
    <w:rsid w:val="00766B76"/>
    <w:rsid w:val="00771621"/>
    <w:rsid w:val="00774FA6"/>
    <w:rsid w:val="00775A18"/>
    <w:rsid w:val="00777580"/>
    <w:rsid w:val="007871AD"/>
    <w:rsid w:val="00787CB4"/>
    <w:rsid w:val="00791B92"/>
    <w:rsid w:val="00792DB0"/>
    <w:rsid w:val="007931E8"/>
    <w:rsid w:val="007934D2"/>
    <w:rsid w:val="00795B9D"/>
    <w:rsid w:val="00795E61"/>
    <w:rsid w:val="00795E6A"/>
    <w:rsid w:val="007966DB"/>
    <w:rsid w:val="007A5E33"/>
    <w:rsid w:val="007B35E1"/>
    <w:rsid w:val="007B3A5E"/>
    <w:rsid w:val="007B529A"/>
    <w:rsid w:val="007B57B1"/>
    <w:rsid w:val="007B5C83"/>
    <w:rsid w:val="007B689C"/>
    <w:rsid w:val="007C02F9"/>
    <w:rsid w:val="007C108B"/>
    <w:rsid w:val="007C2DF7"/>
    <w:rsid w:val="007C302D"/>
    <w:rsid w:val="007C3FFF"/>
    <w:rsid w:val="007C6B4E"/>
    <w:rsid w:val="007D023F"/>
    <w:rsid w:val="007D127A"/>
    <w:rsid w:val="007D1376"/>
    <w:rsid w:val="007D16C5"/>
    <w:rsid w:val="007D25EE"/>
    <w:rsid w:val="007D3BF6"/>
    <w:rsid w:val="007D3C65"/>
    <w:rsid w:val="007E0AC9"/>
    <w:rsid w:val="007E0DEF"/>
    <w:rsid w:val="007E5FE7"/>
    <w:rsid w:val="007E6854"/>
    <w:rsid w:val="007F1021"/>
    <w:rsid w:val="007F27AD"/>
    <w:rsid w:val="007F43D4"/>
    <w:rsid w:val="007F5301"/>
    <w:rsid w:val="007F561D"/>
    <w:rsid w:val="007F5C97"/>
    <w:rsid w:val="007F5DD1"/>
    <w:rsid w:val="007F6742"/>
    <w:rsid w:val="007F7F7A"/>
    <w:rsid w:val="008006D1"/>
    <w:rsid w:val="0080170E"/>
    <w:rsid w:val="008031C1"/>
    <w:rsid w:val="00803785"/>
    <w:rsid w:val="008050B8"/>
    <w:rsid w:val="008061A3"/>
    <w:rsid w:val="00807D3F"/>
    <w:rsid w:val="00810C49"/>
    <w:rsid w:val="008124F5"/>
    <w:rsid w:val="0081262E"/>
    <w:rsid w:val="00813262"/>
    <w:rsid w:val="00813ECA"/>
    <w:rsid w:val="00815464"/>
    <w:rsid w:val="0081551A"/>
    <w:rsid w:val="00815D51"/>
    <w:rsid w:val="0081609A"/>
    <w:rsid w:val="008167FD"/>
    <w:rsid w:val="00820074"/>
    <w:rsid w:val="00820C2B"/>
    <w:rsid w:val="008217B2"/>
    <w:rsid w:val="008218EF"/>
    <w:rsid w:val="00821F58"/>
    <w:rsid w:val="008222C5"/>
    <w:rsid w:val="008244F6"/>
    <w:rsid w:val="008263DF"/>
    <w:rsid w:val="00826574"/>
    <w:rsid w:val="00830723"/>
    <w:rsid w:val="0083116D"/>
    <w:rsid w:val="00833925"/>
    <w:rsid w:val="0083393C"/>
    <w:rsid w:val="00835493"/>
    <w:rsid w:val="00842E61"/>
    <w:rsid w:val="00843356"/>
    <w:rsid w:val="008440E4"/>
    <w:rsid w:val="008443E7"/>
    <w:rsid w:val="008449E3"/>
    <w:rsid w:val="0084640D"/>
    <w:rsid w:val="008464B2"/>
    <w:rsid w:val="00847411"/>
    <w:rsid w:val="00847665"/>
    <w:rsid w:val="00847BE1"/>
    <w:rsid w:val="00851136"/>
    <w:rsid w:val="008519A8"/>
    <w:rsid w:val="00851EBF"/>
    <w:rsid w:val="00852964"/>
    <w:rsid w:val="00854496"/>
    <w:rsid w:val="008552B3"/>
    <w:rsid w:val="0086021D"/>
    <w:rsid w:val="00862AF4"/>
    <w:rsid w:val="008634B7"/>
    <w:rsid w:val="00863F89"/>
    <w:rsid w:val="00863FC5"/>
    <w:rsid w:val="008643F3"/>
    <w:rsid w:val="00874C86"/>
    <w:rsid w:val="0087518D"/>
    <w:rsid w:val="00875EDB"/>
    <w:rsid w:val="00876CE8"/>
    <w:rsid w:val="0088093B"/>
    <w:rsid w:val="008809A6"/>
    <w:rsid w:val="00881DF6"/>
    <w:rsid w:val="00882805"/>
    <w:rsid w:val="00883587"/>
    <w:rsid w:val="00883C3A"/>
    <w:rsid w:val="00885BDE"/>
    <w:rsid w:val="008868E6"/>
    <w:rsid w:val="00886C13"/>
    <w:rsid w:val="00886E11"/>
    <w:rsid w:val="00890231"/>
    <w:rsid w:val="0089063F"/>
    <w:rsid w:val="008906F3"/>
    <w:rsid w:val="008922CA"/>
    <w:rsid w:val="008955B8"/>
    <w:rsid w:val="00895B40"/>
    <w:rsid w:val="00897A92"/>
    <w:rsid w:val="008A0455"/>
    <w:rsid w:val="008A0B8C"/>
    <w:rsid w:val="008A1722"/>
    <w:rsid w:val="008A1BCF"/>
    <w:rsid w:val="008A4AEA"/>
    <w:rsid w:val="008A6BAF"/>
    <w:rsid w:val="008A7920"/>
    <w:rsid w:val="008A7974"/>
    <w:rsid w:val="008A7D64"/>
    <w:rsid w:val="008B0352"/>
    <w:rsid w:val="008B18BD"/>
    <w:rsid w:val="008B7668"/>
    <w:rsid w:val="008C07AB"/>
    <w:rsid w:val="008C121E"/>
    <w:rsid w:val="008C1253"/>
    <w:rsid w:val="008C57DC"/>
    <w:rsid w:val="008C5B77"/>
    <w:rsid w:val="008C5D7E"/>
    <w:rsid w:val="008C698B"/>
    <w:rsid w:val="008D0B54"/>
    <w:rsid w:val="008D2B88"/>
    <w:rsid w:val="008D2D7E"/>
    <w:rsid w:val="008D5182"/>
    <w:rsid w:val="008D5359"/>
    <w:rsid w:val="008D6D5E"/>
    <w:rsid w:val="008D7435"/>
    <w:rsid w:val="008D7A80"/>
    <w:rsid w:val="008E0484"/>
    <w:rsid w:val="008E187B"/>
    <w:rsid w:val="008E234D"/>
    <w:rsid w:val="008E39DC"/>
    <w:rsid w:val="008E3C7A"/>
    <w:rsid w:val="008E455C"/>
    <w:rsid w:val="008E4FB8"/>
    <w:rsid w:val="008E6DF2"/>
    <w:rsid w:val="008E7355"/>
    <w:rsid w:val="008E7E5A"/>
    <w:rsid w:val="008F1860"/>
    <w:rsid w:val="008F2137"/>
    <w:rsid w:val="008F4E1B"/>
    <w:rsid w:val="008F5981"/>
    <w:rsid w:val="008F67D8"/>
    <w:rsid w:val="00900ED6"/>
    <w:rsid w:val="00901BE4"/>
    <w:rsid w:val="0090264F"/>
    <w:rsid w:val="009032E4"/>
    <w:rsid w:val="00906CCD"/>
    <w:rsid w:val="0090727A"/>
    <w:rsid w:val="0091156F"/>
    <w:rsid w:val="00911747"/>
    <w:rsid w:val="009135B7"/>
    <w:rsid w:val="00913ABE"/>
    <w:rsid w:val="009143F1"/>
    <w:rsid w:val="00914855"/>
    <w:rsid w:val="00915C11"/>
    <w:rsid w:val="00915F05"/>
    <w:rsid w:val="00916634"/>
    <w:rsid w:val="009171CE"/>
    <w:rsid w:val="009178DF"/>
    <w:rsid w:val="00924A83"/>
    <w:rsid w:val="009250A0"/>
    <w:rsid w:val="00925E85"/>
    <w:rsid w:val="009260CC"/>
    <w:rsid w:val="00926EDD"/>
    <w:rsid w:val="00931374"/>
    <w:rsid w:val="009317D3"/>
    <w:rsid w:val="00931AA1"/>
    <w:rsid w:val="00934706"/>
    <w:rsid w:val="0093616A"/>
    <w:rsid w:val="0093644B"/>
    <w:rsid w:val="009366A5"/>
    <w:rsid w:val="00936CCC"/>
    <w:rsid w:val="009376A5"/>
    <w:rsid w:val="00937C51"/>
    <w:rsid w:val="00937DF4"/>
    <w:rsid w:val="00940929"/>
    <w:rsid w:val="00943EBF"/>
    <w:rsid w:val="0094400A"/>
    <w:rsid w:val="00944815"/>
    <w:rsid w:val="009448F4"/>
    <w:rsid w:val="0094528E"/>
    <w:rsid w:val="00950BA9"/>
    <w:rsid w:val="00951254"/>
    <w:rsid w:val="00951485"/>
    <w:rsid w:val="009528C0"/>
    <w:rsid w:val="00955D10"/>
    <w:rsid w:val="00956F13"/>
    <w:rsid w:val="00960DBC"/>
    <w:rsid w:val="00963347"/>
    <w:rsid w:val="009637E5"/>
    <w:rsid w:val="00963B87"/>
    <w:rsid w:val="009656E3"/>
    <w:rsid w:val="00965AEA"/>
    <w:rsid w:val="009672C2"/>
    <w:rsid w:val="00967D55"/>
    <w:rsid w:val="00970D87"/>
    <w:rsid w:val="009723AD"/>
    <w:rsid w:val="00974468"/>
    <w:rsid w:val="0097656A"/>
    <w:rsid w:val="0097742B"/>
    <w:rsid w:val="00982647"/>
    <w:rsid w:val="00982829"/>
    <w:rsid w:val="00982B4D"/>
    <w:rsid w:val="009859C9"/>
    <w:rsid w:val="00985A22"/>
    <w:rsid w:val="009865DB"/>
    <w:rsid w:val="00986A89"/>
    <w:rsid w:val="00987B47"/>
    <w:rsid w:val="009910CE"/>
    <w:rsid w:val="00994000"/>
    <w:rsid w:val="009A4BB1"/>
    <w:rsid w:val="009A5373"/>
    <w:rsid w:val="009B0139"/>
    <w:rsid w:val="009B046C"/>
    <w:rsid w:val="009B122A"/>
    <w:rsid w:val="009B1C56"/>
    <w:rsid w:val="009B23D4"/>
    <w:rsid w:val="009B287F"/>
    <w:rsid w:val="009B320B"/>
    <w:rsid w:val="009B36CA"/>
    <w:rsid w:val="009B62C3"/>
    <w:rsid w:val="009B74DA"/>
    <w:rsid w:val="009B7881"/>
    <w:rsid w:val="009B7A81"/>
    <w:rsid w:val="009C0E83"/>
    <w:rsid w:val="009C11D6"/>
    <w:rsid w:val="009C1D85"/>
    <w:rsid w:val="009C2396"/>
    <w:rsid w:val="009C271D"/>
    <w:rsid w:val="009D0B90"/>
    <w:rsid w:val="009D0E59"/>
    <w:rsid w:val="009D2DC7"/>
    <w:rsid w:val="009D301F"/>
    <w:rsid w:val="009D46AB"/>
    <w:rsid w:val="009D6CE8"/>
    <w:rsid w:val="009D71EE"/>
    <w:rsid w:val="009D7BC6"/>
    <w:rsid w:val="009E1C94"/>
    <w:rsid w:val="009E2663"/>
    <w:rsid w:val="009E2754"/>
    <w:rsid w:val="009E3746"/>
    <w:rsid w:val="009F10DE"/>
    <w:rsid w:val="009F2325"/>
    <w:rsid w:val="009F3886"/>
    <w:rsid w:val="009F7263"/>
    <w:rsid w:val="00A00BAF"/>
    <w:rsid w:val="00A04393"/>
    <w:rsid w:val="00A05AE5"/>
    <w:rsid w:val="00A07020"/>
    <w:rsid w:val="00A0707E"/>
    <w:rsid w:val="00A07187"/>
    <w:rsid w:val="00A071D8"/>
    <w:rsid w:val="00A0730F"/>
    <w:rsid w:val="00A07682"/>
    <w:rsid w:val="00A109EC"/>
    <w:rsid w:val="00A1421C"/>
    <w:rsid w:val="00A144A7"/>
    <w:rsid w:val="00A14B99"/>
    <w:rsid w:val="00A15C5C"/>
    <w:rsid w:val="00A15FC6"/>
    <w:rsid w:val="00A1708E"/>
    <w:rsid w:val="00A17248"/>
    <w:rsid w:val="00A17E54"/>
    <w:rsid w:val="00A23564"/>
    <w:rsid w:val="00A256D6"/>
    <w:rsid w:val="00A266C5"/>
    <w:rsid w:val="00A27237"/>
    <w:rsid w:val="00A27C1B"/>
    <w:rsid w:val="00A32048"/>
    <w:rsid w:val="00A33B33"/>
    <w:rsid w:val="00A350ED"/>
    <w:rsid w:val="00A35384"/>
    <w:rsid w:val="00A40ACC"/>
    <w:rsid w:val="00A41584"/>
    <w:rsid w:val="00A42F5D"/>
    <w:rsid w:val="00A43080"/>
    <w:rsid w:val="00A43B47"/>
    <w:rsid w:val="00A44911"/>
    <w:rsid w:val="00A4674F"/>
    <w:rsid w:val="00A50902"/>
    <w:rsid w:val="00A50B75"/>
    <w:rsid w:val="00A52BF6"/>
    <w:rsid w:val="00A52D05"/>
    <w:rsid w:val="00A530E9"/>
    <w:rsid w:val="00A550CF"/>
    <w:rsid w:val="00A628AF"/>
    <w:rsid w:val="00A63B2C"/>
    <w:rsid w:val="00A63B34"/>
    <w:rsid w:val="00A65D21"/>
    <w:rsid w:val="00A71F8B"/>
    <w:rsid w:val="00A72A1B"/>
    <w:rsid w:val="00A7342F"/>
    <w:rsid w:val="00A73660"/>
    <w:rsid w:val="00A74634"/>
    <w:rsid w:val="00A7645F"/>
    <w:rsid w:val="00A77A53"/>
    <w:rsid w:val="00A80684"/>
    <w:rsid w:val="00A82823"/>
    <w:rsid w:val="00A83C91"/>
    <w:rsid w:val="00A8439B"/>
    <w:rsid w:val="00A84E87"/>
    <w:rsid w:val="00A864E1"/>
    <w:rsid w:val="00A87271"/>
    <w:rsid w:val="00A9164D"/>
    <w:rsid w:val="00A91AB7"/>
    <w:rsid w:val="00A92183"/>
    <w:rsid w:val="00A941F2"/>
    <w:rsid w:val="00A94BDA"/>
    <w:rsid w:val="00A94C41"/>
    <w:rsid w:val="00A94DFA"/>
    <w:rsid w:val="00A97218"/>
    <w:rsid w:val="00A979E2"/>
    <w:rsid w:val="00AA0462"/>
    <w:rsid w:val="00AA04A0"/>
    <w:rsid w:val="00AA12C8"/>
    <w:rsid w:val="00AA35A1"/>
    <w:rsid w:val="00AA3AE7"/>
    <w:rsid w:val="00AA55B4"/>
    <w:rsid w:val="00AA5AD2"/>
    <w:rsid w:val="00AA6233"/>
    <w:rsid w:val="00AA6E9C"/>
    <w:rsid w:val="00AB004E"/>
    <w:rsid w:val="00AB0B0A"/>
    <w:rsid w:val="00AB0CDE"/>
    <w:rsid w:val="00AB1643"/>
    <w:rsid w:val="00AB525B"/>
    <w:rsid w:val="00AB56AA"/>
    <w:rsid w:val="00AB76B3"/>
    <w:rsid w:val="00AC08F8"/>
    <w:rsid w:val="00AC2CEE"/>
    <w:rsid w:val="00AC34FD"/>
    <w:rsid w:val="00AC3823"/>
    <w:rsid w:val="00AC7702"/>
    <w:rsid w:val="00AD2C45"/>
    <w:rsid w:val="00AD3FD8"/>
    <w:rsid w:val="00AD4D0A"/>
    <w:rsid w:val="00AD7A33"/>
    <w:rsid w:val="00AE0C95"/>
    <w:rsid w:val="00AE1619"/>
    <w:rsid w:val="00AE1E9E"/>
    <w:rsid w:val="00AE1F14"/>
    <w:rsid w:val="00AE2E70"/>
    <w:rsid w:val="00AE3E40"/>
    <w:rsid w:val="00AE6CA3"/>
    <w:rsid w:val="00AE72CC"/>
    <w:rsid w:val="00AE7CBF"/>
    <w:rsid w:val="00AF01F5"/>
    <w:rsid w:val="00AF1414"/>
    <w:rsid w:val="00AF2AD0"/>
    <w:rsid w:val="00AF2C4C"/>
    <w:rsid w:val="00AF3336"/>
    <w:rsid w:val="00AF4579"/>
    <w:rsid w:val="00AF760E"/>
    <w:rsid w:val="00AF78D6"/>
    <w:rsid w:val="00B00949"/>
    <w:rsid w:val="00B011F9"/>
    <w:rsid w:val="00B0197E"/>
    <w:rsid w:val="00B01E81"/>
    <w:rsid w:val="00B0435F"/>
    <w:rsid w:val="00B04766"/>
    <w:rsid w:val="00B0601D"/>
    <w:rsid w:val="00B06DF0"/>
    <w:rsid w:val="00B079A7"/>
    <w:rsid w:val="00B10DB9"/>
    <w:rsid w:val="00B11DF8"/>
    <w:rsid w:val="00B15D82"/>
    <w:rsid w:val="00B17A76"/>
    <w:rsid w:val="00B2056A"/>
    <w:rsid w:val="00B20D4C"/>
    <w:rsid w:val="00B231D9"/>
    <w:rsid w:val="00B23473"/>
    <w:rsid w:val="00B23AE4"/>
    <w:rsid w:val="00B24C4E"/>
    <w:rsid w:val="00B25060"/>
    <w:rsid w:val="00B271C5"/>
    <w:rsid w:val="00B303DD"/>
    <w:rsid w:val="00B33CE4"/>
    <w:rsid w:val="00B34854"/>
    <w:rsid w:val="00B34BE7"/>
    <w:rsid w:val="00B3678C"/>
    <w:rsid w:val="00B37E4B"/>
    <w:rsid w:val="00B40EAB"/>
    <w:rsid w:val="00B41B3F"/>
    <w:rsid w:val="00B42417"/>
    <w:rsid w:val="00B42880"/>
    <w:rsid w:val="00B440D9"/>
    <w:rsid w:val="00B45060"/>
    <w:rsid w:val="00B45447"/>
    <w:rsid w:val="00B473EC"/>
    <w:rsid w:val="00B47B6B"/>
    <w:rsid w:val="00B47C7E"/>
    <w:rsid w:val="00B50946"/>
    <w:rsid w:val="00B512E6"/>
    <w:rsid w:val="00B5326E"/>
    <w:rsid w:val="00B53AB1"/>
    <w:rsid w:val="00B605C6"/>
    <w:rsid w:val="00B608E6"/>
    <w:rsid w:val="00B63DE0"/>
    <w:rsid w:val="00B65FB4"/>
    <w:rsid w:val="00B67CB1"/>
    <w:rsid w:val="00B70B72"/>
    <w:rsid w:val="00B715B4"/>
    <w:rsid w:val="00B73CA9"/>
    <w:rsid w:val="00B7599B"/>
    <w:rsid w:val="00B75AFF"/>
    <w:rsid w:val="00B765CA"/>
    <w:rsid w:val="00B772BD"/>
    <w:rsid w:val="00B77DF7"/>
    <w:rsid w:val="00B851A8"/>
    <w:rsid w:val="00B856DA"/>
    <w:rsid w:val="00B8765D"/>
    <w:rsid w:val="00B93245"/>
    <w:rsid w:val="00B96371"/>
    <w:rsid w:val="00B97154"/>
    <w:rsid w:val="00B97B4C"/>
    <w:rsid w:val="00BA1261"/>
    <w:rsid w:val="00BA1F76"/>
    <w:rsid w:val="00BA2559"/>
    <w:rsid w:val="00BA49FE"/>
    <w:rsid w:val="00BA5DC1"/>
    <w:rsid w:val="00BA6C3B"/>
    <w:rsid w:val="00BB0119"/>
    <w:rsid w:val="00BB09C5"/>
    <w:rsid w:val="00BB0F4E"/>
    <w:rsid w:val="00BB26D4"/>
    <w:rsid w:val="00BB2D8B"/>
    <w:rsid w:val="00BB372A"/>
    <w:rsid w:val="00BB42EF"/>
    <w:rsid w:val="00BB758B"/>
    <w:rsid w:val="00BC09B3"/>
    <w:rsid w:val="00BC1DD2"/>
    <w:rsid w:val="00BC5571"/>
    <w:rsid w:val="00BC5676"/>
    <w:rsid w:val="00BC689E"/>
    <w:rsid w:val="00BD1BBA"/>
    <w:rsid w:val="00BD1E7E"/>
    <w:rsid w:val="00BD2346"/>
    <w:rsid w:val="00BD2FF4"/>
    <w:rsid w:val="00BD3B34"/>
    <w:rsid w:val="00BD5D70"/>
    <w:rsid w:val="00BD66E6"/>
    <w:rsid w:val="00BD6D73"/>
    <w:rsid w:val="00BD782E"/>
    <w:rsid w:val="00BE1885"/>
    <w:rsid w:val="00BE30DE"/>
    <w:rsid w:val="00BE47F4"/>
    <w:rsid w:val="00BE5B4B"/>
    <w:rsid w:val="00BE5D9B"/>
    <w:rsid w:val="00BE67C3"/>
    <w:rsid w:val="00BE7434"/>
    <w:rsid w:val="00BF0682"/>
    <w:rsid w:val="00BF1147"/>
    <w:rsid w:val="00BF23D2"/>
    <w:rsid w:val="00BF349C"/>
    <w:rsid w:val="00BF3831"/>
    <w:rsid w:val="00BF4BB3"/>
    <w:rsid w:val="00BF57F0"/>
    <w:rsid w:val="00BF6A10"/>
    <w:rsid w:val="00C010A7"/>
    <w:rsid w:val="00C015DC"/>
    <w:rsid w:val="00C0482D"/>
    <w:rsid w:val="00C048DB"/>
    <w:rsid w:val="00C143F4"/>
    <w:rsid w:val="00C14DDD"/>
    <w:rsid w:val="00C16717"/>
    <w:rsid w:val="00C16FD9"/>
    <w:rsid w:val="00C173CA"/>
    <w:rsid w:val="00C173F7"/>
    <w:rsid w:val="00C176D2"/>
    <w:rsid w:val="00C17CC6"/>
    <w:rsid w:val="00C20009"/>
    <w:rsid w:val="00C20168"/>
    <w:rsid w:val="00C20F9A"/>
    <w:rsid w:val="00C239AF"/>
    <w:rsid w:val="00C25E62"/>
    <w:rsid w:val="00C27682"/>
    <w:rsid w:val="00C31CF6"/>
    <w:rsid w:val="00C354EB"/>
    <w:rsid w:val="00C40A1F"/>
    <w:rsid w:val="00C41902"/>
    <w:rsid w:val="00C41ABA"/>
    <w:rsid w:val="00C42388"/>
    <w:rsid w:val="00C4285D"/>
    <w:rsid w:val="00C44809"/>
    <w:rsid w:val="00C44C22"/>
    <w:rsid w:val="00C45CB9"/>
    <w:rsid w:val="00C465B1"/>
    <w:rsid w:val="00C46878"/>
    <w:rsid w:val="00C46BCC"/>
    <w:rsid w:val="00C5224B"/>
    <w:rsid w:val="00C52979"/>
    <w:rsid w:val="00C52F6D"/>
    <w:rsid w:val="00C539F0"/>
    <w:rsid w:val="00C55E62"/>
    <w:rsid w:val="00C562BF"/>
    <w:rsid w:val="00C56FD7"/>
    <w:rsid w:val="00C60878"/>
    <w:rsid w:val="00C625DD"/>
    <w:rsid w:val="00C70920"/>
    <w:rsid w:val="00C70D92"/>
    <w:rsid w:val="00C7150E"/>
    <w:rsid w:val="00C72E70"/>
    <w:rsid w:val="00C73799"/>
    <w:rsid w:val="00C75012"/>
    <w:rsid w:val="00C763C6"/>
    <w:rsid w:val="00C77B17"/>
    <w:rsid w:val="00C80AF1"/>
    <w:rsid w:val="00C814D9"/>
    <w:rsid w:val="00C821F5"/>
    <w:rsid w:val="00C8280E"/>
    <w:rsid w:val="00C83FA6"/>
    <w:rsid w:val="00C843B2"/>
    <w:rsid w:val="00C850B6"/>
    <w:rsid w:val="00C85712"/>
    <w:rsid w:val="00C86045"/>
    <w:rsid w:val="00C8665D"/>
    <w:rsid w:val="00C86A46"/>
    <w:rsid w:val="00C8763F"/>
    <w:rsid w:val="00C90FB6"/>
    <w:rsid w:val="00C921DF"/>
    <w:rsid w:val="00C924E3"/>
    <w:rsid w:val="00C92FBB"/>
    <w:rsid w:val="00C938D8"/>
    <w:rsid w:val="00C93E8E"/>
    <w:rsid w:val="00C95555"/>
    <w:rsid w:val="00C95F6B"/>
    <w:rsid w:val="00C96658"/>
    <w:rsid w:val="00CA0FB3"/>
    <w:rsid w:val="00CA3412"/>
    <w:rsid w:val="00CA49B1"/>
    <w:rsid w:val="00CA4F7B"/>
    <w:rsid w:val="00CA691E"/>
    <w:rsid w:val="00CA6EEC"/>
    <w:rsid w:val="00CA7229"/>
    <w:rsid w:val="00CA7E20"/>
    <w:rsid w:val="00CB139E"/>
    <w:rsid w:val="00CB3DC0"/>
    <w:rsid w:val="00CB4136"/>
    <w:rsid w:val="00CB4C5C"/>
    <w:rsid w:val="00CB573E"/>
    <w:rsid w:val="00CB7D84"/>
    <w:rsid w:val="00CC11B8"/>
    <w:rsid w:val="00CC2555"/>
    <w:rsid w:val="00CC38FF"/>
    <w:rsid w:val="00CC4C68"/>
    <w:rsid w:val="00CC576D"/>
    <w:rsid w:val="00CC61A0"/>
    <w:rsid w:val="00CC6C74"/>
    <w:rsid w:val="00CC71D1"/>
    <w:rsid w:val="00CD1315"/>
    <w:rsid w:val="00CD25EC"/>
    <w:rsid w:val="00CD2F8C"/>
    <w:rsid w:val="00CD48D5"/>
    <w:rsid w:val="00CD5EE9"/>
    <w:rsid w:val="00CD72FB"/>
    <w:rsid w:val="00CE2263"/>
    <w:rsid w:val="00CE304C"/>
    <w:rsid w:val="00CE6956"/>
    <w:rsid w:val="00CE722D"/>
    <w:rsid w:val="00CE782C"/>
    <w:rsid w:val="00CE7C72"/>
    <w:rsid w:val="00CF0F40"/>
    <w:rsid w:val="00CF1A54"/>
    <w:rsid w:val="00CF20FD"/>
    <w:rsid w:val="00CF2AD9"/>
    <w:rsid w:val="00CF3097"/>
    <w:rsid w:val="00CF3442"/>
    <w:rsid w:val="00CF3BA4"/>
    <w:rsid w:val="00CF3E33"/>
    <w:rsid w:val="00CF3F4C"/>
    <w:rsid w:val="00CF5DDA"/>
    <w:rsid w:val="00CF63EB"/>
    <w:rsid w:val="00D00CC7"/>
    <w:rsid w:val="00D01766"/>
    <w:rsid w:val="00D02802"/>
    <w:rsid w:val="00D03465"/>
    <w:rsid w:val="00D054A2"/>
    <w:rsid w:val="00D05578"/>
    <w:rsid w:val="00D11BF8"/>
    <w:rsid w:val="00D124F9"/>
    <w:rsid w:val="00D12AEB"/>
    <w:rsid w:val="00D13800"/>
    <w:rsid w:val="00D142B2"/>
    <w:rsid w:val="00D1440E"/>
    <w:rsid w:val="00D15494"/>
    <w:rsid w:val="00D15AA5"/>
    <w:rsid w:val="00D1799E"/>
    <w:rsid w:val="00D17C2F"/>
    <w:rsid w:val="00D223EB"/>
    <w:rsid w:val="00D234A6"/>
    <w:rsid w:val="00D23E55"/>
    <w:rsid w:val="00D24403"/>
    <w:rsid w:val="00D248EF"/>
    <w:rsid w:val="00D24AF2"/>
    <w:rsid w:val="00D25722"/>
    <w:rsid w:val="00D27182"/>
    <w:rsid w:val="00D279F2"/>
    <w:rsid w:val="00D3234B"/>
    <w:rsid w:val="00D33210"/>
    <w:rsid w:val="00D33B9C"/>
    <w:rsid w:val="00D35CF9"/>
    <w:rsid w:val="00D35DF3"/>
    <w:rsid w:val="00D37D26"/>
    <w:rsid w:val="00D37EAE"/>
    <w:rsid w:val="00D4092D"/>
    <w:rsid w:val="00D4103C"/>
    <w:rsid w:val="00D41E4A"/>
    <w:rsid w:val="00D41FAA"/>
    <w:rsid w:val="00D422E3"/>
    <w:rsid w:val="00D436C9"/>
    <w:rsid w:val="00D506CF"/>
    <w:rsid w:val="00D51950"/>
    <w:rsid w:val="00D54AD2"/>
    <w:rsid w:val="00D54B26"/>
    <w:rsid w:val="00D56AEF"/>
    <w:rsid w:val="00D60585"/>
    <w:rsid w:val="00D6142C"/>
    <w:rsid w:val="00D6254B"/>
    <w:rsid w:val="00D63B4A"/>
    <w:rsid w:val="00D64C10"/>
    <w:rsid w:val="00D653C6"/>
    <w:rsid w:val="00D67AD8"/>
    <w:rsid w:val="00D753F8"/>
    <w:rsid w:val="00D75C50"/>
    <w:rsid w:val="00D76F45"/>
    <w:rsid w:val="00D76F97"/>
    <w:rsid w:val="00D808DE"/>
    <w:rsid w:val="00D849A9"/>
    <w:rsid w:val="00D851C5"/>
    <w:rsid w:val="00D85B70"/>
    <w:rsid w:val="00D86248"/>
    <w:rsid w:val="00D866CA"/>
    <w:rsid w:val="00D93BBE"/>
    <w:rsid w:val="00D94501"/>
    <w:rsid w:val="00D95A4C"/>
    <w:rsid w:val="00DA30C7"/>
    <w:rsid w:val="00DA349F"/>
    <w:rsid w:val="00DA6574"/>
    <w:rsid w:val="00DA6F3F"/>
    <w:rsid w:val="00DB181C"/>
    <w:rsid w:val="00DB2E40"/>
    <w:rsid w:val="00DB499A"/>
    <w:rsid w:val="00DB53EB"/>
    <w:rsid w:val="00DB6498"/>
    <w:rsid w:val="00DB685D"/>
    <w:rsid w:val="00DB6A78"/>
    <w:rsid w:val="00DB78F7"/>
    <w:rsid w:val="00DC3F91"/>
    <w:rsid w:val="00DD0C1E"/>
    <w:rsid w:val="00DD1419"/>
    <w:rsid w:val="00DD15B6"/>
    <w:rsid w:val="00DD707B"/>
    <w:rsid w:val="00DD7384"/>
    <w:rsid w:val="00DD74BE"/>
    <w:rsid w:val="00DE083F"/>
    <w:rsid w:val="00DE1DC5"/>
    <w:rsid w:val="00DE5006"/>
    <w:rsid w:val="00DE53D8"/>
    <w:rsid w:val="00DE6121"/>
    <w:rsid w:val="00DE7675"/>
    <w:rsid w:val="00DF07AB"/>
    <w:rsid w:val="00DF2366"/>
    <w:rsid w:val="00DF2716"/>
    <w:rsid w:val="00DF3BCD"/>
    <w:rsid w:val="00DF40C8"/>
    <w:rsid w:val="00DF54A7"/>
    <w:rsid w:val="00DF61D9"/>
    <w:rsid w:val="00DF733C"/>
    <w:rsid w:val="00DF7544"/>
    <w:rsid w:val="00DF7DD6"/>
    <w:rsid w:val="00DF7F14"/>
    <w:rsid w:val="00E0011C"/>
    <w:rsid w:val="00E001B4"/>
    <w:rsid w:val="00E0057B"/>
    <w:rsid w:val="00E016A6"/>
    <w:rsid w:val="00E0173C"/>
    <w:rsid w:val="00E01C7F"/>
    <w:rsid w:val="00E0201D"/>
    <w:rsid w:val="00E0307B"/>
    <w:rsid w:val="00E053D2"/>
    <w:rsid w:val="00E0607C"/>
    <w:rsid w:val="00E06845"/>
    <w:rsid w:val="00E0696A"/>
    <w:rsid w:val="00E069DE"/>
    <w:rsid w:val="00E06C94"/>
    <w:rsid w:val="00E07CD1"/>
    <w:rsid w:val="00E07F6A"/>
    <w:rsid w:val="00E07F7B"/>
    <w:rsid w:val="00E10890"/>
    <w:rsid w:val="00E14572"/>
    <w:rsid w:val="00E14CF2"/>
    <w:rsid w:val="00E15BF1"/>
    <w:rsid w:val="00E15C5B"/>
    <w:rsid w:val="00E20E96"/>
    <w:rsid w:val="00E243F9"/>
    <w:rsid w:val="00E25B24"/>
    <w:rsid w:val="00E27352"/>
    <w:rsid w:val="00E33041"/>
    <w:rsid w:val="00E34127"/>
    <w:rsid w:val="00E34361"/>
    <w:rsid w:val="00E36A96"/>
    <w:rsid w:val="00E36FE4"/>
    <w:rsid w:val="00E375B1"/>
    <w:rsid w:val="00E44060"/>
    <w:rsid w:val="00E45650"/>
    <w:rsid w:val="00E4579E"/>
    <w:rsid w:val="00E46C03"/>
    <w:rsid w:val="00E51913"/>
    <w:rsid w:val="00E53ADF"/>
    <w:rsid w:val="00E54D9E"/>
    <w:rsid w:val="00E54E73"/>
    <w:rsid w:val="00E5594A"/>
    <w:rsid w:val="00E55FD8"/>
    <w:rsid w:val="00E56B19"/>
    <w:rsid w:val="00E6000D"/>
    <w:rsid w:val="00E6165E"/>
    <w:rsid w:val="00E61DF7"/>
    <w:rsid w:val="00E66076"/>
    <w:rsid w:val="00E701D0"/>
    <w:rsid w:val="00E716F0"/>
    <w:rsid w:val="00E71ED3"/>
    <w:rsid w:val="00E71F1D"/>
    <w:rsid w:val="00E72C72"/>
    <w:rsid w:val="00E73075"/>
    <w:rsid w:val="00E73907"/>
    <w:rsid w:val="00E765D3"/>
    <w:rsid w:val="00E765E9"/>
    <w:rsid w:val="00E806BC"/>
    <w:rsid w:val="00E84BDB"/>
    <w:rsid w:val="00E85FDE"/>
    <w:rsid w:val="00E86ACC"/>
    <w:rsid w:val="00E8740C"/>
    <w:rsid w:val="00E9046F"/>
    <w:rsid w:val="00E9257E"/>
    <w:rsid w:val="00E92D51"/>
    <w:rsid w:val="00E932CC"/>
    <w:rsid w:val="00E94723"/>
    <w:rsid w:val="00E951C0"/>
    <w:rsid w:val="00E973AC"/>
    <w:rsid w:val="00EA0562"/>
    <w:rsid w:val="00EA177F"/>
    <w:rsid w:val="00EA5364"/>
    <w:rsid w:val="00EA589C"/>
    <w:rsid w:val="00EA63D9"/>
    <w:rsid w:val="00EB3372"/>
    <w:rsid w:val="00EB3A91"/>
    <w:rsid w:val="00EB60B1"/>
    <w:rsid w:val="00EB63FE"/>
    <w:rsid w:val="00EB65B1"/>
    <w:rsid w:val="00EB7EB9"/>
    <w:rsid w:val="00EC0FF2"/>
    <w:rsid w:val="00EC102F"/>
    <w:rsid w:val="00EC2145"/>
    <w:rsid w:val="00EC39D3"/>
    <w:rsid w:val="00EC5F2B"/>
    <w:rsid w:val="00EC7F18"/>
    <w:rsid w:val="00ED11A7"/>
    <w:rsid w:val="00ED4A6A"/>
    <w:rsid w:val="00ED55BC"/>
    <w:rsid w:val="00EE0262"/>
    <w:rsid w:val="00EE0E26"/>
    <w:rsid w:val="00EE15A4"/>
    <w:rsid w:val="00EE5976"/>
    <w:rsid w:val="00EF1AF6"/>
    <w:rsid w:val="00EF43C6"/>
    <w:rsid w:val="00EF55AD"/>
    <w:rsid w:val="00EF7B23"/>
    <w:rsid w:val="00F00CC5"/>
    <w:rsid w:val="00F017A9"/>
    <w:rsid w:val="00F01A17"/>
    <w:rsid w:val="00F038A9"/>
    <w:rsid w:val="00F055F8"/>
    <w:rsid w:val="00F065A1"/>
    <w:rsid w:val="00F06B13"/>
    <w:rsid w:val="00F0780E"/>
    <w:rsid w:val="00F101A5"/>
    <w:rsid w:val="00F10E3B"/>
    <w:rsid w:val="00F12B4F"/>
    <w:rsid w:val="00F13D4E"/>
    <w:rsid w:val="00F15C16"/>
    <w:rsid w:val="00F160CC"/>
    <w:rsid w:val="00F2008B"/>
    <w:rsid w:val="00F21CEC"/>
    <w:rsid w:val="00F22098"/>
    <w:rsid w:val="00F23FE9"/>
    <w:rsid w:val="00F2425E"/>
    <w:rsid w:val="00F2668C"/>
    <w:rsid w:val="00F273E5"/>
    <w:rsid w:val="00F327BD"/>
    <w:rsid w:val="00F33195"/>
    <w:rsid w:val="00F358C6"/>
    <w:rsid w:val="00F35DC5"/>
    <w:rsid w:val="00F36E10"/>
    <w:rsid w:val="00F37114"/>
    <w:rsid w:val="00F375D5"/>
    <w:rsid w:val="00F377FC"/>
    <w:rsid w:val="00F43DDD"/>
    <w:rsid w:val="00F442EE"/>
    <w:rsid w:val="00F44AC8"/>
    <w:rsid w:val="00F4550A"/>
    <w:rsid w:val="00F45A79"/>
    <w:rsid w:val="00F50CED"/>
    <w:rsid w:val="00F51EAF"/>
    <w:rsid w:val="00F5250D"/>
    <w:rsid w:val="00F52B8A"/>
    <w:rsid w:val="00F54F74"/>
    <w:rsid w:val="00F5589B"/>
    <w:rsid w:val="00F5646B"/>
    <w:rsid w:val="00F564AF"/>
    <w:rsid w:val="00F648BC"/>
    <w:rsid w:val="00F65C63"/>
    <w:rsid w:val="00F66881"/>
    <w:rsid w:val="00F729F3"/>
    <w:rsid w:val="00F747E9"/>
    <w:rsid w:val="00F75B25"/>
    <w:rsid w:val="00F76C99"/>
    <w:rsid w:val="00F804A0"/>
    <w:rsid w:val="00F805AF"/>
    <w:rsid w:val="00F8212F"/>
    <w:rsid w:val="00F84D44"/>
    <w:rsid w:val="00F85E32"/>
    <w:rsid w:val="00F90453"/>
    <w:rsid w:val="00F90488"/>
    <w:rsid w:val="00F9073C"/>
    <w:rsid w:val="00F90C54"/>
    <w:rsid w:val="00F92D3B"/>
    <w:rsid w:val="00F95028"/>
    <w:rsid w:val="00F956B0"/>
    <w:rsid w:val="00F965BD"/>
    <w:rsid w:val="00F970D1"/>
    <w:rsid w:val="00FA0244"/>
    <w:rsid w:val="00FA207E"/>
    <w:rsid w:val="00FA2294"/>
    <w:rsid w:val="00FA24C1"/>
    <w:rsid w:val="00FA2790"/>
    <w:rsid w:val="00FA2CD1"/>
    <w:rsid w:val="00FA59CA"/>
    <w:rsid w:val="00FA5F90"/>
    <w:rsid w:val="00FA6363"/>
    <w:rsid w:val="00FA7C14"/>
    <w:rsid w:val="00FB1E9F"/>
    <w:rsid w:val="00FB2481"/>
    <w:rsid w:val="00FB3938"/>
    <w:rsid w:val="00FB4914"/>
    <w:rsid w:val="00FB5624"/>
    <w:rsid w:val="00FB6B1B"/>
    <w:rsid w:val="00FB7800"/>
    <w:rsid w:val="00FC3E50"/>
    <w:rsid w:val="00FC40E5"/>
    <w:rsid w:val="00FC4760"/>
    <w:rsid w:val="00FC498E"/>
    <w:rsid w:val="00FC549D"/>
    <w:rsid w:val="00FC6EEA"/>
    <w:rsid w:val="00FD0471"/>
    <w:rsid w:val="00FD1088"/>
    <w:rsid w:val="00FD1CC4"/>
    <w:rsid w:val="00FD4BAD"/>
    <w:rsid w:val="00FE0B49"/>
    <w:rsid w:val="00FE3604"/>
    <w:rsid w:val="00FE4B35"/>
    <w:rsid w:val="00FF03A3"/>
    <w:rsid w:val="00FF1221"/>
    <w:rsid w:val="00FF2FAD"/>
    <w:rsid w:val="00FF328B"/>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B97154"/>
    <w:rPr>
      <w:color w:val="954F72" w:themeColor="followedHyperlink"/>
      <w:u w:val="single"/>
    </w:rPr>
  </w:style>
  <w:style w:type="character" w:customStyle="1" w:styleId="UnresolvedMention2">
    <w:name w:val="Unresolved Mention2"/>
    <w:basedOn w:val="DefaultParagraphFont"/>
    <w:uiPriority w:val="99"/>
    <w:semiHidden/>
    <w:unhideWhenUsed/>
    <w:rsid w:val="001F03C7"/>
    <w:rPr>
      <w:color w:val="605E5C"/>
      <w:shd w:val="clear" w:color="auto" w:fill="E1DFDD"/>
    </w:rPr>
  </w:style>
  <w:style w:type="paragraph" w:customStyle="1" w:styleId="DocID">
    <w:name w:val="DocID"/>
    <w:rsid w:val="008167FD"/>
    <w:pPr>
      <w:spacing w:after="0" w:line="240" w:lineRule="auto"/>
    </w:pPr>
    <w:rPr>
      <w:rFonts w:ascii="Times New Roman" w:eastAsia="Calibri" w:hAnsi="Times New Roman" w:cs="Times New Roman"/>
      <w:sz w:val="16"/>
      <w:szCs w:val="20"/>
    </w:rPr>
  </w:style>
  <w:style w:type="character" w:styleId="UnresolvedMention">
    <w:name w:val="Unresolved Mention"/>
    <w:basedOn w:val="DefaultParagraphFont"/>
    <w:uiPriority w:val="99"/>
    <w:semiHidden/>
    <w:unhideWhenUsed/>
    <w:rsid w:val="00F43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362052779">
      <w:bodyDiv w:val="1"/>
      <w:marLeft w:val="0"/>
      <w:marRight w:val="0"/>
      <w:marTop w:val="0"/>
      <w:marBottom w:val="0"/>
      <w:divBdr>
        <w:top w:val="none" w:sz="0" w:space="0" w:color="auto"/>
        <w:left w:val="none" w:sz="0" w:space="0" w:color="auto"/>
        <w:bottom w:val="none" w:sz="0" w:space="0" w:color="auto"/>
        <w:right w:val="none" w:sz="0" w:space="0" w:color="auto"/>
      </w:divBdr>
    </w:div>
    <w:div w:id="368838983">
      <w:bodyDiv w:val="1"/>
      <w:marLeft w:val="0"/>
      <w:marRight w:val="0"/>
      <w:marTop w:val="0"/>
      <w:marBottom w:val="0"/>
      <w:divBdr>
        <w:top w:val="none" w:sz="0" w:space="0" w:color="auto"/>
        <w:left w:val="none" w:sz="0" w:space="0" w:color="auto"/>
        <w:bottom w:val="none" w:sz="0" w:space="0" w:color="auto"/>
        <w:right w:val="none" w:sz="0" w:space="0" w:color="auto"/>
      </w:divBdr>
    </w:div>
    <w:div w:id="386416534">
      <w:bodyDiv w:val="1"/>
      <w:marLeft w:val="0"/>
      <w:marRight w:val="0"/>
      <w:marTop w:val="0"/>
      <w:marBottom w:val="0"/>
      <w:divBdr>
        <w:top w:val="none" w:sz="0" w:space="0" w:color="auto"/>
        <w:left w:val="none" w:sz="0" w:space="0" w:color="auto"/>
        <w:bottom w:val="none" w:sz="0" w:space="0" w:color="auto"/>
        <w:right w:val="none" w:sz="0" w:space="0" w:color="auto"/>
      </w:divBdr>
    </w:div>
    <w:div w:id="412052658">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37955424">
      <w:bodyDiv w:val="1"/>
      <w:marLeft w:val="0"/>
      <w:marRight w:val="0"/>
      <w:marTop w:val="0"/>
      <w:marBottom w:val="0"/>
      <w:divBdr>
        <w:top w:val="none" w:sz="0" w:space="0" w:color="auto"/>
        <w:left w:val="none" w:sz="0" w:space="0" w:color="auto"/>
        <w:bottom w:val="none" w:sz="0" w:space="0" w:color="auto"/>
        <w:right w:val="none" w:sz="0" w:space="0" w:color="auto"/>
      </w:divBdr>
    </w:div>
    <w:div w:id="697465891">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092511411">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347947855">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34888837">
      <w:bodyDiv w:val="1"/>
      <w:marLeft w:val="0"/>
      <w:marRight w:val="0"/>
      <w:marTop w:val="0"/>
      <w:marBottom w:val="0"/>
      <w:divBdr>
        <w:top w:val="none" w:sz="0" w:space="0" w:color="auto"/>
        <w:left w:val="none" w:sz="0" w:space="0" w:color="auto"/>
        <w:bottom w:val="none" w:sz="0" w:space="0" w:color="auto"/>
        <w:right w:val="none" w:sz="0" w:space="0" w:color="auto"/>
      </w:divBdr>
      <w:divsChild>
        <w:div w:id="1426077976">
          <w:marLeft w:val="0"/>
          <w:marRight w:val="0"/>
          <w:marTop w:val="0"/>
          <w:marBottom w:val="0"/>
          <w:divBdr>
            <w:top w:val="none" w:sz="0" w:space="0" w:color="auto"/>
            <w:left w:val="none" w:sz="0" w:space="0" w:color="auto"/>
            <w:bottom w:val="none" w:sz="0" w:space="0" w:color="auto"/>
            <w:right w:val="none" w:sz="0" w:space="0" w:color="auto"/>
          </w:divBdr>
        </w:div>
      </w:divsChild>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878469587">
      <w:bodyDiv w:val="1"/>
      <w:marLeft w:val="0"/>
      <w:marRight w:val="0"/>
      <w:marTop w:val="0"/>
      <w:marBottom w:val="0"/>
      <w:divBdr>
        <w:top w:val="none" w:sz="0" w:space="0" w:color="auto"/>
        <w:left w:val="none" w:sz="0" w:space="0" w:color="auto"/>
        <w:bottom w:val="none" w:sz="0" w:space="0" w:color="auto"/>
        <w:right w:val="none" w:sz="0" w:space="0" w:color="auto"/>
      </w:divBdr>
    </w:div>
    <w:div w:id="1918637181">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2057587073">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springer.com/article/10.1186/s12913-019-4815-5" TargetMode="External"/><Relationship Id="rId18" Type="http://schemas.openxmlformats.org/officeDocument/2006/relationships/hyperlink" Target="https://pubmed.ncbi.nlm.nih.gov/26512045/"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bmjopen.bmj.com/content/6/11/e013059.short" TargetMode="External"/><Relationship Id="rId17" Type="http://schemas.openxmlformats.org/officeDocument/2006/relationships/hyperlink" Target="https://pubmed.ncbi.nlm.nih.gov/26512045/"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ciencedirect.com/science/article/pii/S2214140524000653" TargetMode="External"/><Relationship Id="rId20" Type="http://schemas.openxmlformats.org/officeDocument/2006/relationships/hyperlink" Target="https://pubmed.ncbi.nlm.nih.gov/2943978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mjopen.bmj.com/content/6/11/e013059.shor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ciencedirect.com/science/article/pii/S221414052400065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ubmed.ncbi.nlm.nih.gov/2943978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nk.springer.com/article/10.1186/s12913-019-4815-5"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1DF7D-3AB0-486D-B7B5-24625E164B16}">
  <ds:schemaRefs>
    <ds:schemaRef ds:uri="http://schemas.microsoft.com/sharepoint/v3/contenttype/forms"/>
  </ds:schemaRefs>
</ds:datastoreItem>
</file>

<file path=customXml/itemProps2.xml><?xml version="1.0" encoding="utf-8"?>
<ds:datastoreItem xmlns:ds="http://schemas.openxmlformats.org/officeDocument/2006/customXml" ds:itemID="{74166915-95B3-497F-B869-03FC4C0781D5}">
  <ds:schemaRefs>
    <ds:schemaRef ds:uri="http://schemas.openxmlformats.org/officeDocument/2006/bibliography"/>
  </ds:schemaRefs>
</ds:datastoreItem>
</file>

<file path=customXml/itemProps3.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35</TotalTime>
  <Pages>7</Pages>
  <Words>2108</Words>
  <Characters>12021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15</cp:revision>
  <cp:lastPrinted>2022-04-08T14:57:00Z</cp:lastPrinted>
  <dcterms:created xsi:type="dcterms:W3CDTF">2024-11-22T13:24:00Z</dcterms:created>
  <dcterms:modified xsi:type="dcterms:W3CDTF">2024-11-22T15:10:00Z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y fmtid="{D5CDD505-2E9C-101B-9397-08002B2CF9AE}" pid="3" name="DOCXDOCID">
    <vt:lpwstr>148642159_6</vt:lpwstr>
  </property>
  <property fmtid="{D5CDD505-2E9C-101B-9397-08002B2CF9AE}" pid="4" name="DocXFormat">
    <vt:lpwstr>DefaultFormatNew</vt:lpwstr>
  </property>
  <property fmtid="{D5CDD505-2E9C-101B-9397-08002B2CF9AE}" pid="5" name="DocXLocation">
    <vt:lpwstr>EveryPage</vt:lpwstr>
  </property>
  <property fmtid="{D5CDD505-2E9C-101B-9397-08002B2CF9AE}" pid="6" name="RGMatter">
    <vt:lpwstr>BIDM-245</vt:lpwstr>
  </property>
</Properties>
</file>