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DEB1A" w14:textId="77777777" w:rsidR="0060745D" w:rsidRPr="00665920" w:rsidRDefault="0060745D" w:rsidP="00D45CF3">
      <w:pPr>
        <w:jc w:val="center"/>
        <w:rPr>
          <w:rFonts w:cstheme="minorHAnsi"/>
          <w:b/>
          <w:bCs/>
        </w:rPr>
      </w:pPr>
    </w:p>
    <w:p w14:paraId="26D9C4F2" w14:textId="515B34D7" w:rsidR="00D45CF3" w:rsidRPr="00675EAB" w:rsidRDefault="001348C0" w:rsidP="00675EAB">
      <w:pPr>
        <w:pStyle w:val="Heading1"/>
      </w:pPr>
      <w:r w:rsidRPr="00675EAB">
        <w:t xml:space="preserve"> </w:t>
      </w:r>
      <w:proofErr w:type="spellStart"/>
      <w:r w:rsidRPr="00675EAB">
        <w:t>DoN</w:t>
      </w:r>
      <w:proofErr w:type="spellEnd"/>
      <w:r w:rsidRPr="00675EAB">
        <w:t xml:space="preserve"> </w:t>
      </w:r>
      <w:r w:rsidR="00697D19" w:rsidRPr="00675EAB">
        <w:t>RESPONSES</w:t>
      </w:r>
      <w:r w:rsidR="00006750" w:rsidRPr="00675EAB">
        <w:t xml:space="preserve"> #</w:t>
      </w:r>
      <w:r w:rsidR="00B371F2" w:rsidRPr="00675EAB">
        <w:t>1</w:t>
      </w:r>
    </w:p>
    <w:p w14:paraId="0B653DC0" w14:textId="77777777" w:rsidR="00D45CF3" w:rsidRPr="00665920" w:rsidRDefault="00D45CF3" w:rsidP="00D45CF3">
      <w:pPr>
        <w:jc w:val="center"/>
        <w:rPr>
          <w:rFonts w:cstheme="minorHAnsi"/>
        </w:rPr>
      </w:pPr>
      <w:r w:rsidRPr="00665920">
        <w:rPr>
          <w:rFonts w:cstheme="minorHAnsi"/>
          <w:i/>
          <w:iCs/>
        </w:rPr>
        <w:t xml:space="preserve">Responses should be sent to DoN staff at </w:t>
      </w:r>
      <w:hyperlink r:id="rId7" w:history="1">
        <w:r w:rsidRPr="00665920">
          <w:rPr>
            <w:rStyle w:val="Hyperlink"/>
            <w:rFonts w:cstheme="minorHAnsi"/>
          </w:rPr>
          <w:t>DPH.DON@State.MA.US</w:t>
        </w:r>
      </w:hyperlink>
    </w:p>
    <w:p w14:paraId="1B989266" w14:textId="77777777" w:rsidR="00B235F0" w:rsidRPr="00665920" w:rsidRDefault="00B235F0" w:rsidP="00B235F0">
      <w:pPr>
        <w:rPr>
          <w:rFonts w:cstheme="minorHAnsi"/>
          <w:bCs/>
        </w:rPr>
      </w:pPr>
      <w:proofErr w:type="gramStart"/>
      <w:r w:rsidRPr="00665920">
        <w:rPr>
          <w:rFonts w:cstheme="minorHAnsi"/>
          <w:bCs/>
        </w:rPr>
        <w:t>While</w:t>
      </w:r>
      <w:proofErr w:type="gramEnd"/>
      <w:r w:rsidRPr="00665920">
        <w:rPr>
          <w:rFonts w:cstheme="minorHAnsi"/>
          <w:bCs/>
        </w:rPr>
        <w:t xml:space="preserve"> you may submit each answer as available, please </w:t>
      </w:r>
    </w:p>
    <w:p w14:paraId="4735257A" w14:textId="77777777" w:rsidR="00B235F0" w:rsidRPr="00665920" w:rsidRDefault="00B235F0" w:rsidP="00B235F0">
      <w:pPr>
        <w:pStyle w:val="ListParagraph"/>
        <w:numPr>
          <w:ilvl w:val="0"/>
          <w:numId w:val="2"/>
        </w:numPr>
        <w:rPr>
          <w:rFonts w:cstheme="minorHAnsi"/>
          <w:bCs/>
        </w:rPr>
      </w:pPr>
      <w:r w:rsidRPr="00665920">
        <w:rPr>
          <w:rFonts w:cstheme="minorHAnsi"/>
          <w:bCs/>
        </w:rPr>
        <w:t xml:space="preserve">List question number and question for each answer you provide </w:t>
      </w:r>
    </w:p>
    <w:p w14:paraId="5CEB8BAA" w14:textId="77777777" w:rsidR="00B235F0" w:rsidRPr="00665920" w:rsidRDefault="00B235F0" w:rsidP="00B235F0">
      <w:pPr>
        <w:pStyle w:val="ListParagraph"/>
        <w:numPr>
          <w:ilvl w:val="0"/>
          <w:numId w:val="2"/>
        </w:numPr>
        <w:rPr>
          <w:rFonts w:cstheme="minorHAnsi"/>
          <w:bCs/>
        </w:rPr>
      </w:pPr>
      <w:r w:rsidRPr="00665920">
        <w:rPr>
          <w:rFonts w:cstheme="minorHAnsi"/>
          <w:bCs/>
        </w:rPr>
        <w:t xml:space="preserve">Submit responses as a separate word document, using the above application title and number as a running header and page numbers in the footer </w:t>
      </w:r>
    </w:p>
    <w:p w14:paraId="5359EA80" w14:textId="77777777" w:rsidR="00B235F0" w:rsidRPr="00665920" w:rsidRDefault="00B235F0" w:rsidP="00B235F0">
      <w:pPr>
        <w:pStyle w:val="ListParagraph"/>
        <w:numPr>
          <w:ilvl w:val="0"/>
          <w:numId w:val="2"/>
        </w:numPr>
        <w:rPr>
          <w:rFonts w:cstheme="minorHAnsi"/>
          <w:bCs/>
        </w:rPr>
      </w:pPr>
      <w:r w:rsidRPr="00665920">
        <w:rPr>
          <w:rFonts w:cstheme="minorHAnsi"/>
          <w:bCs/>
        </w:rPr>
        <w:t xml:space="preserve">When providing the answer to the final question, submit all questions and answers in one final document </w:t>
      </w:r>
    </w:p>
    <w:p w14:paraId="3B860000" w14:textId="77777777" w:rsidR="00B235F0" w:rsidRPr="00665920" w:rsidRDefault="00B235F0" w:rsidP="00B235F0">
      <w:pPr>
        <w:pStyle w:val="ListParagraph"/>
        <w:numPr>
          <w:ilvl w:val="0"/>
          <w:numId w:val="2"/>
        </w:numPr>
        <w:rPr>
          <w:rFonts w:cstheme="minorHAnsi"/>
          <w:b/>
        </w:rPr>
      </w:pPr>
      <w:r w:rsidRPr="00665920">
        <w:rPr>
          <w:rFonts w:cstheme="minorHAnsi"/>
          <w:bCs/>
        </w:rPr>
        <w:t xml:space="preserve">Submit responses in WORD or EXCEL; only use PDF’s if </w:t>
      </w:r>
      <w:proofErr w:type="gramStart"/>
      <w:r w:rsidRPr="00665920">
        <w:rPr>
          <w:rFonts w:cstheme="minorHAnsi"/>
          <w:bCs/>
        </w:rPr>
        <w:t>absolutely necessary</w:t>
      </w:r>
      <w:proofErr w:type="gramEnd"/>
      <w:r w:rsidRPr="00665920">
        <w:rPr>
          <w:rFonts w:cstheme="minorHAnsi"/>
          <w:bCs/>
        </w:rPr>
        <w:t>. If “cutting and pasting” charts, provide them in a PDF so they can be clearly seen</w:t>
      </w:r>
    </w:p>
    <w:p w14:paraId="0FC7DC62" w14:textId="77777777" w:rsidR="00B235F0" w:rsidRDefault="00B235F0" w:rsidP="00B235F0">
      <w:pPr>
        <w:pStyle w:val="ListParagraph"/>
        <w:numPr>
          <w:ilvl w:val="0"/>
          <w:numId w:val="2"/>
        </w:numPr>
        <w:rPr>
          <w:rFonts w:cstheme="minorHAnsi"/>
          <w:b/>
        </w:rPr>
      </w:pPr>
      <w:r w:rsidRPr="00665920">
        <w:rPr>
          <w:rFonts w:cstheme="minorHAnsi"/>
          <w:b/>
        </w:rPr>
        <w:t>Whenever possible, include a table with the response</w:t>
      </w:r>
    </w:p>
    <w:p w14:paraId="0A81B0B9" w14:textId="7C923352" w:rsidR="0066604A" w:rsidRPr="00B235F0" w:rsidRDefault="00B235F0" w:rsidP="00B235F0">
      <w:pPr>
        <w:pStyle w:val="ListParagraph"/>
        <w:numPr>
          <w:ilvl w:val="0"/>
          <w:numId w:val="2"/>
        </w:numPr>
        <w:rPr>
          <w:rFonts w:cstheme="minorHAnsi"/>
          <w:b/>
        </w:rPr>
      </w:pPr>
      <w:r w:rsidRPr="00B235F0">
        <w:rPr>
          <w:rFonts w:cstheme="minorHAnsi"/>
          <w:b/>
        </w:rPr>
        <w:t>For HIPAA compliance Do not include numbers &lt;11.</w:t>
      </w:r>
    </w:p>
    <w:p w14:paraId="6E542D62" w14:textId="6685CFFC" w:rsidR="00332060" w:rsidRPr="00661D75" w:rsidRDefault="00332060" w:rsidP="00661D75">
      <w:pPr>
        <w:pStyle w:val="Heading2"/>
      </w:pPr>
      <w:r w:rsidRPr="00661D75">
        <w:t>Factor 1a: Patient Panel Need</w:t>
      </w:r>
    </w:p>
    <w:p w14:paraId="3E510B75" w14:textId="77777777" w:rsidR="0066031F" w:rsidRPr="00CB3705" w:rsidRDefault="00C935BD" w:rsidP="00CB3705">
      <w:pPr>
        <w:pStyle w:val="Heading3"/>
      </w:pPr>
      <w:r w:rsidRPr="00CB3705">
        <w:t xml:space="preserve">Please provide the dates of the </w:t>
      </w:r>
      <w:r w:rsidR="00EC5B1A" w:rsidRPr="00CB3705">
        <w:t>Applicant’s fiscal year</w:t>
      </w:r>
      <w:r w:rsidRPr="00CB3705">
        <w:t xml:space="preserve">. </w:t>
      </w:r>
    </w:p>
    <w:p w14:paraId="5642CAD7" w14:textId="7C03F168" w:rsidR="00FE3247" w:rsidRPr="00271C43" w:rsidRDefault="00271C43" w:rsidP="0066031F">
      <w:pPr>
        <w:pStyle w:val="ListParagraph"/>
        <w:spacing w:line="240" w:lineRule="auto"/>
        <w:contextualSpacing w:val="0"/>
        <w:rPr>
          <w:rFonts w:cstheme="minorHAnsi"/>
        </w:rPr>
      </w:pPr>
      <w:r>
        <w:rPr>
          <w:rFonts w:cstheme="minorHAnsi"/>
          <w:b/>
          <w:bCs/>
        </w:rPr>
        <w:t>October 1 – September 30.</w:t>
      </w:r>
    </w:p>
    <w:p w14:paraId="6FC0BB04" w14:textId="77777777" w:rsidR="0066031F" w:rsidRDefault="00FC0A23" w:rsidP="00CB3705">
      <w:pPr>
        <w:pStyle w:val="Heading3"/>
      </w:pPr>
      <w:r w:rsidRPr="00271C43">
        <w:t xml:space="preserve">What are </w:t>
      </w:r>
      <w:r w:rsidR="00A71431" w:rsidRPr="00271C43">
        <w:t xml:space="preserve">Winchester Hospital Endoscopy </w:t>
      </w:r>
      <w:r w:rsidRPr="00271C43">
        <w:t>Center’s</w:t>
      </w:r>
      <w:r w:rsidR="00A71431" w:rsidRPr="00271C43">
        <w:t xml:space="preserve"> (the Center</w:t>
      </w:r>
      <w:r w:rsidR="00757CD0" w:rsidRPr="00271C43">
        <w:t>’s</w:t>
      </w:r>
      <w:r w:rsidR="00A71431" w:rsidRPr="00271C43">
        <w:t>)</w:t>
      </w:r>
      <w:r w:rsidRPr="00271C43">
        <w:t xml:space="preserve"> current hours of operation. </w:t>
      </w:r>
    </w:p>
    <w:p w14:paraId="6B0A9830" w14:textId="46316371" w:rsidR="00FE3247" w:rsidRPr="00271C43" w:rsidRDefault="00271C43" w:rsidP="0066031F">
      <w:pPr>
        <w:pStyle w:val="ListParagraph"/>
        <w:spacing w:line="240" w:lineRule="auto"/>
        <w:contextualSpacing w:val="0"/>
        <w:rPr>
          <w:rFonts w:cstheme="minorHAnsi"/>
        </w:rPr>
      </w:pPr>
      <w:r>
        <w:rPr>
          <w:rFonts w:cstheme="minorHAnsi"/>
          <w:b/>
          <w:bCs/>
        </w:rPr>
        <w:t xml:space="preserve">Monday-Friday, 7am-5pm </w:t>
      </w:r>
    </w:p>
    <w:p w14:paraId="0111A813" w14:textId="77777777" w:rsidR="0066031F" w:rsidRDefault="00E14EB6" w:rsidP="00CB3705">
      <w:pPr>
        <w:pStyle w:val="Heading3"/>
      </w:pPr>
      <w:r>
        <w:t>Provide the number of endoscopy operating rooms at Winchester Hospital</w:t>
      </w:r>
      <w:r w:rsidR="002D1749">
        <w:t>’s main campus</w:t>
      </w:r>
      <w:r>
        <w:t xml:space="preserve">. </w:t>
      </w:r>
    </w:p>
    <w:p w14:paraId="5DC9B810" w14:textId="4FD387E8" w:rsidR="00B21F26" w:rsidRPr="00271C43" w:rsidRDefault="00271C43" w:rsidP="0066031F">
      <w:pPr>
        <w:pStyle w:val="ListParagraph"/>
        <w:spacing w:line="240" w:lineRule="auto"/>
        <w:contextualSpacing w:val="0"/>
        <w:rPr>
          <w:rFonts w:cstheme="minorHAnsi"/>
        </w:rPr>
      </w:pPr>
      <w:r>
        <w:rPr>
          <w:rFonts w:cstheme="minorHAnsi"/>
          <w:b/>
          <w:bCs/>
        </w:rPr>
        <w:t xml:space="preserve">The Hospital’s main campus has two (2) endoscopy rooms. </w:t>
      </w:r>
    </w:p>
    <w:p w14:paraId="77D56EBE" w14:textId="77777777" w:rsidR="0066031F" w:rsidRPr="00CC645A" w:rsidRDefault="00B21F26" w:rsidP="00CB3705">
      <w:pPr>
        <w:pStyle w:val="Heading3"/>
      </w:pPr>
      <w:r w:rsidRPr="00CC645A">
        <w:t xml:space="preserve">To compare age cohorts across Patient Panels, please </w:t>
      </w:r>
      <w:r w:rsidR="00D50B4A" w:rsidRPr="00CC645A">
        <w:t>provide the following age cohorts for the BILH and Winchester Hospital Patient Panels: 0-27, 28-45, 46-54, 55-64, and 65+.</w:t>
      </w:r>
      <w:r w:rsidR="00271C43" w:rsidRPr="00CC645A">
        <w:t xml:space="preserve"> </w:t>
      </w:r>
    </w:p>
    <w:p w14:paraId="2A5DCDDD" w14:textId="548DCA6A" w:rsidR="007E74F1" w:rsidRPr="007E74F1" w:rsidRDefault="007E74F1" w:rsidP="007E74F1">
      <w:pPr>
        <w:pStyle w:val="ListParagraph"/>
        <w:spacing w:line="240" w:lineRule="auto"/>
        <w:contextualSpacing w:val="0"/>
        <w:rPr>
          <w:rFonts w:cstheme="minorHAnsi"/>
          <w:b/>
          <w:bCs/>
        </w:rPr>
      </w:pPr>
      <w:r w:rsidRPr="00CC645A">
        <w:rPr>
          <w:rFonts w:cstheme="minorHAnsi"/>
          <w:b/>
          <w:bCs/>
        </w:rPr>
        <w:t>Please see Attachment A</w:t>
      </w:r>
    </w:p>
    <w:p w14:paraId="5B184F06" w14:textId="77777777" w:rsidR="0066031F" w:rsidRDefault="00BE641A" w:rsidP="00D159A8">
      <w:pPr>
        <w:pStyle w:val="Heading3"/>
      </w:pPr>
      <w:r>
        <w:t xml:space="preserve">The Winchester Hospital </w:t>
      </w:r>
      <w:r w:rsidR="00173202">
        <w:t>Endoscopy Patients Race Categor</w:t>
      </w:r>
      <w:r w:rsidR="00070036">
        <w:t>ies</w:t>
      </w:r>
      <w:r w:rsidR="00173202">
        <w:t xml:space="preserve"> d</w:t>
      </w:r>
      <w:r w:rsidR="00070036">
        <w:t>o</w:t>
      </w:r>
      <w:r w:rsidR="00173202">
        <w:t xml:space="preserve"> not include </w:t>
      </w:r>
      <w:r w:rsidR="00173202" w:rsidRPr="00173202">
        <w:t>American Indian</w:t>
      </w:r>
      <w:r w:rsidR="007C6BBF">
        <w:t>/</w:t>
      </w:r>
      <w:r w:rsidR="00173202" w:rsidRPr="00173202">
        <w:t>Alaska Native</w:t>
      </w:r>
      <w:r w:rsidR="00173202">
        <w:t xml:space="preserve"> or </w:t>
      </w:r>
      <w:r w:rsidR="00173202" w:rsidRPr="00173202">
        <w:t>Native Hawaiian</w:t>
      </w:r>
      <w:r w:rsidR="007C6BBF">
        <w:t>/</w:t>
      </w:r>
      <w:r w:rsidR="00173202" w:rsidRPr="00173202">
        <w:t>Other Pacific Islander</w:t>
      </w:r>
      <w:r w:rsidR="00070036">
        <w:t xml:space="preserve"> (while BILH and </w:t>
      </w:r>
      <w:r w:rsidR="00046CFA">
        <w:t>Winchester Hospital do)</w:t>
      </w:r>
      <w:r w:rsidR="00173202">
        <w:t xml:space="preserve">. </w:t>
      </w:r>
      <w:r w:rsidR="00344E2B">
        <w:t>Does the Applicant have data to share</w:t>
      </w:r>
      <w:r w:rsidR="00173202">
        <w:t xml:space="preserve"> </w:t>
      </w:r>
      <w:r w:rsidR="00344E2B">
        <w:t>on</w:t>
      </w:r>
      <w:r w:rsidR="00173202">
        <w:t xml:space="preserve"> </w:t>
      </w:r>
      <w:r w:rsidR="005605A7">
        <w:t xml:space="preserve">these racial categories for </w:t>
      </w:r>
      <w:r w:rsidR="00173202">
        <w:t>Winchester Hospital Endoscopy patients?</w:t>
      </w:r>
      <w:r w:rsidR="00271C43">
        <w:t xml:space="preserve"> </w:t>
      </w:r>
    </w:p>
    <w:p w14:paraId="5F2B9145" w14:textId="520669DE" w:rsidR="00FE3247" w:rsidRPr="0066031F" w:rsidRDefault="0066031F" w:rsidP="0066031F">
      <w:pPr>
        <w:pStyle w:val="ListParagraph"/>
        <w:spacing w:line="240" w:lineRule="auto"/>
        <w:contextualSpacing w:val="0"/>
        <w:rPr>
          <w:rFonts w:cstheme="minorHAnsi"/>
        </w:rPr>
      </w:pPr>
      <w:r w:rsidRPr="0066031F">
        <w:rPr>
          <w:rFonts w:cstheme="minorHAnsi"/>
          <w:b/>
          <w:bCs/>
        </w:rPr>
        <w:t>Due to patient confidentiality, exact numbers for these categories cannot be shared</w:t>
      </w:r>
      <w:r>
        <w:rPr>
          <w:rFonts w:cstheme="minorHAnsi"/>
          <w:b/>
          <w:bCs/>
        </w:rPr>
        <w:t xml:space="preserve">. The tables provided for Question 6 have been updated to include rows for these categories. </w:t>
      </w:r>
    </w:p>
    <w:p w14:paraId="6753862E" w14:textId="77777777" w:rsidR="0066031F" w:rsidRPr="0066031F" w:rsidRDefault="003B7323" w:rsidP="00D159A8">
      <w:pPr>
        <w:pStyle w:val="Heading3"/>
      </w:pPr>
      <w:r>
        <w:t>To better understand patients served by the Center, please provide</w:t>
      </w:r>
      <w:r w:rsidR="003666E4">
        <w:t xml:space="preserve"> a breakdown of</w:t>
      </w:r>
      <w:r>
        <w:t xml:space="preserve"> </w:t>
      </w:r>
      <w:r w:rsidR="00DE1FC1">
        <w:t xml:space="preserve">the </w:t>
      </w:r>
      <w:r w:rsidR="004927DD">
        <w:t xml:space="preserve">Winchester Hospital </w:t>
      </w:r>
      <w:r w:rsidR="003666E4">
        <w:t>E</w:t>
      </w:r>
      <w:r w:rsidR="00DE1FC1">
        <w:t xml:space="preserve">ndoscopy </w:t>
      </w:r>
      <w:r w:rsidR="003666E4">
        <w:t>P</w:t>
      </w:r>
      <w:r w:rsidR="00DE1FC1">
        <w:t xml:space="preserve">atients </w:t>
      </w:r>
      <w:r w:rsidR="003666E4">
        <w:t>by the</w:t>
      </w:r>
      <w:r w:rsidR="00DE1FC1">
        <w:t xml:space="preserve"> </w:t>
      </w:r>
      <w:r w:rsidR="0084166A">
        <w:t>Winchester</w:t>
      </w:r>
      <w:r w:rsidR="00DE1FC1">
        <w:t xml:space="preserve"> Hospital </w:t>
      </w:r>
      <w:r w:rsidR="0054284F">
        <w:t xml:space="preserve">main campus </w:t>
      </w:r>
      <w:r w:rsidR="00DE1FC1">
        <w:t>and the Center, separately, and for both, include the following demographic</w:t>
      </w:r>
      <w:r w:rsidR="0054284F">
        <w:t xml:space="preserve"> information</w:t>
      </w:r>
      <w:r w:rsidR="00DE1FC1">
        <w:t xml:space="preserve"> for endoscopy patients: </w:t>
      </w:r>
      <w:r>
        <w:t>age, race/ethnicity, payer mix</w:t>
      </w:r>
      <w:r w:rsidR="00807DB0">
        <w:rPr>
          <w:rStyle w:val="FootnoteReference"/>
        </w:rPr>
        <w:footnoteReference w:id="2"/>
      </w:r>
      <w:r w:rsidR="0084166A">
        <w:t>, and patient origin</w:t>
      </w:r>
      <w:r w:rsidRPr="008B7B3D">
        <w:t>.</w:t>
      </w:r>
      <w:r w:rsidR="008B7B3D" w:rsidRPr="008B7B3D">
        <w:rPr>
          <w:b/>
          <w:bCs/>
        </w:rPr>
        <w:t xml:space="preserve"> </w:t>
      </w:r>
    </w:p>
    <w:p w14:paraId="617C0AEC" w14:textId="21F1E15C" w:rsidR="003B7323" w:rsidRPr="0066031F" w:rsidRDefault="008B7B3D" w:rsidP="0066031F">
      <w:pPr>
        <w:pStyle w:val="ListParagraph"/>
        <w:spacing w:line="240" w:lineRule="auto"/>
        <w:contextualSpacing w:val="0"/>
        <w:rPr>
          <w:rFonts w:cstheme="minorHAnsi"/>
        </w:rPr>
      </w:pPr>
      <w:r w:rsidRPr="008B7B3D">
        <w:rPr>
          <w:rFonts w:cstheme="minorHAnsi"/>
          <w:b/>
          <w:bCs/>
        </w:rPr>
        <w:t>See Attachment A</w:t>
      </w:r>
      <w:r w:rsidR="00E82465">
        <w:rPr>
          <w:rFonts w:cstheme="minorHAnsi"/>
          <w:b/>
          <w:bCs/>
        </w:rPr>
        <w:t xml:space="preserve">. </w:t>
      </w:r>
    </w:p>
    <w:p w14:paraId="6728CCCC" w14:textId="61C88471" w:rsidR="00FE3247" w:rsidRDefault="001B1A6C" w:rsidP="002A6B3C">
      <w:pPr>
        <w:pStyle w:val="Heading3"/>
        <w:rPr>
          <w:b/>
          <w:bCs/>
        </w:rPr>
      </w:pPr>
      <w:r w:rsidRPr="00646C04">
        <w:lastRenderedPageBreak/>
        <w:t>To better understand Patient Panel access to the Center, please provide</w:t>
      </w:r>
      <w:r w:rsidR="00E14EB6" w:rsidRPr="00646C04">
        <w:t xml:space="preserve"> percentage of the Center’s FY25 volume</w:t>
      </w:r>
      <w:r w:rsidR="00763BCC" w:rsidRPr="00646C04">
        <w:t xml:space="preserve"> that</w:t>
      </w:r>
      <w:r w:rsidR="00E14EB6" w:rsidRPr="00646C04">
        <w:t xml:space="preserve"> is from Winchester Hospital</w:t>
      </w:r>
      <w:r w:rsidR="00F16B41" w:rsidRPr="00646C04">
        <w:t xml:space="preserve"> patients</w:t>
      </w:r>
      <w:r w:rsidR="00E14EB6" w:rsidRPr="00646C04">
        <w:t xml:space="preserve">, </w:t>
      </w:r>
      <w:r w:rsidR="007E2341" w:rsidRPr="00646C04">
        <w:t xml:space="preserve">from </w:t>
      </w:r>
      <w:r w:rsidR="00451BD0" w:rsidRPr="00646C04">
        <w:t xml:space="preserve">patients </w:t>
      </w:r>
      <w:r w:rsidR="00FA0F43" w:rsidRPr="00646C04">
        <w:t>across</w:t>
      </w:r>
      <w:r w:rsidR="00451BD0" w:rsidRPr="00646C04">
        <w:t xml:space="preserve"> the rest of the BILH system and </w:t>
      </w:r>
      <w:r w:rsidR="00041BBB" w:rsidRPr="00646C04">
        <w:t>from Atrius patients</w:t>
      </w:r>
      <w:r w:rsidRPr="00646C04">
        <w:t>, separately</w:t>
      </w:r>
      <w:r w:rsidR="00763BCC" w:rsidRPr="00646C04">
        <w:t>.</w:t>
      </w:r>
      <w:r w:rsidR="00A21DF2" w:rsidRPr="00646C04">
        <w:t xml:space="preserve"> </w:t>
      </w:r>
    </w:p>
    <w:p w14:paraId="24D66D09" w14:textId="12EFE859" w:rsidR="00FE3247" w:rsidRPr="00646C04" w:rsidRDefault="00646C04" w:rsidP="00646C04">
      <w:pPr>
        <w:pStyle w:val="ListParagraph"/>
        <w:spacing w:line="240" w:lineRule="auto"/>
        <w:contextualSpacing w:val="0"/>
        <w:rPr>
          <w:rFonts w:cstheme="minorHAnsi"/>
          <w:b/>
          <w:bCs/>
        </w:rPr>
      </w:pPr>
      <w:r>
        <w:rPr>
          <w:rFonts w:cstheme="minorHAnsi"/>
          <w:b/>
          <w:bCs/>
        </w:rPr>
        <w:t xml:space="preserve">Winchester Hospital patients comprise 64% of the Center’s patients and Atrius patients comprise the remaining 36% of patients. </w:t>
      </w:r>
    </w:p>
    <w:p w14:paraId="383D4148" w14:textId="25B65923" w:rsidR="00CC645A" w:rsidRDefault="00CC645A" w:rsidP="002A6B3C">
      <w:pPr>
        <w:pStyle w:val="Heading3"/>
      </w:pPr>
      <w:r>
        <w:t xml:space="preserve">What criteria </w:t>
      </w:r>
      <w:r w:rsidR="00697D19">
        <w:t>are</w:t>
      </w:r>
      <w:r>
        <w:t xml:space="preserve"> used to determine which patients are treated at the Center and which are treated at the Main Campus? </w:t>
      </w:r>
    </w:p>
    <w:p w14:paraId="30CE8A85" w14:textId="3899EC1D" w:rsidR="00CC645A" w:rsidRDefault="00CC645A" w:rsidP="00CC645A">
      <w:pPr>
        <w:pStyle w:val="ListParagraph"/>
        <w:spacing w:line="240" w:lineRule="auto"/>
        <w:contextualSpacing w:val="0"/>
        <w:rPr>
          <w:rFonts w:cstheme="minorHAnsi"/>
          <w:b/>
          <w:bCs/>
        </w:rPr>
      </w:pPr>
      <w:r>
        <w:rPr>
          <w:rFonts w:cstheme="minorHAnsi"/>
          <w:b/>
          <w:bCs/>
        </w:rPr>
        <w:t xml:space="preserve">The following </w:t>
      </w:r>
      <w:r w:rsidR="00697D19">
        <w:rPr>
          <w:rFonts w:cstheme="minorHAnsi"/>
          <w:b/>
          <w:bCs/>
        </w:rPr>
        <w:t xml:space="preserve">are </w:t>
      </w:r>
      <w:r w:rsidR="00180BF6">
        <w:rPr>
          <w:rFonts w:cstheme="minorHAnsi"/>
          <w:b/>
          <w:bCs/>
        </w:rPr>
        <w:t xml:space="preserve">some of the criteria </w:t>
      </w:r>
      <w:r>
        <w:rPr>
          <w:rFonts w:cstheme="minorHAnsi"/>
          <w:b/>
          <w:bCs/>
        </w:rPr>
        <w:t xml:space="preserve">used to determine which patients </w:t>
      </w:r>
      <w:r w:rsidR="00A45F29">
        <w:rPr>
          <w:rFonts w:cstheme="minorHAnsi"/>
          <w:b/>
          <w:bCs/>
        </w:rPr>
        <w:t xml:space="preserve">may not be </w:t>
      </w:r>
      <w:r w:rsidR="00180BF6">
        <w:rPr>
          <w:rFonts w:cstheme="minorHAnsi"/>
          <w:b/>
          <w:bCs/>
        </w:rPr>
        <w:t xml:space="preserve">clinically </w:t>
      </w:r>
      <w:r w:rsidR="00A45F29">
        <w:rPr>
          <w:rFonts w:cstheme="minorHAnsi"/>
          <w:b/>
          <w:bCs/>
        </w:rPr>
        <w:t>appropriate for services at the Center:</w:t>
      </w:r>
    </w:p>
    <w:p w14:paraId="105E5DD7" w14:textId="2E8AD6C9" w:rsidR="00A45F29" w:rsidRDefault="00A45F29" w:rsidP="00A45F29">
      <w:pPr>
        <w:pStyle w:val="ListParagraph"/>
        <w:numPr>
          <w:ilvl w:val="0"/>
          <w:numId w:val="38"/>
        </w:numPr>
        <w:spacing w:line="240" w:lineRule="auto"/>
        <w:contextualSpacing w:val="0"/>
        <w:rPr>
          <w:rFonts w:cstheme="minorHAnsi"/>
          <w:b/>
          <w:bCs/>
        </w:rPr>
      </w:pPr>
      <w:r>
        <w:rPr>
          <w:rFonts w:cstheme="minorHAnsi"/>
          <w:b/>
          <w:bCs/>
        </w:rPr>
        <w:t>Pregnancy,</w:t>
      </w:r>
    </w:p>
    <w:p w14:paraId="0D833FA7" w14:textId="6B4FC16F" w:rsidR="00A45F29" w:rsidRDefault="00A45F29" w:rsidP="00A45F29">
      <w:pPr>
        <w:pStyle w:val="ListParagraph"/>
        <w:numPr>
          <w:ilvl w:val="0"/>
          <w:numId w:val="38"/>
        </w:numPr>
        <w:spacing w:line="240" w:lineRule="auto"/>
        <w:contextualSpacing w:val="0"/>
        <w:rPr>
          <w:rFonts w:cstheme="minorHAnsi"/>
          <w:b/>
          <w:bCs/>
        </w:rPr>
      </w:pPr>
      <w:r>
        <w:rPr>
          <w:rFonts w:cstheme="minorHAnsi"/>
          <w:b/>
          <w:bCs/>
        </w:rPr>
        <w:t>BMI over 50 (BMI between 45 and 50 must be approved by Anesthesia)</w:t>
      </w:r>
      <w:r w:rsidR="00180BF6">
        <w:rPr>
          <w:rFonts w:cstheme="minorHAnsi"/>
          <w:b/>
          <w:bCs/>
        </w:rPr>
        <w:t>,</w:t>
      </w:r>
    </w:p>
    <w:p w14:paraId="2268F207" w14:textId="3230B6FB" w:rsidR="00A45F29" w:rsidRDefault="00A45F29" w:rsidP="00A45F29">
      <w:pPr>
        <w:pStyle w:val="ListParagraph"/>
        <w:numPr>
          <w:ilvl w:val="0"/>
          <w:numId w:val="38"/>
        </w:numPr>
        <w:spacing w:line="240" w:lineRule="auto"/>
        <w:contextualSpacing w:val="0"/>
        <w:rPr>
          <w:rFonts w:cstheme="minorHAnsi"/>
          <w:b/>
          <w:bCs/>
        </w:rPr>
      </w:pPr>
      <w:r>
        <w:rPr>
          <w:rFonts w:cstheme="minorHAnsi"/>
          <w:b/>
          <w:bCs/>
        </w:rPr>
        <w:t>ASA score of 4</w:t>
      </w:r>
      <w:r w:rsidR="00180BF6">
        <w:rPr>
          <w:rFonts w:cstheme="minorHAnsi"/>
          <w:b/>
          <w:bCs/>
        </w:rPr>
        <w:t xml:space="preserve"> (American Society of Anesthesiology), </w:t>
      </w:r>
    </w:p>
    <w:p w14:paraId="6BDE7920" w14:textId="11E876C1" w:rsidR="00A45F29" w:rsidRDefault="00A45F29" w:rsidP="00A45F29">
      <w:pPr>
        <w:pStyle w:val="ListParagraph"/>
        <w:numPr>
          <w:ilvl w:val="0"/>
          <w:numId w:val="38"/>
        </w:numPr>
        <w:spacing w:line="240" w:lineRule="auto"/>
        <w:contextualSpacing w:val="0"/>
        <w:rPr>
          <w:rFonts w:cstheme="minorHAnsi"/>
          <w:b/>
          <w:bCs/>
        </w:rPr>
      </w:pPr>
      <w:r>
        <w:rPr>
          <w:rFonts w:cstheme="minorHAnsi"/>
          <w:b/>
          <w:bCs/>
        </w:rPr>
        <w:t xml:space="preserve">History of malignant hyperthermia or </w:t>
      </w:r>
      <w:r w:rsidR="00180BF6">
        <w:rPr>
          <w:rFonts w:cstheme="minorHAnsi"/>
          <w:b/>
          <w:bCs/>
        </w:rPr>
        <w:t>family</w:t>
      </w:r>
      <w:r>
        <w:rPr>
          <w:rFonts w:cstheme="minorHAnsi"/>
          <w:b/>
          <w:bCs/>
        </w:rPr>
        <w:t xml:space="preserve"> history of the same</w:t>
      </w:r>
      <w:r w:rsidR="00180BF6">
        <w:rPr>
          <w:rFonts w:cstheme="minorHAnsi"/>
          <w:b/>
          <w:bCs/>
        </w:rPr>
        <w:t>,</w:t>
      </w:r>
    </w:p>
    <w:p w14:paraId="614771AA" w14:textId="1E208D1A" w:rsidR="00A45F29" w:rsidRDefault="00A45F29" w:rsidP="00A45F29">
      <w:pPr>
        <w:pStyle w:val="ListParagraph"/>
        <w:numPr>
          <w:ilvl w:val="0"/>
          <w:numId w:val="38"/>
        </w:numPr>
        <w:spacing w:line="240" w:lineRule="auto"/>
        <w:contextualSpacing w:val="0"/>
        <w:rPr>
          <w:rFonts w:cstheme="minorHAnsi"/>
          <w:b/>
          <w:bCs/>
        </w:rPr>
      </w:pPr>
      <w:r>
        <w:rPr>
          <w:rFonts w:cstheme="minorHAnsi"/>
          <w:b/>
          <w:bCs/>
        </w:rPr>
        <w:t>Difficult airway</w:t>
      </w:r>
      <w:r w:rsidR="00180BF6">
        <w:rPr>
          <w:rFonts w:cstheme="minorHAnsi"/>
          <w:b/>
          <w:bCs/>
        </w:rPr>
        <w:t>,</w:t>
      </w:r>
    </w:p>
    <w:p w14:paraId="6AF220C1" w14:textId="61D1E0C1" w:rsidR="00A45F29" w:rsidRDefault="00A45F29" w:rsidP="00A45F29">
      <w:pPr>
        <w:pStyle w:val="ListParagraph"/>
        <w:numPr>
          <w:ilvl w:val="0"/>
          <w:numId w:val="38"/>
        </w:numPr>
        <w:spacing w:line="240" w:lineRule="auto"/>
        <w:contextualSpacing w:val="0"/>
        <w:rPr>
          <w:rFonts w:cstheme="minorHAnsi"/>
          <w:b/>
          <w:bCs/>
        </w:rPr>
      </w:pPr>
      <w:r>
        <w:rPr>
          <w:rFonts w:cstheme="minorHAnsi"/>
          <w:b/>
          <w:bCs/>
        </w:rPr>
        <w:t>Known active severe GI bleed</w:t>
      </w:r>
      <w:r w:rsidR="00180BF6">
        <w:rPr>
          <w:rFonts w:cstheme="minorHAnsi"/>
          <w:b/>
          <w:bCs/>
        </w:rPr>
        <w:t>,</w:t>
      </w:r>
    </w:p>
    <w:p w14:paraId="6491C278" w14:textId="4BA842CD" w:rsidR="00A45F29" w:rsidRDefault="00A45F29" w:rsidP="00A45F29">
      <w:pPr>
        <w:pStyle w:val="ListParagraph"/>
        <w:numPr>
          <w:ilvl w:val="0"/>
          <w:numId w:val="38"/>
        </w:numPr>
        <w:spacing w:line="240" w:lineRule="auto"/>
        <w:contextualSpacing w:val="0"/>
        <w:rPr>
          <w:rFonts w:cstheme="minorHAnsi"/>
          <w:b/>
          <w:bCs/>
        </w:rPr>
      </w:pPr>
      <w:r>
        <w:rPr>
          <w:rFonts w:cstheme="minorHAnsi"/>
          <w:b/>
          <w:bCs/>
        </w:rPr>
        <w:t>Severe lung disease</w:t>
      </w:r>
      <w:r w:rsidR="00180BF6">
        <w:rPr>
          <w:rFonts w:cstheme="minorHAnsi"/>
          <w:b/>
          <w:bCs/>
        </w:rPr>
        <w:t>,</w:t>
      </w:r>
    </w:p>
    <w:p w14:paraId="673CAA66" w14:textId="11178186" w:rsidR="00A45F29" w:rsidRDefault="00A45F29" w:rsidP="00A45F29">
      <w:pPr>
        <w:pStyle w:val="ListParagraph"/>
        <w:numPr>
          <w:ilvl w:val="0"/>
          <w:numId w:val="38"/>
        </w:numPr>
        <w:spacing w:line="240" w:lineRule="auto"/>
        <w:contextualSpacing w:val="0"/>
        <w:rPr>
          <w:rFonts w:cstheme="minorHAnsi"/>
          <w:b/>
          <w:bCs/>
        </w:rPr>
      </w:pPr>
      <w:r>
        <w:rPr>
          <w:rFonts w:cstheme="minorHAnsi"/>
          <w:b/>
          <w:bCs/>
        </w:rPr>
        <w:t>Severe heart disease</w:t>
      </w:r>
      <w:r w:rsidR="00180BF6">
        <w:rPr>
          <w:rFonts w:cstheme="minorHAnsi"/>
          <w:b/>
          <w:bCs/>
        </w:rPr>
        <w:t>,</w:t>
      </w:r>
    </w:p>
    <w:p w14:paraId="294DC19B" w14:textId="1C445BF7" w:rsidR="00A45F29" w:rsidRDefault="00A45F29" w:rsidP="00A45F29">
      <w:pPr>
        <w:pStyle w:val="ListParagraph"/>
        <w:numPr>
          <w:ilvl w:val="0"/>
          <w:numId w:val="38"/>
        </w:numPr>
        <w:spacing w:line="240" w:lineRule="auto"/>
        <w:contextualSpacing w:val="0"/>
        <w:rPr>
          <w:rFonts w:cstheme="minorHAnsi"/>
          <w:b/>
          <w:bCs/>
        </w:rPr>
      </w:pPr>
      <w:r>
        <w:rPr>
          <w:rFonts w:cstheme="minorHAnsi"/>
          <w:b/>
          <w:bCs/>
        </w:rPr>
        <w:t>MI, stroke, neuro crisis within the last 6 months</w:t>
      </w:r>
      <w:r w:rsidR="00180BF6">
        <w:rPr>
          <w:rFonts w:cstheme="minorHAnsi"/>
          <w:b/>
          <w:bCs/>
        </w:rPr>
        <w:t xml:space="preserve">, </w:t>
      </w:r>
    </w:p>
    <w:p w14:paraId="2DEA98A2" w14:textId="0E6EF5D0" w:rsidR="00180BF6" w:rsidRPr="00180BF6" w:rsidRDefault="00180BF6" w:rsidP="00180BF6">
      <w:pPr>
        <w:pStyle w:val="ListParagraph"/>
        <w:numPr>
          <w:ilvl w:val="0"/>
          <w:numId w:val="38"/>
        </w:numPr>
        <w:spacing w:line="240" w:lineRule="auto"/>
        <w:contextualSpacing w:val="0"/>
        <w:rPr>
          <w:rFonts w:cstheme="minorHAnsi"/>
          <w:b/>
          <w:bCs/>
        </w:rPr>
      </w:pPr>
      <w:r>
        <w:rPr>
          <w:rFonts w:cstheme="minorHAnsi"/>
          <w:b/>
          <w:bCs/>
        </w:rPr>
        <w:t xml:space="preserve">Cirrhosis, </w:t>
      </w:r>
    </w:p>
    <w:p w14:paraId="41F61A58" w14:textId="0095B410" w:rsidR="00A45F29" w:rsidRPr="00CC645A" w:rsidRDefault="00A45F29" w:rsidP="00A45F29">
      <w:pPr>
        <w:pStyle w:val="ListParagraph"/>
        <w:numPr>
          <w:ilvl w:val="0"/>
          <w:numId w:val="38"/>
        </w:numPr>
        <w:spacing w:line="240" w:lineRule="auto"/>
        <w:contextualSpacing w:val="0"/>
        <w:rPr>
          <w:rFonts w:cstheme="minorHAnsi"/>
          <w:b/>
          <w:bCs/>
        </w:rPr>
      </w:pPr>
      <w:r>
        <w:rPr>
          <w:rFonts w:cstheme="minorHAnsi"/>
          <w:b/>
          <w:bCs/>
        </w:rPr>
        <w:t xml:space="preserve">Patients with Pacemakers must receive cardiac and Anesthesia clearance. </w:t>
      </w:r>
    </w:p>
    <w:p w14:paraId="5C593DC8" w14:textId="13517D36" w:rsidR="00E14EB6" w:rsidRDefault="00E14EB6" w:rsidP="002A6B3C">
      <w:pPr>
        <w:pStyle w:val="Heading3"/>
      </w:pPr>
      <w:r>
        <w:t xml:space="preserve">The application states that the Center’s procedure volume increased by 199% since FY22. </w:t>
      </w:r>
    </w:p>
    <w:p w14:paraId="5A30190F" w14:textId="18B14F90" w:rsidR="00E14EB6" w:rsidRPr="00646C04" w:rsidRDefault="0088088D" w:rsidP="0066031F">
      <w:pPr>
        <w:pStyle w:val="ListParagraph"/>
        <w:numPr>
          <w:ilvl w:val="1"/>
          <w:numId w:val="31"/>
        </w:numPr>
        <w:spacing w:line="240" w:lineRule="auto"/>
        <w:contextualSpacing w:val="0"/>
        <w:rPr>
          <w:rFonts w:cstheme="minorHAnsi"/>
        </w:rPr>
      </w:pPr>
      <w:r w:rsidRPr="00646C04">
        <w:rPr>
          <w:rFonts w:cstheme="minorHAnsi"/>
        </w:rPr>
        <w:t>Please provide an explanation for the</w:t>
      </w:r>
      <w:r w:rsidR="00E14EB6" w:rsidRPr="00646C04">
        <w:rPr>
          <w:rFonts w:cstheme="minorHAnsi"/>
        </w:rPr>
        <w:t xml:space="preserve"> Center’s increasing volume</w:t>
      </w:r>
      <w:r w:rsidR="00E30B0F" w:rsidRPr="00646C04">
        <w:rPr>
          <w:rFonts w:cstheme="minorHAnsi"/>
        </w:rPr>
        <w:t xml:space="preserve">, including the 81% increase from FY22 to FY23. </w:t>
      </w:r>
    </w:p>
    <w:p w14:paraId="16E521CC" w14:textId="2E0BD067" w:rsidR="0066031F" w:rsidRPr="00646C04" w:rsidRDefault="00C32D15" w:rsidP="00646C04">
      <w:pPr>
        <w:pStyle w:val="ListParagraph"/>
        <w:spacing w:line="240" w:lineRule="auto"/>
        <w:ind w:left="1440"/>
        <w:contextualSpacing w:val="0"/>
        <w:rPr>
          <w:rFonts w:cstheme="minorHAnsi"/>
          <w:b/>
          <w:bCs/>
        </w:rPr>
      </w:pPr>
      <w:r>
        <w:rPr>
          <w:rFonts w:cstheme="minorHAnsi"/>
          <w:b/>
          <w:bCs/>
        </w:rPr>
        <w:t xml:space="preserve">Since </w:t>
      </w:r>
      <w:r w:rsidR="00646C04">
        <w:rPr>
          <w:rFonts w:cstheme="minorHAnsi"/>
          <w:b/>
          <w:bCs/>
        </w:rPr>
        <w:t xml:space="preserve">FY22, seven additional providers started performing </w:t>
      </w:r>
      <w:r>
        <w:rPr>
          <w:rFonts w:cstheme="minorHAnsi"/>
          <w:b/>
          <w:bCs/>
        </w:rPr>
        <w:t xml:space="preserve">procedures </w:t>
      </w:r>
      <w:r w:rsidR="00646C04">
        <w:rPr>
          <w:rFonts w:cstheme="minorHAnsi"/>
          <w:b/>
          <w:bCs/>
        </w:rPr>
        <w:t xml:space="preserve">at the Center.  These provider additions account for over 5,500 cases at the Center in FY25. </w:t>
      </w:r>
    </w:p>
    <w:tbl>
      <w:tblPr>
        <w:tblW w:w="10525" w:type="dxa"/>
        <w:tblLook w:val="04A0" w:firstRow="1" w:lastRow="0" w:firstColumn="1" w:lastColumn="0" w:noHBand="0" w:noVBand="1"/>
      </w:tblPr>
      <w:tblGrid>
        <w:gridCol w:w="2232"/>
        <w:gridCol w:w="674"/>
        <w:gridCol w:w="674"/>
        <w:gridCol w:w="831"/>
        <w:gridCol w:w="674"/>
        <w:gridCol w:w="775"/>
        <w:gridCol w:w="831"/>
        <w:gridCol w:w="775"/>
        <w:gridCol w:w="775"/>
        <w:gridCol w:w="831"/>
        <w:gridCol w:w="1453"/>
      </w:tblGrid>
      <w:tr w:rsidR="008A4663" w:rsidRPr="008A4663" w14:paraId="3A6D051C" w14:textId="77777777" w:rsidTr="00AC2B59">
        <w:trPr>
          <w:cantSplit/>
          <w:trHeight w:val="870"/>
          <w:tblHeader/>
        </w:trPr>
        <w:tc>
          <w:tcPr>
            <w:tcW w:w="0" w:type="auto"/>
            <w:tcBorders>
              <w:top w:val="single" w:sz="4" w:space="0" w:color="auto"/>
              <w:left w:val="single" w:sz="4" w:space="0" w:color="auto"/>
              <w:bottom w:val="single" w:sz="4" w:space="0" w:color="auto"/>
              <w:right w:val="single" w:sz="4" w:space="0" w:color="auto"/>
            </w:tcBorders>
            <w:shd w:val="clear" w:color="000000" w:fill="DAE9F8"/>
            <w:noWrap/>
            <w:vAlign w:val="bottom"/>
            <w:hideMark/>
          </w:tcPr>
          <w:p w14:paraId="541BCD4F" w14:textId="77777777" w:rsidR="008A4663" w:rsidRPr="008A4663" w:rsidRDefault="008A4663" w:rsidP="008A4663">
            <w:pPr>
              <w:spacing w:after="0" w:line="240" w:lineRule="auto"/>
              <w:rPr>
                <w:rFonts w:eastAsia="Times New Roman" w:cstheme="minorHAnsi"/>
                <w:b/>
                <w:bCs/>
                <w:color w:val="000000"/>
                <w:sz w:val="20"/>
                <w:szCs w:val="20"/>
              </w:rPr>
            </w:pPr>
            <w:r w:rsidRPr="008A4663">
              <w:rPr>
                <w:rFonts w:eastAsia="Times New Roman" w:cstheme="minorHAnsi"/>
                <w:b/>
                <w:bCs/>
                <w:color w:val="000000"/>
                <w:sz w:val="20"/>
                <w:szCs w:val="20"/>
              </w:rPr>
              <w:t>Location</w:t>
            </w:r>
          </w:p>
        </w:tc>
        <w:tc>
          <w:tcPr>
            <w:tcW w:w="0" w:type="auto"/>
            <w:tcBorders>
              <w:top w:val="single" w:sz="4" w:space="0" w:color="auto"/>
              <w:left w:val="nil"/>
              <w:bottom w:val="single" w:sz="4" w:space="0" w:color="auto"/>
              <w:right w:val="single" w:sz="4" w:space="0" w:color="auto"/>
            </w:tcBorders>
            <w:shd w:val="clear" w:color="000000" w:fill="DAE9F8"/>
            <w:noWrap/>
            <w:hideMark/>
          </w:tcPr>
          <w:p w14:paraId="49A0263E" w14:textId="77777777" w:rsidR="008A4663" w:rsidRPr="008A4663" w:rsidRDefault="008A4663" w:rsidP="008A4663">
            <w:pPr>
              <w:spacing w:after="0" w:line="240" w:lineRule="auto"/>
              <w:jc w:val="center"/>
              <w:rPr>
                <w:rFonts w:eastAsia="Times New Roman" w:cstheme="minorHAnsi"/>
                <w:b/>
                <w:bCs/>
                <w:color w:val="000000"/>
                <w:sz w:val="20"/>
                <w:szCs w:val="20"/>
              </w:rPr>
            </w:pPr>
            <w:r w:rsidRPr="008A4663">
              <w:rPr>
                <w:rFonts w:eastAsia="Times New Roman" w:cstheme="minorHAnsi"/>
                <w:b/>
                <w:bCs/>
                <w:color w:val="000000"/>
                <w:sz w:val="20"/>
                <w:szCs w:val="20"/>
              </w:rPr>
              <w:t>FY22</w:t>
            </w:r>
          </w:p>
        </w:tc>
        <w:tc>
          <w:tcPr>
            <w:tcW w:w="0" w:type="auto"/>
            <w:tcBorders>
              <w:top w:val="single" w:sz="4" w:space="0" w:color="auto"/>
              <w:left w:val="nil"/>
              <w:bottom w:val="single" w:sz="4" w:space="0" w:color="auto"/>
              <w:right w:val="single" w:sz="4" w:space="0" w:color="auto"/>
            </w:tcBorders>
            <w:shd w:val="clear" w:color="000000" w:fill="DAE9F8"/>
            <w:noWrap/>
            <w:hideMark/>
          </w:tcPr>
          <w:p w14:paraId="1FE7EA7F" w14:textId="77777777" w:rsidR="008A4663" w:rsidRPr="008A4663" w:rsidRDefault="008A4663" w:rsidP="008A4663">
            <w:pPr>
              <w:spacing w:after="0" w:line="240" w:lineRule="auto"/>
              <w:jc w:val="center"/>
              <w:rPr>
                <w:rFonts w:eastAsia="Times New Roman" w:cstheme="minorHAnsi"/>
                <w:b/>
                <w:bCs/>
                <w:color w:val="000000"/>
                <w:sz w:val="20"/>
                <w:szCs w:val="20"/>
              </w:rPr>
            </w:pPr>
            <w:r w:rsidRPr="008A4663">
              <w:rPr>
                <w:rFonts w:eastAsia="Times New Roman" w:cstheme="minorHAnsi"/>
                <w:b/>
                <w:bCs/>
                <w:color w:val="000000"/>
                <w:sz w:val="20"/>
                <w:szCs w:val="20"/>
              </w:rPr>
              <w:t>FY23</w:t>
            </w:r>
          </w:p>
        </w:tc>
        <w:tc>
          <w:tcPr>
            <w:tcW w:w="0" w:type="auto"/>
            <w:tcBorders>
              <w:top w:val="single" w:sz="4" w:space="0" w:color="auto"/>
              <w:left w:val="nil"/>
              <w:bottom w:val="single" w:sz="4" w:space="0" w:color="auto"/>
              <w:right w:val="single" w:sz="4" w:space="0" w:color="auto"/>
            </w:tcBorders>
            <w:shd w:val="clear" w:color="000000" w:fill="DAE9F8"/>
            <w:hideMark/>
          </w:tcPr>
          <w:p w14:paraId="1F1BD90A" w14:textId="77777777" w:rsidR="008A4663" w:rsidRPr="008A4663" w:rsidRDefault="008A4663" w:rsidP="008A4663">
            <w:pPr>
              <w:spacing w:after="0" w:line="240" w:lineRule="auto"/>
              <w:jc w:val="center"/>
              <w:rPr>
                <w:rFonts w:eastAsia="Times New Roman" w:cstheme="minorHAnsi"/>
                <w:b/>
                <w:bCs/>
                <w:color w:val="000000"/>
                <w:sz w:val="20"/>
                <w:szCs w:val="20"/>
              </w:rPr>
            </w:pPr>
            <w:r w:rsidRPr="008A4663">
              <w:rPr>
                <w:rFonts w:eastAsia="Times New Roman" w:cstheme="minorHAnsi"/>
                <w:b/>
                <w:bCs/>
                <w:color w:val="000000"/>
                <w:sz w:val="20"/>
                <w:szCs w:val="20"/>
              </w:rPr>
              <w:t>% Change FY22-23</w:t>
            </w:r>
          </w:p>
        </w:tc>
        <w:tc>
          <w:tcPr>
            <w:tcW w:w="0" w:type="auto"/>
            <w:tcBorders>
              <w:top w:val="single" w:sz="4" w:space="0" w:color="auto"/>
              <w:left w:val="nil"/>
              <w:bottom w:val="single" w:sz="4" w:space="0" w:color="auto"/>
              <w:right w:val="single" w:sz="4" w:space="0" w:color="auto"/>
            </w:tcBorders>
            <w:shd w:val="clear" w:color="000000" w:fill="DAE9F8"/>
            <w:noWrap/>
            <w:hideMark/>
          </w:tcPr>
          <w:p w14:paraId="0A621261" w14:textId="77777777" w:rsidR="008A4663" w:rsidRPr="008A4663" w:rsidRDefault="008A4663" w:rsidP="008A4663">
            <w:pPr>
              <w:spacing w:after="0" w:line="240" w:lineRule="auto"/>
              <w:jc w:val="center"/>
              <w:rPr>
                <w:rFonts w:eastAsia="Times New Roman" w:cstheme="minorHAnsi"/>
                <w:b/>
                <w:bCs/>
                <w:color w:val="000000"/>
                <w:sz w:val="20"/>
                <w:szCs w:val="20"/>
              </w:rPr>
            </w:pPr>
            <w:r w:rsidRPr="008A4663">
              <w:rPr>
                <w:rFonts w:eastAsia="Times New Roman" w:cstheme="minorHAnsi"/>
                <w:b/>
                <w:bCs/>
                <w:color w:val="000000"/>
                <w:sz w:val="20"/>
                <w:szCs w:val="20"/>
              </w:rPr>
              <w:t>FY23</w:t>
            </w:r>
          </w:p>
        </w:tc>
        <w:tc>
          <w:tcPr>
            <w:tcW w:w="0" w:type="auto"/>
            <w:tcBorders>
              <w:top w:val="single" w:sz="4" w:space="0" w:color="auto"/>
              <w:left w:val="nil"/>
              <w:bottom w:val="single" w:sz="4" w:space="0" w:color="auto"/>
              <w:right w:val="single" w:sz="4" w:space="0" w:color="auto"/>
            </w:tcBorders>
            <w:shd w:val="clear" w:color="000000" w:fill="DAE9F8"/>
            <w:noWrap/>
            <w:hideMark/>
          </w:tcPr>
          <w:p w14:paraId="6F67BA20" w14:textId="77777777" w:rsidR="008A4663" w:rsidRPr="008A4663" w:rsidRDefault="008A4663" w:rsidP="008A4663">
            <w:pPr>
              <w:spacing w:after="0" w:line="240" w:lineRule="auto"/>
              <w:jc w:val="center"/>
              <w:rPr>
                <w:rFonts w:eastAsia="Times New Roman" w:cstheme="minorHAnsi"/>
                <w:b/>
                <w:bCs/>
                <w:color w:val="000000"/>
                <w:sz w:val="20"/>
                <w:szCs w:val="20"/>
              </w:rPr>
            </w:pPr>
            <w:r w:rsidRPr="008A4663">
              <w:rPr>
                <w:rFonts w:eastAsia="Times New Roman" w:cstheme="minorHAnsi"/>
                <w:b/>
                <w:bCs/>
                <w:color w:val="000000"/>
                <w:sz w:val="20"/>
                <w:szCs w:val="20"/>
              </w:rPr>
              <w:t>FY24</w:t>
            </w:r>
          </w:p>
        </w:tc>
        <w:tc>
          <w:tcPr>
            <w:tcW w:w="0" w:type="auto"/>
            <w:tcBorders>
              <w:top w:val="single" w:sz="4" w:space="0" w:color="auto"/>
              <w:left w:val="nil"/>
              <w:bottom w:val="single" w:sz="4" w:space="0" w:color="auto"/>
              <w:right w:val="single" w:sz="4" w:space="0" w:color="auto"/>
            </w:tcBorders>
            <w:shd w:val="clear" w:color="000000" w:fill="DAE9F8"/>
            <w:hideMark/>
          </w:tcPr>
          <w:p w14:paraId="795C41E0" w14:textId="77777777" w:rsidR="008A4663" w:rsidRPr="008A4663" w:rsidRDefault="008A4663" w:rsidP="008A4663">
            <w:pPr>
              <w:spacing w:after="0" w:line="240" w:lineRule="auto"/>
              <w:jc w:val="center"/>
              <w:rPr>
                <w:rFonts w:eastAsia="Times New Roman" w:cstheme="minorHAnsi"/>
                <w:b/>
                <w:bCs/>
                <w:color w:val="000000"/>
                <w:sz w:val="20"/>
                <w:szCs w:val="20"/>
              </w:rPr>
            </w:pPr>
            <w:r w:rsidRPr="008A4663">
              <w:rPr>
                <w:rFonts w:eastAsia="Times New Roman" w:cstheme="minorHAnsi"/>
                <w:b/>
                <w:bCs/>
                <w:color w:val="000000"/>
                <w:sz w:val="20"/>
                <w:szCs w:val="20"/>
              </w:rPr>
              <w:t>% Change FY23-24</w:t>
            </w:r>
          </w:p>
        </w:tc>
        <w:tc>
          <w:tcPr>
            <w:tcW w:w="0" w:type="auto"/>
            <w:tcBorders>
              <w:top w:val="single" w:sz="4" w:space="0" w:color="auto"/>
              <w:left w:val="nil"/>
              <w:bottom w:val="single" w:sz="4" w:space="0" w:color="auto"/>
              <w:right w:val="single" w:sz="4" w:space="0" w:color="auto"/>
            </w:tcBorders>
            <w:shd w:val="clear" w:color="000000" w:fill="DAE9F8"/>
            <w:noWrap/>
            <w:hideMark/>
          </w:tcPr>
          <w:p w14:paraId="63583013" w14:textId="77777777" w:rsidR="008A4663" w:rsidRPr="008A4663" w:rsidRDefault="008A4663" w:rsidP="008A4663">
            <w:pPr>
              <w:spacing w:after="0" w:line="240" w:lineRule="auto"/>
              <w:jc w:val="center"/>
              <w:rPr>
                <w:rFonts w:eastAsia="Times New Roman" w:cstheme="minorHAnsi"/>
                <w:b/>
                <w:bCs/>
                <w:color w:val="000000"/>
                <w:sz w:val="20"/>
                <w:szCs w:val="20"/>
              </w:rPr>
            </w:pPr>
            <w:r w:rsidRPr="008A4663">
              <w:rPr>
                <w:rFonts w:eastAsia="Times New Roman" w:cstheme="minorHAnsi"/>
                <w:b/>
                <w:bCs/>
                <w:color w:val="000000"/>
                <w:sz w:val="20"/>
                <w:szCs w:val="20"/>
              </w:rPr>
              <w:t>FY24</w:t>
            </w:r>
          </w:p>
        </w:tc>
        <w:tc>
          <w:tcPr>
            <w:tcW w:w="0" w:type="auto"/>
            <w:tcBorders>
              <w:top w:val="single" w:sz="4" w:space="0" w:color="auto"/>
              <w:left w:val="nil"/>
              <w:bottom w:val="single" w:sz="4" w:space="0" w:color="auto"/>
              <w:right w:val="single" w:sz="4" w:space="0" w:color="auto"/>
            </w:tcBorders>
            <w:shd w:val="clear" w:color="000000" w:fill="DAE9F8"/>
            <w:noWrap/>
            <w:hideMark/>
          </w:tcPr>
          <w:p w14:paraId="493932ED" w14:textId="77777777" w:rsidR="008A4663" w:rsidRPr="008A4663" w:rsidRDefault="008A4663" w:rsidP="008A4663">
            <w:pPr>
              <w:spacing w:after="0" w:line="240" w:lineRule="auto"/>
              <w:jc w:val="center"/>
              <w:rPr>
                <w:rFonts w:eastAsia="Times New Roman" w:cstheme="minorHAnsi"/>
                <w:b/>
                <w:bCs/>
                <w:color w:val="000000"/>
                <w:sz w:val="20"/>
                <w:szCs w:val="20"/>
              </w:rPr>
            </w:pPr>
            <w:r w:rsidRPr="008A4663">
              <w:rPr>
                <w:rFonts w:eastAsia="Times New Roman" w:cstheme="minorHAnsi"/>
                <w:b/>
                <w:bCs/>
                <w:color w:val="000000"/>
                <w:sz w:val="20"/>
                <w:szCs w:val="20"/>
              </w:rPr>
              <w:t>FY25</w:t>
            </w:r>
          </w:p>
        </w:tc>
        <w:tc>
          <w:tcPr>
            <w:tcW w:w="831" w:type="dxa"/>
            <w:tcBorders>
              <w:top w:val="single" w:sz="4" w:space="0" w:color="auto"/>
              <w:left w:val="nil"/>
              <w:bottom w:val="single" w:sz="4" w:space="0" w:color="auto"/>
              <w:right w:val="single" w:sz="4" w:space="0" w:color="auto"/>
            </w:tcBorders>
            <w:shd w:val="clear" w:color="000000" w:fill="DAE9F8"/>
            <w:hideMark/>
          </w:tcPr>
          <w:p w14:paraId="326388C3" w14:textId="77777777" w:rsidR="008A4663" w:rsidRPr="008A4663" w:rsidRDefault="008A4663" w:rsidP="008A4663">
            <w:pPr>
              <w:spacing w:after="0" w:line="240" w:lineRule="auto"/>
              <w:jc w:val="center"/>
              <w:rPr>
                <w:rFonts w:eastAsia="Times New Roman" w:cstheme="minorHAnsi"/>
                <w:b/>
                <w:bCs/>
                <w:color w:val="000000"/>
                <w:sz w:val="20"/>
                <w:szCs w:val="20"/>
              </w:rPr>
            </w:pPr>
            <w:r w:rsidRPr="008A4663">
              <w:rPr>
                <w:rFonts w:eastAsia="Times New Roman" w:cstheme="minorHAnsi"/>
                <w:b/>
                <w:bCs/>
                <w:color w:val="000000"/>
                <w:sz w:val="20"/>
                <w:szCs w:val="20"/>
              </w:rPr>
              <w:t>% Change FY24-25</w:t>
            </w:r>
          </w:p>
        </w:tc>
        <w:tc>
          <w:tcPr>
            <w:tcW w:w="1453" w:type="dxa"/>
            <w:tcBorders>
              <w:top w:val="single" w:sz="4" w:space="0" w:color="auto"/>
              <w:left w:val="nil"/>
              <w:bottom w:val="single" w:sz="4" w:space="0" w:color="auto"/>
              <w:right w:val="single" w:sz="4" w:space="0" w:color="auto"/>
            </w:tcBorders>
            <w:shd w:val="clear" w:color="000000" w:fill="DAE9F8"/>
            <w:hideMark/>
          </w:tcPr>
          <w:p w14:paraId="2F827270" w14:textId="77777777" w:rsidR="008A4663" w:rsidRPr="008A4663" w:rsidRDefault="008A4663" w:rsidP="008A4663">
            <w:pPr>
              <w:spacing w:after="0" w:line="240" w:lineRule="auto"/>
              <w:jc w:val="center"/>
              <w:rPr>
                <w:rFonts w:eastAsia="Times New Roman" w:cstheme="minorHAnsi"/>
                <w:b/>
                <w:bCs/>
                <w:color w:val="000000"/>
                <w:sz w:val="20"/>
                <w:szCs w:val="20"/>
              </w:rPr>
            </w:pPr>
            <w:r w:rsidRPr="008A4663">
              <w:rPr>
                <w:rFonts w:eastAsia="Times New Roman" w:cstheme="minorHAnsi"/>
                <w:b/>
                <w:bCs/>
                <w:color w:val="000000"/>
                <w:sz w:val="20"/>
                <w:szCs w:val="20"/>
              </w:rPr>
              <w:t xml:space="preserve">% Change                            FY22 to FY25 </w:t>
            </w:r>
          </w:p>
        </w:tc>
      </w:tr>
      <w:tr w:rsidR="008A4663" w:rsidRPr="008A4663" w14:paraId="5988E16D" w14:textId="77777777" w:rsidTr="00AC2B59">
        <w:trPr>
          <w:cantSplit/>
          <w:trHeight w:val="290"/>
        </w:trPr>
        <w:tc>
          <w:tcPr>
            <w:tcW w:w="0" w:type="auto"/>
            <w:tcBorders>
              <w:top w:val="nil"/>
              <w:left w:val="single" w:sz="4" w:space="0" w:color="auto"/>
              <w:bottom w:val="single" w:sz="4" w:space="0" w:color="auto"/>
              <w:right w:val="single" w:sz="4" w:space="0" w:color="auto"/>
            </w:tcBorders>
            <w:noWrap/>
            <w:vAlign w:val="bottom"/>
            <w:hideMark/>
          </w:tcPr>
          <w:p w14:paraId="0369D586" w14:textId="77777777" w:rsidR="008A4663" w:rsidRPr="008A4663" w:rsidRDefault="008A4663" w:rsidP="008A4663">
            <w:pPr>
              <w:spacing w:after="0" w:line="240" w:lineRule="auto"/>
              <w:rPr>
                <w:rFonts w:eastAsia="Times New Roman" w:cstheme="minorHAnsi"/>
                <w:color w:val="000000"/>
                <w:sz w:val="20"/>
                <w:szCs w:val="20"/>
              </w:rPr>
            </w:pPr>
            <w:r w:rsidRPr="008A4663">
              <w:rPr>
                <w:rFonts w:eastAsia="Times New Roman" w:cstheme="minorHAnsi"/>
                <w:color w:val="000000"/>
                <w:sz w:val="20"/>
                <w:szCs w:val="20"/>
              </w:rPr>
              <w:t>Endoscopy Center</w:t>
            </w:r>
          </w:p>
        </w:tc>
        <w:tc>
          <w:tcPr>
            <w:tcW w:w="0" w:type="auto"/>
            <w:tcBorders>
              <w:top w:val="nil"/>
              <w:left w:val="nil"/>
              <w:bottom w:val="single" w:sz="4" w:space="0" w:color="auto"/>
              <w:right w:val="single" w:sz="4" w:space="0" w:color="auto"/>
            </w:tcBorders>
            <w:noWrap/>
            <w:vAlign w:val="bottom"/>
            <w:hideMark/>
          </w:tcPr>
          <w:p w14:paraId="0E311AB3" w14:textId="77777777" w:rsidR="008A4663" w:rsidRPr="008A4663" w:rsidRDefault="008A4663" w:rsidP="008A4663">
            <w:pPr>
              <w:spacing w:after="0" w:line="240" w:lineRule="auto"/>
              <w:jc w:val="center"/>
              <w:rPr>
                <w:rFonts w:eastAsia="Times New Roman" w:cstheme="minorHAnsi"/>
                <w:color w:val="000000"/>
                <w:sz w:val="20"/>
                <w:szCs w:val="20"/>
              </w:rPr>
            </w:pPr>
            <w:r w:rsidRPr="008A4663">
              <w:rPr>
                <w:rFonts w:eastAsia="Times New Roman" w:cstheme="minorHAnsi"/>
                <w:color w:val="000000"/>
                <w:sz w:val="20"/>
                <w:szCs w:val="20"/>
              </w:rPr>
              <w:t>3,674</w:t>
            </w:r>
          </w:p>
        </w:tc>
        <w:tc>
          <w:tcPr>
            <w:tcW w:w="0" w:type="auto"/>
            <w:tcBorders>
              <w:top w:val="nil"/>
              <w:left w:val="nil"/>
              <w:bottom w:val="single" w:sz="4" w:space="0" w:color="auto"/>
              <w:right w:val="single" w:sz="4" w:space="0" w:color="auto"/>
            </w:tcBorders>
            <w:noWrap/>
            <w:vAlign w:val="bottom"/>
            <w:hideMark/>
          </w:tcPr>
          <w:p w14:paraId="0CD9EE2B" w14:textId="77777777" w:rsidR="008A4663" w:rsidRPr="008A4663" w:rsidRDefault="008A4663" w:rsidP="008A4663">
            <w:pPr>
              <w:spacing w:after="0" w:line="240" w:lineRule="auto"/>
              <w:jc w:val="center"/>
              <w:rPr>
                <w:rFonts w:eastAsia="Times New Roman" w:cstheme="minorHAnsi"/>
                <w:color w:val="000000"/>
                <w:sz w:val="20"/>
                <w:szCs w:val="20"/>
              </w:rPr>
            </w:pPr>
            <w:r w:rsidRPr="008A4663">
              <w:rPr>
                <w:rFonts w:eastAsia="Times New Roman" w:cstheme="minorHAnsi"/>
                <w:color w:val="000000"/>
                <w:sz w:val="20"/>
                <w:szCs w:val="20"/>
              </w:rPr>
              <w:t>6,634</w:t>
            </w:r>
          </w:p>
        </w:tc>
        <w:tc>
          <w:tcPr>
            <w:tcW w:w="0" w:type="auto"/>
            <w:tcBorders>
              <w:top w:val="nil"/>
              <w:left w:val="nil"/>
              <w:bottom w:val="single" w:sz="4" w:space="0" w:color="auto"/>
              <w:right w:val="single" w:sz="4" w:space="0" w:color="auto"/>
            </w:tcBorders>
            <w:noWrap/>
            <w:vAlign w:val="bottom"/>
            <w:hideMark/>
          </w:tcPr>
          <w:p w14:paraId="1F929062" w14:textId="77777777" w:rsidR="008A4663" w:rsidRPr="008A4663" w:rsidRDefault="008A4663" w:rsidP="008A4663">
            <w:pPr>
              <w:spacing w:after="0" w:line="240" w:lineRule="auto"/>
              <w:jc w:val="center"/>
              <w:rPr>
                <w:rFonts w:eastAsia="Times New Roman" w:cstheme="minorHAnsi"/>
                <w:color w:val="000000"/>
                <w:sz w:val="20"/>
                <w:szCs w:val="20"/>
              </w:rPr>
            </w:pPr>
            <w:r w:rsidRPr="008A4663">
              <w:rPr>
                <w:rFonts w:eastAsia="Times New Roman" w:cstheme="minorHAnsi"/>
                <w:color w:val="000000"/>
                <w:sz w:val="20"/>
                <w:szCs w:val="20"/>
              </w:rPr>
              <w:t>81%</w:t>
            </w:r>
          </w:p>
        </w:tc>
        <w:tc>
          <w:tcPr>
            <w:tcW w:w="0" w:type="auto"/>
            <w:tcBorders>
              <w:top w:val="nil"/>
              <w:left w:val="nil"/>
              <w:bottom w:val="single" w:sz="4" w:space="0" w:color="auto"/>
              <w:right w:val="single" w:sz="4" w:space="0" w:color="auto"/>
            </w:tcBorders>
            <w:noWrap/>
            <w:vAlign w:val="bottom"/>
            <w:hideMark/>
          </w:tcPr>
          <w:p w14:paraId="54B9D23F" w14:textId="77777777" w:rsidR="008A4663" w:rsidRPr="008A4663" w:rsidRDefault="008A4663" w:rsidP="008A4663">
            <w:pPr>
              <w:spacing w:after="0" w:line="240" w:lineRule="auto"/>
              <w:jc w:val="center"/>
              <w:rPr>
                <w:rFonts w:eastAsia="Times New Roman" w:cstheme="minorHAnsi"/>
                <w:color w:val="000000"/>
                <w:sz w:val="20"/>
                <w:szCs w:val="20"/>
              </w:rPr>
            </w:pPr>
            <w:r w:rsidRPr="008A4663">
              <w:rPr>
                <w:rFonts w:eastAsia="Times New Roman" w:cstheme="minorHAnsi"/>
                <w:color w:val="000000"/>
                <w:sz w:val="20"/>
                <w:szCs w:val="20"/>
              </w:rPr>
              <w:t>6,634</w:t>
            </w:r>
          </w:p>
        </w:tc>
        <w:tc>
          <w:tcPr>
            <w:tcW w:w="0" w:type="auto"/>
            <w:tcBorders>
              <w:top w:val="nil"/>
              <w:left w:val="nil"/>
              <w:bottom w:val="single" w:sz="4" w:space="0" w:color="auto"/>
              <w:right w:val="single" w:sz="4" w:space="0" w:color="auto"/>
            </w:tcBorders>
            <w:noWrap/>
            <w:vAlign w:val="bottom"/>
            <w:hideMark/>
          </w:tcPr>
          <w:p w14:paraId="77C3A223" w14:textId="77777777" w:rsidR="008A4663" w:rsidRPr="008A4663" w:rsidRDefault="008A4663" w:rsidP="008A4663">
            <w:pPr>
              <w:spacing w:after="0" w:line="240" w:lineRule="auto"/>
              <w:jc w:val="center"/>
              <w:rPr>
                <w:rFonts w:eastAsia="Times New Roman" w:cstheme="minorHAnsi"/>
                <w:color w:val="000000"/>
                <w:sz w:val="20"/>
                <w:szCs w:val="20"/>
              </w:rPr>
            </w:pPr>
            <w:r w:rsidRPr="008A4663">
              <w:rPr>
                <w:rFonts w:eastAsia="Times New Roman" w:cstheme="minorHAnsi"/>
                <w:color w:val="000000"/>
                <w:sz w:val="20"/>
                <w:szCs w:val="20"/>
              </w:rPr>
              <w:t>8,671</w:t>
            </w:r>
          </w:p>
        </w:tc>
        <w:tc>
          <w:tcPr>
            <w:tcW w:w="0" w:type="auto"/>
            <w:tcBorders>
              <w:top w:val="nil"/>
              <w:left w:val="nil"/>
              <w:bottom w:val="single" w:sz="4" w:space="0" w:color="auto"/>
              <w:right w:val="single" w:sz="4" w:space="0" w:color="auto"/>
            </w:tcBorders>
            <w:noWrap/>
            <w:vAlign w:val="bottom"/>
            <w:hideMark/>
          </w:tcPr>
          <w:p w14:paraId="272FFE18" w14:textId="77777777" w:rsidR="008A4663" w:rsidRPr="008A4663" w:rsidRDefault="008A4663" w:rsidP="008A4663">
            <w:pPr>
              <w:spacing w:after="0" w:line="240" w:lineRule="auto"/>
              <w:jc w:val="center"/>
              <w:rPr>
                <w:rFonts w:eastAsia="Times New Roman" w:cstheme="minorHAnsi"/>
                <w:color w:val="000000"/>
                <w:sz w:val="20"/>
                <w:szCs w:val="20"/>
              </w:rPr>
            </w:pPr>
            <w:r w:rsidRPr="008A4663">
              <w:rPr>
                <w:rFonts w:eastAsia="Times New Roman" w:cstheme="minorHAnsi"/>
                <w:color w:val="000000"/>
                <w:sz w:val="20"/>
                <w:szCs w:val="20"/>
              </w:rPr>
              <w:t>31%</w:t>
            </w:r>
          </w:p>
        </w:tc>
        <w:tc>
          <w:tcPr>
            <w:tcW w:w="0" w:type="auto"/>
            <w:tcBorders>
              <w:top w:val="nil"/>
              <w:left w:val="nil"/>
              <w:bottom w:val="single" w:sz="4" w:space="0" w:color="auto"/>
              <w:right w:val="single" w:sz="4" w:space="0" w:color="auto"/>
            </w:tcBorders>
            <w:noWrap/>
            <w:vAlign w:val="bottom"/>
            <w:hideMark/>
          </w:tcPr>
          <w:p w14:paraId="7733AF6A" w14:textId="77777777" w:rsidR="008A4663" w:rsidRPr="008A4663" w:rsidRDefault="008A4663" w:rsidP="008A4663">
            <w:pPr>
              <w:spacing w:after="0" w:line="240" w:lineRule="auto"/>
              <w:jc w:val="center"/>
              <w:rPr>
                <w:rFonts w:eastAsia="Times New Roman" w:cstheme="minorHAnsi"/>
                <w:color w:val="000000"/>
                <w:sz w:val="20"/>
                <w:szCs w:val="20"/>
              </w:rPr>
            </w:pPr>
            <w:r w:rsidRPr="008A4663">
              <w:rPr>
                <w:rFonts w:eastAsia="Times New Roman" w:cstheme="minorHAnsi"/>
                <w:color w:val="000000"/>
                <w:sz w:val="20"/>
                <w:szCs w:val="20"/>
              </w:rPr>
              <w:t>8,671</w:t>
            </w:r>
          </w:p>
        </w:tc>
        <w:tc>
          <w:tcPr>
            <w:tcW w:w="0" w:type="auto"/>
            <w:tcBorders>
              <w:top w:val="nil"/>
              <w:left w:val="nil"/>
              <w:bottom w:val="single" w:sz="4" w:space="0" w:color="auto"/>
              <w:right w:val="single" w:sz="4" w:space="0" w:color="auto"/>
            </w:tcBorders>
            <w:noWrap/>
            <w:vAlign w:val="bottom"/>
            <w:hideMark/>
          </w:tcPr>
          <w:p w14:paraId="14DD6767" w14:textId="77777777" w:rsidR="008A4663" w:rsidRPr="008A4663" w:rsidRDefault="008A4663" w:rsidP="008A4663">
            <w:pPr>
              <w:spacing w:after="0" w:line="240" w:lineRule="auto"/>
              <w:jc w:val="center"/>
              <w:rPr>
                <w:rFonts w:eastAsia="Times New Roman" w:cstheme="minorHAnsi"/>
                <w:color w:val="000000"/>
                <w:sz w:val="20"/>
                <w:szCs w:val="20"/>
              </w:rPr>
            </w:pPr>
            <w:r w:rsidRPr="008A4663">
              <w:rPr>
                <w:rFonts w:eastAsia="Times New Roman" w:cstheme="minorHAnsi"/>
                <w:color w:val="000000"/>
                <w:sz w:val="20"/>
                <w:szCs w:val="20"/>
              </w:rPr>
              <w:t>11,079</w:t>
            </w:r>
          </w:p>
        </w:tc>
        <w:tc>
          <w:tcPr>
            <w:tcW w:w="831" w:type="dxa"/>
            <w:tcBorders>
              <w:top w:val="nil"/>
              <w:left w:val="nil"/>
              <w:bottom w:val="single" w:sz="4" w:space="0" w:color="auto"/>
              <w:right w:val="single" w:sz="4" w:space="0" w:color="auto"/>
            </w:tcBorders>
            <w:noWrap/>
            <w:vAlign w:val="bottom"/>
            <w:hideMark/>
          </w:tcPr>
          <w:p w14:paraId="0CD4917E" w14:textId="77777777" w:rsidR="008A4663" w:rsidRPr="008A4663" w:rsidRDefault="008A4663" w:rsidP="008A4663">
            <w:pPr>
              <w:spacing w:after="0" w:line="240" w:lineRule="auto"/>
              <w:jc w:val="center"/>
              <w:rPr>
                <w:rFonts w:eastAsia="Times New Roman" w:cstheme="minorHAnsi"/>
                <w:color w:val="000000"/>
                <w:sz w:val="20"/>
                <w:szCs w:val="20"/>
              </w:rPr>
            </w:pPr>
            <w:r w:rsidRPr="008A4663">
              <w:rPr>
                <w:rFonts w:eastAsia="Times New Roman" w:cstheme="minorHAnsi"/>
                <w:color w:val="000000"/>
                <w:sz w:val="20"/>
                <w:szCs w:val="20"/>
              </w:rPr>
              <w:t>28%</w:t>
            </w:r>
          </w:p>
        </w:tc>
        <w:tc>
          <w:tcPr>
            <w:tcW w:w="1453" w:type="dxa"/>
            <w:tcBorders>
              <w:top w:val="nil"/>
              <w:left w:val="nil"/>
              <w:bottom w:val="single" w:sz="4" w:space="0" w:color="auto"/>
              <w:right w:val="single" w:sz="4" w:space="0" w:color="auto"/>
            </w:tcBorders>
            <w:noWrap/>
            <w:vAlign w:val="bottom"/>
            <w:hideMark/>
          </w:tcPr>
          <w:p w14:paraId="51DE55A8" w14:textId="77777777" w:rsidR="008A4663" w:rsidRPr="008A4663" w:rsidRDefault="008A4663" w:rsidP="008A4663">
            <w:pPr>
              <w:spacing w:after="0" w:line="240" w:lineRule="auto"/>
              <w:jc w:val="center"/>
              <w:rPr>
                <w:rFonts w:eastAsia="Times New Roman" w:cstheme="minorHAnsi"/>
                <w:color w:val="000000"/>
                <w:sz w:val="20"/>
                <w:szCs w:val="20"/>
              </w:rPr>
            </w:pPr>
            <w:r w:rsidRPr="008A4663">
              <w:rPr>
                <w:rFonts w:eastAsia="Times New Roman" w:cstheme="minorHAnsi"/>
                <w:color w:val="000000"/>
                <w:sz w:val="20"/>
                <w:szCs w:val="20"/>
              </w:rPr>
              <w:t>202%</w:t>
            </w:r>
          </w:p>
        </w:tc>
      </w:tr>
      <w:tr w:rsidR="008A4663" w:rsidRPr="008A4663" w14:paraId="338C5102" w14:textId="77777777" w:rsidTr="00AC2B59">
        <w:trPr>
          <w:cantSplit/>
          <w:trHeight w:val="290"/>
        </w:trPr>
        <w:tc>
          <w:tcPr>
            <w:tcW w:w="0" w:type="auto"/>
            <w:tcBorders>
              <w:top w:val="nil"/>
              <w:left w:val="single" w:sz="4" w:space="0" w:color="auto"/>
              <w:bottom w:val="single" w:sz="4" w:space="0" w:color="auto"/>
              <w:right w:val="single" w:sz="4" w:space="0" w:color="auto"/>
            </w:tcBorders>
            <w:noWrap/>
            <w:vAlign w:val="bottom"/>
            <w:hideMark/>
          </w:tcPr>
          <w:p w14:paraId="733CF2CE" w14:textId="77777777" w:rsidR="008A4663" w:rsidRPr="008A4663" w:rsidRDefault="008A4663" w:rsidP="008A4663">
            <w:pPr>
              <w:spacing w:after="0" w:line="240" w:lineRule="auto"/>
              <w:rPr>
                <w:rFonts w:eastAsia="Times New Roman" w:cstheme="minorHAnsi"/>
                <w:color w:val="000000"/>
                <w:sz w:val="20"/>
                <w:szCs w:val="20"/>
              </w:rPr>
            </w:pPr>
            <w:r w:rsidRPr="008A4663">
              <w:rPr>
                <w:rFonts w:eastAsia="Times New Roman" w:cstheme="minorHAnsi"/>
                <w:color w:val="000000"/>
                <w:sz w:val="20"/>
                <w:szCs w:val="20"/>
              </w:rPr>
              <w:t>Main Campus</w:t>
            </w:r>
          </w:p>
        </w:tc>
        <w:tc>
          <w:tcPr>
            <w:tcW w:w="0" w:type="auto"/>
            <w:tcBorders>
              <w:top w:val="nil"/>
              <w:left w:val="nil"/>
              <w:bottom w:val="single" w:sz="4" w:space="0" w:color="auto"/>
              <w:right w:val="single" w:sz="4" w:space="0" w:color="auto"/>
            </w:tcBorders>
            <w:noWrap/>
            <w:vAlign w:val="bottom"/>
            <w:hideMark/>
          </w:tcPr>
          <w:p w14:paraId="043BAB5F" w14:textId="77777777" w:rsidR="008A4663" w:rsidRPr="008A4663" w:rsidRDefault="008A4663" w:rsidP="008A4663">
            <w:pPr>
              <w:spacing w:after="0" w:line="240" w:lineRule="auto"/>
              <w:jc w:val="center"/>
              <w:rPr>
                <w:rFonts w:eastAsia="Times New Roman" w:cstheme="minorHAnsi"/>
                <w:color w:val="000000"/>
                <w:sz w:val="20"/>
                <w:szCs w:val="20"/>
              </w:rPr>
            </w:pPr>
            <w:r w:rsidRPr="008A4663">
              <w:rPr>
                <w:rFonts w:eastAsia="Times New Roman" w:cstheme="minorHAnsi"/>
                <w:color w:val="000000"/>
                <w:sz w:val="20"/>
                <w:szCs w:val="20"/>
              </w:rPr>
              <w:t>1,194</w:t>
            </w:r>
          </w:p>
        </w:tc>
        <w:tc>
          <w:tcPr>
            <w:tcW w:w="0" w:type="auto"/>
            <w:tcBorders>
              <w:top w:val="nil"/>
              <w:left w:val="nil"/>
              <w:bottom w:val="single" w:sz="4" w:space="0" w:color="auto"/>
              <w:right w:val="single" w:sz="4" w:space="0" w:color="auto"/>
            </w:tcBorders>
            <w:noWrap/>
            <w:vAlign w:val="bottom"/>
            <w:hideMark/>
          </w:tcPr>
          <w:p w14:paraId="002A0999" w14:textId="77777777" w:rsidR="008A4663" w:rsidRPr="008A4663" w:rsidRDefault="008A4663" w:rsidP="008A4663">
            <w:pPr>
              <w:spacing w:after="0" w:line="240" w:lineRule="auto"/>
              <w:jc w:val="center"/>
              <w:rPr>
                <w:rFonts w:eastAsia="Times New Roman" w:cstheme="minorHAnsi"/>
                <w:color w:val="000000"/>
                <w:sz w:val="20"/>
                <w:szCs w:val="20"/>
              </w:rPr>
            </w:pPr>
            <w:r w:rsidRPr="008A4663">
              <w:rPr>
                <w:rFonts w:eastAsia="Times New Roman" w:cstheme="minorHAnsi"/>
                <w:color w:val="000000"/>
                <w:sz w:val="20"/>
                <w:szCs w:val="20"/>
              </w:rPr>
              <w:t>1,622</w:t>
            </w:r>
          </w:p>
        </w:tc>
        <w:tc>
          <w:tcPr>
            <w:tcW w:w="0" w:type="auto"/>
            <w:tcBorders>
              <w:top w:val="nil"/>
              <w:left w:val="nil"/>
              <w:bottom w:val="single" w:sz="4" w:space="0" w:color="auto"/>
              <w:right w:val="single" w:sz="4" w:space="0" w:color="auto"/>
            </w:tcBorders>
            <w:noWrap/>
            <w:vAlign w:val="bottom"/>
            <w:hideMark/>
          </w:tcPr>
          <w:p w14:paraId="67BEDAE4" w14:textId="77777777" w:rsidR="008A4663" w:rsidRPr="008A4663" w:rsidRDefault="008A4663" w:rsidP="008A4663">
            <w:pPr>
              <w:spacing w:after="0" w:line="240" w:lineRule="auto"/>
              <w:jc w:val="center"/>
              <w:rPr>
                <w:rFonts w:eastAsia="Times New Roman" w:cstheme="minorHAnsi"/>
                <w:color w:val="000000"/>
                <w:sz w:val="20"/>
                <w:szCs w:val="20"/>
              </w:rPr>
            </w:pPr>
            <w:r w:rsidRPr="008A4663">
              <w:rPr>
                <w:rFonts w:eastAsia="Times New Roman" w:cstheme="minorHAnsi"/>
                <w:color w:val="000000"/>
                <w:sz w:val="20"/>
                <w:szCs w:val="20"/>
              </w:rPr>
              <w:t>36%</w:t>
            </w:r>
          </w:p>
        </w:tc>
        <w:tc>
          <w:tcPr>
            <w:tcW w:w="0" w:type="auto"/>
            <w:tcBorders>
              <w:top w:val="nil"/>
              <w:left w:val="nil"/>
              <w:bottom w:val="single" w:sz="4" w:space="0" w:color="auto"/>
              <w:right w:val="single" w:sz="4" w:space="0" w:color="auto"/>
            </w:tcBorders>
            <w:noWrap/>
            <w:vAlign w:val="bottom"/>
            <w:hideMark/>
          </w:tcPr>
          <w:p w14:paraId="1FE05265" w14:textId="77777777" w:rsidR="008A4663" w:rsidRPr="008A4663" w:rsidRDefault="008A4663" w:rsidP="008A4663">
            <w:pPr>
              <w:spacing w:after="0" w:line="240" w:lineRule="auto"/>
              <w:jc w:val="center"/>
              <w:rPr>
                <w:rFonts w:eastAsia="Times New Roman" w:cstheme="minorHAnsi"/>
                <w:color w:val="000000"/>
                <w:sz w:val="20"/>
                <w:szCs w:val="20"/>
              </w:rPr>
            </w:pPr>
            <w:r w:rsidRPr="008A4663">
              <w:rPr>
                <w:rFonts w:eastAsia="Times New Roman" w:cstheme="minorHAnsi"/>
                <w:color w:val="000000"/>
                <w:sz w:val="20"/>
                <w:szCs w:val="20"/>
              </w:rPr>
              <w:t>1,622</w:t>
            </w:r>
          </w:p>
        </w:tc>
        <w:tc>
          <w:tcPr>
            <w:tcW w:w="0" w:type="auto"/>
            <w:tcBorders>
              <w:top w:val="nil"/>
              <w:left w:val="nil"/>
              <w:bottom w:val="single" w:sz="4" w:space="0" w:color="auto"/>
              <w:right w:val="single" w:sz="4" w:space="0" w:color="auto"/>
            </w:tcBorders>
            <w:noWrap/>
            <w:vAlign w:val="bottom"/>
            <w:hideMark/>
          </w:tcPr>
          <w:p w14:paraId="7BC5AE53" w14:textId="77777777" w:rsidR="008A4663" w:rsidRPr="008A4663" w:rsidRDefault="008A4663" w:rsidP="008A4663">
            <w:pPr>
              <w:spacing w:after="0" w:line="240" w:lineRule="auto"/>
              <w:jc w:val="center"/>
              <w:rPr>
                <w:rFonts w:eastAsia="Times New Roman" w:cstheme="minorHAnsi"/>
                <w:color w:val="000000"/>
                <w:sz w:val="20"/>
                <w:szCs w:val="20"/>
              </w:rPr>
            </w:pPr>
            <w:r w:rsidRPr="008A4663">
              <w:rPr>
                <w:rFonts w:eastAsia="Times New Roman" w:cstheme="minorHAnsi"/>
                <w:color w:val="000000"/>
                <w:sz w:val="20"/>
                <w:szCs w:val="20"/>
              </w:rPr>
              <w:t>2,456</w:t>
            </w:r>
          </w:p>
        </w:tc>
        <w:tc>
          <w:tcPr>
            <w:tcW w:w="0" w:type="auto"/>
            <w:tcBorders>
              <w:top w:val="nil"/>
              <w:left w:val="nil"/>
              <w:bottom w:val="single" w:sz="4" w:space="0" w:color="auto"/>
              <w:right w:val="single" w:sz="4" w:space="0" w:color="auto"/>
            </w:tcBorders>
            <w:noWrap/>
            <w:vAlign w:val="bottom"/>
            <w:hideMark/>
          </w:tcPr>
          <w:p w14:paraId="69BDAAD9" w14:textId="77777777" w:rsidR="008A4663" w:rsidRPr="008A4663" w:rsidRDefault="008A4663" w:rsidP="008A4663">
            <w:pPr>
              <w:spacing w:after="0" w:line="240" w:lineRule="auto"/>
              <w:jc w:val="center"/>
              <w:rPr>
                <w:rFonts w:eastAsia="Times New Roman" w:cstheme="minorHAnsi"/>
                <w:color w:val="000000"/>
                <w:sz w:val="20"/>
                <w:szCs w:val="20"/>
              </w:rPr>
            </w:pPr>
            <w:r w:rsidRPr="008A4663">
              <w:rPr>
                <w:rFonts w:eastAsia="Times New Roman" w:cstheme="minorHAnsi"/>
                <w:color w:val="000000"/>
                <w:sz w:val="20"/>
                <w:szCs w:val="20"/>
              </w:rPr>
              <w:t>51%</w:t>
            </w:r>
          </w:p>
        </w:tc>
        <w:tc>
          <w:tcPr>
            <w:tcW w:w="0" w:type="auto"/>
            <w:tcBorders>
              <w:top w:val="nil"/>
              <w:left w:val="nil"/>
              <w:bottom w:val="single" w:sz="4" w:space="0" w:color="auto"/>
              <w:right w:val="single" w:sz="4" w:space="0" w:color="auto"/>
            </w:tcBorders>
            <w:noWrap/>
            <w:vAlign w:val="bottom"/>
            <w:hideMark/>
          </w:tcPr>
          <w:p w14:paraId="2C503B0C" w14:textId="77777777" w:rsidR="008A4663" w:rsidRPr="008A4663" w:rsidRDefault="008A4663" w:rsidP="008A4663">
            <w:pPr>
              <w:spacing w:after="0" w:line="240" w:lineRule="auto"/>
              <w:jc w:val="center"/>
              <w:rPr>
                <w:rFonts w:eastAsia="Times New Roman" w:cstheme="minorHAnsi"/>
                <w:color w:val="000000"/>
                <w:sz w:val="20"/>
                <w:szCs w:val="20"/>
              </w:rPr>
            </w:pPr>
            <w:r w:rsidRPr="008A4663">
              <w:rPr>
                <w:rFonts w:eastAsia="Times New Roman" w:cstheme="minorHAnsi"/>
                <w:color w:val="000000"/>
                <w:sz w:val="20"/>
                <w:szCs w:val="20"/>
              </w:rPr>
              <w:t>2,456</w:t>
            </w:r>
          </w:p>
        </w:tc>
        <w:tc>
          <w:tcPr>
            <w:tcW w:w="0" w:type="auto"/>
            <w:tcBorders>
              <w:top w:val="nil"/>
              <w:left w:val="nil"/>
              <w:bottom w:val="single" w:sz="4" w:space="0" w:color="auto"/>
              <w:right w:val="single" w:sz="4" w:space="0" w:color="auto"/>
            </w:tcBorders>
            <w:noWrap/>
            <w:vAlign w:val="bottom"/>
            <w:hideMark/>
          </w:tcPr>
          <w:p w14:paraId="1CF60AA3" w14:textId="77777777" w:rsidR="008A4663" w:rsidRPr="008A4663" w:rsidRDefault="008A4663" w:rsidP="008A4663">
            <w:pPr>
              <w:spacing w:after="0" w:line="240" w:lineRule="auto"/>
              <w:jc w:val="center"/>
              <w:rPr>
                <w:rFonts w:eastAsia="Times New Roman" w:cstheme="minorHAnsi"/>
                <w:color w:val="000000"/>
                <w:sz w:val="20"/>
                <w:szCs w:val="20"/>
              </w:rPr>
            </w:pPr>
            <w:r w:rsidRPr="008A4663">
              <w:rPr>
                <w:rFonts w:eastAsia="Times New Roman" w:cstheme="minorHAnsi"/>
                <w:color w:val="000000"/>
                <w:sz w:val="20"/>
                <w:szCs w:val="20"/>
              </w:rPr>
              <w:t>2,720</w:t>
            </w:r>
          </w:p>
        </w:tc>
        <w:tc>
          <w:tcPr>
            <w:tcW w:w="831" w:type="dxa"/>
            <w:tcBorders>
              <w:top w:val="nil"/>
              <w:left w:val="nil"/>
              <w:bottom w:val="single" w:sz="4" w:space="0" w:color="auto"/>
              <w:right w:val="single" w:sz="4" w:space="0" w:color="auto"/>
            </w:tcBorders>
            <w:noWrap/>
            <w:vAlign w:val="bottom"/>
            <w:hideMark/>
          </w:tcPr>
          <w:p w14:paraId="2602C970" w14:textId="77777777" w:rsidR="008A4663" w:rsidRPr="008A4663" w:rsidRDefault="008A4663" w:rsidP="008A4663">
            <w:pPr>
              <w:spacing w:after="0" w:line="240" w:lineRule="auto"/>
              <w:jc w:val="center"/>
              <w:rPr>
                <w:rFonts w:eastAsia="Times New Roman" w:cstheme="minorHAnsi"/>
                <w:color w:val="000000"/>
                <w:sz w:val="20"/>
                <w:szCs w:val="20"/>
              </w:rPr>
            </w:pPr>
            <w:r w:rsidRPr="008A4663">
              <w:rPr>
                <w:rFonts w:eastAsia="Times New Roman" w:cstheme="minorHAnsi"/>
                <w:color w:val="000000"/>
                <w:sz w:val="20"/>
                <w:szCs w:val="20"/>
              </w:rPr>
              <w:t>11%</w:t>
            </w:r>
          </w:p>
        </w:tc>
        <w:tc>
          <w:tcPr>
            <w:tcW w:w="1453" w:type="dxa"/>
            <w:tcBorders>
              <w:top w:val="nil"/>
              <w:left w:val="nil"/>
              <w:bottom w:val="single" w:sz="4" w:space="0" w:color="auto"/>
              <w:right w:val="single" w:sz="4" w:space="0" w:color="auto"/>
            </w:tcBorders>
            <w:noWrap/>
            <w:vAlign w:val="bottom"/>
            <w:hideMark/>
          </w:tcPr>
          <w:p w14:paraId="53F68655" w14:textId="77777777" w:rsidR="008A4663" w:rsidRPr="008A4663" w:rsidRDefault="008A4663" w:rsidP="008A4663">
            <w:pPr>
              <w:spacing w:after="0" w:line="240" w:lineRule="auto"/>
              <w:jc w:val="center"/>
              <w:rPr>
                <w:rFonts w:eastAsia="Times New Roman" w:cstheme="minorHAnsi"/>
                <w:color w:val="000000"/>
                <w:sz w:val="20"/>
                <w:szCs w:val="20"/>
              </w:rPr>
            </w:pPr>
            <w:r w:rsidRPr="008A4663">
              <w:rPr>
                <w:rFonts w:eastAsia="Times New Roman" w:cstheme="minorHAnsi"/>
                <w:color w:val="000000"/>
                <w:sz w:val="20"/>
                <w:szCs w:val="20"/>
              </w:rPr>
              <w:t>128%</w:t>
            </w:r>
          </w:p>
        </w:tc>
      </w:tr>
      <w:tr w:rsidR="008A4663" w:rsidRPr="008A4663" w14:paraId="1995803F" w14:textId="77777777" w:rsidTr="00AC2B59">
        <w:trPr>
          <w:cantSplit/>
          <w:trHeight w:val="290"/>
        </w:trPr>
        <w:tc>
          <w:tcPr>
            <w:tcW w:w="0" w:type="auto"/>
            <w:tcBorders>
              <w:top w:val="nil"/>
              <w:left w:val="single" w:sz="4" w:space="0" w:color="auto"/>
              <w:bottom w:val="single" w:sz="4" w:space="0" w:color="auto"/>
              <w:right w:val="single" w:sz="4" w:space="0" w:color="auto"/>
            </w:tcBorders>
            <w:noWrap/>
            <w:vAlign w:val="bottom"/>
            <w:hideMark/>
          </w:tcPr>
          <w:p w14:paraId="290C834F" w14:textId="77777777" w:rsidR="008A4663" w:rsidRPr="008A4663" w:rsidRDefault="008A4663" w:rsidP="008A4663">
            <w:pPr>
              <w:spacing w:after="0" w:line="240" w:lineRule="auto"/>
              <w:rPr>
                <w:rFonts w:eastAsia="Times New Roman" w:cstheme="minorHAnsi"/>
                <w:b/>
                <w:bCs/>
                <w:color w:val="000000"/>
                <w:sz w:val="20"/>
                <w:szCs w:val="20"/>
              </w:rPr>
            </w:pPr>
            <w:r w:rsidRPr="008A4663">
              <w:rPr>
                <w:rFonts w:eastAsia="Times New Roman" w:cstheme="minorHAnsi"/>
                <w:b/>
                <w:bCs/>
                <w:color w:val="000000"/>
                <w:sz w:val="20"/>
                <w:szCs w:val="20"/>
              </w:rPr>
              <w:t xml:space="preserve">Total Procedure Volume </w:t>
            </w:r>
          </w:p>
        </w:tc>
        <w:tc>
          <w:tcPr>
            <w:tcW w:w="0" w:type="auto"/>
            <w:tcBorders>
              <w:top w:val="nil"/>
              <w:left w:val="nil"/>
              <w:bottom w:val="single" w:sz="4" w:space="0" w:color="auto"/>
              <w:right w:val="single" w:sz="4" w:space="0" w:color="auto"/>
            </w:tcBorders>
            <w:noWrap/>
            <w:vAlign w:val="bottom"/>
            <w:hideMark/>
          </w:tcPr>
          <w:p w14:paraId="60162F69" w14:textId="77777777" w:rsidR="008A4663" w:rsidRPr="008A4663" w:rsidRDefault="008A4663" w:rsidP="008A4663">
            <w:pPr>
              <w:spacing w:after="0" w:line="240" w:lineRule="auto"/>
              <w:jc w:val="center"/>
              <w:rPr>
                <w:rFonts w:eastAsia="Times New Roman" w:cstheme="minorHAnsi"/>
                <w:b/>
                <w:bCs/>
                <w:color w:val="000000"/>
                <w:sz w:val="20"/>
                <w:szCs w:val="20"/>
              </w:rPr>
            </w:pPr>
            <w:r w:rsidRPr="008A4663">
              <w:rPr>
                <w:rFonts w:eastAsia="Times New Roman" w:cstheme="minorHAnsi"/>
                <w:b/>
                <w:bCs/>
                <w:color w:val="000000"/>
                <w:sz w:val="20"/>
                <w:szCs w:val="20"/>
              </w:rPr>
              <w:t>4,868</w:t>
            </w:r>
          </w:p>
        </w:tc>
        <w:tc>
          <w:tcPr>
            <w:tcW w:w="0" w:type="auto"/>
            <w:tcBorders>
              <w:top w:val="nil"/>
              <w:left w:val="nil"/>
              <w:bottom w:val="single" w:sz="4" w:space="0" w:color="auto"/>
              <w:right w:val="single" w:sz="4" w:space="0" w:color="auto"/>
            </w:tcBorders>
            <w:noWrap/>
            <w:vAlign w:val="bottom"/>
            <w:hideMark/>
          </w:tcPr>
          <w:p w14:paraId="4E25B472" w14:textId="77777777" w:rsidR="008A4663" w:rsidRPr="008A4663" w:rsidRDefault="008A4663" w:rsidP="008A4663">
            <w:pPr>
              <w:spacing w:after="0" w:line="240" w:lineRule="auto"/>
              <w:jc w:val="center"/>
              <w:rPr>
                <w:rFonts w:eastAsia="Times New Roman" w:cstheme="minorHAnsi"/>
                <w:b/>
                <w:bCs/>
                <w:color w:val="000000"/>
                <w:sz w:val="20"/>
                <w:szCs w:val="20"/>
              </w:rPr>
            </w:pPr>
            <w:r w:rsidRPr="008A4663">
              <w:rPr>
                <w:rFonts w:eastAsia="Times New Roman" w:cstheme="minorHAnsi"/>
                <w:b/>
                <w:bCs/>
                <w:color w:val="000000"/>
                <w:sz w:val="20"/>
                <w:szCs w:val="20"/>
              </w:rPr>
              <w:t>8,256</w:t>
            </w:r>
          </w:p>
        </w:tc>
        <w:tc>
          <w:tcPr>
            <w:tcW w:w="0" w:type="auto"/>
            <w:tcBorders>
              <w:top w:val="nil"/>
              <w:left w:val="nil"/>
              <w:bottom w:val="single" w:sz="4" w:space="0" w:color="auto"/>
              <w:right w:val="single" w:sz="4" w:space="0" w:color="auto"/>
            </w:tcBorders>
            <w:noWrap/>
            <w:vAlign w:val="bottom"/>
            <w:hideMark/>
          </w:tcPr>
          <w:p w14:paraId="1788696F" w14:textId="77777777" w:rsidR="008A4663" w:rsidRPr="008A4663" w:rsidRDefault="008A4663" w:rsidP="008A4663">
            <w:pPr>
              <w:spacing w:after="0" w:line="240" w:lineRule="auto"/>
              <w:jc w:val="center"/>
              <w:rPr>
                <w:rFonts w:eastAsia="Times New Roman" w:cstheme="minorHAnsi"/>
                <w:color w:val="000000"/>
                <w:sz w:val="20"/>
                <w:szCs w:val="20"/>
              </w:rPr>
            </w:pPr>
            <w:r w:rsidRPr="008A4663">
              <w:rPr>
                <w:rFonts w:eastAsia="Times New Roman" w:cstheme="minorHAnsi"/>
                <w:color w:val="000000"/>
                <w:sz w:val="20"/>
                <w:szCs w:val="20"/>
              </w:rPr>
              <w:t>70%</w:t>
            </w:r>
          </w:p>
        </w:tc>
        <w:tc>
          <w:tcPr>
            <w:tcW w:w="0" w:type="auto"/>
            <w:tcBorders>
              <w:top w:val="nil"/>
              <w:left w:val="nil"/>
              <w:bottom w:val="single" w:sz="4" w:space="0" w:color="auto"/>
              <w:right w:val="single" w:sz="4" w:space="0" w:color="auto"/>
            </w:tcBorders>
            <w:noWrap/>
            <w:vAlign w:val="bottom"/>
            <w:hideMark/>
          </w:tcPr>
          <w:p w14:paraId="67419001" w14:textId="77777777" w:rsidR="008A4663" w:rsidRPr="008A4663" w:rsidRDefault="008A4663" w:rsidP="008A4663">
            <w:pPr>
              <w:spacing w:after="0" w:line="240" w:lineRule="auto"/>
              <w:jc w:val="center"/>
              <w:rPr>
                <w:rFonts w:eastAsia="Times New Roman" w:cstheme="minorHAnsi"/>
                <w:b/>
                <w:bCs/>
                <w:color w:val="000000"/>
                <w:sz w:val="20"/>
                <w:szCs w:val="20"/>
              </w:rPr>
            </w:pPr>
            <w:r w:rsidRPr="008A4663">
              <w:rPr>
                <w:rFonts w:eastAsia="Times New Roman" w:cstheme="minorHAnsi"/>
                <w:b/>
                <w:bCs/>
                <w:color w:val="000000"/>
                <w:sz w:val="20"/>
                <w:szCs w:val="20"/>
              </w:rPr>
              <w:t>8,256</w:t>
            </w:r>
          </w:p>
        </w:tc>
        <w:tc>
          <w:tcPr>
            <w:tcW w:w="0" w:type="auto"/>
            <w:tcBorders>
              <w:top w:val="nil"/>
              <w:left w:val="nil"/>
              <w:bottom w:val="single" w:sz="4" w:space="0" w:color="auto"/>
              <w:right w:val="single" w:sz="4" w:space="0" w:color="auto"/>
            </w:tcBorders>
            <w:noWrap/>
            <w:vAlign w:val="bottom"/>
            <w:hideMark/>
          </w:tcPr>
          <w:p w14:paraId="593E578B" w14:textId="77777777" w:rsidR="008A4663" w:rsidRPr="008A4663" w:rsidRDefault="008A4663" w:rsidP="008A4663">
            <w:pPr>
              <w:spacing w:after="0" w:line="240" w:lineRule="auto"/>
              <w:jc w:val="center"/>
              <w:rPr>
                <w:rFonts w:eastAsia="Times New Roman" w:cstheme="minorHAnsi"/>
                <w:b/>
                <w:bCs/>
                <w:color w:val="000000"/>
                <w:sz w:val="20"/>
                <w:szCs w:val="20"/>
              </w:rPr>
            </w:pPr>
            <w:r w:rsidRPr="008A4663">
              <w:rPr>
                <w:rFonts w:eastAsia="Times New Roman" w:cstheme="minorHAnsi"/>
                <w:b/>
                <w:bCs/>
                <w:color w:val="000000"/>
                <w:sz w:val="20"/>
                <w:szCs w:val="20"/>
              </w:rPr>
              <w:t>11,127</w:t>
            </w:r>
          </w:p>
        </w:tc>
        <w:tc>
          <w:tcPr>
            <w:tcW w:w="0" w:type="auto"/>
            <w:tcBorders>
              <w:top w:val="nil"/>
              <w:left w:val="nil"/>
              <w:bottom w:val="single" w:sz="4" w:space="0" w:color="auto"/>
              <w:right w:val="single" w:sz="4" w:space="0" w:color="auto"/>
            </w:tcBorders>
            <w:noWrap/>
            <w:vAlign w:val="bottom"/>
            <w:hideMark/>
          </w:tcPr>
          <w:p w14:paraId="47B15FE3" w14:textId="77777777" w:rsidR="008A4663" w:rsidRPr="008A4663" w:rsidRDefault="008A4663" w:rsidP="008A4663">
            <w:pPr>
              <w:spacing w:after="0" w:line="240" w:lineRule="auto"/>
              <w:jc w:val="center"/>
              <w:rPr>
                <w:rFonts w:eastAsia="Times New Roman" w:cstheme="minorHAnsi"/>
                <w:color w:val="000000"/>
                <w:sz w:val="20"/>
                <w:szCs w:val="20"/>
              </w:rPr>
            </w:pPr>
            <w:r w:rsidRPr="008A4663">
              <w:rPr>
                <w:rFonts w:eastAsia="Times New Roman" w:cstheme="minorHAnsi"/>
                <w:color w:val="000000"/>
                <w:sz w:val="20"/>
                <w:szCs w:val="20"/>
              </w:rPr>
              <w:t>35%</w:t>
            </w:r>
          </w:p>
        </w:tc>
        <w:tc>
          <w:tcPr>
            <w:tcW w:w="0" w:type="auto"/>
            <w:tcBorders>
              <w:top w:val="nil"/>
              <w:left w:val="nil"/>
              <w:bottom w:val="single" w:sz="4" w:space="0" w:color="auto"/>
              <w:right w:val="single" w:sz="4" w:space="0" w:color="auto"/>
            </w:tcBorders>
            <w:noWrap/>
            <w:vAlign w:val="bottom"/>
            <w:hideMark/>
          </w:tcPr>
          <w:p w14:paraId="7AB872FC" w14:textId="77777777" w:rsidR="008A4663" w:rsidRPr="008A4663" w:rsidRDefault="008A4663" w:rsidP="008A4663">
            <w:pPr>
              <w:spacing w:after="0" w:line="240" w:lineRule="auto"/>
              <w:jc w:val="center"/>
              <w:rPr>
                <w:rFonts w:eastAsia="Times New Roman" w:cstheme="minorHAnsi"/>
                <w:b/>
                <w:bCs/>
                <w:color w:val="000000"/>
                <w:sz w:val="20"/>
                <w:szCs w:val="20"/>
              </w:rPr>
            </w:pPr>
            <w:r w:rsidRPr="008A4663">
              <w:rPr>
                <w:rFonts w:eastAsia="Times New Roman" w:cstheme="minorHAnsi"/>
                <w:b/>
                <w:bCs/>
                <w:color w:val="000000"/>
                <w:sz w:val="20"/>
                <w:szCs w:val="20"/>
              </w:rPr>
              <w:t>11,127</w:t>
            </w:r>
          </w:p>
        </w:tc>
        <w:tc>
          <w:tcPr>
            <w:tcW w:w="0" w:type="auto"/>
            <w:tcBorders>
              <w:top w:val="nil"/>
              <w:left w:val="nil"/>
              <w:bottom w:val="single" w:sz="4" w:space="0" w:color="auto"/>
              <w:right w:val="single" w:sz="4" w:space="0" w:color="auto"/>
            </w:tcBorders>
            <w:noWrap/>
            <w:vAlign w:val="bottom"/>
            <w:hideMark/>
          </w:tcPr>
          <w:p w14:paraId="1120207D" w14:textId="77777777" w:rsidR="008A4663" w:rsidRPr="008A4663" w:rsidRDefault="008A4663" w:rsidP="008A4663">
            <w:pPr>
              <w:spacing w:after="0" w:line="240" w:lineRule="auto"/>
              <w:jc w:val="center"/>
              <w:rPr>
                <w:rFonts w:eastAsia="Times New Roman" w:cstheme="minorHAnsi"/>
                <w:b/>
                <w:bCs/>
                <w:color w:val="000000"/>
                <w:sz w:val="20"/>
                <w:szCs w:val="20"/>
              </w:rPr>
            </w:pPr>
            <w:r w:rsidRPr="008A4663">
              <w:rPr>
                <w:rFonts w:eastAsia="Times New Roman" w:cstheme="minorHAnsi"/>
                <w:b/>
                <w:bCs/>
                <w:color w:val="000000"/>
                <w:sz w:val="20"/>
                <w:szCs w:val="20"/>
              </w:rPr>
              <w:t>13,799</w:t>
            </w:r>
          </w:p>
        </w:tc>
        <w:tc>
          <w:tcPr>
            <w:tcW w:w="831" w:type="dxa"/>
            <w:tcBorders>
              <w:top w:val="nil"/>
              <w:left w:val="nil"/>
              <w:bottom w:val="single" w:sz="4" w:space="0" w:color="auto"/>
              <w:right w:val="single" w:sz="4" w:space="0" w:color="auto"/>
            </w:tcBorders>
            <w:noWrap/>
            <w:vAlign w:val="bottom"/>
            <w:hideMark/>
          </w:tcPr>
          <w:p w14:paraId="188B2777" w14:textId="77777777" w:rsidR="008A4663" w:rsidRPr="008A4663" w:rsidRDefault="008A4663" w:rsidP="008A4663">
            <w:pPr>
              <w:spacing w:after="0" w:line="240" w:lineRule="auto"/>
              <w:jc w:val="center"/>
              <w:rPr>
                <w:rFonts w:eastAsia="Times New Roman" w:cstheme="minorHAnsi"/>
                <w:color w:val="000000"/>
                <w:sz w:val="20"/>
                <w:szCs w:val="20"/>
              </w:rPr>
            </w:pPr>
            <w:r w:rsidRPr="008A4663">
              <w:rPr>
                <w:rFonts w:eastAsia="Times New Roman" w:cstheme="minorHAnsi"/>
                <w:color w:val="000000"/>
                <w:sz w:val="20"/>
                <w:szCs w:val="20"/>
              </w:rPr>
              <w:t>24%</w:t>
            </w:r>
          </w:p>
        </w:tc>
        <w:tc>
          <w:tcPr>
            <w:tcW w:w="1453" w:type="dxa"/>
            <w:tcBorders>
              <w:top w:val="nil"/>
              <w:left w:val="nil"/>
              <w:bottom w:val="single" w:sz="4" w:space="0" w:color="auto"/>
              <w:right w:val="single" w:sz="4" w:space="0" w:color="auto"/>
            </w:tcBorders>
            <w:noWrap/>
            <w:vAlign w:val="bottom"/>
            <w:hideMark/>
          </w:tcPr>
          <w:p w14:paraId="2D75C1B8" w14:textId="77777777" w:rsidR="008A4663" w:rsidRPr="008A4663" w:rsidRDefault="008A4663" w:rsidP="008A4663">
            <w:pPr>
              <w:spacing w:after="0" w:line="240" w:lineRule="auto"/>
              <w:jc w:val="center"/>
              <w:rPr>
                <w:rFonts w:eastAsia="Times New Roman" w:cstheme="minorHAnsi"/>
                <w:b/>
                <w:bCs/>
                <w:color w:val="000000"/>
                <w:sz w:val="20"/>
                <w:szCs w:val="20"/>
              </w:rPr>
            </w:pPr>
            <w:r w:rsidRPr="008A4663">
              <w:rPr>
                <w:rFonts w:eastAsia="Times New Roman" w:cstheme="minorHAnsi"/>
                <w:b/>
                <w:bCs/>
                <w:color w:val="000000"/>
                <w:sz w:val="20"/>
                <w:szCs w:val="20"/>
              </w:rPr>
              <w:t>183%</w:t>
            </w:r>
          </w:p>
        </w:tc>
      </w:tr>
    </w:tbl>
    <w:p w14:paraId="1F371B74" w14:textId="77777777" w:rsidR="008A4663" w:rsidRDefault="008A4663" w:rsidP="008A4663">
      <w:pPr>
        <w:rPr>
          <w:rFonts w:cstheme="minorHAnsi"/>
        </w:rPr>
      </w:pPr>
    </w:p>
    <w:p w14:paraId="4F0CBEA3" w14:textId="301F90CF" w:rsidR="00F40A5C" w:rsidRDefault="00F40A5C" w:rsidP="00AC2B59">
      <w:pPr>
        <w:pStyle w:val="Heading3"/>
      </w:pPr>
      <w:r>
        <w:t xml:space="preserve">The Application states average wait times for procedures at the Center are between six weeks and six months. The application notes that </w:t>
      </w:r>
      <w:r w:rsidR="00573FE7">
        <w:t>t</w:t>
      </w:r>
      <w:r w:rsidR="00573FE7" w:rsidRPr="00573FE7">
        <w:t>he average wait times for patients of Winchester’s GI group and Digestive Health Associates is one to two months, which accounts for 65% of the Endoscopy Center’s volume</w:t>
      </w:r>
      <w:r w:rsidR="000713AA">
        <w:t>, and t</w:t>
      </w:r>
      <w:r w:rsidR="00573FE7" w:rsidRPr="00573FE7">
        <w:t xml:space="preserve">he remaining 35% of volume comes from Atrius GI providers, </w:t>
      </w:r>
      <w:r w:rsidR="00573FE7" w:rsidRPr="00573FE7">
        <w:lastRenderedPageBreak/>
        <w:t xml:space="preserve">whose patients are waiting an average of </w:t>
      </w:r>
      <w:r w:rsidR="00651565">
        <w:t>six</w:t>
      </w:r>
      <w:r w:rsidR="00573FE7" w:rsidRPr="00573FE7">
        <w:t xml:space="preserve"> months due to limited block time at the Endoscopy Center</w:t>
      </w:r>
      <w:r w:rsidR="00451A61">
        <w:t xml:space="preserve"> (pg.</w:t>
      </w:r>
      <w:r w:rsidR="00CF1812">
        <w:t>9)</w:t>
      </w:r>
    </w:p>
    <w:p w14:paraId="252C4193" w14:textId="77777777" w:rsidR="0066031F" w:rsidRDefault="00725E86" w:rsidP="0066031F">
      <w:pPr>
        <w:pStyle w:val="ListParagraph"/>
        <w:numPr>
          <w:ilvl w:val="1"/>
          <w:numId w:val="31"/>
        </w:numPr>
        <w:spacing w:line="240" w:lineRule="auto"/>
        <w:contextualSpacing w:val="0"/>
        <w:rPr>
          <w:rFonts w:cstheme="minorHAnsi"/>
        </w:rPr>
      </w:pPr>
      <w:r>
        <w:rPr>
          <w:rFonts w:cstheme="minorHAnsi"/>
        </w:rPr>
        <w:t xml:space="preserve">What </w:t>
      </w:r>
      <w:proofErr w:type="gramStart"/>
      <w:r>
        <w:rPr>
          <w:rFonts w:cstheme="minorHAnsi"/>
        </w:rPr>
        <w:t>is</w:t>
      </w:r>
      <w:proofErr w:type="gramEnd"/>
      <w:r>
        <w:rPr>
          <w:rFonts w:cstheme="minorHAnsi"/>
        </w:rPr>
        <w:t xml:space="preserve"> Digestive Health Associates</w:t>
      </w:r>
      <w:r w:rsidR="0091073B">
        <w:rPr>
          <w:rFonts w:cstheme="minorHAnsi"/>
        </w:rPr>
        <w:t>?</w:t>
      </w:r>
      <w:r>
        <w:rPr>
          <w:rFonts w:cstheme="minorHAnsi"/>
        </w:rPr>
        <w:t xml:space="preserve"> </w:t>
      </w:r>
    </w:p>
    <w:p w14:paraId="725E9648" w14:textId="0F7FBB0F" w:rsidR="00725E86" w:rsidRPr="008B7B3D" w:rsidRDefault="008B7B3D" w:rsidP="0066031F">
      <w:pPr>
        <w:pStyle w:val="ListParagraph"/>
        <w:spacing w:line="240" w:lineRule="auto"/>
        <w:ind w:left="1440"/>
        <w:contextualSpacing w:val="0"/>
        <w:rPr>
          <w:rFonts w:cstheme="minorHAnsi"/>
        </w:rPr>
      </w:pPr>
      <w:r w:rsidRPr="008B7B3D">
        <w:rPr>
          <w:rFonts w:cstheme="minorHAnsi"/>
          <w:b/>
          <w:bCs/>
        </w:rPr>
        <w:t xml:space="preserve">Digestive Health Associates (DHA) is a private group of physicians that provide GI services in the Winchester and surrounding community.  </w:t>
      </w:r>
      <w:r w:rsidR="00D90087">
        <w:rPr>
          <w:rFonts w:cstheme="minorHAnsi"/>
          <w:b/>
          <w:bCs/>
        </w:rPr>
        <w:t>DHA physicians are credentialed by Winchester Hospital to provide endoscopy at the Center.</w:t>
      </w:r>
    </w:p>
    <w:p w14:paraId="7E73C73C" w14:textId="77777777" w:rsidR="0066031F" w:rsidRDefault="00573FE7" w:rsidP="0066031F">
      <w:pPr>
        <w:pStyle w:val="ListParagraph"/>
        <w:numPr>
          <w:ilvl w:val="1"/>
          <w:numId w:val="31"/>
        </w:numPr>
        <w:spacing w:line="240" w:lineRule="auto"/>
        <w:contextualSpacing w:val="0"/>
        <w:rPr>
          <w:rFonts w:cstheme="minorHAnsi"/>
        </w:rPr>
      </w:pPr>
      <w:r>
        <w:rPr>
          <w:rFonts w:cstheme="minorHAnsi"/>
        </w:rPr>
        <w:t xml:space="preserve">Explain the </w:t>
      </w:r>
      <w:r w:rsidR="005C3C51">
        <w:rPr>
          <w:rFonts w:cstheme="minorHAnsi"/>
        </w:rPr>
        <w:t xml:space="preserve">Center’s </w:t>
      </w:r>
      <w:r w:rsidR="00906951">
        <w:rPr>
          <w:rFonts w:cstheme="minorHAnsi"/>
        </w:rPr>
        <w:t xml:space="preserve">referral </w:t>
      </w:r>
      <w:r>
        <w:rPr>
          <w:rFonts w:cstheme="minorHAnsi"/>
        </w:rPr>
        <w:t xml:space="preserve">relationship </w:t>
      </w:r>
      <w:r w:rsidR="005C3C51">
        <w:rPr>
          <w:rFonts w:cstheme="minorHAnsi"/>
        </w:rPr>
        <w:t xml:space="preserve">with </w:t>
      </w:r>
      <w:r>
        <w:rPr>
          <w:rFonts w:cstheme="minorHAnsi"/>
        </w:rPr>
        <w:t>Atrius</w:t>
      </w:r>
      <w:r w:rsidR="00141F17">
        <w:rPr>
          <w:rFonts w:cstheme="minorHAnsi"/>
        </w:rPr>
        <w:t xml:space="preserve"> Health</w:t>
      </w:r>
      <w:r w:rsidR="004E2DC4">
        <w:rPr>
          <w:rFonts w:cstheme="minorHAnsi"/>
        </w:rPr>
        <w:t>.</w:t>
      </w:r>
      <w:r w:rsidR="008B7B3D">
        <w:rPr>
          <w:rFonts w:cstheme="minorHAnsi"/>
        </w:rPr>
        <w:t xml:space="preserve"> </w:t>
      </w:r>
    </w:p>
    <w:p w14:paraId="1705AF0B" w14:textId="2F1ABAC2" w:rsidR="00573FE7" w:rsidRDefault="008B7B3D" w:rsidP="0066031F">
      <w:pPr>
        <w:pStyle w:val="ListParagraph"/>
        <w:spacing w:line="240" w:lineRule="auto"/>
        <w:ind w:left="1440"/>
        <w:contextualSpacing w:val="0"/>
        <w:rPr>
          <w:rFonts w:cstheme="minorHAnsi"/>
        </w:rPr>
      </w:pPr>
      <w:r w:rsidRPr="008B7B3D">
        <w:rPr>
          <w:rFonts w:cstheme="minorHAnsi"/>
          <w:b/>
          <w:bCs/>
        </w:rPr>
        <w:t>Atrius is a private physician group that does not have its own outpatient</w:t>
      </w:r>
      <w:r w:rsidR="00C32D15">
        <w:rPr>
          <w:rFonts w:cstheme="minorHAnsi"/>
          <w:b/>
          <w:bCs/>
        </w:rPr>
        <w:t xml:space="preserve"> endoscopy</w:t>
      </w:r>
      <w:r w:rsidRPr="008B7B3D">
        <w:rPr>
          <w:rFonts w:cstheme="minorHAnsi"/>
          <w:b/>
          <w:bCs/>
        </w:rPr>
        <w:t xml:space="preserve"> facilities </w:t>
      </w:r>
      <w:r>
        <w:rPr>
          <w:rFonts w:cstheme="minorHAnsi"/>
          <w:b/>
          <w:bCs/>
        </w:rPr>
        <w:t>in the Winchester service area</w:t>
      </w:r>
      <w:r w:rsidRPr="008B7B3D">
        <w:rPr>
          <w:rFonts w:cstheme="minorHAnsi"/>
          <w:b/>
          <w:bCs/>
        </w:rPr>
        <w:t xml:space="preserve">.  </w:t>
      </w:r>
      <w:r>
        <w:rPr>
          <w:rFonts w:cstheme="minorHAnsi"/>
          <w:b/>
          <w:bCs/>
        </w:rPr>
        <w:t xml:space="preserve">Winchester Hospital offers surgical block time to </w:t>
      </w:r>
      <w:r w:rsidRPr="008B7B3D">
        <w:rPr>
          <w:rFonts w:cstheme="minorHAnsi"/>
          <w:b/>
          <w:bCs/>
        </w:rPr>
        <w:t xml:space="preserve">Atrius </w:t>
      </w:r>
      <w:r>
        <w:rPr>
          <w:rFonts w:cstheme="minorHAnsi"/>
          <w:b/>
          <w:bCs/>
        </w:rPr>
        <w:t xml:space="preserve">GI physicians to </w:t>
      </w:r>
      <w:r w:rsidR="00BC78D6">
        <w:rPr>
          <w:rFonts w:cstheme="minorHAnsi"/>
          <w:b/>
          <w:bCs/>
        </w:rPr>
        <w:t>treat their own patients</w:t>
      </w:r>
      <w:r w:rsidR="00C32D15">
        <w:rPr>
          <w:rFonts w:cstheme="minorHAnsi"/>
          <w:b/>
          <w:bCs/>
        </w:rPr>
        <w:t xml:space="preserve"> at the Center</w:t>
      </w:r>
      <w:r w:rsidR="00BC78D6">
        <w:rPr>
          <w:rFonts w:cstheme="minorHAnsi"/>
          <w:b/>
          <w:bCs/>
        </w:rPr>
        <w:t xml:space="preserve">. </w:t>
      </w:r>
      <w:r w:rsidRPr="008B7B3D">
        <w:rPr>
          <w:rFonts w:cstheme="minorHAnsi"/>
          <w:b/>
          <w:bCs/>
        </w:rPr>
        <w:t xml:space="preserve">  </w:t>
      </w:r>
    </w:p>
    <w:p w14:paraId="147AE911" w14:textId="53F74842" w:rsidR="00342927" w:rsidRPr="00E70AE2" w:rsidRDefault="00342927" w:rsidP="0066031F">
      <w:pPr>
        <w:pStyle w:val="ListParagraph"/>
        <w:numPr>
          <w:ilvl w:val="1"/>
          <w:numId w:val="31"/>
        </w:numPr>
        <w:spacing w:line="240" w:lineRule="auto"/>
        <w:contextualSpacing w:val="0"/>
        <w:rPr>
          <w:rFonts w:cstheme="minorHAnsi"/>
        </w:rPr>
      </w:pPr>
      <w:r w:rsidRPr="004F032A">
        <w:rPr>
          <w:rFonts w:cstheme="minorHAnsi"/>
        </w:rPr>
        <w:t xml:space="preserve">What is the block time for </w:t>
      </w:r>
      <w:r w:rsidR="00C119AE" w:rsidRPr="004F032A">
        <w:rPr>
          <w:rFonts w:cstheme="minorHAnsi"/>
        </w:rPr>
        <w:t xml:space="preserve">the Center’s existing </w:t>
      </w:r>
      <w:r w:rsidR="00F47553" w:rsidRPr="004F032A">
        <w:rPr>
          <w:rFonts w:cstheme="minorHAnsi"/>
        </w:rPr>
        <w:t>providers</w:t>
      </w:r>
      <w:r w:rsidR="0047519D" w:rsidRPr="004F032A">
        <w:rPr>
          <w:rFonts w:cstheme="minorHAnsi"/>
        </w:rPr>
        <w:t>?</w:t>
      </w:r>
      <w:r w:rsidR="00A21DF2" w:rsidRPr="004F032A">
        <w:rPr>
          <w:rFonts w:cstheme="minorHAnsi"/>
        </w:rPr>
        <w:t xml:space="preserve"> </w:t>
      </w:r>
    </w:p>
    <w:p w14:paraId="544D75D1" w14:textId="6AC667EE" w:rsidR="00E70AE2" w:rsidRPr="00E70AE2" w:rsidRDefault="00E70AE2" w:rsidP="00E70AE2">
      <w:pPr>
        <w:pStyle w:val="ListParagraph"/>
        <w:spacing w:line="240" w:lineRule="auto"/>
        <w:ind w:left="1440"/>
        <w:contextualSpacing w:val="0"/>
        <w:rPr>
          <w:rFonts w:cstheme="minorHAnsi"/>
          <w:b/>
          <w:bCs/>
        </w:rPr>
      </w:pPr>
      <w:r>
        <w:rPr>
          <w:rFonts w:cstheme="minorHAnsi"/>
          <w:b/>
          <w:bCs/>
        </w:rPr>
        <w:t xml:space="preserve">Winchester GI, DHA, and Atrius each have 90 hours </w:t>
      </w:r>
      <w:r w:rsidR="00B04CD6">
        <w:rPr>
          <w:rFonts w:cstheme="minorHAnsi"/>
          <w:b/>
          <w:bCs/>
        </w:rPr>
        <w:t xml:space="preserve">of block time </w:t>
      </w:r>
      <w:r>
        <w:rPr>
          <w:rFonts w:cstheme="minorHAnsi"/>
          <w:b/>
          <w:bCs/>
        </w:rPr>
        <w:t>a week</w:t>
      </w:r>
      <w:r w:rsidR="00B04CD6">
        <w:rPr>
          <w:rFonts w:cstheme="minorHAnsi"/>
          <w:b/>
          <w:bCs/>
        </w:rPr>
        <w:t xml:space="preserve">. </w:t>
      </w:r>
    </w:p>
    <w:p w14:paraId="7295EB0D" w14:textId="77777777" w:rsidR="0066031F" w:rsidRDefault="00573FE7" w:rsidP="0066031F">
      <w:pPr>
        <w:pStyle w:val="ListParagraph"/>
        <w:numPr>
          <w:ilvl w:val="1"/>
          <w:numId w:val="31"/>
        </w:numPr>
        <w:spacing w:line="240" w:lineRule="auto"/>
        <w:contextualSpacing w:val="0"/>
        <w:rPr>
          <w:rFonts w:cstheme="minorHAnsi"/>
        </w:rPr>
      </w:pPr>
      <w:r>
        <w:rPr>
          <w:rFonts w:cstheme="minorHAnsi"/>
        </w:rPr>
        <w:t>Wh</w:t>
      </w:r>
      <w:r w:rsidR="0091073B">
        <w:rPr>
          <w:rFonts w:cstheme="minorHAnsi"/>
        </w:rPr>
        <w:t>y</w:t>
      </w:r>
      <w:r>
        <w:rPr>
          <w:rFonts w:cstheme="minorHAnsi"/>
        </w:rPr>
        <w:t xml:space="preserve"> do wait times differ between Winchester GI group and Digestive Health Associates and Atrius GI providers?</w:t>
      </w:r>
      <w:r w:rsidR="00BC78D6">
        <w:rPr>
          <w:rFonts w:cstheme="minorHAnsi"/>
        </w:rPr>
        <w:t xml:space="preserve"> </w:t>
      </w:r>
    </w:p>
    <w:p w14:paraId="03E48019" w14:textId="200FFA96" w:rsidR="007E74F1" w:rsidRPr="007E74F1" w:rsidRDefault="007E74F1" w:rsidP="007E74F1">
      <w:pPr>
        <w:pStyle w:val="ListParagraph"/>
        <w:spacing w:line="240" w:lineRule="auto"/>
        <w:ind w:left="1440"/>
        <w:contextualSpacing w:val="0"/>
        <w:rPr>
          <w:rFonts w:cstheme="minorHAnsi"/>
          <w:b/>
          <w:bCs/>
        </w:rPr>
      </w:pPr>
      <w:r>
        <w:rPr>
          <w:rFonts w:cstheme="minorHAnsi"/>
          <w:b/>
          <w:bCs/>
        </w:rPr>
        <w:t xml:space="preserve">Wait times differ due to the number of patients and providers within each practice. </w:t>
      </w:r>
    </w:p>
    <w:p w14:paraId="27B8275C" w14:textId="0FAB43E1" w:rsidR="00FE3247" w:rsidRPr="00995A03" w:rsidRDefault="00BD29F0" w:rsidP="006E4D4C">
      <w:pPr>
        <w:pStyle w:val="Heading3"/>
      </w:pPr>
      <w:r>
        <w:t xml:space="preserve">The application states </w:t>
      </w:r>
      <w:r w:rsidRPr="00BD29F0">
        <w:t xml:space="preserve">approximately 2,700 </w:t>
      </w:r>
      <w:r w:rsidR="0091073B">
        <w:t xml:space="preserve">Winchester Hospital </w:t>
      </w:r>
      <w:r w:rsidRPr="00BD29F0">
        <w:t>patients have an outstanding order from their primary care physician and are waiting for their screening colonoscopy to be scheduled</w:t>
      </w:r>
      <w:r>
        <w:t xml:space="preserve"> (pg.</w:t>
      </w:r>
      <w:r w:rsidR="00E960D2">
        <w:t>9)</w:t>
      </w:r>
      <w:r w:rsidR="00995A03">
        <w:t xml:space="preserve">. Additionally, </w:t>
      </w:r>
      <w:r w:rsidR="008155E9" w:rsidRPr="00995A03">
        <w:rPr>
          <w:bCs/>
        </w:rPr>
        <w:t xml:space="preserve">there currently are 4,100 </w:t>
      </w:r>
      <w:r w:rsidR="00304A69" w:rsidRPr="00995A03">
        <w:rPr>
          <w:bCs/>
        </w:rPr>
        <w:t xml:space="preserve">Winchester </w:t>
      </w:r>
      <w:r w:rsidR="008155E9" w:rsidRPr="00995A03">
        <w:rPr>
          <w:bCs/>
        </w:rPr>
        <w:t>Hospital patients eligible for colonoscopy screening but do not yet have an order from their PCP (pg.</w:t>
      </w:r>
      <w:r w:rsidR="00296F51" w:rsidRPr="00995A03">
        <w:rPr>
          <w:bCs/>
        </w:rPr>
        <w:t xml:space="preserve"> 10)</w:t>
      </w:r>
      <w:r w:rsidR="00995A03">
        <w:rPr>
          <w:bCs/>
        </w:rPr>
        <w:t>.</w:t>
      </w:r>
    </w:p>
    <w:p w14:paraId="184FBA57" w14:textId="0D8533EF" w:rsidR="00995A03" w:rsidRDefault="00995A03" w:rsidP="0066031F">
      <w:pPr>
        <w:pStyle w:val="ListParagraph"/>
        <w:numPr>
          <w:ilvl w:val="1"/>
          <w:numId w:val="31"/>
        </w:numPr>
        <w:spacing w:line="240" w:lineRule="auto"/>
        <w:contextualSpacing w:val="0"/>
        <w:rPr>
          <w:rFonts w:cstheme="minorHAnsi"/>
        </w:rPr>
      </w:pPr>
      <w:r>
        <w:rPr>
          <w:rFonts w:cstheme="minorHAnsi"/>
        </w:rPr>
        <w:t>What percentage of these patients does the Applicant believe the Center could s</w:t>
      </w:r>
      <w:r w:rsidR="00FE0CFB">
        <w:rPr>
          <w:rFonts w:cstheme="minorHAnsi"/>
        </w:rPr>
        <w:t xml:space="preserve">erve </w:t>
      </w:r>
      <w:r w:rsidR="00382E07">
        <w:rPr>
          <w:rFonts w:cstheme="minorHAnsi"/>
        </w:rPr>
        <w:t xml:space="preserve">with the expanded capacity that would be provided </w:t>
      </w:r>
      <w:r w:rsidR="00E65065">
        <w:rPr>
          <w:rFonts w:cstheme="minorHAnsi"/>
        </w:rPr>
        <w:t>through the Proposed Project?</w:t>
      </w:r>
    </w:p>
    <w:p w14:paraId="7D7F9484" w14:textId="325A0130" w:rsidR="00995A03" w:rsidRDefault="0066031F" w:rsidP="00F1634E">
      <w:pPr>
        <w:pStyle w:val="ListParagraph"/>
        <w:spacing w:after="120" w:line="240" w:lineRule="auto"/>
        <w:ind w:left="1440"/>
        <w:contextualSpacing w:val="0"/>
        <w:rPr>
          <w:rFonts w:cstheme="minorHAnsi"/>
        </w:rPr>
      </w:pPr>
      <w:r>
        <w:rPr>
          <w:rFonts w:cstheme="minorHAnsi"/>
          <w:b/>
          <w:bCs/>
        </w:rPr>
        <w:t xml:space="preserve">The three (3) new procedure rooms will accommodate approximately 5,700 additional cases annually. The Applicant anticipates approximately 5,000 of those cases will be for screening colonoscopies. As a result, 74% of existing eligible patients can be accommodated annually through the Proposed Project. </w:t>
      </w:r>
    </w:p>
    <w:p w14:paraId="1CC93369" w14:textId="45AC4929" w:rsidR="00154BA0" w:rsidRPr="00F1634E" w:rsidRDefault="009C48AF" w:rsidP="006E4D4C">
      <w:pPr>
        <w:pStyle w:val="Heading3"/>
      </w:pPr>
      <w:r>
        <w:t xml:space="preserve">The </w:t>
      </w:r>
      <w:r w:rsidRPr="00F1634E">
        <w:t>application states the Applicant anticipates additional capacity at the Center will improve access across the [BILH] system, providing a system-wide solution addressing the Patient Panel’s need for expanded access to outpatient endoscopy (pg.</w:t>
      </w:r>
      <w:r w:rsidR="00A30E69" w:rsidRPr="00F1634E">
        <w:t>10)</w:t>
      </w:r>
      <w:r w:rsidRPr="00F1634E">
        <w:t>.</w:t>
      </w:r>
    </w:p>
    <w:p w14:paraId="3505D02E" w14:textId="43AA6F19" w:rsidR="00586678" w:rsidRPr="00F1634E" w:rsidRDefault="00586678" w:rsidP="00F1634E">
      <w:pPr>
        <w:pStyle w:val="ListParagraph"/>
        <w:numPr>
          <w:ilvl w:val="1"/>
          <w:numId w:val="31"/>
        </w:numPr>
        <w:spacing w:after="120" w:line="240" w:lineRule="auto"/>
        <w:contextualSpacing w:val="0"/>
        <w:rPr>
          <w:rFonts w:cstheme="minorHAnsi"/>
        </w:rPr>
      </w:pPr>
      <w:r w:rsidRPr="00F1634E">
        <w:rPr>
          <w:rFonts w:cstheme="minorHAnsi"/>
        </w:rPr>
        <w:t>To better understand access to endoscopy services across the BILH system, provide the location of all</w:t>
      </w:r>
      <w:r w:rsidR="00316561" w:rsidRPr="00F1634E">
        <w:rPr>
          <w:rFonts w:cstheme="minorHAnsi"/>
        </w:rPr>
        <w:t xml:space="preserve"> </w:t>
      </w:r>
      <w:r w:rsidR="00FA0F43" w:rsidRPr="00F1634E">
        <w:rPr>
          <w:rFonts w:cstheme="minorHAnsi"/>
        </w:rPr>
        <w:t xml:space="preserve">BILH </w:t>
      </w:r>
      <w:r w:rsidR="00316561" w:rsidRPr="00F1634E">
        <w:rPr>
          <w:rFonts w:cstheme="minorHAnsi"/>
        </w:rPr>
        <w:t>facilities</w:t>
      </w:r>
      <w:r w:rsidR="00840898" w:rsidRPr="00F1634E">
        <w:rPr>
          <w:rFonts w:cstheme="minorHAnsi"/>
        </w:rPr>
        <w:t xml:space="preserve"> </w:t>
      </w:r>
      <w:r w:rsidR="00316561" w:rsidRPr="00F1634E">
        <w:rPr>
          <w:rFonts w:cstheme="minorHAnsi"/>
        </w:rPr>
        <w:t>performing</w:t>
      </w:r>
      <w:r w:rsidRPr="00F1634E">
        <w:rPr>
          <w:rFonts w:cstheme="minorHAnsi"/>
        </w:rPr>
        <w:t xml:space="preserve"> outpatient endoscopy </w:t>
      </w:r>
      <w:r w:rsidR="00316561" w:rsidRPr="00F1634E">
        <w:rPr>
          <w:rFonts w:cstheme="minorHAnsi"/>
        </w:rPr>
        <w:t>procedures</w:t>
      </w:r>
      <w:r w:rsidR="00A91A74" w:rsidRPr="00F1634E">
        <w:rPr>
          <w:rFonts w:cstheme="minorHAnsi"/>
        </w:rPr>
        <w:t xml:space="preserve">, and the current </w:t>
      </w:r>
      <w:r w:rsidR="0081361A" w:rsidRPr="00F1634E">
        <w:rPr>
          <w:rFonts w:cstheme="minorHAnsi"/>
        </w:rPr>
        <w:t xml:space="preserve">average </w:t>
      </w:r>
      <w:r w:rsidR="00A91A74" w:rsidRPr="00F1634E">
        <w:rPr>
          <w:rFonts w:cstheme="minorHAnsi"/>
        </w:rPr>
        <w:t xml:space="preserve">wait time for endoscopy procedures at each location. </w:t>
      </w:r>
      <w:r w:rsidRPr="00F1634E">
        <w:rPr>
          <w:rFonts w:cstheme="minorHAnsi"/>
        </w:rPr>
        <w:t xml:space="preserve"> </w:t>
      </w:r>
    </w:p>
    <w:p w14:paraId="22883167" w14:textId="262CC619" w:rsidR="0066031F" w:rsidRPr="00F1634E" w:rsidRDefault="0066031F" w:rsidP="00F1634E">
      <w:pPr>
        <w:pStyle w:val="ListParagraph"/>
        <w:spacing w:after="120" w:line="240" w:lineRule="auto"/>
        <w:ind w:left="1440"/>
        <w:contextualSpacing w:val="0"/>
        <w:rPr>
          <w:rFonts w:cstheme="minorHAnsi"/>
          <w:b/>
          <w:bCs/>
        </w:rPr>
      </w:pPr>
      <w:r w:rsidRPr="00F1634E">
        <w:rPr>
          <w:rFonts w:cstheme="minorHAnsi"/>
          <w:b/>
          <w:bCs/>
        </w:rPr>
        <w:t>See Attachment A</w:t>
      </w:r>
      <w:r w:rsidR="00E82465">
        <w:rPr>
          <w:rFonts w:cstheme="minorHAnsi"/>
          <w:b/>
          <w:bCs/>
        </w:rPr>
        <w:t xml:space="preserve">. </w:t>
      </w:r>
    </w:p>
    <w:p w14:paraId="256A2CCE" w14:textId="15590550" w:rsidR="00A30E69" w:rsidRDefault="00A30E69" w:rsidP="00F1634E">
      <w:pPr>
        <w:pStyle w:val="ListParagraph"/>
        <w:numPr>
          <w:ilvl w:val="1"/>
          <w:numId w:val="31"/>
        </w:numPr>
        <w:spacing w:after="120" w:line="240" w:lineRule="auto"/>
        <w:contextualSpacing w:val="0"/>
        <w:rPr>
          <w:rFonts w:cstheme="minorHAnsi"/>
        </w:rPr>
      </w:pPr>
      <w:r w:rsidRPr="00F1634E">
        <w:rPr>
          <w:rFonts w:cstheme="minorHAnsi"/>
        </w:rPr>
        <w:t xml:space="preserve">To better understand access </w:t>
      </w:r>
      <w:r w:rsidR="008251A2" w:rsidRPr="00F1634E">
        <w:rPr>
          <w:rFonts w:cstheme="minorHAnsi"/>
        </w:rPr>
        <w:t xml:space="preserve">challenges </w:t>
      </w:r>
      <w:r w:rsidRPr="00F1634E">
        <w:rPr>
          <w:rFonts w:cstheme="minorHAnsi"/>
        </w:rPr>
        <w:t xml:space="preserve">to endoscopy services across the BILH system, </w:t>
      </w:r>
      <w:r w:rsidR="006B11D2" w:rsidRPr="00F1634E">
        <w:rPr>
          <w:rFonts w:cstheme="minorHAnsi"/>
        </w:rPr>
        <w:t>list the</w:t>
      </w:r>
      <w:r w:rsidR="0054284F" w:rsidRPr="00F1634E">
        <w:rPr>
          <w:rFonts w:cstheme="minorHAnsi"/>
        </w:rPr>
        <w:t xml:space="preserve"> facilities in the BILH system </w:t>
      </w:r>
      <w:r w:rsidR="006B11D2" w:rsidRPr="00F1634E">
        <w:rPr>
          <w:rFonts w:cstheme="minorHAnsi"/>
        </w:rPr>
        <w:t>where</w:t>
      </w:r>
      <w:r w:rsidRPr="00F1634E">
        <w:rPr>
          <w:rFonts w:cstheme="minorHAnsi"/>
        </w:rPr>
        <w:t xml:space="preserve"> </w:t>
      </w:r>
      <w:r w:rsidR="003E0A15" w:rsidRPr="00F1634E">
        <w:rPr>
          <w:rFonts w:cstheme="minorHAnsi"/>
        </w:rPr>
        <w:t>Lahey Primary Care patients, and BIDMC Gastroenterology</w:t>
      </w:r>
      <w:r w:rsidR="003E0A15" w:rsidRPr="003E0A15">
        <w:rPr>
          <w:rFonts w:cstheme="minorHAnsi"/>
        </w:rPr>
        <w:t xml:space="preserve"> patients </w:t>
      </w:r>
      <w:r w:rsidR="006B11D2">
        <w:rPr>
          <w:rFonts w:cstheme="minorHAnsi"/>
        </w:rPr>
        <w:t xml:space="preserve">are </w:t>
      </w:r>
      <w:r w:rsidR="004E76F9">
        <w:rPr>
          <w:rFonts w:cstheme="minorHAnsi"/>
        </w:rPr>
        <w:t>experiencing long wait times</w:t>
      </w:r>
      <w:r w:rsidR="00FF7E15">
        <w:rPr>
          <w:rFonts w:cstheme="minorHAnsi"/>
        </w:rPr>
        <w:t xml:space="preserve"> </w:t>
      </w:r>
      <w:r w:rsidR="003E0A15">
        <w:rPr>
          <w:rFonts w:cstheme="minorHAnsi"/>
        </w:rPr>
        <w:t xml:space="preserve">of </w:t>
      </w:r>
      <w:r w:rsidR="00FF7E15">
        <w:rPr>
          <w:rFonts w:cstheme="minorHAnsi"/>
        </w:rPr>
        <w:t>12 months and five months, respectively</w:t>
      </w:r>
      <w:r w:rsidR="003E0A15">
        <w:rPr>
          <w:rFonts w:cstheme="minorHAnsi"/>
        </w:rPr>
        <w:t>.</w:t>
      </w:r>
      <w:r w:rsidR="00FE2421">
        <w:rPr>
          <w:rFonts w:cstheme="minorHAnsi"/>
        </w:rPr>
        <w:t xml:space="preserve"> </w:t>
      </w:r>
    </w:p>
    <w:p w14:paraId="052F4F06" w14:textId="23963D96" w:rsidR="0066031F" w:rsidRPr="0066031F" w:rsidRDefault="0066031F" w:rsidP="00F1634E">
      <w:pPr>
        <w:pStyle w:val="ListParagraph"/>
        <w:spacing w:after="120" w:line="240" w:lineRule="auto"/>
        <w:ind w:left="1440"/>
        <w:contextualSpacing w:val="0"/>
        <w:rPr>
          <w:rFonts w:cstheme="minorHAnsi"/>
          <w:b/>
          <w:bCs/>
        </w:rPr>
      </w:pPr>
      <w:r w:rsidRPr="0066031F">
        <w:rPr>
          <w:rFonts w:cstheme="minorHAnsi"/>
          <w:b/>
          <w:bCs/>
        </w:rPr>
        <w:t xml:space="preserve">Please see the response to </w:t>
      </w:r>
      <w:r>
        <w:rPr>
          <w:rFonts w:cstheme="minorHAnsi"/>
          <w:b/>
          <w:bCs/>
        </w:rPr>
        <w:t xml:space="preserve">Question 11a. </w:t>
      </w:r>
    </w:p>
    <w:p w14:paraId="24241FDA" w14:textId="77777777" w:rsidR="00FE3247" w:rsidRPr="009C48AF" w:rsidRDefault="00FE3247" w:rsidP="00F1634E">
      <w:pPr>
        <w:pStyle w:val="ListParagraph"/>
        <w:spacing w:after="120" w:line="240" w:lineRule="auto"/>
        <w:ind w:left="1440"/>
        <w:contextualSpacing w:val="0"/>
        <w:rPr>
          <w:rFonts w:cstheme="minorHAnsi"/>
        </w:rPr>
      </w:pPr>
    </w:p>
    <w:p w14:paraId="0BD76C4C" w14:textId="25232682" w:rsidR="00154BA0" w:rsidRDefault="00456827" w:rsidP="006E4D4C">
      <w:pPr>
        <w:pStyle w:val="Heading3"/>
      </w:pPr>
      <w:r>
        <w:lastRenderedPageBreak/>
        <w:t xml:space="preserve">The application states that three procedure rooms are needed to address Patient Panel need for endoscopy </w:t>
      </w:r>
      <w:r w:rsidR="00697D19">
        <w:t>services and</w:t>
      </w:r>
      <w:r w:rsidR="00ED68C8">
        <w:t xml:space="preserve"> help alleviate access challenges across the BILH </w:t>
      </w:r>
      <w:r w:rsidR="00123798">
        <w:t>system</w:t>
      </w:r>
      <w:r>
        <w:t xml:space="preserve">. </w:t>
      </w:r>
    </w:p>
    <w:p w14:paraId="0F473287" w14:textId="57C34433" w:rsidR="0066031F" w:rsidRPr="0066031F" w:rsidRDefault="00456827" w:rsidP="00F1634E">
      <w:pPr>
        <w:pStyle w:val="ListParagraph"/>
        <w:numPr>
          <w:ilvl w:val="1"/>
          <w:numId w:val="31"/>
        </w:numPr>
        <w:spacing w:after="120" w:line="240" w:lineRule="auto"/>
        <w:contextualSpacing w:val="0"/>
        <w:rPr>
          <w:rFonts w:cstheme="minorHAnsi"/>
        </w:rPr>
      </w:pPr>
      <w:r>
        <w:rPr>
          <w:rFonts w:cstheme="minorHAnsi"/>
        </w:rPr>
        <w:t>Explain, with data, the Applicant’s methodology for determining that three procedure rooms are needed to address Patient Panel need for endoscopy services at the Center</w:t>
      </w:r>
      <w:r w:rsidR="00D825B2">
        <w:rPr>
          <w:rFonts w:cstheme="minorHAnsi"/>
        </w:rPr>
        <w:t xml:space="preserve"> and to help address long wait times across the BILH system</w:t>
      </w:r>
      <w:r>
        <w:rPr>
          <w:rFonts w:cstheme="minorHAnsi"/>
        </w:rPr>
        <w:t>.</w:t>
      </w:r>
    </w:p>
    <w:p w14:paraId="2F9F42C6" w14:textId="7945F1AF" w:rsidR="0066031F" w:rsidRDefault="0066031F" w:rsidP="00F1634E">
      <w:pPr>
        <w:pStyle w:val="ListParagraph"/>
        <w:spacing w:after="120" w:line="240" w:lineRule="auto"/>
        <w:ind w:left="1440"/>
        <w:contextualSpacing w:val="0"/>
        <w:jc w:val="both"/>
        <w:rPr>
          <w:rFonts w:cstheme="minorHAnsi"/>
          <w:b/>
          <w:bCs/>
        </w:rPr>
      </w:pPr>
      <w:r>
        <w:rPr>
          <w:rFonts w:cstheme="minorHAnsi"/>
          <w:b/>
          <w:bCs/>
        </w:rPr>
        <w:t>Each procedure room can be scheduled for up to 12 cases per day; however, the average cancellation rate is 10% so the Center typically completes 10 patient cases per day which equates to a utilization rate of 80-85%. The Center is open 245 days a year (M-F, no holidays or</w:t>
      </w:r>
      <w:r w:rsidR="00C32D15">
        <w:rPr>
          <w:rFonts w:cstheme="minorHAnsi"/>
          <w:b/>
          <w:bCs/>
        </w:rPr>
        <w:t xml:space="preserve"> the</w:t>
      </w:r>
      <w:r>
        <w:rPr>
          <w:rFonts w:cstheme="minorHAnsi"/>
          <w:b/>
          <w:bCs/>
        </w:rPr>
        <w:t xml:space="preserve"> days following holidays). This equals approximately 2,450 </w:t>
      </w:r>
      <w:r w:rsidR="00697D19">
        <w:rPr>
          <w:rFonts w:cstheme="minorHAnsi"/>
          <w:b/>
          <w:bCs/>
        </w:rPr>
        <w:t>cases</w:t>
      </w:r>
      <w:r>
        <w:rPr>
          <w:rFonts w:cstheme="minorHAnsi"/>
          <w:b/>
          <w:bCs/>
        </w:rPr>
        <w:t xml:space="preserve"> per room.</w:t>
      </w:r>
    </w:p>
    <w:p w14:paraId="7DF5F79F" w14:textId="7367413E" w:rsidR="0066031F" w:rsidRDefault="00697D19" w:rsidP="0066031F">
      <w:pPr>
        <w:pStyle w:val="ListParagraph"/>
        <w:spacing w:line="240" w:lineRule="auto"/>
        <w:ind w:left="1440"/>
        <w:contextualSpacing w:val="0"/>
        <w:jc w:val="both"/>
        <w:rPr>
          <w:rFonts w:cstheme="minorHAnsi"/>
          <w:b/>
          <w:bCs/>
        </w:rPr>
      </w:pPr>
      <w:r>
        <w:rPr>
          <w:rFonts w:cstheme="minorHAnsi"/>
          <w:b/>
          <w:bCs/>
        </w:rPr>
        <w:t>To</w:t>
      </w:r>
      <w:r w:rsidR="0066031F">
        <w:rPr>
          <w:rFonts w:cstheme="minorHAnsi"/>
          <w:b/>
          <w:bCs/>
        </w:rPr>
        <w:t xml:space="preserve"> accommodate existing waiting and eligible patients (6,800) and absorb capacity from other BILH facilities with significant </w:t>
      </w:r>
      <w:proofErr w:type="gramStart"/>
      <w:r w:rsidR="0066031F">
        <w:rPr>
          <w:rFonts w:cstheme="minorHAnsi"/>
          <w:b/>
          <w:bCs/>
        </w:rPr>
        <w:t>wait</w:t>
      </w:r>
      <w:proofErr w:type="gramEnd"/>
      <w:r w:rsidR="0066031F">
        <w:rPr>
          <w:rFonts w:cstheme="minorHAnsi"/>
          <w:b/>
          <w:bCs/>
        </w:rPr>
        <w:t xml:space="preserve"> times, the Applicant determined </w:t>
      </w:r>
      <w:r w:rsidR="00C32D15">
        <w:rPr>
          <w:rFonts w:cstheme="minorHAnsi"/>
          <w:b/>
          <w:bCs/>
        </w:rPr>
        <w:t xml:space="preserve">that </w:t>
      </w:r>
      <w:r w:rsidR="0066031F">
        <w:rPr>
          <w:rFonts w:cstheme="minorHAnsi"/>
          <w:b/>
          <w:bCs/>
        </w:rPr>
        <w:t xml:space="preserve">at least three procedure rooms will be required. </w:t>
      </w:r>
    </w:p>
    <w:p w14:paraId="249411E7" w14:textId="16D6C1B2" w:rsidR="0066031F" w:rsidRPr="0066031F" w:rsidRDefault="0066031F" w:rsidP="0066031F">
      <w:pPr>
        <w:pStyle w:val="ListParagraph"/>
        <w:spacing w:line="240" w:lineRule="auto"/>
        <w:ind w:left="1440"/>
        <w:contextualSpacing w:val="0"/>
        <w:jc w:val="both"/>
        <w:rPr>
          <w:rFonts w:cstheme="minorHAnsi"/>
          <w:b/>
          <w:bCs/>
        </w:rPr>
      </w:pPr>
      <w:r>
        <w:rPr>
          <w:rFonts w:cstheme="minorHAnsi"/>
          <w:b/>
          <w:bCs/>
        </w:rPr>
        <w:t>It’s also important to note that the expansion will be</w:t>
      </w:r>
      <w:r w:rsidR="00C32D15">
        <w:rPr>
          <w:rFonts w:cstheme="minorHAnsi"/>
          <w:b/>
          <w:bCs/>
        </w:rPr>
        <w:t xml:space="preserve"> </w:t>
      </w:r>
      <w:r>
        <w:rPr>
          <w:rFonts w:cstheme="minorHAnsi"/>
          <w:b/>
          <w:bCs/>
        </w:rPr>
        <w:t>within the Center’s existing physical footprint and therefore</w:t>
      </w:r>
      <w:r w:rsidR="00C32D15">
        <w:rPr>
          <w:rFonts w:cstheme="minorHAnsi"/>
          <w:b/>
          <w:bCs/>
        </w:rPr>
        <w:t xml:space="preserve"> it</w:t>
      </w:r>
      <w:r>
        <w:rPr>
          <w:rFonts w:cstheme="minorHAnsi"/>
          <w:b/>
          <w:bCs/>
        </w:rPr>
        <w:t xml:space="preserve"> is limited </w:t>
      </w:r>
      <w:r w:rsidR="00C32D15">
        <w:rPr>
          <w:rFonts w:cstheme="minorHAnsi"/>
          <w:b/>
          <w:bCs/>
        </w:rPr>
        <w:t>in how many additional rooms can be accommodated</w:t>
      </w:r>
      <w:r>
        <w:rPr>
          <w:rFonts w:cstheme="minorHAnsi"/>
          <w:b/>
          <w:bCs/>
        </w:rPr>
        <w:t xml:space="preserve">. Given the significant wait times </w:t>
      </w:r>
      <w:r w:rsidR="00C32D15">
        <w:rPr>
          <w:rFonts w:cstheme="minorHAnsi"/>
          <w:b/>
          <w:bCs/>
        </w:rPr>
        <w:t>noted</w:t>
      </w:r>
      <w:r>
        <w:rPr>
          <w:rFonts w:cstheme="minorHAnsi"/>
          <w:b/>
          <w:bCs/>
        </w:rPr>
        <w:t xml:space="preserve"> in response to Question 11, the Proposed Project will address capacity constraints at Winchester </w:t>
      </w:r>
      <w:r w:rsidR="00697D19">
        <w:rPr>
          <w:rFonts w:cstheme="minorHAnsi"/>
          <w:b/>
          <w:bCs/>
        </w:rPr>
        <w:t>Hospital but</w:t>
      </w:r>
      <w:r>
        <w:rPr>
          <w:rFonts w:cstheme="minorHAnsi"/>
          <w:b/>
          <w:bCs/>
        </w:rPr>
        <w:t xml:space="preserve"> will not meaningfully reduce wait times across BILH. </w:t>
      </w:r>
    </w:p>
    <w:p w14:paraId="385931C4" w14:textId="2400E92F" w:rsidR="00202897" w:rsidRDefault="00202897" w:rsidP="0066031F">
      <w:pPr>
        <w:pStyle w:val="ListParagraph"/>
        <w:numPr>
          <w:ilvl w:val="1"/>
          <w:numId w:val="31"/>
        </w:numPr>
        <w:spacing w:line="240" w:lineRule="auto"/>
        <w:contextualSpacing w:val="0"/>
        <w:rPr>
          <w:rFonts w:cstheme="minorHAnsi"/>
        </w:rPr>
      </w:pPr>
      <w:r w:rsidRPr="00202897">
        <w:rPr>
          <w:rFonts w:cstheme="minorHAnsi"/>
        </w:rPr>
        <w:t xml:space="preserve">Provide a breakdown of anticipated sources of </w:t>
      </w:r>
      <w:r w:rsidR="00F32D47">
        <w:rPr>
          <w:rFonts w:cstheme="minorHAnsi"/>
        </w:rPr>
        <w:t xml:space="preserve">projected </w:t>
      </w:r>
      <w:r w:rsidRPr="00202897">
        <w:rPr>
          <w:rFonts w:cstheme="minorHAnsi"/>
        </w:rPr>
        <w:t>“New Volume</w:t>
      </w:r>
      <w:r w:rsidR="006C7E6B">
        <w:rPr>
          <w:rFonts w:cstheme="minorHAnsi"/>
        </w:rPr>
        <w:t>”</w:t>
      </w:r>
      <w:r w:rsidRPr="00202897">
        <w:rPr>
          <w:rFonts w:cstheme="minorHAnsi"/>
        </w:rPr>
        <w:t xml:space="preserve"> at the Center after project implementation. </w:t>
      </w:r>
    </w:p>
    <w:p w14:paraId="1A9D33D5" w14:textId="77777777" w:rsidR="0066031F" w:rsidRPr="0066031F" w:rsidRDefault="0066031F" w:rsidP="0066031F">
      <w:pPr>
        <w:pStyle w:val="ListParagraph"/>
        <w:rPr>
          <w:rFonts w:cstheme="minorHAnsi"/>
        </w:rPr>
      </w:pPr>
    </w:p>
    <w:tbl>
      <w:tblPr>
        <w:tblStyle w:val="TableGrid"/>
        <w:tblW w:w="0" w:type="auto"/>
        <w:tblInd w:w="1440" w:type="dxa"/>
        <w:tblLook w:val="04A0" w:firstRow="1" w:lastRow="0" w:firstColumn="1" w:lastColumn="0" w:noHBand="0" w:noVBand="1"/>
      </w:tblPr>
      <w:tblGrid>
        <w:gridCol w:w="5125"/>
        <w:gridCol w:w="2785"/>
      </w:tblGrid>
      <w:tr w:rsidR="0066031F" w14:paraId="42005E1E" w14:textId="77777777" w:rsidTr="006E4D4C">
        <w:trPr>
          <w:cantSplit/>
          <w:tblHeader/>
        </w:trPr>
        <w:tc>
          <w:tcPr>
            <w:tcW w:w="5125" w:type="dxa"/>
            <w:shd w:val="clear" w:color="auto" w:fill="44546A" w:themeFill="text2"/>
          </w:tcPr>
          <w:p w14:paraId="3B834A19" w14:textId="4010CBB2" w:rsidR="0066031F" w:rsidRPr="0066031F" w:rsidRDefault="0066031F" w:rsidP="0066031F">
            <w:pPr>
              <w:pStyle w:val="ListParagraph"/>
              <w:ind w:left="0"/>
              <w:rPr>
                <w:rFonts w:cstheme="minorHAnsi"/>
                <w:b/>
                <w:bCs/>
                <w:color w:val="FFFFFF" w:themeColor="background1"/>
              </w:rPr>
            </w:pPr>
            <w:r w:rsidRPr="0066031F">
              <w:rPr>
                <w:rFonts w:cstheme="minorHAnsi"/>
                <w:b/>
                <w:bCs/>
                <w:color w:val="FFFFFF" w:themeColor="background1"/>
              </w:rPr>
              <w:t>Volume Source</w:t>
            </w:r>
          </w:p>
        </w:tc>
        <w:tc>
          <w:tcPr>
            <w:tcW w:w="2785" w:type="dxa"/>
            <w:shd w:val="clear" w:color="auto" w:fill="44546A" w:themeFill="text2"/>
          </w:tcPr>
          <w:p w14:paraId="36BE6A4A" w14:textId="4F98F600" w:rsidR="0066031F" w:rsidRPr="0066031F" w:rsidRDefault="0066031F" w:rsidP="0066031F">
            <w:pPr>
              <w:pStyle w:val="ListParagraph"/>
              <w:ind w:left="0"/>
              <w:rPr>
                <w:rFonts w:cstheme="minorHAnsi"/>
                <w:b/>
                <w:bCs/>
                <w:color w:val="FFFFFF" w:themeColor="background1"/>
              </w:rPr>
            </w:pPr>
            <w:r w:rsidRPr="0066031F">
              <w:rPr>
                <w:rFonts w:cstheme="minorHAnsi"/>
                <w:b/>
                <w:bCs/>
                <w:color w:val="FFFFFF" w:themeColor="background1"/>
              </w:rPr>
              <w:t xml:space="preserve">Anticipated Annual Volume </w:t>
            </w:r>
          </w:p>
        </w:tc>
      </w:tr>
      <w:tr w:rsidR="0066031F" w14:paraId="576CD920" w14:textId="77777777" w:rsidTr="006E4D4C">
        <w:trPr>
          <w:cantSplit/>
        </w:trPr>
        <w:tc>
          <w:tcPr>
            <w:tcW w:w="5125" w:type="dxa"/>
          </w:tcPr>
          <w:p w14:paraId="3B45D64E" w14:textId="0E1A69AE" w:rsidR="0066031F" w:rsidRPr="0066031F" w:rsidRDefault="0066031F" w:rsidP="0066031F">
            <w:pPr>
              <w:pStyle w:val="ListParagraph"/>
              <w:ind w:left="0"/>
              <w:rPr>
                <w:rFonts w:cstheme="minorHAnsi"/>
                <w:b/>
                <w:bCs/>
              </w:rPr>
            </w:pPr>
            <w:r w:rsidRPr="0066031F">
              <w:rPr>
                <w:rFonts w:cstheme="minorHAnsi"/>
                <w:b/>
                <w:bCs/>
              </w:rPr>
              <w:t xml:space="preserve">Existing volume </w:t>
            </w:r>
          </w:p>
        </w:tc>
        <w:tc>
          <w:tcPr>
            <w:tcW w:w="2785" w:type="dxa"/>
          </w:tcPr>
          <w:p w14:paraId="013B34FF" w14:textId="2AC9A3E2" w:rsidR="0066031F" w:rsidRPr="0066031F" w:rsidRDefault="0066031F" w:rsidP="0066031F">
            <w:pPr>
              <w:pStyle w:val="ListParagraph"/>
              <w:ind w:left="0"/>
              <w:rPr>
                <w:rFonts w:cstheme="minorHAnsi"/>
                <w:b/>
                <w:bCs/>
              </w:rPr>
            </w:pPr>
            <w:r w:rsidRPr="0066031F">
              <w:rPr>
                <w:rFonts w:cstheme="minorHAnsi"/>
                <w:b/>
                <w:bCs/>
              </w:rPr>
              <w:t>11,000</w:t>
            </w:r>
          </w:p>
        </w:tc>
      </w:tr>
      <w:tr w:rsidR="0066031F" w14:paraId="2950D974" w14:textId="77777777" w:rsidTr="006E4D4C">
        <w:trPr>
          <w:cantSplit/>
        </w:trPr>
        <w:tc>
          <w:tcPr>
            <w:tcW w:w="5125" w:type="dxa"/>
          </w:tcPr>
          <w:p w14:paraId="23277872" w14:textId="7C6B4A61" w:rsidR="0066031F" w:rsidRPr="0066031F" w:rsidRDefault="0066031F" w:rsidP="0066031F">
            <w:pPr>
              <w:pStyle w:val="ListParagraph"/>
              <w:ind w:left="0"/>
              <w:rPr>
                <w:rFonts w:cstheme="minorHAnsi"/>
                <w:b/>
                <w:bCs/>
              </w:rPr>
            </w:pPr>
            <w:r w:rsidRPr="0066031F">
              <w:rPr>
                <w:rFonts w:cstheme="minorHAnsi"/>
                <w:b/>
                <w:bCs/>
              </w:rPr>
              <w:t xml:space="preserve">Patients waiting with orders </w:t>
            </w:r>
          </w:p>
        </w:tc>
        <w:tc>
          <w:tcPr>
            <w:tcW w:w="2785" w:type="dxa"/>
          </w:tcPr>
          <w:p w14:paraId="3C447532" w14:textId="0B45E285" w:rsidR="0066031F" w:rsidRPr="0066031F" w:rsidRDefault="0066031F" w:rsidP="0066031F">
            <w:pPr>
              <w:pStyle w:val="ListParagraph"/>
              <w:ind w:left="0"/>
              <w:rPr>
                <w:rFonts w:cstheme="minorHAnsi"/>
                <w:b/>
                <w:bCs/>
              </w:rPr>
            </w:pPr>
            <w:r w:rsidRPr="0066031F">
              <w:rPr>
                <w:rFonts w:cstheme="minorHAnsi"/>
                <w:b/>
                <w:bCs/>
              </w:rPr>
              <w:t>2,000</w:t>
            </w:r>
          </w:p>
        </w:tc>
      </w:tr>
      <w:tr w:rsidR="0066031F" w14:paraId="49E721D6" w14:textId="77777777" w:rsidTr="006E4D4C">
        <w:trPr>
          <w:cantSplit/>
        </w:trPr>
        <w:tc>
          <w:tcPr>
            <w:tcW w:w="5125" w:type="dxa"/>
          </w:tcPr>
          <w:p w14:paraId="1DB30C43" w14:textId="63688BD6" w:rsidR="0066031F" w:rsidRPr="0066031F" w:rsidRDefault="0066031F" w:rsidP="0066031F">
            <w:pPr>
              <w:pStyle w:val="ListParagraph"/>
              <w:ind w:left="0"/>
              <w:rPr>
                <w:rFonts w:cstheme="minorHAnsi"/>
                <w:b/>
                <w:bCs/>
              </w:rPr>
            </w:pPr>
            <w:r w:rsidRPr="0066031F">
              <w:rPr>
                <w:rFonts w:cstheme="minorHAnsi"/>
                <w:b/>
                <w:bCs/>
              </w:rPr>
              <w:t xml:space="preserve">Eligible colonoscopy patients </w:t>
            </w:r>
            <w:r w:rsidR="001723E4">
              <w:rPr>
                <w:rFonts w:cstheme="minorHAnsi"/>
                <w:b/>
                <w:bCs/>
              </w:rPr>
              <w:t>without current orders</w:t>
            </w:r>
          </w:p>
        </w:tc>
        <w:tc>
          <w:tcPr>
            <w:tcW w:w="2785" w:type="dxa"/>
          </w:tcPr>
          <w:p w14:paraId="78EA2700" w14:textId="347F4C1B" w:rsidR="0066031F" w:rsidRPr="0066031F" w:rsidRDefault="0066031F" w:rsidP="0066031F">
            <w:pPr>
              <w:pStyle w:val="ListParagraph"/>
              <w:ind w:left="0"/>
              <w:rPr>
                <w:rFonts w:cstheme="minorHAnsi"/>
                <w:b/>
                <w:bCs/>
              </w:rPr>
            </w:pPr>
            <w:r w:rsidRPr="0066031F">
              <w:rPr>
                <w:rFonts w:cstheme="minorHAnsi"/>
                <w:b/>
                <w:bCs/>
              </w:rPr>
              <w:t>3,000</w:t>
            </w:r>
          </w:p>
        </w:tc>
      </w:tr>
      <w:tr w:rsidR="0066031F" w14:paraId="2D975E0E" w14:textId="77777777" w:rsidTr="006E4D4C">
        <w:trPr>
          <w:cantSplit/>
        </w:trPr>
        <w:tc>
          <w:tcPr>
            <w:tcW w:w="5125" w:type="dxa"/>
          </w:tcPr>
          <w:p w14:paraId="4309EBE1" w14:textId="78A993A0" w:rsidR="0066031F" w:rsidRPr="0066031F" w:rsidRDefault="0066031F" w:rsidP="0066031F">
            <w:pPr>
              <w:pStyle w:val="ListParagraph"/>
              <w:ind w:left="0"/>
              <w:rPr>
                <w:rFonts w:cstheme="minorHAnsi"/>
                <w:b/>
                <w:bCs/>
              </w:rPr>
            </w:pPr>
            <w:r w:rsidRPr="0066031F">
              <w:rPr>
                <w:rFonts w:cstheme="minorHAnsi"/>
                <w:b/>
                <w:bCs/>
              </w:rPr>
              <w:t xml:space="preserve">Atrius </w:t>
            </w:r>
            <w:r w:rsidR="00C32D15">
              <w:rPr>
                <w:rFonts w:cstheme="minorHAnsi"/>
                <w:b/>
                <w:bCs/>
              </w:rPr>
              <w:t>patients</w:t>
            </w:r>
          </w:p>
        </w:tc>
        <w:tc>
          <w:tcPr>
            <w:tcW w:w="2785" w:type="dxa"/>
          </w:tcPr>
          <w:p w14:paraId="6EAAE81C" w14:textId="3CE4743C" w:rsidR="0066031F" w:rsidRPr="0066031F" w:rsidRDefault="0066031F" w:rsidP="0066031F">
            <w:pPr>
              <w:pStyle w:val="ListParagraph"/>
              <w:ind w:left="0"/>
              <w:rPr>
                <w:rFonts w:cstheme="minorHAnsi"/>
                <w:b/>
                <w:bCs/>
              </w:rPr>
            </w:pPr>
            <w:r w:rsidRPr="0066031F">
              <w:rPr>
                <w:rFonts w:cstheme="minorHAnsi"/>
                <w:b/>
                <w:bCs/>
              </w:rPr>
              <w:t>800</w:t>
            </w:r>
          </w:p>
        </w:tc>
      </w:tr>
      <w:tr w:rsidR="0066031F" w14:paraId="7E759CB7" w14:textId="77777777" w:rsidTr="006E4D4C">
        <w:trPr>
          <w:cantSplit/>
        </w:trPr>
        <w:tc>
          <w:tcPr>
            <w:tcW w:w="5125" w:type="dxa"/>
            <w:shd w:val="clear" w:color="auto" w:fill="D5DCE4" w:themeFill="text2" w:themeFillTint="33"/>
          </w:tcPr>
          <w:p w14:paraId="22FFF782" w14:textId="56752281" w:rsidR="0066031F" w:rsidRPr="0066031F" w:rsidRDefault="0066031F" w:rsidP="0066031F">
            <w:pPr>
              <w:pStyle w:val="ListParagraph"/>
              <w:ind w:left="0"/>
              <w:rPr>
                <w:rFonts w:cstheme="minorHAnsi"/>
                <w:b/>
                <w:bCs/>
              </w:rPr>
            </w:pPr>
            <w:r w:rsidRPr="0066031F">
              <w:rPr>
                <w:rFonts w:cstheme="minorHAnsi"/>
                <w:b/>
                <w:bCs/>
              </w:rPr>
              <w:t xml:space="preserve">Total </w:t>
            </w:r>
          </w:p>
        </w:tc>
        <w:tc>
          <w:tcPr>
            <w:tcW w:w="2785" w:type="dxa"/>
            <w:shd w:val="clear" w:color="auto" w:fill="D5DCE4" w:themeFill="text2" w:themeFillTint="33"/>
          </w:tcPr>
          <w:p w14:paraId="50C70773" w14:textId="49CA6974" w:rsidR="0066031F" w:rsidRPr="0066031F" w:rsidRDefault="0066031F" w:rsidP="0066031F">
            <w:pPr>
              <w:pStyle w:val="ListParagraph"/>
              <w:ind w:left="0"/>
              <w:rPr>
                <w:rFonts w:cstheme="minorHAnsi"/>
                <w:b/>
                <w:bCs/>
              </w:rPr>
            </w:pPr>
            <w:r w:rsidRPr="0066031F">
              <w:rPr>
                <w:rFonts w:cstheme="minorHAnsi"/>
                <w:b/>
                <w:bCs/>
              </w:rPr>
              <w:t>16,800</w:t>
            </w:r>
          </w:p>
        </w:tc>
      </w:tr>
    </w:tbl>
    <w:p w14:paraId="361339CD" w14:textId="77777777" w:rsidR="0066031F" w:rsidRPr="00202897" w:rsidRDefault="0066031F" w:rsidP="0066031F">
      <w:pPr>
        <w:pStyle w:val="ListParagraph"/>
        <w:ind w:left="1440"/>
        <w:rPr>
          <w:rFonts w:cstheme="minorHAnsi"/>
        </w:rPr>
      </w:pPr>
    </w:p>
    <w:p w14:paraId="69865020" w14:textId="77777777" w:rsidR="00123AB6" w:rsidRPr="00123AB6" w:rsidRDefault="00123AB6" w:rsidP="00123AB6">
      <w:pPr>
        <w:pStyle w:val="ListParagraph"/>
        <w:ind w:left="1440"/>
        <w:rPr>
          <w:rFonts w:cstheme="minorHAnsi"/>
        </w:rPr>
      </w:pPr>
    </w:p>
    <w:p w14:paraId="6B6628A2" w14:textId="5BFF63D3" w:rsidR="00171E8F" w:rsidRPr="001204EB" w:rsidRDefault="00CE603A" w:rsidP="004250E7">
      <w:pPr>
        <w:pStyle w:val="Heading3"/>
      </w:pPr>
      <w:r w:rsidRPr="001204EB">
        <w:t xml:space="preserve">Describe the current staffing </w:t>
      </w:r>
      <w:r w:rsidR="00EF4821" w:rsidRPr="001204EB">
        <w:t>of</w:t>
      </w:r>
      <w:r w:rsidRPr="001204EB">
        <w:t xml:space="preserve"> the Center; and e</w:t>
      </w:r>
      <w:r w:rsidR="00486FC2" w:rsidRPr="001204EB">
        <w:t>xplain the staffing that will be required for the Proposed Project, as well as the Applicant’s strategy for recruiting and hiring new staff.</w:t>
      </w:r>
    </w:p>
    <w:p w14:paraId="422EAA6C" w14:textId="77777777" w:rsidR="0066031F" w:rsidRDefault="0066031F" w:rsidP="0066031F">
      <w:pPr>
        <w:pStyle w:val="ListParagraph"/>
        <w:rPr>
          <w:rFonts w:cstheme="minorHAnsi"/>
        </w:rPr>
      </w:pPr>
    </w:p>
    <w:p w14:paraId="0BA92EE2" w14:textId="4F130DB3" w:rsidR="00AF393F" w:rsidRDefault="00F1634E" w:rsidP="00697D19">
      <w:pPr>
        <w:pStyle w:val="ListParagraph"/>
        <w:jc w:val="both"/>
        <w:rPr>
          <w:rFonts w:cstheme="minorHAnsi"/>
          <w:b/>
          <w:bCs/>
        </w:rPr>
      </w:pPr>
      <w:r>
        <w:rPr>
          <w:rFonts w:cstheme="minorHAnsi"/>
          <w:b/>
          <w:bCs/>
        </w:rPr>
        <w:t>On average, the Center requires approximately 30 full-time employees</w:t>
      </w:r>
      <w:r w:rsidR="001204EB">
        <w:rPr>
          <w:rFonts w:cstheme="minorHAnsi"/>
          <w:b/>
          <w:bCs/>
        </w:rPr>
        <w:t xml:space="preserve"> (FTE)</w:t>
      </w:r>
      <w:r>
        <w:rPr>
          <w:rFonts w:cstheme="minorHAnsi"/>
          <w:b/>
          <w:bCs/>
        </w:rPr>
        <w:t xml:space="preserve">. </w:t>
      </w:r>
      <w:r w:rsidR="0066031F">
        <w:rPr>
          <w:rFonts w:cstheme="minorHAnsi"/>
          <w:b/>
          <w:bCs/>
        </w:rPr>
        <w:t xml:space="preserve">The </w:t>
      </w:r>
      <w:r w:rsidR="00697D19">
        <w:rPr>
          <w:rFonts w:cstheme="minorHAnsi"/>
          <w:b/>
          <w:bCs/>
        </w:rPr>
        <w:t>three additional</w:t>
      </w:r>
      <w:r w:rsidR="0066031F">
        <w:rPr>
          <w:rFonts w:cstheme="minorHAnsi"/>
          <w:b/>
          <w:bCs/>
        </w:rPr>
        <w:t xml:space="preserve"> rooms will require the following </w:t>
      </w:r>
      <w:r>
        <w:rPr>
          <w:rFonts w:cstheme="minorHAnsi"/>
          <w:b/>
          <w:bCs/>
        </w:rPr>
        <w:t xml:space="preserve">additional </w:t>
      </w:r>
      <w:r w:rsidR="001204EB">
        <w:rPr>
          <w:rFonts w:cstheme="minorHAnsi"/>
          <w:b/>
          <w:bCs/>
        </w:rPr>
        <w:t>FTEs:</w:t>
      </w:r>
      <w:r w:rsidR="0066031F">
        <w:rPr>
          <w:rFonts w:cstheme="minorHAnsi"/>
          <w:b/>
          <w:bCs/>
        </w:rPr>
        <w:t xml:space="preserve"> seven (7) Registered Nurses, one (1) Endoscopy Technician, one (1) Anesthesia Technician, one (1) Administrative Assistant, and one (1) Surgery Scheduler. The Hospital anticipates most positions will be filled by internal applicants. To the extent external applicants are needed, the Hospital will </w:t>
      </w:r>
      <w:r w:rsidR="00F119F0">
        <w:rPr>
          <w:rFonts w:cstheme="minorHAnsi"/>
          <w:b/>
          <w:bCs/>
        </w:rPr>
        <w:t>recruit internally from its medical/surgical service. The Center offers career advancement from med</w:t>
      </w:r>
      <w:r w:rsidR="00C32D15">
        <w:rPr>
          <w:rFonts w:cstheme="minorHAnsi"/>
          <w:b/>
          <w:bCs/>
        </w:rPr>
        <w:t>ical</w:t>
      </w:r>
      <w:r w:rsidR="00F119F0">
        <w:rPr>
          <w:rFonts w:cstheme="minorHAnsi"/>
          <w:b/>
          <w:bCs/>
        </w:rPr>
        <w:t>/surg</w:t>
      </w:r>
      <w:r w:rsidR="00C32D15">
        <w:rPr>
          <w:rFonts w:cstheme="minorHAnsi"/>
          <w:b/>
          <w:bCs/>
        </w:rPr>
        <w:t>ical</w:t>
      </w:r>
      <w:r w:rsidR="00F119F0">
        <w:rPr>
          <w:rFonts w:cstheme="minorHAnsi"/>
          <w:b/>
          <w:bCs/>
        </w:rPr>
        <w:t xml:space="preserve"> </w:t>
      </w:r>
      <w:r w:rsidR="00655EC8">
        <w:rPr>
          <w:rFonts w:cstheme="minorHAnsi"/>
          <w:b/>
          <w:bCs/>
        </w:rPr>
        <w:t>positions that are</w:t>
      </w:r>
      <w:r w:rsidR="00F119F0">
        <w:rPr>
          <w:rFonts w:cstheme="minorHAnsi"/>
          <w:b/>
          <w:bCs/>
        </w:rPr>
        <w:t xml:space="preserve"> highly sought after</w:t>
      </w:r>
      <w:r w:rsidR="00655EC8">
        <w:rPr>
          <w:rFonts w:cstheme="minorHAnsi"/>
          <w:b/>
          <w:bCs/>
        </w:rPr>
        <w:t xml:space="preserve"> by staff</w:t>
      </w:r>
      <w:r w:rsidR="00F119F0">
        <w:rPr>
          <w:rFonts w:cstheme="minorHAnsi"/>
          <w:b/>
          <w:bCs/>
        </w:rPr>
        <w:t xml:space="preserve">. As a result, the Hospital does not anticipate any staffing challenges </w:t>
      </w:r>
      <w:r w:rsidR="00655EC8">
        <w:rPr>
          <w:rFonts w:cstheme="minorHAnsi"/>
          <w:b/>
          <w:bCs/>
        </w:rPr>
        <w:t>for the</w:t>
      </w:r>
      <w:r w:rsidR="00F119F0">
        <w:rPr>
          <w:rFonts w:cstheme="minorHAnsi"/>
          <w:b/>
          <w:bCs/>
        </w:rPr>
        <w:t xml:space="preserve"> proposed expansion. </w:t>
      </w:r>
    </w:p>
    <w:p w14:paraId="603ADF49" w14:textId="77777777" w:rsidR="00F119F0" w:rsidRPr="00C45E71" w:rsidRDefault="00F119F0" w:rsidP="00F119F0">
      <w:pPr>
        <w:pStyle w:val="ListParagraph"/>
        <w:rPr>
          <w:rFonts w:cstheme="minorHAnsi"/>
        </w:rPr>
      </w:pPr>
    </w:p>
    <w:p w14:paraId="0A555958" w14:textId="4000D730" w:rsidR="00171E8F" w:rsidRPr="00C45E71" w:rsidRDefault="00171E8F" w:rsidP="004250E7">
      <w:pPr>
        <w:pStyle w:val="Heading3"/>
      </w:pPr>
      <w:r w:rsidRPr="00C45E71">
        <w:t xml:space="preserve">Describe protocols in place </w:t>
      </w:r>
      <w:r w:rsidR="00E00C8A" w:rsidRPr="00C45E71">
        <w:t xml:space="preserve">at the Center </w:t>
      </w:r>
      <w:r w:rsidRPr="00C45E71">
        <w:t>in case of an emergency.</w:t>
      </w:r>
    </w:p>
    <w:p w14:paraId="24F8C97A" w14:textId="77777777" w:rsidR="0066031F" w:rsidRPr="00C45E71" w:rsidRDefault="0066031F" w:rsidP="0066031F">
      <w:pPr>
        <w:pStyle w:val="ListParagraph"/>
        <w:rPr>
          <w:rFonts w:cstheme="minorHAnsi"/>
        </w:rPr>
      </w:pPr>
    </w:p>
    <w:p w14:paraId="6C12B6B9" w14:textId="08DA880D" w:rsidR="0066031F" w:rsidRPr="0066031F" w:rsidRDefault="0066031F" w:rsidP="0066031F">
      <w:pPr>
        <w:pStyle w:val="ListParagraph"/>
        <w:rPr>
          <w:rFonts w:cstheme="minorHAnsi"/>
          <w:b/>
          <w:bCs/>
        </w:rPr>
      </w:pPr>
      <w:r w:rsidRPr="00C45E71">
        <w:rPr>
          <w:rFonts w:cstheme="minorHAnsi"/>
          <w:b/>
          <w:bCs/>
        </w:rPr>
        <w:t>In case of emergency, the Center’s protocol</w:t>
      </w:r>
      <w:r w:rsidR="00655EC8">
        <w:rPr>
          <w:rFonts w:cstheme="minorHAnsi"/>
          <w:b/>
          <w:bCs/>
        </w:rPr>
        <w:t xml:space="preserve"> is</w:t>
      </w:r>
      <w:r w:rsidRPr="00C45E71">
        <w:rPr>
          <w:rFonts w:cstheme="minorHAnsi"/>
          <w:b/>
          <w:bCs/>
        </w:rPr>
        <w:t xml:space="preserve"> to call 9-1-1.</w:t>
      </w:r>
      <w:r w:rsidRPr="0066031F">
        <w:rPr>
          <w:rFonts w:cstheme="minorHAnsi"/>
          <w:b/>
          <w:bCs/>
        </w:rPr>
        <w:t xml:space="preserve"> </w:t>
      </w:r>
    </w:p>
    <w:p w14:paraId="3C4A19A2" w14:textId="350D4FDD" w:rsidR="00332060" w:rsidRPr="00171E8F" w:rsidRDefault="00BC0A97" w:rsidP="004250E7">
      <w:pPr>
        <w:pStyle w:val="Heading2"/>
      </w:pPr>
      <w:r w:rsidRPr="00171E8F">
        <w:t>F</w:t>
      </w:r>
      <w:r w:rsidR="00332060" w:rsidRPr="00171E8F">
        <w:t xml:space="preserve">actor 1b: Public Health Value </w:t>
      </w:r>
    </w:p>
    <w:p w14:paraId="0CE17A76" w14:textId="7D634DDA" w:rsidR="00C45E71" w:rsidRDefault="00E0462A" w:rsidP="006E0CE0">
      <w:pPr>
        <w:pStyle w:val="Heading3"/>
      </w:pPr>
      <w:r w:rsidRPr="004F032A">
        <w:t>What is the Adenoma Detection Rate for the Center?</w:t>
      </w:r>
      <w:r w:rsidR="008F4228" w:rsidRPr="004F032A">
        <w:t xml:space="preserve"> </w:t>
      </w:r>
    </w:p>
    <w:p w14:paraId="6C430F8F" w14:textId="038B1523" w:rsidR="00D94C80" w:rsidRDefault="00D94C80" w:rsidP="00D94C80">
      <w:pPr>
        <w:pStyle w:val="ListParagraph"/>
        <w:rPr>
          <w:rFonts w:cstheme="minorHAnsi"/>
          <w:b/>
          <w:bCs/>
        </w:rPr>
      </w:pPr>
      <w:r>
        <w:rPr>
          <w:rFonts w:cstheme="minorHAnsi"/>
          <w:b/>
          <w:bCs/>
        </w:rPr>
        <w:t>In December 2025, the ADR for the Center was as follows:</w:t>
      </w:r>
    </w:p>
    <w:p w14:paraId="37A73FA5" w14:textId="77777777" w:rsidR="00D94C80" w:rsidRDefault="00D94C80" w:rsidP="00D94C80">
      <w:pPr>
        <w:pStyle w:val="ListParagraph"/>
        <w:numPr>
          <w:ilvl w:val="0"/>
          <w:numId w:val="38"/>
        </w:numPr>
        <w:rPr>
          <w:rFonts w:cstheme="minorHAnsi"/>
          <w:b/>
          <w:bCs/>
        </w:rPr>
      </w:pPr>
      <w:r w:rsidRPr="00D94C80">
        <w:rPr>
          <w:rFonts w:cstheme="minorHAnsi"/>
          <w:b/>
          <w:bCs/>
        </w:rPr>
        <w:t>Male</w:t>
      </w:r>
      <w:r>
        <w:rPr>
          <w:rFonts w:cstheme="minorHAnsi"/>
          <w:b/>
          <w:bCs/>
        </w:rPr>
        <w:t xml:space="preserve">: </w:t>
      </w:r>
      <w:r w:rsidRPr="00D94C80">
        <w:rPr>
          <w:rFonts w:cstheme="minorHAnsi"/>
          <w:b/>
          <w:bCs/>
        </w:rPr>
        <w:t>17.65%</w:t>
      </w:r>
    </w:p>
    <w:p w14:paraId="64BED55C" w14:textId="21DFC327" w:rsidR="00D94C80" w:rsidRDefault="00D94C80" w:rsidP="00D94C80">
      <w:pPr>
        <w:pStyle w:val="ListParagraph"/>
        <w:numPr>
          <w:ilvl w:val="0"/>
          <w:numId w:val="38"/>
        </w:numPr>
        <w:rPr>
          <w:rFonts w:cstheme="minorHAnsi"/>
          <w:b/>
          <w:bCs/>
        </w:rPr>
      </w:pPr>
      <w:r w:rsidRPr="00D94C80">
        <w:rPr>
          <w:rFonts w:cstheme="minorHAnsi"/>
          <w:b/>
          <w:bCs/>
        </w:rPr>
        <w:t>Female</w:t>
      </w:r>
      <w:r>
        <w:rPr>
          <w:rFonts w:cstheme="minorHAnsi"/>
          <w:b/>
          <w:bCs/>
        </w:rPr>
        <w:t xml:space="preserve">: </w:t>
      </w:r>
      <w:r w:rsidRPr="00D94C80">
        <w:rPr>
          <w:rFonts w:cstheme="minorHAnsi"/>
          <w:b/>
          <w:bCs/>
        </w:rPr>
        <w:t>18.48%</w:t>
      </w:r>
    </w:p>
    <w:p w14:paraId="080C1F3D" w14:textId="00000C01" w:rsidR="00D94C80" w:rsidRPr="00D94C80" w:rsidRDefault="00D94C80" w:rsidP="00D94C80">
      <w:pPr>
        <w:pStyle w:val="ListParagraph"/>
        <w:numPr>
          <w:ilvl w:val="0"/>
          <w:numId w:val="38"/>
        </w:numPr>
        <w:rPr>
          <w:rFonts w:cstheme="minorHAnsi"/>
          <w:b/>
          <w:bCs/>
        </w:rPr>
      </w:pPr>
      <w:r>
        <w:rPr>
          <w:rFonts w:cstheme="minorHAnsi"/>
          <w:b/>
          <w:bCs/>
        </w:rPr>
        <w:t>Overall: 18.42%</w:t>
      </w:r>
    </w:p>
    <w:p w14:paraId="1914626E" w14:textId="1AA02D22" w:rsidR="00E0090C" w:rsidRDefault="00E0090C" w:rsidP="006E0CE0">
      <w:pPr>
        <w:pStyle w:val="Heading3"/>
      </w:pPr>
      <w:r w:rsidRPr="00E0090C">
        <w:t xml:space="preserve">How is Winchester Hospital leveraging the health equity work of BILH and BIDCO to identify and address </w:t>
      </w:r>
      <w:r w:rsidR="00B11062">
        <w:t xml:space="preserve">disparities </w:t>
      </w:r>
      <w:r w:rsidR="002E5E09">
        <w:t>i</w:t>
      </w:r>
      <w:r w:rsidRPr="00E0090C">
        <w:t xml:space="preserve">n access </w:t>
      </w:r>
      <w:r w:rsidR="002E5E09">
        <w:t>and outcomes at the Center</w:t>
      </w:r>
      <w:r w:rsidR="001A7FF2">
        <w:t>?</w:t>
      </w:r>
    </w:p>
    <w:p w14:paraId="786AD7E5" w14:textId="77777777" w:rsidR="0066031F" w:rsidRPr="0066031F" w:rsidRDefault="0066031F" w:rsidP="0066031F">
      <w:pPr>
        <w:pStyle w:val="ListParagraph"/>
        <w:spacing w:line="240" w:lineRule="auto"/>
        <w:contextualSpacing w:val="0"/>
        <w:jc w:val="both"/>
        <w:rPr>
          <w:b/>
          <w:bCs/>
        </w:rPr>
      </w:pPr>
      <w:r w:rsidRPr="0066031F">
        <w:rPr>
          <w:b/>
          <w:bCs/>
        </w:rPr>
        <w:t>BILH Performance Network (BILHPN) is committed to advancing population health and achieving quality performance measures outlined in at-risk payor contracts, including colon cancer screening. This commitment ensures accountability in providing appropriate screening for all patients, with a focused effort to address disparities among Asian, Black, and Hispanic populations, per payor contract criteria.</w:t>
      </w:r>
    </w:p>
    <w:p w14:paraId="35E96BB8" w14:textId="77777777" w:rsidR="0066031F" w:rsidRPr="0066031F" w:rsidRDefault="0066031F" w:rsidP="0066031F">
      <w:pPr>
        <w:pStyle w:val="ListParagraph"/>
        <w:spacing w:line="240" w:lineRule="auto"/>
        <w:contextualSpacing w:val="0"/>
        <w:jc w:val="both"/>
      </w:pPr>
      <w:r w:rsidRPr="0066031F">
        <w:rPr>
          <w:b/>
          <w:bCs/>
        </w:rPr>
        <w:t>In collaboration with multiple payor plans, BILHPN is expanding access to at-home screening options and ensuring timely follow-up care, including colonoscopy for patients with positive results. Monthly reports of positive cases are reviewed by population health specialists, who confirm that each patient has an order, scheduled appointment, or completed colonoscopy.</w:t>
      </w:r>
    </w:p>
    <w:p w14:paraId="119AD5FD" w14:textId="59ACB61F" w:rsidR="0066031F" w:rsidRPr="0066031F" w:rsidRDefault="0066031F" w:rsidP="0066031F">
      <w:pPr>
        <w:pStyle w:val="ListParagraph"/>
        <w:spacing w:line="240" w:lineRule="auto"/>
        <w:contextualSpacing w:val="0"/>
        <w:jc w:val="both"/>
      </w:pPr>
      <w:r w:rsidRPr="0066031F">
        <w:rPr>
          <w:b/>
          <w:bCs/>
        </w:rPr>
        <w:t xml:space="preserve">Additionally, BILHPN works closely with the BILH Ambulatory </w:t>
      </w:r>
      <w:proofErr w:type="spellStart"/>
      <w:r w:rsidRPr="0066031F">
        <w:rPr>
          <w:b/>
          <w:bCs/>
        </w:rPr>
        <w:t>Safetynet</w:t>
      </w:r>
      <w:proofErr w:type="spellEnd"/>
      <w:r w:rsidRPr="0066031F">
        <w:rPr>
          <w:b/>
          <w:bCs/>
        </w:rPr>
        <w:t xml:space="preserve"> (ASN) team to address gaps in care. If a patient has not received appropriate follow-up within 90 days of a positive result, an ASN navigator conducts outreach to ensure care is provided as needed.</w:t>
      </w:r>
    </w:p>
    <w:p w14:paraId="7E496987" w14:textId="6F1ADA44" w:rsidR="00C13C66" w:rsidRPr="00BF3E13" w:rsidRDefault="00C13C66" w:rsidP="006E0CE0">
      <w:pPr>
        <w:pStyle w:val="Heading3"/>
      </w:pPr>
      <w:r w:rsidRPr="00BF3E13">
        <w:t>Provide a breakdown (by count and percentage) of the primary language</w:t>
      </w:r>
      <w:r w:rsidR="00D621FF" w:rsidRPr="00BF3E13">
        <w:t>s</w:t>
      </w:r>
      <w:r w:rsidRPr="00BF3E13">
        <w:t xml:space="preserve"> spoken by </w:t>
      </w:r>
      <w:r w:rsidR="00AB4394" w:rsidRPr="00BF3E13">
        <w:t>Winchester Hospital Endoscopy patients</w:t>
      </w:r>
      <w:r w:rsidRPr="00BF3E13">
        <w:t xml:space="preserve"> for the most recent year available</w:t>
      </w:r>
      <w:r w:rsidR="00CC6C79" w:rsidRPr="00BF3E13">
        <w:t>.</w:t>
      </w:r>
    </w:p>
    <w:tbl>
      <w:tblPr>
        <w:tblW w:w="657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1710"/>
        <w:gridCol w:w="1980"/>
      </w:tblGrid>
      <w:tr w:rsidR="00BF3E13" w:rsidRPr="00BF3E13" w14:paraId="49977C5B" w14:textId="77777777" w:rsidTr="006E0CE0">
        <w:trPr>
          <w:cantSplit/>
          <w:trHeight w:val="290"/>
          <w:tblHeader/>
        </w:trPr>
        <w:tc>
          <w:tcPr>
            <w:tcW w:w="2880" w:type="dxa"/>
            <w:noWrap/>
            <w:vAlign w:val="bottom"/>
          </w:tcPr>
          <w:p w14:paraId="0350B6B2" w14:textId="54A2B5A5" w:rsidR="00BF3E13" w:rsidRPr="00BF3E13" w:rsidRDefault="00BF3E13" w:rsidP="00BF3E13">
            <w:pPr>
              <w:spacing w:after="0" w:line="240" w:lineRule="auto"/>
              <w:rPr>
                <w:rFonts w:ascii="Calibri" w:eastAsia="Times New Roman" w:hAnsi="Calibri" w:cs="Calibri"/>
                <w:b/>
                <w:bCs/>
              </w:rPr>
            </w:pPr>
            <w:r w:rsidRPr="00BF3E13">
              <w:rPr>
                <w:rFonts w:ascii="Calibri" w:eastAsia="Times New Roman" w:hAnsi="Calibri" w:cs="Calibri"/>
                <w:b/>
                <w:bCs/>
              </w:rPr>
              <w:t xml:space="preserve">Language </w:t>
            </w:r>
          </w:p>
        </w:tc>
        <w:tc>
          <w:tcPr>
            <w:tcW w:w="1710" w:type="dxa"/>
            <w:noWrap/>
            <w:vAlign w:val="bottom"/>
          </w:tcPr>
          <w:p w14:paraId="4A7D7466" w14:textId="002B6BE6" w:rsidR="00BF3E13" w:rsidRPr="00BF3E13" w:rsidRDefault="00BF3E13" w:rsidP="00BF3E13">
            <w:pPr>
              <w:spacing w:after="0" w:line="240" w:lineRule="auto"/>
              <w:jc w:val="right"/>
              <w:rPr>
                <w:rFonts w:ascii="Calibri" w:eastAsia="Times New Roman" w:hAnsi="Calibri" w:cs="Calibri"/>
                <w:b/>
                <w:bCs/>
              </w:rPr>
            </w:pPr>
            <w:r w:rsidRPr="00BF3E13">
              <w:rPr>
                <w:rFonts w:ascii="Calibri" w:eastAsia="Times New Roman" w:hAnsi="Calibri" w:cs="Calibri"/>
                <w:b/>
                <w:bCs/>
              </w:rPr>
              <w:t>Requests Made</w:t>
            </w:r>
          </w:p>
        </w:tc>
        <w:tc>
          <w:tcPr>
            <w:tcW w:w="1980" w:type="dxa"/>
            <w:noWrap/>
            <w:vAlign w:val="bottom"/>
          </w:tcPr>
          <w:p w14:paraId="49E74D90" w14:textId="39252113" w:rsidR="00BF3E13" w:rsidRPr="00BF3E13" w:rsidRDefault="00BF3E13" w:rsidP="00BF3E13">
            <w:pPr>
              <w:spacing w:after="0" w:line="240" w:lineRule="auto"/>
              <w:jc w:val="right"/>
              <w:rPr>
                <w:rFonts w:ascii="Calibri" w:eastAsia="Times New Roman" w:hAnsi="Calibri" w:cs="Calibri"/>
                <w:b/>
                <w:bCs/>
              </w:rPr>
            </w:pPr>
            <w:r>
              <w:rPr>
                <w:rFonts w:ascii="Calibri" w:eastAsia="Times New Roman" w:hAnsi="Calibri" w:cs="Calibri"/>
                <w:b/>
                <w:bCs/>
              </w:rPr>
              <w:t>Percent</w:t>
            </w:r>
            <w:r w:rsidRPr="00BF3E13">
              <w:rPr>
                <w:rFonts w:ascii="Calibri" w:eastAsia="Times New Roman" w:hAnsi="Calibri" w:cs="Calibri"/>
                <w:b/>
                <w:bCs/>
              </w:rPr>
              <w:t xml:space="preserve"> of Total</w:t>
            </w:r>
          </w:p>
        </w:tc>
      </w:tr>
      <w:tr w:rsidR="00BF3E13" w:rsidRPr="00BF3E13" w14:paraId="70C8931C" w14:textId="77777777" w:rsidTr="006E0CE0">
        <w:trPr>
          <w:cantSplit/>
          <w:trHeight w:val="290"/>
        </w:trPr>
        <w:tc>
          <w:tcPr>
            <w:tcW w:w="2880" w:type="dxa"/>
            <w:noWrap/>
            <w:vAlign w:val="bottom"/>
            <w:hideMark/>
          </w:tcPr>
          <w:p w14:paraId="7E58C8D9" w14:textId="77777777" w:rsidR="00BF3E13" w:rsidRPr="00697D19" w:rsidRDefault="00BF3E13" w:rsidP="00BF3E13">
            <w:pPr>
              <w:spacing w:after="0" w:line="240" w:lineRule="auto"/>
              <w:rPr>
                <w:rFonts w:ascii="Calibri" w:eastAsia="Times New Roman" w:hAnsi="Calibri" w:cs="Calibri"/>
                <w:b/>
                <w:bCs/>
              </w:rPr>
            </w:pPr>
            <w:r w:rsidRPr="00697D19">
              <w:rPr>
                <w:rFonts w:ascii="Calibri" w:eastAsia="Times New Roman" w:hAnsi="Calibri" w:cs="Calibri"/>
                <w:b/>
                <w:bCs/>
              </w:rPr>
              <w:t>Spanish</w:t>
            </w:r>
          </w:p>
        </w:tc>
        <w:tc>
          <w:tcPr>
            <w:tcW w:w="1710" w:type="dxa"/>
            <w:noWrap/>
            <w:vAlign w:val="bottom"/>
            <w:hideMark/>
          </w:tcPr>
          <w:p w14:paraId="2F1E18F4" w14:textId="77777777" w:rsidR="00BF3E13" w:rsidRPr="00697D19" w:rsidRDefault="00BF3E13" w:rsidP="00BF3E13">
            <w:pPr>
              <w:spacing w:after="0" w:line="240" w:lineRule="auto"/>
              <w:jc w:val="right"/>
              <w:rPr>
                <w:rFonts w:ascii="Calibri" w:eastAsia="Times New Roman" w:hAnsi="Calibri" w:cs="Calibri"/>
                <w:b/>
                <w:bCs/>
              </w:rPr>
            </w:pPr>
            <w:r w:rsidRPr="00697D19">
              <w:rPr>
                <w:rFonts w:ascii="Calibri" w:eastAsia="Times New Roman" w:hAnsi="Calibri" w:cs="Calibri"/>
                <w:b/>
                <w:bCs/>
              </w:rPr>
              <w:t>32</w:t>
            </w:r>
          </w:p>
        </w:tc>
        <w:tc>
          <w:tcPr>
            <w:tcW w:w="1980" w:type="dxa"/>
            <w:noWrap/>
            <w:vAlign w:val="bottom"/>
            <w:hideMark/>
          </w:tcPr>
          <w:p w14:paraId="30B026AD" w14:textId="77777777" w:rsidR="00BF3E13" w:rsidRPr="00697D19" w:rsidRDefault="00BF3E13" w:rsidP="00BF3E13">
            <w:pPr>
              <w:spacing w:after="0" w:line="240" w:lineRule="auto"/>
              <w:jc w:val="right"/>
              <w:rPr>
                <w:rFonts w:ascii="Calibri" w:eastAsia="Times New Roman" w:hAnsi="Calibri" w:cs="Calibri"/>
                <w:b/>
                <w:bCs/>
              </w:rPr>
            </w:pPr>
            <w:r w:rsidRPr="00697D19">
              <w:rPr>
                <w:rFonts w:ascii="Calibri" w:eastAsia="Times New Roman" w:hAnsi="Calibri" w:cs="Calibri"/>
                <w:b/>
                <w:bCs/>
              </w:rPr>
              <w:t>16%</w:t>
            </w:r>
          </w:p>
        </w:tc>
      </w:tr>
      <w:tr w:rsidR="00BF3E13" w:rsidRPr="00BF3E13" w14:paraId="38FD4187" w14:textId="77777777" w:rsidTr="006E0CE0">
        <w:trPr>
          <w:cantSplit/>
          <w:trHeight w:val="290"/>
        </w:trPr>
        <w:tc>
          <w:tcPr>
            <w:tcW w:w="2880" w:type="dxa"/>
            <w:noWrap/>
            <w:vAlign w:val="bottom"/>
            <w:hideMark/>
          </w:tcPr>
          <w:p w14:paraId="59C09853" w14:textId="77777777" w:rsidR="00BF3E13" w:rsidRPr="00697D19" w:rsidRDefault="00BF3E13" w:rsidP="00BF3E13">
            <w:pPr>
              <w:spacing w:after="0" w:line="240" w:lineRule="auto"/>
              <w:rPr>
                <w:rFonts w:ascii="Calibri" w:eastAsia="Times New Roman" w:hAnsi="Calibri" w:cs="Calibri"/>
                <w:b/>
                <w:bCs/>
              </w:rPr>
            </w:pPr>
            <w:r w:rsidRPr="00697D19">
              <w:rPr>
                <w:rFonts w:ascii="Calibri" w:eastAsia="Times New Roman" w:hAnsi="Calibri" w:cs="Calibri"/>
                <w:b/>
                <w:bCs/>
              </w:rPr>
              <w:t>Chinese Mandarin</w:t>
            </w:r>
          </w:p>
        </w:tc>
        <w:tc>
          <w:tcPr>
            <w:tcW w:w="1710" w:type="dxa"/>
            <w:noWrap/>
            <w:vAlign w:val="bottom"/>
            <w:hideMark/>
          </w:tcPr>
          <w:p w14:paraId="4CA08B6F" w14:textId="77777777" w:rsidR="00BF3E13" w:rsidRPr="00697D19" w:rsidRDefault="00BF3E13" w:rsidP="00BF3E13">
            <w:pPr>
              <w:spacing w:after="0" w:line="240" w:lineRule="auto"/>
              <w:jc w:val="right"/>
              <w:rPr>
                <w:rFonts w:ascii="Calibri" w:eastAsia="Times New Roman" w:hAnsi="Calibri" w:cs="Calibri"/>
                <w:b/>
                <w:bCs/>
              </w:rPr>
            </w:pPr>
            <w:r w:rsidRPr="00697D19">
              <w:rPr>
                <w:rFonts w:ascii="Calibri" w:eastAsia="Times New Roman" w:hAnsi="Calibri" w:cs="Calibri"/>
                <w:b/>
                <w:bCs/>
              </w:rPr>
              <w:t>28</w:t>
            </w:r>
          </w:p>
        </w:tc>
        <w:tc>
          <w:tcPr>
            <w:tcW w:w="1980" w:type="dxa"/>
            <w:noWrap/>
            <w:vAlign w:val="bottom"/>
            <w:hideMark/>
          </w:tcPr>
          <w:p w14:paraId="4611EEA6" w14:textId="77777777" w:rsidR="00BF3E13" w:rsidRPr="00697D19" w:rsidRDefault="00BF3E13" w:rsidP="00BF3E13">
            <w:pPr>
              <w:spacing w:after="0" w:line="240" w:lineRule="auto"/>
              <w:jc w:val="right"/>
              <w:rPr>
                <w:rFonts w:ascii="Calibri" w:eastAsia="Times New Roman" w:hAnsi="Calibri" w:cs="Calibri"/>
                <w:b/>
                <w:bCs/>
              </w:rPr>
            </w:pPr>
            <w:r w:rsidRPr="00697D19">
              <w:rPr>
                <w:rFonts w:ascii="Calibri" w:eastAsia="Times New Roman" w:hAnsi="Calibri" w:cs="Calibri"/>
                <w:b/>
                <w:bCs/>
              </w:rPr>
              <w:t>14%</w:t>
            </w:r>
          </w:p>
        </w:tc>
      </w:tr>
      <w:tr w:rsidR="00BF3E13" w:rsidRPr="00BF3E13" w14:paraId="164AAD84" w14:textId="77777777" w:rsidTr="006E0CE0">
        <w:trPr>
          <w:cantSplit/>
          <w:trHeight w:val="290"/>
        </w:trPr>
        <w:tc>
          <w:tcPr>
            <w:tcW w:w="2880" w:type="dxa"/>
            <w:noWrap/>
            <w:vAlign w:val="bottom"/>
            <w:hideMark/>
          </w:tcPr>
          <w:p w14:paraId="66C7AF1C" w14:textId="77777777" w:rsidR="00BF3E13" w:rsidRPr="00697D19" w:rsidRDefault="00BF3E13" w:rsidP="00BF3E13">
            <w:pPr>
              <w:spacing w:after="0" w:line="240" w:lineRule="auto"/>
              <w:rPr>
                <w:rFonts w:ascii="Calibri" w:eastAsia="Times New Roman" w:hAnsi="Calibri" w:cs="Calibri"/>
                <w:b/>
                <w:bCs/>
              </w:rPr>
            </w:pPr>
            <w:r w:rsidRPr="00697D19">
              <w:rPr>
                <w:rFonts w:ascii="Calibri" w:eastAsia="Times New Roman" w:hAnsi="Calibri" w:cs="Calibri"/>
                <w:b/>
                <w:bCs/>
              </w:rPr>
              <w:t>Haitian Creole</w:t>
            </w:r>
          </w:p>
        </w:tc>
        <w:tc>
          <w:tcPr>
            <w:tcW w:w="1710" w:type="dxa"/>
            <w:noWrap/>
            <w:vAlign w:val="bottom"/>
            <w:hideMark/>
          </w:tcPr>
          <w:p w14:paraId="1595A190" w14:textId="77777777" w:rsidR="00BF3E13" w:rsidRPr="00697D19" w:rsidRDefault="00BF3E13" w:rsidP="00BF3E13">
            <w:pPr>
              <w:spacing w:after="0" w:line="240" w:lineRule="auto"/>
              <w:jc w:val="right"/>
              <w:rPr>
                <w:rFonts w:ascii="Calibri" w:eastAsia="Times New Roman" w:hAnsi="Calibri" w:cs="Calibri"/>
                <w:b/>
                <w:bCs/>
              </w:rPr>
            </w:pPr>
            <w:r w:rsidRPr="00697D19">
              <w:rPr>
                <w:rFonts w:ascii="Calibri" w:eastAsia="Times New Roman" w:hAnsi="Calibri" w:cs="Calibri"/>
                <w:b/>
                <w:bCs/>
              </w:rPr>
              <w:t>17</w:t>
            </w:r>
          </w:p>
        </w:tc>
        <w:tc>
          <w:tcPr>
            <w:tcW w:w="1980" w:type="dxa"/>
            <w:noWrap/>
            <w:vAlign w:val="bottom"/>
            <w:hideMark/>
          </w:tcPr>
          <w:p w14:paraId="2863C35E" w14:textId="77777777" w:rsidR="00BF3E13" w:rsidRPr="00697D19" w:rsidRDefault="00BF3E13" w:rsidP="00BF3E13">
            <w:pPr>
              <w:spacing w:after="0" w:line="240" w:lineRule="auto"/>
              <w:jc w:val="right"/>
              <w:rPr>
                <w:rFonts w:ascii="Calibri" w:eastAsia="Times New Roman" w:hAnsi="Calibri" w:cs="Calibri"/>
                <w:b/>
                <w:bCs/>
              </w:rPr>
            </w:pPr>
            <w:r w:rsidRPr="00697D19">
              <w:rPr>
                <w:rFonts w:ascii="Calibri" w:eastAsia="Times New Roman" w:hAnsi="Calibri" w:cs="Calibri"/>
                <w:b/>
                <w:bCs/>
              </w:rPr>
              <w:t>9%</w:t>
            </w:r>
          </w:p>
        </w:tc>
      </w:tr>
      <w:tr w:rsidR="00BF3E13" w:rsidRPr="00BF3E13" w14:paraId="31F284CB" w14:textId="77777777" w:rsidTr="006E0CE0">
        <w:trPr>
          <w:cantSplit/>
          <w:trHeight w:val="290"/>
        </w:trPr>
        <w:tc>
          <w:tcPr>
            <w:tcW w:w="2880" w:type="dxa"/>
            <w:noWrap/>
            <w:vAlign w:val="bottom"/>
            <w:hideMark/>
          </w:tcPr>
          <w:p w14:paraId="49EF558D" w14:textId="77777777" w:rsidR="00BF3E13" w:rsidRPr="00697D19" w:rsidRDefault="00BF3E13" w:rsidP="00BF3E13">
            <w:pPr>
              <w:spacing w:after="0" w:line="240" w:lineRule="auto"/>
              <w:rPr>
                <w:rFonts w:ascii="Calibri" w:eastAsia="Times New Roman" w:hAnsi="Calibri" w:cs="Calibri"/>
                <w:b/>
                <w:bCs/>
              </w:rPr>
            </w:pPr>
            <w:r w:rsidRPr="00697D19">
              <w:rPr>
                <w:rFonts w:ascii="Calibri" w:eastAsia="Times New Roman" w:hAnsi="Calibri" w:cs="Calibri"/>
                <w:b/>
                <w:bCs/>
              </w:rPr>
              <w:t>Korean</w:t>
            </w:r>
          </w:p>
        </w:tc>
        <w:tc>
          <w:tcPr>
            <w:tcW w:w="1710" w:type="dxa"/>
            <w:noWrap/>
            <w:vAlign w:val="bottom"/>
            <w:hideMark/>
          </w:tcPr>
          <w:p w14:paraId="7DB1EFB0" w14:textId="77777777" w:rsidR="00BF3E13" w:rsidRPr="00697D19" w:rsidRDefault="00BF3E13" w:rsidP="00BF3E13">
            <w:pPr>
              <w:spacing w:after="0" w:line="240" w:lineRule="auto"/>
              <w:jc w:val="right"/>
              <w:rPr>
                <w:rFonts w:ascii="Calibri" w:eastAsia="Times New Roman" w:hAnsi="Calibri" w:cs="Calibri"/>
                <w:b/>
                <w:bCs/>
              </w:rPr>
            </w:pPr>
            <w:r w:rsidRPr="00697D19">
              <w:rPr>
                <w:rFonts w:ascii="Calibri" w:eastAsia="Times New Roman" w:hAnsi="Calibri" w:cs="Calibri"/>
                <w:b/>
                <w:bCs/>
              </w:rPr>
              <w:t>14</w:t>
            </w:r>
          </w:p>
        </w:tc>
        <w:tc>
          <w:tcPr>
            <w:tcW w:w="1980" w:type="dxa"/>
            <w:noWrap/>
            <w:vAlign w:val="bottom"/>
            <w:hideMark/>
          </w:tcPr>
          <w:p w14:paraId="2E45419A" w14:textId="77777777" w:rsidR="00BF3E13" w:rsidRPr="00697D19" w:rsidRDefault="00BF3E13" w:rsidP="00BF3E13">
            <w:pPr>
              <w:spacing w:after="0" w:line="240" w:lineRule="auto"/>
              <w:jc w:val="right"/>
              <w:rPr>
                <w:rFonts w:ascii="Calibri" w:eastAsia="Times New Roman" w:hAnsi="Calibri" w:cs="Calibri"/>
                <w:b/>
                <w:bCs/>
              </w:rPr>
            </w:pPr>
            <w:r w:rsidRPr="00697D19">
              <w:rPr>
                <w:rFonts w:ascii="Calibri" w:eastAsia="Times New Roman" w:hAnsi="Calibri" w:cs="Calibri"/>
                <w:b/>
                <w:bCs/>
              </w:rPr>
              <w:t>7%</w:t>
            </w:r>
          </w:p>
        </w:tc>
      </w:tr>
    </w:tbl>
    <w:p w14:paraId="13CD7631" w14:textId="77777777" w:rsidR="00BF3E13" w:rsidRPr="0066031F" w:rsidRDefault="00BF3E13" w:rsidP="00BF3E13">
      <w:pPr>
        <w:ind w:left="720"/>
        <w:rPr>
          <w:rFonts w:cstheme="minorHAnsi"/>
          <w:highlight w:val="yellow"/>
        </w:rPr>
      </w:pPr>
    </w:p>
    <w:p w14:paraId="12C608A9" w14:textId="77404956" w:rsidR="00C13C66" w:rsidRPr="002A0023" w:rsidRDefault="00C13C66" w:rsidP="006E0CE0">
      <w:pPr>
        <w:pStyle w:val="Heading3"/>
      </w:pPr>
      <w:r w:rsidRPr="002A0023">
        <w:t xml:space="preserve">Describe </w:t>
      </w:r>
      <w:r w:rsidR="00CC6C79" w:rsidRPr="002A0023">
        <w:t>Winchester Hospital’s</w:t>
      </w:r>
      <w:r w:rsidRPr="002A0023">
        <w:t xml:space="preserve"> established process</w:t>
      </w:r>
      <w:r w:rsidR="002E258F" w:rsidRPr="002A0023">
        <w:t>es</w:t>
      </w:r>
      <w:r w:rsidRPr="002A0023">
        <w:t xml:space="preserve"> to ensure that interpreters have specialized training in endoscopy-related terms and are able to operate in such a specialized setting.  </w:t>
      </w:r>
    </w:p>
    <w:p w14:paraId="19523EF9" w14:textId="172DC9C2" w:rsidR="002A0023" w:rsidRPr="00F13686" w:rsidRDefault="002A0023" w:rsidP="002A0023">
      <w:pPr>
        <w:ind w:left="720"/>
        <w:jc w:val="both"/>
        <w:rPr>
          <w:rFonts w:cstheme="minorHAnsi"/>
        </w:rPr>
      </w:pPr>
      <w:r w:rsidRPr="002A0023">
        <w:rPr>
          <w:rFonts w:cstheme="minorHAnsi"/>
          <w:b/>
          <w:bCs/>
        </w:rPr>
        <w:t xml:space="preserve">Winchester Hospital </w:t>
      </w:r>
      <w:r>
        <w:rPr>
          <w:rFonts w:cstheme="minorHAnsi"/>
          <w:b/>
          <w:bCs/>
        </w:rPr>
        <w:t xml:space="preserve">only </w:t>
      </w:r>
      <w:r w:rsidRPr="002A0023">
        <w:rPr>
          <w:rFonts w:cstheme="minorHAnsi"/>
          <w:b/>
          <w:bCs/>
        </w:rPr>
        <w:t xml:space="preserve">contracts with vendors who employ certified interpreters that </w:t>
      </w:r>
      <w:r w:rsidRPr="00F13686">
        <w:rPr>
          <w:rFonts w:cstheme="minorHAnsi"/>
          <w:b/>
          <w:bCs/>
        </w:rPr>
        <w:t>undergo initial and regular training to ensure quality of interpretation in various healthcare settings, including surgical services and procedures such as endoscopy. </w:t>
      </w:r>
    </w:p>
    <w:p w14:paraId="0B50B7B1" w14:textId="77777777" w:rsidR="00180BF6" w:rsidRDefault="00C13C66" w:rsidP="006E0CE0">
      <w:pPr>
        <w:pStyle w:val="Heading3"/>
      </w:pPr>
      <w:r w:rsidRPr="00F13686">
        <w:t xml:space="preserve">Describe </w:t>
      </w:r>
      <w:r w:rsidR="009E0085" w:rsidRPr="00F13686">
        <w:t>Winchester Hospital’s</w:t>
      </w:r>
      <w:r w:rsidRPr="00F13686">
        <w:t xml:space="preserve"> evidence-informed guideline</w:t>
      </w:r>
      <w:r w:rsidR="002E258F" w:rsidRPr="00F13686">
        <w:t>s</w:t>
      </w:r>
      <w:r w:rsidRPr="00F13686">
        <w:t xml:space="preserve"> for staff to choose the most effective and appropriate modality for language services at the point of care.</w:t>
      </w:r>
    </w:p>
    <w:p w14:paraId="04D9A31D" w14:textId="0F7046B5" w:rsidR="00C13C66" w:rsidRDefault="00180BF6" w:rsidP="00697D19">
      <w:pPr>
        <w:pStyle w:val="xmsolistparagraph"/>
        <w:jc w:val="both"/>
        <w:rPr>
          <w:rFonts w:asciiTheme="minorHAnsi" w:hAnsiTheme="minorHAnsi" w:cstheme="minorHAnsi"/>
          <w:b/>
          <w:bCs/>
          <w:sz w:val="22"/>
          <w:szCs w:val="22"/>
        </w:rPr>
      </w:pPr>
      <w:r w:rsidRPr="00180BF6">
        <w:rPr>
          <w:rFonts w:asciiTheme="minorHAnsi" w:hAnsiTheme="minorHAnsi" w:cstheme="minorHAnsi"/>
          <w:b/>
          <w:bCs/>
          <w:sz w:val="22"/>
          <w:szCs w:val="22"/>
        </w:rPr>
        <w:lastRenderedPageBreak/>
        <w:t xml:space="preserve">The Hospital offers all patients access to </w:t>
      </w:r>
      <w:r w:rsidR="00697D19">
        <w:rPr>
          <w:rFonts w:asciiTheme="minorHAnsi" w:hAnsiTheme="minorHAnsi" w:cstheme="minorHAnsi"/>
          <w:b/>
          <w:bCs/>
          <w:sz w:val="22"/>
          <w:szCs w:val="22"/>
        </w:rPr>
        <w:t>video remote interpreting (</w:t>
      </w:r>
      <w:r w:rsidRPr="00180BF6">
        <w:rPr>
          <w:rFonts w:asciiTheme="minorHAnsi" w:hAnsiTheme="minorHAnsi" w:cstheme="minorHAnsi"/>
          <w:b/>
          <w:bCs/>
          <w:sz w:val="22"/>
          <w:szCs w:val="22"/>
        </w:rPr>
        <w:t>VRI</w:t>
      </w:r>
      <w:r w:rsidR="00697D19">
        <w:rPr>
          <w:rFonts w:asciiTheme="minorHAnsi" w:hAnsiTheme="minorHAnsi" w:cstheme="minorHAnsi"/>
          <w:b/>
          <w:bCs/>
          <w:sz w:val="22"/>
          <w:szCs w:val="22"/>
        </w:rPr>
        <w:t>)</w:t>
      </w:r>
      <w:r w:rsidRPr="00180BF6">
        <w:rPr>
          <w:rFonts w:asciiTheme="minorHAnsi" w:hAnsiTheme="minorHAnsi" w:cstheme="minorHAnsi"/>
          <w:b/>
          <w:bCs/>
          <w:sz w:val="22"/>
          <w:szCs w:val="22"/>
        </w:rPr>
        <w:t xml:space="preserve"> which ensures timely access to accurate medical translation services. Coordination for patients requiring additional assistance is arranged prior to the patient’s procedure to ensure all services needed are available.</w:t>
      </w:r>
    </w:p>
    <w:p w14:paraId="4A2204D6" w14:textId="77777777" w:rsidR="00180BF6" w:rsidRPr="00180BF6" w:rsidRDefault="00180BF6" w:rsidP="00180BF6">
      <w:pPr>
        <w:pStyle w:val="xmsolistparagraph"/>
        <w:ind w:left="0"/>
        <w:rPr>
          <w:rFonts w:asciiTheme="minorHAnsi" w:hAnsiTheme="minorHAnsi" w:cstheme="minorHAnsi"/>
          <w:b/>
          <w:bCs/>
          <w:sz w:val="22"/>
          <w:szCs w:val="22"/>
        </w:rPr>
      </w:pPr>
    </w:p>
    <w:p w14:paraId="3E3F28CD" w14:textId="669F641C" w:rsidR="00B0518A" w:rsidRPr="00F13686" w:rsidRDefault="00C13C66" w:rsidP="00287725">
      <w:pPr>
        <w:pStyle w:val="Heading3"/>
      </w:pPr>
      <w:r w:rsidRPr="00F13686">
        <w:t xml:space="preserve">Describe </w:t>
      </w:r>
      <w:r w:rsidR="00005A4C" w:rsidRPr="00F13686">
        <w:t>Winchester Hospital’s</w:t>
      </w:r>
      <w:r w:rsidRPr="00F13686">
        <w:t xml:space="preserve"> current or planned adjustment in </w:t>
      </w:r>
      <w:r w:rsidR="002E258F" w:rsidRPr="00F13686">
        <w:t>their</w:t>
      </w:r>
      <w:r w:rsidRPr="00F13686">
        <w:t xml:space="preserve"> MIS program structure to ensure: </w:t>
      </w:r>
    </w:p>
    <w:p w14:paraId="491C07B8" w14:textId="2243ED51" w:rsidR="00B0518A" w:rsidRPr="00F13686" w:rsidRDefault="00C13C66" w:rsidP="00B0518A">
      <w:pPr>
        <w:numPr>
          <w:ilvl w:val="1"/>
          <w:numId w:val="31"/>
        </w:numPr>
        <w:spacing w:after="0"/>
        <w:rPr>
          <w:rFonts w:cstheme="minorHAnsi"/>
        </w:rPr>
      </w:pPr>
      <w:r w:rsidRPr="00F13686">
        <w:rPr>
          <w:rFonts w:cstheme="minorHAnsi"/>
        </w:rPr>
        <w:t>patient safety</w:t>
      </w:r>
      <w:r w:rsidR="00697D19">
        <w:rPr>
          <w:rFonts w:cstheme="minorHAnsi"/>
        </w:rPr>
        <w:t>,</w:t>
      </w:r>
    </w:p>
    <w:p w14:paraId="14AF8C16" w14:textId="04BCF1C8" w:rsidR="00B0518A" w:rsidRPr="00F13686" w:rsidRDefault="00C13C66" w:rsidP="00B0518A">
      <w:pPr>
        <w:numPr>
          <w:ilvl w:val="1"/>
          <w:numId w:val="31"/>
        </w:numPr>
        <w:spacing w:after="0"/>
        <w:rPr>
          <w:rFonts w:cstheme="minorHAnsi"/>
        </w:rPr>
      </w:pPr>
      <w:r w:rsidRPr="00F13686">
        <w:rPr>
          <w:rFonts w:cstheme="minorHAnsi"/>
        </w:rPr>
        <w:t>timely response and delivery of language services, including ASL, to increasing demands</w:t>
      </w:r>
      <w:r w:rsidR="00697D19">
        <w:rPr>
          <w:rFonts w:cstheme="minorHAnsi"/>
        </w:rPr>
        <w:t>,</w:t>
      </w:r>
    </w:p>
    <w:p w14:paraId="1FAB11B8" w14:textId="001DB9E3" w:rsidR="00B0518A" w:rsidRPr="00F13686" w:rsidRDefault="00C13C66" w:rsidP="00B0518A">
      <w:pPr>
        <w:numPr>
          <w:ilvl w:val="1"/>
          <w:numId w:val="31"/>
        </w:numPr>
        <w:spacing w:after="0"/>
        <w:rPr>
          <w:rFonts w:cstheme="minorHAnsi"/>
        </w:rPr>
      </w:pPr>
      <w:r w:rsidRPr="00F13686">
        <w:rPr>
          <w:rFonts w:cstheme="minorHAnsi"/>
        </w:rPr>
        <w:t>appropriate number of interpreters who are readily accessible when neede</w:t>
      </w:r>
      <w:r w:rsidR="00697D19">
        <w:rPr>
          <w:rFonts w:cstheme="minorHAnsi"/>
        </w:rPr>
        <w:t>d,</w:t>
      </w:r>
    </w:p>
    <w:p w14:paraId="4EB357A7" w14:textId="767684A3" w:rsidR="00B0518A" w:rsidRDefault="00C13C66" w:rsidP="00B0518A">
      <w:pPr>
        <w:numPr>
          <w:ilvl w:val="1"/>
          <w:numId w:val="31"/>
        </w:numPr>
        <w:spacing w:after="0"/>
        <w:rPr>
          <w:rFonts w:cstheme="minorHAnsi"/>
        </w:rPr>
      </w:pPr>
      <w:r w:rsidRPr="00F13686">
        <w:rPr>
          <w:rFonts w:cstheme="minorHAnsi"/>
        </w:rPr>
        <w:t>translated pre</w:t>
      </w:r>
      <w:r w:rsidRPr="00C13C66">
        <w:rPr>
          <w:rFonts w:cstheme="minorHAnsi"/>
        </w:rPr>
        <w:t>-and-post endoscopy documents for patients, including, but not limited to, pre and post procedural instructions</w:t>
      </w:r>
      <w:r w:rsidR="00697D19">
        <w:rPr>
          <w:rFonts w:cstheme="minorHAnsi"/>
        </w:rPr>
        <w:t>,</w:t>
      </w:r>
    </w:p>
    <w:p w14:paraId="5F0FFACB" w14:textId="02EF686F" w:rsidR="00B0518A" w:rsidRDefault="00C13C66" w:rsidP="00B0518A">
      <w:pPr>
        <w:numPr>
          <w:ilvl w:val="1"/>
          <w:numId w:val="31"/>
        </w:numPr>
        <w:spacing w:after="0"/>
        <w:rPr>
          <w:rFonts w:cstheme="minorHAnsi"/>
        </w:rPr>
      </w:pPr>
      <w:r w:rsidRPr="00C13C66">
        <w:rPr>
          <w:rFonts w:cstheme="minorHAnsi"/>
        </w:rPr>
        <w:t>guidance for selecting pre-and-post oral instructions;</w:t>
      </w:r>
      <w:r>
        <w:rPr>
          <w:rFonts w:cstheme="minorHAnsi"/>
        </w:rPr>
        <w:t xml:space="preserve"> </w:t>
      </w:r>
      <w:r w:rsidRPr="00C13C66">
        <w:rPr>
          <w:rFonts w:cstheme="minorHAnsi"/>
        </w:rPr>
        <w:t>translated informed consent document regarding procedure, anesthesia, and other relevant and legal information</w:t>
      </w:r>
      <w:r w:rsidR="00697D19">
        <w:rPr>
          <w:rFonts w:cstheme="minorHAnsi"/>
        </w:rPr>
        <w:t>,</w:t>
      </w:r>
      <w:r w:rsidRPr="00C13C66">
        <w:rPr>
          <w:rFonts w:cstheme="minorHAnsi"/>
        </w:rPr>
        <w:t xml:space="preserve"> </w:t>
      </w:r>
    </w:p>
    <w:p w14:paraId="68B2C627" w14:textId="0CE5984A" w:rsidR="00C13C66" w:rsidRDefault="00C13C66" w:rsidP="00697D19">
      <w:pPr>
        <w:numPr>
          <w:ilvl w:val="1"/>
          <w:numId w:val="31"/>
        </w:numPr>
        <w:spacing w:after="120" w:line="240" w:lineRule="auto"/>
        <w:rPr>
          <w:rFonts w:cstheme="minorHAnsi"/>
        </w:rPr>
      </w:pPr>
      <w:r w:rsidRPr="00F119F0">
        <w:rPr>
          <w:rFonts w:cstheme="minorHAnsi"/>
        </w:rPr>
        <w:t xml:space="preserve">and reasonable accommodation for patients with disabilities. </w:t>
      </w:r>
    </w:p>
    <w:p w14:paraId="42018000" w14:textId="5C4BDEBF" w:rsidR="00180BF6" w:rsidRPr="00697D19" w:rsidRDefault="00180BF6" w:rsidP="00697D19">
      <w:pPr>
        <w:pStyle w:val="ListParagraph"/>
        <w:jc w:val="both"/>
        <w:rPr>
          <w:b/>
          <w:bCs/>
        </w:rPr>
      </w:pPr>
      <w:r w:rsidRPr="00180BF6">
        <w:rPr>
          <w:b/>
          <w:bCs/>
        </w:rPr>
        <w:t xml:space="preserve">Winchester Hospital is committed to ensuring patients not only receive high-quality care but understand all communications relevant to their experience at the Center, including not only care at the facility but also instructions before and after their procedure. To that end, all patients are provided with the opportunity to receive interpreter services. As noted above, VRI is the primary method which allows the Center to maintain timely (less than 15 minutes) access for all patients. However, while VRI is the primary method of translation, it is not the only available option, and the Hospital is committed to ensuring it provides language services that are most appropriate for the patient on a case-by-case basis. </w:t>
      </w:r>
      <w:r>
        <w:rPr>
          <w:b/>
          <w:bCs/>
        </w:rPr>
        <w:t xml:space="preserve">All pre and post procedure instructions are translated by a medical interpreter as are consent forms required for anesthesia and treatment. When discharge instructions are printed in a language other than English, they are reviewed by an interpreter. </w:t>
      </w:r>
    </w:p>
    <w:p w14:paraId="126DAA06" w14:textId="078C4FB3" w:rsidR="00332060" w:rsidRPr="00F119F0" w:rsidRDefault="00EC45AB" w:rsidP="002B7A89">
      <w:pPr>
        <w:pStyle w:val="Heading2"/>
      </w:pPr>
      <w:r w:rsidRPr="00F119F0">
        <w:t>F</w:t>
      </w:r>
      <w:r w:rsidR="00332060" w:rsidRPr="00F119F0">
        <w:t>actor 1c: Care Coordination</w:t>
      </w:r>
    </w:p>
    <w:p w14:paraId="3F303541" w14:textId="32370EEF" w:rsidR="0066031F" w:rsidRPr="00F119F0" w:rsidRDefault="00FB3ED8" w:rsidP="002B7A89">
      <w:pPr>
        <w:pStyle w:val="Heading3"/>
      </w:pPr>
      <w:r w:rsidRPr="00F119F0">
        <w:t xml:space="preserve">Explain the process of patient record sharing, for </w:t>
      </w:r>
      <w:r w:rsidR="009E5232" w:rsidRPr="00F119F0">
        <w:t xml:space="preserve">the Center’s </w:t>
      </w:r>
      <w:r w:rsidRPr="00F119F0">
        <w:t>patients</w:t>
      </w:r>
      <w:r w:rsidR="009E5232" w:rsidRPr="00F119F0">
        <w:t xml:space="preserve"> that </w:t>
      </w:r>
      <w:r w:rsidR="0054284F" w:rsidRPr="00F119F0">
        <w:t xml:space="preserve">are </w:t>
      </w:r>
      <w:r w:rsidR="00926EBB" w:rsidRPr="00F119F0">
        <w:t>not part</w:t>
      </w:r>
      <w:r w:rsidRPr="00F119F0">
        <w:t xml:space="preserve"> of the BILH system. </w:t>
      </w:r>
    </w:p>
    <w:p w14:paraId="2616F483" w14:textId="710104D6" w:rsidR="003671CE" w:rsidRPr="008D4D4A" w:rsidRDefault="008D4D4A" w:rsidP="008D4D4A">
      <w:pPr>
        <w:pStyle w:val="ListParagraph"/>
        <w:spacing w:after="120" w:line="240" w:lineRule="auto"/>
        <w:contextualSpacing w:val="0"/>
        <w:jc w:val="both"/>
        <w:rPr>
          <w:rFonts w:cstheme="minorHAnsi"/>
          <w:b/>
          <w:bCs/>
        </w:rPr>
      </w:pPr>
      <w:r w:rsidRPr="00F119F0">
        <w:rPr>
          <w:rFonts w:cstheme="minorHAnsi"/>
          <w:b/>
          <w:bCs/>
        </w:rPr>
        <w:t xml:space="preserve">As a point of clarification, all patients at the Center are treated by a </w:t>
      </w:r>
      <w:r w:rsidR="00655EC8">
        <w:rPr>
          <w:rFonts w:cstheme="minorHAnsi"/>
          <w:b/>
          <w:bCs/>
        </w:rPr>
        <w:t xml:space="preserve">GI </w:t>
      </w:r>
      <w:r w:rsidRPr="00F119F0">
        <w:rPr>
          <w:rFonts w:cstheme="minorHAnsi"/>
          <w:b/>
          <w:bCs/>
        </w:rPr>
        <w:t xml:space="preserve">provider with whom they have an established relationship with prior to their endoscopy procedure. Additionally, the </w:t>
      </w:r>
      <w:r w:rsidR="00655EC8">
        <w:rPr>
          <w:rFonts w:cstheme="minorHAnsi"/>
          <w:b/>
          <w:bCs/>
        </w:rPr>
        <w:t xml:space="preserve">GI </w:t>
      </w:r>
      <w:r w:rsidRPr="00F119F0">
        <w:rPr>
          <w:rFonts w:cstheme="minorHAnsi"/>
          <w:b/>
          <w:bCs/>
        </w:rPr>
        <w:t xml:space="preserve">provider is responsible for all documentation prior to, during, and after the procedure and similarly ensuring their patients receive access to follow up notes and test results. Therefore, while all providers who </w:t>
      </w:r>
      <w:r w:rsidR="00655EC8">
        <w:rPr>
          <w:rFonts w:cstheme="minorHAnsi"/>
          <w:b/>
          <w:bCs/>
        </w:rPr>
        <w:t>operate</w:t>
      </w:r>
      <w:r w:rsidRPr="00F119F0">
        <w:rPr>
          <w:rFonts w:cstheme="minorHAnsi"/>
          <w:b/>
          <w:bCs/>
        </w:rPr>
        <w:t xml:space="preserve"> at the Center are affiliated with BILH and </w:t>
      </w:r>
      <w:proofErr w:type="gramStart"/>
      <w:r w:rsidRPr="00F119F0">
        <w:rPr>
          <w:rFonts w:cstheme="minorHAnsi"/>
          <w:b/>
          <w:bCs/>
        </w:rPr>
        <w:t>are able to</w:t>
      </w:r>
      <w:proofErr w:type="gramEnd"/>
      <w:r w:rsidRPr="00F119F0">
        <w:rPr>
          <w:rFonts w:cstheme="minorHAnsi"/>
          <w:b/>
          <w:bCs/>
        </w:rPr>
        <w:t xml:space="preserve"> access </w:t>
      </w:r>
      <w:r w:rsidR="00655EC8">
        <w:rPr>
          <w:rFonts w:cstheme="minorHAnsi"/>
          <w:b/>
          <w:bCs/>
        </w:rPr>
        <w:t xml:space="preserve">its </w:t>
      </w:r>
      <w:r w:rsidRPr="00F119F0">
        <w:rPr>
          <w:rFonts w:cstheme="minorHAnsi"/>
          <w:b/>
          <w:bCs/>
        </w:rPr>
        <w:t>EMR, the Center itself does not play a role in record sharing.</w:t>
      </w:r>
      <w:r>
        <w:rPr>
          <w:rFonts w:cstheme="minorHAnsi"/>
          <w:b/>
          <w:bCs/>
        </w:rPr>
        <w:t xml:space="preserve"> </w:t>
      </w:r>
      <w:r w:rsidR="0066031F">
        <w:rPr>
          <w:rFonts w:cstheme="minorHAnsi"/>
          <w:b/>
          <w:bCs/>
        </w:rPr>
        <w:t xml:space="preserve"> </w:t>
      </w:r>
    </w:p>
    <w:p w14:paraId="53D9BA7F" w14:textId="614A7BE2" w:rsidR="00332060" w:rsidRPr="00332060" w:rsidRDefault="00332060" w:rsidP="00B365A6">
      <w:pPr>
        <w:pStyle w:val="Heading2"/>
      </w:pPr>
      <w:r w:rsidRPr="00332060">
        <w:t>Factor 1e: Community Engagement</w:t>
      </w:r>
    </w:p>
    <w:p w14:paraId="684BFE02" w14:textId="7E92AC2F" w:rsidR="008C7624" w:rsidRPr="0066031F" w:rsidRDefault="00513919" w:rsidP="00B365A6">
      <w:pPr>
        <w:pStyle w:val="Heading3"/>
        <w:rPr>
          <w:b/>
          <w:bCs/>
        </w:rPr>
      </w:pPr>
      <w:r w:rsidRPr="00513919">
        <w:t xml:space="preserve">Provide any materials related to the Applicant’s community engagement efforts. </w:t>
      </w:r>
    </w:p>
    <w:p w14:paraId="5EA81D85" w14:textId="347F4D8D" w:rsidR="00513919" w:rsidRPr="008D4D4A" w:rsidRDefault="0066031F" w:rsidP="008D4D4A">
      <w:pPr>
        <w:pStyle w:val="ListParagraph"/>
        <w:spacing w:after="120" w:line="240" w:lineRule="auto"/>
        <w:contextualSpacing w:val="0"/>
        <w:rPr>
          <w:rFonts w:cstheme="minorHAnsi"/>
          <w:b/>
          <w:bCs/>
        </w:rPr>
      </w:pPr>
      <w:r>
        <w:rPr>
          <w:rFonts w:cstheme="minorHAnsi"/>
          <w:b/>
          <w:bCs/>
        </w:rPr>
        <w:t xml:space="preserve">See Attachment B. </w:t>
      </w:r>
    </w:p>
    <w:p w14:paraId="5302ABD9" w14:textId="0D2063E0" w:rsidR="00332060" w:rsidRDefault="00332060" w:rsidP="0004680A">
      <w:pPr>
        <w:pStyle w:val="Heading2"/>
      </w:pPr>
      <w:r w:rsidRPr="00332060">
        <w:t xml:space="preserve"> </w:t>
      </w:r>
      <w:r w:rsidR="00926826">
        <w:t>Factor 5: Relative Merit</w:t>
      </w:r>
    </w:p>
    <w:p w14:paraId="3F35A305" w14:textId="59A9E35E" w:rsidR="00926826" w:rsidRDefault="00926826" w:rsidP="0004680A">
      <w:pPr>
        <w:pStyle w:val="Heading3"/>
      </w:pPr>
      <w:r w:rsidRPr="00926826">
        <w:t xml:space="preserve">Given that the Proposed Project is intended to address long wait times for endoscopy services </w:t>
      </w:r>
      <w:r w:rsidR="0054284F">
        <w:t xml:space="preserve">at the Center and </w:t>
      </w:r>
      <w:r w:rsidRPr="00926826">
        <w:t xml:space="preserve">across the BILH system (pg.26), how did the Applicant determine that expanding access </w:t>
      </w:r>
      <w:r w:rsidR="001603F3">
        <w:t xml:space="preserve">to endoscopy services </w:t>
      </w:r>
      <w:r w:rsidRPr="00926826">
        <w:t xml:space="preserve">at the Center (as opposed to another facility in the BILH system </w:t>
      </w:r>
      <w:r w:rsidRPr="00926826">
        <w:lastRenderedPageBreak/>
        <w:t xml:space="preserve">that provides </w:t>
      </w:r>
      <w:r w:rsidR="00DE5D46">
        <w:t xml:space="preserve">outpatient </w:t>
      </w:r>
      <w:r w:rsidRPr="00926826">
        <w:t xml:space="preserve">endoscopy </w:t>
      </w:r>
      <w:r w:rsidR="00DE5D46">
        <w:t>procedures</w:t>
      </w:r>
      <w:r w:rsidRPr="00926826">
        <w:t xml:space="preserve">) is the best </w:t>
      </w:r>
      <w:r w:rsidR="001603F3">
        <w:t>option</w:t>
      </w:r>
      <w:r w:rsidRPr="00926826">
        <w:t xml:space="preserve"> for addressing</w:t>
      </w:r>
      <w:r w:rsidR="0054284F">
        <w:t xml:space="preserve"> the Center’s and</w:t>
      </w:r>
      <w:r w:rsidRPr="00926826">
        <w:t xml:space="preserve"> </w:t>
      </w:r>
      <w:r w:rsidR="00A60EC2">
        <w:t>t</w:t>
      </w:r>
      <w:r w:rsidR="000367CC">
        <w:t xml:space="preserve">he </w:t>
      </w:r>
      <w:r w:rsidRPr="00926826">
        <w:t>BILH system’</w:t>
      </w:r>
      <w:r w:rsidR="0054284F">
        <w:t xml:space="preserve">s </w:t>
      </w:r>
      <w:r w:rsidRPr="00926826">
        <w:t>need for endoscopy services at this time</w:t>
      </w:r>
      <w:r w:rsidR="008B64BA">
        <w:t>?</w:t>
      </w:r>
    </w:p>
    <w:p w14:paraId="1F366B0A" w14:textId="1D780D76" w:rsidR="0066031F" w:rsidRPr="0066031F" w:rsidRDefault="0066031F" w:rsidP="0066031F">
      <w:pPr>
        <w:pStyle w:val="ListParagraph"/>
        <w:spacing w:line="240" w:lineRule="auto"/>
        <w:contextualSpacing w:val="0"/>
        <w:jc w:val="both"/>
        <w:rPr>
          <w:b/>
          <w:bCs/>
        </w:rPr>
      </w:pPr>
      <w:r w:rsidRPr="0066031F">
        <w:rPr>
          <w:b/>
          <w:bCs/>
        </w:rPr>
        <w:t xml:space="preserve">BILH looked at </w:t>
      </w:r>
      <w:r w:rsidR="00655EC8" w:rsidRPr="0066031F">
        <w:rPr>
          <w:b/>
          <w:bCs/>
        </w:rPr>
        <w:t>several</w:t>
      </w:r>
      <w:r w:rsidRPr="0066031F">
        <w:rPr>
          <w:b/>
          <w:bCs/>
        </w:rPr>
        <w:t xml:space="preserve"> factors when assessing the need to expand outpatient endoscopy capacity.  The Center is an existing, highly functioning outpatient center.  The Hospital has improved its operations at the Center over the years to take on the incremental volume created by demand for screening colonoscopy.  Its scheduling blocks are utilized efficiently, but cannot fully meet the needs of the region, including patients at Lahey and BIDMC, as seen by the data shared in this response.  </w:t>
      </w:r>
    </w:p>
    <w:p w14:paraId="54A611AB" w14:textId="40C9E0C1" w:rsidR="0066031F" w:rsidRPr="0066031F" w:rsidRDefault="0066031F" w:rsidP="0066031F">
      <w:pPr>
        <w:pStyle w:val="ListParagraph"/>
        <w:spacing w:line="240" w:lineRule="auto"/>
        <w:contextualSpacing w:val="0"/>
        <w:jc w:val="both"/>
        <w:rPr>
          <w:b/>
          <w:bCs/>
        </w:rPr>
      </w:pPr>
      <w:r w:rsidRPr="0066031F">
        <w:rPr>
          <w:b/>
          <w:bCs/>
        </w:rPr>
        <w:t xml:space="preserve">In addition to running efficiently, the Center has the physical space to expand </w:t>
      </w:r>
      <w:r w:rsidR="00655EC8">
        <w:rPr>
          <w:b/>
          <w:bCs/>
        </w:rPr>
        <w:t xml:space="preserve">in a </w:t>
      </w:r>
      <w:r w:rsidR="00697D19">
        <w:rPr>
          <w:b/>
          <w:bCs/>
        </w:rPr>
        <w:t>cost-effective</w:t>
      </w:r>
      <w:r w:rsidR="00655EC8">
        <w:rPr>
          <w:b/>
          <w:bCs/>
        </w:rPr>
        <w:t xml:space="preserve"> manner </w:t>
      </w:r>
      <w:r w:rsidRPr="0066031F">
        <w:rPr>
          <w:b/>
          <w:bCs/>
        </w:rPr>
        <w:t>without significantly disrupting care. Moreover, it’s a geographically convenient option for Lahey Burling</w:t>
      </w:r>
      <w:r w:rsidR="00655EC8">
        <w:rPr>
          <w:b/>
          <w:bCs/>
        </w:rPr>
        <w:t>ton</w:t>
      </w:r>
      <w:r w:rsidRPr="0066031F">
        <w:rPr>
          <w:b/>
          <w:bCs/>
        </w:rPr>
        <w:t xml:space="preserve">, Peabody, and Arlington patients, as well as patients </w:t>
      </w:r>
      <w:r w:rsidR="00655EC8">
        <w:rPr>
          <w:b/>
          <w:bCs/>
        </w:rPr>
        <w:t>of</w:t>
      </w:r>
      <w:r w:rsidRPr="0066031F">
        <w:rPr>
          <w:b/>
          <w:bCs/>
        </w:rPr>
        <w:t xml:space="preserve"> BIDMC GI and Mount Auburn.  Notably, the Lahey and Mount Auburn locations have very long wait times and limited expansion options within their existing footprints, further supporting the decision to expand capacity at the Center. </w:t>
      </w:r>
    </w:p>
    <w:p w14:paraId="616F67CE" w14:textId="77777777" w:rsidR="0066031F" w:rsidRPr="00926826" w:rsidRDefault="0066031F" w:rsidP="0066031F">
      <w:pPr>
        <w:pStyle w:val="ListParagraph"/>
        <w:rPr>
          <w:rFonts w:cstheme="minorHAnsi"/>
        </w:rPr>
      </w:pPr>
    </w:p>
    <w:p w14:paraId="6626DCA9" w14:textId="4C73632B" w:rsidR="00926826" w:rsidRPr="00926826" w:rsidRDefault="00926826" w:rsidP="00926826">
      <w:pPr>
        <w:pStyle w:val="ListParagraph"/>
        <w:rPr>
          <w:rFonts w:cstheme="minorHAnsi"/>
          <w:b/>
          <w:bCs/>
        </w:rPr>
      </w:pPr>
    </w:p>
    <w:sectPr w:rsidR="00926826" w:rsidRPr="00926826" w:rsidSect="00C04577">
      <w:headerReference w:type="even" r:id="rId8"/>
      <w:headerReference w:type="default" r:id="rId9"/>
      <w:footerReference w:type="even" r:id="rId10"/>
      <w:footerReference w:type="default" r:id="rId11"/>
      <w:headerReference w:type="first" r:id="rId12"/>
      <w:footerReference w:type="first" r:id="rId13"/>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D37D7" w14:textId="77777777" w:rsidR="00B3101E" w:rsidRDefault="00B3101E" w:rsidP="00E45D1C">
      <w:pPr>
        <w:spacing w:after="0" w:line="240" w:lineRule="auto"/>
      </w:pPr>
      <w:r>
        <w:separator/>
      </w:r>
    </w:p>
  </w:endnote>
  <w:endnote w:type="continuationSeparator" w:id="0">
    <w:p w14:paraId="1A618224" w14:textId="77777777" w:rsidR="00B3101E" w:rsidRDefault="00B3101E" w:rsidP="00E45D1C">
      <w:pPr>
        <w:spacing w:after="0" w:line="240" w:lineRule="auto"/>
      </w:pPr>
      <w:r>
        <w:continuationSeparator/>
      </w:r>
    </w:p>
  </w:endnote>
  <w:endnote w:type="continuationNotice" w:id="1">
    <w:p w14:paraId="560C725F" w14:textId="77777777" w:rsidR="00B3101E" w:rsidRDefault="00B310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B7001" w14:textId="77777777" w:rsidR="0019666D" w:rsidRDefault="001966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3464395"/>
      <w:docPartObj>
        <w:docPartGallery w:val="Page Numbers (Bottom of Page)"/>
        <w:docPartUnique/>
      </w:docPartObj>
    </w:sdtPr>
    <w:sdtEndPr>
      <w:rPr>
        <w:noProof/>
      </w:rPr>
    </w:sdtEndPr>
    <w:sdtContent>
      <w:p w14:paraId="4C41571C" w14:textId="7E3E47DF" w:rsidR="005E5080" w:rsidRDefault="005E508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8584798" w14:textId="77777777" w:rsidR="005E5080" w:rsidRDefault="005E50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1CDEA" w14:textId="77777777" w:rsidR="0019666D" w:rsidRDefault="001966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A0DBE" w14:textId="77777777" w:rsidR="00B3101E" w:rsidRDefault="00B3101E" w:rsidP="00E45D1C">
      <w:pPr>
        <w:spacing w:after="0" w:line="240" w:lineRule="auto"/>
      </w:pPr>
      <w:r>
        <w:separator/>
      </w:r>
    </w:p>
  </w:footnote>
  <w:footnote w:type="continuationSeparator" w:id="0">
    <w:p w14:paraId="4DF1E26E" w14:textId="77777777" w:rsidR="00B3101E" w:rsidRDefault="00B3101E" w:rsidP="00E45D1C">
      <w:pPr>
        <w:spacing w:after="0" w:line="240" w:lineRule="auto"/>
      </w:pPr>
      <w:r>
        <w:continuationSeparator/>
      </w:r>
    </w:p>
  </w:footnote>
  <w:footnote w:type="continuationNotice" w:id="1">
    <w:p w14:paraId="32BA6E37" w14:textId="77777777" w:rsidR="00B3101E" w:rsidRDefault="00B3101E">
      <w:pPr>
        <w:spacing w:after="0" w:line="240" w:lineRule="auto"/>
      </w:pPr>
    </w:p>
  </w:footnote>
  <w:footnote w:id="2">
    <w:p w14:paraId="564DEE2A" w14:textId="06CB5D8A" w:rsidR="00807DB0" w:rsidRDefault="00807DB0">
      <w:pPr>
        <w:pStyle w:val="FootnoteText"/>
      </w:pPr>
      <w:r>
        <w:rPr>
          <w:rStyle w:val="FootnoteReference"/>
        </w:rPr>
        <w:footnoteRef/>
      </w:r>
      <w:r>
        <w:t xml:space="preserve"> </w:t>
      </w:r>
      <w:r w:rsidR="00595FA7">
        <w:t xml:space="preserve">Format for payer mix should include </w:t>
      </w:r>
      <w:r w:rsidR="000B49FE">
        <w:t xml:space="preserve">Commercial, Medicare, Managed Medicare, Medicaid, and Managed Medicaid.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F4985" w14:textId="219650E4" w:rsidR="00101DAD" w:rsidRDefault="00000000">
    <w:pPr>
      <w:pStyle w:val="Header"/>
    </w:pPr>
    <w:r>
      <w:rPr>
        <w:noProof/>
      </w:rPr>
      <w:pict w14:anchorId="4C7929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1965E" w14:textId="1EAA0B01" w:rsidR="00856033" w:rsidRDefault="005C0C50" w:rsidP="00B371F2">
    <w:pPr>
      <w:pStyle w:val="Header"/>
      <w:jc w:val="center"/>
      <w:rPr>
        <w:b/>
        <w:bCs/>
        <w:sz w:val="28"/>
        <w:szCs w:val="28"/>
      </w:rPr>
    </w:pPr>
    <w:r>
      <w:rPr>
        <w:b/>
        <w:bCs/>
        <w:sz w:val="28"/>
        <w:szCs w:val="28"/>
      </w:rPr>
      <w:t>BILH Winchester Hospital</w:t>
    </w:r>
  </w:p>
  <w:p w14:paraId="4FD1865F" w14:textId="3F4C84CB" w:rsidR="005C0C50" w:rsidRPr="00092585" w:rsidRDefault="005C0C50" w:rsidP="00B371F2">
    <w:pPr>
      <w:pStyle w:val="Header"/>
      <w:jc w:val="center"/>
      <w:rPr>
        <w:b/>
        <w:bCs/>
        <w:sz w:val="28"/>
        <w:szCs w:val="28"/>
      </w:rPr>
    </w:pPr>
    <w:proofErr w:type="spellStart"/>
    <w:r>
      <w:rPr>
        <w:b/>
        <w:bCs/>
        <w:sz w:val="28"/>
        <w:szCs w:val="28"/>
      </w:rPr>
      <w:t>DoN</w:t>
    </w:r>
    <w:proofErr w:type="spellEnd"/>
    <w:r>
      <w:rPr>
        <w:b/>
        <w:bCs/>
        <w:sz w:val="28"/>
        <w:szCs w:val="28"/>
      </w:rPr>
      <w:t xml:space="preserve"> Application #BILH</w:t>
    </w:r>
    <w:r w:rsidR="00241771">
      <w:rPr>
        <w:b/>
        <w:bCs/>
        <w:sz w:val="28"/>
        <w:szCs w:val="28"/>
      </w:rPr>
      <w:t>25102211-AS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EC290" w14:textId="077B55C6" w:rsidR="00241771" w:rsidRDefault="002417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256C8"/>
    <w:multiLevelType w:val="hybridMultilevel"/>
    <w:tmpl w:val="532E87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7E24AF"/>
    <w:multiLevelType w:val="hybridMultilevel"/>
    <w:tmpl w:val="0B587142"/>
    <w:lvl w:ilvl="0" w:tplc="4B964EA2">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86210B"/>
    <w:multiLevelType w:val="hybridMultilevel"/>
    <w:tmpl w:val="D26631C4"/>
    <w:lvl w:ilvl="0" w:tplc="BA1A1214">
      <w:start w:val="1"/>
      <w:numFmt w:val="decimal"/>
      <w:pStyle w:val="Heading3"/>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3220A4"/>
    <w:multiLevelType w:val="hybridMultilevel"/>
    <w:tmpl w:val="270C5A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890564"/>
    <w:multiLevelType w:val="hybridMultilevel"/>
    <w:tmpl w:val="9454D19E"/>
    <w:lvl w:ilvl="0" w:tplc="4CA81EE2">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9D28E2"/>
    <w:multiLevelType w:val="hybridMultilevel"/>
    <w:tmpl w:val="AC9EB8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857954"/>
    <w:multiLevelType w:val="hybridMultilevel"/>
    <w:tmpl w:val="42F070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7D0C41"/>
    <w:multiLevelType w:val="hybridMultilevel"/>
    <w:tmpl w:val="8F1A7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216C56"/>
    <w:multiLevelType w:val="hybridMultilevel"/>
    <w:tmpl w:val="AC9EB80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3360CC8"/>
    <w:multiLevelType w:val="hybridMultilevel"/>
    <w:tmpl w:val="42F0706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83C30D3"/>
    <w:multiLevelType w:val="hybridMultilevel"/>
    <w:tmpl w:val="320A1C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835838"/>
    <w:multiLevelType w:val="hybridMultilevel"/>
    <w:tmpl w:val="01B4AA1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6080CD8"/>
    <w:multiLevelType w:val="hybridMultilevel"/>
    <w:tmpl w:val="90A44D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9E1607"/>
    <w:multiLevelType w:val="hybridMultilevel"/>
    <w:tmpl w:val="E8EC42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C31C8F"/>
    <w:multiLevelType w:val="hybridMultilevel"/>
    <w:tmpl w:val="391C5D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CA3199"/>
    <w:multiLevelType w:val="hybridMultilevel"/>
    <w:tmpl w:val="2A02E63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2E305D"/>
    <w:multiLevelType w:val="hybridMultilevel"/>
    <w:tmpl w:val="5F022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AC40B6"/>
    <w:multiLevelType w:val="hybridMultilevel"/>
    <w:tmpl w:val="0E8A0CF6"/>
    <w:lvl w:ilvl="0" w:tplc="4CA81EE2">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5600CB"/>
    <w:multiLevelType w:val="hybridMultilevel"/>
    <w:tmpl w:val="1878153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42976FC6"/>
    <w:multiLevelType w:val="hybridMultilevel"/>
    <w:tmpl w:val="A406F108"/>
    <w:lvl w:ilvl="0" w:tplc="952C2846">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C41DF8"/>
    <w:multiLevelType w:val="hybridMultilevel"/>
    <w:tmpl w:val="F932A00E"/>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83076BA"/>
    <w:multiLevelType w:val="multilevel"/>
    <w:tmpl w:val="3C9812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EBB7406"/>
    <w:multiLevelType w:val="hybridMultilevel"/>
    <w:tmpl w:val="F190D71C"/>
    <w:lvl w:ilvl="0" w:tplc="762261E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19B384F"/>
    <w:multiLevelType w:val="hybridMultilevel"/>
    <w:tmpl w:val="A98C0492"/>
    <w:lvl w:ilvl="0" w:tplc="FFFFFFFF">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47A778E"/>
    <w:multiLevelType w:val="hybridMultilevel"/>
    <w:tmpl w:val="2B5CD98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6F935E7"/>
    <w:multiLevelType w:val="hybridMultilevel"/>
    <w:tmpl w:val="7C16D8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F8658D"/>
    <w:multiLevelType w:val="hybridMultilevel"/>
    <w:tmpl w:val="F55EDB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1C4313"/>
    <w:multiLevelType w:val="hybridMultilevel"/>
    <w:tmpl w:val="E49E32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D4E1C04"/>
    <w:multiLevelType w:val="hybridMultilevel"/>
    <w:tmpl w:val="C0F4F38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F8E752A"/>
    <w:multiLevelType w:val="hybridMultilevel"/>
    <w:tmpl w:val="ED42AE84"/>
    <w:lvl w:ilvl="0" w:tplc="7C402712">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9A348E"/>
    <w:multiLevelType w:val="hybridMultilevel"/>
    <w:tmpl w:val="496C4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33040BB"/>
    <w:multiLevelType w:val="hybridMultilevel"/>
    <w:tmpl w:val="2B5CD98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66B2B48"/>
    <w:multiLevelType w:val="hybridMultilevel"/>
    <w:tmpl w:val="A406F108"/>
    <w:lvl w:ilvl="0" w:tplc="FFFFFFFF">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7251F02"/>
    <w:multiLevelType w:val="hybridMultilevel"/>
    <w:tmpl w:val="7C16D8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9AC7DEE"/>
    <w:multiLevelType w:val="hybridMultilevel"/>
    <w:tmpl w:val="CCAC8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F11E21"/>
    <w:multiLevelType w:val="hybridMultilevel"/>
    <w:tmpl w:val="8AEAC3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7CCE2FD2"/>
    <w:multiLevelType w:val="hybridMultilevel"/>
    <w:tmpl w:val="918644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037924746">
    <w:abstractNumId w:val="29"/>
  </w:num>
  <w:num w:numId="2" w16cid:durableId="449669609">
    <w:abstractNumId w:val="7"/>
  </w:num>
  <w:num w:numId="3" w16cid:durableId="1632975170">
    <w:abstractNumId w:val="27"/>
  </w:num>
  <w:num w:numId="4" w16cid:durableId="1183977095">
    <w:abstractNumId w:val="36"/>
  </w:num>
  <w:num w:numId="5" w16cid:durableId="1230916997">
    <w:abstractNumId w:val="30"/>
  </w:num>
  <w:num w:numId="6" w16cid:durableId="464589505">
    <w:abstractNumId w:val="33"/>
  </w:num>
  <w:num w:numId="7" w16cid:durableId="98215104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404245">
    <w:abstractNumId w:val="25"/>
  </w:num>
  <w:num w:numId="9" w16cid:durableId="1477533355">
    <w:abstractNumId w:val="3"/>
  </w:num>
  <w:num w:numId="10" w16cid:durableId="1828202636">
    <w:abstractNumId w:val="15"/>
  </w:num>
  <w:num w:numId="11" w16cid:durableId="1769345806">
    <w:abstractNumId w:val="1"/>
  </w:num>
  <w:num w:numId="12" w16cid:durableId="1426415847">
    <w:abstractNumId w:val="26"/>
  </w:num>
  <w:num w:numId="13" w16cid:durableId="1549880134">
    <w:abstractNumId w:val="17"/>
  </w:num>
  <w:num w:numId="14" w16cid:durableId="2131704504">
    <w:abstractNumId w:val="21"/>
  </w:num>
  <w:num w:numId="15" w16cid:durableId="1853495620">
    <w:abstractNumId w:val="4"/>
  </w:num>
  <w:num w:numId="16" w16cid:durableId="941954089">
    <w:abstractNumId w:val="19"/>
  </w:num>
  <w:num w:numId="17" w16cid:durableId="1650279753">
    <w:abstractNumId w:val="12"/>
  </w:num>
  <w:num w:numId="18" w16cid:durableId="1988584985">
    <w:abstractNumId w:val="23"/>
  </w:num>
  <w:num w:numId="19" w16cid:durableId="535700289">
    <w:abstractNumId w:val="32"/>
  </w:num>
  <w:num w:numId="20" w16cid:durableId="461190725">
    <w:abstractNumId w:val="16"/>
  </w:num>
  <w:num w:numId="21" w16cid:durableId="1317417397">
    <w:abstractNumId w:val="6"/>
  </w:num>
  <w:num w:numId="22" w16cid:durableId="2038381733">
    <w:abstractNumId w:val="9"/>
  </w:num>
  <w:num w:numId="23" w16cid:durableId="1769961476">
    <w:abstractNumId w:val="6"/>
  </w:num>
  <w:num w:numId="24" w16cid:durableId="975526697">
    <w:abstractNumId w:val="13"/>
  </w:num>
  <w:num w:numId="25" w16cid:durableId="1724527157">
    <w:abstractNumId w:val="5"/>
  </w:num>
  <w:num w:numId="26" w16cid:durableId="1825075340">
    <w:abstractNumId w:val="8"/>
  </w:num>
  <w:num w:numId="27" w16cid:durableId="1062371025">
    <w:abstractNumId w:val="0"/>
  </w:num>
  <w:num w:numId="28" w16cid:durableId="319892756">
    <w:abstractNumId w:val="11"/>
  </w:num>
  <w:num w:numId="29" w16cid:durableId="1980500724">
    <w:abstractNumId w:val="31"/>
  </w:num>
  <w:num w:numId="30" w16cid:durableId="1571192574">
    <w:abstractNumId w:val="24"/>
  </w:num>
  <w:num w:numId="31" w16cid:durableId="186604058">
    <w:abstractNumId w:val="2"/>
  </w:num>
  <w:num w:numId="32" w16cid:durableId="1622417416">
    <w:abstractNumId w:val="10"/>
  </w:num>
  <w:num w:numId="33" w16cid:durableId="216406134">
    <w:abstractNumId w:val="28"/>
  </w:num>
  <w:num w:numId="34" w16cid:durableId="56174161">
    <w:abstractNumId w:val="14"/>
  </w:num>
  <w:num w:numId="35" w16cid:durableId="1548906486">
    <w:abstractNumId w:val="34"/>
  </w:num>
  <w:num w:numId="36" w16cid:durableId="1498185125">
    <w:abstractNumId w:val="20"/>
  </w:num>
  <w:num w:numId="37" w16cid:durableId="794179055">
    <w:abstractNumId w:val="18"/>
  </w:num>
  <w:num w:numId="38" w16cid:durableId="145243794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C7D"/>
    <w:rsid w:val="000028AC"/>
    <w:rsid w:val="000043A5"/>
    <w:rsid w:val="00005616"/>
    <w:rsid w:val="00005A4C"/>
    <w:rsid w:val="00006750"/>
    <w:rsid w:val="000115B7"/>
    <w:rsid w:val="00011E91"/>
    <w:rsid w:val="00015AB6"/>
    <w:rsid w:val="0001602B"/>
    <w:rsid w:val="0001718E"/>
    <w:rsid w:val="000201A4"/>
    <w:rsid w:val="000204BD"/>
    <w:rsid w:val="00020571"/>
    <w:rsid w:val="00020AE6"/>
    <w:rsid w:val="000217E4"/>
    <w:rsid w:val="00021E16"/>
    <w:rsid w:val="0002247D"/>
    <w:rsid w:val="00023287"/>
    <w:rsid w:val="0002367C"/>
    <w:rsid w:val="0002464E"/>
    <w:rsid w:val="000246A5"/>
    <w:rsid w:val="00025270"/>
    <w:rsid w:val="00025D1B"/>
    <w:rsid w:val="00026890"/>
    <w:rsid w:val="000305E0"/>
    <w:rsid w:val="00030EF5"/>
    <w:rsid w:val="00033CB3"/>
    <w:rsid w:val="00034D04"/>
    <w:rsid w:val="00035AF5"/>
    <w:rsid w:val="000367CC"/>
    <w:rsid w:val="00037DBC"/>
    <w:rsid w:val="000401C6"/>
    <w:rsid w:val="00041BBB"/>
    <w:rsid w:val="00042007"/>
    <w:rsid w:val="0004417D"/>
    <w:rsid w:val="000441F8"/>
    <w:rsid w:val="000458B3"/>
    <w:rsid w:val="0004680A"/>
    <w:rsid w:val="00046CFA"/>
    <w:rsid w:val="000471D4"/>
    <w:rsid w:val="00047E6B"/>
    <w:rsid w:val="00050CF0"/>
    <w:rsid w:val="0005118D"/>
    <w:rsid w:val="0005322C"/>
    <w:rsid w:val="00055D9B"/>
    <w:rsid w:val="00057914"/>
    <w:rsid w:val="00057BAA"/>
    <w:rsid w:val="00062F8C"/>
    <w:rsid w:val="00062FC0"/>
    <w:rsid w:val="000631D6"/>
    <w:rsid w:val="00064CD2"/>
    <w:rsid w:val="00065A3D"/>
    <w:rsid w:val="00070036"/>
    <w:rsid w:val="000703C3"/>
    <w:rsid w:val="000713AA"/>
    <w:rsid w:val="00071A62"/>
    <w:rsid w:val="00071FC9"/>
    <w:rsid w:val="00074284"/>
    <w:rsid w:val="000747D7"/>
    <w:rsid w:val="000750FC"/>
    <w:rsid w:val="00075B8D"/>
    <w:rsid w:val="00077704"/>
    <w:rsid w:val="00080B4C"/>
    <w:rsid w:val="00080C65"/>
    <w:rsid w:val="000814DA"/>
    <w:rsid w:val="000819BE"/>
    <w:rsid w:val="00083BD7"/>
    <w:rsid w:val="00084492"/>
    <w:rsid w:val="0008545A"/>
    <w:rsid w:val="00086FF9"/>
    <w:rsid w:val="00090684"/>
    <w:rsid w:val="00092585"/>
    <w:rsid w:val="00092E82"/>
    <w:rsid w:val="00093B92"/>
    <w:rsid w:val="00094963"/>
    <w:rsid w:val="00095A0E"/>
    <w:rsid w:val="00096556"/>
    <w:rsid w:val="000968DB"/>
    <w:rsid w:val="000A1FAF"/>
    <w:rsid w:val="000A33BD"/>
    <w:rsid w:val="000A3493"/>
    <w:rsid w:val="000A4B26"/>
    <w:rsid w:val="000A4C12"/>
    <w:rsid w:val="000A661B"/>
    <w:rsid w:val="000A6E13"/>
    <w:rsid w:val="000A7C7B"/>
    <w:rsid w:val="000B0A20"/>
    <w:rsid w:val="000B205E"/>
    <w:rsid w:val="000B33AC"/>
    <w:rsid w:val="000B4433"/>
    <w:rsid w:val="000B49FE"/>
    <w:rsid w:val="000B4C1D"/>
    <w:rsid w:val="000B753F"/>
    <w:rsid w:val="000C0238"/>
    <w:rsid w:val="000C0FF4"/>
    <w:rsid w:val="000C3B64"/>
    <w:rsid w:val="000C4F63"/>
    <w:rsid w:val="000C5E2D"/>
    <w:rsid w:val="000C7403"/>
    <w:rsid w:val="000D568B"/>
    <w:rsid w:val="000E1A2B"/>
    <w:rsid w:val="000E3F88"/>
    <w:rsid w:val="000E7B9E"/>
    <w:rsid w:val="000E7BB1"/>
    <w:rsid w:val="000F0F66"/>
    <w:rsid w:val="000F1308"/>
    <w:rsid w:val="000F4352"/>
    <w:rsid w:val="000F76B5"/>
    <w:rsid w:val="00101DAD"/>
    <w:rsid w:val="001036A2"/>
    <w:rsid w:val="00104021"/>
    <w:rsid w:val="00106F8B"/>
    <w:rsid w:val="00107578"/>
    <w:rsid w:val="0011132B"/>
    <w:rsid w:val="001119A9"/>
    <w:rsid w:val="00114641"/>
    <w:rsid w:val="001147F0"/>
    <w:rsid w:val="00117D7A"/>
    <w:rsid w:val="001204EB"/>
    <w:rsid w:val="00120B70"/>
    <w:rsid w:val="0012138E"/>
    <w:rsid w:val="001215CE"/>
    <w:rsid w:val="00121E3F"/>
    <w:rsid w:val="00122AC1"/>
    <w:rsid w:val="00123798"/>
    <w:rsid w:val="00123AB6"/>
    <w:rsid w:val="00124E01"/>
    <w:rsid w:val="001275EE"/>
    <w:rsid w:val="00130034"/>
    <w:rsid w:val="00131E01"/>
    <w:rsid w:val="001321E8"/>
    <w:rsid w:val="001348C0"/>
    <w:rsid w:val="00137228"/>
    <w:rsid w:val="001418CE"/>
    <w:rsid w:val="00141F17"/>
    <w:rsid w:val="001439D9"/>
    <w:rsid w:val="00144AAB"/>
    <w:rsid w:val="0014570F"/>
    <w:rsid w:val="001470B4"/>
    <w:rsid w:val="00150334"/>
    <w:rsid w:val="001514FF"/>
    <w:rsid w:val="001526EC"/>
    <w:rsid w:val="00152B76"/>
    <w:rsid w:val="001542DA"/>
    <w:rsid w:val="00154BA0"/>
    <w:rsid w:val="00154DFC"/>
    <w:rsid w:val="001561A4"/>
    <w:rsid w:val="00157D38"/>
    <w:rsid w:val="001603F3"/>
    <w:rsid w:val="00161633"/>
    <w:rsid w:val="001635BC"/>
    <w:rsid w:val="00163C19"/>
    <w:rsid w:val="00163F97"/>
    <w:rsid w:val="001649EA"/>
    <w:rsid w:val="00164C8A"/>
    <w:rsid w:val="0016653F"/>
    <w:rsid w:val="001665EA"/>
    <w:rsid w:val="00170092"/>
    <w:rsid w:val="00170BF0"/>
    <w:rsid w:val="00171E8F"/>
    <w:rsid w:val="00172258"/>
    <w:rsid w:val="001723E4"/>
    <w:rsid w:val="00172BE4"/>
    <w:rsid w:val="00173202"/>
    <w:rsid w:val="001742F8"/>
    <w:rsid w:val="001745F4"/>
    <w:rsid w:val="00175714"/>
    <w:rsid w:val="00180BF6"/>
    <w:rsid w:val="00183328"/>
    <w:rsid w:val="001840D3"/>
    <w:rsid w:val="0018422C"/>
    <w:rsid w:val="00185E42"/>
    <w:rsid w:val="00187159"/>
    <w:rsid w:val="001873ED"/>
    <w:rsid w:val="001912C7"/>
    <w:rsid w:val="00193038"/>
    <w:rsid w:val="00193B1B"/>
    <w:rsid w:val="0019409A"/>
    <w:rsid w:val="0019518B"/>
    <w:rsid w:val="0019666D"/>
    <w:rsid w:val="0019751B"/>
    <w:rsid w:val="0019763E"/>
    <w:rsid w:val="001A0238"/>
    <w:rsid w:val="001A32EA"/>
    <w:rsid w:val="001A338F"/>
    <w:rsid w:val="001A7FF2"/>
    <w:rsid w:val="001B1A6C"/>
    <w:rsid w:val="001B28D2"/>
    <w:rsid w:val="001B4571"/>
    <w:rsid w:val="001B4F20"/>
    <w:rsid w:val="001B524B"/>
    <w:rsid w:val="001C05B6"/>
    <w:rsid w:val="001C4126"/>
    <w:rsid w:val="001C4B4A"/>
    <w:rsid w:val="001C58CB"/>
    <w:rsid w:val="001C5A2D"/>
    <w:rsid w:val="001C6825"/>
    <w:rsid w:val="001C692A"/>
    <w:rsid w:val="001D14BE"/>
    <w:rsid w:val="001D22EE"/>
    <w:rsid w:val="001D3878"/>
    <w:rsid w:val="001D42BE"/>
    <w:rsid w:val="001D4B13"/>
    <w:rsid w:val="001D6F95"/>
    <w:rsid w:val="001D775B"/>
    <w:rsid w:val="001D7789"/>
    <w:rsid w:val="001E39D5"/>
    <w:rsid w:val="001E4287"/>
    <w:rsid w:val="001E739B"/>
    <w:rsid w:val="001E7FB4"/>
    <w:rsid w:val="001F1181"/>
    <w:rsid w:val="001F1A68"/>
    <w:rsid w:val="001F1E8A"/>
    <w:rsid w:val="001F1F84"/>
    <w:rsid w:val="001F798F"/>
    <w:rsid w:val="00200E76"/>
    <w:rsid w:val="0020210C"/>
    <w:rsid w:val="00202897"/>
    <w:rsid w:val="00203870"/>
    <w:rsid w:val="002047A2"/>
    <w:rsid w:val="002059BD"/>
    <w:rsid w:val="002059E0"/>
    <w:rsid w:val="00207205"/>
    <w:rsid w:val="002076B6"/>
    <w:rsid w:val="00210EBE"/>
    <w:rsid w:val="0021156F"/>
    <w:rsid w:val="00215F63"/>
    <w:rsid w:val="00216515"/>
    <w:rsid w:val="002179EC"/>
    <w:rsid w:val="00220612"/>
    <w:rsid w:val="00220874"/>
    <w:rsid w:val="002215BB"/>
    <w:rsid w:val="00221DD3"/>
    <w:rsid w:val="0022759C"/>
    <w:rsid w:val="0023173B"/>
    <w:rsid w:val="002318C5"/>
    <w:rsid w:val="00234610"/>
    <w:rsid w:val="0023702D"/>
    <w:rsid w:val="00237494"/>
    <w:rsid w:val="00237D71"/>
    <w:rsid w:val="00241771"/>
    <w:rsid w:val="00245ECA"/>
    <w:rsid w:val="002468A2"/>
    <w:rsid w:val="00247513"/>
    <w:rsid w:val="00250A27"/>
    <w:rsid w:val="00251C67"/>
    <w:rsid w:val="002538FB"/>
    <w:rsid w:val="00253A90"/>
    <w:rsid w:val="002549E8"/>
    <w:rsid w:val="0025668D"/>
    <w:rsid w:val="00257E6B"/>
    <w:rsid w:val="002600A8"/>
    <w:rsid w:val="0026167E"/>
    <w:rsid w:val="0026193A"/>
    <w:rsid w:val="00264644"/>
    <w:rsid w:val="00264904"/>
    <w:rsid w:val="002652EE"/>
    <w:rsid w:val="00267062"/>
    <w:rsid w:val="002711C8"/>
    <w:rsid w:val="00271623"/>
    <w:rsid w:val="00271C43"/>
    <w:rsid w:val="00272D23"/>
    <w:rsid w:val="00277109"/>
    <w:rsid w:val="0028035A"/>
    <w:rsid w:val="0028203A"/>
    <w:rsid w:val="00282E35"/>
    <w:rsid w:val="002842EA"/>
    <w:rsid w:val="00287725"/>
    <w:rsid w:val="00290185"/>
    <w:rsid w:val="00291B41"/>
    <w:rsid w:val="0029201E"/>
    <w:rsid w:val="0029547F"/>
    <w:rsid w:val="002957A3"/>
    <w:rsid w:val="0029685E"/>
    <w:rsid w:val="00296A97"/>
    <w:rsid w:val="00296F51"/>
    <w:rsid w:val="002A0023"/>
    <w:rsid w:val="002A1CEE"/>
    <w:rsid w:val="002A3B81"/>
    <w:rsid w:val="002A48E5"/>
    <w:rsid w:val="002A49B1"/>
    <w:rsid w:val="002A554F"/>
    <w:rsid w:val="002A6B3C"/>
    <w:rsid w:val="002A7141"/>
    <w:rsid w:val="002B0B0C"/>
    <w:rsid w:val="002B20FF"/>
    <w:rsid w:val="002B4626"/>
    <w:rsid w:val="002B79D0"/>
    <w:rsid w:val="002B7A89"/>
    <w:rsid w:val="002C0853"/>
    <w:rsid w:val="002C0F9E"/>
    <w:rsid w:val="002C2587"/>
    <w:rsid w:val="002C4CDD"/>
    <w:rsid w:val="002C6757"/>
    <w:rsid w:val="002D05D8"/>
    <w:rsid w:val="002D1749"/>
    <w:rsid w:val="002D3A78"/>
    <w:rsid w:val="002D3C8E"/>
    <w:rsid w:val="002D40AC"/>
    <w:rsid w:val="002D7BFC"/>
    <w:rsid w:val="002E1DF0"/>
    <w:rsid w:val="002E2029"/>
    <w:rsid w:val="002E258F"/>
    <w:rsid w:val="002E5E09"/>
    <w:rsid w:val="002F04D1"/>
    <w:rsid w:val="002F1A9F"/>
    <w:rsid w:val="002F40F6"/>
    <w:rsid w:val="002F4542"/>
    <w:rsid w:val="002F4573"/>
    <w:rsid w:val="002F4F3C"/>
    <w:rsid w:val="002F4FF8"/>
    <w:rsid w:val="002F5E31"/>
    <w:rsid w:val="002F7CAF"/>
    <w:rsid w:val="00304A69"/>
    <w:rsid w:val="003054CD"/>
    <w:rsid w:val="00305770"/>
    <w:rsid w:val="003065B2"/>
    <w:rsid w:val="00306967"/>
    <w:rsid w:val="00310C77"/>
    <w:rsid w:val="00311F78"/>
    <w:rsid w:val="00312975"/>
    <w:rsid w:val="0031310D"/>
    <w:rsid w:val="00313D95"/>
    <w:rsid w:val="00313E62"/>
    <w:rsid w:val="00314A9A"/>
    <w:rsid w:val="0031511B"/>
    <w:rsid w:val="00316561"/>
    <w:rsid w:val="00316EC3"/>
    <w:rsid w:val="00317099"/>
    <w:rsid w:val="00321BD4"/>
    <w:rsid w:val="003237E9"/>
    <w:rsid w:val="003250DC"/>
    <w:rsid w:val="00330446"/>
    <w:rsid w:val="00332060"/>
    <w:rsid w:val="0033289B"/>
    <w:rsid w:val="0033773E"/>
    <w:rsid w:val="0034188E"/>
    <w:rsid w:val="00342413"/>
    <w:rsid w:val="00342927"/>
    <w:rsid w:val="003435C8"/>
    <w:rsid w:val="00344E2B"/>
    <w:rsid w:val="003538AF"/>
    <w:rsid w:val="00356B68"/>
    <w:rsid w:val="003606D6"/>
    <w:rsid w:val="00360E9D"/>
    <w:rsid w:val="0036169E"/>
    <w:rsid w:val="00363CE2"/>
    <w:rsid w:val="003662A0"/>
    <w:rsid w:val="003666E4"/>
    <w:rsid w:val="003671CE"/>
    <w:rsid w:val="00371B78"/>
    <w:rsid w:val="00372069"/>
    <w:rsid w:val="003724CF"/>
    <w:rsid w:val="00372914"/>
    <w:rsid w:val="00374C29"/>
    <w:rsid w:val="0037508A"/>
    <w:rsid w:val="0037562D"/>
    <w:rsid w:val="003802D2"/>
    <w:rsid w:val="00381C32"/>
    <w:rsid w:val="00382E07"/>
    <w:rsid w:val="003842C5"/>
    <w:rsid w:val="00386473"/>
    <w:rsid w:val="003872A8"/>
    <w:rsid w:val="003878E1"/>
    <w:rsid w:val="00387BB6"/>
    <w:rsid w:val="003949CE"/>
    <w:rsid w:val="003A0FFD"/>
    <w:rsid w:val="003A1DF2"/>
    <w:rsid w:val="003A1F93"/>
    <w:rsid w:val="003A2DC1"/>
    <w:rsid w:val="003A39A4"/>
    <w:rsid w:val="003A42C0"/>
    <w:rsid w:val="003A5DE9"/>
    <w:rsid w:val="003A5F00"/>
    <w:rsid w:val="003A62B4"/>
    <w:rsid w:val="003A6733"/>
    <w:rsid w:val="003B0E66"/>
    <w:rsid w:val="003B22DA"/>
    <w:rsid w:val="003B2E25"/>
    <w:rsid w:val="003B472F"/>
    <w:rsid w:val="003B4A51"/>
    <w:rsid w:val="003B7323"/>
    <w:rsid w:val="003B7F86"/>
    <w:rsid w:val="003C64F4"/>
    <w:rsid w:val="003D057A"/>
    <w:rsid w:val="003D0850"/>
    <w:rsid w:val="003D2987"/>
    <w:rsid w:val="003D49A8"/>
    <w:rsid w:val="003D56C4"/>
    <w:rsid w:val="003D6D46"/>
    <w:rsid w:val="003D78E0"/>
    <w:rsid w:val="003E0130"/>
    <w:rsid w:val="003E0A15"/>
    <w:rsid w:val="003E1259"/>
    <w:rsid w:val="003E1923"/>
    <w:rsid w:val="003E1DE1"/>
    <w:rsid w:val="003E29F6"/>
    <w:rsid w:val="003E561D"/>
    <w:rsid w:val="003E5DAD"/>
    <w:rsid w:val="003E750D"/>
    <w:rsid w:val="003E77B9"/>
    <w:rsid w:val="003F052A"/>
    <w:rsid w:val="003F2940"/>
    <w:rsid w:val="003F3FD9"/>
    <w:rsid w:val="003F5831"/>
    <w:rsid w:val="003F722F"/>
    <w:rsid w:val="00400B33"/>
    <w:rsid w:val="00404016"/>
    <w:rsid w:val="00405764"/>
    <w:rsid w:val="0040735A"/>
    <w:rsid w:val="00407A93"/>
    <w:rsid w:val="004111B0"/>
    <w:rsid w:val="00411981"/>
    <w:rsid w:val="004123DB"/>
    <w:rsid w:val="00412848"/>
    <w:rsid w:val="00412E37"/>
    <w:rsid w:val="00414582"/>
    <w:rsid w:val="00414903"/>
    <w:rsid w:val="00416671"/>
    <w:rsid w:val="00416A5C"/>
    <w:rsid w:val="004171A9"/>
    <w:rsid w:val="00420EE4"/>
    <w:rsid w:val="004216D3"/>
    <w:rsid w:val="00422B3E"/>
    <w:rsid w:val="0042381E"/>
    <w:rsid w:val="004250E7"/>
    <w:rsid w:val="0042594E"/>
    <w:rsid w:val="004309CD"/>
    <w:rsid w:val="00430D4A"/>
    <w:rsid w:val="00431FF9"/>
    <w:rsid w:val="00432AEC"/>
    <w:rsid w:val="004340C2"/>
    <w:rsid w:val="00434DC2"/>
    <w:rsid w:val="00435C52"/>
    <w:rsid w:val="004367E9"/>
    <w:rsid w:val="00436E0A"/>
    <w:rsid w:val="004372D5"/>
    <w:rsid w:val="00437907"/>
    <w:rsid w:val="00441B9C"/>
    <w:rsid w:val="0044283D"/>
    <w:rsid w:val="00442E58"/>
    <w:rsid w:val="00444549"/>
    <w:rsid w:val="00446451"/>
    <w:rsid w:val="004464D7"/>
    <w:rsid w:val="00451A61"/>
    <w:rsid w:val="00451BD0"/>
    <w:rsid w:val="00452A64"/>
    <w:rsid w:val="00453A6F"/>
    <w:rsid w:val="00454856"/>
    <w:rsid w:val="0045541D"/>
    <w:rsid w:val="00456827"/>
    <w:rsid w:val="00457ABD"/>
    <w:rsid w:val="00460508"/>
    <w:rsid w:val="004605D8"/>
    <w:rsid w:val="00460A29"/>
    <w:rsid w:val="00467022"/>
    <w:rsid w:val="0047061C"/>
    <w:rsid w:val="00471E4D"/>
    <w:rsid w:val="004722DA"/>
    <w:rsid w:val="0047239E"/>
    <w:rsid w:val="00472621"/>
    <w:rsid w:val="0047404C"/>
    <w:rsid w:val="0047519D"/>
    <w:rsid w:val="00482A3A"/>
    <w:rsid w:val="004859DC"/>
    <w:rsid w:val="00486FC2"/>
    <w:rsid w:val="00487F71"/>
    <w:rsid w:val="00491C09"/>
    <w:rsid w:val="004927DD"/>
    <w:rsid w:val="00492CE8"/>
    <w:rsid w:val="004938AD"/>
    <w:rsid w:val="00493CF8"/>
    <w:rsid w:val="00493E5D"/>
    <w:rsid w:val="0049644D"/>
    <w:rsid w:val="004A1BFF"/>
    <w:rsid w:val="004A206E"/>
    <w:rsid w:val="004A3DDB"/>
    <w:rsid w:val="004A6DA9"/>
    <w:rsid w:val="004A6DDB"/>
    <w:rsid w:val="004A743E"/>
    <w:rsid w:val="004A76F7"/>
    <w:rsid w:val="004A7AC3"/>
    <w:rsid w:val="004A7CF2"/>
    <w:rsid w:val="004B2BBA"/>
    <w:rsid w:val="004B35D9"/>
    <w:rsid w:val="004B4C63"/>
    <w:rsid w:val="004B53ED"/>
    <w:rsid w:val="004B5D2E"/>
    <w:rsid w:val="004B616C"/>
    <w:rsid w:val="004C19E2"/>
    <w:rsid w:val="004C2653"/>
    <w:rsid w:val="004C3E58"/>
    <w:rsid w:val="004C40EF"/>
    <w:rsid w:val="004C5FF3"/>
    <w:rsid w:val="004C6954"/>
    <w:rsid w:val="004D4F2A"/>
    <w:rsid w:val="004D5803"/>
    <w:rsid w:val="004D597E"/>
    <w:rsid w:val="004E0B9F"/>
    <w:rsid w:val="004E0F87"/>
    <w:rsid w:val="004E2285"/>
    <w:rsid w:val="004E2DC4"/>
    <w:rsid w:val="004E3CEE"/>
    <w:rsid w:val="004E4515"/>
    <w:rsid w:val="004E4580"/>
    <w:rsid w:val="004E5C9E"/>
    <w:rsid w:val="004E6F4B"/>
    <w:rsid w:val="004E76F9"/>
    <w:rsid w:val="004F032A"/>
    <w:rsid w:val="004F133B"/>
    <w:rsid w:val="004F1F61"/>
    <w:rsid w:val="004F2986"/>
    <w:rsid w:val="004F2E15"/>
    <w:rsid w:val="004F3770"/>
    <w:rsid w:val="004F3E54"/>
    <w:rsid w:val="004F5731"/>
    <w:rsid w:val="004F5AEF"/>
    <w:rsid w:val="004F64B3"/>
    <w:rsid w:val="004F7F34"/>
    <w:rsid w:val="004F7FCC"/>
    <w:rsid w:val="00500425"/>
    <w:rsid w:val="005012A9"/>
    <w:rsid w:val="00502780"/>
    <w:rsid w:val="005031AA"/>
    <w:rsid w:val="00504EE4"/>
    <w:rsid w:val="0050594A"/>
    <w:rsid w:val="0050625C"/>
    <w:rsid w:val="005125ED"/>
    <w:rsid w:val="00513919"/>
    <w:rsid w:val="005162D4"/>
    <w:rsid w:val="00516E5B"/>
    <w:rsid w:val="00521A21"/>
    <w:rsid w:val="00522EFA"/>
    <w:rsid w:val="00530092"/>
    <w:rsid w:val="005320CC"/>
    <w:rsid w:val="005335A2"/>
    <w:rsid w:val="00533A68"/>
    <w:rsid w:val="00533F7E"/>
    <w:rsid w:val="005365BC"/>
    <w:rsid w:val="00540B34"/>
    <w:rsid w:val="0054284F"/>
    <w:rsid w:val="0054495B"/>
    <w:rsid w:val="00545E14"/>
    <w:rsid w:val="005462CF"/>
    <w:rsid w:val="00547298"/>
    <w:rsid w:val="00547C33"/>
    <w:rsid w:val="00550CD0"/>
    <w:rsid w:val="00551EFD"/>
    <w:rsid w:val="0055317A"/>
    <w:rsid w:val="00556043"/>
    <w:rsid w:val="005565A0"/>
    <w:rsid w:val="005605A7"/>
    <w:rsid w:val="00562B15"/>
    <w:rsid w:val="00563A52"/>
    <w:rsid w:val="00565661"/>
    <w:rsid w:val="005660A2"/>
    <w:rsid w:val="00566392"/>
    <w:rsid w:val="005672AD"/>
    <w:rsid w:val="00567E03"/>
    <w:rsid w:val="00567EAE"/>
    <w:rsid w:val="00571DB5"/>
    <w:rsid w:val="005723FC"/>
    <w:rsid w:val="00573FE7"/>
    <w:rsid w:val="005756F8"/>
    <w:rsid w:val="0057795A"/>
    <w:rsid w:val="00580403"/>
    <w:rsid w:val="0058133A"/>
    <w:rsid w:val="00583CDD"/>
    <w:rsid w:val="00586678"/>
    <w:rsid w:val="00592633"/>
    <w:rsid w:val="00593BD5"/>
    <w:rsid w:val="00593D09"/>
    <w:rsid w:val="00595DC3"/>
    <w:rsid w:val="00595FA7"/>
    <w:rsid w:val="00596B62"/>
    <w:rsid w:val="00597C1C"/>
    <w:rsid w:val="005A09EA"/>
    <w:rsid w:val="005A2195"/>
    <w:rsid w:val="005A59B0"/>
    <w:rsid w:val="005A5B88"/>
    <w:rsid w:val="005A67B9"/>
    <w:rsid w:val="005B2002"/>
    <w:rsid w:val="005B3EED"/>
    <w:rsid w:val="005B41AC"/>
    <w:rsid w:val="005B5F2F"/>
    <w:rsid w:val="005C0AF5"/>
    <w:rsid w:val="005C0C50"/>
    <w:rsid w:val="005C13BE"/>
    <w:rsid w:val="005C2AE2"/>
    <w:rsid w:val="005C3588"/>
    <w:rsid w:val="005C361E"/>
    <w:rsid w:val="005C3C51"/>
    <w:rsid w:val="005C415C"/>
    <w:rsid w:val="005C4EA9"/>
    <w:rsid w:val="005C50BA"/>
    <w:rsid w:val="005C577D"/>
    <w:rsid w:val="005C6635"/>
    <w:rsid w:val="005C712B"/>
    <w:rsid w:val="005C772F"/>
    <w:rsid w:val="005D0555"/>
    <w:rsid w:val="005D0ED5"/>
    <w:rsid w:val="005D1437"/>
    <w:rsid w:val="005D3014"/>
    <w:rsid w:val="005D36FE"/>
    <w:rsid w:val="005D6560"/>
    <w:rsid w:val="005D6895"/>
    <w:rsid w:val="005D7AC8"/>
    <w:rsid w:val="005E1E6E"/>
    <w:rsid w:val="005E2B35"/>
    <w:rsid w:val="005E2DD7"/>
    <w:rsid w:val="005E3294"/>
    <w:rsid w:val="005E5080"/>
    <w:rsid w:val="005E5577"/>
    <w:rsid w:val="005E784A"/>
    <w:rsid w:val="005F1E17"/>
    <w:rsid w:val="005F2CC0"/>
    <w:rsid w:val="005F3A24"/>
    <w:rsid w:val="005F3ECC"/>
    <w:rsid w:val="005F48D7"/>
    <w:rsid w:val="005F5586"/>
    <w:rsid w:val="0060093A"/>
    <w:rsid w:val="00601540"/>
    <w:rsid w:val="00604B74"/>
    <w:rsid w:val="00606EE8"/>
    <w:rsid w:val="0060745D"/>
    <w:rsid w:val="00610861"/>
    <w:rsid w:val="00611A51"/>
    <w:rsid w:val="006124F9"/>
    <w:rsid w:val="00613CDD"/>
    <w:rsid w:val="0061472D"/>
    <w:rsid w:val="006155C9"/>
    <w:rsid w:val="006174A7"/>
    <w:rsid w:val="00620026"/>
    <w:rsid w:val="006203C9"/>
    <w:rsid w:val="00620EB6"/>
    <w:rsid w:val="006231EE"/>
    <w:rsid w:val="00626439"/>
    <w:rsid w:val="00627715"/>
    <w:rsid w:val="00631B65"/>
    <w:rsid w:val="006345D0"/>
    <w:rsid w:val="00637B05"/>
    <w:rsid w:val="006414D7"/>
    <w:rsid w:val="006414FA"/>
    <w:rsid w:val="0064412C"/>
    <w:rsid w:val="00645A9F"/>
    <w:rsid w:val="0064691A"/>
    <w:rsid w:val="00646C04"/>
    <w:rsid w:val="0064794B"/>
    <w:rsid w:val="00651565"/>
    <w:rsid w:val="006515CF"/>
    <w:rsid w:val="00651B37"/>
    <w:rsid w:val="00651E60"/>
    <w:rsid w:val="00653F65"/>
    <w:rsid w:val="00655EC8"/>
    <w:rsid w:val="00656842"/>
    <w:rsid w:val="006570E4"/>
    <w:rsid w:val="0066031F"/>
    <w:rsid w:val="00661D75"/>
    <w:rsid w:val="00665920"/>
    <w:rsid w:val="0066604A"/>
    <w:rsid w:val="0066746F"/>
    <w:rsid w:val="00671633"/>
    <w:rsid w:val="00671A4C"/>
    <w:rsid w:val="00675EAB"/>
    <w:rsid w:val="00676C6C"/>
    <w:rsid w:val="006813D8"/>
    <w:rsid w:val="00682421"/>
    <w:rsid w:val="006832D4"/>
    <w:rsid w:val="00685792"/>
    <w:rsid w:val="006878B8"/>
    <w:rsid w:val="0068795C"/>
    <w:rsid w:val="00687DF5"/>
    <w:rsid w:val="006900CC"/>
    <w:rsid w:val="006911C3"/>
    <w:rsid w:val="006979BE"/>
    <w:rsid w:val="00697D19"/>
    <w:rsid w:val="006A0B44"/>
    <w:rsid w:val="006A0E12"/>
    <w:rsid w:val="006A15F2"/>
    <w:rsid w:val="006A2082"/>
    <w:rsid w:val="006A2C18"/>
    <w:rsid w:val="006A4298"/>
    <w:rsid w:val="006A6499"/>
    <w:rsid w:val="006A680C"/>
    <w:rsid w:val="006B063E"/>
    <w:rsid w:val="006B11D2"/>
    <w:rsid w:val="006B28E2"/>
    <w:rsid w:val="006B416A"/>
    <w:rsid w:val="006B7D5A"/>
    <w:rsid w:val="006C0583"/>
    <w:rsid w:val="006C18E2"/>
    <w:rsid w:val="006C1C43"/>
    <w:rsid w:val="006C427A"/>
    <w:rsid w:val="006C44F3"/>
    <w:rsid w:val="006C5DC0"/>
    <w:rsid w:val="006C6604"/>
    <w:rsid w:val="006C6F27"/>
    <w:rsid w:val="006C7E6B"/>
    <w:rsid w:val="006D06AC"/>
    <w:rsid w:val="006D2806"/>
    <w:rsid w:val="006D5FA5"/>
    <w:rsid w:val="006D61EB"/>
    <w:rsid w:val="006D67BA"/>
    <w:rsid w:val="006D67C1"/>
    <w:rsid w:val="006D6EFC"/>
    <w:rsid w:val="006D7B04"/>
    <w:rsid w:val="006E0CE0"/>
    <w:rsid w:val="006E49A5"/>
    <w:rsid w:val="006E4D4C"/>
    <w:rsid w:val="006F0FDE"/>
    <w:rsid w:val="006F272F"/>
    <w:rsid w:val="006F508A"/>
    <w:rsid w:val="00700759"/>
    <w:rsid w:val="00702AC9"/>
    <w:rsid w:val="00702D67"/>
    <w:rsid w:val="0070429A"/>
    <w:rsid w:val="00704AF2"/>
    <w:rsid w:val="00705F72"/>
    <w:rsid w:val="007073E9"/>
    <w:rsid w:val="007077C0"/>
    <w:rsid w:val="00710539"/>
    <w:rsid w:val="007111FF"/>
    <w:rsid w:val="007117A4"/>
    <w:rsid w:val="0071227F"/>
    <w:rsid w:val="00714363"/>
    <w:rsid w:val="0071442D"/>
    <w:rsid w:val="007163BC"/>
    <w:rsid w:val="007204F8"/>
    <w:rsid w:val="007214CD"/>
    <w:rsid w:val="0072181F"/>
    <w:rsid w:val="00722009"/>
    <w:rsid w:val="0072258B"/>
    <w:rsid w:val="007227E7"/>
    <w:rsid w:val="007231BB"/>
    <w:rsid w:val="00723C74"/>
    <w:rsid w:val="007245D3"/>
    <w:rsid w:val="00725E86"/>
    <w:rsid w:val="007312C2"/>
    <w:rsid w:val="0073551C"/>
    <w:rsid w:val="007370BC"/>
    <w:rsid w:val="0073766B"/>
    <w:rsid w:val="00742C46"/>
    <w:rsid w:val="00743517"/>
    <w:rsid w:val="007469D8"/>
    <w:rsid w:val="007503CE"/>
    <w:rsid w:val="00752C1B"/>
    <w:rsid w:val="007531A0"/>
    <w:rsid w:val="00754A13"/>
    <w:rsid w:val="00757CD0"/>
    <w:rsid w:val="007629DA"/>
    <w:rsid w:val="00762C24"/>
    <w:rsid w:val="00763BCC"/>
    <w:rsid w:val="007641EC"/>
    <w:rsid w:val="00764B1F"/>
    <w:rsid w:val="00764C71"/>
    <w:rsid w:val="0076651E"/>
    <w:rsid w:val="00766B15"/>
    <w:rsid w:val="00767DB8"/>
    <w:rsid w:val="00770D89"/>
    <w:rsid w:val="00770ECE"/>
    <w:rsid w:val="007741F5"/>
    <w:rsid w:val="00774549"/>
    <w:rsid w:val="00777966"/>
    <w:rsid w:val="007808E9"/>
    <w:rsid w:val="00781702"/>
    <w:rsid w:val="00782D74"/>
    <w:rsid w:val="00786222"/>
    <w:rsid w:val="0078781C"/>
    <w:rsid w:val="00790371"/>
    <w:rsid w:val="00791931"/>
    <w:rsid w:val="00791D0F"/>
    <w:rsid w:val="00792DFA"/>
    <w:rsid w:val="007933C8"/>
    <w:rsid w:val="00793566"/>
    <w:rsid w:val="00795238"/>
    <w:rsid w:val="00796150"/>
    <w:rsid w:val="007A1963"/>
    <w:rsid w:val="007A19B2"/>
    <w:rsid w:val="007A6756"/>
    <w:rsid w:val="007B1AF4"/>
    <w:rsid w:val="007B441D"/>
    <w:rsid w:val="007B48AC"/>
    <w:rsid w:val="007B7107"/>
    <w:rsid w:val="007C1208"/>
    <w:rsid w:val="007C1CAE"/>
    <w:rsid w:val="007C22AE"/>
    <w:rsid w:val="007C2A52"/>
    <w:rsid w:val="007C31A5"/>
    <w:rsid w:val="007C392B"/>
    <w:rsid w:val="007C4499"/>
    <w:rsid w:val="007C627A"/>
    <w:rsid w:val="007C6BBF"/>
    <w:rsid w:val="007C719E"/>
    <w:rsid w:val="007C7AEE"/>
    <w:rsid w:val="007D0C4C"/>
    <w:rsid w:val="007D0F53"/>
    <w:rsid w:val="007D14E2"/>
    <w:rsid w:val="007D1DE6"/>
    <w:rsid w:val="007D309E"/>
    <w:rsid w:val="007D399B"/>
    <w:rsid w:val="007D4FB8"/>
    <w:rsid w:val="007D6F84"/>
    <w:rsid w:val="007D716F"/>
    <w:rsid w:val="007E03DC"/>
    <w:rsid w:val="007E2341"/>
    <w:rsid w:val="007E515A"/>
    <w:rsid w:val="007E538C"/>
    <w:rsid w:val="007E74F1"/>
    <w:rsid w:val="007F18F5"/>
    <w:rsid w:val="007F25A0"/>
    <w:rsid w:val="007F539B"/>
    <w:rsid w:val="007F5758"/>
    <w:rsid w:val="007F7113"/>
    <w:rsid w:val="00800525"/>
    <w:rsid w:val="00805000"/>
    <w:rsid w:val="00806316"/>
    <w:rsid w:val="00807DB0"/>
    <w:rsid w:val="0081361A"/>
    <w:rsid w:val="00814BA2"/>
    <w:rsid w:val="008155E9"/>
    <w:rsid w:val="00816BF8"/>
    <w:rsid w:val="0081758A"/>
    <w:rsid w:val="00817A7B"/>
    <w:rsid w:val="00820E1A"/>
    <w:rsid w:val="008233CC"/>
    <w:rsid w:val="008249B3"/>
    <w:rsid w:val="008251A2"/>
    <w:rsid w:val="00826C1D"/>
    <w:rsid w:val="00832477"/>
    <w:rsid w:val="008325CF"/>
    <w:rsid w:val="00832690"/>
    <w:rsid w:val="008343FE"/>
    <w:rsid w:val="0084044F"/>
    <w:rsid w:val="00840898"/>
    <w:rsid w:val="008411DB"/>
    <w:rsid w:val="0084166A"/>
    <w:rsid w:val="00842A12"/>
    <w:rsid w:val="008441D2"/>
    <w:rsid w:val="00844887"/>
    <w:rsid w:val="00853808"/>
    <w:rsid w:val="008547AC"/>
    <w:rsid w:val="008558AA"/>
    <w:rsid w:val="00856033"/>
    <w:rsid w:val="00856C65"/>
    <w:rsid w:val="008628D0"/>
    <w:rsid w:val="008636E7"/>
    <w:rsid w:val="00863DED"/>
    <w:rsid w:val="00865A56"/>
    <w:rsid w:val="00870B9C"/>
    <w:rsid w:val="00872985"/>
    <w:rsid w:val="00872E44"/>
    <w:rsid w:val="0087532E"/>
    <w:rsid w:val="008764FF"/>
    <w:rsid w:val="00876B13"/>
    <w:rsid w:val="0088088D"/>
    <w:rsid w:val="00880B05"/>
    <w:rsid w:val="008816DE"/>
    <w:rsid w:val="00884889"/>
    <w:rsid w:val="0088529C"/>
    <w:rsid w:val="008858B5"/>
    <w:rsid w:val="0088594F"/>
    <w:rsid w:val="00890411"/>
    <w:rsid w:val="008A4663"/>
    <w:rsid w:val="008A4AAE"/>
    <w:rsid w:val="008A4D39"/>
    <w:rsid w:val="008A5D59"/>
    <w:rsid w:val="008A6940"/>
    <w:rsid w:val="008B0020"/>
    <w:rsid w:val="008B02DF"/>
    <w:rsid w:val="008B19DE"/>
    <w:rsid w:val="008B4A42"/>
    <w:rsid w:val="008B64BA"/>
    <w:rsid w:val="008B762F"/>
    <w:rsid w:val="008B7B3D"/>
    <w:rsid w:val="008C13D3"/>
    <w:rsid w:val="008C1BC1"/>
    <w:rsid w:val="008C1D6D"/>
    <w:rsid w:val="008C2503"/>
    <w:rsid w:val="008C48B4"/>
    <w:rsid w:val="008C4A85"/>
    <w:rsid w:val="008C6549"/>
    <w:rsid w:val="008C7624"/>
    <w:rsid w:val="008D4D4A"/>
    <w:rsid w:val="008D4DCA"/>
    <w:rsid w:val="008D648C"/>
    <w:rsid w:val="008E1A0C"/>
    <w:rsid w:val="008E63C4"/>
    <w:rsid w:val="008E6545"/>
    <w:rsid w:val="008F1E32"/>
    <w:rsid w:val="008F1EB6"/>
    <w:rsid w:val="008F29D8"/>
    <w:rsid w:val="008F4228"/>
    <w:rsid w:val="008F4EC3"/>
    <w:rsid w:val="008F5195"/>
    <w:rsid w:val="008F5A1B"/>
    <w:rsid w:val="008F6DF2"/>
    <w:rsid w:val="0090315D"/>
    <w:rsid w:val="00903338"/>
    <w:rsid w:val="0090431E"/>
    <w:rsid w:val="0090500B"/>
    <w:rsid w:val="009050B0"/>
    <w:rsid w:val="00906951"/>
    <w:rsid w:val="009070E4"/>
    <w:rsid w:val="0091073B"/>
    <w:rsid w:val="00910CA6"/>
    <w:rsid w:val="00911309"/>
    <w:rsid w:val="009131E9"/>
    <w:rsid w:val="00917ED9"/>
    <w:rsid w:val="009235C2"/>
    <w:rsid w:val="00924725"/>
    <w:rsid w:val="00925EA0"/>
    <w:rsid w:val="00926826"/>
    <w:rsid w:val="00926EBB"/>
    <w:rsid w:val="00926EC5"/>
    <w:rsid w:val="009317C0"/>
    <w:rsid w:val="00931F5D"/>
    <w:rsid w:val="00932435"/>
    <w:rsid w:val="0093360D"/>
    <w:rsid w:val="00935A39"/>
    <w:rsid w:val="00935F5B"/>
    <w:rsid w:val="00942A8A"/>
    <w:rsid w:val="00943FBE"/>
    <w:rsid w:val="00945170"/>
    <w:rsid w:val="00950571"/>
    <w:rsid w:val="00950B02"/>
    <w:rsid w:val="0095274A"/>
    <w:rsid w:val="00953121"/>
    <w:rsid w:val="009565C2"/>
    <w:rsid w:val="00956827"/>
    <w:rsid w:val="00956A3F"/>
    <w:rsid w:val="00957375"/>
    <w:rsid w:val="0096109A"/>
    <w:rsid w:val="009648F0"/>
    <w:rsid w:val="00964F5E"/>
    <w:rsid w:val="00964F91"/>
    <w:rsid w:val="00965110"/>
    <w:rsid w:val="0096675D"/>
    <w:rsid w:val="00967B5B"/>
    <w:rsid w:val="00971489"/>
    <w:rsid w:val="009717FD"/>
    <w:rsid w:val="00972FFF"/>
    <w:rsid w:val="009748E0"/>
    <w:rsid w:val="00975185"/>
    <w:rsid w:val="0097558A"/>
    <w:rsid w:val="009764DF"/>
    <w:rsid w:val="00985C39"/>
    <w:rsid w:val="00987943"/>
    <w:rsid w:val="00991C78"/>
    <w:rsid w:val="009925F8"/>
    <w:rsid w:val="00992C15"/>
    <w:rsid w:val="00995A03"/>
    <w:rsid w:val="009961E1"/>
    <w:rsid w:val="009964C9"/>
    <w:rsid w:val="00996619"/>
    <w:rsid w:val="009972E1"/>
    <w:rsid w:val="00997CD2"/>
    <w:rsid w:val="009A107B"/>
    <w:rsid w:val="009A305D"/>
    <w:rsid w:val="009A306A"/>
    <w:rsid w:val="009A36D7"/>
    <w:rsid w:val="009A3EB1"/>
    <w:rsid w:val="009A49D5"/>
    <w:rsid w:val="009A4DCE"/>
    <w:rsid w:val="009B0CBF"/>
    <w:rsid w:val="009B2BE4"/>
    <w:rsid w:val="009B3AD9"/>
    <w:rsid w:val="009B3D14"/>
    <w:rsid w:val="009B3FB7"/>
    <w:rsid w:val="009B766D"/>
    <w:rsid w:val="009B7DDC"/>
    <w:rsid w:val="009B7F1F"/>
    <w:rsid w:val="009C1049"/>
    <w:rsid w:val="009C157F"/>
    <w:rsid w:val="009C2885"/>
    <w:rsid w:val="009C48AF"/>
    <w:rsid w:val="009C49C8"/>
    <w:rsid w:val="009C5BE2"/>
    <w:rsid w:val="009C6AC2"/>
    <w:rsid w:val="009C774C"/>
    <w:rsid w:val="009D23CF"/>
    <w:rsid w:val="009D2693"/>
    <w:rsid w:val="009D4973"/>
    <w:rsid w:val="009D4D27"/>
    <w:rsid w:val="009D5819"/>
    <w:rsid w:val="009D7430"/>
    <w:rsid w:val="009D7FE4"/>
    <w:rsid w:val="009E0085"/>
    <w:rsid w:val="009E092D"/>
    <w:rsid w:val="009E1518"/>
    <w:rsid w:val="009E351A"/>
    <w:rsid w:val="009E36FF"/>
    <w:rsid w:val="009E4464"/>
    <w:rsid w:val="009E5232"/>
    <w:rsid w:val="009E70CA"/>
    <w:rsid w:val="009E7B07"/>
    <w:rsid w:val="009F057B"/>
    <w:rsid w:val="009F14A8"/>
    <w:rsid w:val="009F1D51"/>
    <w:rsid w:val="009F4FDA"/>
    <w:rsid w:val="009F6AC5"/>
    <w:rsid w:val="009F7F1E"/>
    <w:rsid w:val="00A003CF"/>
    <w:rsid w:val="00A005EA"/>
    <w:rsid w:val="00A032FE"/>
    <w:rsid w:val="00A03630"/>
    <w:rsid w:val="00A0414A"/>
    <w:rsid w:val="00A059C1"/>
    <w:rsid w:val="00A10811"/>
    <w:rsid w:val="00A12D89"/>
    <w:rsid w:val="00A13A35"/>
    <w:rsid w:val="00A159F2"/>
    <w:rsid w:val="00A15D95"/>
    <w:rsid w:val="00A169F5"/>
    <w:rsid w:val="00A171D2"/>
    <w:rsid w:val="00A20622"/>
    <w:rsid w:val="00A2150D"/>
    <w:rsid w:val="00A21DF2"/>
    <w:rsid w:val="00A2358F"/>
    <w:rsid w:val="00A27739"/>
    <w:rsid w:val="00A27C53"/>
    <w:rsid w:val="00A30B85"/>
    <w:rsid w:val="00A30C2A"/>
    <w:rsid w:val="00A30E69"/>
    <w:rsid w:val="00A321CE"/>
    <w:rsid w:val="00A3256A"/>
    <w:rsid w:val="00A3290D"/>
    <w:rsid w:val="00A34468"/>
    <w:rsid w:val="00A40530"/>
    <w:rsid w:val="00A41C5A"/>
    <w:rsid w:val="00A44EA2"/>
    <w:rsid w:val="00A45F29"/>
    <w:rsid w:val="00A4648C"/>
    <w:rsid w:val="00A47E94"/>
    <w:rsid w:val="00A5271A"/>
    <w:rsid w:val="00A55F6E"/>
    <w:rsid w:val="00A56887"/>
    <w:rsid w:val="00A60EC2"/>
    <w:rsid w:val="00A648BD"/>
    <w:rsid w:val="00A64B08"/>
    <w:rsid w:val="00A67BBD"/>
    <w:rsid w:val="00A67CCF"/>
    <w:rsid w:val="00A700BA"/>
    <w:rsid w:val="00A70E69"/>
    <w:rsid w:val="00A71431"/>
    <w:rsid w:val="00A725EF"/>
    <w:rsid w:val="00A75E59"/>
    <w:rsid w:val="00A760C1"/>
    <w:rsid w:val="00A766C3"/>
    <w:rsid w:val="00A81D30"/>
    <w:rsid w:val="00A82237"/>
    <w:rsid w:val="00A83D76"/>
    <w:rsid w:val="00A91A74"/>
    <w:rsid w:val="00A92066"/>
    <w:rsid w:val="00A97891"/>
    <w:rsid w:val="00AA0B69"/>
    <w:rsid w:val="00AB117F"/>
    <w:rsid w:val="00AB235E"/>
    <w:rsid w:val="00AB4394"/>
    <w:rsid w:val="00AB5038"/>
    <w:rsid w:val="00AB5C56"/>
    <w:rsid w:val="00AB6659"/>
    <w:rsid w:val="00AB7C08"/>
    <w:rsid w:val="00AC08DF"/>
    <w:rsid w:val="00AC1764"/>
    <w:rsid w:val="00AC2B59"/>
    <w:rsid w:val="00AC66B9"/>
    <w:rsid w:val="00AC6DC0"/>
    <w:rsid w:val="00AD0749"/>
    <w:rsid w:val="00AD0C34"/>
    <w:rsid w:val="00AD13BC"/>
    <w:rsid w:val="00AD18E4"/>
    <w:rsid w:val="00AD47D4"/>
    <w:rsid w:val="00AD4C61"/>
    <w:rsid w:val="00AE07E6"/>
    <w:rsid w:val="00AE5894"/>
    <w:rsid w:val="00AF2121"/>
    <w:rsid w:val="00AF2D10"/>
    <w:rsid w:val="00AF393F"/>
    <w:rsid w:val="00AF46CB"/>
    <w:rsid w:val="00AF4A4A"/>
    <w:rsid w:val="00AF5D07"/>
    <w:rsid w:val="00B00290"/>
    <w:rsid w:val="00B03B4E"/>
    <w:rsid w:val="00B04CD6"/>
    <w:rsid w:val="00B0518A"/>
    <w:rsid w:val="00B05564"/>
    <w:rsid w:val="00B06C7D"/>
    <w:rsid w:val="00B11062"/>
    <w:rsid w:val="00B13F28"/>
    <w:rsid w:val="00B14989"/>
    <w:rsid w:val="00B15210"/>
    <w:rsid w:val="00B15223"/>
    <w:rsid w:val="00B152BF"/>
    <w:rsid w:val="00B17E81"/>
    <w:rsid w:val="00B21F26"/>
    <w:rsid w:val="00B21FC0"/>
    <w:rsid w:val="00B235F0"/>
    <w:rsid w:val="00B25870"/>
    <w:rsid w:val="00B3101E"/>
    <w:rsid w:val="00B35BDB"/>
    <w:rsid w:val="00B365A6"/>
    <w:rsid w:val="00B36903"/>
    <w:rsid w:val="00B371F2"/>
    <w:rsid w:val="00B41866"/>
    <w:rsid w:val="00B4368C"/>
    <w:rsid w:val="00B44DFC"/>
    <w:rsid w:val="00B46497"/>
    <w:rsid w:val="00B513A7"/>
    <w:rsid w:val="00B54D93"/>
    <w:rsid w:val="00B55440"/>
    <w:rsid w:val="00B60C82"/>
    <w:rsid w:val="00B60F75"/>
    <w:rsid w:val="00B61620"/>
    <w:rsid w:val="00B62348"/>
    <w:rsid w:val="00B62B8B"/>
    <w:rsid w:val="00B6535D"/>
    <w:rsid w:val="00B6792D"/>
    <w:rsid w:val="00B70864"/>
    <w:rsid w:val="00B71821"/>
    <w:rsid w:val="00B74C9C"/>
    <w:rsid w:val="00B74C9D"/>
    <w:rsid w:val="00B74F20"/>
    <w:rsid w:val="00B76741"/>
    <w:rsid w:val="00B767F4"/>
    <w:rsid w:val="00B82AD4"/>
    <w:rsid w:val="00B845CB"/>
    <w:rsid w:val="00B845E2"/>
    <w:rsid w:val="00B861CC"/>
    <w:rsid w:val="00B8635B"/>
    <w:rsid w:val="00B90FBA"/>
    <w:rsid w:val="00B917E5"/>
    <w:rsid w:val="00B94B0C"/>
    <w:rsid w:val="00B96C27"/>
    <w:rsid w:val="00B9779C"/>
    <w:rsid w:val="00B97E48"/>
    <w:rsid w:val="00BA08DC"/>
    <w:rsid w:val="00BA1744"/>
    <w:rsid w:val="00BA29AD"/>
    <w:rsid w:val="00BA556E"/>
    <w:rsid w:val="00BA5E8C"/>
    <w:rsid w:val="00BA69C8"/>
    <w:rsid w:val="00BA6BEA"/>
    <w:rsid w:val="00BB1EDC"/>
    <w:rsid w:val="00BB251B"/>
    <w:rsid w:val="00BB2A76"/>
    <w:rsid w:val="00BB52C7"/>
    <w:rsid w:val="00BB76E3"/>
    <w:rsid w:val="00BC0A97"/>
    <w:rsid w:val="00BC1907"/>
    <w:rsid w:val="00BC40AF"/>
    <w:rsid w:val="00BC491E"/>
    <w:rsid w:val="00BC6042"/>
    <w:rsid w:val="00BC605A"/>
    <w:rsid w:val="00BC6BB6"/>
    <w:rsid w:val="00BC78D6"/>
    <w:rsid w:val="00BD0495"/>
    <w:rsid w:val="00BD0DF8"/>
    <w:rsid w:val="00BD29F0"/>
    <w:rsid w:val="00BD5574"/>
    <w:rsid w:val="00BD57B0"/>
    <w:rsid w:val="00BD62A5"/>
    <w:rsid w:val="00BD6601"/>
    <w:rsid w:val="00BE2412"/>
    <w:rsid w:val="00BE2759"/>
    <w:rsid w:val="00BE44A0"/>
    <w:rsid w:val="00BE533B"/>
    <w:rsid w:val="00BE641A"/>
    <w:rsid w:val="00BE723C"/>
    <w:rsid w:val="00BE7404"/>
    <w:rsid w:val="00BE7595"/>
    <w:rsid w:val="00BE7935"/>
    <w:rsid w:val="00BF0140"/>
    <w:rsid w:val="00BF1098"/>
    <w:rsid w:val="00BF1270"/>
    <w:rsid w:val="00BF3E13"/>
    <w:rsid w:val="00BF4723"/>
    <w:rsid w:val="00BF6977"/>
    <w:rsid w:val="00BF6C9E"/>
    <w:rsid w:val="00BF7597"/>
    <w:rsid w:val="00C00195"/>
    <w:rsid w:val="00C01ED7"/>
    <w:rsid w:val="00C01F2B"/>
    <w:rsid w:val="00C02728"/>
    <w:rsid w:val="00C02CD1"/>
    <w:rsid w:val="00C03143"/>
    <w:rsid w:val="00C04577"/>
    <w:rsid w:val="00C04986"/>
    <w:rsid w:val="00C067EA"/>
    <w:rsid w:val="00C077DA"/>
    <w:rsid w:val="00C10FE9"/>
    <w:rsid w:val="00C119AE"/>
    <w:rsid w:val="00C12AFE"/>
    <w:rsid w:val="00C13C66"/>
    <w:rsid w:val="00C13DB7"/>
    <w:rsid w:val="00C1401B"/>
    <w:rsid w:val="00C1425D"/>
    <w:rsid w:val="00C16875"/>
    <w:rsid w:val="00C17ADD"/>
    <w:rsid w:val="00C20650"/>
    <w:rsid w:val="00C22980"/>
    <w:rsid w:val="00C26F8E"/>
    <w:rsid w:val="00C32D15"/>
    <w:rsid w:val="00C34108"/>
    <w:rsid w:val="00C36BC2"/>
    <w:rsid w:val="00C37224"/>
    <w:rsid w:val="00C37B96"/>
    <w:rsid w:val="00C4294C"/>
    <w:rsid w:val="00C4348D"/>
    <w:rsid w:val="00C44CC2"/>
    <w:rsid w:val="00C452E9"/>
    <w:rsid w:val="00C45E71"/>
    <w:rsid w:val="00C5137E"/>
    <w:rsid w:val="00C54CC7"/>
    <w:rsid w:val="00C61A05"/>
    <w:rsid w:val="00C620A0"/>
    <w:rsid w:val="00C62870"/>
    <w:rsid w:val="00C62DA2"/>
    <w:rsid w:val="00C63FF9"/>
    <w:rsid w:val="00C66024"/>
    <w:rsid w:val="00C6610D"/>
    <w:rsid w:val="00C668F3"/>
    <w:rsid w:val="00C66F5E"/>
    <w:rsid w:val="00C67427"/>
    <w:rsid w:val="00C675A0"/>
    <w:rsid w:val="00C7092D"/>
    <w:rsid w:val="00C7161C"/>
    <w:rsid w:val="00C74D28"/>
    <w:rsid w:val="00C77F12"/>
    <w:rsid w:val="00C80667"/>
    <w:rsid w:val="00C81D4B"/>
    <w:rsid w:val="00C828C4"/>
    <w:rsid w:val="00C829BD"/>
    <w:rsid w:val="00C843C0"/>
    <w:rsid w:val="00C8546B"/>
    <w:rsid w:val="00C86D34"/>
    <w:rsid w:val="00C907D9"/>
    <w:rsid w:val="00C925C4"/>
    <w:rsid w:val="00C933BA"/>
    <w:rsid w:val="00C935BD"/>
    <w:rsid w:val="00C97C94"/>
    <w:rsid w:val="00CA1C1B"/>
    <w:rsid w:val="00CA36EF"/>
    <w:rsid w:val="00CA3E60"/>
    <w:rsid w:val="00CA4ABB"/>
    <w:rsid w:val="00CA68C1"/>
    <w:rsid w:val="00CB3705"/>
    <w:rsid w:val="00CB3CD6"/>
    <w:rsid w:val="00CB5FD7"/>
    <w:rsid w:val="00CB64A6"/>
    <w:rsid w:val="00CB77EB"/>
    <w:rsid w:val="00CC1784"/>
    <w:rsid w:val="00CC1E0F"/>
    <w:rsid w:val="00CC47F4"/>
    <w:rsid w:val="00CC4822"/>
    <w:rsid w:val="00CC4F1C"/>
    <w:rsid w:val="00CC50AB"/>
    <w:rsid w:val="00CC645A"/>
    <w:rsid w:val="00CC6C79"/>
    <w:rsid w:val="00CD7788"/>
    <w:rsid w:val="00CD7BAE"/>
    <w:rsid w:val="00CE0E16"/>
    <w:rsid w:val="00CE0F2A"/>
    <w:rsid w:val="00CE32B2"/>
    <w:rsid w:val="00CE38D9"/>
    <w:rsid w:val="00CE53FD"/>
    <w:rsid w:val="00CE58FA"/>
    <w:rsid w:val="00CE5DCB"/>
    <w:rsid w:val="00CE603A"/>
    <w:rsid w:val="00CF0D93"/>
    <w:rsid w:val="00CF1812"/>
    <w:rsid w:val="00CF1E16"/>
    <w:rsid w:val="00CF310E"/>
    <w:rsid w:val="00CF38F9"/>
    <w:rsid w:val="00CF4088"/>
    <w:rsid w:val="00CF63B3"/>
    <w:rsid w:val="00CF6CE6"/>
    <w:rsid w:val="00CF7C97"/>
    <w:rsid w:val="00D02182"/>
    <w:rsid w:val="00D05D9F"/>
    <w:rsid w:val="00D06A2B"/>
    <w:rsid w:val="00D07FD7"/>
    <w:rsid w:val="00D105C6"/>
    <w:rsid w:val="00D12E94"/>
    <w:rsid w:val="00D1364E"/>
    <w:rsid w:val="00D1436A"/>
    <w:rsid w:val="00D159A8"/>
    <w:rsid w:val="00D20720"/>
    <w:rsid w:val="00D2129E"/>
    <w:rsid w:val="00D22872"/>
    <w:rsid w:val="00D26B57"/>
    <w:rsid w:val="00D27A7C"/>
    <w:rsid w:val="00D3063B"/>
    <w:rsid w:val="00D308A3"/>
    <w:rsid w:val="00D31558"/>
    <w:rsid w:val="00D33CA5"/>
    <w:rsid w:val="00D34822"/>
    <w:rsid w:val="00D35A68"/>
    <w:rsid w:val="00D35BFE"/>
    <w:rsid w:val="00D365D5"/>
    <w:rsid w:val="00D41C77"/>
    <w:rsid w:val="00D42185"/>
    <w:rsid w:val="00D42BB5"/>
    <w:rsid w:val="00D42CC4"/>
    <w:rsid w:val="00D43E9B"/>
    <w:rsid w:val="00D45CF3"/>
    <w:rsid w:val="00D461CC"/>
    <w:rsid w:val="00D47F6A"/>
    <w:rsid w:val="00D50B19"/>
    <w:rsid w:val="00D50B4A"/>
    <w:rsid w:val="00D5322E"/>
    <w:rsid w:val="00D5329D"/>
    <w:rsid w:val="00D5504B"/>
    <w:rsid w:val="00D551E8"/>
    <w:rsid w:val="00D55E02"/>
    <w:rsid w:val="00D57DA9"/>
    <w:rsid w:val="00D609DF"/>
    <w:rsid w:val="00D621FF"/>
    <w:rsid w:val="00D63837"/>
    <w:rsid w:val="00D63CB7"/>
    <w:rsid w:val="00D64489"/>
    <w:rsid w:val="00D66B98"/>
    <w:rsid w:val="00D67E1C"/>
    <w:rsid w:val="00D7003E"/>
    <w:rsid w:val="00D722DC"/>
    <w:rsid w:val="00D740C8"/>
    <w:rsid w:val="00D81F53"/>
    <w:rsid w:val="00D82539"/>
    <w:rsid w:val="00D825B2"/>
    <w:rsid w:val="00D848CD"/>
    <w:rsid w:val="00D8761F"/>
    <w:rsid w:val="00D90087"/>
    <w:rsid w:val="00D92955"/>
    <w:rsid w:val="00D93B6A"/>
    <w:rsid w:val="00D949B3"/>
    <w:rsid w:val="00D94C80"/>
    <w:rsid w:val="00D94F5E"/>
    <w:rsid w:val="00D95865"/>
    <w:rsid w:val="00DA0180"/>
    <w:rsid w:val="00DA0274"/>
    <w:rsid w:val="00DA13D0"/>
    <w:rsid w:val="00DA1F3A"/>
    <w:rsid w:val="00DA2F76"/>
    <w:rsid w:val="00DA3405"/>
    <w:rsid w:val="00DA3673"/>
    <w:rsid w:val="00DA4DF0"/>
    <w:rsid w:val="00DA763B"/>
    <w:rsid w:val="00DB023D"/>
    <w:rsid w:val="00DB1027"/>
    <w:rsid w:val="00DB1D96"/>
    <w:rsid w:val="00DB2779"/>
    <w:rsid w:val="00DB33F9"/>
    <w:rsid w:val="00DB4ECC"/>
    <w:rsid w:val="00DB5C66"/>
    <w:rsid w:val="00DB5EAB"/>
    <w:rsid w:val="00DC02B9"/>
    <w:rsid w:val="00DC099C"/>
    <w:rsid w:val="00DC33EB"/>
    <w:rsid w:val="00DC356D"/>
    <w:rsid w:val="00DC3594"/>
    <w:rsid w:val="00DC3FF1"/>
    <w:rsid w:val="00DC591D"/>
    <w:rsid w:val="00DD0E66"/>
    <w:rsid w:val="00DD129B"/>
    <w:rsid w:val="00DD1E79"/>
    <w:rsid w:val="00DD69D7"/>
    <w:rsid w:val="00DD7C1A"/>
    <w:rsid w:val="00DD7EC0"/>
    <w:rsid w:val="00DE1FC1"/>
    <w:rsid w:val="00DE273B"/>
    <w:rsid w:val="00DE4555"/>
    <w:rsid w:val="00DE5271"/>
    <w:rsid w:val="00DE5B3F"/>
    <w:rsid w:val="00DE5D46"/>
    <w:rsid w:val="00DE6EF5"/>
    <w:rsid w:val="00DE7F77"/>
    <w:rsid w:val="00DF1384"/>
    <w:rsid w:val="00DF23A5"/>
    <w:rsid w:val="00DF382D"/>
    <w:rsid w:val="00DF46ED"/>
    <w:rsid w:val="00DF69BB"/>
    <w:rsid w:val="00E0090C"/>
    <w:rsid w:val="00E00C8A"/>
    <w:rsid w:val="00E03797"/>
    <w:rsid w:val="00E0462A"/>
    <w:rsid w:val="00E05118"/>
    <w:rsid w:val="00E06F11"/>
    <w:rsid w:val="00E07092"/>
    <w:rsid w:val="00E076EE"/>
    <w:rsid w:val="00E13803"/>
    <w:rsid w:val="00E14513"/>
    <w:rsid w:val="00E14EB6"/>
    <w:rsid w:val="00E1508B"/>
    <w:rsid w:val="00E161B2"/>
    <w:rsid w:val="00E16714"/>
    <w:rsid w:val="00E20641"/>
    <w:rsid w:val="00E21686"/>
    <w:rsid w:val="00E226C4"/>
    <w:rsid w:val="00E23559"/>
    <w:rsid w:val="00E30B0F"/>
    <w:rsid w:val="00E30B76"/>
    <w:rsid w:val="00E30E4C"/>
    <w:rsid w:val="00E30F62"/>
    <w:rsid w:val="00E316DB"/>
    <w:rsid w:val="00E318FD"/>
    <w:rsid w:val="00E320DD"/>
    <w:rsid w:val="00E322E2"/>
    <w:rsid w:val="00E3248B"/>
    <w:rsid w:val="00E35518"/>
    <w:rsid w:val="00E37A64"/>
    <w:rsid w:val="00E405DF"/>
    <w:rsid w:val="00E42F6C"/>
    <w:rsid w:val="00E449F2"/>
    <w:rsid w:val="00E45906"/>
    <w:rsid w:val="00E45D1C"/>
    <w:rsid w:val="00E46C32"/>
    <w:rsid w:val="00E47912"/>
    <w:rsid w:val="00E507AA"/>
    <w:rsid w:val="00E52965"/>
    <w:rsid w:val="00E64CA8"/>
    <w:rsid w:val="00E65065"/>
    <w:rsid w:val="00E66473"/>
    <w:rsid w:val="00E67788"/>
    <w:rsid w:val="00E679FC"/>
    <w:rsid w:val="00E70AE2"/>
    <w:rsid w:val="00E70E72"/>
    <w:rsid w:val="00E71C35"/>
    <w:rsid w:val="00E74AA6"/>
    <w:rsid w:val="00E75E62"/>
    <w:rsid w:val="00E767D9"/>
    <w:rsid w:val="00E76C0A"/>
    <w:rsid w:val="00E80B56"/>
    <w:rsid w:val="00E82465"/>
    <w:rsid w:val="00E83374"/>
    <w:rsid w:val="00E83F58"/>
    <w:rsid w:val="00E87852"/>
    <w:rsid w:val="00E87B6A"/>
    <w:rsid w:val="00E901E8"/>
    <w:rsid w:val="00E92687"/>
    <w:rsid w:val="00E92FF3"/>
    <w:rsid w:val="00E94536"/>
    <w:rsid w:val="00E951A6"/>
    <w:rsid w:val="00E957E5"/>
    <w:rsid w:val="00E960D2"/>
    <w:rsid w:val="00E96526"/>
    <w:rsid w:val="00E970FF"/>
    <w:rsid w:val="00EA46D1"/>
    <w:rsid w:val="00EA739F"/>
    <w:rsid w:val="00EB1208"/>
    <w:rsid w:val="00EB13CC"/>
    <w:rsid w:val="00EB426A"/>
    <w:rsid w:val="00EB48B9"/>
    <w:rsid w:val="00EC36BE"/>
    <w:rsid w:val="00EC3700"/>
    <w:rsid w:val="00EC45AB"/>
    <w:rsid w:val="00EC5B1A"/>
    <w:rsid w:val="00EC64CD"/>
    <w:rsid w:val="00EC7968"/>
    <w:rsid w:val="00ED012E"/>
    <w:rsid w:val="00ED063D"/>
    <w:rsid w:val="00ED0C5D"/>
    <w:rsid w:val="00ED1D5D"/>
    <w:rsid w:val="00ED3214"/>
    <w:rsid w:val="00ED5169"/>
    <w:rsid w:val="00ED5446"/>
    <w:rsid w:val="00ED612B"/>
    <w:rsid w:val="00ED671D"/>
    <w:rsid w:val="00ED68C8"/>
    <w:rsid w:val="00ED7726"/>
    <w:rsid w:val="00EE2200"/>
    <w:rsid w:val="00EE2326"/>
    <w:rsid w:val="00EE3C2D"/>
    <w:rsid w:val="00EE550C"/>
    <w:rsid w:val="00EE6DD8"/>
    <w:rsid w:val="00EE744F"/>
    <w:rsid w:val="00EF24AB"/>
    <w:rsid w:val="00EF4821"/>
    <w:rsid w:val="00EF4A86"/>
    <w:rsid w:val="00EF4B35"/>
    <w:rsid w:val="00EF5B9C"/>
    <w:rsid w:val="00EF6C77"/>
    <w:rsid w:val="00F009BC"/>
    <w:rsid w:val="00F10AA4"/>
    <w:rsid w:val="00F11338"/>
    <w:rsid w:val="00F1179E"/>
    <w:rsid w:val="00F119F0"/>
    <w:rsid w:val="00F12400"/>
    <w:rsid w:val="00F132D2"/>
    <w:rsid w:val="00F1358D"/>
    <w:rsid w:val="00F13686"/>
    <w:rsid w:val="00F14B36"/>
    <w:rsid w:val="00F1598A"/>
    <w:rsid w:val="00F1634E"/>
    <w:rsid w:val="00F16B41"/>
    <w:rsid w:val="00F2571A"/>
    <w:rsid w:val="00F30C35"/>
    <w:rsid w:val="00F31732"/>
    <w:rsid w:val="00F31C3A"/>
    <w:rsid w:val="00F32D47"/>
    <w:rsid w:val="00F32F98"/>
    <w:rsid w:val="00F33BC0"/>
    <w:rsid w:val="00F359E2"/>
    <w:rsid w:val="00F35A41"/>
    <w:rsid w:val="00F370B8"/>
    <w:rsid w:val="00F37496"/>
    <w:rsid w:val="00F40703"/>
    <w:rsid w:val="00F40A5C"/>
    <w:rsid w:val="00F45C80"/>
    <w:rsid w:val="00F4688B"/>
    <w:rsid w:val="00F46FA8"/>
    <w:rsid w:val="00F4700E"/>
    <w:rsid w:val="00F47553"/>
    <w:rsid w:val="00F47956"/>
    <w:rsid w:val="00F53DAF"/>
    <w:rsid w:val="00F57E75"/>
    <w:rsid w:val="00F6091C"/>
    <w:rsid w:val="00F62A12"/>
    <w:rsid w:val="00F655FF"/>
    <w:rsid w:val="00F70CC0"/>
    <w:rsid w:val="00F7158B"/>
    <w:rsid w:val="00F71A35"/>
    <w:rsid w:val="00F735CF"/>
    <w:rsid w:val="00F77D62"/>
    <w:rsid w:val="00F801D9"/>
    <w:rsid w:val="00F80298"/>
    <w:rsid w:val="00F81BF6"/>
    <w:rsid w:val="00F8350F"/>
    <w:rsid w:val="00F84F51"/>
    <w:rsid w:val="00F9419E"/>
    <w:rsid w:val="00F94FAE"/>
    <w:rsid w:val="00F9581E"/>
    <w:rsid w:val="00F95D48"/>
    <w:rsid w:val="00FA0E87"/>
    <w:rsid w:val="00FA0F43"/>
    <w:rsid w:val="00FA1EDA"/>
    <w:rsid w:val="00FA2882"/>
    <w:rsid w:val="00FA40A9"/>
    <w:rsid w:val="00FA53AF"/>
    <w:rsid w:val="00FA5838"/>
    <w:rsid w:val="00FA7461"/>
    <w:rsid w:val="00FA7A7A"/>
    <w:rsid w:val="00FB0A84"/>
    <w:rsid w:val="00FB3ED8"/>
    <w:rsid w:val="00FC0A23"/>
    <w:rsid w:val="00FC3EBF"/>
    <w:rsid w:val="00FC45B9"/>
    <w:rsid w:val="00FC610F"/>
    <w:rsid w:val="00FC67D7"/>
    <w:rsid w:val="00FC6B3D"/>
    <w:rsid w:val="00FC7B85"/>
    <w:rsid w:val="00FC7F89"/>
    <w:rsid w:val="00FD110B"/>
    <w:rsid w:val="00FD25A9"/>
    <w:rsid w:val="00FD2660"/>
    <w:rsid w:val="00FE02CA"/>
    <w:rsid w:val="00FE0CCE"/>
    <w:rsid w:val="00FE0CFB"/>
    <w:rsid w:val="00FE1525"/>
    <w:rsid w:val="00FE1D24"/>
    <w:rsid w:val="00FE2421"/>
    <w:rsid w:val="00FE245E"/>
    <w:rsid w:val="00FE3247"/>
    <w:rsid w:val="00FE431E"/>
    <w:rsid w:val="00FE5678"/>
    <w:rsid w:val="00FE6398"/>
    <w:rsid w:val="00FF7E15"/>
    <w:rsid w:val="00FF7F68"/>
    <w:rsid w:val="6A3915E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E43FFC"/>
  <w15:chartTrackingRefBased/>
  <w15:docId w15:val="{A2CE4EDF-D960-494E-9461-34A0D2330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5EAB"/>
    <w:pPr>
      <w:jc w:val="center"/>
      <w:outlineLvl w:val="0"/>
    </w:pPr>
    <w:rPr>
      <w:rFonts w:cstheme="minorHAnsi"/>
      <w:b/>
      <w:bCs/>
    </w:rPr>
  </w:style>
  <w:style w:type="paragraph" w:styleId="Heading2">
    <w:name w:val="heading 2"/>
    <w:basedOn w:val="Normal"/>
    <w:next w:val="Normal"/>
    <w:link w:val="Heading2Char"/>
    <w:uiPriority w:val="9"/>
    <w:unhideWhenUsed/>
    <w:qFormat/>
    <w:rsid w:val="00661D75"/>
    <w:pPr>
      <w:spacing w:line="240" w:lineRule="auto"/>
      <w:outlineLvl w:val="1"/>
    </w:pPr>
    <w:rPr>
      <w:rFonts w:cstheme="minorHAnsi"/>
      <w:b/>
      <w:bCs/>
    </w:rPr>
  </w:style>
  <w:style w:type="paragraph" w:styleId="Heading3">
    <w:name w:val="heading 3"/>
    <w:basedOn w:val="ListParagraph"/>
    <w:next w:val="Normal"/>
    <w:link w:val="Heading3Char"/>
    <w:uiPriority w:val="9"/>
    <w:unhideWhenUsed/>
    <w:qFormat/>
    <w:rsid w:val="00CB3705"/>
    <w:pPr>
      <w:numPr>
        <w:numId w:val="31"/>
      </w:numPr>
      <w:spacing w:line="240" w:lineRule="auto"/>
      <w:contextualSpacing w:val="0"/>
      <w:outlineLvl w:val="2"/>
    </w:pPr>
    <w:rPr>
      <w:rFonts w:cstheme="minorHAnsi"/>
    </w:rPr>
  </w:style>
  <w:style w:type="paragraph" w:styleId="Heading7">
    <w:name w:val="heading 7"/>
    <w:basedOn w:val="Normal"/>
    <w:link w:val="Heading7Char"/>
    <w:uiPriority w:val="1"/>
    <w:qFormat/>
    <w:rsid w:val="00B46497"/>
    <w:pPr>
      <w:widowControl w:val="0"/>
      <w:autoSpaceDE w:val="0"/>
      <w:autoSpaceDN w:val="0"/>
      <w:spacing w:before="1" w:after="0" w:line="240" w:lineRule="auto"/>
      <w:ind w:left="216"/>
      <w:outlineLvl w:val="6"/>
    </w:pPr>
    <w:rPr>
      <w:rFonts w:ascii="Arial" w:eastAsia="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E45D1C"/>
    <w:pPr>
      <w:ind w:left="720"/>
      <w:contextualSpacing/>
    </w:pPr>
  </w:style>
  <w:style w:type="paragraph" w:styleId="Header">
    <w:name w:val="header"/>
    <w:basedOn w:val="Normal"/>
    <w:link w:val="HeaderChar"/>
    <w:uiPriority w:val="99"/>
    <w:unhideWhenUsed/>
    <w:rsid w:val="00E45D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5D1C"/>
  </w:style>
  <w:style w:type="paragraph" w:styleId="Footer">
    <w:name w:val="footer"/>
    <w:basedOn w:val="Normal"/>
    <w:link w:val="FooterChar"/>
    <w:uiPriority w:val="99"/>
    <w:unhideWhenUsed/>
    <w:rsid w:val="00E45D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5D1C"/>
  </w:style>
  <w:style w:type="table" w:styleId="TableGrid">
    <w:name w:val="Table Grid"/>
    <w:basedOn w:val="TableNormal"/>
    <w:uiPriority w:val="59"/>
    <w:rsid w:val="00D45C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45CF3"/>
    <w:rPr>
      <w:color w:val="0563C1" w:themeColor="hyperlink"/>
      <w:u w:val="single"/>
    </w:rPr>
  </w:style>
  <w:style w:type="paragraph" w:styleId="BalloonText">
    <w:name w:val="Balloon Text"/>
    <w:basedOn w:val="Normal"/>
    <w:link w:val="BalloonTextChar"/>
    <w:uiPriority w:val="99"/>
    <w:semiHidden/>
    <w:unhideWhenUsed/>
    <w:rsid w:val="005472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7298"/>
    <w:rPr>
      <w:rFonts w:ascii="Segoe UI" w:hAnsi="Segoe UI" w:cs="Segoe UI"/>
      <w:sz w:val="18"/>
      <w:szCs w:val="18"/>
    </w:rPr>
  </w:style>
  <w:style w:type="paragraph" w:styleId="FootnoteText">
    <w:name w:val="footnote text"/>
    <w:basedOn w:val="Normal"/>
    <w:link w:val="FootnoteTextChar"/>
    <w:uiPriority w:val="99"/>
    <w:semiHidden/>
    <w:unhideWhenUsed/>
    <w:rsid w:val="007227E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227E7"/>
    <w:rPr>
      <w:sz w:val="20"/>
      <w:szCs w:val="20"/>
    </w:rPr>
  </w:style>
  <w:style w:type="character" w:styleId="FootnoteReference">
    <w:name w:val="footnote reference"/>
    <w:basedOn w:val="DefaultParagraphFont"/>
    <w:uiPriority w:val="99"/>
    <w:semiHidden/>
    <w:unhideWhenUsed/>
    <w:rsid w:val="007227E7"/>
    <w:rPr>
      <w:vertAlign w:val="superscript"/>
    </w:rPr>
  </w:style>
  <w:style w:type="character" w:styleId="CommentReference">
    <w:name w:val="annotation reference"/>
    <w:basedOn w:val="DefaultParagraphFont"/>
    <w:uiPriority w:val="99"/>
    <w:semiHidden/>
    <w:unhideWhenUsed/>
    <w:rsid w:val="006D7B04"/>
    <w:rPr>
      <w:sz w:val="16"/>
      <w:szCs w:val="16"/>
    </w:rPr>
  </w:style>
  <w:style w:type="paragraph" w:styleId="CommentText">
    <w:name w:val="annotation text"/>
    <w:basedOn w:val="Normal"/>
    <w:link w:val="CommentTextChar"/>
    <w:uiPriority w:val="99"/>
    <w:unhideWhenUsed/>
    <w:rsid w:val="006D7B04"/>
    <w:pPr>
      <w:spacing w:line="240" w:lineRule="auto"/>
    </w:pPr>
    <w:rPr>
      <w:sz w:val="20"/>
      <w:szCs w:val="20"/>
    </w:rPr>
  </w:style>
  <w:style w:type="character" w:customStyle="1" w:styleId="CommentTextChar">
    <w:name w:val="Comment Text Char"/>
    <w:basedOn w:val="DefaultParagraphFont"/>
    <w:link w:val="CommentText"/>
    <w:uiPriority w:val="99"/>
    <w:rsid w:val="006D7B04"/>
    <w:rPr>
      <w:sz w:val="20"/>
      <w:szCs w:val="20"/>
    </w:rPr>
  </w:style>
  <w:style w:type="paragraph" w:styleId="CommentSubject">
    <w:name w:val="annotation subject"/>
    <w:basedOn w:val="CommentText"/>
    <w:next w:val="CommentText"/>
    <w:link w:val="CommentSubjectChar"/>
    <w:uiPriority w:val="99"/>
    <w:semiHidden/>
    <w:unhideWhenUsed/>
    <w:rsid w:val="006D7B04"/>
    <w:rPr>
      <w:b/>
      <w:bCs/>
    </w:rPr>
  </w:style>
  <w:style w:type="character" w:customStyle="1" w:styleId="CommentSubjectChar">
    <w:name w:val="Comment Subject Char"/>
    <w:basedOn w:val="CommentTextChar"/>
    <w:link w:val="CommentSubject"/>
    <w:uiPriority w:val="99"/>
    <w:semiHidden/>
    <w:rsid w:val="006D7B04"/>
    <w:rPr>
      <w:b/>
      <w:bCs/>
      <w:sz w:val="20"/>
      <w:szCs w:val="20"/>
    </w:rPr>
  </w:style>
  <w:style w:type="character" w:styleId="UnresolvedMention">
    <w:name w:val="Unresolved Mention"/>
    <w:basedOn w:val="DefaultParagraphFont"/>
    <w:uiPriority w:val="99"/>
    <w:semiHidden/>
    <w:unhideWhenUsed/>
    <w:rsid w:val="005335A2"/>
    <w:rPr>
      <w:color w:val="605E5C"/>
      <w:shd w:val="clear" w:color="auto" w:fill="E1DFDD"/>
    </w:rPr>
  </w:style>
  <w:style w:type="character" w:styleId="FollowedHyperlink">
    <w:name w:val="FollowedHyperlink"/>
    <w:basedOn w:val="DefaultParagraphFont"/>
    <w:uiPriority w:val="99"/>
    <w:semiHidden/>
    <w:unhideWhenUsed/>
    <w:rsid w:val="00DE7F77"/>
    <w:rPr>
      <w:color w:val="954F72" w:themeColor="followedHyperlink"/>
      <w:u w:val="single"/>
    </w:rPr>
  </w:style>
  <w:style w:type="character" w:customStyle="1" w:styleId="Heading7Char">
    <w:name w:val="Heading 7 Char"/>
    <w:basedOn w:val="DefaultParagraphFont"/>
    <w:link w:val="Heading7"/>
    <w:uiPriority w:val="1"/>
    <w:rsid w:val="00B46497"/>
    <w:rPr>
      <w:rFonts w:ascii="Arial" w:eastAsia="Arial" w:hAnsi="Arial" w:cs="Arial"/>
      <w:b/>
      <w:bCs/>
      <w:sz w:val="20"/>
      <w:szCs w:val="20"/>
    </w:rPr>
  </w:style>
  <w:style w:type="paragraph" w:styleId="BodyText">
    <w:name w:val="Body Text"/>
    <w:basedOn w:val="Normal"/>
    <w:link w:val="BodyTextChar"/>
    <w:uiPriority w:val="1"/>
    <w:qFormat/>
    <w:rsid w:val="00B46497"/>
    <w:pPr>
      <w:widowControl w:val="0"/>
      <w:autoSpaceDE w:val="0"/>
      <w:autoSpaceDN w:val="0"/>
      <w:spacing w:after="0" w:line="240" w:lineRule="auto"/>
    </w:pPr>
    <w:rPr>
      <w:rFonts w:ascii="Arial" w:eastAsia="Arial" w:hAnsi="Arial" w:cs="Arial"/>
      <w:sz w:val="20"/>
      <w:szCs w:val="20"/>
    </w:rPr>
  </w:style>
  <w:style w:type="character" w:customStyle="1" w:styleId="BodyTextChar">
    <w:name w:val="Body Text Char"/>
    <w:basedOn w:val="DefaultParagraphFont"/>
    <w:link w:val="BodyText"/>
    <w:uiPriority w:val="1"/>
    <w:rsid w:val="00B46497"/>
    <w:rPr>
      <w:rFonts w:ascii="Arial" w:eastAsia="Arial" w:hAnsi="Arial" w:cs="Arial"/>
      <w:sz w:val="20"/>
      <w:szCs w:val="20"/>
    </w:rPr>
  </w:style>
  <w:style w:type="paragraph" w:customStyle="1" w:styleId="TableParagraph">
    <w:name w:val="Table Paragraph"/>
    <w:basedOn w:val="Normal"/>
    <w:uiPriority w:val="1"/>
    <w:qFormat/>
    <w:rsid w:val="00B46497"/>
    <w:pPr>
      <w:widowControl w:val="0"/>
      <w:autoSpaceDE w:val="0"/>
      <w:autoSpaceDN w:val="0"/>
      <w:spacing w:after="0" w:line="240" w:lineRule="auto"/>
    </w:pPr>
    <w:rPr>
      <w:rFonts w:ascii="Trebuchet MS" w:eastAsia="Trebuchet MS" w:hAnsi="Trebuchet MS" w:cs="Trebuchet MS"/>
    </w:rPr>
  </w:style>
  <w:style w:type="character" w:styleId="PlaceholderText">
    <w:name w:val="Placeholder Text"/>
    <w:basedOn w:val="DefaultParagraphFont"/>
    <w:uiPriority w:val="99"/>
    <w:semiHidden/>
    <w:rsid w:val="00A3256A"/>
    <w:rPr>
      <w:color w:val="808080"/>
    </w:rPr>
  </w:style>
  <w:style w:type="paragraph" w:customStyle="1" w:styleId="DocID">
    <w:name w:val="DocID"/>
    <w:basedOn w:val="Normal"/>
    <w:qFormat/>
    <w:rsid w:val="0019666D"/>
    <w:pPr>
      <w:suppressAutoHyphens/>
      <w:spacing w:after="0" w:line="240" w:lineRule="auto"/>
    </w:pPr>
    <w:rPr>
      <w:rFonts w:ascii="Times New Roman" w:eastAsia="Times New Roman" w:hAnsi="Times New Roman" w:cs="Times New Roman"/>
      <w:sz w:val="16"/>
      <w:szCs w:val="16"/>
    </w:rPr>
  </w:style>
  <w:style w:type="paragraph" w:customStyle="1" w:styleId="xmsolistparagraph">
    <w:name w:val="x_msolistparagraph"/>
    <w:basedOn w:val="Normal"/>
    <w:rsid w:val="00180BF6"/>
    <w:pPr>
      <w:spacing w:after="0" w:line="240" w:lineRule="auto"/>
      <w:ind w:left="720"/>
    </w:pPr>
    <w:rPr>
      <w:rFonts w:ascii="Aptos" w:hAnsi="Aptos" w:cs="Aptos"/>
      <w:sz w:val="24"/>
      <w:szCs w:val="24"/>
    </w:rPr>
  </w:style>
  <w:style w:type="character" w:customStyle="1" w:styleId="Heading1Char">
    <w:name w:val="Heading 1 Char"/>
    <w:basedOn w:val="DefaultParagraphFont"/>
    <w:link w:val="Heading1"/>
    <w:uiPriority w:val="9"/>
    <w:rsid w:val="00675EAB"/>
    <w:rPr>
      <w:rFonts w:cstheme="minorHAnsi"/>
      <w:b/>
      <w:bCs/>
    </w:rPr>
  </w:style>
  <w:style w:type="character" w:customStyle="1" w:styleId="Heading2Char">
    <w:name w:val="Heading 2 Char"/>
    <w:basedOn w:val="DefaultParagraphFont"/>
    <w:link w:val="Heading2"/>
    <w:uiPriority w:val="9"/>
    <w:rsid w:val="00661D75"/>
    <w:rPr>
      <w:rFonts w:cstheme="minorHAnsi"/>
      <w:b/>
      <w:bCs/>
    </w:rPr>
  </w:style>
  <w:style w:type="character" w:customStyle="1" w:styleId="Heading3Char">
    <w:name w:val="Heading 3 Char"/>
    <w:basedOn w:val="DefaultParagraphFont"/>
    <w:link w:val="Heading3"/>
    <w:uiPriority w:val="9"/>
    <w:rsid w:val="00CB3705"/>
    <w:rPr>
      <w:rFonts w:cs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90891">
      <w:bodyDiv w:val="1"/>
      <w:marLeft w:val="0"/>
      <w:marRight w:val="0"/>
      <w:marTop w:val="0"/>
      <w:marBottom w:val="0"/>
      <w:divBdr>
        <w:top w:val="none" w:sz="0" w:space="0" w:color="auto"/>
        <w:left w:val="none" w:sz="0" w:space="0" w:color="auto"/>
        <w:bottom w:val="none" w:sz="0" w:space="0" w:color="auto"/>
        <w:right w:val="none" w:sz="0" w:space="0" w:color="auto"/>
      </w:divBdr>
    </w:div>
    <w:div w:id="87385274">
      <w:bodyDiv w:val="1"/>
      <w:marLeft w:val="0"/>
      <w:marRight w:val="0"/>
      <w:marTop w:val="0"/>
      <w:marBottom w:val="0"/>
      <w:divBdr>
        <w:top w:val="none" w:sz="0" w:space="0" w:color="auto"/>
        <w:left w:val="none" w:sz="0" w:space="0" w:color="auto"/>
        <w:bottom w:val="none" w:sz="0" w:space="0" w:color="auto"/>
        <w:right w:val="none" w:sz="0" w:space="0" w:color="auto"/>
      </w:divBdr>
    </w:div>
    <w:div w:id="391975029">
      <w:bodyDiv w:val="1"/>
      <w:marLeft w:val="0"/>
      <w:marRight w:val="0"/>
      <w:marTop w:val="0"/>
      <w:marBottom w:val="0"/>
      <w:divBdr>
        <w:top w:val="none" w:sz="0" w:space="0" w:color="auto"/>
        <w:left w:val="none" w:sz="0" w:space="0" w:color="auto"/>
        <w:bottom w:val="none" w:sz="0" w:space="0" w:color="auto"/>
        <w:right w:val="none" w:sz="0" w:space="0" w:color="auto"/>
      </w:divBdr>
    </w:div>
    <w:div w:id="625818125">
      <w:bodyDiv w:val="1"/>
      <w:marLeft w:val="0"/>
      <w:marRight w:val="0"/>
      <w:marTop w:val="0"/>
      <w:marBottom w:val="0"/>
      <w:divBdr>
        <w:top w:val="none" w:sz="0" w:space="0" w:color="auto"/>
        <w:left w:val="none" w:sz="0" w:space="0" w:color="auto"/>
        <w:bottom w:val="none" w:sz="0" w:space="0" w:color="auto"/>
        <w:right w:val="none" w:sz="0" w:space="0" w:color="auto"/>
      </w:divBdr>
    </w:div>
    <w:div w:id="736703424">
      <w:bodyDiv w:val="1"/>
      <w:marLeft w:val="0"/>
      <w:marRight w:val="0"/>
      <w:marTop w:val="0"/>
      <w:marBottom w:val="0"/>
      <w:divBdr>
        <w:top w:val="none" w:sz="0" w:space="0" w:color="auto"/>
        <w:left w:val="none" w:sz="0" w:space="0" w:color="auto"/>
        <w:bottom w:val="none" w:sz="0" w:space="0" w:color="auto"/>
        <w:right w:val="none" w:sz="0" w:space="0" w:color="auto"/>
      </w:divBdr>
    </w:div>
    <w:div w:id="1019628101">
      <w:bodyDiv w:val="1"/>
      <w:marLeft w:val="0"/>
      <w:marRight w:val="0"/>
      <w:marTop w:val="0"/>
      <w:marBottom w:val="0"/>
      <w:divBdr>
        <w:top w:val="none" w:sz="0" w:space="0" w:color="auto"/>
        <w:left w:val="none" w:sz="0" w:space="0" w:color="auto"/>
        <w:bottom w:val="none" w:sz="0" w:space="0" w:color="auto"/>
        <w:right w:val="none" w:sz="0" w:space="0" w:color="auto"/>
      </w:divBdr>
    </w:div>
    <w:div w:id="1311590863">
      <w:bodyDiv w:val="1"/>
      <w:marLeft w:val="0"/>
      <w:marRight w:val="0"/>
      <w:marTop w:val="0"/>
      <w:marBottom w:val="0"/>
      <w:divBdr>
        <w:top w:val="none" w:sz="0" w:space="0" w:color="auto"/>
        <w:left w:val="none" w:sz="0" w:space="0" w:color="auto"/>
        <w:bottom w:val="none" w:sz="0" w:space="0" w:color="auto"/>
        <w:right w:val="none" w:sz="0" w:space="0" w:color="auto"/>
      </w:divBdr>
    </w:div>
    <w:div w:id="1558858417">
      <w:bodyDiv w:val="1"/>
      <w:marLeft w:val="0"/>
      <w:marRight w:val="0"/>
      <w:marTop w:val="0"/>
      <w:marBottom w:val="0"/>
      <w:divBdr>
        <w:top w:val="none" w:sz="0" w:space="0" w:color="auto"/>
        <w:left w:val="none" w:sz="0" w:space="0" w:color="auto"/>
        <w:bottom w:val="none" w:sz="0" w:space="0" w:color="auto"/>
        <w:right w:val="none" w:sz="0" w:space="0" w:color="auto"/>
      </w:divBdr>
    </w:div>
    <w:div w:id="1717972844">
      <w:bodyDiv w:val="1"/>
      <w:marLeft w:val="0"/>
      <w:marRight w:val="0"/>
      <w:marTop w:val="0"/>
      <w:marBottom w:val="0"/>
      <w:divBdr>
        <w:top w:val="none" w:sz="0" w:space="0" w:color="auto"/>
        <w:left w:val="none" w:sz="0" w:space="0" w:color="auto"/>
        <w:bottom w:val="none" w:sz="0" w:space="0" w:color="auto"/>
        <w:right w:val="none" w:sz="0" w:space="0" w:color="auto"/>
      </w:divBdr>
    </w:div>
    <w:div w:id="1738356076">
      <w:bodyDiv w:val="1"/>
      <w:marLeft w:val="0"/>
      <w:marRight w:val="0"/>
      <w:marTop w:val="0"/>
      <w:marBottom w:val="0"/>
      <w:divBdr>
        <w:top w:val="none" w:sz="0" w:space="0" w:color="auto"/>
        <w:left w:val="none" w:sz="0" w:space="0" w:color="auto"/>
        <w:bottom w:val="none" w:sz="0" w:space="0" w:color="auto"/>
        <w:right w:val="none" w:sz="0" w:space="0" w:color="auto"/>
      </w:divBdr>
    </w:div>
    <w:div w:id="1745835320">
      <w:bodyDiv w:val="1"/>
      <w:marLeft w:val="0"/>
      <w:marRight w:val="0"/>
      <w:marTop w:val="0"/>
      <w:marBottom w:val="0"/>
      <w:divBdr>
        <w:top w:val="none" w:sz="0" w:space="0" w:color="auto"/>
        <w:left w:val="none" w:sz="0" w:space="0" w:color="auto"/>
        <w:bottom w:val="none" w:sz="0" w:space="0" w:color="auto"/>
        <w:right w:val="none" w:sz="0" w:space="0" w:color="auto"/>
      </w:divBdr>
    </w:div>
    <w:div w:id="1829977107">
      <w:bodyDiv w:val="1"/>
      <w:marLeft w:val="0"/>
      <w:marRight w:val="0"/>
      <w:marTop w:val="0"/>
      <w:marBottom w:val="0"/>
      <w:divBdr>
        <w:top w:val="none" w:sz="0" w:space="0" w:color="auto"/>
        <w:left w:val="none" w:sz="0" w:space="0" w:color="auto"/>
        <w:bottom w:val="none" w:sz="0" w:space="0" w:color="auto"/>
        <w:right w:val="none" w:sz="0" w:space="0" w:color="auto"/>
      </w:divBdr>
    </w:div>
    <w:div w:id="196326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DPH.DON@State.MA.U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21</TotalTime>
  <Pages>7</Pages>
  <Words>2408</Words>
  <Characters>13728</Characters>
  <Application>Microsoft Office Word</Application>
  <DocSecurity>0</DocSecurity>
  <Lines>114</Lines>
  <Paragraphs>32</Paragraphs>
  <ScaleCrop>false</ScaleCrop>
  <Company>Commonwealth of Massachusetts</Company>
  <LinksUpToDate>false</LinksUpToDate>
  <CharactersWithSpaces>16104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Marks, Brett (DPH)</cp:lastModifiedBy>
  <cp:revision>15</cp:revision>
  <cp:lastPrinted>1900-01-01T06:00:00Z</cp:lastPrinted>
  <dcterms:created xsi:type="dcterms:W3CDTF">1900-01-01T06:00:00Z</dcterms:created>
  <dcterms:modified xsi:type="dcterms:W3CDTF">2026-02-09T16:58:00Z</dcterms:modified>
</cp:coreProperties>
</file>