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601F" w14:textId="5D33FC58" w:rsidR="00D223EB" w:rsidRPr="0030785A" w:rsidRDefault="00D223EB" w:rsidP="01CEC757">
      <w:pPr>
        <w:jc w:val="center"/>
        <w:rPr>
          <w:b/>
          <w:bCs/>
        </w:rPr>
      </w:pPr>
      <w:r w:rsidRPr="0030785A">
        <w:rPr>
          <w:b/>
          <w:bCs/>
        </w:rPr>
        <w:t xml:space="preserve">APPLICANT </w:t>
      </w:r>
      <w:r w:rsidR="00AE155F">
        <w:rPr>
          <w:b/>
          <w:bCs/>
        </w:rPr>
        <w:t>RESPONSES</w:t>
      </w:r>
      <w:r w:rsidR="00026B6F" w:rsidRPr="0030785A">
        <w:rPr>
          <w:b/>
          <w:bCs/>
        </w:rPr>
        <w:t xml:space="preserve"> </w:t>
      </w:r>
      <w:r w:rsidR="00183D7F" w:rsidRPr="0030785A">
        <w:rPr>
          <w:b/>
          <w:bCs/>
        </w:rPr>
        <w:t>1</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w:t>
      </w:r>
      <w:proofErr w:type="spellStart"/>
      <w:r w:rsidRPr="00183D7F">
        <w:rPr>
          <w:rFonts w:cstheme="minorHAnsi"/>
          <w:i/>
          <w:iCs/>
        </w:rPr>
        <w:t>DoN</w:t>
      </w:r>
      <w:proofErr w:type="spellEnd"/>
      <w:r w:rsidRPr="00183D7F">
        <w:rPr>
          <w:rFonts w:cstheme="minorHAnsi"/>
          <w:i/>
          <w:iCs/>
        </w:rPr>
        <w:t xml:space="preserve"> staff at </w:t>
      </w:r>
      <w:hyperlink r:id="rId7"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r w:rsidRPr="00183D7F">
              <w:rPr>
                <w:rFonts w:cstheme="minorHAnsi"/>
                <w:bCs/>
              </w:rPr>
              <w:t xml:space="preserve">While you may submit each answer as available, please </w:t>
            </w:r>
          </w:p>
          <w:p w14:paraId="3BAD0544" w14:textId="77777777" w:rsidR="00D223EB" w:rsidRPr="00183D7F" w:rsidRDefault="00D223EB" w:rsidP="00D223EB">
            <w:pPr>
              <w:pStyle w:val="ListParagraph"/>
              <w:numPr>
                <w:ilvl w:val="0"/>
                <w:numId w:val="4"/>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D223EB">
            <w:pPr>
              <w:pStyle w:val="ListParagraph"/>
              <w:numPr>
                <w:ilvl w:val="0"/>
                <w:numId w:val="4"/>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A1062E">
            <w:pPr>
              <w:pStyle w:val="ListParagraph"/>
              <w:numPr>
                <w:ilvl w:val="0"/>
                <w:numId w:val="4"/>
              </w:numPr>
              <w:rPr>
                <w:rFonts w:cstheme="minorHAnsi"/>
                <w:bCs/>
              </w:rPr>
            </w:pPr>
            <w:r w:rsidRPr="00183D7F">
              <w:rPr>
                <w:rFonts w:cstheme="minorHAnsi"/>
                <w:bCs/>
              </w:rPr>
              <w:t>We accept answers on a rolling basis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1E0B94">
            <w:pPr>
              <w:pStyle w:val="ListParagraph"/>
              <w:numPr>
                <w:ilvl w:val="0"/>
                <w:numId w:val="4"/>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183D7F" w:rsidRDefault="00032FF5"/>
    <w:p w14:paraId="23F8BD40" w14:textId="723E0896" w:rsidR="000D0D41" w:rsidRPr="00183D7F" w:rsidRDefault="00380E08" w:rsidP="0056515A">
      <w:pPr>
        <w:rPr>
          <w:highlight w:val="yellow"/>
        </w:rPr>
      </w:pPr>
      <w:proofErr w:type="gramStart"/>
      <w:r w:rsidRPr="00183D7F">
        <w:t>In order for</w:t>
      </w:r>
      <w:proofErr w:type="gramEnd"/>
      <w:r w:rsidRPr="00183D7F">
        <w:t xml:space="preserve"> us to review this project in a timely manner, pleas</w:t>
      </w:r>
      <w:r w:rsidR="00684458" w:rsidRPr="00183D7F">
        <w:t>e</w:t>
      </w:r>
      <w:r w:rsidRPr="00183D7F">
        <w:t xml:space="preserve"> provide the </w:t>
      </w:r>
      <w:r w:rsidRPr="00DA349F">
        <w:t xml:space="preserve">responses by </w:t>
      </w:r>
      <w:r w:rsidR="00DA349F" w:rsidRPr="00DA349F">
        <w:rPr>
          <w:b/>
          <w:bCs/>
        </w:rPr>
        <w:t xml:space="preserve">September </w:t>
      </w:r>
      <w:r w:rsidR="00AC34FD">
        <w:rPr>
          <w:b/>
          <w:bCs/>
        </w:rPr>
        <w:t>9</w:t>
      </w:r>
      <w:r w:rsidR="00113110" w:rsidRPr="00DA349F">
        <w:rPr>
          <w:b/>
          <w:bCs/>
        </w:rPr>
        <w:t>, 2024</w:t>
      </w:r>
      <w:r w:rsidRPr="00DA349F">
        <w:t>.</w:t>
      </w:r>
    </w:p>
    <w:p w14:paraId="230E4A6C" w14:textId="77777777" w:rsidR="00382F9A" w:rsidRPr="00183D7F" w:rsidRDefault="00382F9A" w:rsidP="00DF733C">
      <w:pPr>
        <w:spacing w:after="0" w:line="229" w:lineRule="exact"/>
        <w:rPr>
          <w:rStyle w:val="cf01"/>
          <w:rFonts w:asciiTheme="minorHAnsi" w:hAnsiTheme="minorHAnsi" w:cstheme="minorHAnsi"/>
          <w:sz w:val="24"/>
          <w:szCs w:val="24"/>
          <w:highlight w:val="yellow"/>
        </w:rPr>
      </w:pPr>
    </w:p>
    <w:p w14:paraId="13135CCF" w14:textId="14DF4446" w:rsidR="00382F9A" w:rsidRPr="00335511" w:rsidRDefault="00382F9A" w:rsidP="00382F9A">
      <w:pPr>
        <w:rPr>
          <w:rFonts w:cstheme="minorHAnsi"/>
          <w:b/>
          <w:bCs/>
        </w:rPr>
      </w:pPr>
      <w:r w:rsidRPr="00335511">
        <w:rPr>
          <w:rFonts w:cstheme="minorHAnsi"/>
          <w:b/>
          <w:bCs/>
        </w:rPr>
        <w:t>Factor 1a</w:t>
      </w:r>
      <w:r w:rsidR="00F017A9" w:rsidRPr="00335511">
        <w:rPr>
          <w:rFonts w:cstheme="minorHAnsi"/>
          <w:b/>
          <w:bCs/>
        </w:rPr>
        <w:t>i</w:t>
      </w:r>
      <w:r w:rsidRPr="00335511">
        <w:rPr>
          <w:rFonts w:cstheme="minorHAnsi"/>
          <w:b/>
          <w:bCs/>
        </w:rPr>
        <w:t xml:space="preserve">: Patient Panel </w:t>
      </w:r>
    </w:p>
    <w:p w14:paraId="32D8C012" w14:textId="77777777" w:rsidR="00BF3831" w:rsidRPr="00335511" w:rsidRDefault="00BF3831" w:rsidP="00BF3831">
      <w:pPr>
        <w:spacing w:after="0" w:line="229" w:lineRule="exact"/>
        <w:rPr>
          <w:rFonts w:cstheme="minorHAnsi"/>
        </w:rPr>
      </w:pPr>
    </w:p>
    <w:p w14:paraId="457BBD11" w14:textId="1583E799" w:rsidR="00D33B9C" w:rsidRPr="00335511" w:rsidRDefault="00F970D1" w:rsidP="00916634">
      <w:pPr>
        <w:pStyle w:val="ListParagraph"/>
        <w:numPr>
          <w:ilvl w:val="0"/>
          <w:numId w:val="38"/>
        </w:numPr>
        <w:spacing w:after="0" w:line="229" w:lineRule="exact"/>
        <w:rPr>
          <w:rFonts w:cstheme="minorHAnsi"/>
          <w:b/>
          <w:bCs/>
        </w:rPr>
      </w:pPr>
      <w:r w:rsidRPr="00335511">
        <w:rPr>
          <w:rFonts w:cstheme="minorHAnsi"/>
          <w:b/>
          <w:bCs/>
        </w:rPr>
        <w:t xml:space="preserve">Please provide the number of unique patients served </w:t>
      </w:r>
      <w:r w:rsidR="00E36FE4" w:rsidRPr="00335511">
        <w:rPr>
          <w:rFonts w:cstheme="minorHAnsi"/>
          <w:b/>
          <w:bCs/>
        </w:rPr>
        <w:t>for 201</w:t>
      </w:r>
      <w:r w:rsidR="007D3C65" w:rsidRPr="00335511">
        <w:rPr>
          <w:rFonts w:cstheme="minorHAnsi"/>
          <w:b/>
          <w:bCs/>
        </w:rPr>
        <w:t>9</w:t>
      </w:r>
      <w:r w:rsidR="00E36FE4" w:rsidRPr="00335511">
        <w:rPr>
          <w:rFonts w:cstheme="minorHAnsi"/>
          <w:b/>
          <w:bCs/>
        </w:rPr>
        <w:t xml:space="preserve"> and 20</w:t>
      </w:r>
      <w:r w:rsidR="007D3C65" w:rsidRPr="00335511">
        <w:rPr>
          <w:rFonts w:cstheme="minorHAnsi"/>
          <w:b/>
          <w:bCs/>
        </w:rPr>
        <w:t>20</w:t>
      </w:r>
      <w:r w:rsidR="00E36FE4" w:rsidRPr="00335511">
        <w:rPr>
          <w:rFonts w:cstheme="minorHAnsi"/>
          <w:b/>
          <w:bCs/>
        </w:rPr>
        <w:t xml:space="preserve"> in the </w:t>
      </w:r>
      <w:r w:rsidR="00D94501" w:rsidRPr="00335511">
        <w:rPr>
          <w:rFonts w:cstheme="minorHAnsi"/>
          <w:b/>
          <w:bCs/>
        </w:rPr>
        <w:t>t</w:t>
      </w:r>
      <w:r w:rsidR="00E36FE4" w:rsidRPr="00335511">
        <w:rPr>
          <w:rFonts w:cstheme="minorHAnsi"/>
          <w:b/>
          <w:bCs/>
        </w:rPr>
        <w:t>able below</w:t>
      </w:r>
      <w:r w:rsidR="008A6BAF" w:rsidRPr="00335511">
        <w:rPr>
          <w:rFonts w:cstheme="minorHAnsi"/>
          <w:b/>
          <w:bCs/>
        </w:rPr>
        <w:t>. Please note</w:t>
      </w:r>
      <w:r w:rsidR="00CA0FB3" w:rsidRPr="00335511">
        <w:rPr>
          <w:rFonts w:cstheme="minorHAnsi"/>
          <w:b/>
          <w:bCs/>
        </w:rPr>
        <w:t>:</w:t>
      </w:r>
      <w:r w:rsidR="008A6BAF" w:rsidRPr="00335511">
        <w:rPr>
          <w:rFonts w:cstheme="minorHAnsi"/>
          <w:b/>
          <w:bCs/>
        </w:rPr>
        <w:t xml:space="preserve"> the </w:t>
      </w:r>
      <w:r w:rsidR="00E716F0" w:rsidRPr="00335511">
        <w:rPr>
          <w:rFonts w:cstheme="minorHAnsi"/>
          <w:b/>
          <w:bCs/>
        </w:rPr>
        <w:t xml:space="preserve">timeframes </w:t>
      </w:r>
      <w:r w:rsidR="00CA0FB3" w:rsidRPr="00335511">
        <w:rPr>
          <w:rFonts w:cstheme="minorHAnsi"/>
          <w:b/>
          <w:bCs/>
        </w:rPr>
        <w:t xml:space="preserve">for the data </w:t>
      </w:r>
      <w:r w:rsidR="00E716F0" w:rsidRPr="00335511">
        <w:rPr>
          <w:rFonts w:cstheme="minorHAnsi"/>
          <w:b/>
          <w:bCs/>
        </w:rPr>
        <w:t>should match the submissions in</w:t>
      </w:r>
      <w:r w:rsidR="00CA0FB3" w:rsidRPr="00335511">
        <w:rPr>
          <w:rFonts w:cstheme="minorHAnsi"/>
          <w:b/>
          <w:bCs/>
        </w:rPr>
        <w:t xml:space="preserve"> </w:t>
      </w:r>
      <w:r w:rsidR="00E716F0" w:rsidRPr="00335511">
        <w:rPr>
          <w:rFonts w:cstheme="minorHAnsi"/>
          <w:b/>
          <w:bCs/>
        </w:rPr>
        <w:t xml:space="preserve">Tables </w:t>
      </w:r>
      <w:r w:rsidR="00431EC4" w:rsidRPr="00335511">
        <w:rPr>
          <w:rFonts w:cstheme="minorHAnsi"/>
          <w:b/>
          <w:bCs/>
        </w:rPr>
        <w:t>1-3 in the Narrative</w:t>
      </w:r>
      <w:r w:rsidR="00CA0FB3" w:rsidRPr="00335511">
        <w:rPr>
          <w:rFonts w:cstheme="minorHAnsi"/>
          <w:b/>
          <w:bCs/>
        </w:rPr>
        <w:t xml:space="preserve"> (Fiscal year or Calendar year).</w:t>
      </w:r>
    </w:p>
    <w:p w14:paraId="28BCDDA0" w14:textId="77777777" w:rsidR="00335511" w:rsidRPr="00335511" w:rsidRDefault="00335511" w:rsidP="00335511">
      <w:pPr>
        <w:pStyle w:val="ListParagraph"/>
        <w:spacing w:after="0" w:line="229" w:lineRule="exact"/>
        <w:rPr>
          <w:rFonts w:cstheme="minorHAnsi"/>
        </w:rPr>
      </w:pPr>
    </w:p>
    <w:p w14:paraId="053EF142" w14:textId="7C1526E3" w:rsidR="0097197F" w:rsidRPr="0097197F" w:rsidRDefault="0097197F" w:rsidP="007B4150">
      <w:pPr>
        <w:pStyle w:val="ListParagraph"/>
        <w:spacing w:line="229" w:lineRule="exact"/>
        <w:jc w:val="both"/>
        <w:rPr>
          <w:rFonts w:cstheme="minorHAnsi"/>
        </w:rPr>
      </w:pPr>
      <w:r w:rsidRPr="0097197F">
        <w:rPr>
          <w:rFonts w:cstheme="minorHAnsi"/>
        </w:rPr>
        <w:t xml:space="preserve">Patient </w:t>
      </w:r>
      <w:r>
        <w:rPr>
          <w:rFonts w:cstheme="minorHAnsi"/>
        </w:rPr>
        <w:t>P</w:t>
      </w:r>
      <w:r w:rsidRPr="0097197F">
        <w:rPr>
          <w:rFonts w:cstheme="minorHAnsi"/>
        </w:rPr>
        <w:t xml:space="preserve">anel is defined at </w:t>
      </w:r>
      <w:r>
        <w:rPr>
          <w:rFonts w:cstheme="minorHAnsi"/>
        </w:rPr>
        <w:t xml:space="preserve">100 CMR 105.100 </w:t>
      </w:r>
      <w:r w:rsidRPr="0097197F">
        <w:rPr>
          <w:rFonts w:cstheme="minorHAnsi"/>
        </w:rPr>
        <w:t xml:space="preserve">as those patients seen over the course of the most recent complete 36-month period.  For purposes of this application, that period is 2021-2023.  Due to the timing of the </w:t>
      </w:r>
      <w:r>
        <w:rPr>
          <w:rFonts w:cstheme="minorHAnsi"/>
        </w:rPr>
        <w:t>A</w:t>
      </w:r>
      <w:r w:rsidRPr="0097197F">
        <w:rPr>
          <w:rFonts w:cstheme="minorHAnsi"/>
        </w:rPr>
        <w:t xml:space="preserve">pplication, the Applicant provided FY24 annualized as requested in the responses. BILH transferred data systems and is unable to pull patient panel data on the fiscal year for the years requested prior to 2021. In addition, the Applicant does not believe utilization data from FY19 and FY20 should or will have bearing on the </w:t>
      </w:r>
      <w:r>
        <w:rPr>
          <w:rFonts w:cstheme="minorHAnsi"/>
        </w:rPr>
        <w:t>A</w:t>
      </w:r>
      <w:r w:rsidRPr="0097197F">
        <w:rPr>
          <w:rFonts w:cstheme="minorHAnsi"/>
        </w:rPr>
        <w:t xml:space="preserve">pplication as it precedes the pandemic. Accordingly, responses (in whole or in part) to questions #1, 3, 4, and 5 will be limited to FY21-24. </w:t>
      </w:r>
    </w:p>
    <w:p w14:paraId="5D99CBEC" w14:textId="77777777" w:rsidR="00113ECA" w:rsidRDefault="00113ECA" w:rsidP="009C7D70">
      <w:pPr>
        <w:pStyle w:val="ListParagraph"/>
        <w:spacing w:after="0" w:line="229" w:lineRule="exact"/>
        <w:rPr>
          <w:rFonts w:cstheme="minorHAnsi"/>
        </w:rPr>
      </w:pPr>
    </w:p>
    <w:p w14:paraId="06AEEE69" w14:textId="7E3C21FD" w:rsidR="00A36E38" w:rsidRPr="00A36E38" w:rsidRDefault="00A36E38" w:rsidP="009C7D70">
      <w:pPr>
        <w:pStyle w:val="ListParagraph"/>
        <w:spacing w:after="0" w:line="229" w:lineRule="exact"/>
        <w:rPr>
          <w:rFonts w:cstheme="minorHAnsi"/>
          <w:b/>
          <w:bCs/>
        </w:rPr>
      </w:pPr>
      <w:r>
        <w:rPr>
          <w:rFonts w:cstheme="minorHAnsi"/>
          <w:b/>
          <w:bCs/>
        </w:rPr>
        <w:t>Table 1</w:t>
      </w:r>
    </w:p>
    <w:tbl>
      <w:tblPr>
        <w:tblStyle w:val="TableGrid"/>
        <w:tblW w:w="0" w:type="auto"/>
        <w:tblInd w:w="715" w:type="dxa"/>
        <w:tblLook w:val="04A0" w:firstRow="1" w:lastRow="0" w:firstColumn="1" w:lastColumn="0" w:noHBand="0" w:noVBand="1"/>
      </w:tblPr>
      <w:tblGrid>
        <w:gridCol w:w="3600"/>
        <w:gridCol w:w="1620"/>
        <w:gridCol w:w="1594"/>
      </w:tblGrid>
      <w:tr w:rsidR="005C1745" w:rsidRPr="00335511" w14:paraId="0013FC17" w14:textId="6DC14039" w:rsidTr="00B04B46">
        <w:trPr>
          <w:cantSplit/>
          <w:tblHeader/>
        </w:trPr>
        <w:tc>
          <w:tcPr>
            <w:tcW w:w="3600" w:type="dxa"/>
          </w:tcPr>
          <w:p w14:paraId="722A57F3" w14:textId="77777777" w:rsidR="005C1745" w:rsidRPr="00335511" w:rsidRDefault="005C1745" w:rsidP="005379D8">
            <w:pPr>
              <w:spacing w:line="229" w:lineRule="exact"/>
              <w:jc w:val="both"/>
              <w:rPr>
                <w:rFonts w:cstheme="minorHAnsi"/>
                <w:b/>
                <w:bCs/>
              </w:rPr>
            </w:pPr>
          </w:p>
        </w:tc>
        <w:tc>
          <w:tcPr>
            <w:tcW w:w="1620" w:type="dxa"/>
            <w:shd w:val="clear" w:color="auto" w:fill="auto"/>
          </w:tcPr>
          <w:p w14:paraId="1F64FB93" w14:textId="5BB0DE6D" w:rsidR="005C1745" w:rsidRPr="00335511" w:rsidRDefault="005C1745" w:rsidP="005379D8">
            <w:pPr>
              <w:spacing w:line="229" w:lineRule="exact"/>
              <w:jc w:val="both"/>
              <w:rPr>
                <w:rFonts w:cstheme="minorHAnsi"/>
                <w:b/>
                <w:bCs/>
              </w:rPr>
            </w:pPr>
            <w:r w:rsidRPr="00335511">
              <w:rPr>
                <w:rFonts w:cstheme="minorHAnsi"/>
                <w:b/>
                <w:bCs/>
              </w:rPr>
              <w:t>2019</w:t>
            </w:r>
          </w:p>
        </w:tc>
        <w:tc>
          <w:tcPr>
            <w:tcW w:w="1594" w:type="dxa"/>
          </w:tcPr>
          <w:p w14:paraId="29C9BF5F" w14:textId="7EDA6B52" w:rsidR="005C1745" w:rsidRPr="00335511" w:rsidRDefault="005C1745" w:rsidP="005379D8">
            <w:pPr>
              <w:spacing w:line="229" w:lineRule="exact"/>
              <w:jc w:val="both"/>
              <w:rPr>
                <w:rFonts w:cstheme="minorHAnsi"/>
                <w:b/>
                <w:bCs/>
              </w:rPr>
            </w:pPr>
            <w:r w:rsidRPr="00335511">
              <w:rPr>
                <w:rFonts w:cstheme="minorHAnsi"/>
                <w:b/>
                <w:bCs/>
              </w:rPr>
              <w:t>2020</w:t>
            </w:r>
          </w:p>
        </w:tc>
      </w:tr>
      <w:tr w:rsidR="00C60878" w:rsidRPr="00335511" w14:paraId="465DAC57" w14:textId="6706E1F3" w:rsidTr="00B04B46">
        <w:trPr>
          <w:cantSplit/>
        </w:trPr>
        <w:tc>
          <w:tcPr>
            <w:tcW w:w="3600" w:type="dxa"/>
          </w:tcPr>
          <w:p w14:paraId="45593175" w14:textId="5716552A" w:rsidR="00C60878" w:rsidRPr="00335511" w:rsidRDefault="00C60878" w:rsidP="00C60878">
            <w:pPr>
              <w:spacing w:line="229" w:lineRule="exact"/>
              <w:rPr>
                <w:rFonts w:cstheme="minorHAnsi"/>
                <w:b/>
                <w:bCs/>
              </w:rPr>
            </w:pPr>
            <w:r w:rsidRPr="00335511">
              <w:rPr>
                <w:rFonts w:ascii="Calibri" w:hAnsi="Calibri" w:cs="Calibri"/>
              </w:rPr>
              <w:t>BILH Overall Patient Panel</w:t>
            </w:r>
          </w:p>
        </w:tc>
        <w:tc>
          <w:tcPr>
            <w:tcW w:w="1620" w:type="dxa"/>
          </w:tcPr>
          <w:p w14:paraId="51B92217" w14:textId="77777777" w:rsidR="00C60878" w:rsidRPr="00335511" w:rsidRDefault="00C60878" w:rsidP="00C60878">
            <w:pPr>
              <w:spacing w:line="229" w:lineRule="exact"/>
              <w:jc w:val="both"/>
              <w:rPr>
                <w:rFonts w:cstheme="minorHAnsi"/>
                <w:b/>
                <w:bCs/>
              </w:rPr>
            </w:pPr>
          </w:p>
        </w:tc>
        <w:tc>
          <w:tcPr>
            <w:tcW w:w="1594" w:type="dxa"/>
          </w:tcPr>
          <w:p w14:paraId="0E170B63" w14:textId="77777777" w:rsidR="00C60878" w:rsidRPr="00335511" w:rsidRDefault="00C60878" w:rsidP="00C60878">
            <w:pPr>
              <w:spacing w:line="229" w:lineRule="exact"/>
              <w:jc w:val="both"/>
              <w:rPr>
                <w:rFonts w:cstheme="minorHAnsi"/>
                <w:b/>
                <w:bCs/>
              </w:rPr>
            </w:pPr>
          </w:p>
        </w:tc>
      </w:tr>
      <w:tr w:rsidR="00C60878" w:rsidRPr="00335511" w14:paraId="4ACF603E" w14:textId="2D109CF7" w:rsidTr="00B04B46">
        <w:trPr>
          <w:cantSplit/>
        </w:trPr>
        <w:tc>
          <w:tcPr>
            <w:tcW w:w="3600" w:type="dxa"/>
          </w:tcPr>
          <w:p w14:paraId="3343E172" w14:textId="1082021F" w:rsidR="00C60878" w:rsidRPr="00335511" w:rsidRDefault="00C60878" w:rsidP="00C60878">
            <w:pPr>
              <w:spacing w:line="229" w:lineRule="exact"/>
              <w:rPr>
                <w:b/>
                <w:bCs/>
              </w:rPr>
            </w:pPr>
            <w:r w:rsidRPr="00335511">
              <w:rPr>
                <w:rFonts w:ascii="Calibri" w:hAnsi="Calibri" w:cs="Calibri"/>
              </w:rPr>
              <w:t>BID-Plymouth</w:t>
            </w:r>
          </w:p>
        </w:tc>
        <w:tc>
          <w:tcPr>
            <w:tcW w:w="1620" w:type="dxa"/>
          </w:tcPr>
          <w:p w14:paraId="200A6B9E" w14:textId="77777777" w:rsidR="00C60878" w:rsidRPr="00335511" w:rsidRDefault="00C60878" w:rsidP="00C60878">
            <w:pPr>
              <w:spacing w:line="229" w:lineRule="exact"/>
              <w:jc w:val="both"/>
              <w:rPr>
                <w:rFonts w:cstheme="minorHAnsi"/>
                <w:b/>
                <w:bCs/>
              </w:rPr>
            </w:pPr>
          </w:p>
        </w:tc>
        <w:tc>
          <w:tcPr>
            <w:tcW w:w="1594" w:type="dxa"/>
          </w:tcPr>
          <w:p w14:paraId="71628BBD" w14:textId="77777777" w:rsidR="00C60878" w:rsidRPr="00335511" w:rsidRDefault="00C60878" w:rsidP="00C60878">
            <w:pPr>
              <w:spacing w:line="229" w:lineRule="exact"/>
              <w:jc w:val="both"/>
              <w:rPr>
                <w:rFonts w:cstheme="minorHAnsi"/>
                <w:b/>
                <w:bCs/>
              </w:rPr>
            </w:pPr>
          </w:p>
        </w:tc>
      </w:tr>
      <w:tr w:rsidR="00C60878" w:rsidRPr="00335511" w14:paraId="4881E193" w14:textId="2391F148" w:rsidTr="00B04B46">
        <w:trPr>
          <w:cantSplit/>
        </w:trPr>
        <w:tc>
          <w:tcPr>
            <w:tcW w:w="3600" w:type="dxa"/>
          </w:tcPr>
          <w:p w14:paraId="7280CFBF" w14:textId="71D1BCD0" w:rsidR="00C60878" w:rsidRPr="00335511" w:rsidRDefault="00C60878" w:rsidP="00C60878">
            <w:pPr>
              <w:spacing w:line="229" w:lineRule="exact"/>
              <w:rPr>
                <w:b/>
                <w:bCs/>
              </w:rPr>
            </w:pPr>
            <w:r w:rsidRPr="00335511">
              <w:rPr>
                <w:rFonts w:ascii="Calibri" w:hAnsi="Calibri" w:cs="Calibri"/>
              </w:rPr>
              <w:t>BID-P Emergency Department</w:t>
            </w:r>
          </w:p>
        </w:tc>
        <w:tc>
          <w:tcPr>
            <w:tcW w:w="1620" w:type="dxa"/>
          </w:tcPr>
          <w:p w14:paraId="18BA920E" w14:textId="77777777" w:rsidR="00C60878" w:rsidRPr="00335511" w:rsidRDefault="00C60878" w:rsidP="00C60878">
            <w:pPr>
              <w:spacing w:line="229" w:lineRule="exact"/>
              <w:jc w:val="both"/>
              <w:rPr>
                <w:rFonts w:cstheme="minorHAnsi"/>
                <w:b/>
                <w:bCs/>
              </w:rPr>
            </w:pPr>
          </w:p>
        </w:tc>
        <w:tc>
          <w:tcPr>
            <w:tcW w:w="1594" w:type="dxa"/>
          </w:tcPr>
          <w:p w14:paraId="30E20C5B" w14:textId="77777777" w:rsidR="00C60878" w:rsidRPr="00335511" w:rsidRDefault="00C60878" w:rsidP="00C60878">
            <w:pPr>
              <w:spacing w:line="229" w:lineRule="exact"/>
              <w:jc w:val="both"/>
              <w:rPr>
                <w:rFonts w:cstheme="minorHAnsi"/>
                <w:b/>
                <w:bCs/>
              </w:rPr>
            </w:pPr>
          </w:p>
        </w:tc>
      </w:tr>
    </w:tbl>
    <w:p w14:paraId="22A11000" w14:textId="77777777" w:rsidR="005379D8" w:rsidRPr="00335511" w:rsidRDefault="005379D8" w:rsidP="005379D8">
      <w:pPr>
        <w:spacing w:after="0" w:line="229" w:lineRule="exact"/>
        <w:jc w:val="both"/>
        <w:rPr>
          <w:rFonts w:cstheme="minorHAnsi"/>
          <w:b/>
          <w:bCs/>
          <w:highlight w:val="yellow"/>
        </w:rPr>
      </w:pPr>
    </w:p>
    <w:p w14:paraId="0E62ACE9" w14:textId="7076F49C" w:rsidR="00FA2CD1" w:rsidRPr="00335511" w:rsidRDefault="00106F2E" w:rsidP="00D17C2F">
      <w:pPr>
        <w:pStyle w:val="ListParagraph"/>
        <w:numPr>
          <w:ilvl w:val="0"/>
          <w:numId w:val="38"/>
        </w:numPr>
        <w:spacing w:before="240" w:after="0" w:line="229" w:lineRule="exact"/>
        <w:rPr>
          <w:rFonts w:cstheme="minorHAnsi"/>
          <w:b/>
          <w:bCs/>
        </w:rPr>
      </w:pPr>
      <w:r w:rsidRPr="00335511">
        <w:rPr>
          <w:rFonts w:cstheme="minorHAnsi"/>
          <w:b/>
          <w:bCs/>
        </w:rPr>
        <w:t xml:space="preserve">For the 2023 </w:t>
      </w:r>
      <w:r w:rsidR="00517D5A" w:rsidRPr="00335511">
        <w:rPr>
          <w:rFonts w:cstheme="minorHAnsi"/>
          <w:b/>
          <w:bCs/>
        </w:rPr>
        <w:t xml:space="preserve">BILH Overall Patient Panel </w:t>
      </w:r>
      <w:r w:rsidR="00EA5364" w:rsidRPr="00335511">
        <w:rPr>
          <w:rFonts w:cstheme="minorHAnsi"/>
          <w:b/>
          <w:bCs/>
        </w:rPr>
        <w:t>(</w:t>
      </w:r>
      <w:r w:rsidR="00325C01" w:rsidRPr="00335511">
        <w:rPr>
          <w:rFonts w:cstheme="minorHAnsi"/>
          <w:b/>
          <w:bCs/>
        </w:rPr>
        <w:t xml:space="preserve">on Table 1, page 3 of the Narrative), please break down the </w:t>
      </w:r>
      <w:r w:rsidR="005C1922" w:rsidRPr="00335511">
        <w:rPr>
          <w:rFonts w:cstheme="minorHAnsi"/>
          <w:b/>
          <w:bCs/>
        </w:rPr>
        <w:t>age demographics according to the table below:</w:t>
      </w:r>
    </w:p>
    <w:p w14:paraId="703BF1C1" w14:textId="77777777" w:rsidR="009C7D70" w:rsidRDefault="009C7D70" w:rsidP="009C7D70">
      <w:pPr>
        <w:pStyle w:val="ListParagraph"/>
        <w:spacing w:before="240" w:after="0" w:line="229" w:lineRule="exact"/>
        <w:rPr>
          <w:rFonts w:cstheme="minorHAnsi"/>
        </w:rPr>
      </w:pPr>
    </w:p>
    <w:p w14:paraId="2C970D02" w14:textId="38311F8A" w:rsidR="00A36E38" w:rsidRPr="00A36E38" w:rsidRDefault="00A36E38" w:rsidP="009C7D70">
      <w:pPr>
        <w:pStyle w:val="ListParagraph"/>
        <w:spacing w:before="240" w:after="0" w:line="229" w:lineRule="exact"/>
        <w:rPr>
          <w:rFonts w:cstheme="minorHAnsi"/>
          <w:b/>
          <w:bCs/>
        </w:rPr>
      </w:pPr>
      <w:r w:rsidRPr="00A36E38">
        <w:rPr>
          <w:rFonts w:cstheme="minorHAnsi"/>
          <w:b/>
          <w:bCs/>
        </w:rPr>
        <w:t>Table 2</w:t>
      </w:r>
    </w:p>
    <w:tbl>
      <w:tblPr>
        <w:tblStyle w:val="TableGrid"/>
        <w:tblW w:w="0" w:type="auto"/>
        <w:tblInd w:w="715" w:type="dxa"/>
        <w:tblLook w:val="04A0" w:firstRow="1" w:lastRow="0" w:firstColumn="1" w:lastColumn="0" w:noHBand="0" w:noVBand="1"/>
      </w:tblPr>
      <w:tblGrid>
        <w:gridCol w:w="2335"/>
        <w:gridCol w:w="1980"/>
        <w:gridCol w:w="2070"/>
      </w:tblGrid>
      <w:tr w:rsidR="00865B23" w:rsidRPr="00335511" w14:paraId="0BD24FAC" w14:textId="14C186B5" w:rsidTr="00B04B46">
        <w:trPr>
          <w:cantSplit/>
          <w:trHeight w:val="144"/>
          <w:tblHeader/>
        </w:trPr>
        <w:tc>
          <w:tcPr>
            <w:tcW w:w="2335" w:type="dxa"/>
          </w:tcPr>
          <w:p w14:paraId="23059382" w14:textId="6F6F9BC4" w:rsidR="00865B23" w:rsidRPr="00335511" w:rsidRDefault="00865B23" w:rsidP="00865B23">
            <w:pPr>
              <w:ind w:left="520" w:hanging="557"/>
              <w:contextualSpacing/>
              <w:rPr>
                <w:rFonts w:eastAsia="Calibri" w:cstheme="minorHAnsi"/>
                <w:b/>
              </w:rPr>
            </w:pPr>
            <w:r w:rsidRPr="00335511">
              <w:rPr>
                <w:rFonts w:eastAsia="Calibri" w:cstheme="minorHAnsi"/>
                <w:b/>
              </w:rPr>
              <w:t xml:space="preserve">Age </w:t>
            </w:r>
          </w:p>
        </w:tc>
        <w:tc>
          <w:tcPr>
            <w:tcW w:w="1980" w:type="dxa"/>
          </w:tcPr>
          <w:p w14:paraId="27F8B8B2" w14:textId="5FFDFBF2" w:rsidR="00865B23" w:rsidRPr="00335511" w:rsidRDefault="00865B23" w:rsidP="00865B23">
            <w:pPr>
              <w:ind w:left="520" w:hanging="557"/>
              <w:contextualSpacing/>
              <w:jc w:val="right"/>
              <w:rPr>
                <w:rFonts w:eastAsia="Calibri" w:cstheme="minorHAnsi"/>
                <w:b/>
                <w:highlight w:val="yellow"/>
              </w:rPr>
            </w:pPr>
            <w:r w:rsidRPr="00335511">
              <w:rPr>
                <w:rFonts w:ascii="Calibri" w:hAnsi="Calibri" w:cs="Calibri"/>
                <w:b/>
                <w:bCs/>
              </w:rPr>
              <w:t>Count</w:t>
            </w:r>
          </w:p>
        </w:tc>
        <w:tc>
          <w:tcPr>
            <w:tcW w:w="2070" w:type="dxa"/>
          </w:tcPr>
          <w:p w14:paraId="5F599229" w14:textId="2DB74C28" w:rsidR="00865B23" w:rsidRPr="00335511" w:rsidRDefault="00865B23" w:rsidP="00865B23">
            <w:pPr>
              <w:ind w:left="520" w:hanging="557"/>
              <w:contextualSpacing/>
              <w:jc w:val="right"/>
              <w:rPr>
                <w:rFonts w:eastAsia="Calibri" w:cstheme="minorHAnsi"/>
                <w:b/>
                <w:highlight w:val="yellow"/>
              </w:rPr>
            </w:pPr>
            <w:r w:rsidRPr="00335511">
              <w:rPr>
                <w:rFonts w:ascii="Calibri" w:hAnsi="Calibri" w:cs="Calibri"/>
                <w:b/>
                <w:bCs/>
              </w:rPr>
              <w:t>Percent</w:t>
            </w:r>
          </w:p>
        </w:tc>
      </w:tr>
      <w:tr w:rsidR="004F563B" w:rsidRPr="00335511" w14:paraId="4E6AD3F9" w14:textId="0A4928E2" w:rsidTr="00317929">
        <w:trPr>
          <w:cantSplit/>
          <w:trHeight w:val="144"/>
        </w:trPr>
        <w:tc>
          <w:tcPr>
            <w:tcW w:w="2335" w:type="dxa"/>
          </w:tcPr>
          <w:p w14:paraId="1E472625" w14:textId="77777777" w:rsidR="00865B23" w:rsidRPr="00335511" w:rsidRDefault="00865B23" w:rsidP="00865B23">
            <w:pPr>
              <w:contextualSpacing/>
              <w:rPr>
                <w:rFonts w:eastAsia="Calibri" w:cstheme="minorHAnsi"/>
                <w:bCs/>
              </w:rPr>
            </w:pPr>
            <w:r w:rsidRPr="00335511">
              <w:rPr>
                <w:rFonts w:eastAsia="Calibri" w:cstheme="minorHAnsi"/>
                <w:bCs/>
              </w:rPr>
              <w:t xml:space="preserve">    </w:t>
            </w:r>
            <w:r w:rsidRPr="00335511">
              <w:rPr>
                <w:rFonts w:cstheme="minorHAnsi"/>
              </w:rPr>
              <w:t>0 to 17</w:t>
            </w:r>
          </w:p>
        </w:tc>
        <w:tc>
          <w:tcPr>
            <w:tcW w:w="1980" w:type="dxa"/>
          </w:tcPr>
          <w:p w14:paraId="2A8F16CF" w14:textId="6BF15AD1" w:rsidR="00865B23" w:rsidRPr="00335511" w:rsidRDefault="00865B23" w:rsidP="00865B23">
            <w:pPr>
              <w:ind w:left="720" w:hanging="557"/>
              <w:contextualSpacing/>
              <w:jc w:val="right"/>
              <w:rPr>
                <w:rFonts w:cstheme="minorHAnsi"/>
              </w:rPr>
            </w:pPr>
            <w:r w:rsidRPr="00335511">
              <w:rPr>
                <w:rFonts w:ascii="Calibri" w:hAnsi="Calibri" w:cs="Calibri"/>
              </w:rPr>
              <w:t xml:space="preserve">98,201 </w:t>
            </w:r>
          </w:p>
        </w:tc>
        <w:tc>
          <w:tcPr>
            <w:tcW w:w="2070" w:type="dxa"/>
          </w:tcPr>
          <w:p w14:paraId="33B20E7D" w14:textId="2535FE49" w:rsidR="00865B23" w:rsidRPr="00335511" w:rsidRDefault="00865B23" w:rsidP="00865B23">
            <w:pPr>
              <w:ind w:left="720" w:hanging="557"/>
              <w:contextualSpacing/>
              <w:jc w:val="right"/>
              <w:rPr>
                <w:rFonts w:cstheme="minorHAnsi"/>
              </w:rPr>
            </w:pPr>
            <w:r w:rsidRPr="00335511">
              <w:rPr>
                <w:rFonts w:ascii="Calibri" w:hAnsi="Calibri" w:cs="Calibri"/>
              </w:rPr>
              <w:t>7.0%</w:t>
            </w:r>
          </w:p>
        </w:tc>
      </w:tr>
      <w:tr w:rsidR="004F563B" w:rsidRPr="00335511" w14:paraId="731F7442" w14:textId="50E2A794" w:rsidTr="00317929">
        <w:trPr>
          <w:cantSplit/>
          <w:trHeight w:val="144"/>
        </w:trPr>
        <w:tc>
          <w:tcPr>
            <w:tcW w:w="2335" w:type="dxa"/>
          </w:tcPr>
          <w:p w14:paraId="7352C9F3" w14:textId="77777777" w:rsidR="00865B23" w:rsidRPr="00335511" w:rsidRDefault="00865B23" w:rsidP="00865B23">
            <w:pPr>
              <w:contextualSpacing/>
              <w:rPr>
                <w:rFonts w:eastAsia="Calibri" w:cstheme="minorHAnsi"/>
                <w:b/>
              </w:rPr>
            </w:pPr>
            <w:r w:rsidRPr="00335511">
              <w:rPr>
                <w:rFonts w:cstheme="minorHAnsi"/>
              </w:rPr>
              <w:t xml:space="preserve">   18 to 25</w:t>
            </w:r>
          </w:p>
        </w:tc>
        <w:tc>
          <w:tcPr>
            <w:tcW w:w="1980" w:type="dxa"/>
          </w:tcPr>
          <w:p w14:paraId="4A1A6EF4" w14:textId="236901D3" w:rsidR="00865B23" w:rsidRPr="00335511" w:rsidRDefault="00865B23" w:rsidP="00865B23">
            <w:pPr>
              <w:ind w:left="720" w:hanging="557"/>
              <w:contextualSpacing/>
              <w:jc w:val="right"/>
              <w:rPr>
                <w:rFonts w:cstheme="minorHAnsi"/>
              </w:rPr>
            </w:pPr>
            <w:r w:rsidRPr="00335511">
              <w:rPr>
                <w:rFonts w:ascii="Calibri" w:hAnsi="Calibri" w:cs="Calibri"/>
              </w:rPr>
              <w:t xml:space="preserve">169,171 </w:t>
            </w:r>
          </w:p>
        </w:tc>
        <w:tc>
          <w:tcPr>
            <w:tcW w:w="2070" w:type="dxa"/>
          </w:tcPr>
          <w:p w14:paraId="2243AE43" w14:textId="0E77C430" w:rsidR="00865B23" w:rsidRPr="00335511" w:rsidRDefault="00865B23" w:rsidP="00865B23">
            <w:pPr>
              <w:ind w:left="720" w:hanging="557"/>
              <w:contextualSpacing/>
              <w:jc w:val="right"/>
              <w:rPr>
                <w:rFonts w:cstheme="minorHAnsi"/>
              </w:rPr>
            </w:pPr>
            <w:r w:rsidRPr="00335511">
              <w:rPr>
                <w:rFonts w:ascii="Calibri" w:hAnsi="Calibri" w:cs="Calibri"/>
              </w:rPr>
              <w:t>12.1%</w:t>
            </w:r>
          </w:p>
        </w:tc>
      </w:tr>
      <w:tr w:rsidR="004F563B" w:rsidRPr="00335511" w14:paraId="4943AB46" w14:textId="1980FD7C" w:rsidTr="00317929">
        <w:trPr>
          <w:cantSplit/>
          <w:trHeight w:val="144"/>
        </w:trPr>
        <w:tc>
          <w:tcPr>
            <w:tcW w:w="2335" w:type="dxa"/>
          </w:tcPr>
          <w:p w14:paraId="18BBFE37" w14:textId="77777777" w:rsidR="00865B23" w:rsidRPr="00335511" w:rsidRDefault="00865B23" w:rsidP="00865B23">
            <w:pPr>
              <w:ind w:left="720" w:hanging="557"/>
              <w:contextualSpacing/>
              <w:rPr>
                <w:rFonts w:eastAsia="Calibri" w:cstheme="minorHAnsi"/>
                <w:bCs/>
              </w:rPr>
            </w:pPr>
            <w:r w:rsidRPr="00335511">
              <w:rPr>
                <w:rFonts w:eastAsia="Calibri" w:cstheme="minorHAnsi"/>
                <w:bCs/>
              </w:rPr>
              <w:t>26 to 45</w:t>
            </w:r>
          </w:p>
        </w:tc>
        <w:tc>
          <w:tcPr>
            <w:tcW w:w="1980" w:type="dxa"/>
          </w:tcPr>
          <w:p w14:paraId="7F144FBB" w14:textId="23AE1252" w:rsidR="00865B23" w:rsidRPr="00335511" w:rsidRDefault="00865B23" w:rsidP="00865B23">
            <w:pPr>
              <w:ind w:left="720" w:hanging="557"/>
              <w:contextualSpacing/>
              <w:jc w:val="right"/>
              <w:rPr>
                <w:rFonts w:cstheme="minorHAnsi"/>
              </w:rPr>
            </w:pPr>
            <w:r w:rsidRPr="00335511">
              <w:rPr>
                <w:rFonts w:ascii="Calibri" w:hAnsi="Calibri" w:cs="Calibri"/>
              </w:rPr>
              <w:t xml:space="preserve">423,129 </w:t>
            </w:r>
          </w:p>
        </w:tc>
        <w:tc>
          <w:tcPr>
            <w:tcW w:w="2070" w:type="dxa"/>
          </w:tcPr>
          <w:p w14:paraId="048939EB" w14:textId="6801A60F" w:rsidR="00865B23" w:rsidRPr="00335511" w:rsidRDefault="00865B23" w:rsidP="00865B23">
            <w:pPr>
              <w:ind w:left="720" w:hanging="557"/>
              <w:contextualSpacing/>
              <w:jc w:val="right"/>
              <w:rPr>
                <w:rFonts w:cstheme="minorHAnsi"/>
              </w:rPr>
            </w:pPr>
            <w:r w:rsidRPr="00335511">
              <w:rPr>
                <w:rFonts w:ascii="Calibri" w:hAnsi="Calibri" w:cs="Calibri"/>
              </w:rPr>
              <w:t>30.2%</w:t>
            </w:r>
          </w:p>
        </w:tc>
      </w:tr>
      <w:tr w:rsidR="004F563B" w:rsidRPr="00335511" w14:paraId="63630F8D" w14:textId="1F7FA4DF" w:rsidTr="00317929">
        <w:trPr>
          <w:cantSplit/>
          <w:trHeight w:val="144"/>
        </w:trPr>
        <w:tc>
          <w:tcPr>
            <w:tcW w:w="2335" w:type="dxa"/>
          </w:tcPr>
          <w:p w14:paraId="440E7D76" w14:textId="77777777" w:rsidR="00865B23" w:rsidRPr="00335511" w:rsidRDefault="00865B23" w:rsidP="00865B23">
            <w:pPr>
              <w:ind w:left="720" w:hanging="557"/>
              <w:contextualSpacing/>
              <w:rPr>
                <w:rFonts w:eastAsia="Calibri" w:cstheme="minorHAnsi"/>
                <w:bCs/>
              </w:rPr>
            </w:pPr>
            <w:r w:rsidRPr="00335511">
              <w:rPr>
                <w:rFonts w:cstheme="minorHAnsi"/>
              </w:rPr>
              <w:t>46 to 64</w:t>
            </w:r>
          </w:p>
        </w:tc>
        <w:tc>
          <w:tcPr>
            <w:tcW w:w="1980" w:type="dxa"/>
          </w:tcPr>
          <w:p w14:paraId="7AEFFA52" w14:textId="224C7839" w:rsidR="00865B23" w:rsidRPr="00335511" w:rsidRDefault="00865B23" w:rsidP="00865B23">
            <w:pPr>
              <w:ind w:left="720" w:hanging="557"/>
              <w:contextualSpacing/>
              <w:jc w:val="right"/>
              <w:rPr>
                <w:rFonts w:cstheme="minorHAnsi"/>
              </w:rPr>
            </w:pPr>
            <w:r w:rsidRPr="00335511">
              <w:rPr>
                <w:rFonts w:ascii="Calibri" w:hAnsi="Calibri" w:cs="Calibri"/>
              </w:rPr>
              <w:t xml:space="preserve">255,776 </w:t>
            </w:r>
          </w:p>
        </w:tc>
        <w:tc>
          <w:tcPr>
            <w:tcW w:w="2070" w:type="dxa"/>
          </w:tcPr>
          <w:p w14:paraId="7EE4B0D6" w14:textId="6AACF653" w:rsidR="00865B23" w:rsidRPr="00335511" w:rsidRDefault="00865B23" w:rsidP="00865B23">
            <w:pPr>
              <w:ind w:left="720" w:hanging="557"/>
              <w:contextualSpacing/>
              <w:jc w:val="right"/>
              <w:rPr>
                <w:rFonts w:cstheme="minorHAnsi"/>
              </w:rPr>
            </w:pPr>
            <w:r w:rsidRPr="00335511">
              <w:rPr>
                <w:rFonts w:ascii="Calibri" w:hAnsi="Calibri" w:cs="Calibri"/>
              </w:rPr>
              <w:t>18.3%</w:t>
            </w:r>
          </w:p>
        </w:tc>
      </w:tr>
      <w:tr w:rsidR="004F563B" w:rsidRPr="00335511" w14:paraId="7A1F9FCA" w14:textId="2660F9EE" w:rsidTr="00317929">
        <w:trPr>
          <w:cantSplit/>
          <w:trHeight w:val="144"/>
        </w:trPr>
        <w:tc>
          <w:tcPr>
            <w:tcW w:w="2335" w:type="dxa"/>
          </w:tcPr>
          <w:p w14:paraId="6A58867C" w14:textId="77777777" w:rsidR="00865B23" w:rsidRPr="00335511" w:rsidRDefault="00865B23" w:rsidP="00865B23">
            <w:pPr>
              <w:ind w:left="720" w:hanging="557"/>
              <w:contextualSpacing/>
              <w:rPr>
                <w:rFonts w:eastAsia="Calibri" w:cstheme="minorHAnsi"/>
                <w:bCs/>
              </w:rPr>
            </w:pPr>
            <w:r w:rsidRPr="00335511">
              <w:rPr>
                <w:rFonts w:cstheme="minorHAnsi"/>
              </w:rPr>
              <w:t>65 and Older</w:t>
            </w:r>
          </w:p>
        </w:tc>
        <w:tc>
          <w:tcPr>
            <w:tcW w:w="1980" w:type="dxa"/>
          </w:tcPr>
          <w:p w14:paraId="612C4353" w14:textId="0872C345" w:rsidR="00865B23" w:rsidRPr="00335511" w:rsidRDefault="00865B23" w:rsidP="00865B23">
            <w:pPr>
              <w:ind w:left="720" w:hanging="557"/>
              <w:contextualSpacing/>
              <w:jc w:val="right"/>
              <w:rPr>
                <w:rFonts w:cstheme="minorHAnsi"/>
              </w:rPr>
            </w:pPr>
            <w:r w:rsidRPr="00335511">
              <w:rPr>
                <w:rFonts w:ascii="Calibri" w:hAnsi="Calibri" w:cs="Calibri"/>
              </w:rPr>
              <w:t>452,644</w:t>
            </w:r>
          </w:p>
        </w:tc>
        <w:tc>
          <w:tcPr>
            <w:tcW w:w="2070" w:type="dxa"/>
          </w:tcPr>
          <w:p w14:paraId="7160E06C" w14:textId="35B9DDDF" w:rsidR="00865B23" w:rsidRPr="00335511" w:rsidRDefault="00865B23" w:rsidP="00865B23">
            <w:pPr>
              <w:ind w:left="720" w:hanging="557"/>
              <w:contextualSpacing/>
              <w:jc w:val="right"/>
              <w:rPr>
                <w:rFonts w:cstheme="minorHAnsi"/>
              </w:rPr>
            </w:pPr>
            <w:r w:rsidRPr="00335511">
              <w:rPr>
                <w:rFonts w:ascii="Calibri" w:hAnsi="Calibri" w:cs="Calibri"/>
              </w:rPr>
              <w:t>32.4%</w:t>
            </w:r>
          </w:p>
        </w:tc>
      </w:tr>
      <w:tr w:rsidR="004F563B" w:rsidRPr="00335511" w14:paraId="532C8D0F" w14:textId="2C8E7B95" w:rsidTr="00865B23">
        <w:trPr>
          <w:cantSplit/>
          <w:trHeight w:val="144"/>
        </w:trPr>
        <w:tc>
          <w:tcPr>
            <w:tcW w:w="2335" w:type="dxa"/>
          </w:tcPr>
          <w:p w14:paraId="2A420404" w14:textId="77777777" w:rsidR="00865B23" w:rsidRPr="00335511" w:rsidRDefault="00865B23" w:rsidP="00865B23">
            <w:pPr>
              <w:ind w:left="720" w:hanging="557"/>
              <w:contextualSpacing/>
              <w:rPr>
                <w:rFonts w:eastAsia="Calibri" w:cstheme="minorHAnsi"/>
                <w:bCs/>
              </w:rPr>
            </w:pPr>
            <w:r w:rsidRPr="00335511">
              <w:rPr>
                <w:rFonts w:eastAsia="Calibri" w:cstheme="minorHAnsi"/>
                <w:b/>
              </w:rPr>
              <w:t xml:space="preserve"> Total</w:t>
            </w:r>
          </w:p>
        </w:tc>
        <w:tc>
          <w:tcPr>
            <w:tcW w:w="1980" w:type="dxa"/>
          </w:tcPr>
          <w:p w14:paraId="41A0DC34" w14:textId="36818981" w:rsidR="00865B23" w:rsidRPr="00335511" w:rsidRDefault="00865B23" w:rsidP="00865B23">
            <w:pPr>
              <w:ind w:left="720" w:hanging="557"/>
              <w:contextualSpacing/>
              <w:jc w:val="right"/>
              <w:rPr>
                <w:rFonts w:cstheme="minorHAnsi"/>
                <w:highlight w:val="yellow"/>
              </w:rPr>
            </w:pPr>
            <w:r w:rsidRPr="00335511">
              <w:rPr>
                <w:rFonts w:ascii="Calibri" w:hAnsi="Calibri" w:cs="Calibri"/>
                <w:b/>
                <w:bCs/>
              </w:rPr>
              <w:t xml:space="preserve">1,398,921 </w:t>
            </w:r>
          </w:p>
        </w:tc>
        <w:tc>
          <w:tcPr>
            <w:tcW w:w="2070" w:type="dxa"/>
          </w:tcPr>
          <w:p w14:paraId="7127CFC7" w14:textId="62F8E161" w:rsidR="00865B23" w:rsidRPr="00335511" w:rsidRDefault="00865B23" w:rsidP="00865B23">
            <w:pPr>
              <w:ind w:left="720" w:hanging="557"/>
              <w:contextualSpacing/>
              <w:jc w:val="right"/>
              <w:rPr>
                <w:rFonts w:eastAsia="Calibri" w:cstheme="minorHAnsi"/>
                <w:b/>
              </w:rPr>
            </w:pPr>
            <w:r w:rsidRPr="00335511">
              <w:rPr>
                <w:rFonts w:ascii="Calibri" w:hAnsi="Calibri" w:cs="Calibri"/>
                <w:b/>
                <w:bCs/>
              </w:rPr>
              <w:t>100.0%</w:t>
            </w:r>
          </w:p>
        </w:tc>
      </w:tr>
    </w:tbl>
    <w:p w14:paraId="35B2C476" w14:textId="77777777" w:rsidR="000A0549" w:rsidRPr="00335511" w:rsidRDefault="000A0549" w:rsidP="000A0549">
      <w:pPr>
        <w:rPr>
          <w:rFonts w:ascii="Calibri" w:hAnsi="Calibri" w:cs="Calibri"/>
          <w:color w:val="1F497D"/>
        </w:rPr>
      </w:pPr>
    </w:p>
    <w:p w14:paraId="777AC776" w14:textId="77777777" w:rsidR="000A0549" w:rsidRPr="00335511" w:rsidRDefault="000A0549" w:rsidP="000A0549">
      <w:pPr>
        <w:rPr>
          <w:rFonts w:ascii="Calibri" w:hAnsi="Calibri" w:cs="Calibri"/>
          <w:b/>
          <w:bCs/>
        </w:rPr>
      </w:pPr>
    </w:p>
    <w:p w14:paraId="6CD46080" w14:textId="77777777" w:rsidR="000A0549" w:rsidRPr="00335511" w:rsidRDefault="000A0549" w:rsidP="000A0549">
      <w:pPr>
        <w:rPr>
          <w:rFonts w:ascii="Calibri" w:hAnsi="Calibri" w:cs="Calibri"/>
          <w:b/>
          <w:bCs/>
        </w:rPr>
      </w:pPr>
    </w:p>
    <w:p w14:paraId="1535BBCD" w14:textId="77777777" w:rsidR="000A0549" w:rsidRPr="00335511" w:rsidRDefault="000A0549" w:rsidP="000A0549">
      <w:pPr>
        <w:rPr>
          <w:rFonts w:ascii="Calibri" w:hAnsi="Calibri" w:cs="Calibri"/>
          <w:b/>
          <w:bCs/>
        </w:rPr>
      </w:pPr>
    </w:p>
    <w:p w14:paraId="0DF329A8" w14:textId="77777777" w:rsidR="00922EC2" w:rsidRPr="00335511" w:rsidRDefault="00922EC2" w:rsidP="000A0549">
      <w:pPr>
        <w:rPr>
          <w:rFonts w:ascii="Calibri" w:hAnsi="Calibri" w:cs="Calibri"/>
          <w:b/>
          <w:bCs/>
        </w:rPr>
      </w:pPr>
    </w:p>
    <w:p w14:paraId="4A6CB1BF" w14:textId="77777777" w:rsidR="00FC6436" w:rsidRPr="00335511" w:rsidRDefault="00FC6436" w:rsidP="000A0549">
      <w:pPr>
        <w:rPr>
          <w:rFonts w:ascii="Calibri" w:hAnsi="Calibri" w:cs="Calibri"/>
          <w:b/>
          <w:bCs/>
        </w:rPr>
      </w:pPr>
    </w:p>
    <w:p w14:paraId="1B042802" w14:textId="77777777" w:rsidR="000A0549" w:rsidRPr="00335511" w:rsidRDefault="000A0549" w:rsidP="000A0549">
      <w:pPr>
        <w:spacing w:before="240" w:after="0" w:line="229" w:lineRule="exact"/>
        <w:rPr>
          <w:rFonts w:cstheme="minorHAnsi"/>
        </w:rPr>
      </w:pPr>
    </w:p>
    <w:p w14:paraId="0B2210D9" w14:textId="31D3878E" w:rsidR="005C1922" w:rsidRPr="00335511" w:rsidRDefault="00CB3DC0" w:rsidP="00D17C2F">
      <w:pPr>
        <w:pStyle w:val="ListParagraph"/>
        <w:numPr>
          <w:ilvl w:val="0"/>
          <w:numId w:val="38"/>
        </w:numPr>
        <w:spacing w:before="240" w:after="0" w:line="229" w:lineRule="exact"/>
        <w:rPr>
          <w:rFonts w:cstheme="minorHAnsi"/>
          <w:b/>
          <w:bCs/>
        </w:rPr>
      </w:pPr>
      <w:r w:rsidRPr="00335511">
        <w:rPr>
          <w:rFonts w:cstheme="minorHAnsi"/>
          <w:b/>
          <w:bCs/>
        </w:rPr>
        <w:t xml:space="preserve">For the Historical ED Visits Table (Table 4, page </w:t>
      </w:r>
      <w:r w:rsidR="00F95028" w:rsidRPr="00335511">
        <w:rPr>
          <w:rFonts w:cstheme="minorHAnsi"/>
          <w:b/>
          <w:bCs/>
        </w:rPr>
        <w:t xml:space="preserve">6 of the Narrative), please </w:t>
      </w:r>
      <w:r w:rsidR="001A0FB0" w:rsidRPr="00335511">
        <w:rPr>
          <w:rFonts w:cstheme="minorHAnsi"/>
          <w:b/>
          <w:bCs/>
        </w:rPr>
        <w:t xml:space="preserve">provide additional data as requested below. (Please </w:t>
      </w:r>
      <w:r w:rsidR="00CF3BA4" w:rsidRPr="00335511">
        <w:rPr>
          <w:rFonts w:cstheme="minorHAnsi"/>
          <w:b/>
          <w:bCs/>
        </w:rPr>
        <w:t xml:space="preserve">annualize </w:t>
      </w:r>
      <w:r w:rsidR="00A71F8B" w:rsidRPr="00335511">
        <w:rPr>
          <w:rFonts w:cstheme="minorHAnsi"/>
          <w:b/>
          <w:bCs/>
        </w:rPr>
        <w:t>visits</w:t>
      </w:r>
      <w:r w:rsidR="00CF3BA4" w:rsidRPr="00335511">
        <w:rPr>
          <w:rFonts w:cstheme="minorHAnsi"/>
          <w:b/>
          <w:bCs/>
        </w:rPr>
        <w:t xml:space="preserve"> for FY2024</w:t>
      </w:r>
      <w:r w:rsidR="00C821F5" w:rsidRPr="00335511">
        <w:rPr>
          <w:rFonts w:cstheme="minorHAnsi"/>
          <w:b/>
          <w:bCs/>
        </w:rPr>
        <w:t>.</w:t>
      </w:r>
      <w:r w:rsidR="001A0FB0" w:rsidRPr="00335511">
        <w:rPr>
          <w:rFonts w:cstheme="minorHAnsi"/>
          <w:b/>
          <w:bCs/>
        </w:rPr>
        <w:t>)</w:t>
      </w:r>
    </w:p>
    <w:p w14:paraId="5911545E" w14:textId="227A01A8" w:rsidR="00514140" w:rsidRPr="00335511" w:rsidRDefault="00514140" w:rsidP="00A10502">
      <w:pPr>
        <w:spacing w:before="240" w:after="0" w:line="229" w:lineRule="exact"/>
        <w:ind w:left="720"/>
        <w:rPr>
          <w:rFonts w:cstheme="minorHAnsi"/>
          <w:highlight w:val="yellow"/>
        </w:rPr>
      </w:pPr>
      <w:r w:rsidRPr="00335511">
        <w:rPr>
          <w:rFonts w:cstheme="minorHAnsi"/>
        </w:rPr>
        <w:t xml:space="preserve">BID-P does not </w:t>
      </w:r>
      <w:r w:rsidR="00617837" w:rsidRPr="00335511">
        <w:rPr>
          <w:rFonts w:cstheme="minorHAnsi"/>
        </w:rPr>
        <w:t>classify ED patients as strictly “behavioral” or “non-behavioral”</w:t>
      </w:r>
      <w:r w:rsidR="00EB6578" w:rsidRPr="00335511">
        <w:rPr>
          <w:rFonts w:cstheme="minorHAnsi"/>
        </w:rPr>
        <w:t xml:space="preserve"> when they arrive at the ED for help. As noted in the narrative, BID-P used the number of ESP assessments as a surrogate measure for assessing behavioral health volume.</w:t>
      </w:r>
    </w:p>
    <w:p w14:paraId="52AF91C8" w14:textId="35142857" w:rsidR="00113ECA" w:rsidRPr="00A36E38" w:rsidRDefault="00A36E38" w:rsidP="00A36E38">
      <w:pPr>
        <w:pStyle w:val="ListParagraph"/>
        <w:spacing w:before="240" w:after="0" w:line="229" w:lineRule="exact"/>
        <w:ind w:hanging="630"/>
        <w:rPr>
          <w:rFonts w:cstheme="minorHAnsi"/>
          <w:b/>
          <w:bCs/>
        </w:rPr>
      </w:pPr>
      <w:r w:rsidRPr="00A36E38">
        <w:rPr>
          <w:rFonts w:cstheme="minorHAnsi"/>
          <w:b/>
          <w:bCs/>
        </w:rPr>
        <w:t>Table 3</w:t>
      </w:r>
    </w:p>
    <w:tbl>
      <w:tblPr>
        <w:tblStyle w:val="TableGrid"/>
        <w:tblW w:w="10070" w:type="dxa"/>
        <w:tblLook w:val="04A0" w:firstRow="1" w:lastRow="0" w:firstColumn="1" w:lastColumn="0" w:noHBand="0" w:noVBand="1"/>
      </w:tblPr>
      <w:tblGrid>
        <w:gridCol w:w="3404"/>
        <w:gridCol w:w="1111"/>
        <w:gridCol w:w="1111"/>
        <w:gridCol w:w="1111"/>
        <w:gridCol w:w="1111"/>
        <w:gridCol w:w="1111"/>
        <w:gridCol w:w="1111"/>
      </w:tblGrid>
      <w:tr w:rsidR="00517104" w:rsidRPr="00335511" w14:paraId="50EC15C3" w14:textId="77777777" w:rsidTr="00B04B46">
        <w:trPr>
          <w:cantSplit/>
          <w:tblHeader/>
        </w:trPr>
        <w:tc>
          <w:tcPr>
            <w:tcW w:w="3404" w:type="dxa"/>
            <w:shd w:val="clear" w:color="auto" w:fill="D9E2F3" w:themeFill="accent1" w:themeFillTint="33"/>
          </w:tcPr>
          <w:p w14:paraId="4765AFF2" w14:textId="77777777" w:rsidR="00517104" w:rsidRPr="00335511" w:rsidRDefault="00517104" w:rsidP="000F10EC">
            <w:pPr>
              <w:jc w:val="both"/>
              <w:rPr>
                <w:rFonts w:cstheme="minorHAnsi"/>
                <w:b/>
                <w:bCs/>
              </w:rPr>
            </w:pPr>
          </w:p>
        </w:tc>
        <w:tc>
          <w:tcPr>
            <w:tcW w:w="1111" w:type="dxa"/>
            <w:shd w:val="clear" w:color="auto" w:fill="D9E2F3" w:themeFill="accent1" w:themeFillTint="33"/>
          </w:tcPr>
          <w:p w14:paraId="231BBA32" w14:textId="77777777" w:rsidR="00517104" w:rsidRPr="00335511" w:rsidRDefault="00517104" w:rsidP="000F10EC">
            <w:pPr>
              <w:jc w:val="center"/>
              <w:rPr>
                <w:rFonts w:eastAsia="Times New Roman" w:cstheme="minorHAnsi"/>
                <w:b/>
                <w:bCs/>
                <w:color w:val="000000"/>
              </w:rPr>
            </w:pPr>
            <w:r w:rsidRPr="00335511">
              <w:rPr>
                <w:rFonts w:eastAsia="Times New Roman" w:cstheme="minorHAnsi"/>
                <w:b/>
                <w:bCs/>
                <w:color w:val="000000"/>
              </w:rPr>
              <w:t>FY2019</w:t>
            </w:r>
          </w:p>
        </w:tc>
        <w:tc>
          <w:tcPr>
            <w:tcW w:w="1111" w:type="dxa"/>
            <w:shd w:val="clear" w:color="auto" w:fill="D9E2F3" w:themeFill="accent1" w:themeFillTint="33"/>
            <w:vAlign w:val="center"/>
          </w:tcPr>
          <w:p w14:paraId="79C2DD7D" w14:textId="77777777" w:rsidR="00517104" w:rsidRPr="00335511" w:rsidRDefault="00517104" w:rsidP="000F10EC">
            <w:pPr>
              <w:jc w:val="center"/>
              <w:rPr>
                <w:rFonts w:cstheme="minorHAnsi"/>
              </w:rPr>
            </w:pPr>
            <w:r w:rsidRPr="00335511">
              <w:rPr>
                <w:rFonts w:eastAsia="Times New Roman" w:cstheme="minorHAnsi"/>
                <w:b/>
                <w:bCs/>
                <w:color w:val="000000"/>
              </w:rPr>
              <w:t>FY2020</w:t>
            </w:r>
          </w:p>
        </w:tc>
        <w:tc>
          <w:tcPr>
            <w:tcW w:w="1111" w:type="dxa"/>
            <w:shd w:val="clear" w:color="auto" w:fill="D9E2F3" w:themeFill="accent1" w:themeFillTint="33"/>
            <w:vAlign w:val="center"/>
          </w:tcPr>
          <w:p w14:paraId="43B7EFA2" w14:textId="77777777" w:rsidR="00517104" w:rsidRPr="00335511" w:rsidRDefault="00517104" w:rsidP="000F10EC">
            <w:pPr>
              <w:jc w:val="center"/>
              <w:rPr>
                <w:rFonts w:cstheme="minorHAnsi"/>
              </w:rPr>
            </w:pPr>
            <w:r w:rsidRPr="00335511">
              <w:rPr>
                <w:rFonts w:eastAsia="Times New Roman" w:cstheme="minorHAnsi"/>
                <w:b/>
                <w:bCs/>
                <w:color w:val="000000"/>
              </w:rPr>
              <w:t>FY2021</w:t>
            </w:r>
          </w:p>
        </w:tc>
        <w:tc>
          <w:tcPr>
            <w:tcW w:w="1111" w:type="dxa"/>
            <w:shd w:val="clear" w:color="auto" w:fill="D9E2F3" w:themeFill="accent1" w:themeFillTint="33"/>
            <w:vAlign w:val="center"/>
          </w:tcPr>
          <w:p w14:paraId="0270F0FF" w14:textId="77777777" w:rsidR="00517104" w:rsidRPr="00335511" w:rsidRDefault="00517104" w:rsidP="000F10EC">
            <w:pPr>
              <w:jc w:val="center"/>
              <w:rPr>
                <w:rFonts w:cstheme="minorHAnsi"/>
              </w:rPr>
            </w:pPr>
            <w:r w:rsidRPr="00335511">
              <w:rPr>
                <w:rFonts w:eastAsia="Times New Roman" w:cstheme="minorHAnsi"/>
                <w:b/>
                <w:bCs/>
                <w:color w:val="000000"/>
              </w:rPr>
              <w:t>FY2022</w:t>
            </w:r>
          </w:p>
        </w:tc>
        <w:tc>
          <w:tcPr>
            <w:tcW w:w="1111" w:type="dxa"/>
            <w:shd w:val="clear" w:color="auto" w:fill="D9E2F3" w:themeFill="accent1" w:themeFillTint="33"/>
            <w:vAlign w:val="center"/>
          </w:tcPr>
          <w:p w14:paraId="41DA23A1" w14:textId="77777777" w:rsidR="00517104" w:rsidRPr="00335511" w:rsidRDefault="00517104" w:rsidP="000F10EC">
            <w:pPr>
              <w:jc w:val="center"/>
              <w:rPr>
                <w:rFonts w:cstheme="minorHAnsi"/>
              </w:rPr>
            </w:pPr>
            <w:r w:rsidRPr="00335511">
              <w:rPr>
                <w:rFonts w:eastAsia="Times New Roman" w:cstheme="minorHAnsi"/>
                <w:b/>
                <w:bCs/>
                <w:color w:val="000000"/>
              </w:rPr>
              <w:t>FY2023</w:t>
            </w:r>
          </w:p>
        </w:tc>
        <w:tc>
          <w:tcPr>
            <w:tcW w:w="1111" w:type="dxa"/>
            <w:shd w:val="clear" w:color="auto" w:fill="D9E2F3" w:themeFill="accent1" w:themeFillTint="33"/>
          </w:tcPr>
          <w:p w14:paraId="6895ABC8" w14:textId="77777777" w:rsidR="00517104" w:rsidRPr="00335511" w:rsidRDefault="00517104" w:rsidP="000F10EC">
            <w:pPr>
              <w:jc w:val="center"/>
              <w:rPr>
                <w:rFonts w:eastAsia="Times New Roman" w:cstheme="minorHAnsi"/>
                <w:b/>
                <w:bCs/>
                <w:color w:val="000000"/>
              </w:rPr>
            </w:pPr>
            <w:r w:rsidRPr="00335511">
              <w:rPr>
                <w:rFonts w:eastAsia="Times New Roman" w:cstheme="minorHAnsi"/>
                <w:b/>
                <w:bCs/>
                <w:color w:val="000000"/>
              </w:rPr>
              <w:t>FY2024</w:t>
            </w:r>
          </w:p>
        </w:tc>
      </w:tr>
      <w:tr w:rsidR="00517104" w:rsidRPr="00335511" w14:paraId="3D8CFD8A" w14:textId="77777777" w:rsidTr="00B04B46">
        <w:trPr>
          <w:cantSplit/>
        </w:trPr>
        <w:tc>
          <w:tcPr>
            <w:tcW w:w="3404" w:type="dxa"/>
          </w:tcPr>
          <w:p w14:paraId="0C0BA838" w14:textId="77777777" w:rsidR="00517104" w:rsidRPr="00335511" w:rsidRDefault="00517104" w:rsidP="000F10EC">
            <w:pPr>
              <w:rPr>
                <w:rFonts w:cstheme="minorHAnsi"/>
              </w:rPr>
            </w:pPr>
            <w:r w:rsidRPr="00335511">
              <w:rPr>
                <w:rFonts w:cstheme="minorHAnsi"/>
              </w:rPr>
              <w:t>Behavioral Health ED Visits</w:t>
            </w:r>
          </w:p>
        </w:tc>
        <w:tc>
          <w:tcPr>
            <w:tcW w:w="1111" w:type="dxa"/>
          </w:tcPr>
          <w:p w14:paraId="36411FAC" w14:textId="77777777" w:rsidR="00517104" w:rsidRPr="00335511" w:rsidRDefault="00517104" w:rsidP="000F10EC">
            <w:pPr>
              <w:jc w:val="center"/>
              <w:rPr>
                <w:rFonts w:cstheme="minorHAnsi"/>
              </w:rPr>
            </w:pPr>
          </w:p>
        </w:tc>
        <w:tc>
          <w:tcPr>
            <w:tcW w:w="1111" w:type="dxa"/>
          </w:tcPr>
          <w:p w14:paraId="7B68CD37" w14:textId="77777777" w:rsidR="00517104" w:rsidRPr="00335511" w:rsidRDefault="00517104" w:rsidP="000F10EC">
            <w:pPr>
              <w:jc w:val="center"/>
              <w:rPr>
                <w:rFonts w:cstheme="minorHAnsi"/>
              </w:rPr>
            </w:pPr>
          </w:p>
        </w:tc>
        <w:tc>
          <w:tcPr>
            <w:tcW w:w="1111" w:type="dxa"/>
          </w:tcPr>
          <w:p w14:paraId="7E95BEF9" w14:textId="77777777" w:rsidR="00517104" w:rsidRPr="00335511" w:rsidRDefault="00517104" w:rsidP="000F10EC">
            <w:pPr>
              <w:jc w:val="center"/>
              <w:rPr>
                <w:rFonts w:cstheme="minorHAnsi"/>
              </w:rPr>
            </w:pPr>
          </w:p>
        </w:tc>
        <w:tc>
          <w:tcPr>
            <w:tcW w:w="1111" w:type="dxa"/>
          </w:tcPr>
          <w:p w14:paraId="51CC4A5F" w14:textId="77777777" w:rsidR="00517104" w:rsidRPr="00335511" w:rsidRDefault="00517104" w:rsidP="000F10EC">
            <w:pPr>
              <w:jc w:val="center"/>
              <w:rPr>
                <w:rFonts w:cstheme="minorHAnsi"/>
              </w:rPr>
            </w:pPr>
          </w:p>
        </w:tc>
        <w:tc>
          <w:tcPr>
            <w:tcW w:w="1111" w:type="dxa"/>
          </w:tcPr>
          <w:p w14:paraId="254DF85A" w14:textId="77777777" w:rsidR="00517104" w:rsidRPr="00335511" w:rsidRDefault="00517104" w:rsidP="000F10EC">
            <w:pPr>
              <w:jc w:val="center"/>
              <w:rPr>
                <w:rFonts w:cstheme="minorHAnsi"/>
                <w:color w:val="000000"/>
              </w:rPr>
            </w:pPr>
          </w:p>
        </w:tc>
        <w:tc>
          <w:tcPr>
            <w:tcW w:w="1111" w:type="dxa"/>
          </w:tcPr>
          <w:p w14:paraId="3B3D665E" w14:textId="77777777" w:rsidR="00517104" w:rsidRPr="00335511" w:rsidRDefault="00517104" w:rsidP="000F10EC">
            <w:pPr>
              <w:jc w:val="center"/>
              <w:rPr>
                <w:rFonts w:cstheme="minorHAnsi"/>
                <w:color w:val="000000"/>
              </w:rPr>
            </w:pPr>
          </w:p>
        </w:tc>
      </w:tr>
      <w:tr w:rsidR="00517104" w:rsidRPr="00335511" w14:paraId="77CB95E6" w14:textId="77777777" w:rsidTr="00B04B46">
        <w:trPr>
          <w:cantSplit/>
        </w:trPr>
        <w:tc>
          <w:tcPr>
            <w:tcW w:w="3404" w:type="dxa"/>
          </w:tcPr>
          <w:p w14:paraId="64E7655B" w14:textId="77777777" w:rsidR="00517104" w:rsidRPr="00335511" w:rsidRDefault="00517104" w:rsidP="000F10EC">
            <w:pPr>
              <w:rPr>
                <w:rFonts w:cstheme="minorHAnsi"/>
              </w:rPr>
            </w:pPr>
            <w:proofErr w:type="gramStart"/>
            <w:r w:rsidRPr="00335511">
              <w:rPr>
                <w:rFonts w:cstheme="minorHAnsi"/>
              </w:rPr>
              <w:t>Non Behavioral</w:t>
            </w:r>
            <w:proofErr w:type="gramEnd"/>
            <w:r w:rsidRPr="00335511">
              <w:rPr>
                <w:rFonts w:cstheme="minorHAnsi"/>
              </w:rPr>
              <w:t xml:space="preserve"> Health ED Visits</w:t>
            </w:r>
          </w:p>
        </w:tc>
        <w:tc>
          <w:tcPr>
            <w:tcW w:w="1111" w:type="dxa"/>
          </w:tcPr>
          <w:p w14:paraId="1C28462D" w14:textId="77777777" w:rsidR="00517104" w:rsidRPr="00335511" w:rsidRDefault="00517104" w:rsidP="000F10EC">
            <w:pPr>
              <w:jc w:val="center"/>
              <w:rPr>
                <w:rFonts w:cstheme="minorHAnsi"/>
              </w:rPr>
            </w:pPr>
          </w:p>
        </w:tc>
        <w:tc>
          <w:tcPr>
            <w:tcW w:w="1111" w:type="dxa"/>
          </w:tcPr>
          <w:p w14:paraId="5018F853" w14:textId="77777777" w:rsidR="00517104" w:rsidRPr="00335511" w:rsidRDefault="00517104" w:rsidP="000F10EC">
            <w:pPr>
              <w:jc w:val="center"/>
              <w:rPr>
                <w:rFonts w:cstheme="minorHAnsi"/>
              </w:rPr>
            </w:pPr>
          </w:p>
        </w:tc>
        <w:tc>
          <w:tcPr>
            <w:tcW w:w="1111" w:type="dxa"/>
          </w:tcPr>
          <w:p w14:paraId="68FB6908" w14:textId="77777777" w:rsidR="00517104" w:rsidRPr="00335511" w:rsidRDefault="00517104" w:rsidP="000F10EC">
            <w:pPr>
              <w:jc w:val="center"/>
              <w:rPr>
                <w:rFonts w:cstheme="minorHAnsi"/>
              </w:rPr>
            </w:pPr>
          </w:p>
        </w:tc>
        <w:tc>
          <w:tcPr>
            <w:tcW w:w="1111" w:type="dxa"/>
          </w:tcPr>
          <w:p w14:paraId="0FF952CB" w14:textId="77777777" w:rsidR="00517104" w:rsidRPr="00335511" w:rsidRDefault="00517104" w:rsidP="000F10EC">
            <w:pPr>
              <w:jc w:val="center"/>
              <w:rPr>
                <w:rFonts w:cstheme="minorHAnsi"/>
              </w:rPr>
            </w:pPr>
          </w:p>
        </w:tc>
        <w:tc>
          <w:tcPr>
            <w:tcW w:w="1111" w:type="dxa"/>
          </w:tcPr>
          <w:p w14:paraId="6AE9E506" w14:textId="77777777" w:rsidR="00517104" w:rsidRPr="00335511" w:rsidRDefault="00517104" w:rsidP="000F10EC">
            <w:pPr>
              <w:jc w:val="center"/>
              <w:rPr>
                <w:rFonts w:cstheme="minorHAnsi"/>
                <w:color w:val="000000"/>
              </w:rPr>
            </w:pPr>
          </w:p>
        </w:tc>
        <w:tc>
          <w:tcPr>
            <w:tcW w:w="1111" w:type="dxa"/>
          </w:tcPr>
          <w:p w14:paraId="2A04089F" w14:textId="77777777" w:rsidR="00517104" w:rsidRPr="00335511" w:rsidRDefault="00517104" w:rsidP="000F10EC">
            <w:pPr>
              <w:jc w:val="center"/>
              <w:rPr>
                <w:rFonts w:cstheme="minorHAnsi"/>
                <w:color w:val="000000"/>
              </w:rPr>
            </w:pPr>
          </w:p>
        </w:tc>
      </w:tr>
      <w:tr w:rsidR="00517104" w:rsidRPr="00335511" w14:paraId="0B74E1C8" w14:textId="77777777" w:rsidTr="00B04B46">
        <w:trPr>
          <w:cantSplit/>
        </w:trPr>
        <w:tc>
          <w:tcPr>
            <w:tcW w:w="3404" w:type="dxa"/>
          </w:tcPr>
          <w:p w14:paraId="58428619" w14:textId="77777777" w:rsidR="00517104" w:rsidRPr="00335511" w:rsidRDefault="00517104" w:rsidP="000F10EC">
            <w:pPr>
              <w:rPr>
                <w:rFonts w:cstheme="minorHAnsi"/>
                <w:b/>
                <w:bCs/>
              </w:rPr>
            </w:pPr>
            <w:r w:rsidRPr="00335511">
              <w:rPr>
                <w:rFonts w:cstheme="minorHAnsi"/>
                <w:b/>
                <w:bCs/>
              </w:rPr>
              <w:t xml:space="preserve">Total ED Visits </w:t>
            </w:r>
          </w:p>
        </w:tc>
        <w:tc>
          <w:tcPr>
            <w:tcW w:w="1111" w:type="dxa"/>
          </w:tcPr>
          <w:p w14:paraId="0B1F5C81" w14:textId="77777777" w:rsidR="00517104" w:rsidRPr="00335511" w:rsidRDefault="00517104" w:rsidP="000F10EC">
            <w:pPr>
              <w:jc w:val="center"/>
              <w:rPr>
                <w:rFonts w:cstheme="minorHAnsi"/>
                <w:b/>
                <w:bCs/>
              </w:rPr>
            </w:pPr>
          </w:p>
        </w:tc>
        <w:tc>
          <w:tcPr>
            <w:tcW w:w="1111" w:type="dxa"/>
          </w:tcPr>
          <w:p w14:paraId="4D2C7829" w14:textId="77777777" w:rsidR="00517104" w:rsidRPr="00335511" w:rsidRDefault="00517104" w:rsidP="000F10EC">
            <w:pPr>
              <w:jc w:val="center"/>
              <w:rPr>
                <w:rFonts w:cstheme="minorHAnsi"/>
                <w:b/>
                <w:bCs/>
              </w:rPr>
            </w:pPr>
            <w:r w:rsidRPr="00335511">
              <w:rPr>
                <w:rFonts w:cstheme="minorHAnsi"/>
                <w:b/>
                <w:bCs/>
              </w:rPr>
              <w:t>39,142</w:t>
            </w:r>
          </w:p>
        </w:tc>
        <w:tc>
          <w:tcPr>
            <w:tcW w:w="1111" w:type="dxa"/>
          </w:tcPr>
          <w:p w14:paraId="3E0A98AF" w14:textId="77777777" w:rsidR="00517104" w:rsidRPr="00335511" w:rsidRDefault="00517104" w:rsidP="000F10EC">
            <w:pPr>
              <w:jc w:val="center"/>
              <w:rPr>
                <w:rFonts w:cstheme="minorHAnsi"/>
                <w:b/>
                <w:bCs/>
              </w:rPr>
            </w:pPr>
            <w:r w:rsidRPr="00335511">
              <w:rPr>
                <w:rFonts w:cstheme="minorHAnsi"/>
                <w:b/>
                <w:bCs/>
              </w:rPr>
              <w:t>40,180</w:t>
            </w:r>
          </w:p>
        </w:tc>
        <w:tc>
          <w:tcPr>
            <w:tcW w:w="1111" w:type="dxa"/>
          </w:tcPr>
          <w:p w14:paraId="3790389B" w14:textId="77777777" w:rsidR="00517104" w:rsidRPr="00335511" w:rsidRDefault="00517104" w:rsidP="000F10EC">
            <w:pPr>
              <w:jc w:val="center"/>
              <w:rPr>
                <w:rFonts w:cstheme="minorHAnsi"/>
                <w:b/>
                <w:bCs/>
              </w:rPr>
            </w:pPr>
            <w:r w:rsidRPr="00335511">
              <w:rPr>
                <w:rFonts w:cstheme="minorHAnsi"/>
                <w:b/>
                <w:bCs/>
              </w:rPr>
              <w:t>42,367</w:t>
            </w:r>
          </w:p>
        </w:tc>
        <w:tc>
          <w:tcPr>
            <w:tcW w:w="1111" w:type="dxa"/>
          </w:tcPr>
          <w:p w14:paraId="32D873A4" w14:textId="77777777" w:rsidR="00517104" w:rsidRPr="00335511" w:rsidRDefault="00517104" w:rsidP="000F10EC">
            <w:pPr>
              <w:jc w:val="center"/>
              <w:rPr>
                <w:rFonts w:cstheme="minorHAnsi"/>
                <w:b/>
                <w:bCs/>
              </w:rPr>
            </w:pPr>
            <w:r w:rsidRPr="00335511">
              <w:rPr>
                <w:rFonts w:cstheme="minorHAnsi"/>
                <w:b/>
                <w:bCs/>
                <w:color w:val="000000"/>
              </w:rPr>
              <w:t>43,609</w:t>
            </w:r>
          </w:p>
        </w:tc>
        <w:tc>
          <w:tcPr>
            <w:tcW w:w="1111" w:type="dxa"/>
          </w:tcPr>
          <w:p w14:paraId="34D9328C" w14:textId="5598FE36" w:rsidR="00517104" w:rsidRPr="00335511" w:rsidRDefault="00335511" w:rsidP="000F10EC">
            <w:pPr>
              <w:jc w:val="center"/>
              <w:rPr>
                <w:rFonts w:cstheme="minorHAnsi"/>
                <w:b/>
                <w:bCs/>
                <w:color w:val="000000"/>
              </w:rPr>
            </w:pPr>
            <w:r w:rsidRPr="00335511">
              <w:rPr>
                <w:rFonts w:cstheme="minorHAnsi"/>
                <w:b/>
                <w:bCs/>
                <w:color w:val="000000"/>
              </w:rPr>
              <w:t>45,952</w:t>
            </w:r>
          </w:p>
        </w:tc>
      </w:tr>
    </w:tbl>
    <w:p w14:paraId="58156237" w14:textId="77777777" w:rsidR="00517104" w:rsidRPr="00335511" w:rsidRDefault="00517104" w:rsidP="00336346">
      <w:pPr>
        <w:spacing w:after="0" w:line="229" w:lineRule="exact"/>
        <w:rPr>
          <w:rFonts w:cstheme="minorHAnsi"/>
        </w:rPr>
      </w:pPr>
    </w:p>
    <w:p w14:paraId="07E78AAD" w14:textId="77777777" w:rsidR="00FA2CD1" w:rsidRPr="00335511" w:rsidRDefault="00FA2CD1" w:rsidP="009A5373">
      <w:pPr>
        <w:spacing w:after="0" w:line="229" w:lineRule="exact"/>
        <w:ind w:left="360"/>
        <w:rPr>
          <w:rFonts w:cstheme="minorHAnsi"/>
        </w:rPr>
      </w:pPr>
    </w:p>
    <w:p w14:paraId="18FDE05E" w14:textId="3F075C55" w:rsidR="00EA177F" w:rsidRPr="00335511" w:rsidRDefault="00404913" w:rsidP="00EA177F">
      <w:pPr>
        <w:pStyle w:val="ListParagraph"/>
        <w:numPr>
          <w:ilvl w:val="0"/>
          <w:numId w:val="38"/>
        </w:numPr>
        <w:spacing w:after="0" w:line="229" w:lineRule="exact"/>
        <w:rPr>
          <w:rFonts w:cstheme="minorHAnsi"/>
          <w:b/>
          <w:bCs/>
        </w:rPr>
      </w:pPr>
      <w:r w:rsidRPr="00335511">
        <w:rPr>
          <w:rFonts w:cstheme="minorHAnsi"/>
          <w:b/>
          <w:bCs/>
        </w:rPr>
        <w:t xml:space="preserve">For the </w:t>
      </w:r>
      <w:r w:rsidR="00D35DF3" w:rsidRPr="00335511">
        <w:rPr>
          <w:rFonts w:cstheme="minorHAnsi"/>
          <w:b/>
          <w:bCs/>
        </w:rPr>
        <w:t xml:space="preserve">Historical ED Utilization Data Table (Table 5, page </w:t>
      </w:r>
      <w:r w:rsidR="00B45060" w:rsidRPr="00335511">
        <w:rPr>
          <w:rFonts w:cstheme="minorHAnsi"/>
          <w:b/>
          <w:bCs/>
        </w:rPr>
        <w:t>6 of the Narrative), please provide data for FY2019 and annualized data for FY2024.</w:t>
      </w:r>
    </w:p>
    <w:p w14:paraId="186E057E" w14:textId="445E91EE" w:rsidR="00113ECA" w:rsidRPr="00335511" w:rsidRDefault="00113ECA" w:rsidP="00113ECA">
      <w:pPr>
        <w:spacing w:after="0" w:line="229" w:lineRule="exact"/>
        <w:ind w:left="360"/>
        <w:rPr>
          <w:rFonts w:cstheme="minorHAnsi"/>
        </w:rPr>
      </w:pPr>
    </w:p>
    <w:p w14:paraId="3EFECFA2" w14:textId="53415183" w:rsidR="00113ECA" w:rsidRPr="00A36E38" w:rsidRDefault="00A36E38" w:rsidP="00A36E38">
      <w:pPr>
        <w:pStyle w:val="ListParagraph"/>
        <w:spacing w:after="0" w:line="229" w:lineRule="exact"/>
        <w:ind w:hanging="630"/>
        <w:rPr>
          <w:rFonts w:cstheme="minorHAnsi"/>
          <w:b/>
          <w:bCs/>
        </w:rPr>
      </w:pPr>
      <w:r w:rsidRPr="00A36E38">
        <w:rPr>
          <w:rFonts w:cstheme="minorHAnsi"/>
          <w:b/>
          <w:bCs/>
        </w:rPr>
        <w:t>Table 4</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981"/>
        <w:gridCol w:w="981"/>
        <w:gridCol w:w="981"/>
        <w:gridCol w:w="981"/>
        <w:gridCol w:w="981"/>
        <w:gridCol w:w="981"/>
      </w:tblGrid>
      <w:tr w:rsidR="00CC11B8" w:rsidRPr="00335511" w14:paraId="4526BE98" w14:textId="77777777" w:rsidTr="00B04B46">
        <w:trPr>
          <w:cantSplit/>
          <w:trHeight w:val="521"/>
          <w:tblHeader/>
        </w:trPr>
        <w:tc>
          <w:tcPr>
            <w:tcW w:w="4405" w:type="dxa"/>
            <w:shd w:val="clear" w:color="auto" w:fill="D9E2F3" w:themeFill="accent1" w:themeFillTint="33"/>
            <w:noWrap/>
            <w:vAlign w:val="center"/>
          </w:tcPr>
          <w:p w14:paraId="73C8A342" w14:textId="07CD1288" w:rsidR="00CC11B8" w:rsidRPr="00335511" w:rsidRDefault="00CC11B8" w:rsidP="001E10C7">
            <w:pPr>
              <w:spacing w:after="0" w:line="240" w:lineRule="auto"/>
              <w:rPr>
                <w:rFonts w:eastAsia="Times New Roman" w:cstheme="minorHAnsi"/>
                <w:b/>
                <w:bCs/>
                <w:color w:val="000000"/>
              </w:rPr>
            </w:pPr>
            <w:r w:rsidRPr="00335511">
              <w:rPr>
                <w:rFonts w:eastAsia="Times New Roman" w:cstheme="minorHAnsi"/>
                <w:b/>
                <w:bCs/>
                <w:color w:val="000000"/>
              </w:rPr>
              <w:t>Historical ED Utilization</w:t>
            </w:r>
          </w:p>
        </w:tc>
        <w:tc>
          <w:tcPr>
            <w:tcW w:w="981" w:type="dxa"/>
            <w:shd w:val="clear" w:color="auto" w:fill="D9E2F3" w:themeFill="accent1" w:themeFillTint="33"/>
          </w:tcPr>
          <w:p w14:paraId="732BFE41"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FY2019</w:t>
            </w:r>
          </w:p>
        </w:tc>
        <w:tc>
          <w:tcPr>
            <w:tcW w:w="981" w:type="dxa"/>
            <w:shd w:val="clear" w:color="auto" w:fill="D9E2F3" w:themeFill="accent1" w:themeFillTint="33"/>
            <w:noWrap/>
            <w:vAlign w:val="center"/>
          </w:tcPr>
          <w:p w14:paraId="79C5F760"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FY2020</w:t>
            </w:r>
          </w:p>
        </w:tc>
        <w:tc>
          <w:tcPr>
            <w:tcW w:w="981" w:type="dxa"/>
            <w:shd w:val="clear" w:color="auto" w:fill="D9E2F3" w:themeFill="accent1" w:themeFillTint="33"/>
            <w:noWrap/>
            <w:vAlign w:val="center"/>
          </w:tcPr>
          <w:p w14:paraId="3AB01024"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FY2021</w:t>
            </w:r>
          </w:p>
        </w:tc>
        <w:tc>
          <w:tcPr>
            <w:tcW w:w="981" w:type="dxa"/>
            <w:shd w:val="clear" w:color="auto" w:fill="D9E2F3" w:themeFill="accent1" w:themeFillTint="33"/>
            <w:noWrap/>
            <w:vAlign w:val="center"/>
          </w:tcPr>
          <w:p w14:paraId="0F680F12"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FY2022</w:t>
            </w:r>
          </w:p>
        </w:tc>
        <w:tc>
          <w:tcPr>
            <w:tcW w:w="981" w:type="dxa"/>
            <w:shd w:val="clear" w:color="auto" w:fill="D9E2F3" w:themeFill="accent1" w:themeFillTint="33"/>
            <w:noWrap/>
            <w:vAlign w:val="center"/>
          </w:tcPr>
          <w:p w14:paraId="2616DEC9"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FY2023</w:t>
            </w:r>
          </w:p>
        </w:tc>
        <w:tc>
          <w:tcPr>
            <w:tcW w:w="981" w:type="dxa"/>
            <w:shd w:val="clear" w:color="auto" w:fill="D9E2F3" w:themeFill="accent1" w:themeFillTint="33"/>
          </w:tcPr>
          <w:p w14:paraId="566D962A" w14:textId="77777777" w:rsidR="00CC11B8" w:rsidRPr="00335511" w:rsidRDefault="00CC11B8" w:rsidP="001E10C7">
            <w:pPr>
              <w:spacing w:after="0" w:line="480" w:lineRule="auto"/>
              <w:rPr>
                <w:rFonts w:eastAsia="Times New Roman" w:cstheme="minorHAnsi"/>
                <w:b/>
                <w:bCs/>
                <w:color w:val="000000"/>
              </w:rPr>
            </w:pPr>
            <w:r w:rsidRPr="00335511">
              <w:rPr>
                <w:rFonts w:eastAsia="Times New Roman" w:cstheme="minorHAnsi"/>
                <w:b/>
                <w:bCs/>
                <w:color w:val="000000"/>
              </w:rPr>
              <w:t>FY2024</w:t>
            </w:r>
          </w:p>
        </w:tc>
      </w:tr>
      <w:tr w:rsidR="00CC11B8" w:rsidRPr="00335511" w14:paraId="3373B652" w14:textId="77777777" w:rsidTr="00B04B46">
        <w:trPr>
          <w:cantSplit/>
          <w:trHeight w:val="233"/>
        </w:trPr>
        <w:tc>
          <w:tcPr>
            <w:tcW w:w="4405" w:type="dxa"/>
            <w:shd w:val="clear" w:color="auto" w:fill="auto"/>
            <w:noWrap/>
            <w:vAlign w:val="center"/>
            <w:hideMark/>
          </w:tcPr>
          <w:p w14:paraId="7A6AB84A"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Avg. Arrival to Treatment Space (minutes)</w:t>
            </w:r>
          </w:p>
        </w:tc>
        <w:tc>
          <w:tcPr>
            <w:tcW w:w="981" w:type="dxa"/>
          </w:tcPr>
          <w:p w14:paraId="6B2CDE60" w14:textId="77777777" w:rsidR="00CC11B8" w:rsidRPr="00335511" w:rsidRDefault="00CC11B8" w:rsidP="001E10C7">
            <w:pPr>
              <w:spacing w:after="0" w:line="240" w:lineRule="auto"/>
              <w:jc w:val="center"/>
              <w:rPr>
                <w:rFonts w:eastAsia="Times New Roman" w:cstheme="minorHAnsi"/>
                <w:color w:val="000000"/>
              </w:rPr>
            </w:pPr>
          </w:p>
        </w:tc>
        <w:tc>
          <w:tcPr>
            <w:tcW w:w="981" w:type="dxa"/>
            <w:shd w:val="clear" w:color="auto" w:fill="auto"/>
            <w:noWrap/>
            <w:vAlign w:val="center"/>
            <w:hideMark/>
          </w:tcPr>
          <w:p w14:paraId="335BED81"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11</w:t>
            </w:r>
          </w:p>
        </w:tc>
        <w:tc>
          <w:tcPr>
            <w:tcW w:w="981" w:type="dxa"/>
            <w:shd w:val="clear" w:color="auto" w:fill="auto"/>
            <w:noWrap/>
            <w:vAlign w:val="center"/>
            <w:hideMark/>
          </w:tcPr>
          <w:p w14:paraId="68B3459A"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59</w:t>
            </w:r>
          </w:p>
        </w:tc>
        <w:tc>
          <w:tcPr>
            <w:tcW w:w="981" w:type="dxa"/>
            <w:shd w:val="clear" w:color="auto" w:fill="auto"/>
            <w:noWrap/>
            <w:vAlign w:val="center"/>
            <w:hideMark/>
          </w:tcPr>
          <w:p w14:paraId="408219AF"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90</w:t>
            </w:r>
          </w:p>
        </w:tc>
        <w:tc>
          <w:tcPr>
            <w:tcW w:w="981" w:type="dxa"/>
            <w:shd w:val="clear" w:color="auto" w:fill="auto"/>
            <w:noWrap/>
            <w:vAlign w:val="center"/>
            <w:hideMark/>
          </w:tcPr>
          <w:p w14:paraId="5A202843"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91</w:t>
            </w:r>
          </w:p>
        </w:tc>
        <w:tc>
          <w:tcPr>
            <w:tcW w:w="981" w:type="dxa"/>
          </w:tcPr>
          <w:p w14:paraId="1EB57C71" w14:textId="2E07AD5C" w:rsidR="00CC11B8" w:rsidRPr="00335511" w:rsidRDefault="0DB2DC54" w:rsidP="400D8877">
            <w:pPr>
              <w:spacing w:after="0" w:line="240" w:lineRule="auto"/>
              <w:jc w:val="center"/>
              <w:rPr>
                <w:rFonts w:eastAsia="Times New Roman"/>
                <w:color w:val="4472C4" w:themeColor="accent1"/>
              </w:rPr>
            </w:pPr>
            <w:r w:rsidRPr="00335511">
              <w:rPr>
                <w:rFonts w:eastAsia="Times New Roman"/>
                <w:color w:val="4472C4" w:themeColor="accent1"/>
              </w:rPr>
              <w:t>82</w:t>
            </w:r>
          </w:p>
        </w:tc>
      </w:tr>
      <w:tr w:rsidR="00CC11B8" w:rsidRPr="00335511" w14:paraId="19200D49" w14:textId="77777777" w:rsidTr="00B04B46">
        <w:trPr>
          <w:cantSplit/>
          <w:trHeight w:val="260"/>
        </w:trPr>
        <w:tc>
          <w:tcPr>
            <w:tcW w:w="4405" w:type="dxa"/>
            <w:shd w:val="clear" w:color="auto" w:fill="auto"/>
            <w:noWrap/>
            <w:vAlign w:val="center"/>
            <w:hideMark/>
          </w:tcPr>
          <w:p w14:paraId="79263543"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Number of LWBS</w:t>
            </w:r>
          </w:p>
        </w:tc>
        <w:tc>
          <w:tcPr>
            <w:tcW w:w="981" w:type="dxa"/>
          </w:tcPr>
          <w:p w14:paraId="49D64480" w14:textId="77777777" w:rsidR="00CC11B8" w:rsidRPr="00335511" w:rsidRDefault="00CC11B8" w:rsidP="001E10C7">
            <w:pPr>
              <w:spacing w:after="0" w:line="240" w:lineRule="auto"/>
              <w:jc w:val="center"/>
              <w:rPr>
                <w:rFonts w:eastAsia="Times New Roman" w:cstheme="minorHAnsi"/>
                <w:color w:val="000000"/>
              </w:rPr>
            </w:pPr>
          </w:p>
        </w:tc>
        <w:tc>
          <w:tcPr>
            <w:tcW w:w="981" w:type="dxa"/>
            <w:shd w:val="clear" w:color="auto" w:fill="auto"/>
            <w:noWrap/>
            <w:vAlign w:val="center"/>
            <w:hideMark/>
          </w:tcPr>
          <w:p w14:paraId="3C0EB166"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363</w:t>
            </w:r>
          </w:p>
        </w:tc>
        <w:tc>
          <w:tcPr>
            <w:tcW w:w="981" w:type="dxa"/>
            <w:shd w:val="clear" w:color="auto" w:fill="auto"/>
            <w:noWrap/>
            <w:vAlign w:val="center"/>
            <w:hideMark/>
          </w:tcPr>
          <w:p w14:paraId="1AB87A29"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582</w:t>
            </w:r>
          </w:p>
        </w:tc>
        <w:tc>
          <w:tcPr>
            <w:tcW w:w="981" w:type="dxa"/>
            <w:shd w:val="clear" w:color="auto" w:fill="auto"/>
            <w:noWrap/>
            <w:vAlign w:val="center"/>
            <w:hideMark/>
          </w:tcPr>
          <w:p w14:paraId="32334426"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1,254</w:t>
            </w:r>
          </w:p>
        </w:tc>
        <w:tc>
          <w:tcPr>
            <w:tcW w:w="981" w:type="dxa"/>
            <w:shd w:val="clear" w:color="auto" w:fill="auto"/>
            <w:noWrap/>
            <w:vAlign w:val="center"/>
            <w:hideMark/>
          </w:tcPr>
          <w:p w14:paraId="73CA23B1"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1,123</w:t>
            </w:r>
          </w:p>
        </w:tc>
        <w:tc>
          <w:tcPr>
            <w:tcW w:w="981" w:type="dxa"/>
          </w:tcPr>
          <w:p w14:paraId="2CC83EDA" w14:textId="0C6A178B" w:rsidR="00CC11B8" w:rsidRPr="00335511" w:rsidRDefault="4E2FC94A" w:rsidP="400D8877">
            <w:pPr>
              <w:spacing w:after="0" w:line="240" w:lineRule="auto"/>
              <w:jc w:val="center"/>
              <w:rPr>
                <w:rFonts w:eastAsia="Times New Roman"/>
                <w:color w:val="4472C4" w:themeColor="accent1"/>
              </w:rPr>
            </w:pPr>
            <w:r w:rsidRPr="00335511">
              <w:rPr>
                <w:rFonts w:eastAsia="Times New Roman"/>
                <w:color w:val="4472C4" w:themeColor="accent1"/>
              </w:rPr>
              <w:t>953</w:t>
            </w:r>
          </w:p>
        </w:tc>
      </w:tr>
      <w:tr w:rsidR="00CC11B8" w:rsidRPr="00335511" w14:paraId="54EB7DED" w14:textId="77777777" w:rsidTr="00B04B46">
        <w:trPr>
          <w:cantSplit/>
          <w:trHeight w:val="260"/>
        </w:trPr>
        <w:tc>
          <w:tcPr>
            <w:tcW w:w="4405" w:type="dxa"/>
            <w:shd w:val="clear" w:color="auto" w:fill="auto"/>
            <w:noWrap/>
            <w:vAlign w:val="center"/>
          </w:tcPr>
          <w:p w14:paraId="7DAA660F"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Number of Eloped</w:t>
            </w:r>
            <w:r w:rsidRPr="00335511">
              <w:rPr>
                <w:rStyle w:val="FootnoteReference"/>
                <w:rFonts w:eastAsia="Times New Roman" w:cstheme="minorHAnsi"/>
                <w:color w:val="000000"/>
              </w:rPr>
              <w:footnoteReference w:id="2"/>
            </w:r>
          </w:p>
        </w:tc>
        <w:tc>
          <w:tcPr>
            <w:tcW w:w="981" w:type="dxa"/>
          </w:tcPr>
          <w:p w14:paraId="0D1A44AA" w14:textId="77777777" w:rsidR="00CC11B8" w:rsidRPr="00335511" w:rsidRDefault="00CC11B8" w:rsidP="001E10C7">
            <w:pPr>
              <w:spacing w:after="0" w:line="240" w:lineRule="auto"/>
              <w:jc w:val="center"/>
              <w:rPr>
                <w:rFonts w:eastAsia="Times New Roman" w:cstheme="minorHAnsi"/>
                <w:color w:val="000000"/>
              </w:rPr>
            </w:pPr>
          </w:p>
        </w:tc>
        <w:tc>
          <w:tcPr>
            <w:tcW w:w="981" w:type="dxa"/>
            <w:shd w:val="clear" w:color="auto" w:fill="auto"/>
            <w:noWrap/>
            <w:vAlign w:val="center"/>
          </w:tcPr>
          <w:p w14:paraId="43C8E0EF"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157</w:t>
            </w:r>
          </w:p>
        </w:tc>
        <w:tc>
          <w:tcPr>
            <w:tcW w:w="981" w:type="dxa"/>
            <w:shd w:val="clear" w:color="auto" w:fill="auto"/>
            <w:noWrap/>
            <w:vAlign w:val="center"/>
          </w:tcPr>
          <w:p w14:paraId="0C6A0CFD"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185</w:t>
            </w:r>
          </w:p>
        </w:tc>
        <w:tc>
          <w:tcPr>
            <w:tcW w:w="981" w:type="dxa"/>
            <w:shd w:val="clear" w:color="auto" w:fill="auto"/>
            <w:noWrap/>
            <w:vAlign w:val="center"/>
          </w:tcPr>
          <w:p w14:paraId="5B81096B"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262</w:t>
            </w:r>
          </w:p>
        </w:tc>
        <w:tc>
          <w:tcPr>
            <w:tcW w:w="981" w:type="dxa"/>
            <w:shd w:val="clear" w:color="auto" w:fill="auto"/>
            <w:noWrap/>
            <w:vAlign w:val="center"/>
          </w:tcPr>
          <w:p w14:paraId="005340F7"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299</w:t>
            </w:r>
          </w:p>
        </w:tc>
        <w:tc>
          <w:tcPr>
            <w:tcW w:w="981" w:type="dxa"/>
          </w:tcPr>
          <w:p w14:paraId="14EFF736" w14:textId="46B16465" w:rsidR="00CC11B8" w:rsidRPr="00335511" w:rsidRDefault="25650A89" w:rsidP="400D8877">
            <w:pPr>
              <w:spacing w:after="0" w:line="240" w:lineRule="auto"/>
              <w:jc w:val="center"/>
              <w:rPr>
                <w:rFonts w:eastAsia="Times New Roman"/>
                <w:color w:val="4472C4" w:themeColor="accent1"/>
              </w:rPr>
            </w:pPr>
            <w:r w:rsidRPr="00335511">
              <w:rPr>
                <w:rFonts w:eastAsia="Times New Roman"/>
                <w:color w:val="4472C4" w:themeColor="accent1"/>
              </w:rPr>
              <w:t>228</w:t>
            </w:r>
          </w:p>
        </w:tc>
      </w:tr>
      <w:tr w:rsidR="00CC11B8" w:rsidRPr="00335511" w14:paraId="2DDB779A" w14:textId="77777777" w:rsidTr="00B04B46">
        <w:trPr>
          <w:cantSplit/>
          <w:trHeight w:val="260"/>
        </w:trPr>
        <w:tc>
          <w:tcPr>
            <w:tcW w:w="4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D4DA"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Avg. Total TLOS - All Patients</w:t>
            </w:r>
          </w:p>
        </w:tc>
        <w:tc>
          <w:tcPr>
            <w:tcW w:w="981" w:type="dxa"/>
            <w:tcBorders>
              <w:top w:val="single" w:sz="4" w:space="0" w:color="auto"/>
              <w:left w:val="single" w:sz="4" w:space="0" w:color="auto"/>
              <w:bottom w:val="single" w:sz="4" w:space="0" w:color="auto"/>
              <w:right w:val="single" w:sz="4" w:space="0" w:color="auto"/>
            </w:tcBorders>
          </w:tcPr>
          <w:p w14:paraId="76D4A6DA" w14:textId="77777777" w:rsidR="00CC11B8" w:rsidRPr="00335511" w:rsidRDefault="00CC11B8" w:rsidP="001E10C7">
            <w:pPr>
              <w:spacing w:after="0" w:line="240" w:lineRule="auto"/>
              <w:jc w:val="center"/>
              <w:rPr>
                <w:rFonts w:eastAsia="Times New Roman" w:cstheme="minorHAnsi"/>
                <w:color w:val="000000"/>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FC78"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391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6A6C"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440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A17A"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475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9A2E7"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468</w:t>
            </w:r>
          </w:p>
        </w:tc>
        <w:tc>
          <w:tcPr>
            <w:tcW w:w="981" w:type="dxa"/>
            <w:tcBorders>
              <w:top w:val="single" w:sz="4" w:space="0" w:color="auto"/>
              <w:left w:val="single" w:sz="4" w:space="0" w:color="auto"/>
              <w:bottom w:val="single" w:sz="4" w:space="0" w:color="auto"/>
              <w:right w:val="single" w:sz="4" w:space="0" w:color="auto"/>
            </w:tcBorders>
          </w:tcPr>
          <w:p w14:paraId="70DB7319" w14:textId="24811F0D" w:rsidR="00CC11B8" w:rsidRPr="00335511" w:rsidRDefault="4BD0379E" w:rsidP="400D8877">
            <w:pPr>
              <w:spacing w:after="0" w:line="240" w:lineRule="auto"/>
              <w:jc w:val="center"/>
              <w:rPr>
                <w:rFonts w:eastAsia="Times New Roman"/>
                <w:color w:val="4472C4" w:themeColor="accent1"/>
              </w:rPr>
            </w:pPr>
            <w:r w:rsidRPr="00335511">
              <w:rPr>
                <w:rFonts w:eastAsia="Times New Roman"/>
                <w:color w:val="4472C4" w:themeColor="accent1"/>
              </w:rPr>
              <w:t>483</w:t>
            </w:r>
          </w:p>
        </w:tc>
      </w:tr>
      <w:tr w:rsidR="00CC11B8" w:rsidRPr="00335511" w14:paraId="28BE4CB3" w14:textId="77777777" w:rsidTr="00B04B46">
        <w:trPr>
          <w:cantSplit/>
          <w:trHeight w:val="260"/>
        </w:trPr>
        <w:tc>
          <w:tcPr>
            <w:tcW w:w="4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8099D"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Median TLOS - All Patients</w:t>
            </w:r>
          </w:p>
        </w:tc>
        <w:tc>
          <w:tcPr>
            <w:tcW w:w="981" w:type="dxa"/>
            <w:tcBorders>
              <w:top w:val="single" w:sz="4" w:space="0" w:color="auto"/>
              <w:left w:val="single" w:sz="4" w:space="0" w:color="auto"/>
              <w:bottom w:val="single" w:sz="4" w:space="0" w:color="auto"/>
              <w:right w:val="single" w:sz="4" w:space="0" w:color="auto"/>
            </w:tcBorders>
          </w:tcPr>
          <w:p w14:paraId="18E5AE7E" w14:textId="77777777" w:rsidR="00CC11B8" w:rsidRPr="00335511" w:rsidRDefault="00CC11B8" w:rsidP="001E10C7">
            <w:pPr>
              <w:spacing w:after="0" w:line="240" w:lineRule="auto"/>
              <w:jc w:val="center"/>
              <w:rPr>
                <w:rFonts w:eastAsia="Times New Roman" w:cstheme="minorHAnsi"/>
                <w:color w:val="000000"/>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3E52D"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279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BBB2E"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311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804A"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324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E9A01"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329</w:t>
            </w:r>
          </w:p>
        </w:tc>
        <w:tc>
          <w:tcPr>
            <w:tcW w:w="981" w:type="dxa"/>
            <w:tcBorders>
              <w:top w:val="single" w:sz="4" w:space="0" w:color="auto"/>
              <w:left w:val="single" w:sz="4" w:space="0" w:color="auto"/>
              <w:bottom w:val="single" w:sz="4" w:space="0" w:color="auto"/>
              <w:right w:val="single" w:sz="4" w:space="0" w:color="auto"/>
            </w:tcBorders>
          </w:tcPr>
          <w:p w14:paraId="33F713C5" w14:textId="7175BF52" w:rsidR="00CC11B8" w:rsidRPr="00335511" w:rsidRDefault="1EDC1452" w:rsidP="400D8877">
            <w:pPr>
              <w:spacing w:after="0" w:line="240" w:lineRule="auto"/>
              <w:jc w:val="center"/>
              <w:rPr>
                <w:rFonts w:eastAsia="Times New Roman"/>
                <w:color w:val="4472C4" w:themeColor="accent1"/>
              </w:rPr>
            </w:pPr>
            <w:r w:rsidRPr="00335511">
              <w:rPr>
                <w:rFonts w:eastAsia="Times New Roman"/>
                <w:color w:val="4472C4" w:themeColor="accent1"/>
              </w:rPr>
              <w:t>324</w:t>
            </w:r>
          </w:p>
        </w:tc>
      </w:tr>
      <w:tr w:rsidR="00CC11B8" w:rsidRPr="00335511" w14:paraId="29C032DA" w14:textId="77777777" w:rsidTr="00B04B46">
        <w:trPr>
          <w:cantSplit/>
          <w:trHeight w:val="260"/>
        </w:trPr>
        <w:tc>
          <w:tcPr>
            <w:tcW w:w="4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14A97"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Avg. TLOS - Admitted &amp; Acute Transfers</w:t>
            </w:r>
          </w:p>
        </w:tc>
        <w:tc>
          <w:tcPr>
            <w:tcW w:w="981" w:type="dxa"/>
            <w:tcBorders>
              <w:top w:val="single" w:sz="4" w:space="0" w:color="auto"/>
              <w:left w:val="single" w:sz="4" w:space="0" w:color="auto"/>
              <w:bottom w:val="single" w:sz="4" w:space="0" w:color="auto"/>
              <w:right w:val="single" w:sz="4" w:space="0" w:color="auto"/>
            </w:tcBorders>
          </w:tcPr>
          <w:p w14:paraId="0BE75B59" w14:textId="77777777" w:rsidR="00CC11B8" w:rsidRPr="00335511" w:rsidRDefault="00CC11B8" w:rsidP="001E10C7">
            <w:pPr>
              <w:spacing w:after="0" w:line="240" w:lineRule="auto"/>
              <w:jc w:val="center"/>
              <w:rPr>
                <w:rFonts w:eastAsia="Times New Roman" w:cstheme="minorHAnsi"/>
                <w:color w:val="000000"/>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2CAA"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480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64C99"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594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5776D"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675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37561"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693</w:t>
            </w:r>
          </w:p>
        </w:tc>
        <w:tc>
          <w:tcPr>
            <w:tcW w:w="981" w:type="dxa"/>
            <w:tcBorders>
              <w:top w:val="single" w:sz="4" w:space="0" w:color="auto"/>
              <w:left w:val="single" w:sz="4" w:space="0" w:color="auto"/>
              <w:bottom w:val="single" w:sz="4" w:space="0" w:color="auto"/>
              <w:right w:val="single" w:sz="4" w:space="0" w:color="auto"/>
            </w:tcBorders>
          </w:tcPr>
          <w:p w14:paraId="666AC97A" w14:textId="1F26AF0A" w:rsidR="00CC11B8" w:rsidRPr="00335511" w:rsidRDefault="759FEEA6" w:rsidP="400D8877">
            <w:pPr>
              <w:spacing w:after="0" w:line="240" w:lineRule="auto"/>
              <w:jc w:val="center"/>
              <w:rPr>
                <w:rFonts w:eastAsia="Times New Roman"/>
                <w:color w:val="4472C4" w:themeColor="accent1"/>
              </w:rPr>
            </w:pPr>
            <w:r w:rsidRPr="00335511">
              <w:rPr>
                <w:rFonts w:eastAsia="Times New Roman"/>
                <w:color w:val="4472C4" w:themeColor="accent1"/>
              </w:rPr>
              <w:t>760</w:t>
            </w:r>
          </w:p>
        </w:tc>
      </w:tr>
      <w:tr w:rsidR="00CC11B8" w:rsidRPr="00335511" w14:paraId="411755E0" w14:textId="77777777" w:rsidTr="00B04B46">
        <w:trPr>
          <w:cantSplit/>
          <w:trHeight w:val="260"/>
        </w:trPr>
        <w:tc>
          <w:tcPr>
            <w:tcW w:w="4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B8D64" w14:textId="77777777" w:rsidR="00CC11B8" w:rsidRPr="00335511" w:rsidRDefault="00CC11B8" w:rsidP="001E10C7">
            <w:pPr>
              <w:spacing w:after="0" w:line="240" w:lineRule="auto"/>
              <w:rPr>
                <w:rFonts w:eastAsia="Times New Roman" w:cstheme="minorHAnsi"/>
                <w:color w:val="000000"/>
              </w:rPr>
            </w:pPr>
            <w:r w:rsidRPr="00335511">
              <w:rPr>
                <w:rFonts w:eastAsia="Times New Roman" w:cstheme="minorHAnsi"/>
                <w:color w:val="000000"/>
              </w:rPr>
              <w:t>Median TLOS - Admitted &amp; Acute Transfers</w:t>
            </w:r>
          </w:p>
        </w:tc>
        <w:tc>
          <w:tcPr>
            <w:tcW w:w="981" w:type="dxa"/>
            <w:tcBorders>
              <w:top w:val="single" w:sz="4" w:space="0" w:color="auto"/>
              <w:left w:val="single" w:sz="4" w:space="0" w:color="auto"/>
              <w:bottom w:val="single" w:sz="4" w:space="0" w:color="auto"/>
              <w:right w:val="single" w:sz="4" w:space="0" w:color="auto"/>
            </w:tcBorders>
          </w:tcPr>
          <w:p w14:paraId="321C1803" w14:textId="77777777" w:rsidR="00CC11B8" w:rsidRPr="00335511" w:rsidRDefault="00CC11B8" w:rsidP="001E10C7">
            <w:pPr>
              <w:spacing w:after="0" w:line="240" w:lineRule="auto"/>
              <w:jc w:val="center"/>
              <w:rPr>
                <w:rFonts w:eastAsia="Times New Roman" w:cstheme="minorHAnsi"/>
                <w:color w:val="000000"/>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E707"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365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903BB"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438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1771"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466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2337" w14:textId="77777777" w:rsidR="00CC11B8" w:rsidRPr="00335511" w:rsidRDefault="00CC11B8" w:rsidP="001E10C7">
            <w:pPr>
              <w:spacing w:after="0" w:line="240" w:lineRule="auto"/>
              <w:jc w:val="center"/>
              <w:rPr>
                <w:rFonts w:eastAsia="Times New Roman" w:cstheme="minorHAnsi"/>
                <w:color w:val="000000"/>
              </w:rPr>
            </w:pPr>
            <w:r w:rsidRPr="00335511">
              <w:rPr>
                <w:rFonts w:eastAsia="Times New Roman" w:cstheme="minorHAnsi"/>
                <w:color w:val="000000"/>
              </w:rPr>
              <w:t>521</w:t>
            </w:r>
          </w:p>
        </w:tc>
        <w:tc>
          <w:tcPr>
            <w:tcW w:w="981" w:type="dxa"/>
            <w:tcBorders>
              <w:top w:val="single" w:sz="4" w:space="0" w:color="auto"/>
              <w:left w:val="single" w:sz="4" w:space="0" w:color="auto"/>
              <w:bottom w:val="single" w:sz="4" w:space="0" w:color="auto"/>
              <w:right w:val="single" w:sz="4" w:space="0" w:color="auto"/>
            </w:tcBorders>
          </w:tcPr>
          <w:p w14:paraId="641CD4A9" w14:textId="58F8C454" w:rsidR="00CC11B8" w:rsidRPr="00335511" w:rsidRDefault="18C1D17F" w:rsidP="400D8877">
            <w:pPr>
              <w:spacing w:after="0" w:line="240" w:lineRule="auto"/>
              <w:jc w:val="center"/>
              <w:rPr>
                <w:rFonts w:eastAsia="Times New Roman"/>
                <w:color w:val="4472C4" w:themeColor="accent1"/>
              </w:rPr>
            </w:pPr>
            <w:r w:rsidRPr="00335511">
              <w:rPr>
                <w:rFonts w:eastAsia="Times New Roman"/>
                <w:color w:val="4472C4" w:themeColor="accent1"/>
              </w:rPr>
              <w:t>568</w:t>
            </w:r>
          </w:p>
        </w:tc>
      </w:tr>
    </w:tbl>
    <w:p w14:paraId="269BE065" w14:textId="77777777" w:rsidR="00EA177F" w:rsidRPr="00335511" w:rsidRDefault="00EA177F" w:rsidP="00EA177F">
      <w:pPr>
        <w:spacing w:after="0" w:line="229" w:lineRule="exact"/>
        <w:rPr>
          <w:rFonts w:cstheme="minorHAnsi"/>
          <w:highlight w:val="yellow"/>
        </w:rPr>
      </w:pPr>
    </w:p>
    <w:p w14:paraId="480BE220" w14:textId="06F7D139" w:rsidR="008F2137" w:rsidRPr="00335511" w:rsidRDefault="00E73907" w:rsidP="00D17C2F">
      <w:pPr>
        <w:pStyle w:val="ListParagraph"/>
        <w:numPr>
          <w:ilvl w:val="0"/>
          <w:numId w:val="38"/>
        </w:numPr>
        <w:spacing w:before="240" w:after="0" w:line="229" w:lineRule="exact"/>
        <w:rPr>
          <w:rFonts w:cstheme="minorHAnsi"/>
          <w:b/>
          <w:bCs/>
        </w:rPr>
      </w:pPr>
      <w:r w:rsidRPr="00335511">
        <w:rPr>
          <w:rFonts w:cstheme="minorHAnsi"/>
          <w:b/>
          <w:bCs/>
        </w:rPr>
        <w:t xml:space="preserve">Please provide </w:t>
      </w:r>
      <w:r w:rsidR="00336346" w:rsidRPr="00335511">
        <w:rPr>
          <w:rFonts w:cstheme="minorHAnsi"/>
          <w:b/>
          <w:bCs/>
        </w:rPr>
        <w:t>the following data for the Behavioral Health ED Utilization</w:t>
      </w:r>
      <w:r w:rsidR="00540589" w:rsidRPr="00335511">
        <w:rPr>
          <w:rFonts w:cstheme="minorHAnsi"/>
          <w:b/>
          <w:bCs/>
        </w:rPr>
        <w:t xml:space="preserve"> (Please annualize 2024 data)</w:t>
      </w:r>
      <w:r w:rsidR="008F2137" w:rsidRPr="00335511">
        <w:rPr>
          <w:rFonts w:cstheme="minorHAnsi"/>
          <w:b/>
          <w:bCs/>
        </w:rPr>
        <w:t>:</w:t>
      </w:r>
    </w:p>
    <w:p w14:paraId="730CF116" w14:textId="63CFBA95" w:rsidR="00113ECA" w:rsidRPr="00335511" w:rsidRDefault="00EB6578" w:rsidP="00A10502">
      <w:pPr>
        <w:spacing w:before="240" w:after="0" w:line="229" w:lineRule="exact"/>
        <w:ind w:left="720"/>
        <w:rPr>
          <w:rFonts w:cstheme="minorHAnsi"/>
        </w:rPr>
      </w:pPr>
      <w:r w:rsidRPr="00335511">
        <w:rPr>
          <w:rFonts w:cstheme="minorHAnsi"/>
        </w:rPr>
        <w:t xml:space="preserve">As noted in the response to #3, BID-P does not track these measures separately because patients are not tracked separately.  </w:t>
      </w:r>
    </w:p>
    <w:p w14:paraId="7A8DBB42" w14:textId="203F66BC" w:rsidR="00EB6578" w:rsidRPr="00A36E38" w:rsidRDefault="00A36E38" w:rsidP="005E7E9F">
      <w:pPr>
        <w:spacing w:before="240" w:after="0" w:line="229" w:lineRule="exact"/>
        <w:rPr>
          <w:rFonts w:cstheme="minorHAnsi"/>
          <w:b/>
          <w:bCs/>
        </w:rPr>
      </w:pPr>
      <w:r w:rsidRPr="00A36E38">
        <w:rPr>
          <w:rFonts w:cstheme="minorHAnsi"/>
          <w:b/>
          <w:bCs/>
        </w:rPr>
        <w:t>Table 5</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026"/>
        <w:gridCol w:w="1026"/>
        <w:gridCol w:w="1026"/>
        <w:gridCol w:w="1008"/>
        <w:gridCol w:w="990"/>
        <w:gridCol w:w="990"/>
      </w:tblGrid>
      <w:tr w:rsidR="008F2137" w:rsidRPr="00335511" w14:paraId="58F33B41" w14:textId="4724385C" w:rsidTr="00B04B46">
        <w:trPr>
          <w:cantSplit/>
          <w:trHeight w:val="521"/>
          <w:tblHeader/>
        </w:trPr>
        <w:tc>
          <w:tcPr>
            <w:tcW w:w="4225" w:type="dxa"/>
            <w:shd w:val="clear" w:color="auto" w:fill="D9E2F3" w:themeFill="accent1" w:themeFillTint="33"/>
            <w:noWrap/>
            <w:vAlign w:val="center"/>
          </w:tcPr>
          <w:p w14:paraId="060C3A05" w14:textId="26A3C766" w:rsidR="008F2137" w:rsidRPr="00335511" w:rsidRDefault="00540589" w:rsidP="000F10EC">
            <w:pPr>
              <w:spacing w:after="0" w:line="240" w:lineRule="auto"/>
              <w:rPr>
                <w:rFonts w:eastAsia="Times New Roman" w:cstheme="minorHAnsi"/>
                <w:b/>
                <w:bCs/>
                <w:color w:val="000000"/>
              </w:rPr>
            </w:pPr>
            <w:r w:rsidRPr="00335511">
              <w:rPr>
                <w:rFonts w:eastAsia="Times New Roman" w:cstheme="minorHAnsi"/>
                <w:b/>
                <w:bCs/>
                <w:color w:val="000000"/>
              </w:rPr>
              <w:t>Behavioral Health ED Utilization</w:t>
            </w:r>
          </w:p>
        </w:tc>
        <w:tc>
          <w:tcPr>
            <w:tcW w:w="1026" w:type="dxa"/>
            <w:shd w:val="clear" w:color="auto" w:fill="D9E2F3" w:themeFill="accent1" w:themeFillTint="33"/>
          </w:tcPr>
          <w:p w14:paraId="5C7FCC84" w14:textId="7CED418F"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FY2019</w:t>
            </w:r>
          </w:p>
        </w:tc>
        <w:tc>
          <w:tcPr>
            <w:tcW w:w="1026" w:type="dxa"/>
            <w:shd w:val="clear" w:color="auto" w:fill="D9E2F3" w:themeFill="accent1" w:themeFillTint="33"/>
            <w:noWrap/>
            <w:vAlign w:val="center"/>
          </w:tcPr>
          <w:p w14:paraId="1E1A849F" w14:textId="1D90F125"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FY2020</w:t>
            </w:r>
          </w:p>
        </w:tc>
        <w:tc>
          <w:tcPr>
            <w:tcW w:w="1026" w:type="dxa"/>
            <w:shd w:val="clear" w:color="auto" w:fill="D9E2F3" w:themeFill="accent1" w:themeFillTint="33"/>
            <w:noWrap/>
            <w:vAlign w:val="center"/>
          </w:tcPr>
          <w:p w14:paraId="7A5E8114" w14:textId="77777777"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FY2021</w:t>
            </w:r>
          </w:p>
        </w:tc>
        <w:tc>
          <w:tcPr>
            <w:tcW w:w="1008" w:type="dxa"/>
            <w:shd w:val="clear" w:color="auto" w:fill="D9E2F3" w:themeFill="accent1" w:themeFillTint="33"/>
            <w:noWrap/>
            <w:vAlign w:val="center"/>
          </w:tcPr>
          <w:p w14:paraId="168ADABF" w14:textId="77777777"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FY2022</w:t>
            </w:r>
          </w:p>
        </w:tc>
        <w:tc>
          <w:tcPr>
            <w:tcW w:w="990" w:type="dxa"/>
            <w:shd w:val="clear" w:color="auto" w:fill="D9E2F3" w:themeFill="accent1" w:themeFillTint="33"/>
            <w:noWrap/>
            <w:vAlign w:val="center"/>
          </w:tcPr>
          <w:p w14:paraId="67F69C3D" w14:textId="77777777"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FY2023</w:t>
            </w:r>
          </w:p>
        </w:tc>
        <w:tc>
          <w:tcPr>
            <w:tcW w:w="990" w:type="dxa"/>
            <w:shd w:val="clear" w:color="auto" w:fill="D9E2F3" w:themeFill="accent1" w:themeFillTint="33"/>
          </w:tcPr>
          <w:p w14:paraId="53930C32" w14:textId="01D1E6EC" w:rsidR="008F2137" w:rsidRPr="00335511" w:rsidRDefault="008F2137" w:rsidP="008F2137">
            <w:pPr>
              <w:spacing w:after="0" w:line="480" w:lineRule="auto"/>
              <w:rPr>
                <w:rFonts w:eastAsia="Times New Roman" w:cstheme="minorHAnsi"/>
                <w:b/>
                <w:bCs/>
                <w:color w:val="000000"/>
              </w:rPr>
            </w:pPr>
            <w:r w:rsidRPr="00335511">
              <w:rPr>
                <w:rFonts w:eastAsia="Times New Roman" w:cstheme="minorHAnsi"/>
                <w:b/>
                <w:bCs/>
                <w:color w:val="000000"/>
              </w:rPr>
              <w:t>FY2024</w:t>
            </w:r>
          </w:p>
        </w:tc>
      </w:tr>
      <w:tr w:rsidR="008F2137" w:rsidRPr="00335511" w14:paraId="70B9B751" w14:textId="71F049BB" w:rsidTr="00B04B46">
        <w:trPr>
          <w:cantSplit/>
          <w:trHeight w:val="233"/>
        </w:trPr>
        <w:tc>
          <w:tcPr>
            <w:tcW w:w="4225" w:type="dxa"/>
            <w:shd w:val="clear" w:color="auto" w:fill="auto"/>
            <w:noWrap/>
            <w:vAlign w:val="center"/>
            <w:hideMark/>
          </w:tcPr>
          <w:p w14:paraId="06350D20"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Avg. Arrival to Treatment Space (minutes)</w:t>
            </w:r>
          </w:p>
        </w:tc>
        <w:tc>
          <w:tcPr>
            <w:tcW w:w="1026" w:type="dxa"/>
          </w:tcPr>
          <w:p w14:paraId="3F9C1181" w14:textId="77777777"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3C45364E" w14:textId="67898FED"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46411239" w14:textId="1E34B828" w:rsidR="008F2137" w:rsidRPr="00335511" w:rsidRDefault="008F2137" w:rsidP="000F10EC">
            <w:pPr>
              <w:spacing w:after="0" w:line="240" w:lineRule="auto"/>
              <w:jc w:val="center"/>
              <w:rPr>
                <w:rFonts w:eastAsia="Times New Roman" w:cstheme="minorHAnsi"/>
                <w:color w:val="000000"/>
              </w:rPr>
            </w:pPr>
          </w:p>
        </w:tc>
        <w:tc>
          <w:tcPr>
            <w:tcW w:w="1008" w:type="dxa"/>
            <w:shd w:val="clear" w:color="auto" w:fill="auto"/>
            <w:noWrap/>
            <w:vAlign w:val="center"/>
          </w:tcPr>
          <w:p w14:paraId="4964DDE9" w14:textId="172FC211" w:rsidR="008F2137" w:rsidRPr="00335511" w:rsidRDefault="008F2137" w:rsidP="000F10EC">
            <w:pPr>
              <w:spacing w:after="0" w:line="240" w:lineRule="auto"/>
              <w:jc w:val="center"/>
              <w:rPr>
                <w:rFonts w:eastAsia="Times New Roman" w:cstheme="minorHAnsi"/>
                <w:color w:val="000000"/>
              </w:rPr>
            </w:pPr>
          </w:p>
        </w:tc>
        <w:tc>
          <w:tcPr>
            <w:tcW w:w="990" w:type="dxa"/>
            <w:shd w:val="clear" w:color="auto" w:fill="auto"/>
            <w:noWrap/>
            <w:vAlign w:val="center"/>
          </w:tcPr>
          <w:p w14:paraId="3DA21F3E" w14:textId="783B54C3" w:rsidR="008F2137" w:rsidRPr="00335511" w:rsidRDefault="008F2137" w:rsidP="000F10EC">
            <w:pPr>
              <w:spacing w:after="0" w:line="240" w:lineRule="auto"/>
              <w:jc w:val="center"/>
              <w:rPr>
                <w:rFonts w:eastAsia="Times New Roman" w:cstheme="minorHAnsi"/>
                <w:color w:val="000000"/>
              </w:rPr>
            </w:pPr>
          </w:p>
        </w:tc>
        <w:tc>
          <w:tcPr>
            <w:tcW w:w="990" w:type="dxa"/>
          </w:tcPr>
          <w:p w14:paraId="2A4986CB"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467719CD" w14:textId="1F25896B" w:rsidTr="00B04B46">
        <w:trPr>
          <w:cantSplit/>
          <w:trHeight w:val="260"/>
        </w:trPr>
        <w:tc>
          <w:tcPr>
            <w:tcW w:w="4225" w:type="dxa"/>
            <w:shd w:val="clear" w:color="auto" w:fill="auto"/>
            <w:noWrap/>
            <w:vAlign w:val="center"/>
            <w:hideMark/>
          </w:tcPr>
          <w:p w14:paraId="1FBA9F14"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lastRenderedPageBreak/>
              <w:t>Number of LWBS</w:t>
            </w:r>
          </w:p>
        </w:tc>
        <w:tc>
          <w:tcPr>
            <w:tcW w:w="1026" w:type="dxa"/>
          </w:tcPr>
          <w:p w14:paraId="0B12799A" w14:textId="77777777"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55759775" w14:textId="7B073E7A"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1B405180" w14:textId="2BE13DA9" w:rsidR="008F2137" w:rsidRPr="00335511" w:rsidRDefault="008F2137" w:rsidP="000F10EC">
            <w:pPr>
              <w:spacing w:after="0" w:line="240" w:lineRule="auto"/>
              <w:jc w:val="center"/>
              <w:rPr>
                <w:rFonts w:eastAsia="Times New Roman" w:cstheme="minorHAnsi"/>
                <w:color w:val="000000"/>
              </w:rPr>
            </w:pPr>
          </w:p>
        </w:tc>
        <w:tc>
          <w:tcPr>
            <w:tcW w:w="1008" w:type="dxa"/>
            <w:shd w:val="clear" w:color="auto" w:fill="auto"/>
            <w:noWrap/>
            <w:vAlign w:val="center"/>
          </w:tcPr>
          <w:p w14:paraId="0D8367DB" w14:textId="34EE0FCF" w:rsidR="008F2137" w:rsidRPr="00335511" w:rsidRDefault="008F2137" w:rsidP="000F10EC">
            <w:pPr>
              <w:spacing w:after="0" w:line="240" w:lineRule="auto"/>
              <w:jc w:val="center"/>
              <w:rPr>
                <w:rFonts w:eastAsia="Times New Roman" w:cstheme="minorHAnsi"/>
                <w:color w:val="000000"/>
              </w:rPr>
            </w:pPr>
          </w:p>
        </w:tc>
        <w:tc>
          <w:tcPr>
            <w:tcW w:w="990" w:type="dxa"/>
            <w:shd w:val="clear" w:color="auto" w:fill="auto"/>
            <w:noWrap/>
            <w:vAlign w:val="center"/>
          </w:tcPr>
          <w:p w14:paraId="0533F38F" w14:textId="2363562F" w:rsidR="008F2137" w:rsidRPr="00335511" w:rsidRDefault="008F2137" w:rsidP="000F10EC">
            <w:pPr>
              <w:spacing w:after="0" w:line="240" w:lineRule="auto"/>
              <w:jc w:val="center"/>
              <w:rPr>
                <w:rFonts w:eastAsia="Times New Roman" w:cstheme="minorHAnsi"/>
                <w:color w:val="000000"/>
              </w:rPr>
            </w:pPr>
          </w:p>
        </w:tc>
        <w:tc>
          <w:tcPr>
            <w:tcW w:w="990" w:type="dxa"/>
          </w:tcPr>
          <w:p w14:paraId="7E158012"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7C7D6B69" w14:textId="29F2D6C4" w:rsidTr="00B04B46">
        <w:trPr>
          <w:cantSplit/>
          <w:trHeight w:val="260"/>
        </w:trPr>
        <w:tc>
          <w:tcPr>
            <w:tcW w:w="4225" w:type="dxa"/>
            <w:shd w:val="clear" w:color="auto" w:fill="auto"/>
            <w:noWrap/>
            <w:vAlign w:val="center"/>
          </w:tcPr>
          <w:p w14:paraId="6225AD4E"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Number of Eloped</w:t>
            </w:r>
            <w:r w:rsidRPr="00335511">
              <w:rPr>
                <w:rStyle w:val="FootnoteReference"/>
                <w:rFonts w:eastAsia="Times New Roman" w:cstheme="minorHAnsi"/>
                <w:color w:val="000000"/>
              </w:rPr>
              <w:footnoteReference w:id="3"/>
            </w:r>
          </w:p>
        </w:tc>
        <w:tc>
          <w:tcPr>
            <w:tcW w:w="1026" w:type="dxa"/>
          </w:tcPr>
          <w:p w14:paraId="183374B8" w14:textId="77777777"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5A766F63" w14:textId="439F939A" w:rsidR="008F2137" w:rsidRPr="00335511" w:rsidRDefault="008F2137" w:rsidP="000F10EC">
            <w:pPr>
              <w:spacing w:after="0" w:line="240" w:lineRule="auto"/>
              <w:jc w:val="center"/>
              <w:rPr>
                <w:rFonts w:eastAsia="Times New Roman" w:cstheme="minorHAnsi"/>
                <w:color w:val="000000"/>
              </w:rPr>
            </w:pPr>
          </w:p>
        </w:tc>
        <w:tc>
          <w:tcPr>
            <w:tcW w:w="1026" w:type="dxa"/>
            <w:shd w:val="clear" w:color="auto" w:fill="auto"/>
            <w:noWrap/>
            <w:vAlign w:val="center"/>
          </w:tcPr>
          <w:p w14:paraId="0C9C11F1" w14:textId="46A85A5E" w:rsidR="008F2137" w:rsidRPr="00335511" w:rsidRDefault="008F2137" w:rsidP="000F10EC">
            <w:pPr>
              <w:spacing w:after="0" w:line="240" w:lineRule="auto"/>
              <w:jc w:val="center"/>
              <w:rPr>
                <w:rFonts w:eastAsia="Times New Roman" w:cstheme="minorHAnsi"/>
                <w:color w:val="000000"/>
              </w:rPr>
            </w:pPr>
          </w:p>
        </w:tc>
        <w:tc>
          <w:tcPr>
            <w:tcW w:w="1008" w:type="dxa"/>
            <w:shd w:val="clear" w:color="auto" w:fill="auto"/>
            <w:noWrap/>
            <w:vAlign w:val="center"/>
          </w:tcPr>
          <w:p w14:paraId="5A691062" w14:textId="4ED46EB8" w:rsidR="008F2137" w:rsidRPr="00335511" w:rsidRDefault="008F2137" w:rsidP="000F10EC">
            <w:pPr>
              <w:spacing w:after="0" w:line="240" w:lineRule="auto"/>
              <w:jc w:val="center"/>
              <w:rPr>
                <w:rFonts w:eastAsia="Times New Roman" w:cstheme="minorHAnsi"/>
                <w:color w:val="000000"/>
              </w:rPr>
            </w:pPr>
          </w:p>
        </w:tc>
        <w:tc>
          <w:tcPr>
            <w:tcW w:w="990" w:type="dxa"/>
            <w:shd w:val="clear" w:color="auto" w:fill="auto"/>
            <w:noWrap/>
            <w:vAlign w:val="center"/>
          </w:tcPr>
          <w:p w14:paraId="0BA66489" w14:textId="5FF4D677" w:rsidR="008F2137" w:rsidRPr="00335511" w:rsidRDefault="008F2137" w:rsidP="000F10EC">
            <w:pPr>
              <w:spacing w:after="0" w:line="240" w:lineRule="auto"/>
              <w:jc w:val="center"/>
              <w:rPr>
                <w:rFonts w:eastAsia="Times New Roman" w:cstheme="minorHAnsi"/>
                <w:color w:val="000000"/>
              </w:rPr>
            </w:pPr>
          </w:p>
        </w:tc>
        <w:tc>
          <w:tcPr>
            <w:tcW w:w="990" w:type="dxa"/>
          </w:tcPr>
          <w:p w14:paraId="6425D3F9"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7AC12694" w14:textId="0E7A07EC" w:rsidTr="00B04B46">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A0D0"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Avg. Total TLOS - All Patients</w:t>
            </w:r>
          </w:p>
        </w:tc>
        <w:tc>
          <w:tcPr>
            <w:tcW w:w="1026" w:type="dxa"/>
            <w:tcBorders>
              <w:top w:val="single" w:sz="4" w:space="0" w:color="auto"/>
              <w:left w:val="single" w:sz="4" w:space="0" w:color="auto"/>
              <w:bottom w:val="single" w:sz="4" w:space="0" w:color="auto"/>
              <w:right w:val="single" w:sz="4" w:space="0" w:color="auto"/>
            </w:tcBorders>
          </w:tcPr>
          <w:p w14:paraId="10F186E4" w14:textId="77777777"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4D90" w14:textId="0D52D268"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6CD9" w14:textId="4523E69C" w:rsidR="008F2137" w:rsidRPr="00335511" w:rsidRDefault="008F2137" w:rsidP="000F10EC">
            <w:pPr>
              <w:spacing w:after="0" w:line="240" w:lineRule="auto"/>
              <w:jc w:val="center"/>
              <w:rPr>
                <w:rFonts w:eastAsia="Times New Roman" w:cstheme="minorHAnsi"/>
                <w:color w:val="00000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48B03" w14:textId="60B61A82"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5C52F" w14:textId="5BEE5169"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tcPr>
          <w:p w14:paraId="7A8EB2FC"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61685498" w14:textId="58277609" w:rsidTr="00B04B46">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F513"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Median TLOS - All Patients</w:t>
            </w:r>
          </w:p>
        </w:tc>
        <w:tc>
          <w:tcPr>
            <w:tcW w:w="1026" w:type="dxa"/>
            <w:tcBorders>
              <w:top w:val="single" w:sz="4" w:space="0" w:color="auto"/>
              <w:left w:val="single" w:sz="4" w:space="0" w:color="auto"/>
              <w:bottom w:val="single" w:sz="4" w:space="0" w:color="auto"/>
              <w:right w:val="single" w:sz="4" w:space="0" w:color="auto"/>
            </w:tcBorders>
          </w:tcPr>
          <w:p w14:paraId="3DAA8249" w14:textId="77777777"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3B6BE" w14:textId="5465C35B"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64C86" w14:textId="60C3D8EC" w:rsidR="008F2137" w:rsidRPr="00335511" w:rsidRDefault="008F2137" w:rsidP="000F10EC">
            <w:pPr>
              <w:spacing w:after="0" w:line="240" w:lineRule="auto"/>
              <w:jc w:val="center"/>
              <w:rPr>
                <w:rFonts w:eastAsia="Times New Roman" w:cstheme="minorHAnsi"/>
                <w:color w:val="00000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27EAF" w14:textId="6EE84C4B"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2CD6C" w14:textId="3D5E8A31"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tcPr>
          <w:p w14:paraId="7CE824BD"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4BF4C8F0" w14:textId="5E418658" w:rsidTr="00B04B46">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22A39"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Avg. TLOS - Admitted &amp; Acute Transfers</w:t>
            </w:r>
          </w:p>
        </w:tc>
        <w:tc>
          <w:tcPr>
            <w:tcW w:w="1026" w:type="dxa"/>
            <w:tcBorders>
              <w:top w:val="single" w:sz="4" w:space="0" w:color="auto"/>
              <w:left w:val="single" w:sz="4" w:space="0" w:color="auto"/>
              <w:bottom w:val="single" w:sz="4" w:space="0" w:color="auto"/>
              <w:right w:val="single" w:sz="4" w:space="0" w:color="auto"/>
            </w:tcBorders>
          </w:tcPr>
          <w:p w14:paraId="3CC5E132" w14:textId="77777777"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AD932" w14:textId="4ABAE420"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B432F" w14:textId="6E303700" w:rsidR="008F2137" w:rsidRPr="00335511" w:rsidRDefault="008F2137" w:rsidP="000F10EC">
            <w:pPr>
              <w:spacing w:after="0" w:line="240" w:lineRule="auto"/>
              <w:jc w:val="center"/>
              <w:rPr>
                <w:rFonts w:eastAsia="Times New Roman" w:cstheme="minorHAnsi"/>
                <w:color w:val="00000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D2AD5" w14:textId="4295216D"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0EF2A" w14:textId="5F0449EE"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tcPr>
          <w:p w14:paraId="12CBD51C" w14:textId="77777777" w:rsidR="008F2137" w:rsidRPr="00335511" w:rsidRDefault="008F2137" w:rsidP="000F10EC">
            <w:pPr>
              <w:spacing w:after="0" w:line="240" w:lineRule="auto"/>
              <w:jc w:val="center"/>
              <w:rPr>
                <w:rFonts w:eastAsia="Times New Roman" w:cstheme="minorHAnsi"/>
                <w:color w:val="000000"/>
              </w:rPr>
            </w:pPr>
          </w:p>
        </w:tc>
      </w:tr>
      <w:tr w:rsidR="008F2137" w:rsidRPr="00335511" w14:paraId="6634B669" w14:textId="18ED09ED" w:rsidTr="00B04B46">
        <w:trPr>
          <w:cantSplit/>
          <w:trHeight w:val="26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D8E9C" w14:textId="77777777" w:rsidR="008F2137" w:rsidRPr="00335511" w:rsidRDefault="008F2137" w:rsidP="000F10EC">
            <w:pPr>
              <w:spacing w:after="0" w:line="240" w:lineRule="auto"/>
              <w:rPr>
                <w:rFonts w:eastAsia="Times New Roman" w:cstheme="minorHAnsi"/>
                <w:color w:val="000000"/>
              </w:rPr>
            </w:pPr>
            <w:r w:rsidRPr="00335511">
              <w:rPr>
                <w:rFonts w:eastAsia="Times New Roman" w:cstheme="minorHAnsi"/>
                <w:color w:val="000000"/>
              </w:rPr>
              <w:t>Median TLOS - Admitted &amp; Acute Transfers</w:t>
            </w:r>
          </w:p>
        </w:tc>
        <w:tc>
          <w:tcPr>
            <w:tcW w:w="1026" w:type="dxa"/>
            <w:tcBorders>
              <w:top w:val="single" w:sz="4" w:space="0" w:color="auto"/>
              <w:left w:val="single" w:sz="4" w:space="0" w:color="auto"/>
              <w:bottom w:val="single" w:sz="4" w:space="0" w:color="auto"/>
              <w:right w:val="single" w:sz="4" w:space="0" w:color="auto"/>
            </w:tcBorders>
          </w:tcPr>
          <w:p w14:paraId="61324007" w14:textId="77777777"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4ADF8" w14:textId="485C4272" w:rsidR="008F2137" w:rsidRPr="00335511" w:rsidRDefault="008F2137" w:rsidP="000F10EC">
            <w:pPr>
              <w:spacing w:after="0" w:line="240" w:lineRule="auto"/>
              <w:jc w:val="center"/>
              <w:rPr>
                <w:rFonts w:eastAsia="Times New Roman" w:cstheme="minorHAnsi"/>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2DEE1" w14:textId="5266AF34" w:rsidR="008F2137" w:rsidRPr="00335511" w:rsidRDefault="008F2137" w:rsidP="000F10EC">
            <w:pPr>
              <w:spacing w:after="0" w:line="240" w:lineRule="auto"/>
              <w:jc w:val="center"/>
              <w:rPr>
                <w:rFonts w:eastAsia="Times New Roman" w:cstheme="minorHAnsi"/>
                <w:color w:val="00000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D4B22" w14:textId="5130A63F"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838AF" w14:textId="7ECE7377" w:rsidR="008F2137" w:rsidRPr="00335511" w:rsidRDefault="008F2137" w:rsidP="000F10EC">
            <w:pPr>
              <w:spacing w:after="0" w:line="240" w:lineRule="auto"/>
              <w:jc w:val="center"/>
              <w:rPr>
                <w:rFonts w:eastAsia="Times New Roman" w:cstheme="minorHAnsi"/>
                <w:color w:val="000000"/>
              </w:rPr>
            </w:pPr>
          </w:p>
        </w:tc>
        <w:tc>
          <w:tcPr>
            <w:tcW w:w="990" w:type="dxa"/>
            <w:tcBorders>
              <w:top w:val="single" w:sz="4" w:space="0" w:color="auto"/>
              <w:left w:val="single" w:sz="4" w:space="0" w:color="auto"/>
              <w:bottom w:val="single" w:sz="4" w:space="0" w:color="auto"/>
              <w:right w:val="single" w:sz="4" w:space="0" w:color="auto"/>
            </w:tcBorders>
          </w:tcPr>
          <w:p w14:paraId="58A298F8" w14:textId="77777777" w:rsidR="008F2137" w:rsidRPr="00335511" w:rsidRDefault="008F2137" w:rsidP="000F10EC">
            <w:pPr>
              <w:spacing w:after="0" w:line="240" w:lineRule="auto"/>
              <w:jc w:val="center"/>
              <w:rPr>
                <w:rFonts w:eastAsia="Times New Roman" w:cstheme="minorHAnsi"/>
                <w:color w:val="000000"/>
              </w:rPr>
            </w:pPr>
          </w:p>
        </w:tc>
      </w:tr>
    </w:tbl>
    <w:p w14:paraId="1E6EF46B" w14:textId="10A841F1" w:rsidR="00627A68" w:rsidRPr="00335511" w:rsidRDefault="00627A68" w:rsidP="00680AD8">
      <w:pPr>
        <w:spacing w:line="229" w:lineRule="exact"/>
        <w:rPr>
          <w:rFonts w:cstheme="minorHAnsi"/>
        </w:rPr>
      </w:pPr>
    </w:p>
    <w:p w14:paraId="44568A3D" w14:textId="70EFCA20" w:rsidR="00627A68" w:rsidRPr="00335511" w:rsidRDefault="00627A68" w:rsidP="00627A68">
      <w:pPr>
        <w:pStyle w:val="ListParagraph"/>
        <w:numPr>
          <w:ilvl w:val="0"/>
          <w:numId w:val="38"/>
        </w:numPr>
        <w:spacing w:line="229" w:lineRule="exact"/>
        <w:rPr>
          <w:rFonts w:cstheme="minorHAnsi"/>
          <w:b/>
          <w:bCs/>
          <w:color w:val="FF0000"/>
        </w:rPr>
      </w:pPr>
      <w:r w:rsidRPr="00335511">
        <w:rPr>
          <w:rFonts w:cstheme="minorHAnsi"/>
          <w:b/>
          <w:bCs/>
        </w:rPr>
        <w:t xml:space="preserve">Page </w:t>
      </w:r>
      <w:r w:rsidR="004102C5" w:rsidRPr="00335511">
        <w:rPr>
          <w:rFonts w:cstheme="minorHAnsi"/>
          <w:b/>
          <w:bCs/>
        </w:rPr>
        <w:t xml:space="preserve">7 of the Narrative and </w:t>
      </w:r>
      <w:r w:rsidR="00D124F9" w:rsidRPr="00335511">
        <w:rPr>
          <w:rFonts w:cstheme="minorHAnsi"/>
          <w:b/>
          <w:bCs/>
        </w:rPr>
        <w:t>page 4 of the CPA report note staffing needs for the expanded ED. Please answer the following questions:</w:t>
      </w:r>
    </w:p>
    <w:p w14:paraId="04B69C4F" w14:textId="77777777" w:rsidR="00514772" w:rsidRPr="00335511" w:rsidRDefault="00514772" w:rsidP="400D8877">
      <w:pPr>
        <w:pStyle w:val="ListParagraph"/>
        <w:spacing w:line="229" w:lineRule="exact"/>
        <w:rPr>
          <w:color w:val="FF0000"/>
        </w:rPr>
      </w:pPr>
    </w:p>
    <w:p w14:paraId="57E57C0C" w14:textId="1A40892D" w:rsidR="00887C04" w:rsidRPr="00335511" w:rsidRDefault="00514772" w:rsidP="00A92659">
      <w:pPr>
        <w:pStyle w:val="ListParagraph"/>
        <w:spacing w:line="229" w:lineRule="exact"/>
      </w:pPr>
      <w:r w:rsidRPr="00335511">
        <w:t xml:space="preserve">Because the Proposed Project is primarily focused on right-sizing the ED to meet current need, the Applicant does not anticipate a significant increase in </w:t>
      </w:r>
      <w:r w:rsidR="00A92659" w:rsidRPr="00335511">
        <w:t>resources will be required upon opening, but rather than staffing will adjust to meet volume</w:t>
      </w:r>
      <w:r w:rsidR="004F563B" w:rsidRPr="00335511">
        <w:t xml:space="preserve"> overtime</w:t>
      </w:r>
      <w:r w:rsidR="00A92659" w:rsidRPr="00335511">
        <w:t xml:space="preserve">. </w:t>
      </w:r>
      <w:r w:rsidR="004F563B" w:rsidRPr="00335511">
        <w:t>Therefore</w:t>
      </w:r>
      <w:r w:rsidR="00A92659" w:rsidRPr="00335511">
        <w:t>, the Hospital anticipates</w:t>
      </w:r>
      <w:r w:rsidR="00113ECA" w:rsidRPr="00335511">
        <w:t xml:space="preserve"> utilizing existing BILH resources </w:t>
      </w:r>
      <w:r w:rsidR="00A92659" w:rsidRPr="00335511">
        <w:t xml:space="preserve">and </w:t>
      </w:r>
      <w:r w:rsidR="00113ECA" w:rsidRPr="00335511">
        <w:t>will adjust operational coverage based o</w:t>
      </w:r>
      <w:r w:rsidR="6310F6D6" w:rsidRPr="00335511">
        <w:t xml:space="preserve">n </w:t>
      </w:r>
      <w:r w:rsidR="00113ECA" w:rsidRPr="00335511">
        <w:t>the types of additional patients that utilize the Emergency Room.</w:t>
      </w:r>
      <w:r w:rsidR="00A92659" w:rsidRPr="00335511">
        <w:t xml:space="preserve"> The Hospital, along with BILH, will work to recruit and retain talented staff.  </w:t>
      </w:r>
    </w:p>
    <w:p w14:paraId="4B32D2A8" w14:textId="77777777" w:rsidR="00A92659" w:rsidRPr="00335511" w:rsidRDefault="00A92659" w:rsidP="00A92659">
      <w:pPr>
        <w:pStyle w:val="ListParagraph"/>
        <w:spacing w:line="229" w:lineRule="exact"/>
      </w:pPr>
    </w:p>
    <w:p w14:paraId="2E6B00D0" w14:textId="2D69ED39" w:rsidR="00D124F9" w:rsidRDefault="00D124F9" w:rsidP="400D8877">
      <w:pPr>
        <w:pStyle w:val="ListParagraph"/>
        <w:numPr>
          <w:ilvl w:val="1"/>
          <w:numId w:val="38"/>
        </w:numPr>
        <w:spacing w:line="229" w:lineRule="exact"/>
      </w:pPr>
      <w:r w:rsidRPr="00335511">
        <w:rPr>
          <w:b/>
          <w:bCs/>
        </w:rPr>
        <w:t xml:space="preserve">Of the </w:t>
      </w:r>
      <w:r w:rsidR="009D7BC6" w:rsidRPr="00335511">
        <w:rPr>
          <w:b/>
          <w:bCs/>
        </w:rPr>
        <w:t xml:space="preserve">107 FTE’s projected for the expansion, how many </w:t>
      </w:r>
      <w:r w:rsidR="00456FCF" w:rsidRPr="00335511">
        <w:rPr>
          <w:b/>
          <w:bCs/>
        </w:rPr>
        <w:t>are anticipated to be</w:t>
      </w:r>
      <w:r w:rsidR="009D7BC6" w:rsidRPr="00335511">
        <w:rPr>
          <w:b/>
          <w:bCs/>
        </w:rPr>
        <w:t xml:space="preserve"> new hires</w:t>
      </w:r>
      <w:r w:rsidR="00C96658" w:rsidRPr="00335511">
        <w:rPr>
          <w:b/>
          <w:bCs/>
        </w:rPr>
        <w:t xml:space="preserve"> versus existing staff?</w:t>
      </w:r>
      <w:r w:rsidR="086C27C1" w:rsidRPr="00335511">
        <w:t xml:space="preserve"> Increases in </w:t>
      </w:r>
      <w:r w:rsidR="00514772" w:rsidRPr="00335511">
        <w:t>s</w:t>
      </w:r>
      <w:r w:rsidR="086C27C1" w:rsidRPr="00335511">
        <w:t xml:space="preserve">taffing </w:t>
      </w:r>
      <w:r w:rsidR="00514772" w:rsidRPr="00335511">
        <w:t>will be driven by</w:t>
      </w:r>
      <w:r w:rsidR="086C27C1" w:rsidRPr="00335511">
        <w:t xml:space="preserve"> additional volume growth over </w:t>
      </w:r>
      <w:r w:rsidR="0018569F">
        <w:t>time</w:t>
      </w:r>
      <w:r w:rsidR="7E61E561" w:rsidRPr="00335511">
        <w:t xml:space="preserve">. </w:t>
      </w:r>
      <w:r w:rsidR="00514772" w:rsidRPr="00335511">
        <w:t>The c</w:t>
      </w:r>
      <w:r w:rsidR="070683A5" w:rsidRPr="00335511">
        <w:t>urrent robust per diem workforce w</w:t>
      </w:r>
      <w:r w:rsidR="00514772" w:rsidRPr="00335511">
        <w:t>ill</w:t>
      </w:r>
      <w:r w:rsidR="070683A5" w:rsidRPr="00335511">
        <w:t xml:space="preserve"> be utilized to assist with initial growth during the period of recruitment. Recruitment </w:t>
      </w:r>
      <w:r w:rsidR="174CDC27" w:rsidRPr="00335511">
        <w:t>efforts w</w:t>
      </w:r>
      <w:r w:rsidR="0018569F">
        <w:t>ill</w:t>
      </w:r>
      <w:r w:rsidR="174CDC27" w:rsidRPr="00335511">
        <w:t xml:space="preserve"> continue </w:t>
      </w:r>
      <w:r w:rsidR="0018569F">
        <w:t xml:space="preserve">and </w:t>
      </w:r>
      <w:r w:rsidR="174CDC27" w:rsidRPr="00335511">
        <w:t xml:space="preserve">include new nurse resident and </w:t>
      </w:r>
      <w:r w:rsidR="4C7979F1" w:rsidRPr="00335511">
        <w:t xml:space="preserve">nurse </w:t>
      </w:r>
      <w:r w:rsidR="174CDC27" w:rsidRPr="00335511">
        <w:t>transition</w:t>
      </w:r>
      <w:r w:rsidR="1C3A2A58" w:rsidRPr="00335511">
        <w:t xml:space="preserve"> to specialty unit programs.</w:t>
      </w:r>
      <w:r w:rsidR="174CDC27" w:rsidRPr="00335511">
        <w:t xml:space="preserve"> </w:t>
      </w:r>
    </w:p>
    <w:p w14:paraId="34428E87" w14:textId="77777777" w:rsidR="0097197F" w:rsidRPr="00335511" w:rsidRDefault="0097197F" w:rsidP="0097197F">
      <w:pPr>
        <w:pStyle w:val="ListParagraph"/>
        <w:spacing w:line="229" w:lineRule="exact"/>
        <w:ind w:left="1440"/>
      </w:pPr>
    </w:p>
    <w:p w14:paraId="00D4AA02" w14:textId="294B332E" w:rsidR="00C96658" w:rsidRDefault="00236B31" w:rsidP="400D8877">
      <w:pPr>
        <w:pStyle w:val="ListParagraph"/>
        <w:numPr>
          <w:ilvl w:val="1"/>
          <w:numId w:val="38"/>
        </w:numPr>
        <w:spacing w:line="229" w:lineRule="exact"/>
      </w:pPr>
      <w:r w:rsidRPr="00335511">
        <w:rPr>
          <w:b/>
          <w:bCs/>
        </w:rPr>
        <w:t xml:space="preserve">The </w:t>
      </w:r>
      <w:r w:rsidR="00083193" w:rsidRPr="00335511">
        <w:rPr>
          <w:b/>
          <w:bCs/>
        </w:rPr>
        <w:t xml:space="preserve">expanded Behavioral Health unit </w:t>
      </w:r>
      <w:r w:rsidRPr="00335511">
        <w:rPr>
          <w:b/>
          <w:bCs/>
        </w:rPr>
        <w:t xml:space="preserve">will be </w:t>
      </w:r>
      <w:r w:rsidR="00083193" w:rsidRPr="00335511">
        <w:rPr>
          <w:b/>
          <w:bCs/>
        </w:rPr>
        <w:t>“</w:t>
      </w:r>
      <w:r w:rsidRPr="00335511">
        <w:rPr>
          <w:b/>
          <w:bCs/>
        </w:rPr>
        <w:t>staffed by dedicated clinicians, including psychiatrists, psychologists, and licensed social workers, with experience to work with, treat, and care for patients with behavioral health needs.</w:t>
      </w:r>
      <w:r w:rsidR="00083193" w:rsidRPr="00335511">
        <w:rPr>
          <w:b/>
          <w:bCs/>
        </w:rPr>
        <w:t>”</w:t>
      </w:r>
      <w:r w:rsidR="00A17248" w:rsidRPr="00335511">
        <w:rPr>
          <w:b/>
          <w:bCs/>
        </w:rPr>
        <w:t xml:space="preserve"> How </w:t>
      </w:r>
      <w:r w:rsidR="0081551A" w:rsidRPr="00335511">
        <w:rPr>
          <w:b/>
          <w:bCs/>
        </w:rPr>
        <w:t>many FTE’s will be part of the dedicated behavioral Health unit?</w:t>
      </w:r>
      <w:r w:rsidR="39831A67" w:rsidRPr="00335511">
        <w:rPr>
          <w:b/>
          <w:bCs/>
        </w:rPr>
        <w:t xml:space="preserve"> </w:t>
      </w:r>
      <w:r w:rsidR="39831A67" w:rsidRPr="00335511">
        <w:t>Clinicians in each discipli</w:t>
      </w:r>
      <w:r w:rsidR="15DA43AC" w:rsidRPr="00335511">
        <w:t>n</w:t>
      </w:r>
      <w:r w:rsidR="39831A67" w:rsidRPr="00335511">
        <w:t xml:space="preserve">e </w:t>
      </w:r>
      <w:r w:rsidR="0018569F">
        <w:t>are</w:t>
      </w:r>
      <w:r w:rsidR="39831A67" w:rsidRPr="00335511">
        <w:t xml:space="preserve"> assigned to care for patients </w:t>
      </w:r>
      <w:r w:rsidR="0018569F">
        <w:t>in the behavioral health unit daily</w:t>
      </w:r>
      <w:r w:rsidR="379C47CD" w:rsidRPr="00335511">
        <w:t xml:space="preserve"> based on volume and acuity</w:t>
      </w:r>
      <w:r w:rsidR="4222DF61" w:rsidRPr="00335511">
        <w:t>.</w:t>
      </w:r>
      <w:r w:rsidR="00335511">
        <w:t xml:space="preserve"> Currently, the behavioral health unit has </w:t>
      </w:r>
      <w:r w:rsidR="00335511" w:rsidRPr="00335511">
        <w:t>4.2 RN, 4.2 Tech</w:t>
      </w:r>
      <w:r w:rsidR="0018569F">
        <w:t xml:space="preserve">nicians, </w:t>
      </w:r>
      <w:r w:rsidR="00335511" w:rsidRPr="00335511">
        <w:t xml:space="preserve">and 4.2 Public safety Officers for a total of 12.6 </w:t>
      </w:r>
      <w:r w:rsidR="0018569F">
        <w:t xml:space="preserve">full-time employees. Additional positions will be added proportionate to volume. </w:t>
      </w:r>
    </w:p>
    <w:p w14:paraId="00C7F929" w14:textId="77777777" w:rsidR="0097197F" w:rsidRPr="00335511" w:rsidRDefault="0097197F" w:rsidP="0097197F">
      <w:pPr>
        <w:pStyle w:val="ListParagraph"/>
        <w:spacing w:line="229" w:lineRule="exact"/>
        <w:ind w:left="1440"/>
      </w:pPr>
    </w:p>
    <w:p w14:paraId="329492D9" w14:textId="6EB8E8FA" w:rsidR="0097197F" w:rsidRDefault="0081551A" w:rsidP="002E675D">
      <w:pPr>
        <w:pStyle w:val="ListParagraph"/>
        <w:numPr>
          <w:ilvl w:val="1"/>
          <w:numId w:val="38"/>
        </w:numPr>
        <w:spacing w:line="229" w:lineRule="exact"/>
      </w:pPr>
      <w:r w:rsidRPr="00335511">
        <w:rPr>
          <w:b/>
          <w:bCs/>
        </w:rPr>
        <w:t xml:space="preserve">How many </w:t>
      </w:r>
      <w:proofErr w:type="gramStart"/>
      <w:r w:rsidRPr="00335511">
        <w:rPr>
          <w:b/>
          <w:bCs/>
        </w:rPr>
        <w:t>FTE’s</w:t>
      </w:r>
      <w:proofErr w:type="gramEnd"/>
      <w:r w:rsidRPr="00335511">
        <w:rPr>
          <w:b/>
          <w:bCs/>
        </w:rPr>
        <w:t xml:space="preserve"> for the Behavioral Health unit </w:t>
      </w:r>
      <w:r w:rsidR="003A7AB8" w:rsidRPr="00335511">
        <w:rPr>
          <w:b/>
          <w:bCs/>
        </w:rPr>
        <w:t>are anticipated to be new hires versus existing staff?</w:t>
      </w:r>
      <w:r w:rsidR="6CC92C69" w:rsidRPr="00335511">
        <w:t xml:space="preserve"> Clinicians </w:t>
      </w:r>
      <w:r w:rsidR="0018569F">
        <w:t>will be hired</w:t>
      </w:r>
      <w:r w:rsidR="6CC92C69" w:rsidRPr="00335511">
        <w:t xml:space="preserve"> for general ED patient population or behavioral patient population both i</w:t>
      </w:r>
      <w:r w:rsidR="01520163" w:rsidRPr="00335511">
        <w:t xml:space="preserve">n ED and throughout the hospital, </w:t>
      </w:r>
      <w:r w:rsidR="00514772" w:rsidRPr="00335511">
        <w:t xml:space="preserve">e.g., </w:t>
      </w:r>
      <w:r w:rsidR="01520163" w:rsidRPr="00335511">
        <w:t xml:space="preserve">psychiatrists </w:t>
      </w:r>
      <w:r w:rsidR="00514772" w:rsidRPr="00335511">
        <w:t xml:space="preserve">work </w:t>
      </w:r>
      <w:r w:rsidR="01520163" w:rsidRPr="00335511">
        <w:t>across services lines</w:t>
      </w:r>
      <w:r w:rsidR="2097F3B7" w:rsidRPr="00335511">
        <w:t>,</w:t>
      </w:r>
      <w:r w:rsidR="3950528F" w:rsidRPr="00335511">
        <w:t xml:space="preserve"> </w:t>
      </w:r>
      <w:r w:rsidR="00514772" w:rsidRPr="00335511">
        <w:t xml:space="preserve">through </w:t>
      </w:r>
      <w:r w:rsidR="01520163" w:rsidRPr="00335511">
        <w:t>BILH Behavioral Services</w:t>
      </w:r>
      <w:r w:rsidR="00514772" w:rsidRPr="00335511">
        <w:t xml:space="preserve">. All staff are allocated </w:t>
      </w:r>
      <w:r w:rsidR="48364259" w:rsidRPr="00335511">
        <w:t xml:space="preserve">based on volume and </w:t>
      </w:r>
      <w:r w:rsidR="5905FF75" w:rsidRPr="00335511">
        <w:t>acuity/</w:t>
      </w:r>
      <w:r w:rsidR="48364259" w:rsidRPr="00335511">
        <w:t>patient needs.</w:t>
      </w:r>
    </w:p>
    <w:p w14:paraId="0F4704EC" w14:textId="77777777" w:rsidR="0097197F" w:rsidRPr="00335511" w:rsidRDefault="0097197F" w:rsidP="0097197F">
      <w:pPr>
        <w:pStyle w:val="ListParagraph"/>
        <w:spacing w:line="229" w:lineRule="exact"/>
        <w:ind w:left="1440"/>
      </w:pPr>
    </w:p>
    <w:p w14:paraId="42A1B548" w14:textId="776F770D" w:rsidR="0097197F" w:rsidRPr="0097197F" w:rsidRDefault="009859C9" w:rsidP="0097197F">
      <w:pPr>
        <w:pStyle w:val="ListParagraph"/>
        <w:numPr>
          <w:ilvl w:val="1"/>
          <w:numId w:val="38"/>
        </w:numPr>
        <w:spacing w:after="0" w:line="229" w:lineRule="exact"/>
        <w:rPr>
          <w:rFonts w:cstheme="minorHAnsi"/>
          <w:b/>
          <w:bCs/>
        </w:rPr>
      </w:pPr>
      <w:r w:rsidRPr="00335511">
        <w:rPr>
          <w:b/>
          <w:bCs/>
        </w:rPr>
        <w:t>How does BID-P plan to attract qualified staff to the new positions?</w:t>
      </w:r>
    </w:p>
    <w:p w14:paraId="3ADCB9EC" w14:textId="1FEEE56C" w:rsidR="009A056D" w:rsidRDefault="45F97A0C" w:rsidP="009A056D">
      <w:pPr>
        <w:pStyle w:val="ListParagraph"/>
        <w:spacing w:after="0" w:line="229" w:lineRule="exact"/>
        <w:ind w:left="1440"/>
      </w:pPr>
      <w:r w:rsidRPr="00335511">
        <w:t>BID</w:t>
      </w:r>
      <w:r w:rsidR="00335511">
        <w:t>-</w:t>
      </w:r>
      <w:r w:rsidRPr="00335511">
        <w:t>P will continue to recruit locally and partner with BILH on recruitment efforts</w:t>
      </w:r>
      <w:r w:rsidR="009A056D">
        <w:t>.</w:t>
      </w:r>
    </w:p>
    <w:p w14:paraId="0FEB9915" w14:textId="77777777" w:rsidR="00041401" w:rsidRDefault="00041401" w:rsidP="009A056D">
      <w:pPr>
        <w:pStyle w:val="ListParagraph"/>
        <w:spacing w:after="0" w:line="229" w:lineRule="exact"/>
        <w:ind w:left="1440"/>
      </w:pPr>
    </w:p>
    <w:p w14:paraId="62FE3C33" w14:textId="77777777" w:rsidR="00041401" w:rsidRDefault="00041401" w:rsidP="009A056D">
      <w:pPr>
        <w:pStyle w:val="ListParagraph"/>
        <w:spacing w:after="0" w:line="229" w:lineRule="exact"/>
        <w:ind w:left="1440"/>
      </w:pPr>
    </w:p>
    <w:p w14:paraId="2FE9DEA0" w14:textId="77777777" w:rsidR="00041401" w:rsidRDefault="00041401" w:rsidP="009A056D">
      <w:pPr>
        <w:pStyle w:val="ListParagraph"/>
        <w:spacing w:after="0" w:line="229" w:lineRule="exact"/>
        <w:ind w:left="1440"/>
      </w:pPr>
    </w:p>
    <w:p w14:paraId="590AC329" w14:textId="77777777" w:rsidR="00041401" w:rsidRDefault="00041401" w:rsidP="009A056D">
      <w:pPr>
        <w:pStyle w:val="ListParagraph"/>
        <w:spacing w:after="0" w:line="229" w:lineRule="exact"/>
        <w:ind w:left="1440"/>
      </w:pPr>
    </w:p>
    <w:p w14:paraId="1B0520C8" w14:textId="77777777" w:rsidR="00041401" w:rsidRDefault="00041401" w:rsidP="009A056D">
      <w:pPr>
        <w:pStyle w:val="ListParagraph"/>
        <w:spacing w:after="0" w:line="229" w:lineRule="exact"/>
        <w:ind w:left="1440"/>
      </w:pPr>
    </w:p>
    <w:p w14:paraId="3194E56F" w14:textId="77777777" w:rsidR="00041401" w:rsidRDefault="00041401" w:rsidP="009A056D">
      <w:pPr>
        <w:pStyle w:val="ListParagraph"/>
        <w:spacing w:after="0" w:line="229" w:lineRule="exact"/>
        <w:ind w:left="1440"/>
      </w:pPr>
    </w:p>
    <w:p w14:paraId="0AB13B5D" w14:textId="77777777" w:rsidR="00041401" w:rsidRDefault="00041401" w:rsidP="009A056D">
      <w:pPr>
        <w:pStyle w:val="ListParagraph"/>
        <w:spacing w:after="0" w:line="229" w:lineRule="exact"/>
        <w:ind w:left="1440"/>
      </w:pPr>
    </w:p>
    <w:p w14:paraId="2D8C44E8" w14:textId="77777777" w:rsidR="00041401" w:rsidRDefault="00041401" w:rsidP="009A056D">
      <w:pPr>
        <w:pStyle w:val="ListParagraph"/>
        <w:spacing w:after="0" w:line="229" w:lineRule="exact"/>
        <w:ind w:left="1440"/>
      </w:pPr>
    </w:p>
    <w:p w14:paraId="173622D2" w14:textId="77777777" w:rsidR="00041401" w:rsidRDefault="00041401" w:rsidP="009A056D">
      <w:pPr>
        <w:pStyle w:val="ListParagraph"/>
        <w:spacing w:after="0" w:line="229" w:lineRule="exact"/>
        <w:ind w:left="1440"/>
      </w:pPr>
    </w:p>
    <w:p w14:paraId="17F5F915" w14:textId="77777777" w:rsidR="00041401" w:rsidRDefault="00041401" w:rsidP="009A056D">
      <w:pPr>
        <w:pStyle w:val="ListParagraph"/>
        <w:spacing w:after="0" w:line="229" w:lineRule="exact"/>
        <w:ind w:left="1440"/>
      </w:pPr>
    </w:p>
    <w:p w14:paraId="7DEC4637" w14:textId="77777777" w:rsidR="00041401" w:rsidRDefault="00041401" w:rsidP="009A056D">
      <w:pPr>
        <w:pStyle w:val="ListParagraph"/>
        <w:spacing w:after="0" w:line="229" w:lineRule="exact"/>
        <w:ind w:left="1440"/>
      </w:pPr>
    </w:p>
    <w:p w14:paraId="1DAF812C" w14:textId="77777777" w:rsidR="00041401" w:rsidRDefault="00041401" w:rsidP="009A056D">
      <w:pPr>
        <w:pStyle w:val="ListParagraph"/>
        <w:spacing w:after="0" w:line="229" w:lineRule="exact"/>
        <w:ind w:left="1440"/>
      </w:pPr>
    </w:p>
    <w:p w14:paraId="0B30FAA7" w14:textId="77777777" w:rsidR="009A056D" w:rsidRDefault="009A056D" w:rsidP="009A056D">
      <w:pPr>
        <w:pStyle w:val="ListParagraph"/>
        <w:spacing w:after="0" w:line="229" w:lineRule="exact"/>
        <w:ind w:left="1440"/>
      </w:pPr>
    </w:p>
    <w:p w14:paraId="12EF67BA" w14:textId="441AD136" w:rsidR="00473C9E" w:rsidRDefault="00473C9E" w:rsidP="00473C9E">
      <w:pPr>
        <w:pStyle w:val="ListParagraph"/>
        <w:numPr>
          <w:ilvl w:val="0"/>
          <w:numId w:val="38"/>
        </w:numPr>
        <w:spacing w:before="240" w:after="0" w:line="229" w:lineRule="exact"/>
        <w:rPr>
          <w:rFonts w:cstheme="minorHAnsi"/>
          <w:b/>
          <w:bCs/>
        </w:rPr>
      </w:pPr>
      <w:bookmarkStart w:id="0" w:name="_Hlk177377768"/>
      <w:r w:rsidRPr="00335511">
        <w:rPr>
          <w:rFonts w:cstheme="minorHAnsi"/>
          <w:b/>
          <w:bCs/>
        </w:rPr>
        <w:t>Please share the methodology used to determine that 6</w:t>
      </w:r>
      <w:r w:rsidR="00041401">
        <w:rPr>
          <w:rFonts w:cstheme="minorHAnsi"/>
          <w:b/>
          <w:bCs/>
        </w:rPr>
        <w:t>8</w:t>
      </w:r>
      <w:r w:rsidRPr="00335511">
        <w:rPr>
          <w:rFonts w:cstheme="minorHAnsi"/>
          <w:b/>
          <w:bCs/>
        </w:rPr>
        <w:t xml:space="preserve"> beds</w:t>
      </w:r>
      <w:r w:rsidR="00A36E38">
        <w:rPr>
          <w:rStyle w:val="FootnoteReference"/>
          <w:rFonts w:cstheme="minorHAnsi"/>
          <w:b/>
          <w:bCs/>
        </w:rPr>
        <w:footnoteReference w:id="4"/>
      </w:r>
      <w:r w:rsidRPr="00335511">
        <w:rPr>
          <w:rFonts w:cstheme="minorHAnsi"/>
          <w:b/>
          <w:bCs/>
        </w:rPr>
        <w:t xml:space="preserve"> would be the appropriate number of beds to serve the Patient Panel.</w:t>
      </w:r>
    </w:p>
    <w:p w14:paraId="507C33B4" w14:textId="77777777" w:rsidR="00041401" w:rsidRDefault="00041401" w:rsidP="00041401">
      <w:pPr>
        <w:pStyle w:val="ListParagraph"/>
      </w:pPr>
    </w:p>
    <w:p w14:paraId="214ADB17" w14:textId="64E9C366" w:rsidR="00041401" w:rsidRDefault="00041401" w:rsidP="00041401">
      <w:pPr>
        <w:pStyle w:val="ListParagraph"/>
        <w:spacing w:line="240" w:lineRule="auto"/>
      </w:pPr>
      <w:r>
        <w:t>BID-P’s current ED utilizes a variety of treatment spaces to accommodate each patient that seeks emergency care depending on need and acuity. This includes a total of 58 private rooms, hallway stretchers, curtained bays, cubicles</w:t>
      </w:r>
      <w:r w:rsidR="004F4D66">
        <w:t>, and other spaces</w:t>
      </w:r>
      <w:r>
        <w:t xml:space="preserve">. The historical utilization data provided in the </w:t>
      </w:r>
      <w:proofErr w:type="spellStart"/>
      <w:r>
        <w:t>DoN</w:t>
      </w:r>
      <w:proofErr w:type="spellEnd"/>
      <w:r>
        <w:t xml:space="preserve"> application illustrates the significant wait times that patients are currently experiencing with the existing arrangement and compliment of treatment spaces.  The chart below illustrates the ED’s current state and what is being requested. </w:t>
      </w:r>
    </w:p>
    <w:p w14:paraId="4FC3D2CD" w14:textId="77777777" w:rsidR="00041401" w:rsidRDefault="00041401" w:rsidP="00041401">
      <w:pPr>
        <w:pStyle w:val="ListParagraph"/>
      </w:pPr>
    </w:p>
    <w:p w14:paraId="448E9277" w14:textId="1686177B" w:rsidR="00A36E38" w:rsidRPr="00A36E38" w:rsidRDefault="00A36E38" w:rsidP="00A36E38">
      <w:pPr>
        <w:pStyle w:val="ListParagraph"/>
        <w:spacing w:after="0" w:line="240" w:lineRule="auto"/>
        <w:rPr>
          <w:b/>
          <w:bCs/>
        </w:rPr>
      </w:pPr>
      <w:r>
        <w:rPr>
          <w:b/>
          <w:bCs/>
        </w:rPr>
        <w:t>Table 6</w:t>
      </w:r>
    </w:p>
    <w:tbl>
      <w:tblPr>
        <w:tblW w:w="0" w:type="auto"/>
        <w:tblInd w:w="720" w:type="dxa"/>
        <w:tblCellMar>
          <w:left w:w="0" w:type="dxa"/>
          <w:right w:w="0" w:type="dxa"/>
        </w:tblCellMar>
        <w:tblLook w:val="04A0" w:firstRow="1" w:lastRow="0" w:firstColumn="1" w:lastColumn="0" w:noHBand="0" w:noVBand="1"/>
      </w:tblPr>
      <w:tblGrid>
        <w:gridCol w:w="3950"/>
        <w:gridCol w:w="1796"/>
        <w:gridCol w:w="1797"/>
        <w:gridCol w:w="1797"/>
      </w:tblGrid>
      <w:tr w:rsidR="00041401" w14:paraId="0BE554DA" w14:textId="77777777" w:rsidTr="00B04B46">
        <w:trPr>
          <w:cantSplit/>
          <w:tblHeader/>
        </w:trPr>
        <w:tc>
          <w:tcPr>
            <w:tcW w:w="3950" w:type="dxa"/>
            <w:tcBorders>
              <w:top w:val="single" w:sz="8" w:space="0" w:color="auto"/>
              <w:left w:val="single" w:sz="8" w:space="0" w:color="auto"/>
              <w:bottom w:val="single" w:sz="8" w:space="0" w:color="auto"/>
              <w:right w:val="single" w:sz="8" w:space="0" w:color="auto"/>
            </w:tcBorders>
            <w:shd w:val="clear" w:color="auto" w:fill="C1E4F5"/>
            <w:tcMar>
              <w:top w:w="0" w:type="dxa"/>
              <w:left w:w="108" w:type="dxa"/>
              <w:bottom w:w="0" w:type="dxa"/>
              <w:right w:w="108" w:type="dxa"/>
            </w:tcMar>
          </w:tcPr>
          <w:p w14:paraId="267AED53" w14:textId="77777777" w:rsidR="00041401" w:rsidRDefault="00041401" w:rsidP="00041401">
            <w:pPr>
              <w:spacing w:after="0" w:line="240" w:lineRule="auto"/>
            </w:pPr>
          </w:p>
        </w:tc>
        <w:tc>
          <w:tcPr>
            <w:tcW w:w="1796"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54EF3D60" w14:textId="56FD2FE5" w:rsidR="00041401" w:rsidRDefault="00041401" w:rsidP="004F4D66">
            <w:pPr>
              <w:spacing w:after="0" w:line="240" w:lineRule="auto"/>
              <w:jc w:val="center"/>
              <w:rPr>
                <w:b/>
                <w:bCs/>
              </w:rPr>
            </w:pPr>
            <w:r>
              <w:rPr>
                <w:b/>
                <w:bCs/>
                <w:color w:val="000000"/>
              </w:rPr>
              <w:t>Current</w:t>
            </w:r>
          </w:p>
        </w:tc>
        <w:tc>
          <w:tcPr>
            <w:tcW w:w="1797"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79127CDD" w14:textId="77777777" w:rsidR="00041401" w:rsidRDefault="00041401" w:rsidP="004F4D66">
            <w:pPr>
              <w:spacing w:after="0" w:line="240" w:lineRule="auto"/>
              <w:jc w:val="center"/>
              <w:rPr>
                <w:b/>
                <w:bCs/>
              </w:rPr>
            </w:pPr>
            <w:r>
              <w:rPr>
                <w:b/>
                <w:bCs/>
                <w:color w:val="000000"/>
              </w:rPr>
              <w:t>Proposed Project</w:t>
            </w:r>
          </w:p>
        </w:tc>
        <w:tc>
          <w:tcPr>
            <w:tcW w:w="1797"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554D2731" w14:textId="77777777" w:rsidR="00041401" w:rsidRDefault="00041401" w:rsidP="004F4D66">
            <w:pPr>
              <w:spacing w:after="0" w:line="240" w:lineRule="auto"/>
              <w:jc w:val="center"/>
              <w:rPr>
                <w:b/>
                <w:bCs/>
              </w:rPr>
            </w:pPr>
            <w:r>
              <w:rPr>
                <w:b/>
                <w:bCs/>
                <w:color w:val="000000"/>
              </w:rPr>
              <w:t>Net New</w:t>
            </w:r>
          </w:p>
        </w:tc>
      </w:tr>
      <w:tr w:rsidR="00041401" w14:paraId="70EE6473"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4DEB2" w14:textId="77777777" w:rsidR="00041401" w:rsidRDefault="00041401" w:rsidP="00041401">
            <w:pPr>
              <w:spacing w:after="0" w:line="240" w:lineRule="auto"/>
              <w:rPr>
                <w:b/>
                <w:bCs/>
              </w:rPr>
            </w:pPr>
            <w:proofErr w:type="gramStart"/>
            <w:r>
              <w:rPr>
                <w:b/>
                <w:bCs/>
              </w:rPr>
              <w:t>Trauma</w:t>
            </w:r>
            <w:r>
              <w:rPr>
                <w:b/>
                <w:bCs/>
                <w:vertAlign w:val="superscript"/>
              </w:rPr>
              <w:footnoteReference w:customMarkFollows="1" w:id="5"/>
              <w:t>[</w:t>
            </w:r>
            <w:proofErr w:type="gramEnd"/>
            <w:r>
              <w:rPr>
                <w:b/>
                <w:bCs/>
                <w:vertAlign w:val="superscript"/>
              </w:rPr>
              <w:t>1]</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8105904" w14:textId="77777777" w:rsidR="00041401" w:rsidRDefault="00041401" w:rsidP="004F4D66">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763395CA" w14:textId="77777777" w:rsidR="00041401" w:rsidRDefault="00041401" w:rsidP="004F4D66">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34064E16" w14:textId="77777777" w:rsidR="00041401" w:rsidRDefault="00041401" w:rsidP="004F4D66">
            <w:pPr>
              <w:spacing w:after="0" w:line="240" w:lineRule="auto"/>
              <w:jc w:val="center"/>
            </w:pPr>
            <w:r>
              <w:t>0</w:t>
            </w:r>
          </w:p>
        </w:tc>
      </w:tr>
      <w:tr w:rsidR="00041401" w14:paraId="16D21ACB"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09468" w14:textId="77777777" w:rsidR="00041401" w:rsidRDefault="00041401" w:rsidP="00041401">
            <w:pPr>
              <w:spacing w:after="0" w:line="240" w:lineRule="auto"/>
              <w:rPr>
                <w:b/>
                <w:bCs/>
              </w:rPr>
            </w:pPr>
            <w:r>
              <w:rPr>
                <w:b/>
                <w:bCs/>
              </w:rPr>
              <w:t>Triage/Fast Track</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3999FA60" w14:textId="77777777" w:rsidR="00041401" w:rsidRDefault="00041401" w:rsidP="004F4D66">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63270F3D" w14:textId="77777777" w:rsidR="00041401" w:rsidRDefault="00041401" w:rsidP="004F4D66">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6C80733F" w14:textId="77777777" w:rsidR="00041401" w:rsidRDefault="00041401" w:rsidP="004F4D66">
            <w:pPr>
              <w:spacing w:after="0" w:line="240" w:lineRule="auto"/>
              <w:jc w:val="center"/>
            </w:pPr>
            <w:r>
              <w:t>0</w:t>
            </w:r>
          </w:p>
        </w:tc>
      </w:tr>
      <w:tr w:rsidR="00041401" w14:paraId="419C95E1"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AAE99" w14:textId="77777777" w:rsidR="00041401" w:rsidRDefault="00041401" w:rsidP="00041401">
            <w:pPr>
              <w:spacing w:after="0" w:line="240" w:lineRule="auto"/>
              <w:rPr>
                <w:b/>
                <w:bCs/>
              </w:rPr>
            </w:pPr>
            <w:r>
              <w:rPr>
                <w:b/>
                <w:bCs/>
              </w:rPr>
              <w:t>Behavioral Health</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52E8D6AF" w14:textId="77777777" w:rsidR="00041401" w:rsidRDefault="00041401" w:rsidP="004F4D66">
            <w:pPr>
              <w:spacing w:after="0" w:line="240" w:lineRule="auto"/>
              <w:jc w:val="center"/>
            </w:pPr>
            <w:r>
              <w:t>7</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4980CCC4" w14:textId="77777777" w:rsidR="00041401" w:rsidRDefault="00041401" w:rsidP="004F4D66">
            <w:pPr>
              <w:spacing w:after="0" w:line="240" w:lineRule="auto"/>
              <w:jc w:val="center"/>
            </w:pPr>
            <w:r>
              <w:t>16</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6D3C6932" w14:textId="77777777" w:rsidR="00041401" w:rsidRDefault="00041401" w:rsidP="004F4D66">
            <w:pPr>
              <w:spacing w:after="0" w:line="240" w:lineRule="auto"/>
              <w:jc w:val="center"/>
            </w:pPr>
            <w:r>
              <w:t>9</w:t>
            </w:r>
          </w:p>
        </w:tc>
      </w:tr>
      <w:tr w:rsidR="00041401" w14:paraId="29F6073D"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EB62D" w14:textId="77777777" w:rsidR="00041401" w:rsidRDefault="00041401" w:rsidP="00041401">
            <w:pPr>
              <w:spacing w:after="0" w:line="240" w:lineRule="auto"/>
              <w:rPr>
                <w:b/>
                <w:bCs/>
              </w:rPr>
            </w:pPr>
            <w:r>
              <w:rPr>
                <w:b/>
                <w:bCs/>
              </w:rPr>
              <w:t xml:space="preserve">Flex Space/ Vertical </w:t>
            </w:r>
            <w:proofErr w:type="gramStart"/>
            <w:r>
              <w:rPr>
                <w:b/>
                <w:bCs/>
              </w:rPr>
              <w:t>Treatment</w:t>
            </w:r>
            <w:r>
              <w:rPr>
                <w:b/>
                <w:bCs/>
                <w:vertAlign w:val="superscript"/>
              </w:rPr>
              <w:footnoteReference w:customMarkFollows="1" w:id="6"/>
              <w:t>[</w:t>
            </w:r>
            <w:proofErr w:type="gramEnd"/>
            <w:r>
              <w:rPr>
                <w:b/>
                <w:bCs/>
                <w:vertAlign w:val="superscript"/>
              </w:rPr>
              <w:t>2]</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2E0FA33B" w14:textId="77777777" w:rsidR="00041401" w:rsidRDefault="00041401" w:rsidP="004F4D66">
            <w:pPr>
              <w:spacing w:after="0" w:line="240" w:lineRule="auto"/>
              <w:jc w:val="center"/>
            </w:pPr>
            <w:r>
              <w:t>11</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28F5E1D5" w14:textId="77777777" w:rsidR="00041401" w:rsidRDefault="00041401" w:rsidP="004F4D66">
            <w:pPr>
              <w:spacing w:after="0" w:line="240" w:lineRule="auto"/>
              <w:jc w:val="center"/>
            </w:pPr>
            <w:r>
              <w:t>11</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7BE56238" w14:textId="77777777" w:rsidR="00041401" w:rsidRDefault="00041401" w:rsidP="004F4D66">
            <w:pPr>
              <w:spacing w:after="0" w:line="240" w:lineRule="auto"/>
              <w:jc w:val="center"/>
            </w:pPr>
            <w:r>
              <w:t>0</w:t>
            </w:r>
          </w:p>
        </w:tc>
      </w:tr>
      <w:tr w:rsidR="00041401" w14:paraId="4126AC22"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0839A" w14:textId="77777777" w:rsidR="00041401" w:rsidRDefault="00041401" w:rsidP="00041401">
            <w:pPr>
              <w:spacing w:after="0" w:line="240" w:lineRule="auto"/>
              <w:rPr>
                <w:b/>
                <w:bCs/>
              </w:rPr>
            </w:pPr>
            <w:r>
              <w:rPr>
                <w:b/>
                <w:bCs/>
              </w:rPr>
              <w:t>Private Rooms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3459FFD" w14:textId="77777777" w:rsidR="00041401" w:rsidRDefault="00041401" w:rsidP="004F4D66">
            <w:pPr>
              <w:spacing w:after="0" w:line="240" w:lineRule="auto"/>
              <w:jc w:val="center"/>
            </w:pPr>
            <w:r>
              <w:t>5</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211755C0" w14:textId="77777777" w:rsidR="00041401" w:rsidRDefault="00041401" w:rsidP="004F4D66">
            <w:pPr>
              <w:spacing w:after="0" w:line="240" w:lineRule="auto"/>
              <w:jc w:val="center"/>
            </w:pPr>
            <w:r>
              <w:t>37</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17415A02" w14:textId="77777777" w:rsidR="00041401" w:rsidRDefault="00041401" w:rsidP="004F4D66">
            <w:pPr>
              <w:spacing w:after="0" w:line="240" w:lineRule="auto"/>
              <w:jc w:val="center"/>
            </w:pPr>
            <w:r>
              <w:t>32</w:t>
            </w:r>
          </w:p>
        </w:tc>
      </w:tr>
      <w:tr w:rsidR="00041401" w14:paraId="0409F3BA"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710B" w14:textId="77777777" w:rsidR="00041401" w:rsidRDefault="00041401" w:rsidP="00041401">
            <w:pPr>
              <w:spacing w:after="0" w:line="240" w:lineRule="auto"/>
              <w:rPr>
                <w:b/>
                <w:bCs/>
              </w:rPr>
            </w:pPr>
            <w:r>
              <w:rPr>
                <w:b/>
                <w:bCs/>
              </w:rPr>
              <w:t>Hallway Stretchers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234B5A8F" w14:textId="77777777" w:rsidR="00041401" w:rsidRDefault="00041401" w:rsidP="004F4D66">
            <w:pPr>
              <w:spacing w:after="0" w:line="240" w:lineRule="auto"/>
              <w:jc w:val="center"/>
            </w:pPr>
            <w:r>
              <w:t>15</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1CDDF632" w14:textId="77777777" w:rsidR="00041401" w:rsidRDefault="00041401" w:rsidP="004F4D66">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A3A9244" w14:textId="77777777" w:rsidR="00041401" w:rsidRDefault="00041401" w:rsidP="004F4D66">
            <w:pPr>
              <w:spacing w:after="0" w:line="240" w:lineRule="auto"/>
              <w:jc w:val="center"/>
            </w:pPr>
            <w:r>
              <w:t>-15</w:t>
            </w:r>
          </w:p>
        </w:tc>
      </w:tr>
      <w:tr w:rsidR="00041401" w14:paraId="644A94AA"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7E2D1" w14:textId="77777777" w:rsidR="00041401" w:rsidRDefault="00041401" w:rsidP="00041401">
            <w:pPr>
              <w:spacing w:after="0" w:line="240" w:lineRule="auto"/>
              <w:rPr>
                <w:b/>
                <w:bCs/>
              </w:rPr>
            </w:pPr>
            <w:r>
              <w:rPr>
                <w:b/>
                <w:bCs/>
              </w:rPr>
              <w:t>Curtained Bays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512520E6" w14:textId="77777777" w:rsidR="00041401" w:rsidRDefault="00041401" w:rsidP="004F4D66">
            <w:pPr>
              <w:spacing w:after="0" w:line="240" w:lineRule="auto"/>
              <w:jc w:val="center"/>
            </w:pPr>
            <w:r>
              <w:t>12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186C0182" w14:textId="77777777" w:rsidR="00041401" w:rsidRDefault="00041401" w:rsidP="004F4D66">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2828590" w14:textId="77777777" w:rsidR="00041401" w:rsidRDefault="00041401" w:rsidP="004F4D66">
            <w:pPr>
              <w:spacing w:after="0" w:line="240" w:lineRule="auto"/>
              <w:jc w:val="center"/>
            </w:pPr>
            <w:r>
              <w:t>-12</w:t>
            </w:r>
          </w:p>
        </w:tc>
      </w:tr>
      <w:tr w:rsidR="00041401" w14:paraId="08778E69" w14:textId="77777777" w:rsidTr="00B04B46">
        <w:trPr>
          <w:cantSplit/>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6362C" w14:textId="77777777" w:rsidR="00041401" w:rsidRDefault="00041401" w:rsidP="00041401">
            <w:pPr>
              <w:spacing w:after="0" w:line="240" w:lineRule="auto"/>
              <w:rPr>
                <w:b/>
                <w:bCs/>
              </w:rPr>
            </w:pPr>
            <w:r>
              <w:rPr>
                <w:b/>
                <w:bCs/>
              </w:rPr>
              <w:t>Cubicles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66C8FC7D" w14:textId="77777777" w:rsidR="00041401" w:rsidRDefault="00041401" w:rsidP="004F4D66">
            <w:pPr>
              <w:spacing w:after="0" w:line="240" w:lineRule="auto"/>
              <w:jc w:val="center"/>
            </w:pPr>
            <w:r>
              <w:t>4</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478B44B1" w14:textId="77777777" w:rsidR="00041401" w:rsidRDefault="00041401" w:rsidP="004F4D66">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44D708C0" w14:textId="77777777" w:rsidR="00041401" w:rsidRDefault="00041401" w:rsidP="004F4D66">
            <w:pPr>
              <w:spacing w:after="0" w:line="240" w:lineRule="auto"/>
              <w:jc w:val="center"/>
            </w:pPr>
            <w:r>
              <w:t>-4</w:t>
            </w:r>
          </w:p>
        </w:tc>
      </w:tr>
      <w:tr w:rsidR="00041401" w14:paraId="37932849" w14:textId="77777777" w:rsidTr="00B04B46">
        <w:trPr>
          <w:cantSplit/>
        </w:trPr>
        <w:tc>
          <w:tcPr>
            <w:tcW w:w="3950" w:type="dxa"/>
            <w:tcBorders>
              <w:top w:val="nil"/>
              <w:left w:val="single" w:sz="8" w:space="0" w:color="auto"/>
              <w:bottom w:val="single" w:sz="8" w:space="0" w:color="auto"/>
              <w:right w:val="single" w:sz="8" w:space="0" w:color="auto"/>
            </w:tcBorders>
            <w:shd w:val="clear" w:color="auto" w:fill="C1E4F5"/>
            <w:tcMar>
              <w:top w:w="0" w:type="dxa"/>
              <w:left w:w="108" w:type="dxa"/>
              <w:bottom w:w="0" w:type="dxa"/>
              <w:right w:w="108" w:type="dxa"/>
            </w:tcMar>
            <w:hideMark/>
          </w:tcPr>
          <w:p w14:paraId="6D9F11C2" w14:textId="77777777" w:rsidR="00041401" w:rsidRPr="00041401" w:rsidRDefault="00041401" w:rsidP="00041401">
            <w:pPr>
              <w:spacing w:after="0" w:line="240" w:lineRule="auto"/>
              <w:rPr>
                <w:b/>
                <w:bCs/>
              </w:rPr>
            </w:pPr>
            <w:r w:rsidRPr="00041401">
              <w:rPr>
                <w:b/>
                <w:bCs/>
                <w:color w:val="000000"/>
              </w:rPr>
              <w:t>Total</w:t>
            </w:r>
          </w:p>
        </w:tc>
        <w:tc>
          <w:tcPr>
            <w:tcW w:w="1796"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0A79217D" w14:textId="77777777" w:rsidR="00041401" w:rsidRPr="00041401" w:rsidRDefault="00041401" w:rsidP="004F4D66">
            <w:pPr>
              <w:spacing w:after="0" w:line="240" w:lineRule="auto"/>
              <w:jc w:val="center"/>
              <w:rPr>
                <w:b/>
                <w:bCs/>
              </w:rPr>
            </w:pPr>
            <w:r w:rsidRPr="00041401">
              <w:rPr>
                <w:b/>
                <w:bCs/>
                <w:color w:val="000000"/>
              </w:rPr>
              <w:t>58</w:t>
            </w:r>
          </w:p>
        </w:tc>
        <w:tc>
          <w:tcPr>
            <w:tcW w:w="1797"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64065C00" w14:textId="77777777" w:rsidR="00041401" w:rsidRPr="00041401" w:rsidRDefault="00041401" w:rsidP="004F4D66">
            <w:pPr>
              <w:spacing w:after="0" w:line="240" w:lineRule="auto"/>
              <w:jc w:val="center"/>
              <w:rPr>
                <w:b/>
                <w:bCs/>
              </w:rPr>
            </w:pPr>
            <w:r w:rsidRPr="00041401">
              <w:rPr>
                <w:b/>
                <w:bCs/>
                <w:color w:val="000000"/>
              </w:rPr>
              <w:t>68</w:t>
            </w:r>
          </w:p>
        </w:tc>
        <w:tc>
          <w:tcPr>
            <w:tcW w:w="1797"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6304508D" w14:textId="77777777" w:rsidR="00041401" w:rsidRPr="00041401" w:rsidRDefault="00041401" w:rsidP="004F4D66">
            <w:pPr>
              <w:spacing w:after="0" w:line="240" w:lineRule="auto"/>
              <w:jc w:val="center"/>
              <w:rPr>
                <w:b/>
                <w:bCs/>
              </w:rPr>
            </w:pPr>
            <w:r w:rsidRPr="00041401">
              <w:rPr>
                <w:b/>
                <w:bCs/>
                <w:color w:val="000000"/>
              </w:rPr>
              <w:t>10</w:t>
            </w:r>
          </w:p>
        </w:tc>
      </w:tr>
    </w:tbl>
    <w:p w14:paraId="237D440D" w14:textId="77777777" w:rsidR="00041401" w:rsidRPr="00041401" w:rsidRDefault="00041401" w:rsidP="00041401">
      <w:pPr>
        <w:pStyle w:val="ListParagraph"/>
        <w:rPr>
          <w:rFonts w:ascii="Aptos" w:hAnsi="Aptos" w:cs="Aptos"/>
          <w14:ligatures w14:val="standardContextual"/>
        </w:rPr>
      </w:pPr>
    </w:p>
    <w:p w14:paraId="0A5C304F" w14:textId="0DB60BDD" w:rsidR="00041401" w:rsidRDefault="00041401" w:rsidP="00041401">
      <w:pPr>
        <w:pStyle w:val="ListParagraph"/>
        <w:spacing w:line="240" w:lineRule="auto"/>
      </w:pPr>
      <w:r>
        <w:t xml:space="preserve">The net increase to the ED is 10 (ten) additional beds, of which nine (9) will be dedicated to behavioral health patients in a designated and secluded area, improving patient experience. The additional behavioral health beds are needed address the current and projected need for patients with acute behavioral health needs.   Without designated space within the behavioral health unit, patients will otherwise be placed within an ED bed until an alternative or permanent placement is available, further impacting throughput within the ED. The expansion of the behavioral health unit is expected to alleviate wait times for all ED patients, while ensuring each patient receives care in the most appropriate space.   In addition, by converting non-optimal treatment areas including hallway beds and curtained bays to private 32 private rooms, patients experience will improve through enhanced privacy.  </w:t>
      </w:r>
    </w:p>
    <w:p w14:paraId="24E5D168" w14:textId="77777777" w:rsidR="00041401" w:rsidRPr="00041401" w:rsidRDefault="00041401" w:rsidP="00041401">
      <w:pPr>
        <w:pStyle w:val="ListParagraph"/>
      </w:pPr>
    </w:p>
    <w:p w14:paraId="46111E05" w14:textId="77777777" w:rsidR="00473C9E" w:rsidRPr="00335511" w:rsidRDefault="00473C9E" w:rsidP="00473C9E">
      <w:pPr>
        <w:pStyle w:val="ListParagraph"/>
        <w:numPr>
          <w:ilvl w:val="0"/>
          <w:numId w:val="38"/>
        </w:numPr>
        <w:spacing w:before="240" w:after="0" w:line="229" w:lineRule="exact"/>
        <w:rPr>
          <w:rFonts w:cstheme="minorHAnsi"/>
          <w:b/>
          <w:bCs/>
        </w:rPr>
      </w:pPr>
      <w:r w:rsidRPr="00335511">
        <w:rPr>
          <w:rFonts w:cstheme="minorHAnsi"/>
          <w:b/>
          <w:bCs/>
        </w:rPr>
        <w:t>Projected Volume (Table 6, Page 7 of the Narrative) uses a 2% growth rate. Please explain the foundation for using a 2% growth rate for projections.</w:t>
      </w:r>
    </w:p>
    <w:p w14:paraId="19B97ACA" w14:textId="77777777" w:rsidR="00473C9E" w:rsidRPr="00335511" w:rsidRDefault="00473C9E" w:rsidP="00473C9E">
      <w:pPr>
        <w:pStyle w:val="ListParagraph"/>
        <w:spacing w:before="240" w:after="0" w:line="229" w:lineRule="exact"/>
        <w:rPr>
          <w:rFonts w:cstheme="minorHAnsi"/>
          <w:color w:val="FF0000"/>
        </w:rPr>
      </w:pPr>
    </w:p>
    <w:p w14:paraId="59733B09" w14:textId="21CE9C17" w:rsidR="009A056D" w:rsidRPr="00335511" w:rsidRDefault="00041401" w:rsidP="00041401">
      <w:pPr>
        <w:spacing w:after="0" w:line="229" w:lineRule="exact"/>
        <w:ind w:left="720"/>
      </w:pPr>
      <w:r>
        <w:t xml:space="preserve">A 2% growth rate factors projected population growth of the Plymouth community, including BID-P’s primary and secondary service area, as well as increased utilization during summer months. While 85% of all ED visits originate from the Hospital’s primary and secondary service areas, 15% of visits originate elsewhere indicating a strong need for emergency services by individuals visiting the Plymouth community. </w:t>
      </w:r>
    </w:p>
    <w:bookmarkEnd w:id="0"/>
    <w:p w14:paraId="0241E4ED" w14:textId="77777777" w:rsidR="00D17C2F" w:rsidRPr="00335511" w:rsidRDefault="00D17C2F" w:rsidP="00D17C2F">
      <w:pPr>
        <w:spacing w:after="0" w:line="229" w:lineRule="exact"/>
        <w:ind w:left="1080"/>
        <w:rPr>
          <w:rFonts w:cstheme="minorHAnsi"/>
        </w:rPr>
      </w:pPr>
    </w:p>
    <w:p w14:paraId="05C063CD" w14:textId="77777777" w:rsidR="009A056D" w:rsidRPr="00335511" w:rsidRDefault="009A056D" w:rsidP="009A056D">
      <w:pPr>
        <w:rPr>
          <w:rFonts w:cstheme="minorHAnsi"/>
          <w:b/>
          <w:bCs/>
        </w:rPr>
      </w:pPr>
      <w:bookmarkStart w:id="1" w:name="_Hlk176788749"/>
      <w:r w:rsidRPr="00335511">
        <w:rPr>
          <w:rFonts w:cstheme="minorHAnsi"/>
          <w:b/>
          <w:bCs/>
        </w:rPr>
        <w:lastRenderedPageBreak/>
        <w:t>Factor 5: Relative Merit</w:t>
      </w:r>
    </w:p>
    <w:p w14:paraId="40C15F5A" w14:textId="7E0BDAFF" w:rsidR="009A056D" w:rsidRPr="00315325" w:rsidRDefault="009A056D" w:rsidP="00315325">
      <w:pPr>
        <w:pStyle w:val="ListParagraph"/>
        <w:numPr>
          <w:ilvl w:val="0"/>
          <w:numId w:val="48"/>
        </w:numPr>
        <w:spacing w:line="229" w:lineRule="exact"/>
        <w:rPr>
          <w:rFonts w:cstheme="minorHAnsi"/>
          <w:b/>
          <w:bCs/>
        </w:rPr>
      </w:pPr>
      <w:r w:rsidRPr="00315325">
        <w:rPr>
          <w:rFonts w:cstheme="minorHAnsi"/>
          <w:b/>
          <w:bCs/>
        </w:rPr>
        <w:t xml:space="preserve">Page 16 of the Narrative states that only one alternative option to the project was considered. </w:t>
      </w:r>
    </w:p>
    <w:p w14:paraId="5573DC28" w14:textId="77777777" w:rsidR="009A056D" w:rsidRPr="00335511" w:rsidRDefault="009A056D" w:rsidP="009A056D">
      <w:pPr>
        <w:spacing w:line="229" w:lineRule="exact"/>
        <w:jc w:val="both"/>
        <w:rPr>
          <w:rFonts w:cstheme="minorHAnsi"/>
        </w:rPr>
      </w:pPr>
    </w:p>
    <w:p w14:paraId="58D1C9EA" w14:textId="1EAB4BF3" w:rsidR="009A056D" w:rsidRPr="00335511" w:rsidRDefault="009A056D" w:rsidP="00315325">
      <w:pPr>
        <w:pStyle w:val="ListParagraph"/>
        <w:numPr>
          <w:ilvl w:val="1"/>
          <w:numId w:val="48"/>
        </w:numPr>
        <w:spacing w:after="0" w:line="229" w:lineRule="exact"/>
        <w:jc w:val="both"/>
        <w:rPr>
          <w:rStyle w:val="cf01"/>
          <w:rFonts w:asciiTheme="minorHAnsi" w:hAnsiTheme="minorHAnsi" w:cstheme="minorBidi"/>
          <w:sz w:val="22"/>
          <w:szCs w:val="22"/>
        </w:rPr>
      </w:pPr>
      <w:r w:rsidRPr="00335511">
        <w:rPr>
          <w:rStyle w:val="cf01"/>
          <w:rFonts w:asciiTheme="minorHAnsi" w:hAnsiTheme="minorHAnsi" w:cstheme="minorBidi"/>
          <w:b/>
          <w:bCs/>
          <w:sz w:val="22"/>
          <w:szCs w:val="22"/>
        </w:rPr>
        <w:t>Please provide information about any alternative options that were not reflected in the Narrative.</w:t>
      </w:r>
      <w:r w:rsidRPr="00335511">
        <w:rPr>
          <w:rStyle w:val="cf01"/>
          <w:rFonts w:asciiTheme="minorHAnsi" w:hAnsiTheme="minorHAnsi" w:cstheme="minorBidi"/>
          <w:sz w:val="22"/>
          <w:szCs w:val="22"/>
        </w:rPr>
        <w:t xml:space="preserve"> The Hospital provide</w:t>
      </w:r>
      <w:r>
        <w:rPr>
          <w:rStyle w:val="cf01"/>
          <w:rFonts w:asciiTheme="minorHAnsi" w:hAnsiTheme="minorHAnsi" w:cstheme="minorBidi"/>
          <w:sz w:val="22"/>
          <w:szCs w:val="22"/>
        </w:rPr>
        <w:t>s</w:t>
      </w:r>
      <w:r w:rsidRPr="00335511">
        <w:rPr>
          <w:rStyle w:val="cf01"/>
          <w:rFonts w:asciiTheme="minorHAnsi" w:hAnsiTheme="minorHAnsi" w:cstheme="minorBidi"/>
          <w:sz w:val="22"/>
          <w:szCs w:val="22"/>
        </w:rPr>
        <w:t xml:space="preserve"> educational materials and public service announcements </w:t>
      </w:r>
      <w:r>
        <w:rPr>
          <w:rStyle w:val="cf01"/>
          <w:rFonts w:asciiTheme="minorHAnsi" w:hAnsiTheme="minorHAnsi" w:cstheme="minorBidi"/>
          <w:sz w:val="22"/>
          <w:szCs w:val="22"/>
        </w:rPr>
        <w:t xml:space="preserve">patients </w:t>
      </w:r>
      <w:r w:rsidRPr="00335511">
        <w:rPr>
          <w:rStyle w:val="cf01"/>
          <w:rFonts w:asciiTheme="minorHAnsi" w:hAnsiTheme="minorHAnsi" w:cstheme="minorBidi"/>
          <w:sz w:val="22"/>
          <w:szCs w:val="22"/>
        </w:rPr>
        <w:t xml:space="preserve">on where to receive care based on presenting symptoms. Further, the Hospital implemented a Mobile Integrated Health service in partnership with Brewster Ambulance which supports patients post discharge and those with chronic health conditions that can receive care in their homes. Lastly, the Hospital increased </w:t>
      </w:r>
      <w:r>
        <w:rPr>
          <w:rStyle w:val="cf01"/>
          <w:rFonts w:asciiTheme="minorHAnsi" w:hAnsiTheme="minorHAnsi" w:cstheme="minorBidi"/>
          <w:sz w:val="22"/>
          <w:szCs w:val="22"/>
        </w:rPr>
        <w:t xml:space="preserve">the number of </w:t>
      </w:r>
      <w:r w:rsidRPr="00335511">
        <w:rPr>
          <w:rStyle w:val="cf01"/>
          <w:rFonts w:asciiTheme="minorHAnsi" w:hAnsiTheme="minorHAnsi" w:cstheme="minorBidi"/>
          <w:sz w:val="22"/>
          <w:szCs w:val="22"/>
        </w:rPr>
        <w:t xml:space="preserve">Primary and Specialty care providers </w:t>
      </w:r>
      <w:proofErr w:type="gramStart"/>
      <w:r w:rsidRPr="00335511">
        <w:rPr>
          <w:rStyle w:val="cf01"/>
          <w:rFonts w:asciiTheme="minorHAnsi" w:hAnsiTheme="minorHAnsi" w:cstheme="minorBidi"/>
          <w:sz w:val="22"/>
          <w:szCs w:val="22"/>
        </w:rPr>
        <w:t>in order to</w:t>
      </w:r>
      <w:proofErr w:type="gramEnd"/>
      <w:r w:rsidRPr="00335511">
        <w:rPr>
          <w:rStyle w:val="cf01"/>
          <w:rFonts w:asciiTheme="minorHAnsi" w:hAnsiTheme="minorHAnsi" w:cstheme="minorBidi"/>
          <w:sz w:val="22"/>
          <w:szCs w:val="22"/>
        </w:rPr>
        <w:t xml:space="preserve"> provide greater access to the full</w:t>
      </w:r>
      <w:r>
        <w:rPr>
          <w:rStyle w:val="cf01"/>
          <w:rFonts w:asciiTheme="minorHAnsi" w:hAnsiTheme="minorHAnsi" w:cstheme="minorBidi"/>
          <w:sz w:val="22"/>
          <w:szCs w:val="22"/>
        </w:rPr>
        <w:t xml:space="preserve"> </w:t>
      </w:r>
      <w:r w:rsidRPr="00335511">
        <w:rPr>
          <w:rStyle w:val="cf01"/>
          <w:rFonts w:asciiTheme="minorHAnsi" w:hAnsiTheme="minorHAnsi" w:cstheme="minorBidi"/>
          <w:sz w:val="22"/>
          <w:szCs w:val="22"/>
        </w:rPr>
        <w:t xml:space="preserve">spectrum of health care in the community. </w:t>
      </w:r>
    </w:p>
    <w:p w14:paraId="033BF89E" w14:textId="77777777" w:rsidR="009A056D" w:rsidRPr="00335511" w:rsidRDefault="009A056D" w:rsidP="009A056D">
      <w:pPr>
        <w:pStyle w:val="ListParagraph"/>
        <w:spacing w:after="0" w:line="229" w:lineRule="exact"/>
        <w:jc w:val="both"/>
        <w:rPr>
          <w:rStyle w:val="cf01"/>
          <w:rFonts w:asciiTheme="minorHAnsi" w:hAnsiTheme="minorHAnsi" w:cstheme="minorBidi"/>
          <w:sz w:val="22"/>
          <w:szCs w:val="22"/>
        </w:rPr>
      </w:pPr>
    </w:p>
    <w:p w14:paraId="53A7ED63" w14:textId="26FCEE3D" w:rsidR="009A056D" w:rsidRPr="009A056D" w:rsidRDefault="009A056D" w:rsidP="00315325">
      <w:pPr>
        <w:pStyle w:val="ListParagraph"/>
        <w:numPr>
          <w:ilvl w:val="1"/>
          <w:numId w:val="48"/>
        </w:numPr>
        <w:spacing w:after="0" w:line="229" w:lineRule="exact"/>
        <w:jc w:val="both"/>
        <w:rPr>
          <w:rStyle w:val="cf01"/>
          <w:rFonts w:asciiTheme="minorHAnsi" w:hAnsiTheme="minorHAnsi" w:cstheme="minorBidi"/>
          <w:b/>
          <w:bCs/>
          <w:sz w:val="22"/>
          <w:szCs w:val="22"/>
        </w:rPr>
      </w:pPr>
      <w:r w:rsidRPr="00335511">
        <w:rPr>
          <w:rStyle w:val="cf01"/>
          <w:rFonts w:asciiTheme="minorHAnsi" w:hAnsiTheme="minorHAnsi" w:cstheme="minorBidi"/>
          <w:b/>
          <w:bCs/>
          <w:sz w:val="22"/>
          <w:szCs w:val="22"/>
        </w:rPr>
        <w:t>Describe any methods that may have been considered to manage the high volume/ long wait times, and why those options were rejected.</w:t>
      </w:r>
    </w:p>
    <w:p w14:paraId="6C4AC4C1" w14:textId="1B2FEE31" w:rsidR="009A056D" w:rsidRPr="009A056D" w:rsidRDefault="009A056D" w:rsidP="009A056D">
      <w:pPr>
        <w:pStyle w:val="ListParagraph"/>
        <w:spacing w:after="0" w:line="229" w:lineRule="exact"/>
        <w:ind w:left="1440"/>
        <w:jc w:val="both"/>
        <w:rPr>
          <w:rStyle w:val="cf01"/>
          <w:rFonts w:asciiTheme="minorHAnsi" w:hAnsiTheme="minorHAnsi" w:cstheme="minorBidi"/>
          <w:sz w:val="22"/>
          <w:szCs w:val="22"/>
        </w:rPr>
      </w:pPr>
      <w:r w:rsidRPr="00335511">
        <w:rPr>
          <w:rStyle w:val="cf01"/>
          <w:rFonts w:asciiTheme="minorHAnsi" w:hAnsiTheme="minorHAnsi" w:cstheme="minorBidi"/>
          <w:sz w:val="22"/>
          <w:szCs w:val="22"/>
        </w:rPr>
        <w:t xml:space="preserve">BID-P continuously </w:t>
      </w:r>
      <w:r>
        <w:rPr>
          <w:rStyle w:val="cf01"/>
          <w:rFonts w:asciiTheme="minorHAnsi" w:hAnsiTheme="minorHAnsi" w:cstheme="minorBidi"/>
          <w:sz w:val="22"/>
          <w:szCs w:val="22"/>
        </w:rPr>
        <w:t>adjusts</w:t>
      </w:r>
      <w:r w:rsidRPr="00335511">
        <w:rPr>
          <w:rStyle w:val="cf01"/>
          <w:rFonts w:asciiTheme="minorHAnsi" w:hAnsiTheme="minorHAnsi" w:cstheme="minorBidi"/>
          <w:sz w:val="22"/>
          <w:szCs w:val="22"/>
        </w:rPr>
        <w:t xml:space="preserve"> its care processes to assist with managing ED volume and acuity.  It has focused on improving the door-to-provider times by creating a vertical flow area with recliner chairs that are used for lower acuity patients and has created exam spaces so that providers can begin seeing and examining patients at triage/waiting room. During the COVID-19 pandemic, BID-P added </w:t>
      </w:r>
      <w:r>
        <w:rPr>
          <w:rStyle w:val="cf01"/>
          <w:rFonts w:asciiTheme="minorHAnsi" w:hAnsiTheme="minorHAnsi" w:cstheme="minorBidi"/>
          <w:sz w:val="22"/>
          <w:szCs w:val="22"/>
        </w:rPr>
        <w:t>ten (</w:t>
      </w:r>
      <w:r w:rsidRPr="00335511">
        <w:rPr>
          <w:rStyle w:val="cf01"/>
          <w:rFonts w:asciiTheme="minorHAnsi" w:hAnsiTheme="minorHAnsi" w:cstheme="minorBidi"/>
          <w:sz w:val="22"/>
          <w:szCs w:val="22"/>
        </w:rPr>
        <w:t>10</w:t>
      </w:r>
      <w:r>
        <w:rPr>
          <w:rStyle w:val="cf01"/>
          <w:rFonts w:asciiTheme="minorHAnsi" w:hAnsiTheme="minorHAnsi" w:cstheme="minorBidi"/>
          <w:sz w:val="22"/>
          <w:szCs w:val="22"/>
        </w:rPr>
        <w:t>)</w:t>
      </w:r>
      <w:r w:rsidRPr="00335511">
        <w:rPr>
          <w:rStyle w:val="cf01"/>
          <w:rFonts w:asciiTheme="minorHAnsi" w:hAnsiTheme="minorHAnsi" w:cstheme="minorBidi"/>
          <w:sz w:val="22"/>
          <w:szCs w:val="22"/>
        </w:rPr>
        <w:t xml:space="preserve"> private </w:t>
      </w:r>
      <w:r>
        <w:rPr>
          <w:rStyle w:val="cf01"/>
          <w:rFonts w:asciiTheme="minorHAnsi" w:hAnsiTheme="minorHAnsi" w:cstheme="minorBidi"/>
          <w:sz w:val="22"/>
          <w:szCs w:val="22"/>
        </w:rPr>
        <w:t xml:space="preserve">ED </w:t>
      </w:r>
      <w:r w:rsidRPr="00335511">
        <w:rPr>
          <w:rStyle w:val="cf01"/>
          <w:rFonts w:asciiTheme="minorHAnsi" w:hAnsiTheme="minorHAnsi" w:cstheme="minorBidi"/>
          <w:sz w:val="22"/>
          <w:szCs w:val="22"/>
        </w:rPr>
        <w:t>rooms in an adjacent area to help support isolation and continues to use those beds when ED volume is at its highest.</w:t>
      </w:r>
      <w:r w:rsidR="00041401">
        <w:rPr>
          <w:rStyle w:val="cf01"/>
          <w:rFonts w:asciiTheme="minorHAnsi" w:hAnsiTheme="minorHAnsi" w:cstheme="minorBidi"/>
          <w:sz w:val="22"/>
          <w:szCs w:val="22"/>
        </w:rPr>
        <w:t xml:space="preserve"> This area is currently used as flex-space and includes 11 total beds.</w:t>
      </w:r>
      <w:r w:rsidRPr="00335511">
        <w:rPr>
          <w:rStyle w:val="cf01"/>
          <w:rFonts w:asciiTheme="minorHAnsi" w:hAnsiTheme="minorHAnsi" w:cstheme="minorBidi"/>
          <w:sz w:val="22"/>
          <w:szCs w:val="22"/>
        </w:rPr>
        <w:t xml:space="preserve"> </w:t>
      </w:r>
      <w:r w:rsidRPr="009A056D">
        <w:rPr>
          <w:rStyle w:val="cf01"/>
          <w:rFonts w:asciiTheme="minorHAnsi" w:hAnsiTheme="minorHAnsi" w:cstheme="minorBidi"/>
          <w:sz w:val="22"/>
          <w:szCs w:val="22"/>
        </w:rPr>
        <w:t>Lastly, the Hospital has implemented a process to transition observation patients to a new 25 bed observation unit thus attempting to decrease ED boarding.</w:t>
      </w:r>
    </w:p>
    <w:p w14:paraId="58352CAC" w14:textId="747D18DE" w:rsidR="009A056D" w:rsidRPr="009A056D" w:rsidRDefault="009A056D" w:rsidP="009A056D">
      <w:pPr>
        <w:pStyle w:val="ListParagraph"/>
        <w:spacing w:after="0" w:line="229" w:lineRule="exact"/>
        <w:ind w:left="1440"/>
        <w:jc w:val="both"/>
        <w:rPr>
          <w:rStyle w:val="cf01"/>
          <w:rFonts w:asciiTheme="minorHAnsi" w:hAnsiTheme="minorHAnsi" w:cstheme="minorBidi"/>
          <w:sz w:val="22"/>
          <w:szCs w:val="22"/>
        </w:rPr>
      </w:pPr>
      <w:r w:rsidRPr="00335511">
        <w:rPr>
          <w:rStyle w:val="cf01"/>
          <w:rFonts w:asciiTheme="minorHAnsi" w:hAnsiTheme="minorHAnsi" w:cstheme="minorBidi"/>
          <w:sz w:val="22"/>
          <w:szCs w:val="22"/>
        </w:rPr>
        <w:t xml:space="preserve"> </w:t>
      </w:r>
    </w:p>
    <w:p w14:paraId="0AFFB2F5" w14:textId="77777777" w:rsidR="009A056D" w:rsidRPr="00335511" w:rsidRDefault="009A056D" w:rsidP="009A056D">
      <w:pPr>
        <w:pStyle w:val="ListParagraph"/>
        <w:spacing w:after="0" w:line="229" w:lineRule="exact"/>
        <w:ind w:left="1440"/>
        <w:jc w:val="both"/>
        <w:rPr>
          <w:rStyle w:val="cf01"/>
          <w:rFonts w:asciiTheme="minorHAnsi" w:hAnsiTheme="minorHAnsi" w:cstheme="minorBidi"/>
          <w:sz w:val="22"/>
          <w:szCs w:val="22"/>
        </w:rPr>
      </w:pPr>
      <w:r>
        <w:rPr>
          <w:rStyle w:val="cf01"/>
          <w:rFonts w:asciiTheme="minorHAnsi" w:hAnsiTheme="minorHAnsi" w:cstheme="minorBidi"/>
          <w:sz w:val="22"/>
          <w:szCs w:val="22"/>
        </w:rPr>
        <w:t xml:space="preserve">The Hospital considered building a </w:t>
      </w:r>
      <w:r w:rsidRPr="00335511">
        <w:rPr>
          <w:rStyle w:val="cf01"/>
          <w:rFonts w:asciiTheme="minorHAnsi" w:hAnsiTheme="minorHAnsi" w:cstheme="minorBidi"/>
          <w:sz w:val="22"/>
          <w:szCs w:val="22"/>
        </w:rPr>
        <w:t xml:space="preserve">new </w:t>
      </w:r>
      <w:r>
        <w:rPr>
          <w:rStyle w:val="cf01"/>
          <w:rFonts w:asciiTheme="minorHAnsi" w:hAnsiTheme="minorHAnsi" w:cstheme="minorBidi"/>
          <w:sz w:val="22"/>
          <w:szCs w:val="22"/>
        </w:rPr>
        <w:t>ED instead of renovating in place with phased construction. However, the cost of new construction was not feasible despite the impact to existing services.</w:t>
      </w:r>
      <w:bookmarkEnd w:id="1"/>
    </w:p>
    <w:p w14:paraId="0E8106C5" w14:textId="77777777" w:rsidR="009A056D" w:rsidRDefault="009A056D" w:rsidP="009A056D"/>
    <w:p w14:paraId="225EB2E1" w14:textId="791E830A" w:rsidR="0E0318A7" w:rsidRPr="00335511" w:rsidRDefault="0E0318A7" w:rsidP="0E0318A7">
      <w:pPr>
        <w:pStyle w:val="ListParagraph"/>
        <w:spacing w:before="240" w:after="0" w:line="229" w:lineRule="exact"/>
      </w:pPr>
    </w:p>
    <w:p w14:paraId="1835D3CD" w14:textId="77777777" w:rsidR="00D17C2F" w:rsidRPr="00335511" w:rsidRDefault="00D17C2F" w:rsidP="006D501C">
      <w:pPr>
        <w:rPr>
          <w:rFonts w:cstheme="minorHAnsi"/>
          <w:b/>
          <w:bCs/>
        </w:rPr>
      </w:pPr>
    </w:p>
    <w:sectPr w:rsidR="00D17C2F" w:rsidRPr="00335511" w:rsidSect="00C938D8">
      <w:headerReference w:type="default" r:id="rId8"/>
      <w:footerReference w:type="even" r:id="rId9"/>
      <w:footerReference w:type="defaul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AAF63" w14:textId="77777777" w:rsidR="00CF086E" w:rsidRDefault="00CF086E" w:rsidP="00231103">
      <w:pPr>
        <w:spacing w:after="0" w:line="240" w:lineRule="auto"/>
      </w:pPr>
      <w:r>
        <w:separator/>
      </w:r>
    </w:p>
  </w:endnote>
  <w:endnote w:type="continuationSeparator" w:id="0">
    <w:p w14:paraId="3F215274" w14:textId="77777777" w:rsidR="00CF086E" w:rsidRDefault="00CF086E" w:rsidP="00231103">
      <w:pPr>
        <w:spacing w:after="0" w:line="240" w:lineRule="auto"/>
      </w:pPr>
      <w:r>
        <w:continuationSeparator/>
      </w:r>
    </w:p>
  </w:endnote>
  <w:endnote w:type="continuationNotice" w:id="1">
    <w:p w14:paraId="4AAEBF56" w14:textId="77777777" w:rsidR="00CF086E" w:rsidRDefault="00CF0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834A" w14:textId="2341AD6B" w:rsidR="00D952BF" w:rsidRDefault="005212E2" w:rsidP="005212E2">
    <w:pPr>
      <w:pStyle w:val="DocID"/>
    </w:pPr>
    <w:r w:rsidRPr="005212E2">
      <w:t>HB: 4854-0658-0965.1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18BD5D07" w:rsidR="00632AEC" w:rsidRDefault="005212E2" w:rsidP="005212E2">
    <w:pPr>
      <w:pStyle w:val="DocID"/>
    </w:pPr>
    <w:r w:rsidRPr="005212E2">
      <w:t>HB: 4854-0658-0965.1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E1FAB" w14:textId="5A4C3357" w:rsidR="00D952BF" w:rsidRDefault="005212E2" w:rsidP="005212E2">
    <w:pPr>
      <w:pStyle w:val="DocID"/>
    </w:pPr>
    <w:r w:rsidRPr="005212E2">
      <w:t>HB: 4854-0658-0965.1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36D1F" w14:textId="77777777" w:rsidR="00CF086E" w:rsidRDefault="00CF086E" w:rsidP="00231103">
      <w:pPr>
        <w:spacing w:after="0" w:line="240" w:lineRule="auto"/>
      </w:pPr>
      <w:r>
        <w:separator/>
      </w:r>
    </w:p>
  </w:footnote>
  <w:footnote w:type="continuationSeparator" w:id="0">
    <w:p w14:paraId="510C1905" w14:textId="77777777" w:rsidR="00CF086E" w:rsidRDefault="00CF086E" w:rsidP="00231103">
      <w:pPr>
        <w:spacing w:after="0" w:line="240" w:lineRule="auto"/>
      </w:pPr>
      <w:r>
        <w:continuationSeparator/>
      </w:r>
    </w:p>
  </w:footnote>
  <w:footnote w:type="continuationNotice" w:id="1">
    <w:p w14:paraId="2A90826A" w14:textId="77777777" w:rsidR="00CF086E" w:rsidRDefault="00CF086E">
      <w:pPr>
        <w:spacing w:after="0" w:line="240" w:lineRule="auto"/>
      </w:pPr>
    </w:p>
  </w:footnote>
  <w:footnote w:id="2">
    <w:p w14:paraId="37463D3B" w14:textId="77777777" w:rsidR="00CC11B8" w:rsidRPr="00904BDA" w:rsidRDefault="00CC11B8" w:rsidP="00CC11B8">
      <w:pPr>
        <w:pStyle w:val="FootnoteText"/>
        <w:rPr>
          <w:rFonts w:cstheme="minorHAnsi"/>
        </w:rPr>
      </w:pPr>
      <w:r w:rsidRPr="00904BDA">
        <w:rPr>
          <w:rStyle w:val="FootnoteReference"/>
          <w:rFonts w:cstheme="minorHAnsi"/>
          <w:sz w:val="16"/>
          <w:szCs w:val="16"/>
        </w:rPr>
        <w:footnoteRef/>
      </w:r>
      <w:r w:rsidRPr="00904BDA">
        <w:rPr>
          <w:rFonts w:cstheme="minorHAnsi"/>
          <w:sz w:val="16"/>
          <w:szCs w:val="16"/>
        </w:rPr>
        <w:t xml:space="preserve"> </w:t>
      </w:r>
      <w:r w:rsidRPr="00904BDA">
        <w:rPr>
          <w:rStyle w:val="cf01"/>
          <w:rFonts w:cstheme="minorHAnsi"/>
          <w:sz w:val="16"/>
          <w:szCs w:val="16"/>
        </w:rPr>
        <w:t xml:space="preserve">An eloped patient is one who had care initiated in the ED or a Medical Screening exam was </w:t>
      </w:r>
      <w:proofErr w:type="gramStart"/>
      <w:r w:rsidRPr="00904BDA">
        <w:rPr>
          <w:rStyle w:val="cf01"/>
          <w:rFonts w:cstheme="minorHAnsi"/>
          <w:sz w:val="16"/>
          <w:szCs w:val="16"/>
        </w:rPr>
        <w:t>performed, but</w:t>
      </w:r>
      <w:proofErr w:type="gramEnd"/>
      <w:r w:rsidRPr="00904BDA">
        <w:rPr>
          <w:rStyle w:val="cf01"/>
          <w:rFonts w:cstheme="minorHAnsi"/>
          <w:sz w:val="16"/>
          <w:szCs w:val="16"/>
        </w:rPr>
        <w:t xml:space="preserve"> left prior to treatment or discharge by provider.</w:t>
      </w:r>
    </w:p>
  </w:footnote>
  <w:footnote w:id="3">
    <w:p w14:paraId="79B7B579" w14:textId="77777777" w:rsidR="008F2137" w:rsidRPr="00904BDA" w:rsidRDefault="008F2137" w:rsidP="008F2137">
      <w:pPr>
        <w:pStyle w:val="FootnoteText"/>
        <w:rPr>
          <w:rFonts w:cstheme="minorHAnsi"/>
        </w:rPr>
      </w:pPr>
      <w:r w:rsidRPr="00904BDA">
        <w:rPr>
          <w:rStyle w:val="FootnoteReference"/>
          <w:rFonts w:cstheme="minorHAnsi"/>
          <w:sz w:val="16"/>
          <w:szCs w:val="16"/>
        </w:rPr>
        <w:footnoteRef/>
      </w:r>
      <w:r w:rsidRPr="00904BDA">
        <w:rPr>
          <w:rFonts w:cstheme="minorHAnsi"/>
          <w:sz w:val="16"/>
          <w:szCs w:val="16"/>
        </w:rPr>
        <w:t xml:space="preserve"> </w:t>
      </w:r>
      <w:r w:rsidRPr="00904BDA">
        <w:rPr>
          <w:rStyle w:val="cf01"/>
          <w:rFonts w:cstheme="minorHAnsi"/>
          <w:sz w:val="16"/>
          <w:szCs w:val="16"/>
        </w:rPr>
        <w:t xml:space="preserve">An eloped patient is one who had care initiated in the ED or a Medical Screening exam was </w:t>
      </w:r>
      <w:proofErr w:type="gramStart"/>
      <w:r w:rsidRPr="00904BDA">
        <w:rPr>
          <w:rStyle w:val="cf01"/>
          <w:rFonts w:cstheme="minorHAnsi"/>
          <w:sz w:val="16"/>
          <w:szCs w:val="16"/>
        </w:rPr>
        <w:t>performed, but</w:t>
      </w:r>
      <w:proofErr w:type="gramEnd"/>
      <w:r w:rsidRPr="00904BDA">
        <w:rPr>
          <w:rStyle w:val="cf01"/>
          <w:rFonts w:cstheme="minorHAnsi"/>
          <w:sz w:val="16"/>
          <w:szCs w:val="16"/>
        </w:rPr>
        <w:t xml:space="preserve"> left prior to treatment or discharge by provider.</w:t>
      </w:r>
    </w:p>
  </w:footnote>
  <w:footnote w:id="4">
    <w:p w14:paraId="53D8E5E0" w14:textId="538AECE8" w:rsidR="00A36E38" w:rsidRDefault="00A36E38">
      <w:pPr>
        <w:pStyle w:val="FootnoteText"/>
      </w:pPr>
      <w:r>
        <w:rPr>
          <w:rStyle w:val="FootnoteReference"/>
        </w:rPr>
        <w:footnoteRef/>
      </w:r>
      <w:r>
        <w:t xml:space="preserve"> The </w:t>
      </w:r>
      <w:proofErr w:type="spellStart"/>
      <w:r>
        <w:t>DoN</w:t>
      </w:r>
      <w:proofErr w:type="spellEnd"/>
      <w:r>
        <w:t xml:space="preserve"> Narrative incorrectly identified 67 beds in the Proposed Project. The Proposed Project is for 68 beds, as detailed in Table 6.</w:t>
      </w:r>
    </w:p>
  </w:footnote>
  <w:footnote w:id="5">
    <w:p w14:paraId="312321FE" w14:textId="77777777" w:rsidR="00041401" w:rsidRDefault="00041401" w:rsidP="00041401">
      <w:pPr>
        <w:pStyle w:val="FootnoteText"/>
      </w:pPr>
      <w:r>
        <w:rPr>
          <w:rStyle w:val="FootnoteReference"/>
        </w:rPr>
        <w:t>[1]</w:t>
      </w:r>
      <w:r>
        <w:t xml:space="preserve"> Note that both trauma beds are and will </w:t>
      </w:r>
      <w:proofErr w:type="gramStart"/>
      <w:r>
        <w:t>be located in</w:t>
      </w:r>
      <w:proofErr w:type="gramEnd"/>
      <w:r>
        <w:t xml:space="preserve"> one trauma room (i.e. a “two-position room”). </w:t>
      </w:r>
    </w:p>
  </w:footnote>
  <w:footnote w:id="6">
    <w:p w14:paraId="2BDBE0AC" w14:textId="77777777" w:rsidR="00041401" w:rsidRDefault="00041401" w:rsidP="00041401">
      <w:pPr>
        <w:pStyle w:val="FootnoteText"/>
      </w:pPr>
      <w:r>
        <w:rPr>
          <w:rStyle w:val="FootnoteReference"/>
        </w:rPr>
        <w:t>[2]</w:t>
      </w:r>
      <w:r>
        <w:t xml:space="preserve"> The existing 11 beds are used as flex-space as demand required. Under the Proposed Project, these beds will be used in a designated vertical treatment space for lower acuity treatments.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675" w14:textId="1B6DDD8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w:t>
    </w:r>
    <w:r w:rsidR="00183D7F">
      <w:rPr>
        <w:rFonts w:ascii="Arial-BoldMT" w:hAnsi="Arial-BoldMT" w:cs="Arial-BoldMT"/>
        <w:b/>
        <w:bCs/>
        <w:sz w:val="28"/>
        <w:szCs w:val="28"/>
      </w:rPr>
      <w:t>, Inc</w:t>
    </w:r>
  </w:p>
  <w:p w14:paraId="78DC6D8E" w14:textId="0B84CD72"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925E85" w:rsidRPr="00183D7F">
      <w:rPr>
        <w:rFonts w:ascii="Arial-BoldMT" w:hAnsi="Arial-BoldMT" w:cs="Arial-BoldMT"/>
        <w:b/>
        <w:bCs/>
        <w:sz w:val="24"/>
        <w:szCs w:val="24"/>
      </w:rPr>
      <w:t>BILH-23102414-HE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B84F2F"/>
    <w:multiLevelType w:val="hybridMultilevel"/>
    <w:tmpl w:val="44B0A21E"/>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94A17"/>
    <w:multiLevelType w:val="hybridMultilevel"/>
    <w:tmpl w:val="E9CE3F0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285E60"/>
    <w:multiLevelType w:val="multilevel"/>
    <w:tmpl w:val="830CF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F651E2"/>
    <w:multiLevelType w:val="hybridMultilevel"/>
    <w:tmpl w:val="E9CE3F02"/>
    <w:lvl w:ilvl="0" w:tplc="9E12BF6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520646">
    <w:abstractNumId w:val="32"/>
  </w:num>
  <w:num w:numId="2" w16cid:durableId="1073043344">
    <w:abstractNumId w:val="46"/>
  </w:num>
  <w:num w:numId="3" w16cid:durableId="1779445207">
    <w:abstractNumId w:val="41"/>
  </w:num>
  <w:num w:numId="4" w16cid:durableId="118885386">
    <w:abstractNumId w:val="11"/>
  </w:num>
  <w:num w:numId="5" w16cid:durableId="1108770667">
    <w:abstractNumId w:val="36"/>
  </w:num>
  <w:num w:numId="6" w16cid:durableId="898173668">
    <w:abstractNumId w:val="24"/>
  </w:num>
  <w:num w:numId="7" w16cid:durableId="1916083799">
    <w:abstractNumId w:val="13"/>
  </w:num>
  <w:num w:numId="8" w16cid:durableId="78722391">
    <w:abstractNumId w:val="9"/>
  </w:num>
  <w:num w:numId="9" w16cid:durableId="886838892">
    <w:abstractNumId w:val="21"/>
  </w:num>
  <w:num w:numId="10" w16cid:durableId="1659269075">
    <w:abstractNumId w:val="34"/>
  </w:num>
  <w:num w:numId="11" w16cid:durableId="1236091247">
    <w:abstractNumId w:val="23"/>
  </w:num>
  <w:num w:numId="12" w16cid:durableId="1656254135">
    <w:abstractNumId w:val="33"/>
  </w:num>
  <w:num w:numId="13" w16cid:durableId="313417619">
    <w:abstractNumId w:val="10"/>
  </w:num>
  <w:num w:numId="14" w16cid:durableId="2039767628">
    <w:abstractNumId w:val="15"/>
  </w:num>
  <w:num w:numId="15" w16cid:durableId="355237652">
    <w:abstractNumId w:val="40"/>
  </w:num>
  <w:num w:numId="16" w16cid:durableId="568881069">
    <w:abstractNumId w:val="8"/>
  </w:num>
  <w:num w:numId="17" w16cid:durableId="1760756233">
    <w:abstractNumId w:val="17"/>
  </w:num>
  <w:num w:numId="18" w16cid:durableId="1927617988">
    <w:abstractNumId w:val="6"/>
  </w:num>
  <w:num w:numId="19" w16cid:durableId="1243837233">
    <w:abstractNumId w:val="4"/>
  </w:num>
  <w:num w:numId="20" w16cid:durableId="1495534150">
    <w:abstractNumId w:val="44"/>
  </w:num>
  <w:num w:numId="21" w16cid:durableId="1025326408">
    <w:abstractNumId w:val="38"/>
  </w:num>
  <w:num w:numId="22" w16cid:durableId="104620133">
    <w:abstractNumId w:val="43"/>
  </w:num>
  <w:num w:numId="23" w16cid:durableId="1262760825">
    <w:abstractNumId w:val="45"/>
  </w:num>
  <w:num w:numId="24" w16cid:durableId="1946888837">
    <w:abstractNumId w:val="27"/>
  </w:num>
  <w:num w:numId="25" w16cid:durableId="3216085">
    <w:abstractNumId w:val="29"/>
  </w:num>
  <w:num w:numId="26" w16cid:durableId="215706229">
    <w:abstractNumId w:val="28"/>
  </w:num>
  <w:num w:numId="27" w16cid:durableId="1726104931">
    <w:abstractNumId w:val="0"/>
  </w:num>
  <w:num w:numId="28" w16cid:durableId="613052953">
    <w:abstractNumId w:val="1"/>
  </w:num>
  <w:num w:numId="29" w16cid:durableId="529026805">
    <w:abstractNumId w:val="35"/>
  </w:num>
  <w:num w:numId="30" w16cid:durableId="254631376">
    <w:abstractNumId w:val="3"/>
  </w:num>
  <w:num w:numId="31" w16cid:durableId="1228343629">
    <w:abstractNumId w:val="39"/>
  </w:num>
  <w:num w:numId="32" w16cid:durableId="960460761">
    <w:abstractNumId w:val="42"/>
  </w:num>
  <w:num w:numId="33" w16cid:durableId="1801919823">
    <w:abstractNumId w:val="25"/>
  </w:num>
  <w:num w:numId="34" w16cid:durableId="1235821696">
    <w:abstractNumId w:val="20"/>
  </w:num>
  <w:num w:numId="35" w16cid:durableId="2117560584">
    <w:abstractNumId w:val="16"/>
  </w:num>
  <w:num w:numId="36" w16cid:durableId="1105462163">
    <w:abstractNumId w:val="12"/>
  </w:num>
  <w:num w:numId="37" w16cid:durableId="581378557">
    <w:abstractNumId w:val="7"/>
  </w:num>
  <w:num w:numId="38" w16cid:durableId="1720935177">
    <w:abstractNumId w:val="31"/>
  </w:num>
  <w:num w:numId="39" w16cid:durableId="2076661829">
    <w:abstractNumId w:val="18"/>
  </w:num>
  <w:num w:numId="40" w16cid:durableId="479083522">
    <w:abstractNumId w:val="5"/>
  </w:num>
  <w:num w:numId="41" w16cid:durableId="2092966348">
    <w:abstractNumId w:val="30"/>
  </w:num>
  <w:num w:numId="42" w16cid:durableId="18899933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91396">
    <w:abstractNumId w:val="22"/>
  </w:num>
  <w:num w:numId="44" w16cid:durableId="299507212">
    <w:abstractNumId w:val="2"/>
  </w:num>
  <w:num w:numId="45" w16cid:durableId="1852915813">
    <w:abstractNumId w:val="37"/>
  </w:num>
  <w:num w:numId="46" w16cid:durableId="1711414187">
    <w:abstractNumId w:val="26"/>
  </w:num>
  <w:num w:numId="47" w16cid:durableId="154761987">
    <w:abstractNumId w:val="19"/>
  </w:num>
  <w:num w:numId="48" w16cid:durableId="1818299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498C"/>
    <w:rsid w:val="00005930"/>
    <w:rsid w:val="00011373"/>
    <w:rsid w:val="00011385"/>
    <w:rsid w:val="00012264"/>
    <w:rsid w:val="00012279"/>
    <w:rsid w:val="000168C2"/>
    <w:rsid w:val="00016E99"/>
    <w:rsid w:val="00021A01"/>
    <w:rsid w:val="0002235E"/>
    <w:rsid w:val="00024C6C"/>
    <w:rsid w:val="00025521"/>
    <w:rsid w:val="00026B6F"/>
    <w:rsid w:val="00027FBC"/>
    <w:rsid w:val="0003012E"/>
    <w:rsid w:val="0003035A"/>
    <w:rsid w:val="00030F72"/>
    <w:rsid w:val="0003251C"/>
    <w:rsid w:val="00032FF5"/>
    <w:rsid w:val="00040965"/>
    <w:rsid w:val="000413D6"/>
    <w:rsid w:val="00041401"/>
    <w:rsid w:val="0004380F"/>
    <w:rsid w:val="0004645C"/>
    <w:rsid w:val="00054FF4"/>
    <w:rsid w:val="0005525D"/>
    <w:rsid w:val="00055942"/>
    <w:rsid w:val="00055F9E"/>
    <w:rsid w:val="00056D5B"/>
    <w:rsid w:val="00057A92"/>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ACB"/>
    <w:rsid w:val="00097B2C"/>
    <w:rsid w:val="000A0076"/>
    <w:rsid w:val="000A0549"/>
    <w:rsid w:val="000A56D4"/>
    <w:rsid w:val="000A5A22"/>
    <w:rsid w:val="000A691D"/>
    <w:rsid w:val="000A7A45"/>
    <w:rsid w:val="000B0A7F"/>
    <w:rsid w:val="000B1438"/>
    <w:rsid w:val="000B1D01"/>
    <w:rsid w:val="000C2766"/>
    <w:rsid w:val="000C4405"/>
    <w:rsid w:val="000C6277"/>
    <w:rsid w:val="000C7F71"/>
    <w:rsid w:val="000D0D41"/>
    <w:rsid w:val="000D3A9C"/>
    <w:rsid w:val="000E0650"/>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2BDF"/>
    <w:rsid w:val="00112E92"/>
    <w:rsid w:val="00113110"/>
    <w:rsid w:val="00113ECA"/>
    <w:rsid w:val="001204FE"/>
    <w:rsid w:val="00120FB5"/>
    <w:rsid w:val="00122099"/>
    <w:rsid w:val="0012232D"/>
    <w:rsid w:val="00123EE2"/>
    <w:rsid w:val="00125F6B"/>
    <w:rsid w:val="00126E85"/>
    <w:rsid w:val="0013225C"/>
    <w:rsid w:val="001332C7"/>
    <w:rsid w:val="00133CF7"/>
    <w:rsid w:val="00137A46"/>
    <w:rsid w:val="00137C36"/>
    <w:rsid w:val="0014505C"/>
    <w:rsid w:val="001459CB"/>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6547"/>
    <w:rsid w:val="00176C56"/>
    <w:rsid w:val="00180580"/>
    <w:rsid w:val="00182533"/>
    <w:rsid w:val="00183D7F"/>
    <w:rsid w:val="0018569F"/>
    <w:rsid w:val="00185A10"/>
    <w:rsid w:val="00190646"/>
    <w:rsid w:val="0019184A"/>
    <w:rsid w:val="00191B78"/>
    <w:rsid w:val="00191DAC"/>
    <w:rsid w:val="001926A6"/>
    <w:rsid w:val="00192CFC"/>
    <w:rsid w:val="00193CD7"/>
    <w:rsid w:val="001A0425"/>
    <w:rsid w:val="001A0FB0"/>
    <w:rsid w:val="001A11D0"/>
    <w:rsid w:val="001A170B"/>
    <w:rsid w:val="001A35DC"/>
    <w:rsid w:val="001A511B"/>
    <w:rsid w:val="001A66A9"/>
    <w:rsid w:val="001A767E"/>
    <w:rsid w:val="001B2843"/>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3DF"/>
    <w:rsid w:val="001E0B77"/>
    <w:rsid w:val="001E0B94"/>
    <w:rsid w:val="001E0E5D"/>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E02"/>
    <w:rsid w:val="002069DD"/>
    <w:rsid w:val="002102EF"/>
    <w:rsid w:val="00212619"/>
    <w:rsid w:val="002131E4"/>
    <w:rsid w:val="0021443F"/>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E675D"/>
    <w:rsid w:val="002F0337"/>
    <w:rsid w:val="002F3CDD"/>
    <w:rsid w:val="002F5878"/>
    <w:rsid w:val="002F7B99"/>
    <w:rsid w:val="00301D82"/>
    <w:rsid w:val="00302D3F"/>
    <w:rsid w:val="003030AA"/>
    <w:rsid w:val="00303DD8"/>
    <w:rsid w:val="00303EE3"/>
    <w:rsid w:val="00306307"/>
    <w:rsid w:val="0030785A"/>
    <w:rsid w:val="003078B4"/>
    <w:rsid w:val="003079EC"/>
    <w:rsid w:val="00307F98"/>
    <w:rsid w:val="003103B0"/>
    <w:rsid w:val="00312339"/>
    <w:rsid w:val="00312739"/>
    <w:rsid w:val="00312A19"/>
    <w:rsid w:val="00315325"/>
    <w:rsid w:val="00317580"/>
    <w:rsid w:val="00320371"/>
    <w:rsid w:val="00324696"/>
    <w:rsid w:val="0032484D"/>
    <w:rsid w:val="00325C01"/>
    <w:rsid w:val="00327903"/>
    <w:rsid w:val="00327EAC"/>
    <w:rsid w:val="00331E8E"/>
    <w:rsid w:val="00332A40"/>
    <w:rsid w:val="00332C4B"/>
    <w:rsid w:val="00333E04"/>
    <w:rsid w:val="00335511"/>
    <w:rsid w:val="00335F54"/>
    <w:rsid w:val="00336346"/>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215"/>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5EF2"/>
    <w:rsid w:val="003F665D"/>
    <w:rsid w:val="003F7754"/>
    <w:rsid w:val="00402AC2"/>
    <w:rsid w:val="004035C4"/>
    <w:rsid w:val="00404913"/>
    <w:rsid w:val="00407E19"/>
    <w:rsid w:val="004102C5"/>
    <w:rsid w:val="00411D30"/>
    <w:rsid w:val="004141A0"/>
    <w:rsid w:val="0041770C"/>
    <w:rsid w:val="0042031C"/>
    <w:rsid w:val="00421844"/>
    <w:rsid w:val="00421B81"/>
    <w:rsid w:val="00421C21"/>
    <w:rsid w:val="00422255"/>
    <w:rsid w:val="004253AA"/>
    <w:rsid w:val="00426884"/>
    <w:rsid w:val="00431A58"/>
    <w:rsid w:val="00431EC4"/>
    <w:rsid w:val="00432D19"/>
    <w:rsid w:val="0043468F"/>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62790"/>
    <w:rsid w:val="00463824"/>
    <w:rsid w:val="00464ACB"/>
    <w:rsid w:val="00465F4D"/>
    <w:rsid w:val="0046675D"/>
    <w:rsid w:val="00470202"/>
    <w:rsid w:val="004739A3"/>
    <w:rsid w:val="00473C9E"/>
    <w:rsid w:val="00480049"/>
    <w:rsid w:val="00481ADC"/>
    <w:rsid w:val="00481FEB"/>
    <w:rsid w:val="004821A3"/>
    <w:rsid w:val="00484231"/>
    <w:rsid w:val="00484A85"/>
    <w:rsid w:val="004873F3"/>
    <w:rsid w:val="004901A5"/>
    <w:rsid w:val="00490846"/>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4D66"/>
    <w:rsid w:val="004F563B"/>
    <w:rsid w:val="004F590F"/>
    <w:rsid w:val="004F6BB4"/>
    <w:rsid w:val="005006E2"/>
    <w:rsid w:val="00502404"/>
    <w:rsid w:val="00507039"/>
    <w:rsid w:val="00510EC8"/>
    <w:rsid w:val="00512FDF"/>
    <w:rsid w:val="00514140"/>
    <w:rsid w:val="005145C3"/>
    <w:rsid w:val="00514772"/>
    <w:rsid w:val="00514968"/>
    <w:rsid w:val="00514ECB"/>
    <w:rsid w:val="0051617E"/>
    <w:rsid w:val="00517104"/>
    <w:rsid w:val="00517D5A"/>
    <w:rsid w:val="00520833"/>
    <w:rsid w:val="00520941"/>
    <w:rsid w:val="00520CE7"/>
    <w:rsid w:val="005212E2"/>
    <w:rsid w:val="005218C7"/>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1745"/>
    <w:rsid w:val="005C1922"/>
    <w:rsid w:val="005C1E0B"/>
    <w:rsid w:val="005C3394"/>
    <w:rsid w:val="005C4433"/>
    <w:rsid w:val="005C4EB9"/>
    <w:rsid w:val="005C5476"/>
    <w:rsid w:val="005C7D0C"/>
    <w:rsid w:val="005D4244"/>
    <w:rsid w:val="005D543B"/>
    <w:rsid w:val="005E07A8"/>
    <w:rsid w:val="005E1AEF"/>
    <w:rsid w:val="005E3669"/>
    <w:rsid w:val="005E72B7"/>
    <w:rsid w:val="005E7E9F"/>
    <w:rsid w:val="005F2E76"/>
    <w:rsid w:val="005F5F80"/>
    <w:rsid w:val="005F62ED"/>
    <w:rsid w:val="005F7339"/>
    <w:rsid w:val="00605067"/>
    <w:rsid w:val="006054A8"/>
    <w:rsid w:val="00605AB6"/>
    <w:rsid w:val="00607E0F"/>
    <w:rsid w:val="00610F50"/>
    <w:rsid w:val="006113E0"/>
    <w:rsid w:val="0061268C"/>
    <w:rsid w:val="00612D41"/>
    <w:rsid w:val="00615C75"/>
    <w:rsid w:val="00617837"/>
    <w:rsid w:val="00621087"/>
    <w:rsid w:val="00623AD7"/>
    <w:rsid w:val="00624F1A"/>
    <w:rsid w:val="006269A1"/>
    <w:rsid w:val="00627A68"/>
    <w:rsid w:val="006303FF"/>
    <w:rsid w:val="00631829"/>
    <w:rsid w:val="006325B1"/>
    <w:rsid w:val="00632AEC"/>
    <w:rsid w:val="00636A3D"/>
    <w:rsid w:val="006403D2"/>
    <w:rsid w:val="00643D57"/>
    <w:rsid w:val="0064499E"/>
    <w:rsid w:val="00645592"/>
    <w:rsid w:val="006513CC"/>
    <w:rsid w:val="0065176F"/>
    <w:rsid w:val="006520E7"/>
    <w:rsid w:val="006533A2"/>
    <w:rsid w:val="0065372D"/>
    <w:rsid w:val="006560F8"/>
    <w:rsid w:val="006650CD"/>
    <w:rsid w:val="0066694A"/>
    <w:rsid w:val="006705F7"/>
    <w:rsid w:val="006708F8"/>
    <w:rsid w:val="006733D5"/>
    <w:rsid w:val="00674E0A"/>
    <w:rsid w:val="00680AD8"/>
    <w:rsid w:val="006814E7"/>
    <w:rsid w:val="00682275"/>
    <w:rsid w:val="006826AF"/>
    <w:rsid w:val="00684458"/>
    <w:rsid w:val="00687E3F"/>
    <w:rsid w:val="006906F3"/>
    <w:rsid w:val="00692BAB"/>
    <w:rsid w:val="00693E98"/>
    <w:rsid w:val="006969C6"/>
    <w:rsid w:val="006A11AA"/>
    <w:rsid w:val="006A1400"/>
    <w:rsid w:val="006A21E4"/>
    <w:rsid w:val="006A25D2"/>
    <w:rsid w:val="006A2BD7"/>
    <w:rsid w:val="006A3466"/>
    <w:rsid w:val="006A4D5B"/>
    <w:rsid w:val="006A5179"/>
    <w:rsid w:val="006A7EAE"/>
    <w:rsid w:val="006B0549"/>
    <w:rsid w:val="006B0698"/>
    <w:rsid w:val="006B0C48"/>
    <w:rsid w:val="006B0F22"/>
    <w:rsid w:val="006B5BEF"/>
    <w:rsid w:val="006B68C4"/>
    <w:rsid w:val="006B7171"/>
    <w:rsid w:val="006C1B8D"/>
    <w:rsid w:val="006C3ED5"/>
    <w:rsid w:val="006C552B"/>
    <w:rsid w:val="006D01D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40B16"/>
    <w:rsid w:val="00742E67"/>
    <w:rsid w:val="0074357F"/>
    <w:rsid w:val="00743F50"/>
    <w:rsid w:val="00747EF6"/>
    <w:rsid w:val="0074A0AE"/>
    <w:rsid w:val="007508EF"/>
    <w:rsid w:val="00750B62"/>
    <w:rsid w:val="0075159B"/>
    <w:rsid w:val="007525CA"/>
    <w:rsid w:val="007531D5"/>
    <w:rsid w:val="0075373D"/>
    <w:rsid w:val="00753F14"/>
    <w:rsid w:val="00757106"/>
    <w:rsid w:val="00761997"/>
    <w:rsid w:val="00762CA1"/>
    <w:rsid w:val="00766B76"/>
    <w:rsid w:val="00771621"/>
    <w:rsid w:val="00774FA6"/>
    <w:rsid w:val="00775A18"/>
    <w:rsid w:val="00777580"/>
    <w:rsid w:val="007871AD"/>
    <w:rsid w:val="00787CB4"/>
    <w:rsid w:val="00791B92"/>
    <w:rsid w:val="00792DB0"/>
    <w:rsid w:val="007931E8"/>
    <w:rsid w:val="007934D2"/>
    <w:rsid w:val="00795B9D"/>
    <w:rsid w:val="00795E61"/>
    <w:rsid w:val="00795E6A"/>
    <w:rsid w:val="007966DB"/>
    <w:rsid w:val="007B3A5E"/>
    <w:rsid w:val="007B4150"/>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9DF"/>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10C49"/>
    <w:rsid w:val="008124F5"/>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4AB8"/>
    <w:rsid w:val="0084640D"/>
    <w:rsid w:val="008464B2"/>
    <w:rsid w:val="00847665"/>
    <w:rsid w:val="00847BE1"/>
    <w:rsid w:val="00851136"/>
    <w:rsid w:val="008519A8"/>
    <w:rsid w:val="00851EBF"/>
    <w:rsid w:val="00852964"/>
    <w:rsid w:val="00854496"/>
    <w:rsid w:val="008552B3"/>
    <w:rsid w:val="0086021D"/>
    <w:rsid w:val="00862AF4"/>
    <w:rsid w:val="008634B7"/>
    <w:rsid w:val="00863F89"/>
    <w:rsid w:val="00863FC5"/>
    <w:rsid w:val="008643F3"/>
    <w:rsid w:val="00865B23"/>
    <w:rsid w:val="00874C86"/>
    <w:rsid w:val="00874E5C"/>
    <w:rsid w:val="0087518D"/>
    <w:rsid w:val="00875EDB"/>
    <w:rsid w:val="00876CE8"/>
    <w:rsid w:val="00881DF6"/>
    <w:rsid w:val="00882805"/>
    <w:rsid w:val="00883C3A"/>
    <w:rsid w:val="00885BDE"/>
    <w:rsid w:val="008868E6"/>
    <w:rsid w:val="00886E11"/>
    <w:rsid w:val="00887C04"/>
    <w:rsid w:val="00890231"/>
    <w:rsid w:val="0089063F"/>
    <w:rsid w:val="008906F3"/>
    <w:rsid w:val="008922CA"/>
    <w:rsid w:val="008955B8"/>
    <w:rsid w:val="00895B40"/>
    <w:rsid w:val="00897A92"/>
    <w:rsid w:val="008A0455"/>
    <w:rsid w:val="008A0B8C"/>
    <w:rsid w:val="008A1722"/>
    <w:rsid w:val="008A1BCF"/>
    <w:rsid w:val="008A4AEA"/>
    <w:rsid w:val="008A6BAF"/>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53A5"/>
    <w:rsid w:val="008D6D5E"/>
    <w:rsid w:val="008D7435"/>
    <w:rsid w:val="008E0484"/>
    <w:rsid w:val="008E187B"/>
    <w:rsid w:val="008E234D"/>
    <w:rsid w:val="008E39DC"/>
    <w:rsid w:val="008E3C7A"/>
    <w:rsid w:val="008E455C"/>
    <w:rsid w:val="008E4FB8"/>
    <w:rsid w:val="008E6DF2"/>
    <w:rsid w:val="008E7355"/>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2EC2"/>
    <w:rsid w:val="00924A83"/>
    <w:rsid w:val="009250A0"/>
    <w:rsid w:val="00925E85"/>
    <w:rsid w:val="009260CC"/>
    <w:rsid w:val="00931374"/>
    <w:rsid w:val="009317D3"/>
    <w:rsid w:val="00931AA1"/>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197F"/>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A056D"/>
    <w:rsid w:val="009A4BB1"/>
    <w:rsid w:val="009A5373"/>
    <w:rsid w:val="009B0139"/>
    <w:rsid w:val="009B122A"/>
    <w:rsid w:val="009B1C56"/>
    <w:rsid w:val="009B23D4"/>
    <w:rsid w:val="009B287F"/>
    <w:rsid w:val="009B36CA"/>
    <w:rsid w:val="009B4479"/>
    <w:rsid w:val="009B62C3"/>
    <w:rsid w:val="009B74DA"/>
    <w:rsid w:val="009B7881"/>
    <w:rsid w:val="009B7A81"/>
    <w:rsid w:val="009C0E83"/>
    <w:rsid w:val="009C1D85"/>
    <w:rsid w:val="009C2396"/>
    <w:rsid w:val="009C271D"/>
    <w:rsid w:val="009C7D70"/>
    <w:rsid w:val="009D0E59"/>
    <w:rsid w:val="009D2DC7"/>
    <w:rsid w:val="009D301F"/>
    <w:rsid w:val="009D46AB"/>
    <w:rsid w:val="009D7BC6"/>
    <w:rsid w:val="009E1C94"/>
    <w:rsid w:val="009E2663"/>
    <w:rsid w:val="009E2754"/>
    <w:rsid w:val="009E3746"/>
    <w:rsid w:val="009E5E4D"/>
    <w:rsid w:val="009F10DE"/>
    <w:rsid w:val="009F2325"/>
    <w:rsid w:val="009F3886"/>
    <w:rsid w:val="00A04393"/>
    <w:rsid w:val="00A05AE5"/>
    <w:rsid w:val="00A07020"/>
    <w:rsid w:val="00A0707E"/>
    <w:rsid w:val="00A07187"/>
    <w:rsid w:val="00A071D8"/>
    <w:rsid w:val="00A0730F"/>
    <w:rsid w:val="00A07682"/>
    <w:rsid w:val="00A10502"/>
    <w:rsid w:val="00A109EC"/>
    <w:rsid w:val="00A144A7"/>
    <w:rsid w:val="00A14B99"/>
    <w:rsid w:val="00A15C5C"/>
    <w:rsid w:val="00A15FC6"/>
    <w:rsid w:val="00A1708E"/>
    <w:rsid w:val="00A17248"/>
    <w:rsid w:val="00A17E54"/>
    <w:rsid w:val="00A256D6"/>
    <w:rsid w:val="00A266C5"/>
    <w:rsid w:val="00A27237"/>
    <w:rsid w:val="00A27C1B"/>
    <w:rsid w:val="00A32048"/>
    <w:rsid w:val="00A33B33"/>
    <w:rsid w:val="00A350ED"/>
    <w:rsid w:val="00A35384"/>
    <w:rsid w:val="00A36E38"/>
    <w:rsid w:val="00A40ACC"/>
    <w:rsid w:val="00A41584"/>
    <w:rsid w:val="00A41DF5"/>
    <w:rsid w:val="00A42F5D"/>
    <w:rsid w:val="00A43080"/>
    <w:rsid w:val="00A43B47"/>
    <w:rsid w:val="00A44911"/>
    <w:rsid w:val="00A4674F"/>
    <w:rsid w:val="00A50902"/>
    <w:rsid w:val="00A50B75"/>
    <w:rsid w:val="00A52BF6"/>
    <w:rsid w:val="00A52D05"/>
    <w:rsid w:val="00A530E9"/>
    <w:rsid w:val="00A550CF"/>
    <w:rsid w:val="00A628AF"/>
    <w:rsid w:val="00A63B2C"/>
    <w:rsid w:val="00A63B34"/>
    <w:rsid w:val="00A65D21"/>
    <w:rsid w:val="00A71F8B"/>
    <w:rsid w:val="00A72A1B"/>
    <w:rsid w:val="00A7342F"/>
    <w:rsid w:val="00A73660"/>
    <w:rsid w:val="00A74634"/>
    <w:rsid w:val="00A7645F"/>
    <w:rsid w:val="00A82823"/>
    <w:rsid w:val="00A83C91"/>
    <w:rsid w:val="00A8439B"/>
    <w:rsid w:val="00A84E87"/>
    <w:rsid w:val="00A864E1"/>
    <w:rsid w:val="00A9164D"/>
    <w:rsid w:val="00A91AB7"/>
    <w:rsid w:val="00A92183"/>
    <w:rsid w:val="00A92659"/>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4B86"/>
    <w:rsid w:val="00AB525B"/>
    <w:rsid w:val="00AB56AA"/>
    <w:rsid w:val="00AC08F8"/>
    <w:rsid w:val="00AC2CEE"/>
    <w:rsid w:val="00AC34FD"/>
    <w:rsid w:val="00AC3823"/>
    <w:rsid w:val="00AC7702"/>
    <w:rsid w:val="00AD2C45"/>
    <w:rsid w:val="00AD3FD8"/>
    <w:rsid w:val="00AD4D0A"/>
    <w:rsid w:val="00AD7A33"/>
    <w:rsid w:val="00AE0C95"/>
    <w:rsid w:val="00AE155F"/>
    <w:rsid w:val="00AE1619"/>
    <w:rsid w:val="00AE1E9E"/>
    <w:rsid w:val="00AE1F14"/>
    <w:rsid w:val="00AE2E70"/>
    <w:rsid w:val="00AE3E40"/>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3B4F"/>
    <w:rsid w:val="00B0435F"/>
    <w:rsid w:val="00B04766"/>
    <w:rsid w:val="00B04B46"/>
    <w:rsid w:val="00B06DF0"/>
    <w:rsid w:val="00B079A7"/>
    <w:rsid w:val="00B10DB9"/>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EAB"/>
    <w:rsid w:val="00B41B3F"/>
    <w:rsid w:val="00B42417"/>
    <w:rsid w:val="00B42880"/>
    <w:rsid w:val="00B440D9"/>
    <w:rsid w:val="00B45060"/>
    <w:rsid w:val="00B45447"/>
    <w:rsid w:val="00B473EC"/>
    <w:rsid w:val="00B47B6B"/>
    <w:rsid w:val="00B47C7E"/>
    <w:rsid w:val="00B50946"/>
    <w:rsid w:val="00B512E6"/>
    <w:rsid w:val="00B5326E"/>
    <w:rsid w:val="00B53AB1"/>
    <w:rsid w:val="00B605C6"/>
    <w:rsid w:val="00B608E6"/>
    <w:rsid w:val="00B63DE0"/>
    <w:rsid w:val="00B65FB4"/>
    <w:rsid w:val="00B70B72"/>
    <w:rsid w:val="00B715B4"/>
    <w:rsid w:val="00B73CA9"/>
    <w:rsid w:val="00B7599B"/>
    <w:rsid w:val="00B75AFF"/>
    <w:rsid w:val="00B765CA"/>
    <w:rsid w:val="00B772BD"/>
    <w:rsid w:val="00B77DF7"/>
    <w:rsid w:val="00B851A8"/>
    <w:rsid w:val="00B856DA"/>
    <w:rsid w:val="00B8765D"/>
    <w:rsid w:val="00B96371"/>
    <w:rsid w:val="00B97B4C"/>
    <w:rsid w:val="00BA1261"/>
    <w:rsid w:val="00BA1F76"/>
    <w:rsid w:val="00BA2559"/>
    <w:rsid w:val="00BA5DC1"/>
    <w:rsid w:val="00BA6C3B"/>
    <w:rsid w:val="00BB0119"/>
    <w:rsid w:val="00BB0F4E"/>
    <w:rsid w:val="00BB291B"/>
    <w:rsid w:val="00BB2D8B"/>
    <w:rsid w:val="00BB372A"/>
    <w:rsid w:val="00BB42EF"/>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47F4"/>
    <w:rsid w:val="00BE5B4B"/>
    <w:rsid w:val="00BE67C3"/>
    <w:rsid w:val="00BE7434"/>
    <w:rsid w:val="00BF0682"/>
    <w:rsid w:val="00BF1147"/>
    <w:rsid w:val="00BF23D2"/>
    <w:rsid w:val="00BF349C"/>
    <w:rsid w:val="00BF3831"/>
    <w:rsid w:val="00BF4BB3"/>
    <w:rsid w:val="00BF57F0"/>
    <w:rsid w:val="00BF6A10"/>
    <w:rsid w:val="00C010A7"/>
    <w:rsid w:val="00C015DC"/>
    <w:rsid w:val="00C048DB"/>
    <w:rsid w:val="00C143F4"/>
    <w:rsid w:val="00C14DDD"/>
    <w:rsid w:val="00C15AED"/>
    <w:rsid w:val="00C16717"/>
    <w:rsid w:val="00C16FD9"/>
    <w:rsid w:val="00C173CA"/>
    <w:rsid w:val="00C173F7"/>
    <w:rsid w:val="00C176D2"/>
    <w:rsid w:val="00C17CC6"/>
    <w:rsid w:val="00C20009"/>
    <w:rsid w:val="00C20168"/>
    <w:rsid w:val="00C239AF"/>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52C"/>
    <w:rsid w:val="00C52979"/>
    <w:rsid w:val="00C52F6D"/>
    <w:rsid w:val="00C539F0"/>
    <w:rsid w:val="00C55E62"/>
    <w:rsid w:val="00C562BF"/>
    <w:rsid w:val="00C56FD7"/>
    <w:rsid w:val="00C60878"/>
    <w:rsid w:val="00C625DD"/>
    <w:rsid w:val="00C70920"/>
    <w:rsid w:val="00C70D92"/>
    <w:rsid w:val="00C72E70"/>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3DC0"/>
    <w:rsid w:val="00CB4136"/>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82C"/>
    <w:rsid w:val="00CE7C72"/>
    <w:rsid w:val="00CF086E"/>
    <w:rsid w:val="00CF0F40"/>
    <w:rsid w:val="00CF1A54"/>
    <w:rsid w:val="00CF20FD"/>
    <w:rsid w:val="00CF2AD9"/>
    <w:rsid w:val="00CF3097"/>
    <w:rsid w:val="00CF3442"/>
    <w:rsid w:val="00CF3BA4"/>
    <w:rsid w:val="00CF3E33"/>
    <w:rsid w:val="00CF5DDA"/>
    <w:rsid w:val="00CF63EB"/>
    <w:rsid w:val="00D00CC7"/>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7182"/>
    <w:rsid w:val="00D279F2"/>
    <w:rsid w:val="00D3234B"/>
    <w:rsid w:val="00D33210"/>
    <w:rsid w:val="00D33B9C"/>
    <w:rsid w:val="00D35DF3"/>
    <w:rsid w:val="00D37D26"/>
    <w:rsid w:val="00D37EAE"/>
    <w:rsid w:val="00D4103C"/>
    <w:rsid w:val="00D41E4A"/>
    <w:rsid w:val="00D422E3"/>
    <w:rsid w:val="00D436C9"/>
    <w:rsid w:val="00D43AA5"/>
    <w:rsid w:val="00D506CF"/>
    <w:rsid w:val="00D51950"/>
    <w:rsid w:val="00D54B26"/>
    <w:rsid w:val="00D60585"/>
    <w:rsid w:val="00D6142C"/>
    <w:rsid w:val="00D6254B"/>
    <w:rsid w:val="00D63B4A"/>
    <w:rsid w:val="00D64C10"/>
    <w:rsid w:val="00D653C6"/>
    <w:rsid w:val="00D67AD8"/>
    <w:rsid w:val="00D718D9"/>
    <w:rsid w:val="00D73C6F"/>
    <w:rsid w:val="00D753F8"/>
    <w:rsid w:val="00D75C50"/>
    <w:rsid w:val="00D76F97"/>
    <w:rsid w:val="00D849A9"/>
    <w:rsid w:val="00D851C5"/>
    <w:rsid w:val="00D85B70"/>
    <w:rsid w:val="00D86248"/>
    <w:rsid w:val="00D866CA"/>
    <w:rsid w:val="00D878B8"/>
    <w:rsid w:val="00D93BBE"/>
    <w:rsid w:val="00D94501"/>
    <w:rsid w:val="00D952BF"/>
    <w:rsid w:val="00D95A4C"/>
    <w:rsid w:val="00DA30C7"/>
    <w:rsid w:val="00DA349F"/>
    <w:rsid w:val="00DA6574"/>
    <w:rsid w:val="00DA6F3F"/>
    <w:rsid w:val="00DB181C"/>
    <w:rsid w:val="00DB1F00"/>
    <w:rsid w:val="00DB2E40"/>
    <w:rsid w:val="00DB499A"/>
    <w:rsid w:val="00DB53EB"/>
    <w:rsid w:val="00DB6498"/>
    <w:rsid w:val="00DB685D"/>
    <w:rsid w:val="00DB6A78"/>
    <w:rsid w:val="00DB78F7"/>
    <w:rsid w:val="00DC3F91"/>
    <w:rsid w:val="00DC5462"/>
    <w:rsid w:val="00DD0C1E"/>
    <w:rsid w:val="00DD1419"/>
    <w:rsid w:val="00DD15B6"/>
    <w:rsid w:val="00DD707B"/>
    <w:rsid w:val="00DD7384"/>
    <w:rsid w:val="00DD74BE"/>
    <w:rsid w:val="00DE083F"/>
    <w:rsid w:val="00DE53D8"/>
    <w:rsid w:val="00DE6121"/>
    <w:rsid w:val="00DE7675"/>
    <w:rsid w:val="00DF07AB"/>
    <w:rsid w:val="00DF2366"/>
    <w:rsid w:val="00DF2716"/>
    <w:rsid w:val="00DF3BCD"/>
    <w:rsid w:val="00DF40C8"/>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4CF2"/>
    <w:rsid w:val="00E15BF1"/>
    <w:rsid w:val="00E15C5B"/>
    <w:rsid w:val="00E20E96"/>
    <w:rsid w:val="00E25B24"/>
    <w:rsid w:val="00E27352"/>
    <w:rsid w:val="00E33041"/>
    <w:rsid w:val="00E34127"/>
    <w:rsid w:val="00E34361"/>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3FE"/>
    <w:rsid w:val="00EB6578"/>
    <w:rsid w:val="00EC0FF2"/>
    <w:rsid w:val="00EC102F"/>
    <w:rsid w:val="00EC2145"/>
    <w:rsid w:val="00EC39D3"/>
    <w:rsid w:val="00EC5F2B"/>
    <w:rsid w:val="00EC7F18"/>
    <w:rsid w:val="00ED11A7"/>
    <w:rsid w:val="00ED4A6A"/>
    <w:rsid w:val="00ED55BC"/>
    <w:rsid w:val="00EE0262"/>
    <w:rsid w:val="00EE0E26"/>
    <w:rsid w:val="00EE15A4"/>
    <w:rsid w:val="00EE5976"/>
    <w:rsid w:val="00EF1AF6"/>
    <w:rsid w:val="00EF43C6"/>
    <w:rsid w:val="00EF62A6"/>
    <w:rsid w:val="00EF7B23"/>
    <w:rsid w:val="00F017A9"/>
    <w:rsid w:val="00F038A9"/>
    <w:rsid w:val="00F055F8"/>
    <w:rsid w:val="00F065A1"/>
    <w:rsid w:val="00F06B13"/>
    <w:rsid w:val="00F0780E"/>
    <w:rsid w:val="00F101A5"/>
    <w:rsid w:val="00F12B4F"/>
    <w:rsid w:val="00F13D4E"/>
    <w:rsid w:val="00F15C16"/>
    <w:rsid w:val="00F160CC"/>
    <w:rsid w:val="00F2008B"/>
    <w:rsid w:val="00F21CEC"/>
    <w:rsid w:val="00F22098"/>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6DF"/>
    <w:rsid w:val="00F92D3B"/>
    <w:rsid w:val="00F95028"/>
    <w:rsid w:val="00F956B0"/>
    <w:rsid w:val="00F965BD"/>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3E50"/>
    <w:rsid w:val="00FC40E5"/>
    <w:rsid w:val="00FC4760"/>
    <w:rsid w:val="00FC498E"/>
    <w:rsid w:val="00FC549D"/>
    <w:rsid w:val="00FC6436"/>
    <w:rsid w:val="00FC6EEA"/>
    <w:rsid w:val="00FD0471"/>
    <w:rsid w:val="00FD1088"/>
    <w:rsid w:val="00FD1CC4"/>
    <w:rsid w:val="00FD4BAD"/>
    <w:rsid w:val="00FE0B49"/>
    <w:rsid w:val="00FE3604"/>
    <w:rsid w:val="00FE4B35"/>
    <w:rsid w:val="00FF03A3"/>
    <w:rsid w:val="00FF1221"/>
    <w:rsid w:val="00FF2FAD"/>
    <w:rsid w:val="00FF375A"/>
    <w:rsid w:val="00FF4BA9"/>
    <w:rsid w:val="00FF71FF"/>
    <w:rsid w:val="012E73F4"/>
    <w:rsid w:val="01520163"/>
    <w:rsid w:val="01CEC757"/>
    <w:rsid w:val="024EB984"/>
    <w:rsid w:val="02FC602A"/>
    <w:rsid w:val="03C96017"/>
    <w:rsid w:val="04B2ABCC"/>
    <w:rsid w:val="0512854C"/>
    <w:rsid w:val="06B52B6F"/>
    <w:rsid w:val="070683A5"/>
    <w:rsid w:val="07DB7799"/>
    <w:rsid w:val="086C27C1"/>
    <w:rsid w:val="09DCEE6B"/>
    <w:rsid w:val="0A41A052"/>
    <w:rsid w:val="0A5301EF"/>
    <w:rsid w:val="0ABC6C54"/>
    <w:rsid w:val="0DB2DC54"/>
    <w:rsid w:val="0E0318A7"/>
    <w:rsid w:val="0E3785B8"/>
    <w:rsid w:val="104B4893"/>
    <w:rsid w:val="11752C36"/>
    <w:rsid w:val="13398BBA"/>
    <w:rsid w:val="13C48AB0"/>
    <w:rsid w:val="13E9609D"/>
    <w:rsid w:val="1549E396"/>
    <w:rsid w:val="15DA43AC"/>
    <w:rsid w:val="15ED183F"/>
    <w:rsid w:val="16BCCE0F"/>
    <w:rsid w:val="174CDC27"/>
    <w:rsid w:val="18C1D17F"/>
    <w:rsid w:val="1AE912BD"/>
    <w:rsid w:val="1BD8E52F"/>
    <w:rsid w:val="1C3A2A58"/>
    <w:rsid w:val="1CC40F3F"/>
    <w:rsid w:val="1E656186"/>
    <w:rsid w:val="1EDC1452"/>
    <w:rsid w:val="1F8EF888"/>
    <w:rsid w:val="2097F3B7"/>
    <w:rsid w:val="2432B747"/>
    <w:rsid w:val="25650A89"/>
    <w:rsid w:val="25767E19"/>
    <w:rsid w:val="25AD3A7A"/>
    <w:rsid w:val="27D0E9EE"/>
    <w:rsid w:val="28233DA6"/>
    <w:rsid w:val="2C0E0C63"/>
    <w:rsid w:val="2C66DD4C"/>
    <w:rsid w:val="2D5D6560"/>
    <w:rsid w:val="2EA03055"/>
    <w:rsid w:val="30B8EF47"/>
    <w:rsid w:val="33BD7E5F"/>
    <w:rsid w:val="3631C4BD"/>
    <w:rsid w:val="36494C80"/>
    <w:rsid w:val="36C49427"/>
    <w:rsid w:val="37514C82"/>
    <w:rsid w:val="37726DF8"/>
    <w:rsid w:val="379C47CD"/>
    <w:rsid w:val="37D2D6BB"/>
    <w:rsid w:val="37E69725"/>
    <w:rsid w:val="382519FE"/>
    <w:rsid w:val="3854EB8E"/>
    <w:rsid w:val="39093148"/>
    <w:rsid w:val="3950528F"/>
    <w:rsid w:val="39831A67"/>
    <w:rsid w:val="3B9006BC"/>
    <w:rsid w:val="3D691802"/>
    <w:rsid w:val="3FE48DB0"/>
    <w:rsid w:val="400D8877"/>
    <w:rsid w:val="402AB7AB"/>
    <w:rsid w:val="4212631C"/>
    <w:rsid w:val="4222DF61"/>
    <w:rsid w:val="45F97A0C"/>
    <w:rsid w:val="460A1145"/>
    <w:rsid w:val="48364259"/>
    <w:rsid w:val="48F67BE6"/>
    <w:rsid w:val="4923BAC7"/>
    <w:rsid w:val="4976BBF1"/>
    <w:rsid w:val="49C72CCE"/>
    <w:rsid w:val="4A7FDFD3"/>
    <w:rsid w:val="4B18863B"/>
    <w:rsid w:val="4BD0379E"/>
    <w:rsid w:val="4C4A2586"/>
    <w:rsid w:val="4C7979F1"/>
    <w:rsid w:val="4E2FC94A"/>
    <w:rsid w:val="4FAA679F"/>
    <w:rsid w:val="502ED650"/>
    <w:rsid w:val="50CF0451"/>
    <w:rsid w:val="52238DDF"/>
    <w:rsid w:val="527BC614"/>
    <w:rsid w:val="54714B83"/>
    <w:rsid w:val="56073762"/>
    <w:rsid w:val="56C00BF7"/>
    <w:rsid w:val="58F107EC"/>
    <w:rsid w:val="5900A244"/>
    <w:rsid w:val="5905FF75"/>
    <w:rsid w:val="5A040E1F"/>
    <w:rsid w:val="5AAC57D3"/>
    <w:rsid w:val="5AC2F802"/>
    <w:rsid w:val="5CC33E5B"/>
    <w:rsid w:val="5CC445E5"/>
    <w:rsid w:val="5E067394"/>
    <w:rsid w:val="5E233848"/>
    <w:rsid w:val="5E79EF36"/>
    <w:rsid w:val="5F792AA0"/>
    <w:rsid w:val="5F95F743"/>
    <w:rsid w:val="615D48FB"/>
    <w:rsid w:val="62720BBD"/>
    <w:rsid w:val="62C6C41E"/>
    <w:rsid w:val="6310F6D6"/>
    <w:rsid w:val="691693C4"/>
    <w:rsid w:val="6B93FAD1"/>
    <w:rsid w:val="6BB6DD95"/>
    <w:rsid w:val="6CA0208D"/>
    <w:rsid w:val="6CC92C69"/>
    <w:rsid w:val="6CFC69FF"/>
    <w:rsid w:val="6D9EE920"/>
    <w:rsid w:val="725C1174"/>
    <w:rsid w:val="72E78280"/>
    <w:rsid w:val="7327F81F"/>
    <w:rsid w:val="759FEEA6"/>
    <w:rsid w:val="76236B20"/>
    <w:rsid w:val="7651B3BD"/>
    <w:rsid w:val="78943B6B"/>
    <w:rsid w:val="78BC93CA"/>
    <w:rsid w:val="79427C8F"/>
    <w:rsid w:val="79822936"/>
    <w:rsid w:val="7C88AAE4"/>
    <w:rsid w:val="7D43AB3D"/>
    <w:rsid w:val="7D5B2088"/>
    <w:rsid w:val="7E61E561"/>
    <w:rsid w:val="7FC3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D952BF"/>
    <w:pPr>
      <w:suppressAutoHyphens/>
      <w:spacing w:after="0" w:line="24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570309793">
      <w:bodyDiv w:val="1"/>
      <w:marLeft w:val="0"/>
      <w:marRight w:val="0"/>
      <w:marTop w:val="0"/>
      <w:marBottom w:val="0"/>
      <w:divBdr>
        <w:top w:val="none" w:sz="0" w:space="0" w:color="auto"/>
        <w:left w:val="none" w:sz="0" w:space="0" w:color="auto"/>
        <w:bottom w:val="none" w:sz="0" w:space="0" w:color="auto"/>
        <w:right w:val="none" w:sz="0" w:space="0" w:color="auto"/>
      </w:divBdr>
    </w:div>
    <w:div w:id="643969516">
      <w:bodyDiv w:val="1"/>
      <w:marLeft w:val="0"/>
      <w:marRight w:val="0"/>
      <w:marTop w:val="0"/>
      <w:marBottom w:val="0"/>
      <w:divBdr>
        <w:top w:val="none" w:sz="0" w:space="0" w:color="auto"/>
        <w:left w:val="none" w:sz="0" w:space="0" w:color="auto"/>
        <w:bottom w:val="none" w:sz="0" w:space="0" w:color="auto"/>
        <w:right w:val="none" w:sz="0" w:space="0" w:color="auto"/>
      </w:divBdr>
    </w:div>
    <w:div w:id="734163885">
      <w:bodyDiv w:val="1"/>
      <w:marLeft w:val="0"/>
      <w:marRight w:val="0"/>
      <w:marTop w:val="0"/>
      <w:marBottom w:val="0"/>
      <w:divBdr>
        <w:top w:val="none" w:sz="0" w:space="0" w:color="auto"/>
        <w:left w:val="none" w:sz="0" w:space="0" w:color="auto"/>
        <w:bottom w:val="none" w:sz="0" w:space="0" w:color="auto"/>
        <w:right w:val="none" w:sz="0" w:space="0" w:color="auto"/>
      </w:divBdr>
    </w:div>
    <w:div w:id="863205026">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315337980">
      <w:bodyDiv w:val="1"/>
      <w:marLeft w:val="0"/>
      <w:marRight w:val="0"/>
      <w:marTop w:val="0"/>
      <w:marBottom w:val="0"/>
      <w:divBdr>
        <w:top w:val="none" w:sz="0" w:space="0" w:color="auto"/>
        <w:left w:val="none" w:sz="0" w:space="0" w:color="auto"/>
        <w:bottom w:val="none" w:sz="0" w:space="0" w:color="auto"/>
        <w:right w:val="none" w:sz="0" w:space="0" w:color="auto"/>
      </w:divBdr>
    </w:div>
    <w:div w:id="1462764249">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04879848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 w:id="21458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1691</Words>
  <Characters>8781</Characters>
  <Application>Microsoft Office Word</Application>
  <DocSecurity>0</DocSecurity>
  <Lines>381</Lines>
  <Paragraphs>218</Paragraphs>
  <ScaleCrop>false</ScaleCrop>
  <Company>Commonwealth of Massachusetts</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2024-09-20T12:13:00Z</dcterms:modified>
</cp:coreProperties>
</file>