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EA5152" w:rsidRDefault="00D223EB" w:rsidP="00D223EB">
      <w:pPr>
        <w:jc w:val="center"/>
        <w:rPr>
          <w:rFonts w:cstheme="minorHAnsi"/>
          <w:b/>
          <w:bCs/>
          <w:sz w:val="24"/>
          <w:szCs w:val="24"/>
        </w:rPr>
      </w:pPr>
      <w:r w:rsidRPr="00EA5152">
        <w:rPr>
          <w:rFonts w:cstheme="minorHAnsi"/>
          <w:b/>
          <w:bCs/>
          <w:sz w:val="24"/>
          <w:szCs w:val="24"/>
        </w:rPr>
        <w:t>APPLICANT QUESTIONS</w:t>
      </w:r>
    </w:p>
    <w:p w14:paraId="71F6355D" w14:textId="77777777" w:rsidR="00D223EB" w:rsidRPr="00EA5152" w:rsidRDefault="00D223EB" w:rsidP="00D223EB">
      <w:pPr>
        <w:jc w:val="center"/>
        <w:rPr>
          <w:rFonts w:cstheme="minorHAnsi"/>
          <w:sz w:val="24"/>
          <w:szCs w:val="24"/>
        </w:rPr>
      </w:pPr>
      <w:r w:rsidRPr="00EA5152">
        <w:rPr>
          <w:rFonts w:cstheme="minorHAnsi"/>
          <w:i/>
          <w:iCs/>
          <w:sz w:val="24"/>
          <w:szCs w:val="24"/>
        </w:rPr>
        <w:t xml:space="preserve">Responses should be sent to DoN staff at </w:t>
      </w:r>
      <w:hyperlink r:id="rId8" w:history="1">
        <w:r w:rsidRPr="00EA5152">
          <w:rPr>
            <w:rStyle w:val="Hyperlink"/>
            <w:rFonts w:cstheme="minorHAnsi"/>
            <w:sz w:val="24"/>
            <w:szCs w:val="24"/>
          </w:rPr>
          <w:t>DPH.DON@State.MA.US</w:t>
        </w:r>
      </w:hyperlink>
    </w:p>
    <w:tbl>
      <w:tblPr>
        <w:tblStyle w:val="TableGrid"/>
        <w:tblW w:w="0" w:type="auto"/>
        <w:jc w:val="center"/>
        <w:tblLook w:val="04A0" w:firstRow="1" w:lastRow="0" w:firstColumn="1" w:lastColumn="0" w:noHBand="0" w:noVBand="1"/>
      </w:tblPr>
      <w:tblGrid>
        <w:gridCol w:w="9350"/>
      </w:tblGrid>
      <w:tr w:rsidR="00D223EB" w:rsidRPr="00EA5152" w14:paraId="57106F2B" w14:textId="77777777" w:rsidTr="008B5D5E">
        <w:trPr>
          <w:jc w:val="center"/>
        </w:trPr>
        <w:tc>
          <w:tcPr>
            <w:tcW w:w="9350" w:type="dxa"/>
          </w:tcPr>
          <w:p w14:paraId="0D6A2228" w14:textId="77777777" w:rsidR="00D223EB" w:rsidRPr="00EA5152" w:rsidRDefault="00D223EB" w:rsidP="008B5D5E">
            <w:pPr>
              <w:rPr>
                <w:rFonts w:cstheme="minorHAnsi"/>
                <w:bCs/>
                <w:sz w:val="24"/>
                <w:szCs w:val="24"/>
              </w:rPr>
            </w:pPr>
            <w:r w:rsidRPr="00EA5152">
              <w:rPr>
                <w:rFonts w:cstheme="minorHAnsi"/>
                <w:bCs/>
                <w:sz w:val="24"/>
                <w:szCs w:val="24"/>
              </w:rPr>
              <w:t xml:space="preserve">While you may submit each answer as available, please </w:t>
            </w:r>
          </w:p>
          <w:p w14:paraId="3BAD0544" w14:textId="77777777" w:rsidR="00D223EB" w:rsidRPr="00EA5152" w:rsidRDefault="00D223EB" w:rsidP="00D223EB">
            <w:pPr>
              <w:pStyle w:val="ListParagraph"/>
              <w:numPr>
                <w:ilvl w:val="0"/>
                <w:numId w:val="4"/>
              </w:numPr>
              <w:rPr>
                <w:rFonts w:cstheme="minorHAnsi"/>
                <w:bCs/>
                <w:sz w:val="24"/>
                <w:szCs w:val="24"/>
              </w:rPr>
            </w:pPr>
            <w:r w:rsidRPr="00EA5152">
              <w:rPr>
                <w:rFonts w:cstheme="minorHAnsi"/>
                <w:bCs/>
                <w:sz w:val="24"/>
                <w:szCs w:val="24"/>
              </w:rPr>
              <w:t xml:space="preserve">List question number and question for each answer you provide </w:t>
            </w:r>
          </w:p>
          <w:p w14:paraId="77AFC609" w14:textId="1F813011" w:rsidR="00D223EB" w:rsidRPr="00EA5152" w:rsidRDefault="00D223EB" w:rsidP="00D223EB">
            <w:pPr>
              <w:pStyle w:val="ListParagraph"/>
              <w:numPr>
                <w:ilvl w:val="0"/>
                <w:numId w:val="4"/>
              </w:numPr>
              <w:rPr>
                <w:rFonts w:cstheme="minorHAnsi"/>
                <w:bCs/>
                <w:sz w:val="24"/>
                <w:szCs w:val="24"/>
              </w:rPr>
            </w:pPr>
            <w:r w:rsidRPr="00EA5152">
              <w:rPr>
                <w:rFonts w:cstheme="minorHAnsi"/>
                <w:bCs/>
                <w:sz w:val="24"/>
                <w:szCs w:val="24"/>
              </w:rPr>
              <w:t xml:space="preserve">Submit responses as a separate word document, using the above application title and number as a running header and page numbers in the footer </w:t>
            </w:r>
          </w:p>
          <w:p w14:paraId="2D4D3A49" w14:textId="7AF2D827" w:rsidR="00D223EB" w:rsidRPr="00EA5152" w:rsidRDefault="001E0B94" w:rsidP="00A1062E">
            <w:pPr>
              <w:pStyle w:val="ListParagraph"/>
              <w:numPr>
                <w:ilvl w:val="0"/>
                <w:numId w:val="4"/>
              </w:numPr>
              <w:rPr>
                <w:rFonts w:cstheme="minorHAnsi"/>
                <w:bCs/>
                <w:sz w:val="24"/>
                <w:szCs w:val="24"/>
              </w:rPr>
            </w:pPr>
            <w:r w:rsidRPr="00EA5152">
              <w:rPr>
                <w:rFonts w:cstheme="minorHAnsi"/>
                <w:bCs/>
                <w:sz w:val="24"/>
                <w:szCs w:val="24"/>
              </w:rPr>
              <w:t>We accept answers on a rolling basis however, w</w:t>
            </w:r>
            <w:r w:rsidR="00D223EB" w:rsidRPr="00EA5152">
              <w:rPr>
                <w:rFonts w:cstheme="minorHAnsi"/>
                <w:bCs/>
                <w:sz w:val="24"/>
                <w:szCs w:val="24"/>
              </w:rPr>
              <w:t>hen providing the answer to the final question, submit all questions and answers in</w:t>
            </w:r>
            <w:r w:rsidRPr="00EA5152">
              <w:rPr>
                <w:rFonts w:cstheme="minorHAnsi"/>
                <w:bCs/>
                <w:sz w:val="24"/>
                <w:szCs w:val="24"/>
              </w:rPr>
              <w:t xml:space="preserve"> order in</w:t>
            </w:r>
            <w:r w:rsidR="00D223EB" w:rsidRPr="00EA5152">
              <w:rPr>
                <w:rFonts w:cstheme="minorHAnsi"/>
                <w:bCs/>
                <w:sz w:val="24"/>
                <w:szCs w:val="24"/>
              </w:rPr>
              <w:t xml:space="preserve"> one final document</w:t>
            </w:r>
            <w:r w:rsidRPr="00EA5152">
              <w:rPr>
                <w:rFonts w:cstheme="minorHAnsi"/>
                <w:bCs/>
                <w:sz w:val="24"/>
                <w:szCs w:val="24"/>
              </w:rPr>
              <w:t>.</w:t>
            </w:r>
          </w:p>
          <w:p w14:paraId="552712FE" w14:textId="4F1653D5" w:rsidR="00D223EB" w:rsidRPr="00EA5152" w:rsidRDefault="00D223EB" w:rsidP="001E0B94">
            <w:pPr>
              <w:pStyle w:val="ListParagraph"/>
              <w:numPr>
                <w:ilvl w:val="0"/>
                <w:numId w:val="4"/>
              </w:numPr>
              <w:rPr>
                <w:rFonts w:cstheme="minorHAnsi"/>
                <w:b/>
                <w:sz w:val="24"/>
                <w:szCs w:val="24"/>
              </w:rPr>
            </w:pPr>
            <w:r w:rsidRPr="00EA5152">
              <w:rPr>
                <w:rFonts w:cstheme="minorHAnsi"/>
                <w:bCs/>
                <w:sz w:val="24"/>
                <w:szCs w:val="24"/>
              </w:rPr>
              <w:t xml:space="preserve">Submit responses in WORD or EXCEL; only use PDF’s if absolutely necessary. </w:t>
            </w:r>
            <w:r w:rsidR="00B15011" w:rsidRPr="00EA5152">
              <w:rPr>
                <w:rFonts w:cstheme="minorHAnsi"/>
                <w:bCs/>
                <w:sz w:val="24"/>
                <w:szCs w:val="24"/>
              </w:rPr>
              <w:t>I</w:t>
            </w:r>
            <w:r w:rsidRPr="00EA5152">
              <w:rPr>
                <w:rFonts w:cstheme="minorHAnsi"/>
                <w:b/>
                <w:sz w:val="24"/>
                <w:szCs w:val="24"/>
              </w:rPr>
              <w:t>nclude a</w:t>
            </w:r>
            <w:r w:rsidR="001E0B94" w:rsidRPr="00EA5152">
              <w:rPr>
                <w:rFonts w:cstheme="minorHAnsi"/>
                <w:b/>
                <w:sz w:val="24"/>
                <w:szCs w:val="24"/>
              </w:rPr>
              <w:t xml:space="preserve"> </w:t>
            </w:r>
            <w:r w:rsidRPr="00EA5152">
              <w:rPr>
                <w:rFonts w:cstheme="minorHAnsi"/>
                <w:b/>
                <w:sz w:val="24"/>
                <w:szCs w:val="24"/>
              </w:rPr>
              <w:t>table</w:t>
            </w:r>
            <w:r w:rsidR="001E0B94" w:rsidRPr="00EA5152">
              <w:rPr>
                <w:rFonts w:cstheme="minorHAnsi"/>
                <w:b/>
                <w:sz w:val="24"/>
                <w:szCs w:val="24"/>
              </w:rPr>
              <w:t xml:space="preserve"> in</w:t>
            </w:r>
            <w:r w:rsidRPr="00EA5152">
              <w:rPr>
                <w:rFonts w:cstheme="minorHAnsi"/>
                <w:b/>
                <w:sz w:val="24"/>
                <w:szCs w:val="24"/>
              </w:rPr>
              <w:t xml:space="preserve"> </w:t>
            </w:r>
            <w:r w:rsidR="001E0B94" w:rsidRPr="00EA5152">
              <w:rPr>
                <w:rFonts w:cstheme="minorHAnsi"/>
                <w:b/>
                <w:sz w:val="24"/>
                <w:szCs w:val="24"/>
              </w:rPr>
              <w:t xml:space="preserve">data format (NOT pdf or picture) </w:t>
            </w:r>
            <w:r w:rsidRPr="00EA5152">
              <w:rPr>
                <w:rFonts w:cstheme="minorHAnsi"/>
                <w:b/>
                <w:sz w:val="24"/>
                <w:szCs w:val="24"/>
              </w:rPr>
              <w:t>with the response</w:t>
            </w:r>
            <w:r w:rsidR="001E0B94" w:rsidRPr="00EA5152">
              <w:rPr>
                <w:rFonts w:cstheme="minorHAnsi"/>
                <w:b/>
                <w:sz w:val="24"/>
                <w:szCs w:val="24"/>
              </w:rPr>
              <w:t>.</w:t>
            </w:r>
          </w:p>
        </w:tc>
      </w:tr>
    </w:tbl>
    <w:p w14:paraId="06FD6EC9" w14:textId="77777777" w:rsidR="009B74DA" w:rsidRPr="00EA5152" w:rsidRDefault="009B74DA" w:rsidP="009B74DA">
      <w:pPr>
        <w:pStyle w:val="ListParagraph"/>
        <w:rPr>
          <w:rFonts w:cstheme="minorHAnsi"/>
          <w:b/>
          <w:sz w:val="24"/>
          <w:szCs w:val="24"/>
        </w:rPr>
      </w:pPr>
    </w:p>
    <w:p w14:paraId="37C5F2C5" w14:textId="6AF59FB2" w:rsidR="00FA191E" w:rsidRPr="00EA5152" w:rsidRDefault="00FA191E" w:rsidP="00D84970">
      <w:pPr>
        <w:pStyle w:val="ListParagraph"/>
        <w:numPr>
          <w:ilvl w:val="0"/>
          <w:numId w:val="32"/>
        </w:numPr>
        <w:spacing w:before="240" w:line="229" w:lineRule="exact"/>
        <w:rPr>
          <w:rFonts w:cstheme="minorHAnsi"/>
          <w:b/>
          <w:sz w:val="24"/>
          <w:szCs w:val="24"/>
        </w:rPr>
      </w:pPr>
      <w:bookmarkStart w:id="0" w:name="_Hlk145375436"/>
      <w:r w:rsidRPr="00EA5152">
        <w:rPr>
          <w:rFonts w:cstheme="minorHAnsi"/>
          <w:b/>
          <w:sz w:val="24"/>
          <w:szCs w:val="24"/>
        </w:rPr>
        <w:t xml:space="preserve">On Page </w:t>
      </w:r>
      <w:r w:rsidR="004609E6" w:rsidRPr="00EA5152">
        <w:rPr>
          <w:rFonts w:cstheme="minorHAnsi"/>
          <w:b/>
          <w:sz w:val="24"/>
          <w:szCs w:val="24"/>
        </w:rPr>
        <w:t>2, section 2.1</w:t>
      </w:r>
      <w:r w:rsidRPr="00EA5152">
        <w:rPr>
          <w:rFonts w:cstheme="minorHAnsi"/>
          <w:b/>
          <w:sz w:val="24"/>
          <w:szCs w:val="24"/>
        </w:rPr>
        <w:t xml:space="preserve"> you state that all three existing units are operating at greater than 90% capacity. Please provide the formula used for determining that given that some units operate round the clock and others do not.</w:t>
      </w:r>
    </w:p>
    <w:bookmarkEnd w:id="0"/>
    <w:p w14:paraId="08E72D6E" w14:textId="5AEB85A4" w:rsidR="00843482" w:rsidRDefault="006E31A5" w:rsidP="00E759EB">
      <w:pPr>
        <w:spacing w:before="240" w:line="229" w:lineRule="exact"/>
        <w:ind w:left="720"/>
        <w:rPr>
          <w:rFonts w:cstheme="minorHAnsi"/>
          <w:bCs/>
          <w:sz w:val="24"/>
          <w:szCs w:val="24"/>
        </w:rPr>
      </w:pPr>
      <w:r>
        <w:rPr>
          <w:rFonts w:cstheme="minorHAnsi"/>
          <w:bCs/>
          <w:sz w:val="24"/>
          <w:szCs w:val="24"/>
        </w:rPr>
        <w:t>Boston Medical Center (“BMC”)</w:t>
      </w:r>
      <w:r w:rsidR="00A0516F">
        <w:rPr>
          <w:rFonts w:cstheme="minorHAnsi"/>
          <w:bCs/>
          <w:sz w:val="24"/>
          <w:szCs w:val="24"/>
        </w:rPr>
        <w:t xml:space="preserve"> ca</w:t>
      </w:r>
      <w:r w:rsidR="001E3B6B">
        <w:rPr>
          <w:rFonts w:cstheme="minorHAnsi"/>
          <w:bCs/>
          <w:sz w:val="24"/>
          <w:szCs w:val="24"/>
        </w:rPr>
        <w:t xml:space="preserve">lculates MRI capacity </w:t>
      </w:r>
      <w:r w:rsidR="007A65EC">
        <w:rPr>
          <w:rFonts w:cstheme="minorHAnsi"/>
          <w:bCs/>
          <w:sz w:val="24"/>
          <w:szCs w:val="24"/>
        </w:rPr>
        <w:t xml:space="preserve">annually. The first step in this analysis is </w:t>
      </w:r>
      <w:r w:rsidR="00A80FDF">
        <w:rPr>
          <w:rFonts w:cstheme="minorHAnsi"/>
          <w:bCs/>
          <w:sz w:val="24"/>
          <w:szCs w:val="24"/>
        </w:rPr>
        <w:t xml:space="preserve">evaluating </w:t>
      </w:r>
      <w:r w:rsidR="007A65EC">
        <w:rPr>
          <w:rFonts w:cstheme="minorHAnsi"/>
          <w:bCs/>
          <w:sz w:val="24"/>
          <w:szCs w:val="24"/>
        </w:rPr>
        <w:t>outpatient capacity</w:t>
      </w:r>
      <w:r w:rsidR="00096A44">
        <w:rPr>
          <w:rFonts w:cstheme="minorHAnsi"/>
          <w:bCs/>
          <w:sz w:val="24"/>
          <w:szCs w:val="24"/>
        </w:rPr>
        <w:t xml:space="preserve"> </w:t>
      </w:r>
      <w:r w:rsidR="00A80FDF">
        <w:rPr>
          <w:rFonts w:cstheme="minorHAnsi"/>
          <w:bCs/>
          <w:sz w:val="24"/>
          <w:szCs w:val="24"/>
        </w:rPr>
        <w:t xml:space="preserve">for MRI scans </w:t>
      </w:r>
      <w:r w:rsidR="00096A44">
        <w:rPr>
          <w:rFonts w:cstheme="minorHAnsi"/>
          <w:bCs/>
          <w:sz w:val="24"/>
          <w:szCs w:val="24"/>
        </w:rPr>
        <w:t>–</w:t>
      </w:r>
      <w:r w:rsidR="006400B6" w:rsidRPr="003E24AF">
        <w:rPr>
          <w:rFonts w:cstheme="minorHAnsi"/>
          <w:bCs/>
          <w:sz w:val="24"/>
          <w:szCs w:val="24"/>
        </w:rPr>
        <w:t xml:space="preserve"> BM</w:t>
      </w:r>
      <w:r w:rsidR="00DB67B2">
        <w:rPr>
          <w:rFonts w:cstheme="minorHAnsi"/>
          <w:bCs/>
          <w:sz w:val="24"/>
          <w:szCs w:val="24"/>
        </w:rPr>
        <w:t xml:space="preserve">C </w:t>
      </w:r>
      <w:r w:rsidR="009D6E62" w:rsidRPr="003E24AF">
        <w:rPr>
          <w:rFonts w:cstheme="minorHAnsi"/>
          <w:bCs/>
          <w:sz w:val="24"/>
          <w:szCs w:val="24"/>
        </w:rPr>
        <w:t>review</w:t>
      </w:r>
      <w:r w:rsidR="007C5324">
        <w:rPr>
          <w:rFonts w:cstheme="minorHAnsi"/>
          <w:bCs/>
          <w:sz w:val="24"/>
          <w:szCs w:val="24"/>
        </w:rPr>
        <w:t>s</w:t>
      </w:r>
      <w:r w:rsidR="009D6E62" w:rsidRPr="003E24AF">
        <w:rPr>
          <w:rFonts w:cstheme="minorHAnsi"/>
          <w:bCs/>
          <w:sz w:val="24"/>
          <w:szCs w:val="24"/>
        </w:rPr>
        <w:t xml:space="preserve"> </w:t>
      </w:r>
      <w:r w:rsidR="00C17D71" w:rsidRPr="003E24AF">
        <w:rPr>
          <w:rFonts w:cstheme="minorHAnsi"/>
          <w:bCs/>
          <w:sz w:val="24"/>
          <w:szCs w:val="24"/>
        </w:rPr>
        <w:t xml:space="preserve">the </w:t>
      </w:r>
      <w:r w:rsidR="009D6E62" w:rsidRPr="003E24AF">
        <w:rPr>
          <w:rFonts w:cstheme="minorHAnsi"/>
          <w:bCs/>
          <w:sz w:val="24"/>
          <w:szCs w:val="24"/>
        </w:rPr>
        <w:t xml:space="preserve">total </w:t>
      </w:r>
      <w:r w:rsidR="00EC79DB" w:rsidRPr="003E24AF">
        <w:rPr>
          <w:rFonts w:cstheme="minorHAnsi"/>
          <w:bCs/>
          <w:sz w:val="24"/>
          <w:szCs w:val="24"/>
        </w:rPr>
        <w:t xml:space="preserve">outpatient </w:t>
      </w:r>
      <w:r w:rsidR="009D6E62" w:rsidRPr="003E24AF">
        <w:rPr>
          <w:rFonts w:cstheme="minorHAnsi"/>
          <w:bCs/>
          <w:sz w:val="24"/>
          <w:szCs w:val="24"/>
        </w:rPr>
        <w:t>capacity</w:t>
      </w:r>
      <w:r w:rsidR="00C17D71" w:rsidRPr="003E24AF">
        <w:rPr>
          <w:rFonts w:cstheme="minorHAnsi"/>
          <w:bCs/>
          <w:sz w:val="24"/>
          <w:szCs w:val="24"/>
        </w:rPr>
        <w:t xml:space="preserve"> for each</w:t>
      </w:r>
      <w:r w:rsidR="00DD6877" w:rsidRPr="003E24AF">
        <w:rPr>
          <w:rFonts w:cstheme="minorHAnsi"/>
          <w:bCs/>
          <w:sz w:val="24"/>
          <w:szCs w:val="24"/>
        </w:rPr>
        <w:t xml:space="preserve"> MRI</w:t>
      </w:r>
      <w:r w:rsidR="00CD2797">
        <w:rPr>
          <w:rFonts w:cstheme="minorHAnsi"/>
          <w:bCs/>
          <w:sz w:val="24"/>
          <w:szCs w:val="24"/>
        </w:rPr>
        <w:t xml:space="preserve"> unit</w:t>
      </w:r>
      <w:r w:rsidR="009D6E62" w:rsidRPr="003E24AF">
        <w:rPr>
          <w:rFonts w:cstheme="minorHAnsi"/>
          <w:bCs/>
          <w:sz w:val="24"/>
          <w:szCs w:val="24"/>
        </w:rPr>
        <w:t xml:space="preserve">. </w:t>
      </w:r>
      <w:r w:rsidR="001C0CB4" w:rsidRPr="003E24AF">
        <w:rPr>
          <w:rFonts w:cstheme="minorHAnsi"/>
          <w:bCs/>
          <w:sz w:val="24"/>
          <w:szCs w:val="24"/>
        </w:rPr>
        <w:t>Each</w:t>
      </w:r>
      <w:r w:rsidR="00DD6877" w:rsidRPr="003E24AF">
        <w:rPr>
          <w:rFonts w:cstheme="minorHAnsi"/>
          <w:bCs/>
          <w:sz w:val="24"/>
          <w:szCs w:val="24"/>
        </w:rPr>
        <w:t xml:space="preserve"> </w:t>
      </w:r>
      <w:r w:rsidR="00CE62C4" w:rsidRPr="003E24AF">
        <w:rPr>
          <w:rFonts w:cstheme="minorHAnsi"/>
          <w:bCs/>
          <w:sz w:val="24"/>
          <w:szCs w:val="24"/>
        </w:rPr>
        <w:t>unit</w:t>
      </w:r>
      <w:r w:rsidR="00DD6877" w:rsidRPr="003E24AF">
        <w:rPr>
          <w:rFonts w:cstheme="minorHAnsi"/>
          <w:bCs/>
          <w:sz w:val="24"/>
          <w:szCs w:val="24"/>
        </w:rPr>
        <w:t xml:space="preserve"> </w:t>
      </w:r>
      <w:r w:rsidR="001C0CB4" w:rsidRPr="003E24AF">
        <w:rPr>
          <w:rFonts w:cstheme="minorHAnsi"/>
          <w:bCs/>
          <w:sz w:val="24"/>
          <w:szCs w:val="24"/>
        </w:rPr>
        <w:t xml:space="preserve">operates 13.1 hours per day </w:t>
      </w:r>
      <w:r w:rsidR="00BC0101" w:rsidRPr="003E24AF">
        <w:rPr>
          <w:rFonts w:cstheme="minorHAnsi"/>
          <w:bCs/>
          <w:sz w:val="24"/>
          <w:szCs w:val="24"/>
        </w:rPr>
        <w:t xml:space="preserve">for outpatient scans </w:t>
      </w:r>
      <w:r w:rsidR="001C0CB4" w:rsidRPr="003E24AF">
        <w:rPr>
          <w:rFonts w:cstheme="minorHAnsi"/>
          <w:bCs/>
          <w:sz w:val="24"/>
          <w:szCs w:val="24"/>
        </w:rPr>
        <w:t>and conducts approximately 1.5 scans per hour</w:t>
      </w:r>
      <w:r w:rsidR="00A8718C" w:rsidRPr="003E24AF">
        <w:rPr>
          <w:rFonts w:cstheme="minorHAnsi"/>
          <w:bCs/>
          <w:sz w:val="24"/>
          <w:szCs w:val="24"/>
        </w:rPr>
        <w:t xml:space="preserve">. Over the course of a year, the MRI </w:t>
      </w:r>
      <w:r w:rsidR="00CE62C4" w:rsidRPr="003E24AF">
        <w:rPr>
          <w:rFonts w:cstheme="minorHAnsi"/>
          <w:bCs/>
          <w:sz w:val="24"/>
          <w:szCs w:val="24"/>
        </w:rPr>
        <w:t xml:space="preserve">units </w:t>
      </w:r>
      <w:r w:rsidR="00D57EFE">
        <w:rPr>
          <w:rFonts w:cstheme="minorHAnsi"/>
          <w:bCs/>
          <w:sz w:val="24"/>
          <w:szCs w:val="24"/>
        </w:rPr>
        <w:t>operate</w:t>
      </w:r>
      <w:r w:rsidR="00A8718C" w:rsidRPr="003E24AF">
        <w:rPr>
          <w:rFonts w:cstheme="minorHAnsi"/>
          <w:bCs/>
          <w:sz w:val="24"/>
          <w:szCs w:val="24"/>
        </w:rPr>
        <w:t xml:space="preserve"> 357 days (holidays are excluded)</w:t>
      </w:r>
      <w:r w:rsidR="00D57EFE">
        <w:rPr>
          <w:rFonts w:cstheme="minorHAnsi"/>
          <w:bCs/>
          <w:sz w:val="24"/>
          <w:szCs w:val="24"/>
        </w:rPr>
        <w:t xml:space="preserve"> for outpatient scans</w:t>
      </w:r>
      <w:r w:rsidR="00A8718C" w:rsidRPr="003E24AF">
        <w:rPr>
          <w:rFonts w:cstheme="minorHAnsi"/>
          <w:bCs/>
          <w:sz w:val="24"/>
          <w:szCs w:val="24"/>
        </w:rPr>
        <w:t xml:space="preserve">. </w:t>
      </w:r>
      <w:r w:rsidR="00D841F7" w:rsidRPr="003E24AF">
        <w:rPr>
          <w:rFonts w:cstheme="minorHAnsi"/>
          <w:bCs/>
          <w:sz w:val="24"/>
          <w:szCs w:val="24"/>
        </w:rPr>
        <w:t xml:space="preserve">Consequently, each MRI </w:t>
      </w:r>
      <w:r w:rsidR="009633F4" w:rsidRPr="003E24AF">
        <w:rPr>
          <w:rFonts w:cstheme="minorHAnsi"/>
          <w:bCs/>
          <w:sz w:val="24"/>
          <w:szCs w:val="24"/>
        </w:rPr>
        <w:t xml:space="preserve">has the capacity to conduct 7,015 </w:t>
      </w:r>
      <w:r w:rsidR="00BC0101" w:rsidRPr="003E24AF">
        <w:rPr>
          <w:rFonts w:cstheme="minorHAnsi"/>
          <w:bCs/>
          <w:sz w:val="24"/>
          <w:szCs w:val="24"/>
        </w:rPr>
        <w:t xml:space="preserve">outpatients </w:t>
      </w:r>
      <w:r w:rsidR="009633F4" w:rsidRPr="003E24AF">
        <w:rPr>
          <w:rFonts w:cstheme="minorHAnsi"/>
          <w:bCs/>
          <w:sz w:val="24"/>
          <w:szCs w:val="24"/>
        </w:rPr>
        <w:t xml:space="preserve">scans per year. If you </w:t>
      </w:r>
      <w:r w:rsidR="00953A5B" w:rsidRPr="003E24AF">
        <w:rPr>
          <w:rFonts w:cstheme="minorHAnsi"/>
          <w:bCs/>
          <w:sz w:val="24"/>
          <w:szCs w:val="24"/>
        </w:rPr>
        <w:t>multiply</w:t>
      </w:r>
      <w:r w:rsidR="009633F4" w:rsidRPr="003E24AF">
        <w:rPr>
          <w:rFonts w:cstheme="minorHAnsi"/>
          <w:bCs/>
          <w:sz w:val="24"/>
          <w:szCs w:val="24"/>
        </w:rPr>
        <w:t xml:space="preserve"> </w:t>
      </w:r>
      <w:r w:rsidR="00D44C04" w:rsidRPr="003E24AF">
        <w:rPr>
          <w:rFonts w:cstheme="minorHAnsi"/>
          <w:bCs/>
          <w:sz w:val="24"/>
          <w:szCs w:val="24"/>
        </w:rPr>
        <w:t xml:space="preserve">the total number of scans by the 3 MRI </w:t>
      </w:r>
      <w:r w:rsidR="003E6679">
        <w:rPr>
          <w:rFonts w:cstheme="minorHAnsi"/>
          <w:bCs/>
          <w:sz w:val="24"/>
          <w:szCs w:val="24"/>
        </w:rPr>
        <w:t xml:space="preserve">units </w:t>
      </w:r>
      <w:r w:rsidR="00572D88" w:rsidRPr="003E24AF">
        <w:rPr>
          <w:rFonts w:cstheme="minorHAnsi"/>
          <w:bCs/>
          <w:sz w:val="24"/>
          <w:szCs w:val="24"/>
        </w:rPr>
        <w:t>–</w:t>
      </w:r>
      <w:r w:rsidR="00E960E3" w:rsidRPr="003E24AF">
        <w:rPr>
          <w:rFonts w:cstheme="minorHAnsi"/>
          <w:bCs/>
          <w:sz w:val="24"/>
          <w:szCs w:val="24"/>
        </w:rPr>
        <w:t xml:space="preserve"> 21,045 </w:t>
      </w:r>
      <w:r w:rsidR="00BC0101" w:rsidRPr="003E24AF">
        <w:rPr>
          <w:rFonts w:cstheme="minorHAnsi"/>
          <w:bCs/>
          <w:sz w:val="24"/>
          <w:szCs w:val="24"/>
        </w:rPr>
        <w:t xml:space="preserve">outpatient </w:t>
      </w:r>
      <w:r w:rsidR="00E960E3" w:rsidRPr="003E24AF">
        <w:rPr>
          <w:rFonts w:cstheme="minorHAnsi"/>
          <w:bCs/>
          <w:sz w:val="24"/>
          <w:szCs w:val="24"/>
        </w:rPr>
        <w:t xml:space="preserve">scans </w:t>
      </w:r>
      <w:r w:rsidR="004A29F6">
        <w:rPr>
          <w:rFonts w:cstheme="minorHAnsi"/>
          <w:bCs/>
          <w:sz w:val="24"/>
          <w:szCs w:val="24"/>
        </w:rPr>
        <w:t xml:space="preserve">are possible </w:t>
      </w:r>
      <w:r w:rsidR="00953A5B">
        <w:rPr>
          <w:rFonts w:cstheme="minorHAnsi"/>
          <w:bCs/>
          <w:sz w:val="24"/>
          <w:szCs w:val="24"/>
        </w:rPr>
        <w:t>annually</w:t>
      </w:r>
      <w:r w:rsidR="00E960E3" w:rsidRPr="003E24AF">
        <w:rPr>
          <w:rFonts w:cstheme="minorHAnsi"/>
          <w:bCs/>
          <w:sz w:val="24"/>
          <w:szCs w:val="24"/>
        </w:rPr>
        <w:t>.</w:t>
      </w:r>
      <w:r w:rsidR="00E960E3">
        <w:rPr>
          <w:rFonts w:cstheme="minorHAnsi"/>
          <w:bCs/>
          <w:sz w:val="24"/>
          <w:szCs w:val="24"/>
        </w:rPr>
        <w:t xml:space="preserve"> </w:t>
      </w:r>
      <w:r w:rsidR="001D3DC6">
        <w:rPr>
          <w:rFonts w:cstheme="minorHAnsi"/>
          <w:bCs/>
          <w:sz w:val="24"/>
          <w:szCs w:val="24"/>
        </w:rPr>
        <w:t xml:space="preserve">In FY22, BMC performed 18,418 outpatient </w:t>
      </w:r>
      <w:r w:rsidR="00AF1198">
        <w:rPr>
          <w:rFonts w:cstheme="minorHAnsi"/>
          <w:bCs/>
          <w:sz w:val="24"/>
          <w:szCs w:val="24"/>
        </w:rPr>
        <w:t xml:space="preserve">MRI scans, consequently outpatient scan </w:t>
      </w:r>
      <w:r w:rsidR="005C6C31">
        <w:rPr>
          <w:rFonts w:cstheme="minorHAnsi"/>
          <w:bCs/>
          <w:sz w:val="24"/>
          <w:szCs w:val="24"/>
        </w:rPr>
        <w:t xml:space="preserve">utilization </w:t>
      </w:r>
      <w:r w:rsidR="00AF1198">
        <w:rPr>
          <w:rFonts w:cstheme="minorHAnsi"/>
          <w:bCs/>
          <w:sz w:val="24"/>
          <w:szCs w:val="24"/>
        </w:rPr>
        <w:t xml:space="preserve">is </w:t>
      </w:r>
      <w:r w:rsidR="00843482">
        <w:rPr>
          <w:rFonts w:cstheme="minorHAnsi"/>
          <w:bCs/>
          <w:sz w:val="24"/>
          <w:szCs w:val="24"/>
        </w:rPr>
        <w:t>approximately 88</w:t>
      </w:r>
      <w:r w:rsidR="00AF1198">
        <w:rPr>
          <w:rFonts w:cstheme="minorHAnsi"/>
          <w:bCs/>
          <w:sz w:val="24"/>
          <w:szCs w:val="24"/>
        </w:rPr>
        <w:t xml:space="preserve">%. </w:t>
      </w:r>
    </w:p>
    <w:p w14:paraId="5FE6ACD9" w14:textId="1391D512" w:rsidR="00C31F8E" w:rsidRPr="00B7673F" w:rsidRDefault="00843482" w:rsidP="00B7673F">
      <w:pPr>
        <w:spacing w:before="240" w:line="229" w:lineRule="exact"/>
        <w:ind w:left="720"/>
        <w:rPr>
          <w:rFonts w:cstheme="minorHAnsi"/>
          <w:bCs/>
          <w:sz w:val="24"/>
          <w:szCs w:val="24"/>
        </w:rPr>
      </w:pPr>
      <w:r>
        <w:rPr>
          <w:rFonts w:cstheme="minorHAnsi"/>
          <w:bCs/>
          <w:sz w:val="24"/>
          <w:szCs w:val="24"/>
        </w:rPr>
        <w:t>Of BMC’s existing MRI units, two units also perform inpatient MRI scans – when a</w:t>
      </w:r>
      <w:r w:rsidR="00B16B62">
        <w:rPr>
          <w:rFonts w:cstheme="minorHAnsi"/>
          <w:bCs/>
          <w:sz w:val="24"/>
          <w:szCs w:val="24"/>
        </w:rPr>
        <w:t xml:space="preserve">malgamating inpatient and </w:t>
      </w:r>
      <w:r w:rsidR="00A2465A">
        <w:rPr>
          <w:rFonts w:cstheme="minorHAnsi"/>
          <w:bCs/>
          <w:sz w:val="24"/>
          <w:szCs w:val="24"/>
        </w:rPr>
        <w:t xml:space="preserve">outpatient </w:t>
      </w:r>
      <w:r w:rsidR="00B16B62">
        <w:rPr>
          <w:rFonts w:cstheme="minorHAnsi"/>
          <w:bCs/>
          <w:sz w:val="24"/>
          <w:szCs w:val="24"/>
        </w:rPr>
        <w:t xml:space="preserve">capacity </w:t>
      </w:r>
      <w:r w:rsidR="00A2465A">
        <w:rPr>
          <w:rFonts w:cstheme="minorHAnsi"/>
          <w:bCs/>
          <w:sz w:val="24"/>
          <w:szCs w:val="24"/>
        </w:rPr>
        <w:t>– the hospital</w:t>
      </w:r>
      <w:r w:rsidR="00511D42">
        <w:rPr>
          <w:rFonts w:cstheme="minorHAnsi"/>
          <w:bCs/>
          <w:sz w:val="24"/>
          <w:szCs w:val="24"/>
        </w:rPr>
        <w:t>’s</w:t>
      </w:r>
      <w:r w:rsidR="00A2465A">
        <w:rPr>
          <w:rFonts w:cstheme="minorHAnsi"/>
          <w:bCs/>
          <w:sz w:val="24"/>
          <w:szCs w:val="24"/>
        </w:rPr>
        <w:t xml:space="preserve"> MRI </w:t>
      </w:r>
      <w:r w:rsidR="00B7673F">
        <w:rPr>
          <w:rFonts w:cstheme="minorHAnsi"/>
          <w:bCs/>
          <w:sz w:val="24"/>
          <w:szCs w:val="24"/>
        </w:rPr>
        <w:t>units are operating at greater than 90% capacity.</w:t>
      </w:r>
    </w:p>
    <w:p w14:paraId="27E1D9CA" w14:textId="77777777" w:rsidR="00C31F8E" w:rsidRPr="00EA5152" w:rsidRDefault="00C31F8E" w:rsidP="00B15011">
      <w:pPr>
        <w:pStyle w:val="ListParagraph"/>
        <w:spacing w:before="240" w:line="229" w:lineRule="exact"/>
        <w:rPr>
          <w:rFonts w:cstheme="minorHAnsi"/>
          <w:b/>
          <w:sz w:val="24"/>
          <w:szCs w:val="24"/>
        </w:rPr>
      </w:pPr>
    </w:p>
    <w:p w14:paraId="7D2CE3B1" w14:textId="3CEDBA19" w:rsidR="00FA191E" w:rsidRPr="00EA5152" w:rsidRDefault="00FA191E" w:rsidP="00D84970">
      <w:pPr>
        <w:pStyle w:val="ListParagraph"/>
        <w:numPr>
          <w:ilvl w:val="0"/>
          <w:numId w:val="32"/>
        </w:numPr>
        <w:spacing w:before="240" w:line="229" w:lineRule="exact"/>
        <w:rPr>
          <w:rFonts w:cstheme="minorHAnsi"/>
          <w:b/>
          <w:sz w:val="24"/>
          <w:szCs w:val="24"/>
        </w:rPr>
      </w:pPr>
      <w:r w:rsidRPr="00EA5152">
        <w:rPr>
          <w:rFonts w:cstheme="minorHAnsi"/>
          <w:b/>
          <w:sz w:val="24"/>
          <w:szCs w:val="24"/>
        </w:rPr>
        <w:t>On Page</w:t>
      </w:r>
      <w:r w:rsidR="004609E6" w:rsidRPr="00EA5152">
        <w:rPr>
          <w:rFonts w:cstheme="minorHAnsi"/>
          <w:b/>
          <w:sz w:val="24"/>
          <w:szCs w:val="24"/>
        </w:rPr>
        <w:t xml:space="preserve"> 2, section 2.1 </w:t>
      </w:r>
      <w:r w:rsidRPr="00EA5152">
        <w:rPr>
          <w:rFonts w:cstheme="minorHAnsi"/>
          <w:b/>
          <w:sz w:val="24"/>
          <w:szCs w:val="24"/>
        </w:rPr>
        <w:t xml:space="preserve"> and elsewhere in the Application you state that the Applicant is the largest safety net provider in New England. Please cite and explain what measure is used to arrive at that statement. </w:t>
      </w:r>
      <w:r w:rsidR="004609E6" w:rsidRPr="00EA5152">
        <w:rPr>
          <w:rFonts w:cstheme="minorHAnsi"/>
          <w:b/>
          <w:sz w:val="24"/>
          <w:szCs w:val="24"/>
        </w:rPr>
        <w:t>(</w:t>
      </w:r>
      <w:r w:rsidRPr="00EA5152">
        <w:rPr>
          <w:rFonts w:cstheme="minorHAnsi"/>
          <w:b/>
          <w:sz w:val="24"/>
          <w:szCs w:val="24"/>
        </w:rPr>
        <w:t>For example, admissions, ed visits, NPSR payer-mix, etc.</w:t>
      </w:r>
      <w:r w:rsidR="004609E6" w:rsidRPr="00EA5152">
        <w:rPr>
          <w:rFonts w:cstheme="minorHAnsi"/>
          <w:b/>
          <w:sz w:val="24"/>
          <w:szCs w:val="24"/>
        </w:rPr>
        <w:t>)</w:t>
      </w:r>
    </w:p>
    <w:p w14:paraId="525E97D6" w14:textId="77777777" w:rsidR="005C0799" w:rsidRPr="00EA5152" w:rsidRDefault="005C0799" w:rsidP="005C0799">
      <w:pPr>
        <w:pStyle w:val="ListParagraph"/>
        <w:spacing w:after="0" w:line="240" w:lineRule="auto"/>
        <w:rPr>
          <w:rFonts w:cstheme="minorHAnsi"/>
          <w:color w:val="333333"/>
          <w:sz w:val="24"/>
          <w:szCs w:val="24"/>
          <w:shd w:val="clear" w:color="auto" w:fill="FFFFFF"/>
        </w:rPr>
      </w:pPr>
    </w:p>
    <w:p w14:paraId="0462D0EF" w14:textId="2E54F93D" w:rsidR="000516C7" w:rsidRDefault="005C0799" w:rsidP="000516C7">
      <w:pPr>
        <w:spacing w:after="0" w:line="240" w:lineRule="auto"/>
        <w:ind w:left="720"/>
        <w:rPr>
          <w:rFonts w:cstheme="minorHAnsi"/>
          <w:sz w:val="24"/>
          <w:szCs w:val="24"/>
        </w:rPr>
      </w:pPr>
      <w:r w:rsidRPr="0034396B">
        <w:rPr>
          <w:rFonts w:cstheme="minorHAnsi"/>
          <w:sz w:val="24"/>
          <w:szCs w:val="24"/>
          <w:shd w:val="clear" w:color="auto" w:fill="FFFFFF"/>
        </w:rPr>
        <w:t>There is no specific definition of a safety-net hospital, rather entities, such as the National Institutes of Health, define safety net hospitals as those providers that “organize and deliver a significant level of health care and other health-related services to patients with no insurance or with Medicaid.</w:t>
      </w:r>
      <w:r w:rsidRPr="0034396B">
        <w:rPr>
          <w:rStyle w:val="FootnoteReference"/>
          <w:rFonts w:cstheme="minorHAnsi"/>
          <w:color w:val="333333"/>
          <w:sz w:val="24"/>
          <w:szCs w:val="24"/>
          <w:shd w:val="clear" w:color="auto" w:fill="FFFFFF"/>
        </w:rPr>
        <w:footnoteReference w:id="2"/>
      </w:r>
      <w:r w:rsidR="00880864">
        <w:rPr>
          <w:rFonts w:cstheme="minorHAnsi"/>
          <w:sz w:val="24"/>
          <w:szCs w:val="24"/>
          <w:shd w:val="clear" w:color="auto" w:fill="FFFFFF"/>
        </w:rPr>
        <w:t xml:space="preserve"> </w:t>
      </w:r>
      <w:r w:rsidRPr="0034396B">
        <w:rPr>
          <w:rFonts w:cstheme="minorHAnsi"/>
          <w:sz w:val="24"/>
          <w:szCs w:val="24"/>
          <w:shd w:val="clear" w:color="auto" w:fill="FFFFFF"/>
        </w:rPr>
        <w:t xml:space="preserve">Often referred to as providers of last resort, safety-net hospitals have historically assumed a major role in the provision of comprehensive services to medically and socially vulnerable populations.” </w:t>
      </w:r>
      <w:r w:rsidRPr="0034396B">
        <w:rPr>
          <w:rStyle w:val="FootnoteReference"/>
          <w:rFonts w:cstheme="minorHAnsi"/>
          <w:color w:val="333333"/>
          <w:sz w:val="24"/>
          <w:szCs w:val="24"/>
          <w:shd w:val="clear" w:color="auto" w:fill="FFFFFF"/>
        </w:rPr>
        <w:footnoteReference w:id="3"/>
      </w:r>
      <w:r w:rsidRPr="0034396B">
        <w:rPr>
          <w:rFonts w:cstheme="minorHAnsi"/>
          <w:sz w:val="24"/>
          <w:szCs w:val="24"/>
          <w:shd w:val="clear" w:color="auto" w:fill="FFFFFF"/>
        </w:rPr>
        <w:t xml:space="preserve"> </w:t>
      </w:r>
      <w:r w:rsidRPr="0034396B">
        <w:rPr>
          <w:rStyle w:val="FootnoteReference"/>
          <w:rFonts w:cstheme="minorHAnsi"/>
          <w:color w:val="333333"/>
          <w:sz w:val="24"/>
          <w:szCs w:val="24"/>
          <w:shd w:val="clear" w:color="auto" w:fill="FFFFFF"/>
        </w:rPr>
        <w:footnoteReference w:id="4"/>
      </w:r>
      <w:r w:rsidRPr="0034396B">
        <w:rPr>
          <w:rFonts w:cstheme="minorHAnsi"/>
          <w:sz w:val="24"/>
          <w:szCs w:val="24"/>
          <w:shd w:val="clear" w:color="auto" w:fill="FFFFFF"/>
        </w:rPr>
        <w:t xml:space="preserve"> </w:t>
      </w:r>
    </w:p>
    <w:p w14:paraId="4233F0A2" w14:textId="77777777" w:rsidR="000516C7" w:rsidRDefault="000516C7" w:rsidP="000516C7">
      <w:pPr>
        <w:spacing w:after="0" w:line="240" w:lineRule="auto"/>
        <w:ind w:left="720"/>
        <w:rPr>
          <w:rFonts w:cstheme="minorHAnsi"/>
          <w:sz w:val="24"/>
          <w:szCs w:val="24"/>
        </w:rPr>
      </w:pPr>
    </w:p>
    <w:p w14:paraId="77EB6E8F" w14:textId="349370CD" w:rsidR="005C0799" w:rsidRPr="0034396B" w:rsidRDefault="005C0799" w:rsidP="000516C7">
      <w:pPr>
        <w:spacing w:after="0" w:line="240" w:lineRule="auto"/>
        <w:ind w:left="720"/>
        <w:rPr>
          <w:rFonts w:cstheme="minorHAnsi"/>
          <w:sz w:val="24"/>
          <w:szCs w:val="24"/>
        </w:rPr>
      </w:pPr>
      <w:r w:rsidRPr="0034396B">
        <w:rPr>
          <w:rFonts w:cstheme="minorHAnsi"/>
          <w:sz w:val="24"/>
          <w:szCs w:val="24"/>
        </w:rPr>
        <w:lastRenderedPageBreak/>
        <w:t>The Massachusetts Health Safety Net (“HSN”) makes payments to hospitals and community health centers for health care services provided to low-income Massachusetts residents who are uninsured or underinsured.</w:t>
      </w:r>
      <w:r w:rsidRPr="0034396B">
        <w:rPr>
          <w:rStyle w:val="FootnoteReference"/>
          <w:rFonts w:cstheme="minorHAnsi"/>
          <w:sz w:val="24"/>
          <w:szCs w:val="24"/>
        </w:rPr>
        <w:footnoteReference w:id="5"/>
      </w:r>
      <w:r w:rsidRPr="0034396B">
        <w:rPr>
          <w:rFonts w:cstheme="minorHAnsi"/>
          <w:sz w:val="24"/>
          <w:szCs w:val="24"/>
        </w:rPr>
        <w:t xml:space="preserve"> The </w:t>
      </w:r>
      <w:r w:rsidRPr="0034396B">
        <w:rPr>
          <w:rFonts w:cstheme="minorHAnsi"/>
          <w:i/>
          <w:iCs/>
          <w:sz w:val="24"/>
          <w:szCs w:val="24"/>
        </w:rPr>
        <w:t>Fiscal Year (“FY”) 2022 Health Safety Net Annual Report</w:t>
      </w:r>
      <w:r w:rsidRPr="0034396B">
        <w:rPr>
          <w:rFonts w:cstheme="minorHAnsi"/>
          <w:sz w:val="24"/>
          <w:szCs w:val="24"/>
        </w:rPr>
        <w:t xml:space="preserve"> outlines that </w:t>
      </w:r>
      <w:r w:rsidR="002A71AA">
        <w:rPr>
          <w:rFonts w:cstheme="minorHAnsi"/>
          <w:sz w:val="24"/>
          <w:szCs w:val="24"/>
        </w:rPr>
        <w:t>BMC</w:t>
      </w:r>
      <w:r w:rsidRPr="0034396B">
        <w:rPr>
          <w:rFonts w:cstheme="minorHAnsi"/>
          <w:sz w:val="24"/>
          <w:szCs w:val="24"/>
        </w:rPr>
        <w:t xml:space="preserve"> provided over $102 million of care to patients qualifying for the HSN, making the hospital the largest provider of HSN care in Massachusetts.</w:t>
      </w:r>
      <w:r w:rsidRPr="0034396B">
        <w:rPr>
          <w:rStyle w:val="FootnoteReference"/>
          <w:rFonts w:cstheme="minorHAnsi"/>
          <w:sz w:val="24"/>
          <w:szCs w:val="24"/>
        </w:rPr>
        <w:footnoteReference w:id="6"/>
      </w:r>
      <w:r w:rsidRPr="0034396B">
        <w:rPr>
          <w:rFonts w:cstheme="minorHAnsi"/>
          <w:sz w:val="24"/>
          <w:szCs w:val="24"/>
        </w:rPr>
        <w:t xml:space="preserve"> In comparison, the hospital with the second largest percentage of </w:t>
      </w:r>
      <w:r w:rsidR="00316F09">
        <w:rPr>
          <w:rFonts w:cstheme="minorHAnsi"/>
          <w:sz w:val="24"/>
          <w:szCs w:val="24"/>
        </w:rPr>
        <w:t xml:space="preserve">HSN </w:t>
      </w:r>
      <w:r w:rsidRPr="0034396B">
        <w:rPr>
          <w:rFonts w:cstheme="minorHAnsi"/>
          <w:sz w:val="24"/>
          <w:szCs w:val="24"/>
        </w:rPr>
        <w:t>care provided $30.5M</w:t>
      </w:r>
      <w:r w:rsidR="00316F09">
        <w:rPr>
          <w:rFonts w:cstheme="minorHAnsi"/>
          <w:sz w:val="24"/>
          <w:szCs w:val="24"/>
        </w:rPr>
        <w:t xml:space="preserve"> in services</w:t>
      </w:r>
      <w:r w:rsidRPr="0034396B">
        <w:rPr>
          <w:rFonts w:cstheme="minorHAnsi"/>
          <w:sz w:val="24"/>
          <w:szCs w:val="24"/>
        </w:rPr>
        <w:t>.</w:t>
      </w:r>
      <w:r w:rsidRPr="0034396B">
        <w:rPr>
          <w:rStyle w:val="FootnoteReference"/>
          <w:rFonts w:cstheme="minorHAnsi"/>
          <w:sz w:val="24"/>
          <w:szCs w:val="24"/>
        </w:rPr>
        <w:footnoteReference w:id="7"/>
      </w:r>
      <w:r w:rsidRPr="0034396B">
        <w:rPr>
          <w:rFonts w:cstheme="minorHAnsi"/>
          <w:sz w:val="24"/>
          <w:szCs w:val="24"/>
        </w:rPr>
        <w:t xml:space="preserve">  </w:t>
      </w:r>
    </w:p>
    <w:p w14:paraId="1DFD534C" w14:textId="77777777" w:rsidR="005C0799" w:rsidRPr="0034396B" w:rsidRDefault="005C0799" w:rsidP="0034396B">
      <w:pPr>
        <w:spacing w:after="0" w:line="240" w:lineRule="auto"/>
        <w:rPr>
          <w:rFonts w:cstheme="minorHAnsi"/>
          <w:sz w:val="24"/>
          <w:szCs w:val="24"/>
        </w:rPr>
      </w:pPr>
    </w:p>
    <w:p w14:paraId="1A713B17" w14:textId="328DBB90" w:rsidR="005C0799" w:rsidRPr="0034396B" w:rsidRDefault="005C0799" w:rsidP="000516C7">
      <w:pPr>
        <w:spacing w:after="0" w:line="240" w:lineRule="auto"/>
        <w:ind w:left="720"/>
        <w:rPr>
          <w:rFonts w:cstheme="minorHAnsi"/>
          <w:sz w:val="24"/>
          <w:szCs w:val="24"/>
          <w:shd w:val="clear" w:color="auto" w:fill="FFFFFF"/>
        </w:rPr>
      </w:pPr>
      <w:r w:rsidRPr="0034396B">
        <w:rPr>
          <w:rFonts w:cstheme="minorHAnsi"/>
          <w:sz w:val="24"/>
          <w:szCs w:val="24"/>
        </w:rPr>
        <w:t xml:space="preserve">Additionally, based on patient panel data outlined in Table 2 of the Determination of Need narrative, in FY22, approximately 46% </w:t>
      </w:r>
      <w:r w:rsidRPr="0034396B">
        <w:rPr>
          <w:rFonts w:cstheme="minorHAnsi"/>
          <w:sz w:val="24"/>
          <w:szCs w:val="24"/>
          <w:shd w:val="clear" w:color="auto" w:fill="FFFFFF"/>
        </w:rPr>
        <w:t>of BMC’s patients were covered by Medicaid or the HSN and approximately 13% were covered by commercial or Fee-for-Service Medicare.</w:t>
      </w:r>
      <w:r w:rsidRPr="0034396B">
        <w:rPr>
          <w:rStyle w:val="FootnoteReference"/>
          <w:rFonts w:cstheme="minorHAnsi"/>
          <w:color w:val="333333"/>
          <w:sz w:val="24"/>
          <w:szCs w:val="24"/>
          <w:shd w:val="clear" w:color="auto" w:fill="FFFFFF"/>
        </w:rPr>
        <w:footnoteReference w:id="8"/>
      </w:r>
      <w:r w:rsidRPr="0034396B">
        <w:rPr>
          <w:rFonts w:cstheme="minorHAnsi"/>
          <w:sz w:val="24"/>
          <w:szCs w:val="24"/>
          <w:shd w:val="clear" w:color="auto" w:fill="FFFFFF"/>
        </w:rPr>
        <w:t xml:space="preserve"> The Center for Health Information Analysis </w:t>
      </w:r>
      <w:r w:rsidR="002B6980">
        <w:rPr>
          <w:rFonts w:cstheme="minorHAnsi"/>
          <w:sz w:val="24"/>
          <w:szCs w:val="24"/>
          <w:shd w:val="clear" w:color="auto" w:fill="FFFFFF"/>
        </w:rPr>
        <w:t xml:space="preserve">(“CHIA”) </w:t>
      </w:r>
      <w:r w:rsidRPr="0034396B">
        <w:rPr>
          <w:rFonts w:cstheme="minorHAnsi"/>
          <w:sz w:val="24"/>
          <w:szCs w:val="24"/>
          <w:shd w:val="clear" w:color="auto" w:fill="FFFFFF"/>
        </w:rPr>
        <w:t xml:space="preserve">qualifies </w:t>
      </w:r>
      <w:r w:rsidR="00880864">
        <w:rPr>
          <w:rFonts w:cstheme="minorHAnsi"/>
          <w:sz w:val="24"/>
          <w:szCs w:val="24"/>
          <w:shd w:val="clear" w:color="auto" w:fill="FFFFFF"/>
        </w:rPr>
        <w:t>BMC</w:t>
      </w:r>
      <w:r w:rsidRPr="0034396B">
        <w:rPr>
          <w:rFonts w:cstheme="minorHAnsi"/>
          <w:sz w:val="24"/>
          <w:szCs w:val="24"/>
          <w:shd w:val="clear" w:color="auto" w:fill="FFFFFF"/>
        </w:rPr>
        <w:t xml:space="preserve"> as a High Public Payer Hospital, noting its 2021 Public Payer Mix was 73.2% – one of the largest public payer mixes in the Commonwealth. </w:t>
      </w:r>
      <w:r w:rsidRPr="0034396B">
        <w:rPr>
          <w:rStyle w:val="FootnoteReference"/>
          <w:rFonts w:cstheme="minorHAnsi"/>
          <w:color w:val="333333"/>
          <w:sz w:val="24"/>
          <w:szCs w:val="24"/>
          <w:shd w:val="clear" w:color="auto" w:fill="FFFFFF"/>
        </w:rPr>
        <w:footnoteReference w:id="9"/>
      </w:r>
      <w:r w:rsidRPr="0034396B">
        <w:rPr>
          <w:rFonts w:cstheme="minorHAnsi"/>
          <w:sz w:val="24"/>
          <w:szCs w:val="24"/>
          <w:shd w:val="clear" w:color="auto" w:fill="FFFFFF"/>
        </w:rPr>
        <w:t xml:space="preserve"> </w:t>
      </w:r>
      <w:r w:rsidRPr="0034396B">
        <w:rPr>
          <w:rStyle w:val="FootnoteReference"/>
          <w:rFonts w:cstheme="minorHAnsi"/>
          <w:color w:val="333333"/>
          <w:sz w:val="24"/>
          <w:szCs w:val="24"/>
          <w:shd w:val="clear" w:color="auto" w:fill="FFFFFF"/>
        </w:rPr>
        <w:footnoteReference w:id="10"/>
      </w:r>
      <w:r w:rsidR="00EA5152" w:rsidRPr="0034396B">
        <w:rPr>
          <w:rFonts w:cstheme="minorHAnsi"/>
          <w:sz w:val="24"/>
          <w:szCs w:val="24"/>
          <w:shd w:val="clear" w:color="auto" w:fill="FFFFFF"/>
        </w:rPr>
        <w:t xml:space="preserve"> Accordingly, BMC is the largest safety net provider in Massachusetts. </w:t>
      </w:r>
    </w:p>
    <w:p w14:paraId="21D6E130" w14:textId="77777777" w:rsidR="0034396B" w:rsidRPr="0034396B" w:rsidRDefault="0034396B" w:rsidP="0034396B">
      <w:pPr>
        <w:spacing w:after="0" w:line="240" w:lineRule="auto"/>
        <w:rPr>
          <w:rFonts w:cstheme="minorHAnsi"/>
          <w:sz w:val="24"/>
          <w:szCs w:val="24"/>
          <w:shd w:val="clear" w:color="auto" w:fill="FFFFFF"/>
        </w:rPr>
      </w:pPr>
    </w:p>
    <w:p w14:paraId="3BAF7CEE" w14:textId="1A7DF28A" w:rsidR="00BA404C" w:rsidRPr="0034396B" w:rsidRDefault="00EA5152" w:rsidP="000516C7">
      <w:pPr>
        <w:spacing w:after="0" w:line="240" w:lineRule="auto"/>
        <w:ind w:left="720"/>
        <w:rPr>
          <w:rFonts w:cstheme="minorHAnsi"/>
          <w:sz w:val="24"/>
          <w:szCs w:val="24"/>
          <w:shd w:val="clear" w:color="auto" w:fill="FFFFFF"/>
        </w:rPr>
      </w:pPr>
      <w:r w:rsidRPr="0034396B">
        <w:rPr>
          <w:rFonts w:cstheme="minorHAnsi"/>
          <w:sz w:val="24"/>
          <w:szCs w:val="24"/>
          <w:shd w:val="clear" w:color="auto" w:fill="FFFFFF"/>
        </w:rPr>
        <w:t xml:space="preserve">In regard to BMC’s status as a safety net provider within the New England hospital market, data from 2021 reflect that Yale New Haven provided more uncompensated care in this </w:t>
      </w:r>
      <w:r w:rsidR="00596773">
        <w:rPr>
          <w:rFonts w:cstheme="minorHAnsi"/>
          <w:sz w:val="24"/>
          <w:szCs w:val="24"/>
          <w:shd w:val="clear" w:color="auto" w:fill="FFFFFF"/>
        </w:rPr>
        <w:t xml:space="preserve">specific </w:t>
      </w:r>
      <w:r w:rsidRPr="0034396B">
        <w:rPr>
          <w:rFonts w:cstheme="minorHAnsi"/>
          <w:sz w:val="24"/>
          <w:szCs w:val="24"/>
          <w:shd w:val="clear" w:color="auto" w:fill="FFFFFF"/>
        </w:rPr>
        <w:t>year, making BMC – one of the largest safety net providers in New England based on total uncompensated care.</w:t>
      </w:r>
      <w:r w:rsidRPr="0034396B">
        <w:rPr>
          <w:rStyle w:val="FootnoteReference"/>
          <w:rFonts w:cstheme="minorHAnsi"/>
          <w:color w:val="333333"/>
          <w:sz w:val="24"/>
          <w:szCs w:val="24"/>
          <w:shd w:val="clear" w:color="auto" w:fill="FFFFFF"/>
        </w:rPr>
        <w:footnoteReference w:id="11"/>
      </w:r>
      <w:r w:rsidRPr="0034396B">
        <w:rPr>
          <w:rFonts w:cstheme="minorHAnsi"/>
          <w:sz w:val="24"/>
          <w:szCs w:val="24"/>
          <w:shd w:val="clear" w:color="auto" w:fill="FFFFFF"/>
        </w:rPr>
        <w:t xml:space="preserve"> </w:t>
      </w:r>
    </w:p>
    <w:p w14:paraId="3F979919" w14:textId="77777777" w:rsidR="00EA5152" w:rsidRPr="00EA5152" w:rsidRDefault="00EA5152" w:rsidP="0034396B">
      <w:pPr>
        <w:pStyle w:val="ListParagraph"/>
        <w:spacing w:after="0" w:line="240" w:lineRule="auto"/>
        <w:rPr>
          <w:rFonts w:cstheme="minorHAnsi"/>
          <w:color w:val="333333"/>
          <w:sz w:val="24"/>
          <w:szCs w:val="24"/>
          <w:shd w:val="clear" w:color="auto" w:fill="FFFFFF"/>
        </w:rPr>
      </w:pPr>
    </w:p>
    <w:p w14:paraId="285C0784" w14:textId="679F2973" w:rsidR="004609E6" w:rsidRPr="00EA5152" w:rsidRDefault="004609E6" w:rsidP="00D84970">
      <w:pPr>
        <w:pStyle w:val="ListParagraph"/>
        <w:numPr>
          <w:ilvl w:val="0"/>
          <w:numId w:val="32"/>
        </w:numPr>
        <w:spacing w:before="240" w:line="229" w:lineRule="exact"/>
        <w:rPr>
          <w:rFonts w:cstheme="minorHAnsi"/>
          <w:b/>
          <w:sz w:val="24"/>
          <w:szCs w:val="24"/>
        </w:rPr>
      </w:pPr>
      <w:r w:rsidRPr="00EA5152">
        <w:rPr>
          <w:rFonts w:cstheme="minorHAnsi"/>
          <w:b/>
          <w:sz w:val="24"/>
          <w:szCs w:val="24"/>
        </w:rPr>
        <w:t>Similar to question #2, On page 1 of Factor 1, F1</w:t>
      </w:r>
      <w:r w:rsidR="00880CD6" w:rsidRPr="00EA5152">
        <w:rPr>
          <w:rFonts w:cstheme="minorHAnsi"/>
          <w:b/>
          <w:sz w:val="24"/>
          <w:szCs w:val="24"/>
        </w:rPr>
        <w:t>.a.i.</w:t>
      </w:r>
      <w:r w:rsidRPr="00EA5152">
        <w:rPr>
          <w:rFonts w:cstheme="minorHAnsi"/>
          <w:b/>
          <w:sz w:val="24"/>
          <w:szCs w:val="24"/>
        </w:rPr>
        <w:t>B Overview of BMC’s Patient Panel, you state that BMC is the busiest trauma center in NE, please cite and explain what measure is used to arrive at that statement.</w:t>
      </w:r>
    </w:p>
    <w:p w14:paraId="389E155C" w14:textId="77777777" w:rsidR="00EA5152" w:rsidRPr="00EA5152" w:rsidRDefault="00EA5152" w:rsidP="00EA5152">
      <w:pPr>
        <w:pStyle w:val="ListParagraph"/>
        <w:spacing w:before="240" w:line="229" w:lineRule="exact"/>
        <w:rPr>
          <w:rFonts w:cstheme="minorHAnsi"/>
          <w:bCs/>
          <w:sz w:val="24"/>
          <w:szCs w:val="24"/>
        </w:rPr>
      </w:pPr>
    </w:p>
    <w:p w14:paraId="23A63248" w14:textId="2C202283" w:rsidR="00EA5152" w:rsidRDefault="00857AB2" w:rsidP="00EA5152">
      <w:pPr>
        <w:pStyle w:val="ListParagraph"/>
        <w:spacing w:before="240" w:line="229" w:lineRule="exact"/>
        <w:rPr>
          <w:rFonts w:cstheme="minorHAnsi"/>
          <w:bCs/>
          <w:sz w:val="24"/>
          <w:szCs w:val="24"/>
        </w:rPr>
      </w:pPr>
      <w:r>
        <w:rPr>
          <w:rFonts w:cstheme="minorHAnsi"/>
          <w:bCs/>
          <w:sz w:val="24"/>
          <w:szCs w:val="24"/>
        </w:rPr>
        <w:t>BMC</w:t>
      </w:r>
      <w:r w:rsidR="00711AA2">
        <w:rPr>
          <w:rFonts w:cstheme="minorHAnsi"/>
          <w:bCs/>
          <w:sz w:val="24"/>
          <w:szCs w:val="24"/>
        </w:rPr>
        <w:t xml:space="preserve"> is one of two </w:t>
      </w:r>
      <w:r w:rsidR="0011192C">
        <w:rPr>
          <w:rFonts w:cstheme="minorHAnsi"/>
          <w:bCs/>
          <w:sz w:val="24"/>
          <w:szCs w:val="24"/>
        </w:rPr>
        <w:t xml:space="preserve">providers in Massachusetts with </w:t>
      </w:r>
      <w:r w:rsidR="008E2092">
        <w:rPr>
          <w:rFonts w:cstheme="minorHAnsi"/>
          <w:bCs/>
          <w:sz w:val="24"/>
          <w:szCs w:val="24"/>
        </w:rPr>
        <w:t xml:space="preserve">accreditation </w:t>
      </w:r>
      <w:r w:rsidR="004146DD">
        <w:rPr>
          <w:rFonts w:cstheme="minorHAnsi"/>
          <w:bCs/>
          <w:sz w:val="24"/>
          <w:szCs w:val="24"/>
        </w:rPr>
        <w:t>as both a</w:t>
      </w:r>
      <w:r w:rsidR="00833866">
        <w:rPr>
          <w:rFonts w:cstheme="minorHAnsi"/>
          <w:bCs/>
          <w:sz w:val="24"/>
          <w:szCs w:val="24"/>
        </w:rPr>
        <w:t xml:space="preserve"> </w:t>
      </w:r>
      <w:r w:rsidR="00711AA2">
        <w:rPr>
          <w:rFonts w:cstheme="minorHAnsi"/>
          <w:bCs/>
          <w:sz w:val="24"/>
          <w:szCs w:val="24"/>
        </w:rPr>
        <w:t>Level 1 Trauma Center</w:t>
      </w:r>
      <w:r w:rsidR="00EE0197">
        <w:rPr>
          <w:rFonts w:cstheme="minorHAnsi"/>
          <w:bCs/>
          <w:sz w:val="24"/>
          <w:szCs w:val="24"/>
        </w:rPr>
        <w:t xml:space="preserve"> </w:t>
      </w:r>
      <w:r w:rsidR="00711AA2">
        <w:rPr>
          <w:rFonts w:cstheme="minorHAnsi"/>
          <w:bCs/>
          <w:sz w:val="24"/>
          <w:szCs w:val="24"/>
        </w:rPr>
        <w:t xml:space="preserve">for Adults and </w:t>
      </w:r>
      <w:r w:rsidR="00D24788">
        <w:rPr>
          <w:rFonts w:cstheme="minorHAnsi"/>
          <w:bCs/>
          <w:sz w:val="24"/>
          <w:szCs w:val="24"/>
        </w:rPr>
        <w:t xml:space="preserve">a </w:t>
      </w:r>
      <w:r w:rsidR="00711AA2">
        <w:rPr>
          <w:rFonts w:cstheme="minorHAnsi"/>
          <w:bCs/>
          <w:sz w:val="24"/>
          <w:szCs w:val="24"/>
        </w:rPr>
        <w:t xml:space="preserve">Level II </w:t>
      </w:r>
      <w:r>
        <w:rPr>
          <w:rFonts w:cstheme="minorHAnsi"/>
          <w:bCs/>
          <w:sz w:val="24"/>
          <w:szCs w:val="24"/>
        </w:rPr>
        <w:t>Trauma</w:t>
      </w:r>
      <w:r w:rsidR="00711AA2">
        <w:rPr>
          <w:rFonts w:cstheme="minorHAnsi"/>
          <w:bCs/>
          <w:sz w:val="24"/>
          <w:szCs w:val="24"/>
        </w:rPr>
        <w:t xml:space="preserve"> Center for Pediatrics</w:t>
      </w:r>
      <w:r w:rsidR="00196273">
        <w:rPr>
          <w:rFonts w:cstheme="minorHAnsi"/>
          <w:bCs/>
          <w:sz w:val="24"/>
          <w:szCs w:val="24"/>
        </w:rPr>
        <w:t xml:space="preserve">. </w:t>
      </w:r>
      <w:r w:rsidR="00AC29E3">
        <w:rPr>
          <w:rFonts w:cstheme="minorHAnsi"/>
          <w:bCs/>
          <w:sz w:val="24"/>
          <w:szCs w:val="24"/>
        </w:rPr>
        <w:t>T</w:t>
      </w:r>
      <w:r w:rsidR="00F62080">
        <w:rPr>
          <w:rFonts w:cstheme="minorHAnsi"/>
          <w:bCs/>
          <w:sz w:val="24"/>
          <w:szCs w:val="24"/>
        </w:rPr>
        <w:t>rauma cases are compared based on “trauma activations</w:t>
      </w:r>
      <w:r w:rsidR="00614C3E">
        <w:rPr>
          <w:rFonts w:cstheme="minorHAnsi"/>
          <w:bCs/>
          <w:sz w:val="24"/>
          <w:szCs w:val="24"/>
        </w:rPr>
        <w:t xml:space="preserve"> per year.”</w:t>
      </w:r>
      <w:r w:rsidR="00D149FE">
        <w:rPr>
          <w:rFonts w:cstheme="minorHAnsi"/>
          <w:bCs/>
          <w:sz w:val="24"/>
          <w:szCs w:val="24"/>
        </w:rPr>
        <w:t xml:space="preserve"> </w:t>
      </w:r>
      <w:r w:rsidR="00990D7A">
        <w:rPr>
          <w:rFonts w:cstheme="minorHAnsi"/>
          <w:bCs/>
          <w:sz w:val="24"/>
          <w:szCs w:val="24"/>
        </w:rPr>
        <w:t>CHIA</w:t>
      </w:r>
      <w:r w:rsidR="00D24788">
        <w:rPr>
          <w:rFonts w:cstheme="minorHAnsi"/>
          <w:bCs/>
          <w:sz w:val="24"/>
          <w:szCs w:val="24"/>
        </w:rPr>
        <w:t xml:space="preserve"> </w:t>
      </w:r>
      <w:r w:rsidR="00600D98">
        <w:rPr>
          <w:rFonts w:cstheme="minorHAnsi"/>
          <w:bCs/>
          <w:sz w:val="24"/>
          <w:szCs w:val="24"/>
        </w:rPr>
        <w:t xml:space="preserve">does not separate </w:t>
      </w:r>
      <w:r w:rsidR="000364B5">
        <w:rPr>
          <w:rFonts w:cstheme="minorHAnsi"/>
          <w:bCs/>
          <w:sz w:val="24"/>
          <w:szCs w:val="24"/>
        </w:rPr>
        <w:t>trauma activations within its health system performance data</w:t>
      </w:r>
      <w:r w:rsidR="00701743">
        <w:rPr>
          <w:rFonts w:cstheme="minorHAnsi"/>
          <w:bCs/>
          <w:sz w:val="24"/>
          <w:szCs w:val="24"/>
        </w:rPr>
        <w:t xml:space="preserve"> </w:t>
      </w:r>
      <w:r w:rsidR="000364B5">
        <w:rPr>
          <w:rFonts w:cstheme="minorHAnsi"/>
          <w:bCs/>
          <w:sz w:val="24"/>
          <w:szCs w:val="24"/>
        </w:rPr>
        <w:t xml:space="preserve">books </w:t>
      </w:r>
      <w:r w:rsidR="00B240E7">
        <w:rPr>
          <w:rFonts w:cstheme="minorHAnsi"/>
          <w:bCs/>
          <w:sz w:val="24"/>
          <w:szCs w:val="24"/>
        </w:rPr>
        <w:t xml:space="preserve">to compare </w:t>
      </w:r>
      <w:r w:rsidR="00BF283C">
        <w:rPr>
          <w:rFonts w:cstheme="minorHAnsi"/>
          <w:bCs/>
          <w:sz w:val="24"/>
          <w:szCs w:val="24"/>
        </w:rPr>
        <w:t>numbers of trauma cases</w:t>
      </w:r>
      <w:r w:rsidR="00F73B01">
        <w:rPr>
          <w:rFonts w:cstheme="minorHAnsi"/>
          <w:bCs/>
          <w:sz w:val="24"/>
          <w:szCs w:val="24"/>
        </w:rPr>
        <w:t>, nor within its claims database</w:t>
      </w:r>
      <w:r w:rsidR="00BF283C">
        <w:rPr>
          <w:rFonts w:cstheme="minorHAnsi"/>
          <w:bCs/>
          <w:sz w:val="24"/>
          <w:szCs w:val="24"/>
        </w:rPr>
        <w:t>. However, given that BMC is only one of two providers to have th</w:t>
      </w:r>
      <w:r w:rsidR="00240962">
        <w:rPr>
          <w:rFonts w:cstheme="minorHAnsi"/>
          <w:bCs/>
          <w:sz w:val="24"/>
          <w:szCs w:val="24"/>
        </w:rPr>
        <w:t>ese noted</w:t>
      </w:r>
      <w:r w:rsidR="00BF283C">
        <w:rPr>
          <w:rFonts w:cstheme="minorHAnsi"/>
          <w:bCs/>
          <w:sz w:val="24"/>
          <w:szCs w:val="24"/>
        </w:rPr>
        <w:t xml:space="preserve"> designation</w:t>
      </w:r>
      <w:r w:rsidR="00240962">
        <w:rPr>
          <w:rFonts w:cstheme="minorHAnsi"/>
          <w:bCs/>
          <w:sz w:val="24"/>
          <w:szCs w:val="24"/>
        </w:rPr>
        <w:t>s</w:t>
      </w:r>
      <w:r w:rsidR="00BF283C">
        <w:rPr>
          <w:rFonts w:cstheme="minorHAnsi"/>
          <w:bCs/>
          <w:sz w:val="24"/>
          <w:szCs w:val="24"/>
        </w:rPr>
        <w:t xml:space="preserve"> in </w:t>
      </w:r>
      <w:r w:rsidR="00843A7A">
        <w:rPr>
          <w:rFonts w:cstheme="minorHAnsi"/>
          <w:bCs/>
          <w:sz w:val="24"/>
          <w:szCs w:val="24"/>
        </w:rPr>
        <w:t xml:space="preserve">the </w:t>
      </w:r>
      <w:r w:rsidR="00376D17">
        <w:rPr>
          <w:rFonts w:cstheme="minorHAnsi"/>
          <w:bCs/>
          <w:sz w:val="24"/>
          <w:szCs w:val="24"/>
        </w:rPr>
        <w:t>Commonwealth</w:t>
      </w:r>
      <w:r w:rsidR="00843A7A">
        <w:rPr>
          <w:rFonts w:cstheme="minorHAnsi"/>
          <w:bCs/>
          <w:sz w:val="24"/>
          <w:szCs w:val="24"/>
        </w:rPr>
        <w:t xml:space="preserve"> and the only </w:t>
      </w:r>
      <w:r w:rsidR="00376D17">
        <w:rPr>
          <w:rFonts w:cstheme="minorHAnsi"/>
          <w:bCs/>
          <w:sz w:val="24"/>
          <w:szCs w:val="24"/>
        </w:rPr>
        <w:t>Traum</w:t>
      </w:r>
      <w:r w:rsidR="00240962">
        <w:rPr>
          <w:rFonts w:cstheme="minorHAnsi"/>
          <w:bCs/>
          <w:sz w:val="24"/>
          <w:szCs w:val="24"/>
        </w:rPr>
        <w:t xml:space="preserve">a </w:t>
      </w:r>
      <w:r w:rsidR="00376D17">
        <w:rPr>
          <w:rFonts w:cstheme="minorHAnsi"/>
          <w:bCs/>
          <w:sz w:val="24"/>
          <w:szCs w:val="24"/>
        </w:rPr>
        <w:t>Center within Region IV to have these designations – BMC is one of the busiest trauma centers in Massachusetts.</w:t>
      </w:r>
      <w:r w:rsidR="008468C5">
        <w:rPr>
          <w:rStyle w:val="FootnoteReference"/>
          <w:rFonts w:cstheme="minorHAnsi"/>
          <w:bCs/>
          <w:sz w:val="24"/>
          <w:szCs w:val="24"/>
        </w:rPr>
        <w:footnoteReference w:id="12"/>
      </w:r>
      <w:r w:rsidR="00376D17">
        <w:rPr>
          <w:rFonts w:cstheme="minorHAnsi"/>
          <w:bCs/>
          <w:sz w:val="24"/>
          <w:szCs w:val="24"/>
        </w:rPr>
        <w:t xml:space="preserve"> </w:t>
      </w:r>
    </w:p>
    <w:p w14:paraId="2B7C1AF6" w14:textId="77777777" w:rsidR="006E63B0" w:rsidRDefault="006E63B0" w:rsidP="00EA5152">
      <w:pPr>
        <w:pStyle w:val="ListParagraph"/>
        <w:spacing w:before="240" w:line="229" w:lineRule="exact"/>
        <w:rPr>
          <w:rFonts w:cstheme="minorHAnsi"/>
          <w:bCs/>
          <w:sz w:val="24"/>
          <w:szCs w:val="24"/>
        </w:rPr>
      </w:pPr>
    </w:p>
    <w:p w14:paraId="7D5850E2" w14:textId="0FB67D79" w:rsidR="00711AA2" w:rsidRPr="00967270" w:rsidRDefault="006E63B0" w:rsidP="00967270">
      <w:pPr>
        <w:pStyle w:val="ListParagraph"/>
        <w:spacing w:before="240" w:line="229" w:lineRule="exact"/>
        <w:rPr>
          <w:rFonts w:cstheme="minorHAnsi"/>
          <w:bCs/>
          <w:sz w:val="24"/>
          <w:szCs w:val="24"/>
        </w:rPr>
      </w:pPr>
      <w:r>
        <w:rPr>
          <w:rFonts w:cstheme="minorHAnsi"/>
          <w:bCs/>
          <w:sz w:val="24"/>
          <w:szCs w:val="24"/>
        </w:rPr>
        <w:t>In regard to</w:t>
      </w:r>
      <w:r w:rsidR="00A47BEC">
        <w:rPr>
          <w:rFonts w:cstheme="minorHAnsi"/>
          <w:bCs/>
          <w:sz w:val="24"/>
          <w:szCs w:val="24"/>
        </w:rPr>
        <w:t xml:space="preserve"> the statement that</w:t>
      </w:r>
      <w:r>
        <w:rPr>
          <w:rFonts w:cstheme="minorHAnsi"/>
          <w:bCs/>
          <w:sz w:val="24"/>
          <w:szCs w:val="24"/>
        </w:rPr>
        <w:t xml:space="preserve"> BMC </w:t>
      </w:r>
      <w:r w:rsidR="00A47BEC">
        <w:rPr>
          <w:rFonts w:cstheme="minorHAnsi"/>
          <w:bCs/>
          <w:sz w:val="24"/>
          <w:szCs w:val="24"/>
        </w:rPr>
        <w:t>is</w:t>
      </w:r>
      <w:r>
        <w:rPr>
          <w:rFonts w:cstheme="minorHAnsi"/>
          <w:bCs/>
          <w:sz w:val="24"/>
          <w:szCs w:val="24"/>
        </w:rPr>
        <w:t xml:space="preserve"> one of the busiest trauma centers in New England </w:t>
      </w:r>
      <w:r w:rsidR="00A47BEC">
        <w:rPr>
          <w:rFonts w:cstheme="minorHAnsi"/>
          <w:bCs/>
          <w:sz w:val="24"/>
          <w:szCs w:val="24"/>
        </w:rPr>
        <w:t xml:space="preserve">– data from 2016 provide that </w:t>
      </w:r>
      <w:r w:rsidR="00F008C2" w:rsidRPr="00F008C2">
        <w:rPr>
          <w:rFonts w:cstheme="minorHAnsi"/>
          <w:bCs/>
          <w:sz w:val="24"/>
          <w:szCs w:val="24"/>
        </w:rPr>
        <w:t xml:space="preserve">BMC </w:t>
      </w:r>
      <w:r w:rsidR="000823E9">
        <w:rPr>
          <w:rFonts w:cstheme="minorHAnsi"/>
          <w:bCs/>
          <w:sz w:val="24"/>
          <w:szCs w:val="24"/>
        </w:rPr>
        <w:t>wa</w:t>
      </w:r>
      <w:r w:rsidR="00F008C2" w:rsidRPr="00F008C2">
        <w:rPr>
          <w:rFonts w:cstheme="minorHAnsi"/>
          <w:bCs/>
          <w:sz w:val="24"/>
          <w:szCs w:val="24"/>
        </w:rPr>
        <w:t xml:space="preserve">s </w:t>
      </w:r>
      <w:r w:rsidR="00F607F8">
        <w:rPr>
          <w:rFonts w:cstheme="minorHAnsi"/>
          <w:bCs/>
          <w:sz w:val="24"/>
          <w:szCs w:val="24"/>
        </w:rPr>
        <w:t xml:space="preserve">a busy </w:t>
      </w:r>
      <w:r w:rsidR="00F008C2" w:rsidRPr="00F008C2">
        <w:rPr>
          <w:rFonts w:cstheme="minorHAnsi"/>
          <w:bCs/>
          <w:sz w:val="24"/>
          <w:szCs w:val="24"/>
        </w:rPr>
        <w:t>provider of trauma and emergency services in the region, with more than 130,000 emergency visits and approximately 2,000 trauma activations per year</w:t>
      </w:r>
      <w:r w:rsidR="00A74CAA">
        <w:rPr>
          <w:rFonts w:cstheme="minorHAnsi"/>
          <w:bCs/>
          <w:sz w:val="24"/>
          <w:szCs w:val="24"/>
        </w:rPr>
        <w:t xml:space="preserve"> based on hospital data</w:t>
      </w:r>
      <w:r w:rsidR="00F008C2" w:rsidRPr="00F008C2">
        <w:rPr>
          <w:rFonts w:cstheme="minorHAnsi"/>
          <w:bCs/>
          <w:sz w:val="24"/>
          <w:szCs w:val="24"/>
        </w:rPr>
        <w:t xml:space="preserve">. </w:t>
      </w:r>
      <w:r w:rsidR="00967270">
        <w:rPr>
          <w:rFonts w:cstheme="minorHAnsi"/>
          <w:bCs/>
          <w:sz w:val="24"/>
          <w:szCs w:val="24"/>
        </w:rPr>
        <w:t>However, given a lack of</w:t>
      </w:r>
      <w:r w:rsidR="003445AF">
        <w:rPr>
          <w:rFonts w:cstheme="minorHAnsi"/>
          <w:bCs/>
          <w:sz w:val="24"/>
          <w:szCs w:val="24"/>
        </w:rPr>
        <w:t xml:space="preserve"> recent publicly available</w:t>
      </w:r>
      <w:r w:rsidR="00967270">
        <w:rPr>
          <w:rFonts w:cstheme="minorHAnsi"/>
          <w:bCs/>
          <w:sz w:val="24"/>
          <w:szCs w:val="24"/>
        </w:rPr>
        <w:t xml:space="preserve"> data regarding trauma activations, it is difficult to provide a new source for this statement. </w:t>
      </w:r>
    </w:p>
    <w:p w14:paraId="3AC8171F" w14:textId="77777777" w:rsidR="00711AA2" w:rsidRPr="00EA5152" w:rsidRDefault="00711AA2" w:rsidP="00EA5152">
      <w:pPr>
        <w:pStyle w:val="ListParagraph"/>
        <w:spacing w:before="240" w:line="229" w:lineRule="exact"/>
        <w:rPr>
          <w:rFonts w:cstheme="minorHAnsi"/>
          <w:bCs/>
          <w:sz w:val="24"/>
          <w:szCs w:val="24"/>
        </w:rPr>
      </w:pPr>
    </w:p>
    <w:p w14:paraId="39E3AF0D" w14:textId="77777777" w:rsidR="00EA5152" w:rsidRPr="00EA5152" w:rsidRDefault="00EA5152" w:rsidP="00EA5152">
      <w:pPr>
        <w:pStyle w:val="ListParagraph"/>
        <w:numPr>
          <w:ilvl w:val="0"/>
          <w:numId w:val="32"/>
        </w:numPr>
        <w:spacing w:before="240" w:line="229" w:lineRule="exact"/>
        <w:rPr>
          <w:rFonts w:cstheme="minorHAnsi"/>
          <w:b/>
          <w:sz w:val="24"/>
          <w:szCs w:val="24"/>
        </w:rPr>
      </w:pPr>
      <w:r w:rsidRPr="00EA5152">
        <w:rPr>
          <w:rFonts w:cstheme="minorHAnsi"/>
          <w:b/>
          <w:sz w:val="24"/>
          <w:szCs w:val="24"/>
        </w:rPr>
        <w:t xml:space="preserve">On Page 7, Table 5 Historical Volume please list ED MRI Scans separately (while leaving observations, and bedded outpatients within that category, per FN 25). Additionally, if </w:t>
      </w:r>
      <w:r w:rsidRPr="00EA5152">
        <w:rPr>
          <w:rFonts w:cstheme="minorHAnsi"/>
          <w:b/>
          <w:sz w:val="24"/>
          <w:szCs w:val="24"/>
        </w:rPr>
        <w:lastRenderedPageBreak/>
        <w:t>possible add additional months, beyond March, of historical volume to the Source Origination portion of the table. (By specialty is not necessary.)</w:t>
      </w:r>
    </w:p>
    <w:p w14:paraId="6EBF56B8" w14:textId="77777777" w:rsidR="00EA5152" w:rsidRPr="00EA5152" w:rsidRDefault="00EA5152" w:rsidP="00EA5152">
      <w:pPr>
        <w:pStyle w:val="ListParagraph"/>
        <w:rPr>
          <w:rFonts w:cstheme="minorHAnsi"/>
          <w:bCs/>
          <w:sz w:val="24"/>
          <w:szCs w:val="24"/>
        </w:rPr>
      </w:pPr>
    </w:p>
    <w:p w14:paraId="3D6EB83F" w14:textId="77777777" w:rsidR="00EA5152" w:rsidRDefault="00EA5152" w:rsidP="0034396B">
      <w:pPr>
        <w:pStyle w:val="ListParagraph"/>
        <w:spacing w:after="0" w:line="240" w:lineRule="auto"/>
        <w:rPr>
          <w:rFonts w:cstheme="minorHAnsi"/>
          <w:bCs/>
          <w:sz w:val="24"/>
          <w:szCs w:val="24"/>
        </w:rPr>
      </w:pPr>
      <w:r w:rsidRPr="00EA5152">
        <w:rPr>
          <w:rFonts w:cstheme="minorHAnsi"/>
          <w:bCs/>
          <w:sz w:val="24"/>
          <w:szCs w:val="24"/>
        </w:rPr>
        <w:t xml:space="preserve">The revised Table 5 inserted below includes historical scan volume with Emergency Department (“ED”) MRI scans listed separately. Additionally, the FY23 year-to-date (“YTD”) scan volume is provided through </w:t>
      </w:r>
      <w:proofErr w:type="gramStart"/>
      <w:r w:rsidRPr="00EA5152">
        <w:rPr>
          <w:rFonts w:cstheme="minorHAnsi"/>
          <w:bCs/>
          <w:sz w:val="24"/>
          <w:szCs w:val="24"/>
        </w:rPr>
        <w:t>June,</w:t>
      </w:r>
      <w:proofErr w:type="gramEnd"/>
      <w:r w:rsidRPr="00EA5152">
        <w:rPr>
          <w:rFonts w:cstheme="minorHAnsi"/>
          <w:bCs/>
          <w:sz w:val="24"/>
          <w:szCs w:val="24"/>
        </w:rPr>
        <w:t xml:space="preserve"> 2023. </w:t>
      </w:r>
    </w:p>
    <w:p w14:paraId="7B27D5AD" w14:textId="77777777" w:rsidR="00B83805" w:rsidRPr="00EA5152" w:rsidRDefault="00B83805" w:rsidP="0034396B">
      <w:pPr>
        <w:pStyle w:val="ListParagraph"/>
        <w:spacing w:after="0" w:line="240" w:lineRule="auto"/>
        <w:rPr>
          <w:rFonts w:cstheme="minorHAnsi"/>
          <w:bCs/>
          <w:sz w:val="24"/>
          <w:szCs w:val="24"/>
        </w:rPr>
      </w:pPr>
    </w:p>
    <w:p w14:paraId="5B9F15D6" w14:textId="66C5439E" w:rsidR="00EA5152" w:rsidRPr="00EA5152" w:rsidRDefault="00CA70F3" w:rsidP="005542B9">
      <w:pPr>
        <w:pStyle w:val="ListParagraph"/>
        <w:shd w:val="clear" w:color="auto" w:fill="2F5496" w:themeFill="accent1" w:themeFillShade="BF"/>
        <w:spacing w:after="0" w:line="240" w:lineRule="auto"/>
        <w:jc w:val="center"/>
        <w:rPr>
          <w:rFonts w:cstheme="minorHAnsi"/>
          <w:bCs/>
          <w:sz w:val="24"/>
          <w:szCs w:val="24"/>
        </w:rPr>
      </w:pPr>
      <w:r w:rsidRPr="00EA5152">
        <w:rPr>
          <w:rFonts w:eastAsia="Times New Roman" w:cstheme="minorHAnsi"/>
          <w:b/>
          <w:bCs/>
          <w:color w:val="FFFFFF"/>
          <w:sz w:val="24"/>
          <w:szCs w:val="24"/>
        </w:rPr>
        <w:t>Table 5: BMC MRI Historical Scan Volume</w:t>
      </w:r>
    </w:p>
    <w:tbl>
      <w:tblPr>
        <w:tblStyle w:val="TableGrid"/>
        <w:tblW w:w="9350" w:type="dxa"/>
        <w:jc w:val="center"/>
        <w:tblLayout w:type="fixed"/>
        <w:tblLook w:val="04A0" w:firstRow="1" w:lastRow="0" w:firstColumn="1" w:lastColumn="0" w:noHBand="0" w:noVBand="1"/>
      </w:tblPr>
      <w:tblGrid>
        <w:gridCol w:w="2785"/>
        <w:gridCol w:w="1710"/>
        <w:gridCol w:w="1530"/>
        <w:gridCol w:w="1710"/>
        <w:gridCol w:w="1615"/>
      </w:tblGrid>
      <w:tr w:rsidR="00EA5152" w:rsidRPr="00EA5152" w14:paraId="02CCDDA2" w14:textId="77777777" w:rsidTr="005542B9">
        <w:trPr>
          <w:cantSplit/>
          <w:trHeight w:val="20"/>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8DA9DB"/>
          </w:tcPr>
          <w:p w14:paraId="1372565D" w14:textId="77777777" w:rsidR="00EA5152" w:rsidRPr="00EA5152" w:rsidRDefault="00EA5152" w:rsidP="004569A3">
            <w:pPr>
              <w:rPr>
                <w:rFonts w:eastAsia="Times New Roman" w:cstheme="minorHAnsi"/>
                <w:sz w:val="24"/>
                <w:szCs w:val="24"/>
              </w:rPr>
            </w:pPr>
          </w:p>
        </w:tc>
        <w:tc>
          <w:tcPr>
            <w:tcW w:w="1710" w:type="dxa"/>
            <w:tcBorders>
              <w:top w:val="single" w:sz="4" w:space="0" w:color="auto"/>
              <w:left w:val="single" w:sz="4" w:space="0" w:color="auto"/>
              <w:bottom w:val="single" w:sz="4" w:space="0" w:color="auto"/>
            </w:tcBorders>
            <w:shd w:val="clear" w:color="auto" w:fill="8DA9DB"/>
            <w:vAlign w:val="center"/>
          </w:tcPr>
          <w:p w14:paraId="2467D68C" w14:textId="77777777" w:rsidR="00EA5152" w:rsidRPr="00EA5152" w:rsidRDefault="00EA5152" w:rsidP="004569A3">
            <w:pPr>
              <w:ind w:left="-128" w:right="-146"/>
              <w:jc w:val="center"/>
              <w:rPr>
                <w:rFonts w:eastAsia="Times New Roman" w:cstheme="minorHAnsi"/>
                <w:sz w:val="24"/>
                <w:szCs w:val="24"/>
              </w:rPr>
            </w:pPr>
            <w:r w:rsidRPr="00EA5152">
              <w:rPr>
                <w:rFonts w:eastAsia="Times New Roman" w:cstheme="minorHAnsi"/>
                <w:b/>
                <w:bCs/>
                <w:sz w:val="24"/>
                <w:szCs w:val="24"/>
              </w:rPr>
              <w:t>FY20</w:t>
            </w:r>
          </w:p>
        </w:tc>
        <w:tc>
          <w:tcPr>
            <w:tcW w:w="1530" w:type="dxa"/>
            <w:tcBorders>
              <w:top w:val="single" w:sz="4" w:space="0" w:color="auto"/>
              <w:bottom w:val="single" w:sz="4" w:space="0" w:color="auto"/>
            </w:tcBorders>
            <w:shd w:val="clear" w:color="auto" w:fill="8DA9DB"/>
            <w:vAlign w:val="center"/>
          </w:tcPr>
          <w:p w14:paraId="3E9E8B81" w14:textId="77777777" w:rsidR="00EA5152" w:rsidRPr="00EA5152" w:rsidRDefault="00EA5152" w:rsidP="004569A3">
            <w:pPr>
              <w:jc w:val="center"/>
              <w:rPr>
                <w:rFonts w:eastAsia="Times New Roman" w:cstheme="minorHAnsi"/>
                <w:sz w:val="24"/>
                <w:szCs w:val="24"/>
              </w:rPr>
            </w:pPr>
            <w:r w:rsidRPr="00EA5152">
              <w:rPr>
                <w:rFonts w:eastAsia="Times New Roman" w:cstheme="minorHAnsi"/>
                <w:b/>
                <w:bCs/>
                <w:sz w:val="24"/>
                <w:szCs w:val="24"/>
              </w:rPr>
              <w:t>FY21</w:t>
            </w:r>
          </w:p>
        </w:tc>
        <w:tc>
          <w:tcPr>
            <w:tcW w:w="1710" w:type="dxa"/>
            <w:tcBorders>
              <w:top w:val="single" w:sz="4" w:space="0" w:color="auto"/>
              <w:bottom w:val="single" w:sz="4" w:space="0" w:color="auto"/>
            </w:tcBorders>
            <w:shd w:val="clear" w:color="auto" w:fill="8DA9DB"/>
            <w:vAlign w:val="center"/>
          </w:tcPr>
          <w:p w14:paraId="635ABB1D" w14:textId="77777777" w:rsidR="00EA5152" w:rsidRPr="00EA5152" w:rsidRDefault="00EA5152" w:rsidP="004569A3">
            <w:pPr>
              <w:jc w:val="center"/>
              <w:rPr>
                <w:rFonts w:eastAsia="Times New Roman" w:cstheme="minorHAnsi"/>
                <w:sz w:val="24"/>
                <w:szCs w:val="24"/>
              </w:rPr>
            </w:pPr>
            <w:r w:rsidRPr="00EA5152">
              <w:rPr>
                <w:rFonts w:eastAsia="Times New Roman" w:cstheme="minorHAnsi"/>
                <w:b/>
                <w:bCs/>
                <w:sz w:val="24"/>
                <w:szCs w:val="24"/>
              </w:rPr>
              <w:t>FY22</w:t>
            </w:r>
          </w:p>
        </w:tc>
        <w:tc>
          <w:tcPr>
            <w:tcW w:w="1615" w:type="dxa"/>
            <w:tcBorders>
              <w:top w:val="single" w:sz="4" w:space="0" w:color="auto"/>
              <w:bottom w:val="single" w:sz="4" w:space="0" w:color="auto"/>
              <w:right w:val="single" w:sz="4" w:space="0" w:color="auto"/>
            </w:tcBorders>
            <w:shd w:val="clear" w:color="auto" w:fill="8DA9DB"/>
            <w:vAlign w:val="center"/>
          </w:tcPr>
          <w:p w14:paraId="2AC92CEA" w14:textId="77777777" w:rsidR="00EA5152" w:rsidRPr="00EA5152" w:rsidRDefault="00EA5152" w:rsidP="004569A3">
            <w:pPr>
              <w:jc w:val="center"/>
              <w:rPr>
                <w:rFonts w:eastAsia="Times New Roman" w:cstheme="minorHAnsi"/>
                <w:sz w:val="24"/>
                <w:szCs w:val="24"/>
              </w:rPr>
            </w:pPr>
            <w:r w:rsidRPr="00EA5152">
              <w:rPr>
                <w:rFonts w:eastAsia="Times New Roman" w:cstheme="minorHAnsi"/>
                <w:b/>
                <w:bCs/>
                <w:sz w:val="24"/>
                <w:szCs w:val="24"/>
              </w:rPr>
              <w:t>FY23 YTD</w:t>
            </w:r>
            <w:r w:rsidRPr="00EA5152">
              <w:rPr>
                <w:rFonts w:eastAsia="Times New Roman" w:cstheme="minorHAnsi"/>
                <w:b/>
                <w:bCs/>
                <w:sz w:val="24"/>
                <w:szCs w:val="24"/>
                <w:vertAlign w:val="superscript"/>
              </w:rPr>
              <w:footnoteReference w:id="13"/>
            </w:r>
          </w:p>
        </w:tc>
      </w:tr>
      <w:tr w:rsidR="00EA5152" w:rsidRPr="00EA5152" w14:paraId="1FEACCF5" w14:textId="77777777" w:rsidTr="005542B9">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BFBFBF"/>
            <w:vAlign w:val="center"/>
          </w:tcPr>
          <w:p w14:paraId="085F546A" w14:textId="77777777" w:rsidR="00EA5152" w:rsidRPr="00EA5152" w:rsidRDefault="00EA5152" w:rsidP="004569A3">
            <w:pPr>
              <w:rPr>
                <w:rFonts w:eastAsia="Times New Roman" w:cstheme="minorHAnsi"/>
                <w:b/>
                <w:bCs/>
                <w:sz w:val="24"/>
                <w:szCs w:val="24"/>
              </w:rPr>
            </w:pPr>
            <w:r w:rsidRPr="00EA5152">
              <w:rPr>
                <w:rFonts w:eastAsia="Times New Roman" w:cstheme="minorHAnsi"/>
                <w:b/>
                <w:bCs/>
                <w:sz w:val="24"/>
                <w:szCs w:val="24"/>
              </w:rPr>
              <w:t>Total MRI Scans</w:t>
            </w:r>
          </w:p>
        </w:tc>
        <w:tc>
          <w:tcPr>
            <w:tcW w:w="1710" w:type="dxa"/>
            <w:tcBorders>
              <w:top w:val="single" w:sz="4" w:space="0" w:color="auto"/>
              <w:left w:val="single" w:sz="4" w:space="0" w:color="auto"/>
              <w:bottom w:val="single" w:sz="4" w:space="0" w:color="auto"/>
            </w:tcBorders>
            <w:shd w:val="clear" w:color="auto" w:fill="BFBFBF"/>
            <w:vAlign w:val="center"/>
          </w:tcPr>
          <w:p w14:paraId="4C3621B4"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18,100</w:t>
            </w:r>
          </w:p>
        </w:tc>
        <w:tc>
          <w:tcPr>
            <w:tcW w:w="1530" w:type="dxa"/>
            <w:tcBorders>
              <w:top w:val="single" w:sz="4" w:space="0" w:color="auto"/>
              <w:bottom w:val="single" w:sz="4" w:space="0" w:color="auto"/>
            </w:tcBorders>
            <w:shd w:val="clear" w:color="auto" w:fill="BFBFBF"/>
          </w:tcPr>
          <w:p w14:paraId="53B7D3E4"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22,565</w:t>
            </w:r>
          </w:p>
        </w:tc>
        <w:tc>
          <w:tcPr>
            <w:tcW w:w="1710" w:type="dxa"/>
            <w:tcBorders>
              <w:top w:val="single" w:sz="4" w:space="0" w:color="auto"/>
              <w:bottom w:val="single" w:sz="4" w:space="0" w:color="auto"/>
            </w:tcBorders>
            <w:shd w:val="clear" w:color="auto" w:fill="BFBFBF"/>
          </w:tcPr>
          <w:p w14:paraId="4E48B6C2"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23,331</w:t>
            </w:r>
          </w:p>
        </w:tc>
        <w:tc>
          <w:tcPr>
            <w:tcW w:w="1615" w:type="dxa"/>
            <w:tcBorders>
              <w:top w:val="single" w:sz="4" w:space="0" w:color="auto"/>
              <w:bottom w:val="single" w:sz="4" w:space="0" w:color="auto"/>
              <w:right w:val="single" w:sz="4" w:space="0" w:color="auto"/>
            </w:tcBorders>
            <w:shd w:val="clear" w:color="auto" w:fill="BFBFBF"/>
          </w:tcPr>
          <w:p w14:paraId="5697FDA7"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19,044</w:t>
            </w:r>
          </w:p>
        </w:tc>
      </w:tr>
      <w:tr w:rsidR="00CA70F3" w:rsidRPr="00EA5152" w14:paraId="6E96C4EA" w14:textId="77777777" w:rsidTr="005542B9">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EC4855" w14:textId="77777777" w:rsidR="00CA70F3" w:rsidRPr="00EA5152" w:rsidRDefault="00CA70F3" w:rsidP="004569A3">
            <w:pPr>
              <w:rPr>
                <w:rFonts w:eastAsia="Times New Roman" w:cstheme="minorHAnsi"/>
                <w:b/>
                <w:bCs/>
                <w:sz w:val="24"/>
                <w:szCs w:val="24"/>
                <w:highlight w:val="green"/>
              </w:rPr>
            </w:pPr>
            <w:r w:rsidRPr="00EA5152">
              <w:rPr>
                <w:rFonts w:eastAsia="Times New Roman" w:cstheme="minorHAnsi"/>
                <w:b/>
                <w:bCs/>
                <w:sz w:val="24"/>
                <w:szCs w:val="24"/>
              </w:rPr>
              <w:t xml:space="preserve">Source of Origination </w:t>
            </w: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9F9F2C" w14:textId="77777777" w:rsidR="00CA70F3" w:rsidRPr="00EA5152" w:rsidRDefault="00CA70F3" w:rsidP="004569A3">
            <w:pPr>
              <w:rPr>
                <w:rFonts w:eastAsia="Times New Roman" w:cstheme="minorHAnsi"/>
                <w:b/>
                <w:bCs/>
                <w:sz w:val="24"/>
                <w:szCs w:val="24"/>
                <w:highlight w:val="green"/>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AA40F5" w14:textId="77777777" w:rsidR="00CA70F3" w:rsidRPr="00EA5152" w:rsidRDefault="00CA70F3" w:rsidP="004569A3">
            <w:pPr>
              <w:rPr>
                <w:rFonts w:eastAsia="Times New Roman" w:cstheme="minorHAnsi"/>
                <w:b/>
                <w:bCs/>
                <w:sz w:val="24"/>
                <w:szCs w:val="24"/>
                <w:highlight w:val="green"/>
              </w:rPr>
            </w:pPr>
          </w:p>
        </w:tc>
        <w:tc>
          <w:tcPr>
            <w:tcW w:w="1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8AFF60" w14:textId="77777777" w:rsidR="00CA70F3" w:rsidRPr="00EA5152" w:rsidRDefault="00CA70F3" w:rsidP="004569A3">
            <w:pPr>
              <w:rPr>
                <w:rFonts w:eastAsia="Times New Roman" w:cstheme="minorHAnsi"/>
                <w:b/>
                <w:bCs/>
                <w:sz w:val="24"/>
                <w:szCs w:val="24"/>
                <w:highlight w:val="green"/>
              </w:rPr>
            </w:pPr>
          </w:p>
        </w:tc>
        <w:tc>
          <w:tcPr>
            <w:tcW w:w="16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C58BF4" w14:textId="27D7E155" w:rsidR="00CA70F3" w:rsidRPr="00EA5152" w:rsidRDefault="00CA70F3" w:rsidP="004569A3">
            <w:pPr>
              <w:rPr>
                <w:rFonts w:eastAsia="Times New Roman" w:cstheme="minorHAnsi"/>
                <w:b/>
                <w:bCs/>
                <w:sz w:val="24"/>
                <w:szCs w:val="24"/>
                <w:highlight w:val="green"/>
              </w:rPr>
            </w:pPr>
          </w:p>
        </w:tc>
      </w:tr>
      <w:tr w:rsidR="00EA5152" w:rsidRPr="00EA5152" w14:paraId="316AFC67" w14:textId="77777777" w:rsidTr="005542B9">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290D2478" w14:textId="77777777" w:rsidR="00EA5152" w:rsidRPr="00EA5152" w:rsidRDefault="00EA5152" w:rsidP="004569A3">
            <w:pPr>
              <w:rPr>
                <w:rFonts w:eastAsia="Times New Roman" w:cstheme="minorHAnsi"/>
                <w:b/>
                <w:bCs/>
                <w:sz w:val="24"/>
                <w:szCs w:val="24"/>
              </w:rPr>
            </w:pPr>
            <w:r w:rsidRPr="00EA5152">
              <w:rPr>
                <w:rFonts w:eastAsia="Times New Roman" w:cstheme="minorHAnsi"/>
                <w:sz w:val="24"/>
                <w:szCs w:val="24"/>
              </w:rPr>
              <w:t>Inpatient MRI Scans</w:t>
            </w:r>
            <w:r w:rsidRPr="00EA5152">
              <w:rPr>
                <w:rFonts w:eastAsia="Times New Roman" w:cstheme="minorHAnsi"/>
                <w:sz w:val="24"/>
                <w:szCs w:val="24"/>
                <w:vertAlign w:val="superscript"/>
              </w:rPr>
              <w:footnoteReference w:id="14"/>
            </w:r>
          </w:p>
        </w:tc>
        <w:tc>
          <w:tcPr>
            <w:tcW w:w="1710" w:type="dxa"/>
            <w:tcBorders>
              <w:top w:val="single" w:sz="4" w:space="0" w:color="auto"/>
              <w:left w:val="single" w:sz="4" w:space="0" w:color="auto"/>
              <w:bottom w:val="single" w:sz="4" w:space="0" w:color="auto"/>
            </w:tcBorders>
            <w:shd w:val="clear" w:color="auto" w:fill="auto"/>
          </w:tcPr>
          <w:p w14:paraId="783CD2F4"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4,113</w:t>
            </w:r>
          </w:p>
        </w:tc>
        <w:tc>
          <w:tcPr>
            <w:tcW w:w="1530" w:type="dxa"/>
            <w:tcBorders>
              <w:top w:val="single" w:sz="4" w:space="0" w:color="auto"/>
              <w:bottom w:val="single" w:sz="4" w:space="0" w:color="auto"/>
            </w:tcBorders>
            <w:shd w:val="clear" w:color="auto" w:fill="auto"/>
          </w:tcPr>
          <w:p w14:paraId="5075BFCB"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4,837</w:t>
            </w:r>
          </w:p>
        </w:tc>
        <w:tc>
          <w:tcPr>
            <w:tcW w:w="1710" w:type="dxa"/>
            <w:tcBorders>
              <w:top w:val="single" w:sz="4" w:space="0" w:color="auto"/>
              <w:bottom w:val="single" w:sz="4" w:space="0" w:color="auto"/>
            </w:tcBorders>
            <w:shd w:val="clear" w:color="auto" w:fill="auto"/>
          </w:tcPr>
          <w:p w14:paraId="504BB0FA"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4,913</w:t>
            </w:r>
          </w:p>
        </w:tc>
        <w:tc>
          <w:tcPr>
            <w:tcW w:w="1615" w:type="dxa"/>
            <w:tcBorders>
              <w:top w:val="single" w:sz="4" w:space="0" w:color="auto"/>
              <w:bottom w:val="single" w:sz="4" w:space="0" w:color="auto"/>
              <w:right w:val="single" w:sz="4" w:space="0" w:color="auto"/>
            </w:tcBorders>
            <w:shd w:val="clear" w:color="auto" w:fill="auto"/>
          </w:tcPr>
          <w:p w14:paraId="02D145AF"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3,818</w:t>
            </w:r>
          </w:p>
        </w:tc>
      </w:tr>
      <w:tr w:rsidR="00EA5152" w:rsidRPr="00EA5152" w14:paraId="1A6A34B3" w14:textId="77777777" w:rsidTr="005542B9">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061CD3D" w14:textId="77777777" w:rsidR="00EA5152" w:rsidRPr="00EA5152" w:rsidRDefault="00EA5152" w:rsidP="004569A3">
            <w:pPr>
              <w:rPr>
                <w:rFonts w:eastAsia="Times New Roman" w:cstheme="minorHAnsi"/>
                <w:b/>
                <w:bCs/>
                <w:sz w:val="24"/>
                <w:szCs w:val="24"/>
              </w:rPr>
            </w:pPr>
            <w:r w:rsidRPr="00EA5152">
              <w:rPr>
                <w:rFonts w:eastAsia="Times New Roman" w:cstheme="minorHAnsi"/>
                <w:sz w:val="24"/>
                <w:szCs w:val="24"/>
              </w:rPr>
              <w:t>Outpatient MRI Scans</w:t>
            </w:r>
          </w:p>
        </w:tc>
        <w:tc>
          <w:tcPr>
            <w:tcW w:w="1710" w:type="dxa"/>
            <w:tcBorders>
              <w:top w:val="single" w:sz="4" w:space="0" w:color="auto"/>
              <w:left w:val="single" w:sz="4" w:space="0" w:color="auto"/>
              <w:bottom w:val="single" w:sz="4" w:space="0" w:color="auto"/>
            </w:tcBorders>
            <w:shd w:val="clear" w:color="auto" w:fill="auto"/>
          </w:tcPr>
          <w:p w14:paraId="730B9B7D"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11,913</w:t>
            </w:r>
          </w:p>
        </w:tc>
        <w:tc>
          <w:tcPr>
            <w:tcW w:w="1530" w:type="dxa"/>
            <w:tcBorders>
              <w:top w:val="single" w:sz="4" w:space="0" w:color="auto"/>
              <w:bottom w:val="single" w:sz="4" w:space="0" w:color="auto"/>
            </w:tcBorders>
            <w:shd w:val="clear" w:color="auto" w:fill="auto"/>
          </w:tcPr>
          <w:p w14:paraId="1F58EDD8"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15,714</w:t>
            </w:r>
          </w:p>
        </w:tc>
        <w:tc>
          <w:tcPr>
            <w:tcW w:w="1710" w:type="dxa"/>
            <w:tcBorders>
              <w:top w:val="single" w:sz="4" w:space="0" w:color="auto"/>
              <w:bottom w:val="single" w:sz="4" w:space="0" w:color="auto"/>
            </w:tcBorders>
            <w:shd w:val="clear" w:color="auto" w:fill="auto"/>
          </w:tcPr>
          <w:p w14:paraId="31A92C72"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16,218</w:t>
            </w:r>
          </w:p>
        </w:tc>
        <w:tc>
          <w:tcPr>
            <w:tcW w:w="1615" w:type="dxa"/>
            <w:tcBorders>
              <w:top w:val="single" w:sz="4" w:space="0" w:color="auto"/>
              <w:bottom w:val="single" w:sz="4" w:space="0" w:color="auto"/>
              <w:right w:val="single" w:sz="4" w:space="0" w:color="auto"/>
            </w:tcBorders>
            <w:shd w:val="clear" w:color="auto" w:fill="auto"/>
          </w:tcPr>
          <w:p w14:paraId="421AD500"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13,388</w:t>
            </w:r>
          </w:p>
        </w:tc>
      </w:tr>
      <w:tr w:rsidR="00EA5152" w:rsidRPr="00EA5152" w14:paraId="0C5B3AC8" w14:textId="77777777" w:rsidTr="005542B9">
        <w:trPr>
          <w:cantSplit/>
          <w:trHeight w:val="20"/>
          <w:jc w:val="center"/>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14:paraId="77746661" w14:textId="77777777" w:rsidR="00EA5152" w:rsidRPr="00EA5152" w:rsidRDefault="00EA5152" w:rsidP="004569A3">
            <w:pPr>
              <w:rPr>
                <w:rFonts w:eastAsia="Times New Roman" w:cstheme="minorHAnsi"/>
                <w:sz w:val="24"/>
                <w:szCs w:val="24"/>
              </w:rPr>
            </w:pPr>
            <w:r w:rsidRPr="00EA5152">
              <w:rPr>
                <w:rFonts w:eastAsia="Times New Roman" w:cstheme="minorHAnsi"/>
                <w:sz w:val="24"/>
                <w:szCs w:val="24"/>
              </w:rPr>
              <w:t>Emergency Department MRI Scans</w:t>
            </w:r>
          </w:p>
        </w:tc>
        <w:tc>
          <w:tcPr>
            <w:tcW w:w="1710" w:type="dxa"/>
            <w:tcBorders>
              <w:top w:val="single" w:sz="4" w:space="0" w:color="auto"/>
              <w:left w:val="single" w:sz="4" w:space="0" w:color="auto"/>
              <w:bottom w:val="single" w:sz="4" w:space="0" w:color="auto"/>
            </w:tcBorders>
            <w:shd w:val="clear" w:color="auto" w:fill="auto"/>
          </w:tcPr>
          <w:p w14:paraId="47888FA6"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2,074</w:t>
            </w:r>
          </w:p>
        </w:tc>
        <w:tc>
          <w:tcPr>
            <w:tcW w:w="1530" w:type="dxa"/>
            <w:tcBorders>
              <w:top w:val="single" w:sz="4" w:space="0" w:color="auto"/>
              <w:bottom w:val="single" w:sz="4" w:space="0" w:color="auto"/>
            </w:tcBorders>
            <w:shd w:val="clear" w:color="auto" w:fill="auto"/>
          </w:tcPr>
          <w:p w14:paraId="5CFBA93F"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2,014</w:t>
            </w:r>
          </w:p>
        </w:tc>
        <w:tc>
          <w:tcPr>
            <w:tcW w:w="1710" w:type="dxa"/>
            <w:tcBorders>
              <w:top w:val="single" w:sz="4" w:space="0" w:color="auto"/>
              <w:bottom w:val="single" w:sz="4" w:space="0" w:color="auto"/>
            </w:tcBorders>
            <w:shd w:val="clear" w:color="auto" w:fill="auto"/>
          </w:tcPr>
          <w:p w14:paraId="3D98BCD7"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2,200</w:t>
            </w:r>
          </w:p>
        </w:tc>
        <w:tc>
          <w:tcPr>
            <w:tcW w:w="1615" w:type="dxa"/>
            <w:tcBorders>
              <w:top w:val="single" w:sz="4" w:space="0" w:color="auto"/>
              <w:bottom w:val="single" w:sz="4" w:space="0" w:color="auto"/>
              <w:right w:val="single" w:sz="4" w:space="0" w:color="auto"/>
            </w:tcBorders>
            <w:shd w:val="clear" w:color="auto" w:fill="auto"/>
          </w:tcPr>
          <w:p w14:paraId="27914D9D"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1,838</w:t>
            </w:r>
          </w:p>
        </w:tc>
      </w:tr>
    </w:tbl>
    <w:p w14:paraId="22EACDB8" w14:textId="77777777" w:rsidR="00EA5152" w:rsidRPr="00EA5152" w:rsidRDefault="00EA5152" w:rsidP="00EA5152">
      <w:pPr>
        <w:spacing w:before="240" w:line="229" w:lineRule="exact"/>
        <w:rPr>
          <w:rFonts w:cstheme="minorHAnsi"/>
          <w:b/>
          <w:sz w:val="24"/>
          <w:szCs w:val="24"/>
        </w:rPr>
      </w:pPr>
    </w:p>
    <w:p w14:paraId="24E2D520" w14:textId="77777777" w:rsidR="00EA5152" w:rsidRPr="00EA5152" w:rsidRDefault="00EA5152" w:rsidP="00EA5152">
      <w:pPr>
        <w:pStyle w:val="ListParagraph"/>
        <w:numPr>
          <w:ilvl w:val="0"/>
          <w:numId w:val="32"/>
        </w:numPr>
        <w:spacing w:before="240" w:line="229" w:lineRule="exact"/>
        <w:rPr>
          <w:rFonts w:cstheme="minorHAnsi"/>
          <w:b/>
          <w:sz w:val="24"/>
          <w:szCs w:val="24"/>
        </w:rPr>
      </w:pPr>
      <w:r w:rsidRPr="00EA5152">
        <w:rPr>
          <w:rFonts w:cstheme="minorHAnsi"/>
          <w:b/>
          <w:sz w:val="24"/>
          <w:szCs w:val="24"/>
        </w:rPr>
        <w:t>On page 11 Table 6 MRI Projections, differentiate projections for ED,  Inpatients, and Outpatients (while leaving observations, and bedded outpatients within that category, per FN 25).</w:t>
      </w:r>
    </w:p>
    <w:p w14:paraId="2D16F8D4" w14:textId="77777777" w:rsidR="00EA5152" w:rsidRDefault="00EA5152" w:rsidP="00EA5152">
      <w:pPr>
        <w:spacing w:before="240" w:line="229" w:lineRule="exact"/>
        <w:ind w:firstLine="720"/>
        <w:rPr>
          <w:rFonts w:cstheme="minorHAnsi"/>
          <w:bCs/>
          <w:sz w:val="24"/>
          <w:szCs w:val="24"/>
        </w:rPr>
      </w:pPr>
      <w:r w:rsidRPr="00EA5152">
        <w:rPr>
          <w:rFonts w:cstheme="minorHAnsi"/>
          <w:bCs/>
          <w:sz w:val="24"/>
          <w:szCs w:val="24"/>
        </w:rPr>
        <w:t>The revised Table 6 inserted below differentiates projected MRI scan volume by category:</w:t>
      </w:r>
    </w:p>
    <w:p w14:paraId="301E688B" w14:textId="2CA849B8" w:rsidR="005542B9" w:rsidRPr="00EA5152" w:rsidRDefault="005542B9" w:rsidP="005542B9">
      <w:pPr>
        <w:spacing w:before="240" w:line="229" w:lineRule="exact"/>
        <w:ind w:firstLine="720"/>
        <w:jc w:val="center"/>
        <w:rPr>
          <w:rFonts w:cstheme="minorHAnsi"/>
          <w:bCs/>
          <w:sz w:val="24"/>
          <w:szCs w:val="24"/>
        </w:rPr>
      </w:pPr>
      <w:r w:rsidRPr="005542B9">
        <w:rPr>
          <w:rFonts w:eastAsia="Times New Roman" w:cstheme="minorHAnsi"/>
          <w:b/>
          <w:bCs/>
          <w:color w:val="FFFFFF"/>
          <w:sz w:val="24"/>
          <w:szCs w:val="24"/>
          <w:shd w:val="clear" w:color="auto" w:fill="2F5496" w:themeFill="accent1" w:themeFillShade="BF"/>
        </w:rPr>
        <w:t>Table 6: BMC Projected MRI Scan Volume</w:t>
      </w:r>
    </w:p>
    <w:tbl>
      <w:tblPr>
        <w:tblStyle w:val="TableGrid"/>
        <w:tblW w:w="8905" w:type="dxa"/>
        <w:jc w:val="center"/>
        <w:tblLayout w:type="fixed"/>
        <w:tblLook w:val="04A0" w:firstRow="1" w:lastRow="0" w:firstColumn="1" w:lastColumn="0" w:noHBand="0" w:noVBand="1"/>
      </w:tblPr>
      <w:tblGrid>
        <w:gridCol w:w="1975"/>
        <w:gridCol w:w="1410"/>
        <w:gridCol w:w="1380"/>
        <w:gridCol w:w="1260"/>
        <w:gridCol w:w="1440"/>
        <w:gridCol w:w="1440"/>
      </w:tblGrid>
      <w:tr w:rsidR="00EA5152" w:rsidRPr="00EA5152" w14:paraId="10194C13" w14:textId="77777777" w:rsidTr="005542B9">
        <w:trPr>
          <w:cantSplit/>
          <w:trHeight w:val="20"/>
          <w:tblHeader/>
          <w:jc w:val="center"/>
        </w:trPr>
        <w:tc>
          <w:tcPr>
            <w:tcW w:w="1975" w:type="dxa"/>
            <w:tcBorders>
              <w:top w:val="single" w:sz="4" w:space="0" w:color="auto"/>
              <w:left w:val="single" w:sz="4" w:space="0" w:color="auto"/>
              <w:bottom w:val="single" w:sz="4" w:space="0" w:color="auto"/>
              <w:right w:val="single" w:sz="4" w:space="0" w:color="auto"/>
            </w:tcBorders>
            <w:shd w:val="clear" w:color="auto" w:fill="8DA9DB"/>
          </w:tcPr>
          <w:p w14:paraId="44814F05"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Category</w:t>
            </w:r>
          </w:p>
        </w:tc>
        <w:tc>
          <w:tcPr>
            <w:tcW w:w="1410" w:type="dxa"/>
            <w:tcBorders>
              <w:top w:val="single" w:sz="4" w:space="0" w:color="auto"/>
              <w:left w:val="single" w:sz="4" w:space="0" w:color="auto"/>
              <w:bottom w:val="single" w:sz="4" w:space="0" w:color="auto"/>
              <w:right w:val="single" w:sz="4" w:space="0" w:color="auto"/>
            </w:tcBorders>
            <w:shd w:val="clear" w:color="auto" w:fill="8DA9DB"/>
            <w:vAlign w:val="center"/>
          </w:tcPr>
          <w:p w14:paraId="2FC159D8" w14:textId="77777777" w:rsidR="00EA5152" w:rsidRPr="00EA5152" w:rsidRDefault="00EA5152" w:rsidP="004569A3">
            <w:pPr>
              <w:jc w:val="center"/>
              <w:rPr>
                <w:rFonts w:eastAsia="Times New Roman" w:cstheme="minorHAnsi"/>
                <w:sz w:val="24"/>
                <w:szCs w:val="24"/>
              </w:rPr>
            </w:pPr>
            <w:r w:rsidRPr="00EA5152">
              <w:rPr>
                <w:rFonts w:eastAsia="Times New Roman" w:cstheme="minorHAnsi"/>
                <w:b/>
                <w:bCs/>
                <w:sz w:val="24"/>
                <w:szCs w:val="24"/>
              </w:rPr>
              <w:t>FY24</w:t>
            </w:r>
          </w:p>
        </w:tc>
        <w:tc>
          <w:tcPr>
            <w:tcW w:w="1380" w:type="dxa"/>
            <w:tcBorders>
              <w:top w:val="single" w:sz="4" w:space="0" w:color="auto"/>
              <w:left w:val="single" w:sz="4" w:space="0" w:color="auto"/>
              <w:bottom w:val="single" w:sz="4" w:space="0" w:color="auto"/>
            </w:tcBorders>
            <w:shd w:val="clear" w:color="auto" w:fill="8DA9DB"/>
            <w:vAlign w:val="center"/>
          </w:tcPr>
          <w:p w14:paraId="27A083F2" w14:textId="77777777" w:rsidR="00EA5152" w:rsidRPr="00EA5152" w:rsidRDefault="00EA5152" w:rsidP="004569A3">
            <w:pPr>
              <w:ind w:left="-128" w:right="-146"/>
              <w:jc w:val="center"/>
              <w:rPr>
                <w:rFonts w:eastAsia="Times New Roman" w:cstheme="minorHAnsi"/>
                <w:sz w:val="24"/>
                <w:szCs w:val="24"/>
              </w:rPr>
            </w:pPr>
            <w:r w:rsidRPr="00EA5152">
              <w:rPr>
                <w:rFonts w:eastAsia="Times New Roman" w:cstheme="minorHAnsi"/>
                <w:b/>
                <w:bCs/>
                <w:sz w:val="24"/>
                <w:szCs w:val="24"/>
              </w:rPr>
              <w:t>FY25</w:t>
            </w:r>
          </w:p>
        </w:tc>
        <w:tc>
          <w:tcPr>
            <w:tcW w:w="1260" w:type="dxa"/>
            <w:tcBorders>
              <w:top w:val="single" w:sz="4" w:space="0" w:color="auto"/>
              <w:bottom w:val="single" w:sz="4" w:space="0" w:color="auto"/>
            </w:tcBorders>
            <w:shd w:val="clear" w:color="auto" w:fill="8DA9DB"/>
            <w:vAlign w:val="center"/>
          </w:tcPr>
          <w:p w14:paraId="53F29189" w14:textId="77777777" w:rsidR="00EA5152" w:rsidRPr="00EA5152" w:rsidRDefault="00EA5152" w:rsidP="004569A3">
            <w:pPr>
              <w:jc w:val="center"/>
              <w:rPr>
                <w:rFonts w:eastAsia="Times New Roman" w:cstheme="minorHAnsi"/>
                <w:sz w:val="24"/>
                <w:szCs w:val="24"/>
              </w:rPr>
            </w:pPr>
            <w:r w:rsidRPr="00EA5152">
              <w:rPr>
                <w:rFonts w:eastAsia="Times New Roman" w:cstheme="minorHAnsi"/>
                <w:b/>
                <w:bCs/>
                <w:sz w:val="24"/>
                <w:szCs w:val="24"/>
              </w:rPr>
              <w:t>FY26</w:t>
            </w:r>
          </w:p>
        </w:tc>
        <w:tc>
          <w:tcPr>
            <w:tcW w:w="1440" w:type="dxa"/>
            <w:tcBorders>
              <w:top w:val="single" w:sz="4" w:space="0" w:color="auto"/>
              <w:bottom w:val="single" w:sz="4" w:space="0" w:color="auto"/>
            </w:tcBorders>
            <w:shd w:val="clear" w:color="auto" w:fill="8DA9DB"/>
            <w:vAlign w:val="center"/>
          </w:tcPr>
          <w:p w14:paraId="1BC61E92" w14:textId="77777777" w:rsidR="00EA5152" w:rsidRPr="00EA5152" w:rsidRDefault="00EA5152" w:rsidP="004569A3">
            <w:pPr>
              <w:jc w:val="center"/>
              <w:rPr>
                <w:rFonts w:eastAsia="Times New Roman" w:cstheme="minorHAnsi"/>
                <w:sz w:val="24"/>
                <w:szCs w:val="24"/>
              </w:rPr>
            </w:pPr>
            <w:r w:rsidRPr="00EA5152">
              <w:rPr>
                <w:rFonts w:eastAsia="Times New Roman" w:cstheme="minorHAnsi"/>
                <w:b/>
                <w:bCs/>
                <w:sz w:val="24"/>
                <w:szCs w:val="24"/>
              </w:rPr>
              <w:t>FY27</w:t>
            </w:r>
          </w:p>
        </w:tc>
        <w:tc>
          <w:tcPr>
            <w:tcW w:w="1440" w:type="dxa"/>
            <w:tcBorders>
              <w:top w:val="single" w:sz="4" w:space="0" w:color="auto"/>
              <w:bottom w:val="single" w:sz="4" w:space="0" w:color="auto"/>
              <w:right w:val="single" w:sz="4" w:space="0" w:color="auto"/>
            </w:tcBorders>
            <w:shd w:val="clear" w:color="auto" w:fill="8DA9DB"/>
            <w:vAlign w:val="center"/>
          </w:tcPr>
          <w:p w14:paraId="1A8F8CCD"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FY28</w:t>
            </w:r>
          </w:p>
        </w:tc>
      </w:tr>
      <w:tr w:rsidR="00EA5152" w:rsidRPr="00EA5152" w14:paraId="7E15381B" w14:textId="77777777" w:rsidTr="005542B9">
        <w:trPr>
          <w:cantSplit/>
          <w:trHeight w:val="20"/>
          <w:jc w:val="center"/>
        </w:trPr>
        <w:tc>
          <w:tcPr>
            <w:tcW w:w="1975" w:type="dxa"/>
            <w:tcBorders>
              <w:top w:val="single" w:sz="4" w:space="0" w:color="auto"/>
              <w:left w:val="single" w:sz="4" w:space="0" w:color="auto"/>
              <w:bottom w:val="single" w:sz="4" w:space="0" w:color="auto"/>
              <w:right w:val="single" w:sz="4" w:space="0" w:color="auto"/>
            </w:tcBorders>
          </w:tcPr>
          <w:p w14:paraId="35881FD6"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Emergency</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23A31A7"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2,451</w:t>
            </w:r>
          </w:p>
        </w:tc>
        <w:tc>
          <w:tcPr>
            <w:tcW w:w="1380" w:type="dxa"/>
            <w:tcBorders>
              <w:top w:val="single" w:sz="4" w:space="0" w:color="auto"/>
              <w:left w:val="single" w:sz="4" w:space="0" w:color="auto"/>
              <w:bottom w:val="single" w:sz="4" w:space="0" w:color="auto"/>
            </w:tcBorders>
            <w:shd w:val="clear" w:color="auto" w:fill="auto"/>
          </w:tcPr>
          <w:p w14:paraId="4D8FB67F" w14:textId="77777777" w:rsidR="00EA5152" w:rsidRPr="00EA5152" w:rsidRDefault="00EA5152" w:rsidP="004569A3">
            <w:pPr>
              <w:ind w:left="-128" w:right="-146"/>
              <w:jc w:val="center"/>
              <w:rPr>
                <w:rFonts w:eastAsia="Times New Roman" w:cstheme="minorHAnsi"/>
                <w:b/>
                <w:bCs/>
                <w:sz w:val="24"/>
                <w:szCs w:val="24"/>
              </w:rPr>
            </w:pPr>
            <w:r w:rsidRPr="00EA5152">
              <w:rPr>
                <w:rFonts w:cstheme="minorHAnsi"/>
                <w:sz w:val="24"/>
                <w:szCs w:val="24"/>
              </w:rPr>
              <w:t xml:space="preserve"> 2,550 </w:t>
            </w:r>
          </w:p>
        </w:tc>
        <w:tc>
          <w:tcPr>
            <w:tcW w:w="1260" w:type="dxa"/>
            <w:tcBorders>
              <w:top w:val="single" w:sz="4" w:space="0" w:color="auto"/>
              <w:bottom w:val="single" w:sz="4" w:space="0" w:color="auto"/>
            </w:tcBorders>
            <w:shd w:val="clear" w:color="auto" w:fill="auto"/>
          </w:tcPr>
          <w:p w14:paraId="1D591662"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2,601 </w:t>
            </w:r>
          </w:p>
        </w:tc>
        <w:tc>
          <w:tcPr>
            <w:tcW w:w="1440" w:type="dxa"/>
            <w:tcBorders>
              <w:top w:val="single" w:sz="4" w:space="0" w:color="auto"/>
              <w:bottom w:val="single" w:sz="4" w:space="0" w:color="auto"/>
            </w:tcBorders>
            <w:shd w:val="clear" w:color="auto" w:fill="auto"/>
          </w:tcPr>
          <w:p w14:paraId="7DBC64D2"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2,653 </w:t>
            </w:r>
          </w:p>
        </w:tc>
        <w:tc>
          <w:tcPr>
            <w:tcW w:w="1440" w:type="dxa"/>
            <w:tcBorders>
              <w:top w:val="single" w:sz="4" w:space="0" w:color="auto"/>
              <w:bottom w:val="single" w:sz="4" w:space="0" w:color="auto"/>
              <w:right w:val="single" w:sz="4" w:space="0" w:color="auto"/>
            </w:tcBorders>
            <w:shd w:val="clear" w:color="auto" w:fill="auto"/>
          </w:tcPr>
          <w:p w14:paraId="3F74C779"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2,653 </w:t>
            </w:r>
          </w:p>
        </w:tc>
      </w:tr>
      <w:tr w:rsidR="00EA5152" w:rsidRPr="00EA5152" w14:paraId="6D541106" w14:textId="77777777" w:rsidTr="005542B9">
        <w:trPr>
          <w:cantSplit/>
          <w:trHeight w:val="20"/>
          <w:jc w:val="center"/>
        </w:trPr>
        <w:tc>
          <w:tcPr>
            <w:tcW w:w="1975" w:type="dxa"/>
            <w:tcBorders>
              <w:top w:val="single" w:sz="4" w:space="0" w:color="auto"/>
              <w:left w:val="single" w:sz="4" w:space="0" w:color="auto"/>
              <w:bottom w:val="single" w:sz="4" w:space="0" w:color="auto"/>
              <w:right w:val="single" w:sz="4" w:space="0" w:color="auto"/>
            </w:tcBorders>
          </w:tcPr>
          <w:p w14:paraId="0F166B22"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Inpatient</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A18ACA0"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5,091</w:t>
            </w:r>
          </w:p>
        </w:tc>
        <w:tc>
          <w:tcPr>
            <w:tcW w:w="1380" w:type="dxa"/>
            <w:tcBorders>
              <w:top w:val="single" w:sz="4" w:space="0" w:color="auto"/>
              <w:left w:val="single" w:sz="4" w:space="0" w:color="auto"/>
              <w:bottom w:val="single" w:sz="4" w:space="0" w:color="auto"/>
            </w:tcBorders>
            <w:shd w:val="clear" w:color="auto" w:fill="auto"/>
          </w:tcPr>
          <w:p w14:paraId="4FA35595" w14:textId="77777777" w:rsidR="00EA5152" w:rsidRPr="00EA5152" w:rsidRDefault="00EA5152" w:rsidP="004569A3">
            <w:pPr>
              <w:ind w:left="-128" w:right="-146"/>
              <w:jc w:val="center"/>
              <w:rPr>
                <w:rFonts w:eastAsia="Times New Roman" w:cstheme="minorHAnsi"/>
                <w:b/>
                <w:bCs/>
                <w:sz w:val="24"/>
                <w:szCs w:val="24"/>
              </w:rPr>
            </w:pPr>
            <w:r w:rsidRPr="00EA5152">
              <w:rPr>
                <w:rFonts w:cstheme="minorHAnsi"/>
                <w:sz w:val="24"/>
                <w:szCs w:val="24"/>
              </w:rPr>
              <w:t xml:space="preserve"> 6,212 </w:t>
            </w:r>
          </w:p>
        </w:tc>
        <w:tc>
          <w:tcPr>
            <w:tcW w:w="1260" w:type="dxa"/>
            <w:tcBorders>
              <w:top w:val="single" w:sz="4" w:space="0" w:color="auto"/>
              <w:bottom w:val="single" w:sz="4" w:space="0" w:color="auto"/>
            </w:tcBorders>
            <w:shd w:val="clear" w:color="auto" w:fill="auto"/>
          </w:tcPr>
          <w:p w14:paraId="48171EB4"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6,316 </w:t>
            </w:r>
          </w:p>
        </w:tc>
        <w:tc>
          <w:tcPr>
            <w:tcW w:w="1440" w:type="dxa"/>
            <w:tcBorders>
              <w:top w:val="single" w:sz="4" w:space="0" w:color="auto"/>
              <w:bottom w:val="single" w:sz="4" w:space="0" w:color="auto"/>
            </w:tcBorders>
            <w:shd w:val="clear" w:color="auto" w:fill="auto"/>
          </w:tcPr>
          <w:p w14:paraId="3A01B69C"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6,929 </w:t>
            </w:r>
          </w:p>
        </w:tc>
        <w:tc>
          <w:tcPr>
            <w:tcW w:w="1440" w:type="dxa"/>
            <w:tcBorders>
              <w:top w:val="single" w:sz="4" w:space="0" w:color="auto"/>
              <w:bottom w:val="single" w:sz="4" w:space="0" w:color="auto"/>
              <w:right w:val="single" w:sz="4" w:space="0" w:color="auto"/>
            </w:tcBorders>
            <w:shd w:val="clear" w:color="auto" w:fill="auto"/>
          </w:tcPr>
          <w:p w14:paraId="6EC742A1"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6,929 </w:t>
            </w:r>
          </w:p>
        </w:tc>
      </w:tr>
      <w:tr w:rsidR="00EA5152" w:rsidRPr="00EA5152" w14:paraId="633C9D10" w14:textId="77777777" w:rsidTr="005542B9">
        <w:trPr>
          <w:cantSplit/>
          <w:trHeight w:val="20"/>
          <w:jc w:val="center"/>
        </w:trPr>
        <w:tc>
          <w:tcPr>
            <w:tcW w:w="1975" w:type="dxa"/>
            <w:tcBorders>
              <w:top w:val="single" w:sz="4" w:space="0" w:color="auto"/>
              <w:left w:val="single" w:sz="4" w:space="0" w:color="auto"/>
              <w:bottom w:val="single" w:sz="4" w:space="0" w:color="auto"/>
              <w:right w:val="single" w:sz="4" w:space="0" w:color="auto"/>
            </w:tcBorders>
          </w:tcPr>
          <w:p w14:paraId="4D1DFACE"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Outpatient</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122B92C5" w14:textId="77777777" w:rsidR="00EA5152" w:rsidRPr="00EA5152" w:rsidRDefault="00EA5152" w:rsidP="004569A3">
            <w:pPr>
              <w:jc w:val="center"/>
              <w:rPr>
                <w:rFonts w:eastAsia="Times New Roman" w:cstheme="minorHAnsi"/>
                <w:sz w:val="24"/>
                <w:szCs w:val="24"/>
              </w:rPr>
            </w:pPr>
            <w:r w:rsidRPr="00EA5152">
              <w:rPr>
                <w:rFonts w:eastAsia="Times New Roman" w:cstheme="minorHAnsi"/>
                <w:sz w:val="24"/>
                <w:szCs w:val="24"/>
              </w:rPr>
              <w:t>17,692</w:t>
            </w:r>
          </w:p>
        </w:tc>
        <w:tc>
          <w:tcPr>
            <w:tcW w:w="1380" w:type="dxa"/>
            <w:tcBorders>
              <w:top w:val="single" w:sz="4" w:space="0" w:color="auto"/>
              <w:left w:val="single" w:sz="4" w:space="0" w:color="auto"/>
              <w:bottom w:val="single" w:sz="4" w:space="0" w:color="auto"/>
            </w:tcBorders>
            <w:shd w:val="clear" w:color="auto" w:fill="auto"/>
          </w:tcPr>
          <w:p w14:paraId="2CAA528E" w14:textId="77777777" w:rsidR="00EA5152" w:rsidRPr="00EA5152" w:rsidRDefault="00EA5152" w:rsidP="004569A3">
            <w:pPr>
              <w:ind w:left="-128" w:right="-146"/>
              <w:jc w:val="center"/>
              <w:rPr>
                <w:rFonts w:eastAsia="Times New Roman" w:cstheme="minorHAnsi"/>
                <w:b/>
                <w:bCs/>
                <w:sz w:val="24"/>
                <w:szCs w:val="24"/>
              </w:rPr>
            </w:pPr>
            <w:r w:rsidRPr="00EA5152">
              <w:rPr>
                <w:rFonts w:cstheme="minorHAnsi"/>
                <w:sz w:val="24"/>
                <w:szCs w:val="24"/>
              </w:rPr>
              <w:t xml:space="preserve"> 21,966 </w:t>
            </w:r>
          </w:p>
        </w:tc>
        <w:tc>
          <w:tcPr>
            <w:tcW w:w="1260" w:type="dxa"/>
            <w:tcBorders>
              <w:top w:val="single" w:sz="4" w:space="0" w:color="auto"/>
              <w:bottom w:val="single" w:sz="4" w:space="0" w:color="auto"/>
            </w:tcBorders>
            <w:shd w:val="clear" w:color="auto" w:fill="auto"/>
          </w:tcPr>
          <w:p w14:paraId="1D2DD3E6"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22,753 </w:t>
            </w:r>
          </w:p>
        </w:tc>
        <w:tc>
          <w:tcPr>
            <w:tcW w:w="1440" w:type="dxa"/>
            <w:tcBorders>
              <w:top w:val="single" w:sz="4" w:space="0" w:color="auto"/>
              <w:bottom w:val="single" w:sz="4" w:space="0" w:color="auto"/>
            </w:tcBorders>
            <w:shd w:val="clear" w:color="auto" w:fill="auto"/>
          </w:tcPr>
          <w:p w14:paraId="0226EEE2"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23,015 </w:t>
            </w:r>
          </w:p>
        </w:tc>
        <w:tc>
          <w:tcPr>
            <w:tcW w:w="1440" w:type="dxa"/>
            <w:tcBorders>
              <w:top w:val="single" w:sz="4" w:space="0" w:color="auto"/>
              <w:bottom w:val="single" w:sz="4" w:space="0" w:color="auto"/>
              <w:right w:val="single" w:sz="4" w:space="0" w:color="auto"/>
            </w:tcBorders>
            <w:shd w:val="clear" w:color="auto" w:fill="auto"/>
          </w:tcPr>
          <w:p w14:paraId="2AA6FCCA" w14:textId="77777777" w:rsidR="00EA5152" w:rsidRPr="00EA5152" w:rsidRDefault="00EA5152" w:rsidP="004569A3">
            <w:pPr>
              <w:jc w:val="center"/>
              <w:rPr>
                <w:rFonts w:eastAsia="Times New Roman" w:cstheme="minorHAnsi"/>
                <w:b/>
                <w:bCs/>
                <w:sz w:val="24"/>
                <w:szCs w:val="24"/>
              </w:rPr>
            </w:pPr>
            <w:r w:rsidRPr="00EA5152">
              <w:rPr>
                <w:rFonts w:cstheme="minorHAnsi"/>
                <w:sz w:val="24"/>
                <w:szCs w:val="24"/>
              </w:rPr>
              <w:t xml:space="preserve"> 23,015 </w:t>
            </w:r>
          </w:p>
        </w:tc>
      </w:tr>
      <w:tr w:rsidR="00EA5152" w:rsidRPr="00EA5152" w14:paraId="0BA8BE2E" w14:textId="77777777" w:rsidTr="005542B9">
        <w:trPr>
          <w:cantSplit/>
          <w:trHeight w:val="20"/>
          <w:jc w:val="center"/>
        </w:trPr>
        <w:tc>
          <w:tcPr>
            <w:tcW w:w="1975" w:type="dxa"/>
            <w:tcBorders>
              <w:top w:val="single" w:sz="4" w:space="0" w:color="auto"/>
              <w:left w:val="single" w:sz="4" w:space="0" w:color="auto"/>
              <w:bottom w:val="single" w:sz="4" w:space="0" w:color="auto"/>
              <w:right w:val="single" w:sz="4" w:space="0" w:color="auto"/>
            </w:tcBorders>
          </w:tcPr>
          <w:p w14:paraId="27624AD4"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Total</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00DD5C98"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25,234</w:t>
            </w:r>
          </w:p>
        </w:tc>
        <w:tc>
          <w:tcPr>
            <w:tcW w:w="1380" w:type="dxa"/>
            <w:tcBorders>
              <w:top w:val="single" w:sz="4" w:space="0" w:color="auto"/>
              <w:left w:val="single" w:sz="4" w:space="0" w:color="auto"/>
              <w:bottom w:val="single" w:sz="4" w:space="0" w:color="auto"/>
            </w:tcBorders>
            <w:shd w:val="clear" w:color="auto" w:fill="auto"/>
          </w:tcPr>
          <w:p w14:paraId="4735E1D3"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30,728</w:t>
            </w:r>
          </w:p>
        </w:tc>
        <w:tc>
          <w:tcPr>
            <w:tcW w:w="1260" w:type="dxa"/>
            <w:tcBorders>
              <w:top w:val="single" w:sz="4" w:space="0" w:color="auto"/>
              <w:bottom w:val="single" w:sz="4" w:space="0" w:color="auto"/>
            </w:tcBorders>
            <w:shd w:val="clear" w:color="auto" w:fill="auto"/>
          </w:tcPr>
          <w:p w14:paraId="792534BD"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31,670</w:t>
            </w:r>
          </w:p>
        </w:tc>
        <w:tc>
          <w:tcPr>
            <w:tcW w:w="1440" w:type="dxa"/>
            <w:tcBorders>
              <w:top w:val="single" w:sz="4" w:space="0" w:color="auto"/>
              <w:bottom w:val="single" w:sz="4" w:space="0" w:color="auto"/>
            </w:tcBorders>
            <w:shd w:val="clear" w:color="auto" w:fill="auto"/>
          </w:tcPr>
          <w:p w14:paraId="23654134"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32,597</w:t>
            </w:r>
          </w:p>
        </w:tc>
        <w:tc>
          <w:tcPr>
            <w:tcW w:w="1440" w:type="dxa"/>
            <w:tcBorders>
              <w:top w:val="single" w:sz="4" w:space="0" w:color="auto"/>
              <w:bottom w:val="single" w:sz="4" w:space="0" w:color="auto"/>
              <w:right w:val="single" w:sz="4" w:space="0" w:color="auto"/>
            </w:tcBorders>
            <w:shd w:val="clear" w:color="auto" w:fill="auto"/>
          </w:tcPr>
          <w:p w14:paraId="7E833C2E" w14:textId="77777777" w:rsidR="00EA5152" w:rsidRPr="00EA5152" w:rsidRDefault="00EA5152" w:rsidP="004569A3">
            <w:pPr>
              <w:jc w:val="center"/>
              <w:rPr>
                <w:rFonts w:eastAsia="Times New Roman" w:cstheme="minorHAnsi"/>
                <w:b/>
                <w:bCs/>
                <w:sz w:val="24"/>
                <w:szCs w:val="24"/>
              </w:rPr>
            </w:pPr>
            <w:r w:rsidRPr="00EA5152">
              <w:rPr>
                <w:rFonts w:eastAsia="Times New Roman" w:cstheme="minorHAnsi"/>
                <w:b/>
                <w:bCs/>
                <w:sz w:val="24"/>
                <w:szCs w:val="24"/>
              </w:rPr>
              <w:t>32,597</w:t>
            </w:r>
          </w:p>
        </w:tc>
      </w:tr>
    </w:tbl>
    <w:p w14:paraId="63949BCA" w14:textId="77777777" w:rsidR="00EA5152" w:rsidRPr="00EA5152" w:rsidRDefault="00EA5152" w:rsidP="00EA5152">
      <w:pPr>
        <w:spacing w:before="240" w:line="229" w:lineRule="exact"/>
        <w:rPr>
          <w:rFonts w:cstheme="minorHAnsi"/>
          <w:bCs/>
          <w:sz w:val="24"/>
          <w:szCs w:val="24"/>
        </w:rPr>
      </w:pPr>
    </w:p>
    <w:p w14:paraId="57296D3F" w14:textId="77777777" w:rsidR="00EA5152" w:rsidRPr="00EA5152" w:rsidRDefault="00EA5152" w:rsidP="00EA5152">
      <w:pPr>
        <w:pStyle w:val="ListParagraph"/>
        <w:numPr>
          <w:ilvl w:val="0"/>
          <w:numId w:val="32"/>
        </w:numPr>
        <w:spacing w:before="240" w:line="229" w:lineRule="exact"/>
        <w:rPr>
          <w:rFonts w:cstheme="minorHAnsi"/>
          <w:b/>
          <w:sz w:val="24"/>
          <w:szCs w:val="24"/>
        </w:rPr>
      </w:pPr>
      <w:r w:rsidRPr="00EA5152">
        <w:rPr>
          <w:rFonts w:cstheme="minorHAnsi"/>
          <w:b/>
          <w:sz w:val="24"/>
          <w:szCs w:val="24"/>
        </w:rPr>
        <w:t>On page 9 you note that in FY 22, 400 patients were impacted by MRI downtime and that YTD this year 100 have been impacted YTD. What months does the YTD encompass? How were the patients impacted? For example, were they rescheduled and/or did they experience extended wait-times.</w:t>
      </w:r>
    </w:p>
    <w:p w14:paraId="6B50F40F" w14:textId="77777777" w:rsidR="00EA5152" w:rsidRPr="00EA5152" w:rsidRDefault="00EA5152" w:rsidP="00EA5152">
      <w:pPr>
        <w:spacing w:before="240" w:line="229" w:lineRule="exact"/>
        <w:ind w:left="720"/>
        <w:rPr>
          <w:rFonts w:cstheme="minorHAnsi"/>
          <w:bCs/>
          <w:sz w:val="24"/>
          <w:szCs w:val="24"/>
        </w:rPr>
      </w:pPr>
      <w:r w:rsidRPr="00EA5152">
        <w:rPr>
          <w:rFonts w:cstheme="minorHAnsi"/>
          <w:bCs/>
          <w:sz w:val="24"/>
          <w:szCs w:val="24"/>
        </w:rPr>
        <w:t xml:space="preserve">As noted within the Determination of Need narrative, when the current MRI units at BMC experience downtime, patients are impacted in a variety ways. First, impacted patients require rescheduling, so appointments are made for another day. Second, the rescheduling of appointments exacerbates wait times for MRI scans. Since patients with emergent health needs are prioritized for MRI scans, those patients awaiting routine or other MRI scans experience longer wait times, and potential delays in treatment. </w:t>
      </w:r>
    </w:p>
    <w:p w14:paraId="65C17729" w14:textId="5D5C2791" w:rsidR="00536B22" w:rsidRPr="00EA5152" w:rsidRDefault="00EA5152" w:rsidP="0062119E">
      <w:pPr>
        <w:spacing w:before="240" w:line="229" w:lineRule="exact"/>
        <w:ind w:left="720"/>
        <w:rPr>
          <w:rFonts w:cstheme="minorHAnsi"/>
          <w:sz w:val="24"/>
          <w:szCs w:val="24"/>
        </w:rPr>
      </w:pPr>
      <w:r w:rsidRPr="00EA5152">
        <w:rPr>
          <w:rFonts w:cstheme="minorHAnsi"/>
          <w:bCs/>
          <w:sz w:val="24"/>
          <w:szCs w:val="24"/>
        </w:rPr>
        <w:lastRenderedPageBreak/>
        <w:t xml:space="preserve">In regard to the noted 100 patients that were impacted over the last year, this time period includes October 2022 – June 2023. </w:t>
      </w:r>
    </w:p>
    <w:sectPr w:rsidR="00536B22" w:rsidRPr="00EA5152" w:rsidSect="004B678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AD76" w14:textId="77777777" w:rsidR="003F621D" w:rsidRDefault="003F621D" w:rsidP="00231103">
      <w:pPr>
        <w:spacing w:after="0" w:line="240" w:lineRule="auto"/>
      </w:pPr>
      <w:r>
        <w:separator/>
      </w:r>
    </w:p>
  </w:endnote>
  <w:endnote w:type="continuationSeparator" w:id="0">
    <w:p w14:paraId="7A354668" w14:textId="77777777" w:rsidR="003F621D" w:rsidRDefault="003F621D" w:rsidP="00231103">
      <w:pPr>
        <w:spacing w:after="0" w:line="240" w:lineRule="auto"/>
      </w:pPr>
      <w:r>
        <w:continuationSeparator/>
      </w:r>
    </w:p>
  </w:endnote>
  <w:endnote w:type="continuationNotice" w:id="1">
    <w:p w14:paraId="3476F4D5" w14:textId="77777777" w:rsidR="003F621D" w:rsidRDefault="003F6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87CA" w14:textId="77777777" w:rsidR="00225C94" w:rsidRDefault="00225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8052" w14:textId="77777777" w:rsidR="00225C94" w:rsidRDefault="0022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B5A73" w14:textId="77777777" w:rsidR="003F621D" w:rsidRDefault="003F621D" w:rsidP="00231103">
      <w:pPr>
        <w:spacing w:after="0" w:line="240" w:lineRule="auto"/>
      </w:pPr>
      <w:r>
        <w:separator/>
      </w:r>
    </w:p>
  </w:footnote>
  <w:footnote w:type="continuationSeparator" w:id="0">
    <w:p w14:paraId="3CF3FDDC" w14:textId="77777777" w:rsidR="003F621D" w:rsidRDefault="003F621D" w:rsidP="00231103">
      <w:pPr>
        <w:spacing w:after="0" w:line="240" w:lineRule="auto"/>
      </w:pPr>
      <w:r>
        <w:continuationSeparator/>
      </w:r>
    </w:p>
  </w:footnote>
  <w:footnote w:type="continuationNotice" w:id="1">
    <w:p w14:paraId="04DFA2AB" w14:textId="77777777" w:rsidR="003F621D" w:rsidRDefault="003F621D">
      <w:pPr>
        <w:spacing w:after="0" w:line="240" w:lineRule="auto"/>
      </w:pPr>
    </w:p>
  </w:footnote>
  <w:footnote w:id="2">
    <w:p w14:paraId="031A19EC" w14:textId="6BD7131E" w:rsidR="005C0799" w:rsidRPr="00EA5152" w:rsidRDefault="005C0799" w:rsidP="005C0799">
      <w:pPr>
        <w:pStyle w:val="FootnoteText"/>
        <w:rPr>
          <w:rFonts w:cstheme="minorHAnsi"/>
          <w:sz w:val="18"/>
          <w:szCs w:val="18"/>
        </w:rPr>
      </w:pPr>
      <w:r w:rsidRPr="00EA5152">
        <w:rPr>
          <w:rStyle w:val="FootnoteReference"/>
          <w:rFonts w:cstheme="minorHAnsi"/>
          <w:sz w:val="18"/>
          <w:szCs w:val="18"/>
        </w:rPr>
        <w:footnoteRef/>
      </w:r>
      <w:r w:rsidRPr="00EA5152">
        <w:rPr>
          <w:rFonts w:cstheme="minorHAnsi"/>
          <w:sz w:val="18"/>
          <w:szCs w:val="18"/>
        </w:rPr>
        <w:t xml:space="preserve"> Sutton JP, Washington RE, Fingar KR, et al. </w:t>
      </w:r>
      <w:hyperlink r:id="rId1" w:history="1">
        <w:r w:rsidRPr="00553487">
          <w:rPr>
            <w:rStyle w:val="Hyperlink"/>
            <w:rFonts w:cstheme="minorHAnsi"/>
            <w:color w:val="auto"/>
            <w:sz w:val="18"/>
            <w:szCs w:val="18"/>
            <w:u w:val="none"/>
          </w:rPr>
          <w:t>Characteristics of Safety-Net Hospitals, 2014.</w:t>
        </w:r>
      </w:hyperlink>
      <w:r w:rsidRPr="00553487">
        <w:rPr>
          <w:rFonts w:cstheme="minorHAnsi"/>
          <w:sz w:val="18"/>
          <w:szCs w:val="18"/>
        </w:rPr>
        <w:t xml:space="preserve"> 2016 Oct. In: Healthcare Cost and Utilization Project (HCUP) Statistical Briefs [Internet]. Rockville (MD): Agency for Healthcare Research and Quality (US); 2006 Feb-. Statistical Brief #213. Available from: </w:t>
      </w:r>
      <w:hyperlink r:id="rId2" w:history="1">
        <w:r w:rsidRPr="00553487">
          <w:rPr>
            <w:rStyle w:val="Hyperlink"/>
            <w:rFonts w:cstheme="minorHAnsi"/>
            <w:color w:val="auto"/>
            <w:sz w:val="18"/>
            <w:szCs w:val="18"/>
            <w:u w:val="none"/>
          </w:rPr>
          <w:t>https://www.ncbi.nlm.nih.gov/books/NBK401306/</w:t>
        </w:r>
      </w:hyperlink>
      <w:r w:rsidRPr="00553487">
        <w:rPr>
          <w:rFonts w:cstheme="minorHAnsi"/>
          <w:sz w:val="18"/>
          <w:szCs w:val="18"/>
        </w:rPr>
        <w:t xml:space="preserve"> </w:t>
      </w:r>
    </w:p>
  </w:footnote>
  <w:footnote w:id="3">
    <w:p w14:paraId="1B6131E7" w14:textId="77777777" w:rsidR="005C0799" w:rsidRPr="00EA5152" w:rsidRDefault="005C0799" w:rsidP="005C0799">
      <w:pPr>
        <w:pStyle w:val="FootnoteText"/>
        <w:rPr>
          <w:rFonts w:cstheme="minorHAnsi"/>
          <w:sz w:val="18"/>
          <w:szCs w:val="18"/>
        </w:rPr>
      </w:pPr>
      <w:r w:rsidRPr="00EA5152">
        <w:rPr>
          <w:rStyle w:val="FootnoteReference"/>
          <w:rFonts w:cstheme="minorHAnsi"/>
          <w:sz w:val="18"/>
          <w:szCs w:val="18"/>
        </w:rPr>
        <w:footnoteRef/>
      </w:r>
      <w:r w:rsidRPr="00EA5152">
        <w:rPr>
          <w:rFonts w:cstheme="minorHAnsi"/>
          <w:sz w:val="18"/>
          <w:szCs w:val="18"/>
        </w:rPr>
        <w:t xml:space="preserve"> </w:t>
      </w:r>
      <w:r w:rsidRPr="00EA5152">
        <w:rPr>
          <w:rFonts w:cstheme="minorHAnsi"/>
          <w:i/>
          <w:iCs/>
          <w:sz w:val="18"/>
          <w:szCs w:val="18"/>
        </w:rPr>
        <w:t>Id.</w:t>
      </w:r>
    </w:p>
  </w:footnote>
  <w:footnote w:id="4">
    <w:p w14:paraId="7AC4231D" w14:textId="224E1E81" w:rsidR="005C0799" w:rsidRPr="00EA5152" w:rsidRDefault="005C0799" w:rsidP="005C0799">
      <w:pPr>
        <w:pStyle w:val="FootnoteText"/>
        <w:rPr>
          <w:rFonts w:cstheme="minorHAnsi"/>
          <w:sz w:val="18"/>
          <w:szCs w:val="18"/>
        </w:rPr>
      </w:pPr>
      <w:r w:rsidRPr="00EA5152">
        <w:rPr>
          <w:rStyle w:val="FootnoteReference"/>
          <w:rFonts w:cstheme="minorHAnsi"/>
          <w:sz w:val="18"/>
          <w:szCs w:val="18"/>
        </w:rPr>
        <w:footnoteRef/>
      </w:r>
      <w:r w:rsidRPr="00EA5152">
        <w:rPr>
          <w:rFonts w:cstheme="minorHAnsi"/>
          <w:sz w:val="18"/>
          <w:szCs w:val="18"/>
        </w:rPr>
        <w:t xml:space="preserve"> Lukas C, Holmes S, </w:t>
      </w:r>
      <w:r w:rsidRPr="00553487">
        <w:rPr>
          <w:rFonts w:cstheme="minorHAnsi"/>
          <w:sz w:val="18"/>
          <w:szCs w:val="18"/>
        </w:rPr>
        <w:t xml:space="preserve">Harrison M. </w:t>
      </w:r>
      <w:hyperlink r:id="rId3" w:history="1">
        <w:r w:rsidRPr="00553487">
          <w:rPr>
            <w:rStyle w:val="Hyperlink"/>
            <w:rFonts w:cstheme="minorHAnsi"/>
            <w:color w:val="auto"/>
            <w:sz w:val="18"/>
            <w:szCs w:val="18"/>
            <w:u w:val="none"/>
          </w:rPr>
          <w:t>Can safety net hospital systems redesign themselves to achieve financial viability?</w:t>
        </w:r>
      </w:hyperlink>
      <w:r w:rsidRPr="00553487">
        <w:rPr>
          <w:rFonts w:cstheme="minorHAnsi"/>
          <w:sz w:val="18"/>
          <w:szCs w:val="18"/>
        </w:rPr>
        <w:t xml:space="preserve"> Health Affairs Blog. Mar 16, 2015. [August 29, 2016]. </w:t>
      </w:r>
      <w:hyperlink r:id="rId4" w:history="1">
        <w:r w:rsidRPr="00553487">
          <w:rPr>
            <w:rStyle w:val="Hyperlink"/>
            <w:rFonts w:cstheme="minorHAnsi"/>
            <w:color w:val="auto"/>
            <w:sz w:val="18"/>
            <w:szCs w:val="18"/>
            <w:u w:val="none"/>
          </w:rPr>
          <w:t>http:​//healthaffairs​.org/blog/2015/03/16​/can-safety-net-hospital-systems-redesign-themselves-to-achieve-financial-viability/</w:t>
        </w:r>
      </w:hyperlink>
      <w:r w:rsidRPr="00553487">
        <w:rPr>
          <w:rFonts w:cstheme="minorHAnsi"/>
          <w:sz w:val="18"/>
          <w:szCs w:val="18"/>
        </w:rPr>
        <w:t xml:space="preserve"> </w:t>
      </w:r>
    </w:p>
  </w:footnote>
  <w:footnote w:id="5">
    <w:p w14:paraId="51840938" w14:textId="689AB024" w:rsidR="005C0799" w:rsidRPr="008468C5" w:rsidRDefault="005C0799" w:rsidP="005C0799">
      <w:pPr>
        <w:pStyle w:val="FootnoteText"/>
        <w:rPr>
          <w:rFonts w:ascii="Times New Roman" w:hAnsi="Times New Roman" w:cs="Times New Roman"/>
          <w:sz w:val="18"/>
          <w:szCs w:val="18"/>
        </w:rPr>
      </w:pPr>
      <w:r w:rsidRPr="008468C5">
        <w:rPr>
          <w:rStyle w:val="FootnoteReference"/>
          <w:rFonts w:cstheme="minorHAnsi"/>
          <w:sz w:val="18"/>
          <w:szCs w:val="18"/>
        </w:rPr>
        <w:footnoteRef/>
      </w:r>
      <w:r w:rsidRPr="008468C5">
        <w:rPr>
          <w:rFonts w:cstheme="minorHAnsi"/>
          <w:sz w:val="18"/>
          <w:szCs w:val="18"/>
        </w:rPr>
        <w:t xml:space="preserve"> </w:t>
      </w:r>
      <w:hyperlink r:id="rId5" w:history="1">
        <w:r w:rsidRPr="00E813F4">
          <w:rPr>
            <w:rStyle w:val="Hyperlink"/>
            <w:rFonts w:cstheme="minorHAnsi"/>
            <w:color w:val="auto"/>
            <w:sz w:val="18"/>
            <w:szCs w:val="18"/>
            <w:u w:val="none"/>
          </w:rPr>
          <w:t>Fiscal Year 2022 Health Safety Net Annual Report</w:t>
        </w:r>
      </w:hyperlink>
      <w:r w:rsidRPr="008468C5">
        <w:rPr>
          <w:rFonts w:cstheme="minorHAnsi"/>
          <w:sz w:val="18"/>
          <w:szCs w:val="18"/>
        </w:rPr>
        <w:t xml:space="preserve">: </w:t>
      </w:r>
      <w:hyperlink r:id="rId6" w:history="1">
        <w:r w:rsidRPr="008468C5">
          <w:rPr>
            <w:rStyle w:val="Hyperlink"/>
            <w:rFonts w:cstheme="minorHAnsi"/>
            <w:sz w:val="18"/>
            <w:szCs w:val="18"/>
          </w:rPr>
          <w:t>www.mass.gov/doc/hsn-annual-report-january-2023/download</w:t>
        </w:r>
      </w:hyperlink>
    </w:p>
  </w:footnote>
  <w:footnote w:id="6">
    <w:p w14:paraId="51628295" w14:textId="77777777" w:rsidR="005C0799" w:rsidRPr="008468C5" w:rsidRDefault="005C0799" w:rsidP="005C0799">
      <w:pPr>
        <w:pStyle w:val="FootnoteText"/>
        <w:rPr>
          <w:rFonts w:cstheme="minorHAnsi"/>
          <w:sz w:val="18"/>
          <w:szCs w:val="18"/>
        </w:rPr>
      </w:pPr>
      <w:r w:rsidRPr="008468C5">
        <w:rPr>
          <w:rStyle w:val="FootnoteReference"/>
          <w:rFonts w:cstheme="minorHAnsi"/>
          <w:sz w:val="18"/>
          <w:szCs w:val="18"/>
        </w:rPr>
        <w:footnoteRef/>
      </w:r>
      <w:r w:rsidRPr="008468C5">
        <w:rPr>
          <w:rFonts w:cstheme="minorHAnsi"/>
          <w:sz w:val="18"/>
          <w:szCs w:val="18"/>
        </w:rPr>
        <w:t xml:space="preserve"> </w:t>
      </w:r>
      <w:r w:rsidRPr="008468C5">
        <w:rPr>
          <w:rFonts w:cstheme="minorHAnsi"/>
          <w:i/>
          <w:iCs/>
          <w:sz w:val="18"/>
          <w:szCs w:val="18"/>
        </w:rPr>
        <w:t>Id.</w:t>
      </w:r>
    </w:p>
  </w:footnote>
  <w:footnote w:id="7">
    <w:p w14:paraId="4B3874C8" w14:textId="77777777" w:rsidR="005C0799" w:rsidRPr="008468C5" w:rsidRDefault="005C0799" w:rsidP="005C0799">
      <w:pPr>
        <w:pStyle w:val="FootnoteText"/>
        <w:rPr>
          <w:rFonts w:cstheme="minorHAnsi"/>
          <w:sz w:val="18"/>
          <w:szCs w:val="18"/>
        </w:rPr>
      </w:pPr>
      <w:r w:rsidRPr="008468C5">
        <w:rPr>
          <w:rStyle w:val="FootnoteReference"/>
          <w:rFonts w:cstheme="minorHAnsi"/>
          <w:sz w:val="18"/>
          <w:szCs w:val="18"/>
        </w:rPr>
        <w:footnoteRef/>
      </w:r>
      <w:r w:rsidRPr="008468C5">
        <w:rPr>
          <w:rFonts w:cstheme="minorHAnsi"/>
          <w:sz w:val="18"/>
          <w:szCs w:val="18"/>
        </w:rPr>
        <w:t xml:space="preserve"> </w:t>
      </w:r>
      <w:r w:rsidRPr="008468C5">
        <w:rPr>
          <w:rFonts w:cstheme="minorHAnsi"/>
          <w:i/>
          <w:iCs/>
          <w:sz w:val="18"/>
          <w:szCs w:val="18"/>
        </w:rPr>
        <w:t>Id.</w:t>
      </w:r>
    </w:p>
  </w:footnote>
  <w:footnote w:id="8">
    <w:p w14:paraId="4FE4F0A6" w14:textId="77777777" w:rsidR="005C0799" w:rsidRPr="008468C5" w:rsidRDefault="005C0799" w:rsidP="005C0799">
      <w:pPr>
        <w:pStyle w:val="FootnoteText"/>
        <w:rPr>
          <w:rFonts w:cstheme="minorHAnsi"/>
          <w:sz w:val="18"/>
          <w:szCs w:val="18"/>
        </w:rPr>
      </w:pPr>
      <w:r w:rsidRPr="008468C5">
        <w:rPr>
          <w:rStyle w:val="FootnoteReference"/>
          <w:rFonts w:cstheme="minorHAnsi"/>
          <w:sz w:val="18"/>
          <w:szCs w:val="18"/>
        </w:rPr>
        <w:footnoteRef/>
      </w:r>
      <w:r w:rsidRPr="008468C5">
        <w:rPr>
          <w:rFonts w:cstheme="minorHAnsi"/>
          <w:sz w:val="18"/>
          <w:szCs w:val="18"/>
        </w:rPr>
        <w:t xml:space="preserve"> This number does not take into account accountable care organization contracts. </w:t>
      </w:r>
    </w:p>
  </w:footnote>
  <w:footnote w:id="9">
    <w:p w14:paraId="1CF101E6" w14:textId="5AAAA139" w:rsidR="005C0799" w:rsidRPr="008468C5" w:rsidRDefault="005C0799" w:rsidP="005C0799">
      <w:pPr>
        <w:pStyle w:val="FootnoteText"/>
        <w:rPr>
          <w:rFonts w:cstheme="minorHAnsi"/>
          <w:sz w:val="18"/>
          <w:szCs w:val="18"/>
        </w:rPr>
      </w:pPr>
      <w:r w:rsidRPr="008468C5">
        <w:rPr>
          <w:rStyle w:val="FootnoteReference"/>
          <w:rFonts w:cstheme="minorHAnsi"/>
          <w:sz w:val="18"/>
          <w:szCs w:val="18"/>
        </w:rPr>
        <w:footnoteRef/>
      </w:r>
      <w:r w:rsidRPr="008468C5">
        <w:rPr>
          <w:rFonts w:cstheme="minorHAnsi"/>
          <w:sz w:val="18"/>
          <w:szCs w:val="18"/>
        </w:rPr>
        <w:t xml:space="preserve"> </w:t>
      </w:r>
      <w:hyperlink r:id="rId7" w:history="1">
        <w:r w:rsidRPr="00E813F4">
          <w:rPr>
            <w:rStyle w:val="Hyperlink"/>
            <w:rFonts w:cstheme="minorHAnsi"/>
            <w:color w:val="auto"/>
            <w:sz w:val="18"/>
            <w:szCs w:val="18"/>
            <w:u w:val="none"/>
          </w:rPr>
          <w:t>Center for Health Information Analysis – Hospital Profile – Boston Medical Center</w:t>
        </w:r>
      </w:hyperlink>
      <w:r w:rsidRPr="00E813F4">
        <w:rPr>
          <w:rFonts w:cstheme="minorHAnsi"/>
          <w:sz w:val="18"/>
          <w:szCs w:val="18"/>
        </w:rPr>
        <w:t xml:space="preserve">: </w:t>
      </w:r>
      <w:hyperlink r:id="rId8" w:history="1">
        <w:r w:rsidRPr="008468C5">
          <w:rPr>
            <w:rStyle w:val="Hyperlink"/>
            <w:rFonts w:cstheme="minorHAnsi"/>
            <w:sz w:val="18"/>
            <w:szCs w:val="18"/>
          </w:rPr>
          <w:t>https://www.chiamass.gov/assets/docs/r/hospital-profiles/2021/bmc.pdf</w:t>
        </w:r>
      </w:hyperlink>
    </w:p>
  </w:footnote>
  <w:footnote w:id="10">
    <w:p w14:paraId="63A5D443" w14:textId="330A7447" w:rsidR="005C0799" w:rsidRPr="008468C5" w:rsidRDefault="005C0799" w:rsidP="005C0799">
      <w:pPr>
        <w:pStyle w:val="FootnoteText"/>
        <w:rPr>
          <w:rFonts w:cstheme="minorHAnsi"/>
          <w:sz w:val="18"/>
          <w:szCs w:val="18"/>
        </w:rPr>
      </w:pPr>
      <w:r w:rsidRPr="008468C5">
        <w:rPr>
          <w:rStyle w:val="FootnoteReference"/>
          <w:rFonts w:cstheme="minorHAnsi"/>
          <w:sz w:val="18"/>
          <w:szCs w:val="18"/>
        </w:rPr>
        <w:footnoteRef/>
      </w:r>
      <w:r w:rsidRPr="008468C5">
        <w:rPr>
          <w:rFonts w:cstheme="minorHAnsi"/>
          <w:sz w:val="18"/>
          <w:szCs w:val="18"/>
        </w:rPr>
        <w:t xml:space="preserve"> </w:t>
      </w:r>
      <w:hyperlink r:id="rId9" w:history="1">
        <w:r w:rsidRPr="00611D8C">
          <w:rPr>
            <w:rStyle w:val="Hyperlink"/>
            <w:rFonts w:cstheme="minorHAnsi"/>
            <w:color w:val="auto"/>
            <w:sz w:val="18"/>
            <w:szCs w:val="18"/>
            <w:u w:val="none"/>
          </w:rPr>
          <w:t>Center for Health Information Analysis – Massachusetts Hospital Profiles</w:t>
        </w:r>
      </w:hyperlink>
      <w:r w:rsidRPr="00611D8C">
        <w:rPr>
          <w:rFonts w:cstheme="minorHAnsi"/>
          <w:sz w:val="18"/>
          <w:szCs w:val="18"/>
        </w:rPr>
        <w:t>, May</w:t>
      </w:r>
      <w:r w:rsidRPr="008468C5">
        <w:rPr>
          <w:rFonts w:cstheme="minorHAnsi"/>
          <w:sz w:val="18"/>
          <w:szCs w:val="18"/>
        </w:rPr>
        <w:t xml:space="preserve">, 2023: </w:t>
      </w:r>
      <w:hyperlink r:id="rId10" w:history="1">
        <w:r w:rsidRPr="008468C5">
          <w:rPr>
            <w:rStyle w:val="Hyperlink"/>
            <w:rFonts w:cstheme="minorHAnsi"/>
            <w:sz w:val="18"/>
            <w:szCs w:val="18"/>
          </w:rPr>
          <w:t>www.chiamass.gov/assets/docs/r/hospital-profiles/2021/FY21-Massachusetts-Hospital-Profiles-Compendium.pdf</w:t>
        </w:r>
      </w:hyperlink>
    </w:p>
  </w:footnote>
  <w:footnote w:id="11">
    <w:p w14:paraId="0A2DE58E" w14:textId="0065B495" w:rsidR="00EA5152" w:rsidRPr="008468C5" w:rsidRDefault="00EA5152">
      <w:pPr>
        <w:pStyle w:val="FootnoteText"/>
        <w:rPr>
          <w:rFonts w:cstheme="minorHAnsi"/>
          <w:sz w:val="18"/>
          <w:szCs w:val="18"/>
        </w:rPr>
      </w:pPr>
      <w:r w:rsidRPr="008468C5">
        <w:rPr>
          <w:rStyle w:val="FootnoteReference"/>
          <w:rFonts w:cstheme="minorHAnsi"/>
          <w:sz w:val="18"/>
          <w:szCs w:val="18"/>
        </w:rPr>
        <w:footnoteRef/>
      </w:r>
      <w:r w:rsidRPr="008468C5">
        <w:rPr>
          <w:rFonts w:cstheme="minorHAnsi"/>
          <w:sz w:val="18"/>
          <w:szCs w:val="18"/>
        </w:rPr>
        <w:t xml:space="preserve"> </w:t>
      </w:r>
      <w:hyperlink r:id="rId11" w:history="1">
        <w:r w:rsidR="00611D8C" w:rsidRPr="00611D8C">
          <w:rPr>
            <w:rStyle w:val="Hyperlink"/>
            <w:rFonts w:cstheme="minorHAnsi"/>
            <w:color w:val="auto"/>
            <w:sz w:val="18"/>
            <w:szCs w:val="18"/>
            <w:u w:val="none"/>
          </w:rPr>
          <w:t>https://www.definitivehc.com/resources/healthcare-insights/hospitals-highest-total-uncompensated-care-costs</w:t>
        </w:r>
      </w:hyperlink>
      <w:r w:rsidR="00611D8C" w:rsidRPr="00611D8C">
        <w:rPr>
          <w:rFonts w:cstheme="minorHAnsi"/>
          <w:sz w:val="18"/>
          <w:szCs w:val="18"/>
        </w:rPr>
        <w:t xml:space="preserve"> </w:t>
      </w:r>
    </w:p>
  </w:footnote>
  <w:footnote w:id="12">
    <w:p w14:paraId="393380A6" w14:textId="5D56124A" w:rsidR="008468C5" w:rsidRDefault="008468C5">
      <w:pPr>
        <w:pStyle w:val="FootnoteText"/>
      </w:pPr>
      <w:r w:rsidRPr="008468C5">
        <w:rPr>
          <w:rStyle w:val="FootnoteReference"/>
          <w:sz w:val="18"/>
          <w:szCs w:val="18"/>
        </w:rPr>
        <w:footnoteRef/>
      </w:r>
      <w:r w:rsidRPr="008468C5">
        <w:rPr>
          <w:sz w:val="18"/>
          <w:szCs w:val="18"/>
        </w:rPr>
        <w:t xml:space="preserve"> </w:t>
      </w:r>
      <w:hyperlink r:id="rId12" w:history="1">
        <w:r w:rsidRPr="00611D8C">
          <w:rPr>
            <w:rStyle w:val="Hyperlink"/>
            <w:color w:val="auto"/>
            <w:sz w:val="18"/>
            <w:szCs w:val="18"/>
            <w:u w:val="none"/>
          </w:rPr>
          <w:t>Center for Health Information Analysis</w:t>
        </w:r>
      </w:hyperlink>
      <w:r w:rsidRPr="008468C5">
        <w:rPr>
          <w:sz w:val="18"/>
          <w:szCs w:val="18"/>
        </w:rPr>
        <w:t xml:space="preserve">: </w:t>
      </w:r>
      <w:hyperlink r:id="rId13" w:history="1">
        <w:r w:rsidRPr="00455F6B">
          <w:rPr>
            <w:rStyle w:val="Hyperlink"/>
            <w:sz w:val="18"/>
            <w:szCs w:val="18"/>
          </w:rPr>
          <w:t>www.chiamass.gov/assets/Uploads/Trauma-Centers-May-2021.pdf</w:t>
        </w:r>
      </w:hyperlink>
      <w:r>
        <w:rPr>
          <w:sz w:val="18"/>
          <w:szCs w:val="18"/>
        </w:rPr>
        <w:t xml:space="preserve"> </w:t>
      </w:r>
    </w:p>
  </w:footnote>
  <w:footnote w:id="13">
    <w:p w14:paraId="4233D814" w14:textId="77777777" w:rsidR="00EA5152" w:rsidRPr="00EA5152" w:rsidRDefault="00EA5152" w:rsidP="00EA5152">
      <w:pPr>
        <w:pStyle w:val="FootnoteText"/>
        <w:rPr>
          <w:rFonts w:cstheme="minorHAnsi"/>
          <w:sz w:val="18"/>
          <w:szCs w:val="18"/>
        </w:rPr>
      </w:pPr>
      <w:r w:rsidRPr="00EA5152">
        <w:rPr>
          <w:rStyle w:val="FootnoteReference"/>
          <w:rFonts w:cstheme="minorHAnsi"/>
          <w:sz w:val="18"/>
          <w:szCs w:val="18"/>
        </w:rPr>
        <w:footnoteRef/>
      </w:r>
      <w:r w:rsidRPr="00EA5152">
        <w:rPr>
          <w:rFonts w:cstheme="minorHAnsi"/>
          <w:sz w:val="18"/>
          <w:szCs w:val="18"/>
        </w:rPr>
        <w:t xml:space="preserve"> BMC's FY is from 10/1 – 9/30. FY23 data is provided YTD through 6/2023 and, therefore, is subject to change.</w:t>
      </w:r>
    </w:p>
  </w:footnote>
  <w:footnote w:id="14">
    <w:p w14:paraId="59F54A6F" w14:textId="77777777" w:rsidR="00EA5152" w:rsidRPr="009E5207" w:rsidRDefault="00EA5152" w:rsidP="00EA5152">
      <w:pPr>
        <w:pStyle w:val="FootnoteText"/>
        <w:rPr>
          <w:rFonts w:ascii="Arial" w:hAnsi="Arial" w:cs="Arial"/>
          <w:sz w:val="18"/>
          <w:szCs w:val="18"/>
        </w:rPr>
      </w:pPr>
      <w:r w:rsidRPr="00EA5152">
        <w:rPr>
          <w:rStyle w:val="FootnoteReference"/>
          <w:rFonts w:cstheme="minorHAnsi"/>
          <w:sz w:val="18"/>
          <w:szCs w:val="18"/>
        </w:rPr>
        <w:footnoteRef/>
      </w:r>
      <w:r w:rsidRPr="00EA5152">
        <w:rPr>
          <w:rFonts w:cstheme="minorHAnsi"/>
          <w:sz w:val="18"/>
          <w:szCs w:val="18"/>
        </w:rPr>
        <w:t xml:space="preserve"> Please note that the inpatient number provided also includes ED patients, observation patients, and bedded outpatients.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BC28" w14:textId="195CBD5D" w:rsidR="004C3AB7" w:rsidRDefault="00B83805">
    <w:pPr>
      <w:pStyle w:val="Header"/>
    </w:pPr>
    <w:r>
      <w:rPr>
        <w:noProof/>
      </w:rPr>
      <w:pict w14:anchorId="585A4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5" o:spid="_x0000_s1026"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950A" w14:textId="77777777" w:rsidR="00225C94" w:rsidRPr="00225C94" w:rsidRDefault="00225C94" w:rsidP="00225C94">
    <w:pPr>
      <w:pStyle w:val="Header"/>
      <w:jc w:val="center"/>
      <w:rPr>
        <w:b/>
        <w:bCs/>
        <w:sz w:val="24"/>
        <w:szCs w:val="24"/>
      </w:rPr>
    </w:pPr>
    <w:r w:rsidRPr="00225C94">
      <w:rPr>
        <w:b/>
        <w:bCs/>
        <w:sz w:val="24"/>
        <w:szCs w:val="24"/>
      </w:rPr>
      <w:t>BOSTON MEDICAL CENTER</w:t>
    </w:r>
  </w:p>
  <w:p w14:paraId="5D4DD839" w14:textId="55848F3A" w:rsidR="003C3B18" w:rsidRPr="00225C94" w:rsidRDefault="00225C94" w:rsidP="00225C94">
    <w:pPr>
      <w:pStyle w:val="Header"/>
      <w:jc w:val="center"/>
      <w:rPr>
        <w:sz w:val="24"/>
        <w:szCs w:val="24"/>
      </w:rPr>
    </w:pPr>
    <w:r w:rsidRPr="00225C94">
      <w:rPr>
        <w:b/>
        <w:bCs/>
        <w:sz w:val="24"/>
        <w:szCs w:val="24"/>
      </w:rPr>
      <w:t>DON APPLICATION # BMCHS-23050914-RE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5111" w14:textId="29E1DF9B" w:rsidR="004C3AB7" w:rsidRDefault="00B83805">
    <w:pPr>
      <w:pStyle w:val="Header"/>
    </w:pPr>
    <w:r>
      <w:rPr>
        <w:noProof/>
      </w:rPr>
      <w:pict w14:anchorId="21969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4" o:spid="_x0000_s1025"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166C0"/>
    <w:multiLevelType w:val="hybridMultilevel"/>
    <w:tmpl w:val="C0507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E792A"/>
    <w:multiLevelType w:val="hybridMultilevel"/>
    <w:tmpl w:val="6AFCB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C42DB"/>
    <w:multiLevelType w:val="hybridMultilevel"/>
    <w:tmpl w:val="FF8C25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734171">
    <w:abstractNumId w:val="20"/>
  </w:num>
  <w:num w:numId="2" w16cid:durableId="1166172379">
    <w:abstractNumId w:val="32"/>
  </w:num>
  <w:num w:numId="3" w16cid:durableId="1522089470">
    <w:abstractNumId w:val="28"/>
  </w:num>
  <w:num w:numId="4" w16cid:durableId="880559162">
    <w:abstractNumId w:val="8"/>
  </w:num>
  <w:num w:numId="5" w16cid:durableId="1168205742">
    <w:abstractNumId w:val="24"/>
  </w:num>
  <w:num w:numId="6" w16cid:durableId="1212769816">
    <w:abstractNumId w:val="16"/>
  </w:num>
  <w:num w:numId="7" w16cid:durableId="899024478">
    <w:abstractNumId w:val="10"/>
  </w:num>
  <w:num w:numId="8" w16cid:durableId="929121682">
    <w:abstractNumId w:val="6"/>
  </w:num>
  <w:num w:numId="9" w16cid:durableId="1061291647">
    <w:abstractNumId w:val="14"/>
  </w:num>
  <w:num w:numId="10" w16cid:durableId="1363632592">
    <w:abstractNumId w:val="22"/>
  </w:num>
  <w:num w:numId="11" w16cid:durableId="24869192">
    <w:abstractNumId w:val="15"/>
  </w:num>
  <w:num w:numId="12" w16cid:durableId="1062481453">
    <w:abstractNumId w:val="21"/>
  </w:num>
  <w:num w:numId="13" w16cid:durableId="467822666">
    <w:abstractNumId w:val="7"/>
  </w:num>
  <w:num w:numId="14" w16cid:durableId="1702123620">
    <w:abstractNumId w:val="11"/>
  </w:num>
  <w:num w:numId="15" w16cid:durableId="2015254671">
    <w:abstractNumId w:val="27"/>
  </w:num>
  <w:num w:numId="16" w16cid:durableId="1329096117">
    <w:abstractNumId w:val="5"/>
  </w:num>
  <w:num w:numId="17" w16cid:durableId="303047805">
    <w:abstractNumId w:val="12"/>
  </w:num>
  <w:num w:numId="18" w16cid:durableId="1885291811">
    <w:abstractNumId w:val="4"/>
  </w:num>
  <w:num w:numId="19" w16cid:durableId="783963125">
    <w:abstractNumId w:val="3"/>
  </w:num>
  <w:num w:numId="20" w16cid:durableId="331376740">
    <w:abstractNumId w:val="30"/>
  </w:num>
  <w:num w:numId="21" w16cid:durableId="877007818">
    <w:abstractNumId w:val="25"/>
  </w:num>
  <w:num w:numId="22" w16cid:durableId="1170292967">
    <w:abstractNumId w:val="29"/>
  </w:num>
  <w:num w:numId="23" w16cid:durableId="752043917">
    <w:abstractNumId w:val="31"/>
  </w:num>
  <w:num w:numId="24" w16cid:durableId="1473058808">
    <w:abstractNumId w:val="17"/>
  </w:num>
  <w:num w:numId="25" w16cid:durableId="272637391">
    <w:abstractNumId w:val="19"/>
  </w:num>
  <w:num w:numId="26" w16cid:durableId="476843588">
    <w:abstractNumId w:val="18"/>
  </w:num>
  <w:num w:numId="27" w16cid:durableId="1066420019">
    <w:abstractNumId w:val="0"/>
  </w:num>
  <w:num w:numId="28" w16cid:durableId="1181627317">
    <w:abstractNumId w:val="1"/>
  </w:num>
  <w:num w:numId="29" w16cid:durableId="1244952050">
    <w:abstractNumId w:val="23"/>
  </w:num>
  <w:num w:numId="30" w16cid:durableId="2115787064">
    <w:abstractNumId w:val="2"/>
  </w:num>
  <w:num w:numId="31" w16cid:durableId="955983390">
    <w:abstractNumId w:val="26"/>
  </w:num>
  <w:num w:numId="32" w16cid:durableId="1896356956">
    <w:abstractNumId w:val="9"/>
  </w:num>
  <w:num w:numId="33" w16cid:durableId="100690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12264"/>
    <w:rsid w:val="00012279"/>
    <w:rsid w:val="00021A01"/>
    <w:rsid w:val="00025521"/>
    <w:rsid w:val="0003012E"/>
    <w:rsid w:val="00032FF5"/>
    <w:rsid w:val="000364B5"/>
    <w:rsid w:val="00040965"/>
    <w:rsid w:val="000413D6"/>
    <w:rsid w:val="0004645C"/>
    <w:rsid w:val="000516C7"/>
    <w:rsid w:val="00054FF4"/>
    <w:rsid w:val="00055942"/>
    <w:rsid w:val="00055F9E"/>
    <w:rsid w:val="00063414"/>
    <w:rsid w:val="00064206"/>
    <w:rsid w:val="0006445F"/>
    <w:rsid w:val="00071162"/>
    <w:rsid w:val="00073DC9"/>
    <w:rsid w:val="00074092"/>
    <w:rsid w:val="000766DC"/>
    <w:rsid w:val="00076CB2"/>
    <w:rsid w:val="00080AC6"/>
    <w:rsid w:val="000823E9"/>
    <w:rsid w:val="000826CB"/>
    <w:rsid w:val="0008493D"/>
    <w:rsid w:val="000862E1"/>
    <w:rsid w:val="00091C4C"/>
    <w:rsid w:val="00095621"/>
    <w:rsid w:val="0009675F"/>
    <w:rsid w:val="00096A44"/>
    <w:rsid w:val="000A51C8"/>
    <w:rsid w:val="000A691D"/>
    <w:rsid w:val="000A7A45"/>
    <w:rsid w:val="000B1D01"/>
    <w:rsid w:val="000C4405"/>
    <w:rsid w:val="000C7F71"/>
    <w:rsid w:val="000E2F30"/>
    <w:rsid w:val="000E3622"/>
    <w:rsid w:val="000F5CC4"/>
    <w:rsid w:val="001017F6"/>
    <w:rsid w:val="00104288"/>
    <w:rsid w:val="00106D23"/>
    <w:rsid w:val="00110A64"/>
    <w:rsid w:val="0011192C"/>
    <w:rsid w:val="00112E92"/>
    <w:rsid w:val="001161B2"/>
    <w:rsid w:val="00122099"/>
    <w:rsid w:val="0012232D"/>
    <w:rsid w:val="00123EE2"/>
    <w:rsid w:val="00125F6B"/>
    <w:rsid w:val="00137A46"/>
    <w:rsid w:val="001459CB"/>
    <w:rsid w:val="00152CFB"/>
    <w:rsid w:val="00154A10"/>
    <w:rsid w:val="00166158"/>
    <w:rsid w:val="001701AE"/>
    <w:rsid w:val="00174CFB"/>
    <w:rsid w:val="00176547"/>
    <w:rsid w:val="00176C56"/>
    <w:rsid w:val="00180580"/>
    <w:rsid w:val="00182533"/>
    <w:rsid w:val="00185A10"/>
    <w:rsid w:val="00190646"/>
    <w:rsid w:val="0019184A"/>
    <w:rsid w:val="00191B78"/>
    <w:rsid w:val="00191DAC"/>
    <w:rsid w:val="00192CFC"/>
    <w:rsid w:val="00193CD7"/>
    <w:rsid w:val="00196273"/>
    <w:rsid w:val="001A11D0"/>
    <w:rsid w:val="001A511B"/>
    <w:rsid w:val="001A66A9"/>
    <w:rsid w:val="001B3A91"/>
    <w:rsid w:val="001B517F"/>
    <w:rsid w:val="001B7F98"/>
    <w:rsid w:val="001C0CB4"/>
    <w:rsid w:val="001C2783"/>
    <w:rsid w:val="001C5BF3"/>
    <w:rsid w:val="001D0111"/>
    <w:rsid w:val="001D01BF"/>
    <w:rsid w:val="001D1521"/>
    <w:rsid w:val="001D1813"/>
    <w:rsid w:val="001D3DC6"/>
    <w:rsid w:val="001D7C2C"/>
    <w:rsid w:val="001E0B94"/>
    <w:rsid w:val="001E19D7"/>
    <w:rsid w:val="001E21D7"/>
    <w:rsid w:val="001E2EA3"/>
    <w:rsid w:val="001E3B6B"/>
    <w:rsid w:val="001E5807"/>
    <w:rsid w:val="001F02F3"/>
    <w:rsid w:val="001F27B7"/>
    <w:rsid w:val="001F667D"/>
    <w:rsid w:val="00202AD7"/>
    <w:rsid w:val="002037DF"/>
    <w:rsid w:val="002050B9"/>
    <w:rsid w:val="002102EF"/>
    <w:rsid w:val="00212619"/>
    <w:rsid w:val="002155ED"/>
    <w:rsid w:val="00216777"/>
    <w:rsid w:val="00224770"/>
    <w:rsid w:val="00225B1E"/>
    <w:rsid w:val="00225C94"/>
    <w:rsid w:val="00226A63"/>
    <w:rsid w:val="00227005"/>
    <w:rsid w:val="00227BD5"/>
    <w:rsid w:val="00230C3B"/>
    <w:rsid w:val="00231103"/>
    <w:rsid w:val="002314FF"/>
    <w:rsid w:val="00231E3B"/>
    <w:rsid w:val="002364A1"/>
    <w:rsid w:val="00240962"/>
    <w:rsid w:val="00241F52"/>
    <w:rsid w:val="00251BEF"/>
    <w:rsid w:val="002533DB"/>
    <w:rsid w:val="0025349C"/>
    <w:rsid w:val="00253AF3"/>
    <w:rsid w:val="002542A0"/>
    <w:rsid w:val="0025780A"/>
    <w:rsid w:val="00260450"/>
    <w:rsid w:val="00262131"/>
    <w:rsid w:val="00262E53"/>
    <w:rsid w:val="002643AF"/>
    <w:rsid w:val="00264588"/>
    <w:rsid w:val="0026558B"/>
    <w:rsid w:val="00267859"/>
    <w:rsid w:val="00270B47"/>
    <w:rsid w:val="002750A6"/>
    <w:rsid w:val="0027783A"/>
    <w:rsid w:val="002912FB"/>
    <w:rsid w:val="00292B13"/>
    <w:rsid w:val="00293147"/>
    <w:rsid w:val="00294D49"/>
    <w:rsid w:val="002A36DF"/>
    <w:rsid w:val="002A47FE"/>
    <w:rsid w:val="002A5E73"/>
    <w:rsid w:val="002A71AA"/>
    <w:rsid w:val="002B3476"/>
    <w:rsid w:val="002B6980"/>
    <w:rsid w:val="002C0C55"/>
    <w:rsid w:val="002C568C"/>
    <w:rsid w:val="002C5E88"/>
    <w:rsid w:val="002D012B"/>
    <w:rsid w:val="002D1CC3"/>
    <w:rsid w:val="002D39AC"/>
    <w:rsid w:val="002E3CEF"/>
    <w:rsid w:val="002E761C"/>
    <w:rsid w:val="002F3CDD"/>
    <w:rsid w:val="002F5878"/>
    <w:rsid w:val="002F7B99"/>
    <w:rsid w:val="003030AA"/>
    <w:rsid w:val="00303EE3"/>
    <w:rsid w:val="00306307"/>
    <w:rsid w:val="003079EC"/>
    <w:rsid w:val="003103B0"/>
    <w:rsid w:val="00312A19"/>
    <w:rsid w:val="00316F09"/>
    <w:rsid w:val="00317580"/>
    <w:rsid w:val="00327EAC"/>
    <w:rsid w:val="00332A20"/>
    <w:rsid w:val="00342240"/>
    <w:rsid w:val="0034396B"/>
    <w:rsid w:val="003445AF"/>
    <w:rsid w:val="003533CA"/>
    <w:rsid w:val="0035653B"/>
    <w:rsid w:val="00357BA6"/>
    <w:rsid w:val="003602C2"/>
    <w:rsid w:val="003620FB"/>
    <w:rsid w:val="00366918"/>
    <w:rsid w:val="00366DCC"/>
    <w:rsid w:val="003764DE"/>
    <w:rsid w:val="00376D17"/>
    <w:rsid w:val="00380361"/>
    <w:rsid w:val="00380B28"/>
    <w:rsid w:val="00380E08"/>
    <w:rsid w:val="003813A0"/>
    <w:rsid w:val="00381CBF"/>
    <w:rsid w:val="00382217"/>
    <w:rsid w:val="00387527"/>
    <w:rsid w:val="0039698B"/>
    <w:rsid w:val="003A1793"/>
    <w:rsid w:val="003A2B5B"/>
    <w:rsid w:val="003A36B2"/>
    <w:rsid w:val="003A4882"/>
    <w:rsid w:val="003A7217"/>
    <w:rsid w:val="003B0D30"/>
    <w:rsid w:val="003B575F"/>
    <w:rsid w:val="003B5953"/>
    <w:rsid w:val="003C1787"/>
    <w:rsid w:val="003C3117"/>
    <w:rsid w:val="003C38F5"/>
    <w:rsid w:val="003C3B18"/>
    <w:rsid w:val="003C6F58"/>
    <w:rsid w:val="003C7C67"/>
    <w:rsid w:val="003D115E"/>
    <w:rsid w:val="003D14BA"/>
    <w:rsid w:val="003D2A24"/>
    <w:rsid w:val="003D3D7D"/>
    <w:rsid w:val="003D50D2"/>
    <w:rsid w:val="003D7315"/>
    <w:rsid w:val="003D7942"/>
    <w:rsid w:val="003E0045"/>
    <w:rsid w:val="003E24AF"/>
    <w:rsid w:val="003E5576"/>
    <w:rsid w:val="003E5688"/>
    <w:rsid w:val="003E6679"/>
    <w:rsid w:val="003F1211"/>
    <w:rsid w:val="003F159E"/>
    <w:rsid w:val="003F621D"/>
    <w:rsid w:val="00402AC2"/>
    <w:rsid w:val="004146DD"/>
    <w:rsid w:val="004168BC"/>
    <w:rsid w:val="0042031C"/>
    <w:rsid w:val="00421B81"/>
    <w:rsid w:val="00421C21"/>
    <w:rsid w:val="00432D19"/>
    <w:rsid w:val="00444A21"/>
    <w:rsid w:val="00446BD7"/>
    <w:rsid w:val="00446C26"/>
    <w:rsid w:val="0045317B"/>
    <w:rsid w:val="00455504"/>
    <w:rsid w:val="00456B10"/>
    <w:rsid w:val="004609E6"/>
    <w:rsid w:val="00464ACB"/>
    <w:rsid w:val="00481ADC"/>
    <w:rsid w:val="004821A3"/>
    <w:rsid w:val="00484231"/>
    <w:rsid w:val="00484A85"/>
    <w:rsid w:val="004901A5"/>
    <w:rsid w:val="00497513"/>
    <w:rsid w:val="004A1BB1"/>
    <w:rsid w:val="004A1D25"/>
    <w:rsid w:val="004A29F6"/>
    <w:rsid w:val="004A5502"/>
    <w:rsid w:val="004A7A25"/>
    <w:rsid w:val="004B1CE6"/>
    <w:rsid w:val="004B46F4"/>
    <w:rsid w:val="004B582E"/>
    <w:rsid w:val="004B5EF9"/>
    <w:rsid w:val="004B678F"/>
    <w:rsid w:val="004C0998"/>
    <w:rsid w:val="004C2AE3"/>
    <w:rsid w:val="004C3AB7"/>
    <w:rsid w:val="004D0BF9"/>
    <w:rsid w:val="004D293C"/>
    <w:rsid w:val="004D7C5C"/>
    <w:rsid w:val="004E166A"/>
    <w:rsid w:val="004E6482"/>
    <w:rsid w:val="004F432A"/>
    <w:rsid w:val="004F590F"/>
    <w:rsid w:val="004F6BB4"/>
    <w:rsid w:val="00510EC8"/>
    <w:rsid w:val="00511D42"/>
    <w:rsid w:val="00512FDF"/>
    <w:rsid w:val="005145C3"/>
    <w:rsid w:val="00514ECB"/>
    <w:rsid w:val="00520CE7"/>
    <w:rsid w:val="00522F5F"/>
    <w:rsid w:val="00524144"/>
    <w:rsid w:val="005257D0"/>
    <w:rsid w:val="00527788"/>
    <w:rsid w:val="005301FC"/>
    <w:rsid w:val="00530477"/>
    <w:rsid w:val="00535A15"/>
    <w:rsid w:val="00536B22"/>
    <w:rsid w:val="0053771E"/>
    <w:rsid w:val="005430C8"/>
    <w:rsid w:val="0054339D"/>
    <w:rsid w:val="00546917"/>
    <w:rsid w:val="00547324"/>
    <w:rsid w:val="005506E6"/>
    <w:rsid w:val="00553487"/>
    <w:rsid w:val="005542B9"/>
    <w:rsid w:val="00554544"/>
    <w:rsid w:val="00554CF4"/>
    <w:rsid w:val="00555A05"/>
    <w:rsid w:val="00561790"/>
    <w:rsid w:val="00561BCC"/>
    <w:rsid w:val="00567A48"/>
    <w:rsid w:val="00572D88"/>
    <w:rsid w:val="00573656"/>
    <w:rsid w:val="005768C9"/>
    <w:rsid w:val="00577B19"/>
    <w:rsid w:val="00580E2B"/>
    <w:rsid w:val="0058155B"/>
    <w:rsid w:val="00587600"/>
    <w:rsid w:val="005921B2"/>
    <w:rsid w:val="005941A3"/>
    <w:rsid w:val="005946AB"/>
    <w:rsid w:val="00595A74"/>
    <w:rsid w:val="00596309"/>
    <w:rsid w:val="00596773"/>
    <w:rsid w:val="00596F2D"/>
    <w:rsid w:val="00597369"/>
    <w:rsid w:val="005977E8"/>
    <w:rsid w:val="005A081D"/>
    <w:rsid w:val="005A11D8"/>
    <w:rsid w:val="005A2505"/>
    <w:rsid w:val="005A2F6B"/>
    <w:rsid w:val="005A390D"/>
    <w:rsid w:val="005A3A68"/>
    <w:rsid w:val="005A5F29"/>
    <w:rsid w:val="005A71F5"/>
    <w:rsid w:val="005C0799"/>
    <w:rsid w:val="005C3394"/>
    <w:rsid w:val="005C4433"/>
    <w:rsid w:val="005C6C31"/>
    <w:rsid w:val="005C7D0C"/>
    <w:rsid w:val="005D4244"/>
    <w:rsid w:val="005E1AEF"/>
    <w:rsid w:val="005F62ED"/>
    <w:rsid w:val="00600D98"/>
    <w:rsid w:val="00605067"/>
    <w:rsid w:val="00607E0F"/>
    <w:rsid w:val="00610F50"/>
    <w:rsid w:val="00611D8C"/>
    <w:rsid w:val="00614C3E"/>
    <w:rsid w:val="0062119E"/>
    <w:rsid w:val="006269A1"/>
    <w:rsid w:val="006303FF"/>
    <w:rsid w:val="006325B1"/>
    <w:rsid w:val="00632AEC"/>
    <w:rsid w:val="00636A3D"/>
    <w:rsid w:val="006400B6"/>
    <w:rsid w:val="006403D2"/>
    <w:rsid w:val="00643D57"/>
    <w:rsid w:val="0064499E"/>
    <w:rsid w:val="0065372D"/>
    <w:rsid w:val="006560F8"/>
    <w:rsid w:val="006733D5"/>
    <w:rsid w:val="00680F9E"/>
    <w:rsid w:val="006814E7"/>
    <w:rsid w:val="00687E3F"/>
    <w:rsid w:val="00693E98"/>
    <w:rsid w:val="006A25D2"/>
    <w:rsid w:val="006B0549"/>
    <w:rsid w:val="006B5BEF"/>
    <w:rsid w:val="006B7171"/>
    <w:rsid w:val="006C3ED5"/>
    <w:rsid w:val="006C552B"/>
    <w:rsid w:val="006D01D3"/>
    <w:rsid w:val="006D6315"/>
    <w:rsid w:val="006D650D"/>
    <w:rsid w:val="006D6994"/>
    <w:rsid w:val="006E112C"/>
    <w:rsid w:val="006E1D4C"/>
    <w:rsid w:val="006E279C"/>
    <w:rsid w:val="006E29DE"/>
    <w:rsid w:val="006E31A5"/>
    <w:rsid w:val="006E4E00"/>
    <w:rsid w:val="006E5304"/>
    <w:rsid w:val="006E63B0"/>
    <w:rsid w:val="006F0472"/>
    <w:rsid w:val="006F4EF5"/>
    <w:rsid w:val="006F7519"/>
    <w:rsid w:val="00701743"/>
    <w:rsid w:val="007113DC"/>
    <w:rsid w:val="00711AA2"/>
    <w:rsid w:val="0071402E"/>
    <w:rsid w:val="00715918"/>
    <w:rsid w:val="00722F8A"/>
    <w:rsid w:val="007230BC"/>
    <w:rsid w:val="00723E74"/>
    <w:rsid w:val="007242B4"/>
    <w:rsid w:val="00730E81"/>
    <w:rsid w:val="0073404F"/>
    <w:rsid w:val="00734A0C"/>
    <w:rsid w:val="00740B16"/>
    <w:rsid w:val="00742E67"/>
    <w:rsid w:val="00743F50"/>
    <w:rsid w:val="007508EF"/>
    <w:rsid w:val="00750B62"/>
    <w:rsid w:val="0075159B"/>
    <w:rsid w:val="0075373D"/>
    <w:rsid w:val="00753F14"/>
    <w:rsid w:val="00757106"/>
    <w:rsid w:val="00771621"/>
    <w:rsid w:val="00774FA6"/>
    <w:rsid w:val="00795B9D"/>
    <w:rsid w:val="00795E61"/>
    <w:rsid w:val="007A65EC"/>
    <w:rsid w:val="007B3A5E"/>
    <w:rsid w:val="007B529A"/>
    <w:rsid w:val="007B57B1"/>
    <w:rsid w:val="007B5C83"/>
    <w:rsid w:val="007C02F9"/>
    <w:rsid w:val="007C2DF7"/>
    <w:rsid w:val="007C5324"/>
    <w:rsid w:val="007D023F"/>
    <w:rsid w:val="007D127A"/>
    <w:rsid w:val="007D1376"/>
    <w:rsid w:val="007E0AC9"/>
    <w:rsid w:val="007E5FE7"/>
    <w:rsid w:val="007E6854"/>
    <w:rsid w:val="007F5301"/>
    <w:rsid w:val="007F5C97"/>
    <w:rsid w:val="007F6742"/>
    <w:rsid w:val="008006D1"/>
    <w:rsid w:val="00804DC7"/>
    <w:rsid w:val="00815464"/>
    <w:rsid w:val="00820C2B"/>
    <w:rsid w:val="008217B2"/>
    <w:rsid w:val="008218EF"/>
    <w:rsid w:val="008222C5"/>
    <w:rsid w:val="00826574"/>
    <w:rsid w:val="00830723"/>
    <w:rsid w:val="0083116D"/>
    <w:rsid w:val="00833866"/>
    <w:rsid w:val="00835493"/>
    <w:rsid w:val="00843356"/>
    <w:rsid w:val="00843482"/>
    <w:rsid w:val="00843A7A"/>
    <w:rsid w:val="008443E7"/>
    <w:rsid w:val="008449E3"/>
    <w:rsid w:val="008464B2"/>
    <w:rsid w:val="008468C5"/>
    <w:rsid w:val="00847665"/>
    <w:rsid w:val="00847BE1"/>
    <w:rsid w:val="00851136"/>
    <w:rsid w:val="00851EBF"/>
    <w:rsid w:val="00857AB2"/>
    <w:rsid w:val="0086021D"/>
    <w:rsid w:val="00862AF4"/>
    <w:rsid w:val="008634B7"/>
    <w:rsid w:val="00863F89"/>
    <w:rsid w:val="008643F3"/>
    <w:rsid w:val="00876CE8"/>
    <w:rsid w:val="00880864"/>
    <w:rsid w:val="00880CD6"/>
    <w:rsid w:val="00881DF6"/>
    <w:rsid w:val="00886E11"/>
    <w:rsid w:val="00890231"/>
    <w:rsid w:val="008955B8"/>
    <w:rsid w:val="00897A92"/>
    <w:rsid w:val="008A7920"/>
    <w:rsid w:val="008A7D64"/>
    <w:rsid w:val="008B18BD"/>
    <w:rsid w:val="008B7668"/>
    <w:rsid w:val="008C121E"/>
    <w:rsid w:val="008C1253"/>
    <w:rsid w:val="008C5D7E"/>
    <w:rsid w:val="008C698B"/>
    <w:rsid w:val="008D0B54"/>
    <w:rsid w:val="008D2D7E"/>
    <w:rsid w:val="008D5182"/>
    <w:rsid w:val="008D5359"/>
    <w:rsid w:val="008E0484"/>
    <w:rsid w:val="008E2092"/>
    <w:rsid w:val="008E234D"/>
    <w:rsid w:val="008E3C7A"/>
    <w:rsid w:val="008E455C"/>
    <w:rsid w:val="008E6DF2"/>
    <w:rsid w:val="008E7355"/>
    <w:rsid w:val="008E7E5A"/>
    <w:rsid w:val="008F1860"/>
    <w:rsid w:val="008F4E1B"/>
    <w:rsid w:val="008F5981"/>
    <w:rsid w:val="00900ED6"/>
    <w:rsid w:val="0090264F"/>
    <w:rsid w:val="009032E4"/>
    <w:rsid w:val="00906CCD"/>
    <w:rsid w:val="00911747"/>
    <w:rsid w:val="00914855"/>
    <w:rsid w:val="00915C11"/>
    <w:rsid w:val="00915F05"/>
    <w:rsid w:val="009171CE"/>
    <w:rsid w:val="009178DF"/>
    <w:rsid w:val="009250A0"/>
    <w:rsid w:val="00931374"/>
    <w:rsid w:val="009317D3"/>
    <w:rsid w:val="00934706"/>
    <w:rsid w:val="0093616A"/>
    <w:rsid w:val="0093644B"/>
    <w:rsid w:val="009366A5"/>
    <w:rsid w:val="009376A5"/>
    <w:rsid w:val="00937C51"/>
    <w:rsid w:val="00937DF4"/>
    <w:rsid w:val="00940929"/>
    <w:rsid w:val="0094528E"/>
    <w:rsid w:val="00951254"/>
    <w:rsid w:val="00951485"/>
    <w:rsid w:val="009528C0"/>
    <w:rsid w:val="00953A5B"/>
    <w:rsid w:val="00955D10"/>
    <w:rsid w:val="009633F4"/>
    <w:rsid w:val="009637E5"/>
    <w:rsid w:val="00963B87"/>
    <w:rsid w:val="00965AEA"/>
    <w:rsid w:val="00967270"/>
    <w:rsid w:val="00970D87"/>
    <w:rsid w:val="00974468"/>
    <w:rsid w:val="0097656A"/>
    <w:rsid w:val="00982829"/>
    <w:rsid w:val="009838CE"/>
    <w:rsid w:val="00985A22"/>
    <w:rsid w:val="009865DB"/>
    <w:rsid w:val="00986A89"/>
    <w:rsid w:val="00990D7A"/>
    <w:rsid w:val="009910CE"/>
    <w:rsid w:val="009B122A"/>
    <w:rsid w:val="009B1C56"/>
    <w:rsid w:val="009B62C3"/>
    <w:rsid w:val="009B74DA"/>
    <w:rsid w:val="009B7881"/>
    <w:rsid w:val="009B7A81"/>
    <w:rsid w:val="009C1D85"/>
    <w:rsid w:val="009C2396"/>
    <w:rsid w:val="009C271D"/>
    <w:rsid w:val="009D301F"/>
    <w:rsid w:val="009D46AB"/>
    <w:rsid w:val="009D6E62"/>
    <w:rsid w:val="009E2663"/>
    <w:rsid w:val="009E2754"/>
    <w:rsid w:val="009E3746"/>
    <w:rsid w:val="009E5E74"/>
    <w:rsid w:val="009F10DE"/>
    <w:rsid w:val="009F3886"/>
    <w:rsid w:val="00A0516F"/>
    <w:rsid w:val="00A05AE5"/>
    <w:rsid w:val="00A0730F"/>
    <w:rsid w:val="00A144A7"/>
    <w:rsid w:val="00A15C5C"/>
    <w:rsid w:val="00A1708E"/>
    <w:rsid w:val="00A2465A"/>
    <w:rsid w:val="00A27237"/>
    <w:rsid w:val="00A27C1B"/>
    <w:rsid w:val="00A350ED"/>
    <w:rsid w:val="00A44911"/>
    <w:rsid w:val="00A47BEC"/>
    <w:rsid w:val="00A52BF6"/>
    <w:rsid w:val="00A52D05"/>
    <w:rsid w:val="00A530E9"/>
    <w:rsid w:val="00A550CF"/>
    <w:rsid w:val="00A628AF"/>
    <w:rsid w:val="00A63B34"/>
    <w:rsid w:val="00A7342F"/>
    <w:rsid w:val="00A74634"/>
    <w:rsid w:val="00A74CAA"/>
    <w:rsid w:val="00A7645F"/>
    <w:rsid w:val="00A80FDF"/>
    <w:rsid w:val="00A8274B"/>
    <w:rsid w:val="00A82823"/>
    <w:rsid w:val="00A83C91"/>
    <w:rsid w:val="00A84E87"/>
    <w:rsid w:val="00A8718C"/>
    <w:rsid w:val="00A9164D"/>
    <w:rsid w:val="00A941F2"/>
    <w:rsid w:val="00A94C41"/>
    <w:rsid w:val="00A94DFA"/>
    <w:rsid w:val="00A97218"/>
    <w:rsid w:val="00A979E2"/>
    <w:rsid w:val="00AA12C8"/>
    <w:rsid w:val="00AA35A1"/>
    <w:rsid w:val="00AA5AD2"/>
    <w:rsid w:val="00AB1643"/>
    <w:rsid w:val="00AB56AA"/>
    <w:rsid w:val="00AC08F8"/>
    <w:rsid w:val="00AC29E3"/>
    <w:rsid w:val="00AC3823"/>
    <w:rsid w:val="00AD2C45"/>
    <w:rsid w:val="00AD7A33"/>
    <w:rsid w:val="00AE0C95"/>
    <w:rsid w:val="00AE1F14"/>
    <w:rsid w:val="00AE2E70"/>
    <w:rsid w:val="00AE72CC"/>
    <w:rsid w:val="00AE7CBF"/>
    <w:rsid w:val="00AF01F5"/>
    <w:rsid w:val="00AF1198"/>
    <w:rsid w:val="00AF1414"/>
    <w:rsid w:val="00AF3336"/>
    <w:rsid w:val="00AF4579"/>
    <w:rsid w:val="00B00949"/>
    <w:rsid w:val="00B0197E"/>
    <w:rsid w:val="00B01E81"/>
    <w:rsid w:val="00B0435F"/>
    <w:rsid w:val="00B04766"/>
    <w:rsid w:val="00B06DF0"/>
    <w:rsid w:val="00B10DB9"/>
    <w:rsid w:val="00B11DF8"/>
    <w:rsid w:val="00B15011"/>
    <w:rsid w:val="00B15D82"/>
    <w:rsid w:val="00B16B62"/>
    <w:rsid w:val="00B23AE4"/>
    <w:rsid w:val="00B240E7"/>
    <w:rsid w:val="00B271C5"/>
    <w:rsid w:val="00B34854"/>
    <w:rsid w:val="00B34BE7"/>
    <w:rsid w:val="00B3678C"/>
    <w:rsid w:val="00B37E4B"/>
    <w:rsid w:val="00B42880"/>
    <w:rsid w:val="00B440D9"/>
    <w:rsid w:val="00B45447"/>
    <w:rsid w:val="00B47B6B"/>
    <w:rsid w:val="00B47C7E"/>
    <w:rsid w:val="00B512E6"/>
    <w:rsid w:val="00B605C6"/>
    <w:rsid w:val="00B715B4"/>
    <w:rsid w:val="00B75AFF"/>
    <w:rsid w:val="00B765CA"/>
    <w:rsid w:val="00B7673F"/>
    <w:rsid w:val="00B83805"/>
    <w:rsid w:val="00B851A8"/>
    <w:rsid w:val="00B856DA"/>
    <w:rsid w:val="00B9039E"/>
    <w:rsid w:val="00BA1F76"/>
    <w:rsid w:val="00BA2559"/>
    <w:rsid w:val="00BA404C"/>
    <w:rsid w:val="00BB0119"/>
    <w:rsid w:val="00BB0F4E"/>
    <w:rsid w:val="00BB2D8B"/>
    <w:rsid w:val="00BB758B"/>
    <w:rsid w:val="00BC0101"/>
    <w:rsid w:val="00BC5676"/>
    <w:rsid w:val="00BD2346"/>
    <w:rsid w:val="00BD2FF4"/>
    <w:rsid w:val="00BD3B34"/>
    <w:rsid w:val="00BD5D70"/>
    <w:rsid w:val="00BD66E6"/>
    <w:rsid w:val="00BD782E"/>
    <w:rsid w:val="00BE30DE"/>
    <w:rsid w:val="00BE67C3"/>
    <w:rsid w:val="00BF0682"/>
    <w:rsid w:val="00BF1147"/>
    <w:rsid w:val="00BF23D2"/>
    <w:rsid w:val="00BF283C"/>
    <w:rsid w:val="00BF349C"/>
    <w:rsid w:val="00BF4BB3"/>
    <w:rsid w:val="00BF51CD"/>
    <w:rsid w:val="00BF57F0"/>
    <w:rsid w:val="00C048DB"/>
    <w:rsid w:val="00C143F4"/>
    <w:rsid w:val="00C176D2"/>
    <w:rsid w:val="00C17D71"/>
    <w:rsid w:val="00C20168"/>
    <w:rsid w:val="00C27682"/>
    <w:rsid w:val="00C31F8E"/>
    <w:rsid w:val="00C41902"/>
    <w:rsid w:val="00C42388"/>
    <w:rsid w:val="00C46BCC"/>
    <w:rsid w:val="00C5224B"/>
    <w:rsid w:val="00C52979"/>
    <w:rsid w:val="00C562BF"/>
    <w:rsid w:val="00C56FD7"/>
    <w:rsid w:val="00C625DD"/>
    <w:rsid w:val="00C70920"/>
    <w:rsid w:val="00C75012"/>
    <w:rsid w:val="00C843B2"/>
    <w:rsid w:val="00C8665D"/>
    <w:rsid w:val="00C86A46"/>
    <w:rsid w:val="00C90FB6"/>
    <w:rsid w:val="00C921DF"/>
    <w:rsid w:val="00C95555"/>
    <w:rsid w:val="00CA3412"/>
    <w:rsid w:val="00CA691E"/>
    <w:rsid w:val="00CA70F3"/>
    <w:rsid w:val="00CA7E20"/>
    <w:rsid w:val="00CB139E"/>
    <w:rsid w:val="00CB4136"/>
    <w:rsid w:val="00CC2555"/>
    <w:rsid w:val="00CC4C68"/>
    <w:rsid w:val="00CC576D"/>
    <w:rsid w:val="00CC61A0"/>
    <w:rsid w:val="00CC71D1"/>
    <w:rsid w:val="00CD2797"/>
    <w:rsid w:val="00CD48D5"/>
    <w:rsid w:val="00CE2263"/>
    <w:rsid w:val="00CE62C4"/>
    <w:rsid w:val="00CE6956"/>
    <w:rsid w:val="00CF0F40"/>
    <w:rsid w:val="00CF1A54"/>
    <w:rsid w:val="00CF2AD9"/>
    <w:rsid w:val="00CF3097"/>
    <w:rsid w:val="00CF5DDA"/>
    <w:rsid w:val="00CF7E2C"/>
    <w:rsid w:val="00D02802"/>
    <w:rsid w:val="00D054A2"/>
    <w:rsid w:val="00D11BF8"/>
    <w:rsid w:val="00D12AEB"/>
    <w:rsid w:val="00D13800"/>
    <w:rsid w:val="00D142B2"/>
    <w:rsid w:val="00D1440E"/>
    <w:rsid w:val="00D149FE"/>
    <w:rsid w:val="00D15494"/>
    <w:rsid w:val="00D1799E"/>
    <w:rsid w:val="00D223EB"/>
    <w:rsid w:val="00D23E55"/>
    <w:rsid w:val="00D24403"/>
    <w:rsid w:val="00D24788"/>
    <w:rsid w:val="00D24AF2"/>
    <w:rsid w:val="00D27182"/>
    <w:rsid w:val="00D279F2"/>
    <w:rsid w:val="00D32413"/>
    <w:rsid w:val="00D33210"/>
    <w:rsid w:val="00D37D26"/>
    <w:rsid w:val="00D422E3"/>
    <w:rsid w:val="00D436C9"/>
    <w:rsid w:val="00D44C04"/>
    <w:rsid w:val="00D506CF"/>
    <w:rsid w:val="00D57EFE"/>
    <w:rsid w:val="00D60585"/>
    <w:rsid w:val="00D6142C"/>
    <w:rsid w:val="00D6254B"/>
    <w:rsid w:val="00D63B4A"/>
    <w:rsid w:val="00D753F8"/>
    <w:rsid w:val="00D75C50"/>
    <w:rsid w:val="00D76F97"/>
    <w:rsid w:val="00D841F7"/>
    <w:rsid w:val="00D84970"/>
    <w:rsid w:val="00D849A9"/>
    <w:rsid w:val="00D851C5"/>
    <w:rsid w:val="00D85B70"/>
    <w:rsid w:val="00D866CA"/>
    <w:rsid w:val="00D93BBE"/>
    <w:rsid w:val="00DA30C7"/>
    <w:rsid w:val="00DA6574"/>
    <w:rsid w:val="00DA6F3F"/>
    <w:rsid w:val="00DB6498"/>
    <w:rsid w:val="00DB67B2"/>
    <w:rsid w:val="00DB685D"/>
    <w:rsid w:val="00DB6A78"/>
    <w:rsid w:val="00DC3F91"/>
    <w:rsid w:val="00DD0C1E"/>
    <w:rsid w:val="00DD1419"/>
    <w:rsid w:val="00DD15B6"/>
    <w:rsid w:val="00DD6877"/>
    <w:rsid w:val="00DD74BE"/>
    <w:rsid w:val="00DE53D8"/>
    <w:rsid w:val="00DE7675"/>
    <w:rsid w:val="00DF07AB"/>
    <w:rsid w:val="00DF2366"/>
    <w:rsid w:val="00DF7DD6"/>
    <w:rsid w:val="00E0011C"/>
    <w:rsid w:val="00E001B4"/>
    <w:rsid w:val="00E0057B"/>
    <w:rsid w:val="00E016A6"/>
    <w:rsid w:val="00E0173C"/>
    <w:rsid w:val="00E0307B"/>
    <w:rsid w:val="00E06845"/>
    <w:rsid w:val="00E0696A"/>
    <w:rsid w:val="00E07F7B"/>
    <w:rsid w:val="00E10890"/>
    <w:rsid w:val="00E15C5B"/>
    <w:rsid w:val="00E20B15"/>
    <w:rsid w:val="00E20E96"/>
    <w:rsid w:val="00E25B24"/>
    <w:rsid w:val="00E27352"/>
    <w:rsid w:val="00E33041"/>
    <w:rsid w:val="00E34127"/>
    <w:rsid w:val="00E34361"/>
    <w:rsid w:val="00E375B1"/>
    <w:rsid w:val="00E44060"/>
    <w:rsid w:val="00E46C03"/>
    <w:rsid w:val="00E54D9E"/>
    <w:rsid w:val="00E5594A"/>
    <w:rsid w:val="00E56B19"/>
    <w:rsid w:val="00E61DF7"/>
    <w:rsid w:val="00E71F1D"/>
    <w:rsid w:val="00E73075"/>
    <w:rsid w:val="00E759EB"/>
    <w:rsid w:val="00E813F4"/>
    <w:rsid w:val="00E84BDB"/>
    <w:rsid w:val="00E85FDE"/>
    <w:rsid w:val="00E86ACC"/>
    <w:rsid w:val="00E8740C"/>
    <w:rsid w:val="00E92D51"/>
    <w:rsid w:val="00E932CC"/>
    <w:rsid w:val="00E94723"/>
    <w:rsid w:val="00E951C0"/>
    <w:rsid w:val="00E960E3"/>
    <w:rsid w:val="00E973AC"/>
    <w:rsid w:val="00EA0562"/>
    <w:rsid w:val="00EA5152"/>
    <w:rsid w:val="00EB63FE"/>
    <w:rsid w:val="00EC102F"/>
    <w:rsid w:val="00EC79DB"/>
    <w:rsid w:val="00EC7F18"/>
    <w:rsid w:val="00ED4A6A"/>
    <w:rsid w:val="00ED55BC"/>
    <w:rsid w:val="00EE0197"/>
    <w:rsid w:val="00EF1AF6"/>
    <w:rsid w:val="00EF43C6"/>
    <w:rsid w:val="00F008C2"/>
    <w:rsid w:val="00F055F8"/>
    <w:rsid w:val="00F065A1"/>
    <w:rsid w:val="00F06B13"/>
    <w:rsid w:val="00F12B4F"/>
    <w:rsid w:val="00F23FE9"/>
    <w:rsid w:val="00F2425E"/>
    <w:rsid w:val="00F2668C"/>
    <w:rsid w:val="00F273E5"/>
    <w:rsid w:val="00F327BD"/>
    <w:rsid w:val="00F358C6"/>
    <w:rsid w:val="00F35DC5"/>
    <w:rsid w:val="00F37114"/>
    <w:rsid w:val="00F442EE"/>
    <w:rsid w:val="00F50CED"/>
    <w:rsid w:val="00F51EAF"/>
    <w:rsid w:val="00F5589B"/>
    <w:rsid w:val="00F5646B"/>
    <w:rsid w:val="00F564AF"/>
    <w:rsid w:val="00F607F8"/>
    <w:rsid w:val="00F62080"/>
    <w:rsid w:val="00F648BC"/>
    <w:rsid w:val="00F65C63"/>
    <w:rsid w:val="00F73B01"/>
    <w:rsid w:val="00F76C99"/>
    <w:rsid w:val="00F805AF"/>
    <w:rsid w:val="00F8212F"/>
    <w:rsid w:val="00F84D44"/>
    <w:rsid w:val="00F856A0"/>
    <w:rsid w:val="00F9073C"/>
    <w:rsid w:val="00F956B0"/>
    <w:rsid w:val="00FA191E"/>
    <w:rsid w:val="00FA2790"/>
    <w:rsid w:val="00FA59CA"/>
    <w:rsid w:val="00FA5F90"/>
    <w:rsid w:val="00FA7C14"/>
    <w:rsid w:val="00FB3938"/>
    <w:rsid w:val="00FB5624"/>
    <w:rsid w:val="00FB6B1B"/>
    <w:rsid w:val="00FC3E50"/>
    <w:rsid w:val="00FC6EEA"/>
    <w:rsid w:val="00FD1088"/>
    <w:rsid w:val="00FD1CC4"/>
    <w:rsid w:val="00FE0B49"/>
    <w:rsid w:val="00FE3604"/>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hiamass.gov/assets/docs/r/hospital-profiles/2021/bmc.pdf" TargetMode="External"/><Relationship Id="rId13" Type="http://schemas.openxmlformats.org/officeDocument/2006/relationships/hyperlink" Target="http://www.chiamass.gov/assets/Uploads/Trauma-Centers-May-2021.pdf" TargetMode="External"/><Relationship Id="rId3" Type="http://schemas.openxmlformats.org/officeDocument/2006/relationships/hyperlink" Target="http://healthaffairs.org/blog/2015/03/16/can-safety-net-hospital-systems-redesign-themselves-to-achieve-financial-viability/" TargetMode="External"/><Relationship Id="rId7" Type="http://schemas.openxmlformats.org/officeDocument/2006/relationships/hyperlink" Target="https://www.chiamass.gov/assets/docs/r/hospital-profiles/2021/bmc.pdf" TargetMode="External"/><Relationship Id="rId12" Type="http://schemas.openxmlformats.org/officeDocument/2006/relationships/hyperlink" Target="http://www.chiamass.gov/assets/Uploads/Trauma-Centers-May-2021.pdf" TargetMode="External"/><Relationship Id="rId2" Type="http://schemas.openxmlformats.org/officeDocument/2006/relationships/hyperlink" Target="https://www.ncbi.nlm.nih.gov/books/NBK401306/" TargetMode="External"/><Relationship Id="rId1" Type="http://schemas.openxmlformats.org/officeDocument/2006/relationships/hyperlink" Target="https://www.ncbi.nlm.nih.gov/books/NBK401306/" TargetMode="External"/><Relationship Id="rId6" Type="http://schemas.openxmlformats.org/officeDocument/2006/relationships/hyperlink" Target="http://www.mass.gov/doc/hsn-annual-report-january-2023/download" TargetMode="External"/><Relationship Id="rId11" Type="http://schemas.openxmlformats.org/officeDocument/2006/relationships/hyperlink" Target="https://www.definitivehc.com/resources/healthcare-insights/hospitals-highest-total-uncompensated-care-costs" TargetMode="External"/><Relationship Id="rId5" Type="http://schemas.openxmlformats.org/officeDocument/2006/relationships/hyperlink" Target="http://www.mass.gov/doc/hsn-annual-report-january-2023/download" TargetMode="External"/><Relationship Id="rId10" Type="http://schemas.openxmlformats.org/officeDocument/2006/relationships/hyperlink" Target="http://www.chiamass.gov/assets/docs/r/hospital-profiles/2021/FY21-Massachusetts-Hospital-Profiles-Compendium.pdf" TargetMode="External"/><Relationship Id="rId4" Type="http://schemas.openxmlformats.org/officeDocument/2006/relationships/hyperlink" Target="http:&#8203;//healthaffairs&#8203;.org/blog/2015/03/16&#8203;/can-safety-net-hospital-systems-redesign-themselves-to-achieve-financial-viability/" TargetMode="External"/><Relationship Id="rId9" Type="http://schemas.openxmlformats.org/officeDocument/2006/relationships/hyperlink" Target="http://www.chiamass.gov/assets/docs/r/hospital-profiles/2021/FY21-Massachusetts-Hospital-Profiles-Compendi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10</cp:revision>
  <cp:lastPrinted>2023-09-13T20:24:00Z</cp:lastPrinted>
  <dcterms:created xsi:type="dcterms:W3CDTF">2023-09-14T11:32:00Z</dcterms:created>
  <dcterms:modified xsi:type="dcterms:W3CDTF">2023-10-24T15:38:00Z</dcterms:modified>
</cp:coreProperties>
</file>