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E56FD" w14:textId="3F4DCB6E" w:rsidR="00583E52" w:rsidRDefault="00CF5459">
      <w:pPr>
        <w:jc w:val="center"/>
        <w:rPr>
          <w:rFonts w:cstheme="minorHAnsi"/>
          <w:b/>
          <w:bCs/>
          <w:sz w:val="28"/>
          <w:szCs w:val="28"/>
        </w:rPr>
      </w:pPr>
      <w:r>
        <w:rPr>
          <w:rFonts w:cstheme="minorHAnsi"/>
          <w:b/>
          <w:bCs/>
          <w:sz w:val="28"/>
          <w:szCs w:val="28"/>
        </w:rPr>
        <w:t xml:space="preserve">APPLICANT </w:t>
      </w:r>
      <w:r w:rsidR="00D2283C">
        <w:rPr>
          <w:rFonts w:cstheme="minorHAnsi"/>
          <w:b/>
          <w:bCs/>
          <w:sz w:val="28"/>
          <w:szCs w:val="28"/>
        </w:rPr>
        <w:t>RESPONSES</w:t>
      </w:r>
    </w:p>
    <w:p w14:paraId="09AC0FFD" w14:textId="77777777" w:rsidR="00583E52" w:rsidRDefault="00CF5459">
      <w:pPr>
        <w:jc w:val="center"/>
        <w:rPr>
          <w:rFonts w:cstheme="minorHAnsi"/>
          <w:sz w:val="24"/>
          <w:szCs w:val="24"/>
        </w:rPr>
      </w:pPr>
      <w:r>
        <w:rPr>
          <w:rFonts w:cstheme="minorHAnsi"/>
          <w:i/>
          <w:iCs/>
          <w:sz w:val="24"/>
          <w:szCs w:val="24"/>
        </w:rPr>
        <w:t xml:space="preserve">Responses should be sent to </w:t>
      </w:r>
      <w:proofErr w:type="spellStart"/>
      <w:r>
        <w:rPr>
          <w:rFonts w:cstheme="minorHAnsi"/>
          <w:i/>
          <w:iCs/>
          <w:sz w:val="24"/>
          <w:szCs w:val="24"/>
        </w:rPr>
        <w:t>DoN</w:t>
      </w:r>
      <w:proofErr w:type="spellEnd"/>
      <w:r>
        <w:rPr>
          <w:rFonts w:cstheme="minorHAnsi"/>
          <w:i/>
          <w:iCs/>
          <w:sz w:val="24"/>
          <w:szCs w:val="24"/>
        </w:rPr>
        <w:t xml:space="preserve"> staff at </w:t>
      </w:r>
      <w:hyperlink r:id="rId8" w:history="1">
        <w:r>
          <w:rPr>
            <w:rStyle w:val="Hyperlink"/>
            <w:rFonts w:cstheme="minorHAnsi"/>
            <w:sz w:val="24"/>
            <w:szCs w:val="24"/>
          </w:rPr>
          <w:t>DPH.DON@State.MA.US</w:t>
        </w:r>
      </w:hyperlink>
    </w:p>
    <w:tbl>
      <w:tblPr>
        <w:tblStyle w:val="TableGrid"/>
        <w:tblW w:w="0" w:type="auto"/>
        <w:jc w:val="center"/>
        <w:tblLook w:val="04A0" w:firstRow="1" w:lastRow="0" w:firstColumn="1" w:lastColumn="0" w:noHBand="0" w:noVBand="1"/>
      </w:tblPr>
      <w:tblGrid>
        <w:gridCol w:w="9350"/>
      </w:tblGrid>
      <w:tr w:rsidR="00583E52" w14:paraId="2131D158" w14:textId="77777777">
        <w:trPr>
          <w:jc w:val="center"/>
        </w:trPr>
        <w:tc>
          <w:tcPr>
            <w:tcW w:w="9350" w:type="dxa"/>
          </w:tcPr>
          <w:p w14:paraId="28EE1BDA" w14:textId="77777777" w:rsidR="00583E52" w:rsidRDefault="00CF5459">
            <w:pPr>
              <w:rPr>
                <w:rFonts w:cstheme="minorHAnsi"/>
                <w:bCs/>
                <w:sz w:val="24"/>
                <w:szCs w:val="24"/>
              </w:rPr>
            </w:pPr>
            <w:r>
              <w:rPr>
                <w:rFonts w:cstheme="minorHAnsi"/>
                <w:bCs/>
                <w:sz w:val="24"/>
                <w:szCs w:val="24"/>
              </w:rPr>
              <w:t xml:space="preserve">While you may submit each answer as available, </w:t>
            </w:r>
            <w:proofErr w:type="gramStart"/>
            <w:r>
              <w:rPr>
                <w:rFonts w:cstheme="minorHAnsi"/>
                <w:bCs/>
                <w:sz w:val="24"/>
                <w:szCs w:val="24"/>
              </w:rPr>
              <w:t>please</w:t>
            </w:r>
            <w:proofErr w:type="gramEnd"/>
            <w:r>
              <w:rPr>
                <w:rFonts w:cstheme="minorHAnsi"/>
                <w:bCs/>
                <w:sz w:val="24"/>
                <w:szCs w:val="24"/>
              </w:rPr>
              <w:t xml:space="preserve"> </w:t>
            </w:r>
          </w:p>
          <w:p w14:paraId="51AF43D9" w14:textId="77777777" w:rsidR="00583E52" w:rsidRDefault="00CF5459">
            <w:pPr>
              <w:pStyle w:val="ListParagraph"/>
              <w:numPr>
                <w:ilvl w:val="0"/>
                <w:numId w:val="4"/>
              </w:numPr>
              <w:rPr>
                <w:rFonts w:cstheme="minorHAnsi"/>
                <w:bCs/>
                <w:sz w:val="24"/>
                <w:szCs w:val="24"/>
              </w:rPr>
            </w:pPr>
            <w:r>
              <w:rPr>
                <w:rFonts w:cstheme="minorHAnsi"/>
                <w:bCs/>
                <w:sz w:val="24"/>
                <w:szCs w:val="24"/>
              </w:rPr>
              <w:t xml:space="preserve">List question number and question for each answer you </w:t>
            </w:r>
            <w:proofErr w:type="gramStart"/>
            <w:r>
              <w:rPr>
                <w:rFonts w:cstheme="minorHAnsi"/>
                <w:bCs/>
                <w:sz w:val="24"/>
                <w:szCs w:val="24"/>
              </w:rPr>
              <w:t>provide</w:t>
            </w:r>
            <w:proofErr w:type="gramEnd"/>
            <w:r>
              <w:rPr>
                <w:rFonts w:cstheme="minorHAnsi"/>
                <w:bCs/>
                <w:sz w:val="24"/>
                <w:szCs w:val="24"/>
              </w:rPr>
              <w:t xml:space="preserve"> </w:t>
            </w:r>
          </w:p>
          <w:p w14:paraId="4BCACAE0" w14:textId="77777777" w:rsidR="00583E52" w:rsidRDefault="00CF5459">
            <w:pPr>
              <w:pStyle w:val="ListParagraph"/>
              <w:numPr>
                <w:ilvl w:val="0"/>
                <w:numId w:val="4"/>
              </w:numPr>
              <w:rPr>
                <w:rFonts w:cstheme="minorHAnsi"/>
                <w:bCs/>
                <w:sz w:val="24"/>
                <w:szCs w:val="24"/>
              </w:rPr>
            </w:pPr>
            <w:r>
              <w:rPr>
                <w:rFonts w:cstheme="minorHAnsi"/>
                <w:bCs/>
                <w:sz w:val="24"/>
                <w:szCs w:val="24"/>
              </w:rPr>
              <w:t xml:space="preserve">Submit responses as a separate word document, using the above application title and number as a running header and page numbers in the </w:t>
            </w:r>
            <w:proofErr w:type="gramStart"/>
            <w:r>
              <w:rPr>
                <w:rFonts w:cstheme="minorHAnsi"/>
                <w:bCs/>
                <w:sz w:val="24"/>
                <w:szCs w:val="24"/>
              </w:rPr>
              <w:t>footer</w:t>
            </w:r>
            <w:proofErr w:type="gramEnd"/>
            <w:r>
              <w:rPr>
                <w:rFonts w:cstheme="minorHAnsi"/>
                <w:bCs/>
                <w:sz w:val="24"/>
                <w:szCs w:val="24"/>
              </w:rPr>
              <w:t xml:space="preserve"> </w:t>
            </w:r>
          </w:p>
          <w:p w14:paraId="3DD5D48F" w14:textId="77777777" w:rsidR="00583E52" w:rsidRDefault="00CF5459">
            <w:pPr>
              <w:pStyle w:val="ListParagraph"/>
              <w:numPr>
                <w:ilvl w:val="0"/>
                <w:numId w:val="4"/>
              </w:numPr>
              <w:rPr>
                <w:rFonts w:cstheme="minorHAnsi"/>
                <w:bCs/>
                <w:sz w:val="24"/>
                <w:szCs w:val="24"/>
              </w:rPr>
            </w:pPr>
            <w:r>
              <w:rPr>
                <w:rFonts w:cstheme="minorHAnsi"/>
                <w:bCs/>
                <w:sz w:val="24"/>
                <w:szCs w:val="24"/>
              </w:rPr>
              <w:t>We accept answers on a rolling basis however, when providing the final answers, submit all questions and answers in order in one final document.</w:t>
            </w:r>
          </w:p>
          <w:p w14:paraId="4F483BFA" w14:textId="77777777" w:rsidR="00583E52" w:rsidRDefault="00CF5459">
            <w:pPr>
              <w:pStyle w:val="ListParagraph"/>
              <w:numPr>
                <w:ilvl w:val="0"/>
                <w:numId w:val="4"/>
              </w:numPr>
              <w:rPr>
                <w:rFonts w:cstheme="minorHAnsi"/>
                <w:b/>
                <w:sz w:val="24"/>
                <w:szCs w:val="24"/>
              </w:rPr>
            </w:pPr>
            <w:r>
              <w:rPr>
                <w:rFonts w:cstheme="minorHAnsi"/>
                <w:bCs/>
                <w:sz w:val="24"/>
                <w:szCs w:val="24"/>
              </w:rPr>
              <w:t>Submit responses in an accessible format in WORD or EXCEL. I</w:t>
            </w:r>
            <w:r>
              <w:rPr>
                <w:rFonts w:cstheme="minorHAnsi"/>
                <w:b/>
                <w:sz w:val="24"/>
                <w:szCs w:val="24"/>
              </w:rPr>
              <w:t>nclude a table in data format (NOT pdf or picture) with the response. For HIPAA compliance Do not include numbers &lt;11.</w:t>
            </w:r>
          </w:p>
        </w:tc>
      </w:tr>
    </w:tbl>
    <w:p w14:paraId="0F38E98C" w14:textId="77777777" w:rsidR="00583E52" w:rsidRDefault="00583E52">
      <w:pPr>
        <w:pStyle w:val="ListParagraph"/>
        <w:rPr>
          <w:rFonts w:cstheme="minorHAnsi"/>
          <w:b/>
          <w:sz w:val="24"/>
          <w:szCs w:val="24"/>
        </w:rPr>
      </w:pPr>
    </w:p>
    <w:p w14:paraId="15646BC4" w14:textId="77777777" w:rsidR="00583E52" w:rsidRPr="00CC3898" w:rsidRDefault="00CF5459" w:rsidP="00EC396A">
      <w:pPr>
        <w:pStyle w:val="ListParagraph"/>
        <w:spacing w:before="120" w:after="120" w:line="240" w:lineRule="auto"/>
        <w:ind w:left="360"/>
        <w:contextualSpacing w:val="0"/>
        <w:rPr>
          <w:rFonts w:cstheme="minorHAnsi"/>
          <w:b/>
          <w:bCs/>
        </w:rPr>
      </w:pPr>
      <w:proofErr w:type="gramStart"/>
      <w:r w:rsidRPr="00CC3898">
        <w:rPr>
          <w:rFonts w:cstheme="minorHAnsi"/>
          <w:b/>
          <w:bCs/>
        </w:rPr>
        <w:t>In order for</w:t>
      </w:r>
      <w:proofErr w:type="gramEnd"/>
      <w:r w:rsidRPr="00CC3898">
        <w:rPr>
          <w:rFonts w:cstheme="minorHAnsi"/>
          <w:b/>
          <w:bCs/>
        </w:rPr>
        <w:t xml:space="preserve"> us to review this project in a timely manner, please provide the responses by March 4, 2024.</w:t>
      </w:r>
    </w:p>
    <w:p w14:paraId="4886F1C1" w14:textId="77777777" w:rsidR="00583E52" w:rsidRPr="00CC3898" w:rsidRDefault="00583E52" w:rsidP="00EC396A">
      <w:pPr>
        <w:pStyle w:val="ListParagraph"/>
        <w:spacing w:before="120" w:after="120" w:line="240" w:lineRule="auto"/>
        <w:contextualSpacing w:val="0"/>
        <w:rPr>
          <w:rFonts w:cstheme="minorHAnsi"/>
          <w:b/>
        </w:rPr>
      </w:pPr>
    </w:p>
    <w:p w14:paraId="7BF551C0" w14:textId="77777777" w:rsidR="00583E52" w:rsidRPr="00CC3898" w:rsidRDefault="00CF5459" w:rsidP="00EC396A">
      <w:pPr>
        <w:pStyle w:val="ListParagraph"/>
        <w:numPr>
          <w:ilvl w:val="0"/>
          <w:numId w:val="35"/>
        </w:numPr>
        <w:spacing w:before="120" w:after="120" w:line="240" w:lineRule="auto"/>
        <w:contextualSpacing w:val="0"/>
        <w:rPr>
          <w:rFonts w:cstheme="minorHAnsi"/>
          <w:b/>
          <w:bCs/>
        </w:rPr>
      </w:pPr>
      <w:bookmarkStart w:id="0" w:name="_Hlk159412655"/>
      <w:r w:rsidRPr="00CC3898">
        <w:rPr>
          <w:rFonts w:cstheme="minorHAnsi"/>
          <w:b/>
          <w:bCs/>
        </w:rPr>
        <w:t>Please explain the status of the approved project, including which elements if any of the approved project been completed and opened for patient care?</w:t>
      </w:r>
    </w:p>
    <w:p w14:paraId="0D4E2E63" w14:textId="77777777" w:rsidR="00583E52" w:rsidRPr="00CC3898" w:rsidRDefault="00CF545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relocated and expanded medical oncology department; (2) a relocated radiation oncology department; (3) a relocated inpatient cardiac unit consisting of 32 beds; and (4) shell space for future projects. The Hospital seeks to build out approximately 24,783 gross square feet of previously approved shell space which is the total amount of approved shell space.</w:t>
      </w:r>
    </w:p>
    <w:p w14:paraId="247D12D3" w14:textId="3B362D9E" w:rsidR="002F1424" w:rsidRPr="00EC396A" w:rsidRDefault="002F1424" w:rsidP="00EC396A">
      <w:pPr>
        <w:spacing w:before="120" w:after="120" w:line="240" w:lineRule="auto"/>
        <w:ind w:left="1440"/>
        <w:rPr>
          <w:rFonts w:cstheme="minorHAnsi"/>
        </w:rPr>
      </w:pPr>
      <w:r w:rsidRPr="00EC396A">
        <w:rPr>
          <w:rFonts w:cstheme="minorHAnsi"/>
        </w:rPr>
        <w:t xml:space="preserve">Construction for the new tower began </w:t>
      </w:r>
      <w:r w:rsidR="00C53BAA" w:rsidRPr="00EC396A">
        <w:rPr>
          <w:rFonts w:cstheme="minorHAnsi"/>
        </w:rPr>
        <w:t>in 2023</w:t>
      </w:r>
      <w:r w:rsidRPr="00EC396A">
        <w:rPr>
          <w:rFonts w:cstheme="minorHAnsi"/>
        </w:rPr>
        <w:t xml:space="preserve"> and is on schedule for the first patients to be seen in the Medical Oncology and Radiation Oncology Departments in April 2025. The 3</w:t>
      </w:r>
      <w:r w:rsidRPr="00EC396A">
        <w:rPr>
          <w:rFonts w:cstheme="minorHAnsi"/>
          <w:vertAlign w:val="superscript"/>
        </w:rPr>
        <w:t>rd</w:t>
      </w:r>
      <w:r w:rsidRPr="00EC396A">
        <w:rPr>
          <w:rFonts w:cstheme="minorHAnsi"/>
        </w:rPr>
        <w:t xml:space="preserve"> floor medical surgical unit is on schedule to open for patient care in March 2026.  </w:t>
      </w:r>
    </w:p>
    <w:p w14:paraId="052336DE" w14:textId="77777777" w:rsidR="00583E52" w:rsidRPr="00CC3898" w:rsidRDefault="00CF5459" w:rsidP="00EC396A">
      <w:pPr>
        <w:pStyle w:val="ListParagraph"/>
        <w:numPr>
          <w:ilvl w:val="0"/>
          <w:numId w:val="35"/>
        </w:numPr>
        <w:spacing w:before="120" w:after="120" w:line="240" w:lineRule="auto"/>
        <w:contextualSpacing w:val="0"/>
        <w:rPr>
          <w:rFonts w:cstheme="minorHAnsi"/>
          <w:b/>
          <w:bCs/>
        </w:rPr>
      </w:pPr>
      <w:r w:rsidRPr="00CC3898">
        <w:rPr>
          <w:rFonts w:cstheme="minorHAnsi"/>
          <w:b/>
          <w:bCs/>
        </w:rPr>
        <w:t xml:space="preserve">What is planned for the space vacated by the cardiac unit and the medical oncology department? </w:t>
      </w:r>
    </w:p>
    <w:p w14:paraId="112F2284" w14:textId="0ABC7ED1" w:rsidR="002F1424" w:rsidRPr="00EC396A" w:rsidRDefault="001F78D0" w:rsidP="00EC396A">
      <w:pPr>
        <w:pStyle w:val="ListParagraph"/>
        <w:spacing w:before="120" w:after="120" w:line="240" w:lineRule="auto"/>
        <w:contextualSpacing w:val="0"/>
        <w:rPr>
          <w:rFonts w:cstheme="minorHAnsi"/>
        </w:rPr>
      </w:pPr>
      <w:r>
        <w:rPr>
          <w:rFonts w:cstheme="minorHAnsi"/>
        </w:rPr>
        <w:t>T</w:t>
      </w:r>
      <w:r w:rsidR="001D4D53" w:rsidRPr="00CC3898">
        <w:rPr>
          <w:rFonts w:cstheme="minorHAnsi"/>
        </w:rPr>
        <w:t xml:space="preserve">he Approved Project’s services are being relocated from buildings built between 1950 and 1996 </w:t>
      </w:r>
      <w:r w:rsidR="00EC396A">
        <w:rPr>
          <w:rFonts w:cstheme="minorHAnsi"/>
        </w:rPr>
        <w:t xml:space="preserve">and </w:t>
      </w:r>
      <w:r w:rsidR="00EC396A" w:rsidRPr="00EC396A">
        <w:rPr>
          <w:rFonts w:cstheme="minorHAnsi"/>
        </w:rPr>
        <w:t xml:space="preserve">would require significant renovations for any new use. </w:t>
      </w:r>
      <w:r w:rsidR="00EC396A">
        <w:rPr>
          <w:rFonts w:cstheme="minorHAnsi"/>
        </w:rPr>
        <w:t>Given the spaces will continue to be used in their current state for the next one to two years, t</w:t>
      </w:r>
      <w:r w:rsidR="00EC396A" w:rsidRPr="00EC396A">
        <w:rPr>
          <w:rFonts w:cstheme="minorHAnsi"/>
        </w:rPr>
        <w:t xml:space="preserve">he </w:t>
      </w:r>
      <w:r w:rsidR="00EC396A">
        <w:rPr>
          <w:rFonts w:cstheme="minorHAnsi"/>
        </w:rPr>
        <w:t>H</w:t>
      </w:r>
      <w:r w:rsidR="00EC396A" w:rsidRPr="00EC396A">
        <w:rPr>
          <w:rFonts w:cstheme="minorHAnsi"/>
        </w:rPr>
        <w:t xml:space="preserve">ospital has not </w:t>
      </w:r>
      <w:r w:rsidR="00EC396A">
        <w:rPr>
          <w:rFonts w:cstheme="minorHAnsi"/>
        </w:rPr>
        <w:t xml:space="preserve">yet </w:t>
      </w:r>
      <w:r w:rsidR="00EC396A" w:rsidRPr="00EC396A">
        <w:rPr>
          <w:rFonts w:cstheme="minorHAnsi"/>
        </w:rPr>
        <w:t>evaluated how it may use the space in the future</w:t>
      </w:r>
      <w:r w:rsidR="00EC396A">
        <w:rPr>
          <w:rFonts w:cstheme="minorHAnsi"/>
        </w:rPr>
        <w:t xml:space="preserve">. </w:t>
      </w:r>
    </w:p>
    <w:bookmarkEnd w:id="0"/>
    <w:p w14:paraId="7EE80E56" w14:textId="01FC9983" w:rsidR="00583E52" w:rsidRPr="00CC3898" w:rsidRDefault="00CF5459" w:rsidP="00EC396A">
      <w:pPr>
        <w:pStyle w:val="ListParagraph"/>
        <w:numPr>
          <w:ilvl w:val="0"/>
          <w:numId w:val="35"/>
        </w:numPr>
        <w:spacing w:before="120" w:after="120" w:line="240" w:lineRule="auto"/>
        <w:contextualSpacing w:val="0"/>
        <w:rPr>
          <w:rFonts w:cstheme="minorHAnsi"/>
          <w:b/>
          <w:bCs/>
        </w:rPr>
      </w:pPr>
      <w:r w:rsidRPr="00CC3898">
        <w:rPr>
          <w:rFonts w:cstheme="minorHAnsi"/>
          <w:b/>
          <w:bCs/>
        </w:rPr>
        <w:t xml:space="preserve">The Applicant asserts the industry standard for inpatient utilization is widely accepted to be 85% occupancy, please provide a citation for this assertion. </w:t>
      </w:r>
    </w:p>
    <w:p w14:paraId="76BAF414" w14:textId="2F81ADB3" w:rsidR="002F1424" w:rsidRPr="00EC396A" w:rsidRDefault="002F1424" w:rsidP="00EC396A">
      <w:pPr>
        <w:pStyle w:val="Default"/>
        <w:spacing w:before="120" w:after="120"/>
        <w:ind w:left="720"/>
        <w:rPr>
          <w:sz w:val="22"/>
          <w:szCs w:val="22"/>
        </w:rPr>
      </w:pPr>
      <w:proofErr w:type="spellStart"/>
      <w:r w:rsidRPr="00CC3898">
        <w:rPr>
          <w:sz w:val="22"/>
          <w:szCs w:val="22"/>
        </w:rPr>
        <w:t>Ravaghi</w:t>
      </w:r>
      <w:proofErr w:type="spellEnd"/>
      <w:r w:rsidRPr="00CC3898">
        <w:rPr>
          <w:sz w:val="22"/>
          <w:szCs w:val="22"/>
        </w:rPr>
        <w:t xml:space="preserve"> et al., </w:t>
      </w:r>
      <w:hyperlink r:id="rId9" w:history="1">
        <w:r w:rsidRPr="00974F9C">
          <w:rPr>
            <w:rStyle w:val="Hyperlink"/>
            <w:i/>
            <w:iCs/>
            <w:color w:val="auto"/>
            <w:sz w:val="22"/>
            <w:szCs w:val="22"/>
            <w:u w:val="none"/>
          </w:rPr>
          <w:t>Models and methods for determining the optimal number of beds in hospitals and regions: a systematic scoping review</w:t>
        </w:r>
      </w:hyperlink>
      <w:r w:rsidRPr="00974F9C">
        <w:rPr>
          <w:color w:val="auto"/>
          <w:sz w:val="22"/>
          <w:szCs w:val="22"/>
        </w:rPr>
        <w:t xml:space="preserve">, 20 </w:t>
      </w:r>
      <w:r w:rsidRPr="00CC3898">
        <w:rPr>
          <w:sz w:val="22"/>
          <w:szCs w:val="22"/>
        </w:rPr>
        <w:t xml:space="preserve">BMC HEALTH SERVICES RESEARCH 186 (2020), </w:t>
      </w:r>
      <w:r w:rsidRPr="00CC3898">
        <w:rPr>
          <w:i/>
          <w:iCs/>
          <w:sz w:val="22"/>
          <w:szCs w:val="22"/>
        </w:rPr>
        <w:t xml:space="preserve">available at </w:t>
      </w:r>
      <w:hyperlink r:id="rId10" w:history="1">
        <w:r w:rsidRPr="00CC3898">
          <w:rPr>
            <w:rStyle w:val="Hyperlink"/>
            <w:sz w:val="22"/>
            <w:szCs w:val="22"/>
          </w:rPr>
          <w:t>https://bmchealthservres.biomedcentral.com/articles/10.1186/s12913-020-5023-z</w:t>
        </w:r>
      </w:hyperlink>
      <w:r w:rsidRPr="00CC3898">
        <w:rPr>
          <w:sz w:val="22"/>
          <w:szCs w:val="22"/>
        </w:rPr>
        <w:t xml:space="preserve">. </w:t>
      </w:r>
    </w:p>
    <w:p w14:paraId="277AFE77" w14:textId="77777777" w:rsidR="00583E52" w:rsidRPr="00CC3898" w:rsidRDefault="00CF5459" w:rsidP="00EC396A">
      <w:pPr>
        <w:pStyle w:val="ListParagraph"/>
        <w:numPr>
          <w:ilvl w:val="0"/>
          <w:numId w:val="35"/>
        </w:numPr>
        <w:spacing w:before="120" w:after="120" w:line="240" w:lineRule="auto"/>
        <w:contextualSpacing w:val="0"/>
        <w:rPr>
          <w:rFonts w:cstheme="minorHAnsi"/>
          <w:b/>
          <w:bCs/>
        </w:rPr>
      </w:pPr>
      <w:r w:rsidRPr="00CC3898">
        <w:rPr>
          <w:rFonts w:cstheme="minorHAnsi"/>
          <w:b/>
          <w:bCs/>
        </w:rPr>
        <w:t xml:space="preserve">Please confirm the following about the licensed beds Cape Cod Hospital- 197 licensed beds and Falmouth Hospital licensed 81 beds. Please confirm that </w:t>
      </w:r>
      <w:proofErr w:type="gramStart"/>
      <w:r w:rsidRPr="00CC3898">
        <w:rPr>
          <w:rFonts w:cstheme="minorHAnsi"/>
          <w:b/>
          <w:bCs/>
        </w:rPr>
        <w:t>all of</w:t>
      </w:r>
      <w:proofErr w:type="gramEnd"/>
      <w:r w:rsidRPr="00CC3898">
        <w:rPr>
          <w:rFonts w:cstheme="minorHAnsi"/>
          <w:b/>
          <w:bCs/>
        </w:rPr>
        <w:t xml:space="preserve"> the licensed beds are staffed and operational. </w:t>
      </w:r>
    </w:p>
    <w:p w14:paraId="24FD5FA2" w14:textId="1226B8AD" w:rsidR="001D4D53" w:rsidRPr="00EC396A" w:rsidRDefault="00CF5459" w:rsidP="00EC396A">
      <w:pPr>
        <w:pStyle w:val="ListParagraph"/>
        <w:spacing w:before="120" w:after="120" w:line="240" w:lineRule="auto"/>
        <w:contextualSpacing w:val="0"/>
        <w:rPr>
          <w:rFonts w:cstheme="minorHAnsi"/>
          <w:color w:val="4472C4" w:themeColor="accent1"/>
        </w:rPr>
      </w:pPr>
      <w:r w:rsidRPr="00CC3898">
        <w:rPr>
          <w:rFonts w:cstheme="minorHAnsi"/>
        </w:rPr>
        <w:t xml:space="preserve">Cape Cod Hospital has 197 </w:t>
      </w:r>
      <w:r w:rsidR="00B24163" w:rsidRPr="00CC3898">
        <w:rPr>
          <w:rFonts w:cstheme="minorHAnsi"/>
        </w:rPr>
        <w:t xml:space="preserve">licensed medical/surgical beds </w:t>
      </w:r>
      <w:r w:rsidR="001D4D53" w:rsidRPr="00CC3898">
        <w:rPr>
          <w:rFonts w:cstheme="minorHAnsi"/>
        </w:rPr>
        <w:t>and</w:t>
      </w:r>
      <w:r w:rsidRPr="00CC3898">
        <w:rPr>
          <w:rFonts w:cstheme="minorHAnsi"/>
        </w:rPr>
        <w:t xml:space="preserve"> Falmouth</w:t>
      </w:r>
      <w:r w:rsidR="001D4D53" w:rsidRPr="00CC3898">
        <w:rPr>
          <w:rFonts w:cstheme="minorHAnsi"/>
        </w:rPr>
        <w:t xml:space="preserve"> Hospital</w:t>
      </w:r>
      <w:r w:rsidRPr="00CC3898">
        <w:rPr>
          <w:rFonts w:cstheme="minorHAnsi"/>
        </w:rPr>
        <w:t xml:space="preserve"> has 71</w:t>
      </w:r>
      <w:r w:rsidR="001D4D53" w:rsidRPr="00CC3898">
        <w:rPr>
          <w:rFonts w:cstheme="minorHAnsi"/>
        </w:rPr>
        <w:t xml:space="preserve"> licensed medical/surgical beds</w:t>
      </w:r>
      <w:r w:rsidRPr="00CC3898">
        <w:rPr>
          <w:rFonts w:cstheme="minorHAnsi"/>
        </w:rPr>
        <w:t>. All beds are</w:t>
      </w:r>
      <w:r w:rsidR="001F78D0">
        <w:rPr>
          <w:rFonts w:cstheme="minorHAnsi"/>
        </w:rPr>
        <w:t xml:space="preserve"> currently</w:t>
      </w:r>
      <w:r w:rsidRPr="00CC3898">
        <w:rPr>
          <w:rFonts w:cstheme="minorHAnsi"/>
        </w:rPr>
        <w:t xml:space="preserve"> operational and staffed</w:t>
      </w:r>
      <w:r w:rsidR="001F78D0">
        <w:rPr>
          <w:rFonts w:cstheme="minorHAnsi"/>
        </w:rPr>
        <w:t xml:space="preserve">, as has been the case for the last several years.  </w:t>
      </w:r>
    </w:p>
    <w:p w14:paraId="755D175A" w14:textId="77777777" w:rsidR="00B24163" w:rsidRPr="00CC3898" w:rsidRDefault="00CF5459" w:rsidP="00EC396A">
      <w:pPr>
        <w:pStyle w:val="ListParagraph"/>
        <w:numPr>
          <w:ilvl w:val="0"/>
          <w:numId w:val="35"/>
        </w:numPr>
        <w:spacing w:before="120" w:after="120" w:line="240" w:lineRule="auto"/>
        <w:contextualSpacing w:val="0"/>
        <w:rPr>
          <w:rFonts w:cstheme="minorHAnsi"/>
          <w:color w:val="4472C4" w:themeColor="accent1"/>
        </w:rPr>
      </w:pPr>
      <w:r w:rsidRPr="00CC3898">
        <w:rPr>
          <w:rFonts w:cstheme="minorHAnsi"/>
          <w:b/>
          <w:bCs/>
        </w:rPr>
        <w:lastRenderedPageBreak/>
        <w:t xml:space="preserve">You state seasonal population fluctuations create spikes in demand and place a strain on the hospital, and during the summer, the population of Cape Cod doubles in size, however, winter spikes present similar surges. In 2023, the Hospital had more admitted patients than licensed beds for almost one-third of the year (31%). In the summer of 2023, the Hospital’s occupancy rate was 101%. Are these occupancy rates calculated off of your licensed beds or do they include the </w:t>
      </w:r>
      <w:proofErr w:type="gramStart"/>
      <w:r w:rsidRPr="00CC3898">
        <w:rPr>
          <w:rFonts w:cstheme="minorHAnsi"/>
          <w:b/>
          <w:bCs/>
        </w:rPr>
        <w:t>28 bed</w:t>
      </w:r>
      <w:proofErr w:type="gramEnd"/>
      <w:r w:rsidRPr="00CC3898">
        <w:rPr>
          <w:rFonts w:cstheme="minorHAnsi"/>
          <w:b/>
          <w:bCs/>
        </w:rPr>
        <w:t xml:space="preserve"> alternate/surge space?  </w:t>
      </w:r>
    </w:p>
    <w:p w14:paraId="76538AD1" w14:textId="0B362F81" w:rsidR="00F86049" w:rsidRPr="00EC396A" w:rsidRDefault="00CF5459" w:rsidP="00EC396A">
      <w:pPr>
        <w:pStyle w:val="ListParagraph"/>
        <w:spacing w:before="120" w:after="120" w:line="240" w:lineRule="auto"/>
        <w:contextualSpacing w:val="0"/>
        <w:rPr>
          <w:rFonts w:cstheme="minorHAnsi"/>
        </w:rPr>
      </w:pPr>
      <w:r w:rsidRPr="00CC3898">
        <w:rPr>
          <w:rFonts w:cstheme="minorHAnsi"/>
        </w:rPr>
        <w:t>Occupancy rates are based on licensed medical</w:t>
      </w:r>
      <w:r w:rsidR="00F90197">
        <w:rPr>
          <w:rFonts w:cstheme="minorHAnsi"/>
        </w:rPr>
        <w:t>/</w:t>
      </w:r>
      <w:r w:rsidRPr="00CC3898">
        <w:rPr>
          <w:rFonts w:cstheme="minorHAnsi"/>
        </w:rPr>
        <w:t>surgical beds only.</w:t>
      </w:r>
    </w:p>
    <w:p w14:paraId="58F0FC31" w14:textId="77777777" w:rsidR="00583E52" w:rsidRPr="00CC3898" w:rsidRDefault="00CF545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To what do you attribute the high inpatient occupancy rates? Is it related to the surge in respiratory viruses or other illnesses? Explain.</w:t>
      </w:r>
    </w:p>
    <w:p w14:paraId="53160E0B" w14:textId="123A8606" w:rsidR="00F86049" w:rsidRPr="00EC396A" w:rsidRDefault="00B24163" w:rsidP="00EC396A">
      <w:pPr>
        <w:pStyle w:val="ListParagraph"/>
        <w:spacing w:before="120" w:after="120" w:line="240" w:lineRule="auto"/>
        <w:ind w:left="1440"/>
        <w:contextualSpacing w:val="0"/>
        <w:rPr>
          <w:rFonts w:cstheme="minorHAnsi"/>
        </w:rPr>
      </w:pPr>
      <w:r w:rsidRPr="00CC3898">
        <w:rPr>
          <w:rFonts w:cstheme="minorHAnsi"/>
        </w:rPr>
        <w:t xml:space="preserve">The Hospital’s high occupancy rates are not tied to surges and are the result of increased need in the community for </w:t>
      </w:r>
      <w:r w:rsidR="00EC396A">
        <w:rPr>
          <w:rFonts w:cstheme="minorHAnsi"/>
        </w:rPr>
        <w:t xml:space="preserve">the </w:t>
      </w:r>
      <w:r w:rsidRPr="00CC3898">
        <w:rPr>
          <w:rFonts w:cstheme="minorHAnsi"/>
        </w:rPr>
        <w:t>treatment</w:t>
      </w:r>
      <w:r w:rsidR="00EC396A">
        <w:rPr>
          <w:rFonts w:cstheme="minorHAnsi"/>
        </w:rPr>
        <w:t xml:space="preserve"> of</w:t>
      </w:r>
      <w:r w:rsidRPr="00CC3898">
        <w:rPr>
          <w:rFonts w:cstheme="minorHAnsi"/>
        </w:rPr>
        <w:t xml:space="preserve"> higher acuity conditions. </w:t>
      </w:r>
    </w:p>
    <w:p w14:paraId="36E5CD04" w14:textId="77777777" w:rsidR="00583E52" w:rsidRPr="00CC3898" w:rsidRDefault="00CF545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 xml:space="preserve">Since the 28-bed Alternate Inpatient Care Space has been in effect, how many of those beds have been utilized </w:t>
      </w:r>
      <w:proofErr w:type="gramStart"/>
      <w:r w:rsidRPr="00CC3898">
        <w:rPr>
          <w:rFonts w:cstheme="minorHAnsi"/>
          <w:b/>
          <w:bCs/>
        </w:rPr>
        <w:t>on a monthly basis</w:t>
      </w:r>
      <w:proofErr w:type="gramEnd"/>
      <w:r w:rsidRPr="00CC3898">
        <w:rPr>
          <w:rFonts w:cstheme="minorHAnsi"/>
          <w:b/>
          <w:bCs/>
        </w:rPr>
        <w:t>?</w:t>
      </w:r>
    </w:p>
    <w:p w14:paraId="0F61C85B" w14:textId="6E007820" w:rsidR="00F86049" w:rsidRPr="00EC396A" w:rsidRDefault="00CF5459" w:rsidP="00EC396A">
      <w:pPr>
        <w:pStyle w:val="ListParagraph"/>
        <w:spacing w:before="120" w:after="120" w:line="240" w:lineRule="auto"/>
        <w:ind w:left="1440"/>
        <w:contextualSpacing w:val="0"/>
        <w:rPr>
          <w:rFonts w:cstheme="minorHAnsi"/>
        </w:rPr>
      </w:pPr>
      <w:r w:rsidRPr="00CC3898">
        <w:rPr>
          <w:rFonts w:cstheme="minorHAnsi"/>
        </w:rPr>
        <w:t xml:space="preserve">See </w:t>
      </w:r>
      <w:r w:rsidR="00B24163" w:rsidRPr="00CC3898">
        <w:rPr>
          <w:rFonts w:cstheme="minorHAnsi"/>
        </w:rPr>
        <w:t xml:space="preserve">attached </w:t>
      </w:r>
      <w:r w:rsidR="00F90197">
        <w:rPr>
          <w:rFonts w:cstheme="minorHAnsi"/>
        </w:rPr>
        <w:t>E</w:t>
      </w:r>
      <w:r w:rsidRPr="00CC3898">
        <w:rPr>
          <w:rFonts w:cstheme="minorHAnsi"/>
        </w:rPr>
        <w:t>xcel file</w:t>
      </w:r>
      <w:r w:rsidR="00B24163" w:rsidRPr="00CC3898">
        <w:rPr>
          <w:rFonts w:cstheme="minorHAnsi"/>
        </w:rPr>
        <w:t xml:space="preserve">. </w:t>
      </w:r>
    </w:p>
    <w:p w14:paraId="204493EB" w14:textId="13CC1AF5" w:rsidR="00583E52" w:rsidRPr="00CC3898" w:rsidRDefault="00CF545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Does Falmouth Hospital also have an Alternative Inpatient Care Space agreement, if so, for how many beds?</w:t>
      </w:r>
    </w:p>
    <w:p w14:paraId="570A54C7" w14:textId="6B966D73" w:rsidR="00F86049" w:rsidRPr="00EC396A" w:rsidRDefault="00CF5459" w:rsidP="00EC396A">
      <w:pPr>
        <w:pStyle w:val="ListParagraph"/>
        <w:spacing w:before="120" w:after="120" w:line="240" w:lineRule="auto"/>
        <w:ind w:left="1440"/>
        <w:contextualSpacing w:val="0"/>
        <w:rPr>
          <w:rFonts w:cstheme="minorHAnsi"/>
        </w:rPr>
      </w:pPr>
      <w:r w:rsidRPr="00CC3898">
        <w:rPr>
          <w:rFonts w:cstheme="minorHAnsi"/>
        </w:rPr>
        <w:t>Yes, 12 bed</w:t>
      </w:r>
      <w:r w:rsidR="00B24163" w:rsidRPr="00CC3898">
        <w:rPr>
          <w:rFonts w:cstheme="minorHAnsi"/>
        </w:rPr>
        <w:t xml:space="preserve">s. </w:t>
      </w:r>
    </w:p>
    <w:p w14:paraId="3BEC20CA" w14:textId="77777777" w:rsidR="00583E52" w:rsidRPr="00CC3898" w:rsidRDefault="00CF5459" w:rsidP="00EC396A">
      <w:pPr>
        <w:pStyle w:val="ListParagraph"/>
        <w:numPr>
          <w:ilvl w:val="1"/>
          <w:numId w:val="35"/>
        </w:numPr>
        <w:spacing w:before="120" w:after="120" w:line="240" w:lineRule="auto"/>
        <w:contextualSpacing w:val="0"/>
        <w:rPr>
          <w:rFonts w:cstheme="minorHAnsi"/>
          <w:b/>
          <w:bCs/>
        </w:rPr>
      </w:pPr>
      <w:proofErr w:type="gramStart"/>
      <w:r w:rsidRPr="00CC3898">
        <w:rPr>
          <w:rFonts w:cstheme="minorHAnsi"/>
          <w:b/>
          <w:bCs/>
        </w:rPr>
        <w:t>In order for</w:t>
      </w:r>
      <w:proofErr w:type="gramEnd"/>
      <w:r w:rsidRPr="00CC3898">
        <w:rPr>
          <w:rFonts w:cstheme="minorHAnsi"/>
          <w:b/>
          <w:bCs/>
        </w:rPr>
        <w:t xml:space="preserve"> us to understand the seasonal </w:t>
      </w:r>
      <w:proofErr w:type="gramStart"/>
      <w:r w:rsidRPr="00CC3898">
        <w:rPr>
          <w:rFonts w:cstheme="minorHAnsi"/>
          <w:b/>
          <w:bCs/>
        </w:rPr>
        <w:t>fluctuations,</w:t>
      </w:r>
      <w:proofErr w:type="gramEnd"/>
      <w:r w:rsidRPr="00CC3898">
        <w:rPr>
          <w:rFonts w:cstheme="minorHAnsi"/>
          <w:b/>
          <w:bCs/>
        </w:rPr>
        <w:t xml:space="preserve"> for both CCH and FH, please provide us with the last three fiscal years of utilization data by month. Fill in the table below by month and by facility.</w:t>
      </w:r>
    </w:p>
    <w:p w14:paraId="6CB2B4F5" w14:textId="22630E68" w:rsidR="00583E52" w:rsidRPr="00CC3898" w:rsidRDefault="00CF5459" w:rsidP="00EC396A">
      <w:pPr>
        <w:pStyle w:val="ListParagraph"/>
        <w:spacing w:before="120" w:after="120" w:line="240" w:lineRule="auto"/>
        <w:ind w:left="1440"/>
        <w:contextualSpacing w:val="0"/>
        <w:rPr>
          <w:rFonts w:cstheme="minorHAnsi"/>
        </w:rPr>
      </w:pPr>
      <w:r w:rsidRPr="00CC3898">
        <w:rPr>
          <w:rFonts w:cstheme="minorHAnsi"/>
        </w:rPr>
        <w:t xml:space="preserve">See </w:t>
      </w:r>
      <w:r w:rsidR="00B24163" w:rsidRPr="00CC3898">
        <w:rPr>
          <w:rFonts w:cstheme="minorHAnsi"/>
        </w:rPr>
        <w:t xml:space="preserve">attached </w:t>
      </w:r>
      <w:r w:rsidR="00F90197">
        <w:rPr>
          <w:rFonts w:cstheme="minorHAnsi"/>
        </w:rPr>
        <w:t>E</w:t>
      </w:r>
      <w:r w:rsidRPr="00CC3898">
        <w:rPr>
          <w:rFonts w:cstheme="minorHAnsi"/>
        </w:rPr>
        <w:t>xcel fil</w:t>
      </w:r>
      <w:r w:rsidR="00B24163" w:rsidRPr="00CC3898">
        <w:rPr>
          <w:rFonts w:cstheme="minorHAnsi"/>
        </w:rPr>
        <w:t xml:space="preserve">e. </w:t>
      </w:r>
    </w:p>
    <w:tbl>
      <w:tblPr>
        <w:tblW w:w="7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55"/>
        <w:gridCol w:w="1095"/>
        <w:gridCol w:w="1096"/>
        <w:gridCol w:w="1096"/>
        <w:gridCol w:w="1096"/>
      </w:tblGrid>
      <w:tr w:rsidR="00583E52" w:rsidRPr="00CC3898" w14:paraId="2033F971" w14:textId="77777777" w:rsidTr="00C81DE6">
        <w:trPr>
          <w:cantSplit/>
          <w:trHeight w:val="368"/>
          <w:tblHeader/>
          <w:jc w:val="center"/>
        </w:trPr>
        <w:tc>
          <w:tcPr>
            <w:tcW w:w="3055" w:type="dxa"/>
            <w:shd w:val="clear" w:color="000000" w:fill="D9E2F3"/>
            <w:vAlign w:val="center"/>
            <w:hideMark/>
          </w:tcPr>
          <w:p w14:paraId="1ED5081A"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 xml:space="preserve">Table X:  Historic Utilization- Cape Cod Hospital </w:t>
            </w:r>
          </w:p>
          <w:p w14:paraId="6DA492E7"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 xml:space="preserve">Month </w:t>
            </w:r>
            <w:r w:rsidRPr="00CC3898">
              <w:rPr>
                <w:rFonts w:eastAsia="Times New Roman" w:cstheme="minorHAnsi"/>
                <w:b/>
                <w:bCs/>
                <w:highlight w:val="yellow"/>
              </w:rPr>
              <w:t>XX</w:t>
            </w:r>
          </w:p>
        </w:tc>
        <w:tc>
          <w:tcPr>
            <w:tcW w:w="1095" w:type="dxa"/>
            <w:shd w:val="clear" w:color="000000" w:fill="D9E2F3"/>
            <w:vAlign w:val="center"/>
          </w:tcPr>
          <w:p w14:paraId="5DA4905E"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FY 21</w:t>
            </w:r>
          </w:p>
        </w:tc>
        <w:tc>
          <w:tcPr>
            <w:tcW w:w="1096" w:type="dxa"/>
            <w:shd w:val="clear" w:color="000000" w:fill="D9E2F3"/>
            <w:noWrap/>
            <w:vAlign w:val="center"/>
          </w:tcPr>
          <w:p w14:paraId="0D434815"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FY22</w:t>
            </w:r>
          </w:p>
        </w:tc>
        <w:tc>
          <w:tcPr>
            <w:tcW w:w="1096" w:type="dxa"/>
            <w:shd w:val="clear" w:color="000000" w:fill="D9E2F3"/>
            <w:noWrap/>
            <w:vAlign w:val="center"/>
          </w:tcPr>
          <w:p w14:paraId="6931109D"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FY 23</w:t>
            </w:r>
          </w:p>
        </w:tc>
        <w:tc>
          <w:tcPr>
            <w:tcW w:w="1096" w:type="dxa"/>
            <w:shd w:val="clear" w:color="000000" w:fill="D9E2F3"/>
            <w:noWrap/>
            <w:vAlign w:val="center"/>
          </w:tcPr>
          <w:p w14:paraId="1A573FB6"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YTD 24</w:t>
            </w:r>
          </w:p>
        </w:tc>
      </w:tr>
      <w:tr w:rsidR="00583E52" w:rsidRPr="00CC3898" w14:paraId="494C0E8E" w14:textId="77777777" w:rsidTr="00C81DE6">
        <w:trPr>
          <w:cantSplit/>
          <w:trHeight w:val="300"/>
          <w:jc w:val="center"/>
        </w:trPr>
        <w:tc>
          <w:tcPr>
            <w:tcW w:w="3055" w:type="dxa"/>
            <w:shd w:val="clear" w:color="auto" w:fill="auto"/>
            <w:vAlign w:val="center"/>
          </w:tcPr>
          <w:p w14:paraId="04F5331B"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Staffed licensed Beds</w:t>
            </w:r>
          </w:p>
        </w:tc>
        <w:tc>
          <w:tcPr>
            <w:tcW w:w="1095" w:type="dxa"/>
            <w:shd w:val="clear" w:color="auto" w:fill="auto"/>
            <w:vAlign w:val="center"/>
          </w:tcPr>
          <w:p w14:paraId="4DB6381F"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6293E8A2"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F5073DA"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2C796CB4"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3A8CB39E" w14:textId="77777777" w:rsidTr="00C81DE6">
        <w:trPr>
          <w:cantSplit/>
          <w:trHeight w:val="300"/>
          <w:jc w:val="center"/>
        </w:trPr>
        <w:tc>
          <w:tcPr>
            <w:tcW w:w="3055" w:type="dxa"/>
            <w:shd w:val="clear" w:color="auto" w:fill="auto"/>
            <w:vAlign w:val="center"/>
          </w:tcPr>
          <w:p w14:paraId="05D73D46"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Alternate Care Beds staffed</w:t>
            </w:r>
          </w:p>
        </w:tc>
        <w:tc>
          <w:tcPr>
            <w:tcW w:w="1095" w:type="dxa"/>
            <w:shd w:val="clear" w:color="auto" w:fill="auto"/>
            <w:vAlign w:val="center"/>
          </w:tcPr>
          <w:p w14:paraId="2D56582F"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6481CDED"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62C5E88B"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D770877"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208863EE" w14:textId="77777777" w:rsidTr="00C81DE6">
        <w:trPr>
          <w:cantSplit/>
          <w:trHeight w:val="300"/>
          <w:jc w:val="center"/>
        </w:trPr>
        <w:tc>
          <w:tcPr>
            <w:tcW w:w="3055" w:type="dxa"/>
            <w:shd w:val="clear" w:color="auto" w:fill="auto"/>
            <w:vAlign w:val="center"/>
            <w:hideMark/>
          </w:tcPr>
          <w:p w14:paraId="42D38DF0"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Discharges</w:t>
            </w:r>
          </w:p>
        </w:tc>
        <w:tc>
          <w:tcPr>
            <w:tcW w:w="1095" w:type="dxa"/>
            <w:shd w:val="clear" w:color="auto" w:fill="auto"/>
            <w:vAlign w:val="center"/>
          </w:tcPr>
          <w:p w14:paraId="48F90C59"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155B9C35"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768469FA"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0E29C06"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5EC473EC" w14:textId="77777777" w:rsidTr="00C81DE6">
        <w:trPr>
          <w:cantSplit/>
          <w:trHeight w:val="300"/>
          <w:jc w:val="center"/>
        </w:trPr>
        <w:tc>
          <w:tcPr>
            <w:tcW w:w="3055" w:type="dxa"/>
            <w:shd w:val="clear" w:color="auto" w:fill="auto"/>
            <w:vAlign w:val="center"/>
            <w:hideMark/>
          </w:tcPr>
          <w:p w14:paraId="2B6E5B75"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Patient Days</w:t>
            </w:r>
          </w:p>
        </w:tc>
        <w:tc>
          <w:tcPr>
            <w:tcW w:w="1095" w:type="dxa"/>
            <w:shd w:val="clear" w:color="auto" w:fill="auto"/>
            <w:vAlign w:val="center"/>
          </w:tcPr>
          <w:p w14:paraId="43B7619C"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6D2869CC"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426FA5EE"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03D67D0"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1AA7F991" w14:textId="77777777" w:rsidTr="00C81DE6">
        <w:trPr>
          <w:cantSplit/>
          <w:trHeight w:val="331"/>
          <w:jc w:val="center"/>
        </w:trPr>
        <w:tc>
          <w:tcPr>
            <w:tcW w:w="3055" w:type="dxa"/>
            <w:shd w:val="clear" w:color="auto" w:fill="auto"/>
            <w:vAlign w:val="center"/>
            <w:hideMark/>
          </w:tcPr>
          <w:p w14:paraId="31A00B03"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Average Length of Stay</w:t>
            </w:r>
          </w:p>
        </w:tc>
        <w:tc>
          <w:tcPr>
            <w:tcW w:w="1095" w:type="dxa"/>
            <w:shd w:val="clear" w:color="auto" w:fill="auto"/>
            <w:vAlign w:val="center"/>
          </w:tcPr>
          <w:p w14:paraId="63D3499B"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vAlign w:val="center"/>
          </w:tcPr>
          <w:p w14:paraId="3BBB9F24"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vAlign w:val="center"/>
          </w:tcPr>
          <w:p w14:paraId="27D50E22"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vAlign w:val="center"/>
          </w:tcPr>
          <w:p w14:paraId="338BF0F7"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57789243" w14:textId="77777777" w:rsidTr="00C81DE6">
        <w:trPr>
          <w:cantSplit/>
          <w:trHeight w:val="300"/>
          <w:jc w:val="center"/>
        </w:trPr>
        <w:tc>
          <w:tcPr>
            <w:tcW w:w="3055" w:type="dxa"/>
            <w:shd w:val="clear" w:color="auto" w:fill="auto"/>
            <w:vAlign w:val="center"/>
            <w:hideMark/>
          </w:tcPr>
          <w:p w14:paraId="391DEE3E"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Average Daily Census</w:t>
            </w:r>
          </w:p>
        </w:tc>
        <w:tc>
          <w:tcPr>
            <w:tcW w:w="1095" w:type="dxa"/>
            <w:shd w:val="clear" w:color="auto" w:fill="auto"/>
            <w:vAlign w:val="center"/>
          </w:tcPr>
          <w:p w14:paraId="4C498DB3"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3CCDE950"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427C815F"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3D7BF526"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r w:rsidR="00583E52" w:rsidRPr="00CC3898" w14:paraId="33F289D6" w14:textId="77777777" w:rsidTr="00C81DE6">
        <w:trPr>
          <w:cantSplit/>
          <w:trHeight w:val="300"/>
          <w:jc w:val="center"/>
        </w:trPr>
        <w:tc>
          <w:tcPr>
            <w:tcW w:w="3055" w:type="dxa"/>
            <w:shd w:val="clear" w:color="auto" w:fill="auto"/>
            <w:vAlign w:val="center"/>
            <w:hideMark/>
          </w:tcPr>
          <w:p w14:paraId="478FFDEA" w14:textId="77777777" w:rsidR="00583E52" w:rsidRPr="00CC3898" w:rsidRDefault="00CF5459" w:rsidP="00EC396A">
            <w:pPr>
              <w:autoSpaceDE w:val="0"/>
              <w:autoSpaceDN w:val="0"/>
              <w:adjustRightInd w:val="0"/>
              <w:spacing w:before="120" w:after="120" w:line="240" w:lineRule="auto"/>
              <w:rPr>
                <w:rFonts w:eastAsia="Times New Roman" w:cstheme="minorHAnsi"/>
                <w:b/>
                <w:bCs/>
              </w:rPr>
            </w:pPr>
            <w:r w:rsidRPr="00CC3898">
              <w:rPr>
                <w:rFonts w:eastAsia="Times New Roman" w:cstheme="minorHAnsi"/>
                <w:b/>
                <w:bCs/>
              </w:rPr>
              <w:t>Occupancy</w:t>
            </w:r>
          </w:p>
        </w:tc>
        <w:tc>
          <w:tcPr>
            <w:tcW w:w="1095" w:type="dxa"/>
            <w:shd w:val="clear" w:color="auto" w:fill="auto"/>
            <w:noWrap/>
            <w:vAlign w:val="center"/>
          </w:tcPr>
          <w:p w14:paraId="7A0CD139"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8C36207"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5A949D27"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c>
          <w:tcPr>
            <w:tcW w:w="1096" w:type="dxa"/>
            <w:shd w:val="clear" w:color="auto" w:fill="auto"/>
            <w:noWrap/>
            <w:vAlign w:val="center"/>
          </w:tcPr>
          <w:p w14:paraId="125DCF9E" w14:textId="77777777" w:rsidR="00583E52" w:rsidRPr="00CC3898" w:rsidRDefault="00583E52" w:rsidP="00EC396A">
            <w:pPr>
              <w:autoSpaceDE w:val="0"/>
              <w:autoSpaceDN w:val="0"/>
              <w:adjustRightInd w:val="0"/>
              <w:spacing w:before="120" w:after="120" w:line="240" w:lineRule="auto"/>
              <w:rPr>
                <w:rFonts w:eastAsia="Times New Roman" w:cstheme="minorHAnsi"/>
              </w:rPr>
            </w:pPr>
          </w:p>
        </w:tc>
      </w:tr>
    </w:tbl>
    <w:p w14:paraId="7A9E9B60" w14:textId="77777777" w:rsidR="00583E52" w:rsidRPr="00CC3898" w:rsidRDefault="00583E52" w:rsidP="00EC396A">
      <w:pPr>
        <w:pStyle w:val="ListParagraph"/>
        <w:spacing w:before="120" w:after="120" w:line="240" w:lineRule="auto"/>
        <w:ind w:left="1440"/>
        <w:contextualSpacing w:val="0"/>
        <w:rPr>
          <w:rFonts w:cstheme="minorHAnsi"/>
        </w:rPr>
      </w:pPr>
    </w:p>
    <w:tbl>
      <w:tblPr>
        <w:tblW w:w="7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5"/>
        <w:gridCol w:w="1095"/>
        <w:gridCol w:w="1096"/>
        <w:gridCol w:w="1096"/>
        <w:gridCol w:w="1096"/>
      </w:tblGrid>
      <w:tr w:rsidR="00583E52" w:rsidRPr="00CC3898" w14:paraId="5704BE4C" w14:textId="77777777" w:rsidTr="00067E4A">
        <w:trPr>
          <w:cantSplit/>
          <w:trHeight w:val="368"/>
          <w:tblHeader/>
          <w:jc w:val="center"/>
        </w:trPr>
        <w:tc>
          <w:tcPr>
            <w:tcW w:w="2965" w:type="dxa"/>
            <w:shd w:val="clear" w:color="000000" w:fill="D9E2F3"/>
            <w:vAlign w:val="center"/>
            <w:hideMark/>
          </w:tcPr>
          <w:p w14:paraId="31BB9A67" w14:textId="77777777" w:rsidR="00583E52" w:rsidRPr="00CC3898" w:rsidRDefault="00CF5459" w:rsidP="00EC396A">
            <w:pPr>
              <w:spacing w:before="120" w:after="120" w:line="240" w:lineRule="auto"/>
              <w:rPr>
                <w:rFonts w:cstheme="minorHAnsi"/>
                <w:b/>
                <w:bCs/>
              </w:rPr>
            </w:pPr>
            <w:r w:rsidRPr="00CC3898">
              <w:rPr>
                <w:rFonts w:cstheme="minorHAnsi"/>
                <w:b/>
                <w:bCs/>
              </w:rPr>
              <w:lastRenderedPageBreak/>
              <w:t>Table X:  Historic Utilization- Falmouth</w:t>
            </w:r>
          </w:p>
          <w:p w14:paraId="051F23E2" w14:textId="77777777" w:rsidR="00583E52" w:rsidRPr="00CC3898" w:rsidRDefault="00CF5459" w:rsidP="00EC396A">
            <w:pPr>
              <w:spacing w:before="120" w:after="120" w:line="240" w:lineRule="auto"/>
              <w:rPr>
                <w:rFonts w:cstheme="minorHAnsi"/>
                <w:b/>
                <w:bCs/>
              </w:rPr>
            </w:pPr>
            <w:r w:rsidRPr="00CC3898">
              <w:rPr>
                <w:rFonts w:eastAsia="Times New Roman" w:cstheme="minorHAnsi"/>
                <w:b/>
                <w:bCs/>
              </w:rPr>
              <w:t xml:space="preserve">Month </w:t>
            </w:r>
            <w:r w:rsidRPr="00CC3898">
              <w:rPr>
                <w:rFonts w:eastAsia="Times New Roman" w:cstheme="minorHAnsi"/>
                <w:b/>
                <w:bCs/>
                <w:highlight w:val="yellow"/>
              </w:rPr>
              <w:t>XX</w:t>
            </w:r>
          </w:p>
        </w:tc>
        <w:tc>
          <w:tcPr>
            <w:tcW w:w="1095" w:type="dxa"/>
            <w:shd w:val="clear" w:color="000000" w:fill="D9E2F3"/>
            <w:vAlign w:val="center"/>
          </w:tcPr>
          <w:p w14:paraId="16B04D00" w14:textId="77777777" w:rsidR="00583E52" w:rsidRPr="00CC3898" w:rsidRDefault="00CF5459" w:rsidP="00EC396A">
            <w:pPr>
              <w:spacing w:before="120" w:after="120" w:line="240" w:lineRule="auto"/>
              <w:rPr>
                <w:rFonts w:cstheme="minorHAnsi"/>
                <w:b/>
                <w:bCs/>
              </w:rPr>
            </w:pPr>
            <w:r w:rsidRPr="00CC3898">
              <w:rPr>
                <w:rFonts w:cstheme="minorHAnsi"/>
                <w:b/>
                <w:bCs/>
              </w:rPr>
              <w:t>FY 21</w:t>
            </w:r>
          </w:p>
        </w:tc>
        <w:tc>
          <w:tcPr>
            <w:tcW w:w="1096" w:type="dxa"/>
            <w:shd w:val="clear" w:color="000000" w:fill="D9E2F3"/>
            <w:noWrap/>
            <w:vAlign w:val="center"/>
          </w:tcPr>
          <w:p w14:paraId="0486BFD0" w14:textId="77777777" w:rsidR="00583E52" w:rsidRPr="00CC3898" w:rsidRDefault="00CF5459" w:rsidP="00EC396A">
            <w:pPr>
              <w:spacing w:before="120" w:after="120" w:line="240" w:lineRule="auto"/>
              <w:rPr>
                <w:rFonts w:cstheme="minorHAnsi"/>
                <w:b/>
                <w:bCs/>
              </w:rPr>
            </w:pPr>
            <w:r w:rsidRPr="00CC3898">
              <w:rPr>
                <w:rFonts w:cstheme="minorHAnsi"/>
                <w:b/>
                <w:bCs/>
              </w:rPr>
              <w:t>FY22</w:t>
            </w:r>
          </w:p>
        </w:tc>
        <w:tc>
          <w:tcPr>
            <w:tcW w:w="1096" w:type="dxa"/>
            <w:shd w:val="clear" w:color="000000" w:fill="D9E2F3"/>
            <w:noWrap/>
            <w:vAlign w:val="center"/>
          </w:tcPr>
          <w:p w14:paraId="407934A0" w14:textId="77777777" w:rsidR="00583E52" w:rsidRPr="00CC3898" w:rsidRDefault="00CF5459" w:rsidP="00EC396A">
            <w:pPr>
              <w:spacing w:before="120" w:after="120" w:line="240" w:lineRule="auto"/>
              <w:rPr>
                <w:rFonts w:cstheme="minorHAnsi"/>
                <w:b/>
                <w:bCs/>
              </w:rPr>
            </w:pPr>
            <w:r w:rsidRPr="00CC3898">
              <w:rPr>
                <w:rFonts w:cstheme="minorHAnsi"/>
                <w:b/>
                <w:bCs/>
              </w:rPr>
              <w:t>FY 23</w:t>
            </w:r>
          </w:p>
        </w:tc>
        <w:tc>
          <w:tcPr>
            <w:tcW w:w="1096" w:type="dxa"/>
            <w:shd w:val="clear" w:color="000000" w:fill="D9E2F3"/>
            <w:noWrap/>
            <w:vAlign w:val="center"/>
          </w:tcPr>
          <w:p w14:paraId="04E4C275" w14:textId="77777777" w:rsidR="00583E52" w:rsidRPr="00CC3898" w:rsidRDefault="00CF5459" w:rsidP="00EC396A">
            <w:pPr>
              <w:spacing w:before="120" w:after="120" w:line="240" w:lineRule="auto"/>
              <w:rPr>
                <w:rFonts w:cstheme="minorHAnsi"/>
                <w:b/>
                <w:bCs/>
              </w:rPr>
            </w:pPr>
            <w:r w:rsidRPr="00CC3898">
              <w:rPr>
                <w:rFonts w:cstheme="minorHAnsi"/>
                <w:b/>
                <w:bCs/>
              </w:rPr>
              <w:t>YTD 24</w:t>
            </w:r>
          </w:p>
        </w:tc>
      </w:tr>
      <w:tr w:rsidR="00583E52" w:rsidRPr="00CC3898" w14:paraId="6C8B0EE6" w14:textId="77777777" w:rsidTr="00067E4A">
        <w:trPr>
          <w:cantSplit/>
          <w:trHeight w:val="300"/>
          <w:jc w:val="center"/>
        </w:trPr>
        <w:tc>
          <w:tcPr>
            <w:tcW w:w="2965" w:type="dxa"/>
            <w:shd w:val="clear" w:color="auto" w:fill="auto"/>
            <w:vAlign w:val="center"/>
          </w:tcPr>
          <w:p w14:paraId="6C05417F" w14:textId="77777777" w:rsidR="00583E52" w:rsidRPr="00CC3898" w:rsidRDefault="00CF5459" w:rsidP="00EC396A">
            <w:pPr>
              <w:spacing w:before="120" w:after="120" w:line="240" w:lineRule="auto"/>
              <w:rPr>
                <w:rFonts w:cstheme="minorHAnsi"/>
                <w:b/>
                <w:bCs/>
              </w:rPr>
            </w:pPr>
            <w:r w:rsidRPr="00CC3898">
              <w:rPr>
                <w:rFonts w:cstheme="minorHAnsi"/>
                <w:b/>
                <w:bCs/>
              </w:rPr>
              <w:t>Staffed licensed Beds</w:t>
            </w:r>
          </w:p>
        </w:tc>
        <w:tc>
          <w:tcPr>
            <w:tcW w:w="1095" w:type="dxa"/>
            <w:shd w:val="clear" w:color="auto" w:fill="auto"/>
            <w:vAlign w:val="center"/>
          </w:tcPr>
          <w:p w14:paraId="20AEA7D0"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6768A802"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35023F93"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324DC4FE" w14:textId="77777777" w:rsidR="00583E52" w:rsidRPr="00CC3898" w:rsidRDefault="00583E52" w:rsidP="00EC396A">
            <w:pPr>
              <w:spacing w:before="120" w:after="120" w:line="240" w:lineRule="auto"/>
              <w:rPr>
                <w:rFonts w:cstheme="minorHAnsi"/>
              </w:rPr>
            </w:pPr>
          </w:p>
        </w:tc>
      </w:tr>
      <w:tr w:rsidR="00583E52" w:rsidRPr="00CC3898" w14:paraId="7C1E0117" w14:textId="77777777" w:rsidTr="00067E4A">
        <w:trPr>
          <w:cantSplit/>
          <w:trHeight w:val="300"/>
          <w:jc w:val="center"/>
        </w:trPr>
        <w:tc>
          <w:tcPr>
            <w:tcW w:w="2965" w:type="dxa"/>
            <w:shd w:val="clear" w:color="auto" w:fill="auto"/>
            <w:vAlign w:val="center"/>
          </w:tcPr>
          <w:p w14:paraId="2DC78A76" w14:textId="77777777" w:rsidR="00583E52" w:rsidRPr="00CC3898" w:rsidRDefault="00CF5459" w:rsidP="00EC396A">
            <w:pPr>
              <w:spacing w:before="120" w:after="120" w:line="240" w:lineRule="auto"/>
              <w:rPr>
                <w:rFonts w:cstheme="minorHAnsi"/>
                <w:b/>
                <w:bCs/>
              </w:rPr>
            </w:pPr>
            <w:r w:rsidRPr="00CC3898">
              <w:rPr>
                <w:rFonts w:cstheme="minorHAnsi"/>
                <w:b/>
                <w:bCs/>
              </w:rPr>
              <w:t>Alternate Care Beds staffed</w:t>
            </w:r>
          </w:p>
        </w:tc>
        <w:tc>
          <w:tcPr>
            <w:tcW w:w="1095" w:type="dxa"/>
            <w:shd w:val="clear" w:color="auto" w:fill="auto"/>
            <w:vAlign w:val="center"/>
          </w:tcPr>
          <w:p w14:paraId="5B17A2EA"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34D1C0E0"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6DE1315B"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732F640B" w14:textId="77777777" w:rsidR="00583E52" w:rsidRPr="00CC3898" w:rsidRDefault="00583E52" w:rsidP="00EC396A">
            <w:pPr>
              <w:spacing w:before="120" w:after="120" w:line="240" w:lineRule="auto"/>
              <w:rPr>
                <w:rFonts w:cstheme="minorHAnsi"/>
              </w:rPr>
            </w:pPr>
          </w:p>
        </w:tc>
      </w:tr>
      <w:tr w:rsidR="00583E52" w:rsidRPr="00CC3898" w14:paraId="51050FB6" w14:textId="77777777" w:rsidTr="00067E4A">
        <w:trPr>
          <w:cantSplit/>
          <w:trHeight w:val="300"/>
          <w:jc w:val="center"/>
        </w:trPr>
        <w:tc>
          <w:tcPr>
            <w:tcW w:w="2965" w:type="dxa"/>
            <w:shd w:val="clear" w:color="auto" w:fill="auto"/>
            <w:vAlign w:val="center"/>
            <w:hideMark/>
          </w:tcPr>
          <w:p w14:paraId="261CBC61" w14:textId="77777777" w:rsidR="00583E52" w:rsidRPr="00CC3898" w:rsidRDefault="00CF5459" w:rsidP="00EC396A">
            <w:pPr>
              <w:spacing w:before="120" w:after="120" w:line="240" w:lineRule="auto"/>
              <w:rPr>
                <w:rFonts w:cstheme="minorHAnsi"/>
                <w:b/>
                <w:bCs/>
              </w:rPr>
            </w:pPr>
            <w:r w:rsidRPr="00CC3898">
              <w:rPr>
                <w:rFonts w:cstheme="minorHAnsi"/>
                <w:b/>
                <w:bCs/>
              </w:rPr>
              <w:t>Discharges</w:t>
            </w:r>
          </w:p>
        </w:tc>
        <w:tc>
          <w:tcPr>
            <w:tcW w:w="1095" w:type="dxa"/>
            <w:shd w:val="clear" w:color="auto" w:fill="auto"/>
            <w:vAlign w:val="center"/>
          </w:tcPr>
          <w:p w14:paraId="377393CE"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67FA1303"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7FB8375F"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59313D2F" w14:textId="77777777" w:rsidR="00583E52" w:rsidRPr="00CC3898" w:rsidRDefault="00583E52" w:rsidP="00EC396A">
            <w:pPr>
              <w:spacing w:before="120" w:after="120" w:line="240" w:lineRule="auto"/>
              <w:rPr>
                <w:rFonts w:cstheme="minorHAnsi"/>
              </w:rPr>
            </w:pPr>
          </w:p>
        </w:tc>
      </w:tr>
      <w:tr w:rsidR="00583E52" w:rsidRPr="00CC3898" w14:paraId="6D2387CD" w14:textId="77777777" w:rsidTr="00067E4A">
        <w:trPr>
          <w:cantSplit/>
          <w:trHeight w:val="300"/>
          <w:jc w:val="center"/>
        </w:trPr>
        <w:tc>
          <w:tcPr>
            <w:tcW w:w="2965" w:type="dxa"/>
            <w:shd w:val="clear" w:color="auto" w:fill="auto"/>
            <w:vAlign w:val="center"/>
            <w:hideMark/>
          </w:tcPr>
          <w:p w14:paraId="4A389893" w14:textId="77777777" w:rsidR="00583E52" w:rsidRPr="00CC3898" w:rsidRDefault="00CF5459" w:rsidP="00EC396A">
            <w:pPr>
              <w:spacing w:before="120" w:after="120" w:line="240" w:lineRule="auto"/>
              <w:rPr>
                <w:rFonts w:cstheme="minorHAnsi"/>
                <w:b/>
                <w:bCs/>
              </w:rPr>
            </w:pPr>
            <w:r w:rsidRPr="00CC3898">
              <w:rPr>
                <w:rFonts w:cstheme="minorHAnsi"/>
                <w:b/>
                <w:bCs/>
              </w:rPr>
              <w:t>Patient Days</w:t>
            </w:r>
          </w:p>
        </w:tc>
        <w:tc>
          <w:tcPr>
            <w:tcW w:w="1095" w:type="dxa"/>
            <w:shd w:val="clear" w:color="auto" w:fill="auto"/>
            <w:vAlign w:val="center"/>
          </w:tcPr>
          <w:p w14:paraId="784228F9"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1D2AD60A"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0F620199"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3DE3F464" w14:textId="77777777" w:rsidR="00583E52" w:rsidRPr="00CC3898" w:rsidRDefault="00583E52" w:rsidP="00EC396A">
            <w:pPr>
              <w:spacing w:before="120" w:after="120" w:line="240" w:lineRule="auto"/>
              <w:rPr>
                <w:rFonts w:cstheme="minorHAnsi"/>
              </w:rPr>
            </w:pPr>
          </w:p>
        </w:tc>
      </w:tr>
      <w:tr w:rsidR="00583E52" w:rsidRPr="00CC3898" w14:paraId="64A4828E" w14:textId="77777777" w:rsidTr="00067E4A">
        <w:trPr>
          <w:cantSplit/>
          <w:trHeight w:val="331"/>
          <w:jc w:val="center"/>
        </w:trPr>
        <w:tc>
          <w:tcPr>
            <w:tcW w:w="2965" w:type="dxa"/>
            <w:shd w:val="clear" w:color="auto" w:fill="auto"/>
            <w:vAlign w:val="center"/>
            <w:hideMark/>
          </w:tcPr>
          <w:p w14:paraId="071DBDC2" w14:textId="77777777" w:rsidR="00583E52" w:rsidRPr="00CC3898" w:rsidRDefault="00CF5459" w:rsidP="00EC396A">
            <w:pPr>
              <w:spacing w:before="120" w:after="120" w:line="240" w:lineRule="auto"/>
              <w:rPr>
                <w:rFonts w:cstheme="minorHAnsi"/>
                <w:b/>
                <w:bCs/>
              </w:rPr>
            </w:pPr>
            <w:r w:rsidRPr="00CC3898">
              <w:rPr>
                <w:rFonts w:cstheme="minorHAnsi"/>
                <w:b/>
                <w:bCs/>
              </w:rPr>
              <w:t>Average Length of Stay</w:t>
            </w:r>
          </w:p>
        </w:tc>
        <w:tc>
          <w:tcPr>
            <w:tcW w:w="1095" w:type="dxa"/>
            <w:shd w:val="clear" w:color="auto" w:fill="auto"/>
            <w:vAlign w:val="center"/>
          </w:tcPr>
          <w:p w14:paraId="1B057FBD" w14:textId="77777777" w:rsidR="00583E52" w:rsidRPr="00CC3898" w:rsidRDefault="00583E52" w:rsidP="00EC396A">
            <w:pPr>
              <w:spacing w:before="120" w:after="120" w:line="240" w:lineRule="auto"/>
              <w:rPr>
                <w:rFonts w:cstheme="minorHAnsi"/>
              </w:rPr>
            </w:pPr>
          </w:p>
        </w:tc>
        <w:tc>
          <w:tcPr>
            <w:tcW w:w="1096" w:type="dxa"/>
            <w:shd w:val="clear" w:color="auto" w:fill="auto"/>
            <w:vAlign w:val="center"/>
          </w:tcPr>
          <w:p w14:paraId="3D023B58" w14:textId="77777777" w:rsidR="00583E52" w:rsidRPr="00CC3898" w:rsidRDefault="00583E52" w:rsidP="00EC396A">
            <w:pPr>
              <w:spacing w:before="120" w:after="120" w:line="240" w:lineRule="auto"/>
              <w:rPr>
                <w:rFonts w:cstheme="minorHAnsi"/>
              </w:rPr>
            </w:pPr>
          </w:p>
        </w:tc>
        <w:tc>
          <w:tcPr>
            <w:tcW w:w="1096" w:type="dxa"/>
            <w:shd w:val="clear" w:color="auto" w:fill="auto"/>
            <w:vAlign w:val="center"/>
          </w:tcPr>
          <w:p w14:paraId="19AB75F7" w14:textId="77777777" w:rsidR="00583E52" w:rsidRPr="00CC3898" w:rsidRDefault="00583E52" w:rsidP="00EC396A">
            <w:pPr>
              <w:spacing w:before="120" w:after="120" w:line="240" w:lineRule="auto"/>
              <w:rPr>
                <w:rFonts w:cstheme="minorHAnsi"/>
              </w:rPr>
            </w:pPr>
          </w:p>
        </w:tc>
        <w:tc>
          <w:tcPr>
            <w:tcW w:w="1096" w:type="dxa"/>
            <w:shd w:val="clear" w:color="auto" w:fill="auto"/>
            <w:vAlign w:val="center"/>
          </w:tcPr>
          <w:p w14:paraId="61D933C9" w14:textId="77777777" w:rsidR="00583E52" w:rsidRPr="00CC3898" w:rsidRDefault="00583E52" w:rsidP="00EC396A">
            <w:pPr>
              <w:spacing w:before="120" w:after="120" w:line="240" w:lineRule="auto"/>
              <w:rPr>
                <w:rFonts w:cstheme="minorHAnsi"/>
              </w:rPr>
            </w:pPr>
          </w:p>
        </w:tc>
      </w:tr>
      <w:tr w:rsidR="00583E52" w:rsidRPr="00CC3898" w14:paraId="35BAD652" w14:textId="77777777" w:rsidTr="00067E4A">
        <w:trPr>
          <w:cantSplit/>
          <w:trHeight w:val="300"/>
          <w:jc w:val="center"/>
        </w:trPr>
        <w:tc>
          <w:tcPr>
            <w:tcW w:w="2965" w:type="dxa"/>
            <w:shd w:val="clear" w:color="auto" w:fill="auto"/>
            <w:vAlign w:val="center"/>
            <w:hideMark/>
          </w:tcPr>
          <w:p w14:paraId="163167F1" w14:textId="77777777" w:rsidR="00583E52" w:rsidRPr="00CC3898" w:rsidRDefault="00CF5459" w:rsidP="00EC396A">
            <w:pPr>
              <w:spacing w:before="120" w:after="120" w:line="240" w:lineRule="auto"/>
              <w:rPr>
                <w:rFonts w:cstheme="minorHAnsi"/>
                <w:b/>
                <w:bCs/>
              </w:rPr>
            </w:pPr>
            <w:r w:rsidRPr="00CC3898">
              <w:rPr>
                <w:rFonts w:cstheme="minorHAnsi"/>
                <w:b/>
                <w:bCs/>
              </w:rPr>
              <w:t>Average Daily Census</w:t>
            </w:r>
          </w:p>
        </w:tc>
        <w:tc>
          <w:tcPr>
            <w:tcW w:w="1095" w:type="dxa"/>
            <w:shd w:val="clear" w:color="auto" w:fill="auto"/>
            <w:vAlign w:val="center"/>
          </w:tcPr>
          <w:p w14:paraId="006D40AD"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7A56E232"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72307E97"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497557EC" w14:textId="77777777" w:rsidR="00583E52" w:rsidRPr="00CC3898" w:rsidRDefault="00583E52" w:rsidP="00EC396A">
            <w:pPr>
              <w:spacing w:before="120" w:after="120" w:line="240" w:lineRule="auto"/>
              <w:rPr>
                <w:rFonts w:cstheme="minorHAnsi"/>
              </w:rPr>
            </w:pPr>
          </w:p>
        </w:tc>
      </w:tr>
      <w:tr w:rsidR="00583E52" w:rsidRPr="00CC3898" w14:paraId="272543FA" w14:textId="77777777" w:rsidTr="00067E4A">
        <w:trPr>
          <w:cantSplit/>
          <w:trHeight w:val="300"/>
          <w:jc w:val="center"/>
        </w:trPr>
        <w:tc>
          <w:tcPr>
            <w:tcW w:w="2965" w:type="dxa"/>
            <w:shd w:val="clear" w:color="auto" w:fill="auto"/>
            <w:vAlign w:val="center"/>
            <w:hideMark/>
          </w:tcPr>
          <w:p w14:paraId="5BBCDC9B" w14:textId="77777777" w:rsidR="00583E52" w:rsidRPr="00CC3898" w:rsidRDefault="00CF5459" w:rsidP="00EC396A">
            <w:pPr>
              <w:spacing w:before="120" w:after="120" w:line="240" w:lineRule="auto"/>
              <w:rPr>
                <w:rFonts w:cstheme="minorHAnsi"/>
                <w:b/>
                <w:bCs/>
              </w:rPr>
            </w:pPr>
            <w:r w:rsidRPr="00CC3898">
              <w:rPr>
                <w:rFonts w:cstheme="minorHAnsi"/>
                <w:b/>
                <w:bCs/>
              </w:rPr>
              <w:t>Occupancy</w:t>
            </w:r>
          </w:p>
        </w:tc>
        <w:tc>
          <w:tcPr>
            <w:tcW w:w="1095" w:type="dxa"/>
            <w:shd w:val="clear" w:color="auto" w:fill="auto"/>
            <w:noWrap/>
            <w:vAlign w:val="center"/>
          </w:tcPr>
          <w:p w14:paraId="776817D2"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6F66DA9B"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57DD6E4F" w14:textId="77777777" w:rsidR="00583E52" w:rsidRPr="00CC3898" w:rsidRDefault="00583E52" w:rsidP="00EC396A">
            <w:pPr>
              <w:spacing w:before="120" w:after="120" w:line="240" w:lineRule="auto"/>
              <w:rPr>
                <w:rFonts w:cstheme="minorHAnsi"/>
              </w:rPr>
            </w:pPr>
          </w:p>
        </w:tc>
        <w:tc>
          <w:tcPr>
            <w:tcW w:w="1096" w:type="dxa"/>
            <w:shd w:val="clear" w:color="auto" w:fill="auto"/>
            <w:noWrap/>
            <w:vAlign w:val="center"/>
          </w:tcPr>
          <w:p w14:paraId="64DDAC3B" w14:textId="77777777" w:rsidR="00583E52" w:rsidRPr="00CC3898" w:rsidRDefault="00583E52" w:rsidP="00EC396A">
            <w:pPr>
              <w:spacing w:before="120" w:after="120" w:line="240" w:lineRule="auto"/>
              <w:rPr>
                <w:rFonts w:cstheme="minorHAnsi"/>
              </w:rPr>
            </w:pPr>
          </w:p>
        </w:tc>
      </w:tr>
    </w:tbl>
    <w:p w14:paraId="5BADA0EA" w14:textId="77777777" w:rsidR="00583E52" w:rsidRPr="00CC3898" w:rsidRDefault="00583E52" w:rsidP="00EC396A">
      <w:pPr>
        <w:pStyle w:val="ListParagraph"/>
        <w:spacing w:before="120" w:after="120" w:line="240" w:lineRule="auto"/>
        <w:ind w:left="1440"/>
        <w:contextualSpacing w:val="0"/>
        <w:rPr>
          <w:rFonts w:cstheme="minorHAnsi"/>
          <w:b/>
          <w:bCs/>
        </w:rPr>
      </w:pPr>
    </w:p>
    <w:p w14:paraId="2F031BB5" w14:textId="77777777" w:rsidR="00583E52" w:rsidRPr="00CC3898" w:rsidRDefault="00CF5459" w:rsidP="00EC396A">
      <w:pPr>
        <w:pStyle w:val="ListParagraph"/>
        <w:numPr>
          <w:ilvl w:val="0"/>
          <w:numId w:val="35"/>
        </w:numPr>
        <w:spacing w:before="120" w:after="120" w:line="240" w:lineRule="auto"/>
        <w:contextualSpacing w:val="0"/>
        <w:rPr>
          <w:rFonts w:cstheme="minorHAnsi"/>
          <w:b/>
          <w:bCs/>
        </w:rPr>
      </w:pPr>
      <w:r w:rsidRPr="00CC3898">
        <w:rPr>
          <w:rFonts w:cstheme="minorHAnsi"/>
          <w:b/>
          <w:bCs/>
        </w:rPr>
        <w:t xml:space="preserve">You state-in order to be able to move patients out of the ED, the Hospital requires additional inpatient beds; the presence of ED boarders negatively impacts all ED patients </w:t>
      </w:r>
      <w:proofErr w:type="gramStart"/>
      <w:r w:rsidRPr="00CC3898">
        <w:rPr>
          <w:rFonts w:cstheme="minorHAnsi"/>
          <w:b/>
          <w:bCs/>
        </w:rPr>
        <w:t>as a result of</w:t>
      </w:r>
      <w:proofErr w:type="gramEnd"/>
      <w:r w:rsidRPr="00CC3898">
        <w:rPr>
          <w:rFonts w:cstheme="minorHAnsi"/>
          <w:b/>
          <w:bCs/>
        </w:rPr>
        <w:t xml:space="preserve"> increased ED lengths of stays for all patients. Because boarding patients must wait in an ED treatment room until an inpatient bed becomes available, newly arriving patients’ diagnosis and treatment is delayed until a treatment room becomes available. </w:t>
      </w:r>
    </w:p>
    <w:p w14:paraId="254ABB68" w14:textId="77777777" w:rsidR="00583E52" w:rsidRPr="00CC3898" w:rsidRDefault="00CF5459" w:rsidP="00EC396A">
      <w:pPr>
        <w:pStyle w:val="ListParagraph"/>
        <w:numPr>
          <w:ilvl w:val="1"/>
          <w:numId w:val="37"/>
        </w:numPr>
        <w:spacing w:before="120" w:after="120" w:line="240" w:lineRule="auto"/>
        <w:contextualSpacing w:val="0"/>
        <w:rPr>
          <w:rFonts w:cstheme="minorHAnsi"/>
          <w:b/>
          <w:bCs/>
        </w:rPr>
      </w:pPr>
      <w:r w:rsidRPr="00CC3898">
        <w:rPr>
          <w:rFonts w:cstheme="minorHAnsi"/>
          <w:b/>
          <w:bCs/>
        </w:rPr>
        <w:t>What percentage of admissions are through the ED?</w:t>
      </w:r>
    </w:p>
    <w:p w14:paraId="450A55D3" w14:textId="04449631" w:rsidR="00CC3898" w:rsidRPr="00EC396A" w:rsidRDefault="00B24163" w:rsidP="00EC396A">
      <w:pPr>
        <w:pStyle w:val="ListParagraph"/>
        <w:spacing w:before="120" w:after="120" w:line="240" w:lineRule="auto"/>
        <w:ind w:left="1440"/>
        <w:contextualSpacing w:val="0"/>
        <w:rPr>
          <w:rFonts w:cstheme="minorHAnsi"/>
        </w:rPr>
      </w:pPr>
      <w:r w:rsidRPr="00CC3898">
        <w:rPr>
          <w:rFonts w:cstheme="minorHAnsi"/>
        </w:rPr>
        <w:t xml:space="preserve">88% of medical/surgical admissions </w:t>
      </w:r>
      <w:r w:rsidR="00B56B72">
        <w:rPr>
          <w:rFonts w:cstheme="minorHAnsi"/>
        </w:rPr>
        <w:t>are</w:t>
      </w:r>
      <w:r w:rsidRPr="00CC3898">
        <w:rPr>
          <w:rFonts w:cstheme="minorHAnsi"/>
        </w:rPr>
        <w:t xml:space="preserve"> through the ED. </w:t>
      </w:r>
    </w:p>
    <w:p w14:paraId="6E761DF1" w14:textId="12A33724" w:rsidR="00F86049" w:rsidRPr="00F86049" w:rsidRDefault="00CF5459" w:rsidP="00EC396A">
      <w:pPr>
        <w:pStyle w:val="ListParagraph"/>
        <w:numPr>
          <w:ilvl w:val="1"/>
          <w:numId w:val="37"/>
        </w:numPr>
        <w:spacing w:before="120" w:after="120" w:line="240" w:lineRule="auto"/>
        <w:contextualSpacing w:val="0"/>
        <w:rPr>
          <w:rFonts w:cstheme="minorHAnsi"/>
        </w:rPr>
      </w:pPr>
      <w:r w:rsidRPr="00CC3898">
        <w:rPr>
          <w:rFonts w:cstheme="minorHAnsi"/>
          <w:b/>
          <w:bCs/>
        </w:rPr>
        <w:t xml:space="preserve">Does the applicant differentiate acuity levels within the ED? </w:t>
      </w:r>
      <w:r w:rsidR="00F86049">
        <w:rPr>
          <w:rFonts w:cstheme="minorHAnsi"/>
          <w:b/>
          <w:bCs/>
        </w:rPr>
        <w:t xml:space="preserve">What </w:t>
      </w:r>
      <w:r w:rsidRPr="00CC3898">
        <w:rPr>
          <w:rFonts w:cstheme="minorHAnsi"/>
          <w:b/>
          <w:bCs/>
        </w:rPr>
        <w:t xml:space="preserve">percentage of patients are high acuity? What percentage of ED patients could be seen in a less intensive setting? </w:t>
      </w:r>
    </w:p>
    <w:p w14:paraId="34410792" w14:textId="49F3530F" w:rsidR="00F86049" w:rsidRPr="00EC396A" w:rsidRDefault="00F86049" w:rsidP="00EC396A">
      <w:pPr>
        <w:pStyle w:val="ListParagraph"/>
        <w:spacing w:before="120" w:after="120" w:line="240" w:lineRule="auto"/>
        <w:ind w:left="1440"/>
        <w:contextualSpacing w:val="0"/>
        <w:rPr>
          <w:rFonts w:cstheme="minorHAnsi"/>
        </w:rPr>
      </w:pPr>
      <w:r w:rsidRPr="00F86049">
        <w:rPr>
          <w:rFonts w:cstheme="minorHAnsi"/>
        </w:rPr>
        <w:t xml:space="preserve">Yes, CCHC uses the Emergency Severity Index </w:t>
      </w:r>
      <w:r w:rsidR="00F90197">
        <w:rPr>
          <w:rFonts w:cstheme="minorHAnsi"/>
        </w:rPr>
        <w:t xml:space="preserve">(“ESI”) </w:t>
      </w:r>
      <w:r w:rsidRPr="00F86049">
        <w:rPr>
          <w:rFonts w:cstheme="minorHAnsi"/>
        </w:rPr>
        <w:t>to differentiate acuity levels.</w:t>
      </w:r>
      <w:r w:rsidRPr="00F86049">
        <w:rPr>
          <w:rFonts w:cstheme="minorHAnsi"/>
          <w:b/>
          <w:bCs/>
        </w:rPr>
        <w:t xml:space="preserve"> </w:t>
      </w:r>
      <w:r w:rsidR="00EC396A">
        <w:rPr>
          <w:rFonts w:cstheme="minorHAnsi"/>
        </w:rPr>
        <w:t xml:space="preserve">Historically </w:t>
      </w:r>
      <w:r w:rsidRPr="00F86049">
        <w:rPr>
          <w:rFonts w:cstheme="minorHAnsi"/>
        </w:rPr>
        <w:t>21% of emergency patients at Cape Cod Hospital</w:t>
      </w:r>
      <w:r w:rsidR="00EC396A">
        <w:rPr>
          <w:rFonts w:cstheme="minorHAnsi"/>
        </w:rPr>
        <w:t xml:space="preserve"> </w:t>
      </w:r>
      <w:proofErr w:type="gramStart"/>
      <w:r w:rsidR="00EC396A">
        <w:rPr>
          <w:rFonts w:cstheme="minorHAnsi"/>
        </w:rPr>
        <w:t>are</w:t>
      </w:r>
      <w:proofErr w:type="gramEnd"/>
      <w:r w:rsidRPr="00F86049">
        <w:rPr>
          <w:rFonts w:cstheme="minorHAnsi"/>
        </w:rPr>
        <w:t xml:space="preserve"> high acuity</w:t>
      </w:r>
      <w:r w:rsidR="00F90197">
        <w:rPr>
          <w:rFonts w:cstheme="minorHAnsi"/>
        </w:rPr>
        <w:t xml:space="preserve"> (ESI 1 and 2)</w:t>
      </w:r>
      <w:r w:rsidR="00EC396A">
        <w:rPr>
          <w:rFonts w:cstheme="minorHAnsi"/>
        </w:rPr>
        <w:t xml:space="preserve"> and a</w:t>
      </w:r>
      <w:r w:rsidR="00CF5459" w:rsidRPr="00F86049">
        <w:rPr>
          <w:rFonts w:cstheme="minorHAnsi"/>
        </w:rPr>
        <w:t>pproximately</w:t>
      </w:r>
      <w:r w:rsidR="00CF5459" w:rsidRPr="00CC3898">
        <w:rPr>
          <w:rFonts w:cstheme="minorHAnsi"/>
        </w:rPr>
        <w:t xml:space="preserve"> 1%</w:t>
      </w:r>
      <w:r w:rsidR="00B24163" w:rsidRPr="00CC3898">
        <w:rPr>
          <w:rFonts w:cstheme="minorHAnsi"/>
        </w:rPr>
        <w:t xml:space="preserve"> of </w:t>
      </w:r>
      <w:r w:rsidR="00C53BAA">
        <w:rPr>
          <w:rFonts w:cstheme="minorHAnsi"/>
        </w:rPr>
        <w:t xml:space="preserve">Cape Cod Hospital </w:t>
      </w:r>
      <w:r w:rsidR="00B24163" w:rsidRPr="00CC3898">
        <w:rPr>
          <w:rFonts w:cstheme="minorHAnsi"/>
        </w:rPr>
        <w:t>ED patients are low acuity</w:t>
      </w:r>
      <w:r w:rsidR="00F90197">
        <w:rPr>
          <w:rFonts w:cstheme="minorHAnsi"/>
        </w:rPr>
        <w:t xml:space="preserve"> (ESI 5)</w:t>
      </w:r>
      <w:r w:rsidR="00B24163" w:rsidRPr="00CC3898">
        <w:rPr>
          <w:rFonts w:cstheme="minorHAnsi"/>
        </w:rPr>
        <w:t xml:space="preserve">. This means </w:t>
      </w:r>
      <w:proofErr w:type="gramStart"/>
      <w:r w:rsidR="00B24163" w:rsidRPr="00CC3898">
        <w:rPr>
          <w:rFonts w:cstheme="minorHAnsi"/>
        </w:rPr>
        <w:t>the majority of</w:t>
      </w:r>
      <w:proofErr w:type="gramEnd"/>
      <w:r w:rsidR="00B24163" w:rsidRPr="00CC3898">
        <w:rPr>
          <w:rFonts w:cstheme="minorHAnsi"/>
        </w:rPr>
        <w:t xml:space="preserve"> residents are </w:t>
      </w:r>
      <w:r>
        <w:rPr>
          <w:rFonts w:cstheme="minorHAnsi"/>
        </w:rPr>
        <w:t>appropriately utilizing</w:t>
      </w:r>
      <w:r w:rsidR="00CF5459" w:rsidRPr="00CC3898">
        <w:rPr>
          <w:rFonts w:cstheme="minorHAnsi"/>
        </w:rPr>
        <w:t xml:space="preserve"> urgent care </w:t>
      </w:r>
      <w:r>
        <w:rPr>
          <w:rFonts w:cstheme="minorHAnsi"/>
        </w:rPr>
        <w:t>resources</w:t>
      </w:r>
      <w:r w:rsidR="00F90197">
        <w:rPr>
          <w:rFonts w:cstheme="minorHAnsi"/>
        </w:rPr>
        <w:t xml:space="preserve"> and not the ED</w:t>
      </w:r>
      <w:r w:rsidR="00CF5459" w:rsidRPr="00CC3898">
        <w:rPr>
          <w:rFonts w:cstheme="minorHAnsi"/>
        </w:rPr>
        <w:t>.  Cape Cod Healthcare operates six urgent care centers in Barnstable County.</w:t>
      </w:r>
    </w:p>
    <w:p w14:paraId="2022E4DA" w14:textId="1FCAF10E" w:rsidR="00F86049" w:rsidRDefault="00F86049" w:rsidP="00EC396A">
      <w:pPr>
        <w:pStyle w:val="ListParagraph"/>
        <w:spacing w:before="120" w:after="120" w:line="240" w:lineRule="auto"/>
        <w:ind w:left="1440"/>
        <w:contextualSpacing w:val="0"/>
        <w:rPr>
          <w:rFonts w:cstheme="minorHAnsi"/>
        </w:rPr>
      </w:pPr>
      <w:r>
        <w:rPr>
          <w:rFonts w:cstheme="minorHAnsi"/>
        </w:rPr>
        <w:t xml:space="preserve">The table below provides the ESI breakdown at </w:t>
      </w:r>
      <w:r w:rsidR="00F90197">
        <w:rPr>
          <w:rFonts w:cstheme="minorHAnsi"/>
        </w:rPr>
        <w:t>Cape Cod Hospital</w:t>
      </w:r>
      <w:r>
        <w:rPr>
          <w:rFonts w:cstheme="minorHAnsi"/>
        </w:rPr>
        <w:t xml:space="preserve"> for the</w:t>
      </w:r>
      <w:r w:rsidR="00F90197">
        <w:rPr>
          <w:rFonts w:cstheme="minorHAnsi"/>
        </w:rPr>
        <w:t xml:space="preserve"> two</w:t>
      </w:r>
      <w:r>
        <w:rPr>
          <w:rFonts w:cstheme="minorHAnsi"/>
        </w:rPr>
        <w:t xml:space="preserve"> most recent fiscal years. </w:t>
      </w:r>
    </w:p>
    <w:tbl>
      <w:tblPr>
        <w:tblStyle w:val="TableGrid"/>
        <w:tblW w:w="0" w:type="auto"/>
        <w:tblInd w:w="1440" w:type="dxa"/>
        <w:tblLook w:val="04A0" w:firstRow="1" w:lastRow="0" w:firstColumn="1" w:lastColumn="0" w:noHBand="0" w:noVBand="1"/>
      </w:tblPr>
      <w:tblGrid>
        <w:gridCol w:w="3235"/>
        <w:gridCol w:w="1260"/>
        <w:gridCol w:w="1440"/>
        <w:gridCol w:w="1260"/>
        <w:gridCol w:w="1435"/>
      </w:tblGrid>
      <w:tr w:rsidR="00F86049" w14:paraId="4E69CF4A" w14:textId="77777777" w:rsidTr="00AD5DAA">
        <w:trPr>
          <w:cantSplit/>
          <w:tblHeader/>
        </w:trPr>
        <w:tc>
          <w:tcPr>
            <w:tcW w:w="3235" w:type="dxa"/>
          </w:tcPr>
          <w:p w14:paraId="75248E74" w14:textId="66DE5CB4" w:rsidR="00F86049" w:rsidRPr="00F86049" w:rsidRDefault="00F86049" w:rsidP="00EC396A">
            <w:pPr>
              <w:rPr>
                <w:rFonts w:cstheme="minorHAnsi"/>
                <w:b/>
                <w:bCs/>
                <w:sz w:val="20"/>
                <w:szCs w:val="20"/>
              </w:rPr>
            </w:pPr>
            <w:r w:rsidRPr="00F86049">
              <w:rPr>
                <w:rFonts w:cstheme="minorHAnsi"/>
                <w:b/>
                <w:bCs/>
                <w:sz w:val="20"/>
                <w:szCs w:val="20"/>
              </w:rPr>
              <w:t>Acuity Distribution at CCH</w:t>
            </w:r>
          </w:p>
        </w:tc>
        <w:tc>
          <w:tcPr>
            <w:tcW w:w="1260" w:type="dxa"/>
          </w:tcPr>
          <w:p w14:paraId="1679FEF1" w14:textId="6811B1A0" w:rsidR="00F86049" w:rsidRPr="00F86049" w:rsidRDefault="00F86049" w:rsidP="00EC396A">
            <w:pPr>
              <w:jc w:val="center"/>
              <w:rPr>
                <w:rFonts w:cstheme="minorHAnsi"/>
                <w:b/>
                <w:bCs/>
                <w:sz w:val="20"/>
                <w:szCs w:val="20"/>
              </w:rPr>
            </w:pPr>
            <w:r w:rsidRPr="00F86049">
              <w:rPr>
                <w:rFonts w:cstheme="minorHAnsi"/>
                <w:b/>
                <w:bCs/>
                <w:sz w:val="20"/>
                <w:szCs w:val="20"/>
              </w:rPr>
              <w:t>FY22 #</w:t>
            </w:r>
          </w:p>
        </w:tc>
        <w:tc>
          <w:tcPr>
            <w:tcW w:w="1440" w:type="dxa"/>
          </w:tcPr>
          <w:p w14:paraId="61360E55" w14:textId="3F1EF47E" w:rsidR="00F86049" w:rsidRPr="00F86049" w:rsidRDefault="00F86049" w:rsidP="00EC396A">
            <w:pPr>
              <w:jc w:val="center"/>
              <w:rPr>
                <w:rFonts w:cstheme="minorHAnsi"/>
                <w:b/>
                <w:bCs/>
                <w:sz w:val="20"/>
                <w:szCs w:val="20"/>
              </w:rPr>
            </w:pPr>
            <w:r w:rsidRPr="00F86049">
              <w:rPr>
                <w:rFonts w:cstheme="minorHAnsi"/>
                <w:b/>
                <w:bCs/>
                <w:sz w:val="20"/>
                <w:szCs w:val="20"/>
              </w:rPr>
              <w:t>FY23 #</w:t>
            </w:r>
          </w:p>
        </w:tc>
        <w:tc>
          <w:tcPr>
            <w:tcW w:w="1260" w:type="dxa"/>
          </w:tcPr>
          <w:p w14:paraId="71D0C837" w14:textId="3DCB4AE3" w:rsidR="00F86049" w:rsidRPr="00F86049" w:rsidRDefault="00F86049" w:rsidP="00EC396A">
            <w:pPr>
              <w:jc w:val="center"/>
              <w:rPr>
                <w:rFonts w:cstheme="minorHAnsi"/>
                <w:b/>
                <w:bCs/>
                <w:sz w:val="20"/>
                <w:szCs w:val="20"/>
              </w:rPr>
            </w:pPr>
            <w:r w:rsidRPr="00F86049">
              <w:rPr>
                <w:rFonts w:cstheme="minorHAnsi"/>
                <w:b/>
                <w:bCs/>
                <w:sz w:val="20"/>
                <w:szCs w:val="20"/>
              </w:rPr>
              <w:t>FY22 %</w:t>
            </w:r>
          </w:p>
        </w:tc>
        <w:tc>
          <w:tcPr>
            <w:tcW w:w="1435" w:type="dxa"/>
          </w:tcPr>
          <w:p w14:paraId="719DD10D" w14:textId="35EAEBF6" w:rsidR="00F86049" w:rsidRPr="00F86049" w:rsidRDefault="00F86049" w:rsidP="00EC396A">
            <w:pPr>
              <w:jc w:val="center"/>
              <w:rPr>
                <w:rFonts w:cstheme="minorHAnsi"/>
                <w:b/>
                <w:bCs/>
                <w:sz w:val="20"/>
                <w:szCs w:val="20"/>
              </w:rPr>
            </w:pPr>
            <w:r w:rsidRPr="00F86049">
              <w:rPr>
                <w:rFonts w:cstheme="minorHAnsi"/>
                <w:b/>
                <w:bCs/>
                <w:sz w:val="20"/>
                <w:szCs w:val="20"/>
              </w:rPr>
              <w:t>FY23 %</w:t>
            </w:r>
          </w:p>
        </w:tc>
      </w:tr>
      <w:tr w:rsidR="00F86049" w14:paraId="18A31703" w14:textId="77777777" w:rsidTr="00AD5DAA">
        <w:trPr>
          <w:cantSplit/>
        </w:trPr>
        <w:tc>
          <w:tcPr>
            <w:tcW w:w="3235" w:type="dxa"/>
          </w:tcPr>
          <w:p w14:paraId="4C42358E" w14:textId="0C5CA34D" w:rsidR="00F86049" w:rsidRPr="00F86049" w:rsidRDefault="00F86049" w:rsidP="00EC396A">
            <w:pPr>
              <w:rPr>
                <w:rFonts w:cstheme="minorHAnsi"/>
                <w:b/>
                <w:bCs/>
                <w:sz w:val="20"/>
                <w:szCs w:val="20"/>
              </w:rPr>
            </w:pPr>
            <w:r w:rsidRPr="00F86049">
              <w:rPr>
                <w:rFonts w:cstheme="minorHAnsi"/>
                <w:b/>
                <w:bCs/>
                <w:sz w:val="20"/>
                <w:szCs w:val="20"/>
              </w:rPr>
              <w:t>High (ESI 1 and 2)</w:t>
            </w:r>
          </w:p>
        </w:tc>
        <w:tc>
          <w:tcPr>
            <w:tcW w:w="1260" w:type="dxa"/>
          </w:tcPr>
          <w:p w14:paraId="230D631A" w14:textId="65F79DE9" w:rsidR="00F86049" w:rsidRPr="00F86049" w:rsidRDefault="00F86049" w:rsidP="00EC396A">
            <w:pPr>
              <w:jc w:val="center"/>
              <w:rPr>
                <w:rFonts w:cstheme="minorHAnsi"/>
                <w:sz w:val="20"/>
                <w:szCs w:val="20"/>
              </w:rPr>
            </w:pPr>
            <w:r w:rsidRPr="00F86049">
              <w:rPr>
                <w:rFonts w:cstheme="minorHAnsi"/>
                <w:sz w:val="20"/>
                <w:szCs w:val="20"/>
              </w:rPr>
              <w:t>16</w:t>
            </w:r>
            <w:r w:rsidR="00EC396A">
              <w:rPr>
                <w:rFonts w:cstheme="minorHAnsi"/>
                <w:sz w:val="20"/>
                <w:szCs w:val="20"/>
              </w:rPr>
              <w:t>,</w:t>
            </w:r>
            <w:r w:rsidRPr="00F86049">
              <w:rPr>
                <w:rFonts w:cstheme="minorHAnsi"/>
                <w:sz w:val="20"/>
                <w:szCs w:val="20"/>
              </w:rPr>
              <w:t>238</w:t>
            </w:r>
          </w:p>
        </w:tc>
        <w:tc>
          <w:tcPr>
            <w:tcW w:w="1440" w:type="dxa"/>
          </w:tcPr>
          <w:p w14:paraId="539FA01B" w14:textId="3C3164B2" w:rsidR="00F86049" w:rsidRPr="00F86049" w:rsidRDefault="00F86049" w:rsidP="00EC396A">
            <w:pPr>
              <w:jc w:val="center"/>
              <w:rPr>
                <w:rFonts w:cstheme="minorHAnsi"/>
                <w:sz w:val="20"/>
                <w:szCs w:val="20"/>
              </w:rPr>
            </w:pPr>
            <w:r w:rsidRPr="00F86049">
              <w:rPr>
                <w:rFonts w:cstheme="minorHAnsi"/>
                <w:sz w:val="20"/>
                <w:szCs w:val="20"/>
              </w:rPr>
              <w:t>17</w:t>
            </w:r>
            <w:r w:rsidR="00EC396A">
              <w:rPr>
                <w:rFonts w:cstheme="minorHAnsi"/>
                <w:sz w:val="20"/>
                <w:szCs w:val="20"/>
              </w:rPr>
              <w:t>,</w:t>
            </w:r>
            <w:r w:rsidRPr="00F86049">
              <w:rPr>
                <w:rFonts w:cstheme="minorHAnsi"/>
                <w:sz w:val="20"/>
                <w:szCs w:val="20"/>
              </w:rPr>
              <w:t>159</w:t>
            </w:r>
          </w:p>
        </w:tc>
        <w:tc>
          <w:tcPr>
            <w:tcW w:w="1260" w:type="dxa"/>
          </w:tcPr>
          <w:p w14:paraId="2DCE0679" w14:textId="50BCDECB" w:rsidR="00F86049" w:rsidRPr="00F86049" w:rsidRDefault="00F86049" w:rsidP="00EC396A">
            <w:pPr>
              <w:jc w:val="center"/>
              <w:rPr>
                <w:rFonts w:cstheme="minorHAnsi"/>
                <w:sz w:val="20"/>
                <w:szCs w:val="20"/>
              </w:rPr>
            </w:pPr>
            <w:r w:rsidRPr="00F86049">
              <w:rPr>
                <w:rFonts w:cstheme="minorHAnsi"/>
                <w:sz w:val="20"/>
                <w:szCs w:val="20"/>
              </w:rPr>
              <w:t>21%</w:t>
            </w:r>
          </w:p>
        </w:tc>
        <w:tc>
          <w:tcPr>
            <w:tcW w:w="1435" w:type="dxa"/>
          </w:tcPr>
          <w:p w14:paraId="53DB218E" w14:textId="6755BCBE" w:rsidR="00F86049" w:rsidRPr="00F86049" w:rsidRDefault="00F86049" w:rsidP="00EC396A">
            <w:pPr>
              <w:jc w:val="center"/>
              <w:rPr>
                <w:rFonts w:cstheme="minorHAnsi"/>
                <w:sz w:val="20"/>
                <w:szCs w:val="20"/>
              </w:rPr>
            </w:pPr>
            <w:r w:rsidRPr="00F86049">
              <w:rPr>
                <w:rFonts w:cstheme="minorHAnsi"/>
                <w:sz w:val="20"/>
                <w:szCs w:val="20"/>
              </w:rPr>
              <w:t>21%</w:t>
            </w:r>
          </w:p>
        </w:tc>
      </w:tr>
      <w:tr w:rsidR="00F86049" w14:paraId="2E14419A" w14:textId="77777777" w:rsidTr="00AD5DAA">
        <w:trPr>
          <w:cantSplit/>
        </w:trPr>
        <w:tc>
          <w:tcPr>
            <w:tcW w:w="3235" w:type="dxa"/>
          </w:tcPr>
          <w:p w14:paraId="43B67A13" w14:textId="53545D3D" w:rsidR="00F86049" w:rsidRPr="00F86049" w:rsidRDefault="00F86049" w:rsidP="00EC396A">
            <w:pPr>
              <w:rPr>
                <w:rFonts w:cstheme="minorHAnsi"/>
                <w:b/>
                <w:bCs/>
                <w:sz w:val="20"/>
                <w:szCs w:val="20"/>
              </w:rPr>
            </w:pPr>
            <w:r w:rsidRPr="00F86049">
              <w:rPr>
                <w:rFonts w:cstheme="minorHAnsi"/>
                <w:b/>
                <w:bCs/>
                <w:sz w:val="20"/>
                <w:szCs w:val="20"/>
              </w:rPr>
              <w:t>Moderate (ESI 3 and 3)</w:t>
            </w:r>
          </w:p>
        </w:tc>
        <w:tc>
          <w:tcPr>
            <w:tcW w:w="1260" w:type="dxa"/>
          </w:tcPr>
          <w:p w14:paraId="4A75F648" w14:textId="6771E10A" w:rsidR="00F86049" w:rsidRPr="00F86049" w:rsidRDefault="00F86049" w:rsidP="00EC396A">
            <w:pPr>
              <w:jc w:val="center"/>
              <w:rPr>
                <w:rFonts w:cstheme="minorHAnsi"/>
                <w:sz w:val="20"/>
                <w:szCs w:val="20"/>
              </w:rPr>
            </w:pPr>
            <w:r w:rsidRPr="00F86049">
              <w:rPr>
                <w:rFonts w:cstheme="minorHAnsi"/>
                <w:sz w:val="20"/>
                <w:szCs w:val="20"/>
              </w:rPr>
              <w:t>59</w:t>
            </w:r>
            <w:r w:rsidR="00EC396A">
              <w:rPr>
                <w:rFonts w:cstheme="minorHAnsi"/>
                <w:sz w:val="20"/>
                <w:szCs w:val="20"/>
              </w:rPr>
              <w:t>,</w:t>
            </w:r>
            <w:r w:rsidRPr="00F86049">
              <w:rPr>
                <w:rFonts w:cstheme="minorHAnsi"/>
                <w:sz w:val="20"/>
                <w:szCs w:val="20"/>
              </w:rPr>
              <w:t>534</w:t>
            </w:r>
          </w:p>
        </w:tc>
        <w:tc>
          <w:tcPr>
            <w:tcW w:w="1440" w:type="dxa"/>
          </w:tcPr>
          <w:p w14:paraId="2A75F7A8" w14:textId="16D31DF8" w:rsidR="00F86049" w:rsidRPr="00F86049" w:rsidRDefault="00F86049" w:rsidP="00EC396A">
            <w:pPr>
              <w:jc w:val="center"/>
              <w:rPr>
                <w:rFonts w:cstheme="minorHAnsi"/>
                <w:sz w:val="20"/>
                <w:szCs w:val="20"/>
              </w:rPr>
            </w:pPr>
            <w:r w:rsidRPr="00F86049">
              <w:rPr>
                <w:rFonts w:cstheme="minorHAnsi"/>
                <w:sz w:val="20"/>
                <w:szCs w:val="20"/>
              </w:rPr>
              <w:t>62</w:t>
            </w:r>
            <w:r w:rsidR="00EC396A">
              <w:rPr>
                <w:rFonts w:cstheme="minorHAnsi"/>
                <w:sz w:val="20"/>
                <w:szCs w:val="20"/>
              </w:rPr>
              <w:t>,</w:t>
            </w:r>
            <w:r w:rsidRPr="00F86049">
              <w:rPr>
                <w:rFonts w:cstheme="minorHAnsi"/>
                <w:sz w:val="20"/>
                <w:szCs w:val="20"/>
              </w:rPr>
              <w:t>489</w:t>
            </w:r>
          </w:p>
        </w:tc>
        <w:tc>
          <w:tcPr>
            <w:tcW w:w="1260" w:type="dxa"/>
          </w:tcPr>
          <w:p w14:paraId="0AAAB729" w14:textId="4077B3A4" w:rsidR="00F86049" w:rsidRPr="00F86049" w:rsidRDefault="00F86049" w:rsidP="00EC396A">
            <w:pPr>
              <w:jc w:val="center"/>
              <w:rPr>
                <w:rFonts w:cstheme="minorHAnsi"/>
                <w:sz w:val="20"/>
                <w:szCs w:val="20"/>
              </w:rPr>
            </w:pPr>
            <w:r w:rsidRPr="00F86049">
              <w:rPr>
                <w:rFonts w:cstheme="minorHAnsi"/>
                <w:sz w:val="20"/>
                <w:szCs w:val="20"/>
              </w:rPr>
              <w:t>77%</w:t>
            </w:r>
          </w:p>
        </w:tc>
        <w:tc>
          <w:tcPr>
            <w:tcW w:w="1435" w:type="dxa"/>
          </w:tcPr>
          <w:p w14:paraId="52414C2D" w14:textId="4CD7D470" w:rsidR="00F86049" w:rsidRPr="00F86049" w:rsidRDefault="00F86049" w:rsidP="00EC396A">
            <w:pPr>
              <w:jc w:val="center"/>
              <w:rPr>
                <w:rFonts w:cstheme="minorHAnsi"/>
                <w:sz w:val="20"/>
                <w:szCs w:val="20"/>
              </w:rPr>
            </w:pPr>
            <w:r w:rsidRPr="00F86049">
              <w:rPr>
                <w:rFonts w:cstheme="minorHAnsi"/>
                <w:sz w:val="20"/>
                <w:szCs w:val="20"/>
              </w:rPr>
              <w:t>77%</w:t>
            </w:r>
          </w:p>
        </w:tc>
      </w:tr>
      <w:tr w:rsidR="00F86049" w14:paraId="02A57C96" w14:textId="77777777" w:rsidTr="00AD5DAA">
        <w:trPr>
          <w:cantSplit/>
        </w:trPr>
        <w:tc>
          <w:tcPr>
            <w:tcW w:w="3235" w:type="dxa"/>
          </w:tcPr>
          <w:p w14:paraId="5A256FF5" w14:textId="359F4C19" w:rsidR="00F86049" w:rsidRPr="00F86049" w:rsidRDefault="00F86049" w:rsidP="00EC396A">
            <w:pPr>
              <w:rPr>
                <w:rFonts w:cstheme="minorHAnsi"/>
                <w:b/>
                <w:bCs/>
                <w:sz w:val="20"/>
                <w:szCs w:val="20"/>
              </w:rPr>
            </w:pPr>
            <w:r w:rsidRPr="00F86049">
              <w:rPr>
                <w:rFonts w:cstheme="minorHAnsi"/>
                <w:b/>
                <w:bCs/>
                <w:sz w:val="20"/>
                <w:szCs w:val="20"/>
              </w:rPr>
              <w:t xml:space="preserve">Low (ESI 5) </w:t>
            </w:r>
          </w:p>
        </w:tc>
        <w:tc>
          <w:tcPr>
            <w:tcW w:w="1260" w:type="dxa"/>
          </w:tcPr>
          <w:p w14:paraId="694500FD" w14:textId="5A59758E" w:rsidR="00F86049" w:rsidRPr="00F86049" w:rsidRDefault="00F86049" w:rsidP="00EC396A">
            <w:pPr>
              <w:jc w:val="center"/>
              <w:rPr>
                <w:rFonts w:cstheme="minorHAnsi"/>
                <w:sz w:val="20"/>
                <w:szCs w:val="20"/>
              </w:rPr>
            </w:pPr>
            <w:r w:rsidRPr="00F86049">
              <w:rPr>
                <w:rFonts w:cstheme="minorHAnsi"/>
                <w:sz w:val="20"/>
                <w:szCs w:val="20"/>
              </w:rPr>
              <w:t>862</w:t>
            </w:r>
          </w:p>
        </w:tc>
        <w:tc>
          <w:tcPr>
            <w:tcW w:w="1440" w:type="dxa"/>
          </w:tcPr>
          <w:p w14:paraId="1743D4D6" w14:textId="4676ACDA" w:rsidR="00F86049" w:rsidRPr="00F86049" w:rsidRDefault="00F86049" w:rsidP="00EC396A">
            <w:pPr>
              <w:jc w:val="center"/>
              <w:rPr>
                <w:rFonts w:cstheme="minorHAnsi"/>
                <w:sz w:val="20"/>
                <w:szCs w:val="20"/>
              </w:rPr>
            </w:pPr>
            <w:r w:rsidRPr="00F86049">
              <w:rPr>
                <w:rFonts w:cstheme="minorHAnsi"/>
                <w:sz w:val="20"/>
                <w:szCs w:val="20"/>
              </w:rPr>
              <w:t>769</w:t>
            </w:r>
          </w:p>
        </w:tc>
        <w:tc>
          <w:tcPr>
            <w:tcW w:w="1260" w:type="dxa"/>
          </w:tcPr>
          <w:p w14:paraId="2048D0F0" w14:textId="7E735F7A" w:rsidR="00F86049" w:rsidRPr="00F86049" w:rsidRDefault="00F86049" w:rsidP="00EC396A">
            <w:pPr>
              <w:jc w:val="center"/>
              <w:rPr>
                <w:rFonts w:cstheme="minorHAnsi"/>
                <w:sz w:val="20"/>
                <w:szCs w:val="20"/>
              </w:rPr>
            </w:pPr>
            <w:r w:rsidRPr="00F86049">
              <w:rPr>
                <w:rFonts w:cstheme="minorHAnsi"/>
                <w:sz w:val="20"/>
                <w:szCs w:val="20"/>
              </w:rPr>
              <w:t>1%</w:t>
            </w:r>
          </w:p>
        </w:tc>
        <w:tc>
          <w:tcPr>
            <w:tcW w:w="1435" w:type="dxa"/>
          </w:tcPr>
          <w:p w14:paraId="24844DB2" w14:textId="6E4043F2" w:rsidR="00F86049" w:rsidRPr="00F86049" w:rsidRDefault="00F86049" w:rsidP="00EC396A">
            <w:pPr>
              <w:jc w:val="center"/>
              <w:rPr>
                <w:rFonts w:cstheme="minorHAnsi"/>
                <w:sz w:val="20"/>
                <w:szCs w:val="20"/>
              </w:rPr>
            </w:pPr>
            <w:r w:rsidRPr="00F86049">
              <w:rPr>
                <w:rFonts w:cstheme="minorHAnsi"/>
                <w:sz w:val="20"/>
                <w:szCs w:val="20"/>
              </w:rPr>
              <w:t>1%</w:t>
            </w:r>
          </w:p>
        </w:tc>
      </w:tr>
      <w:tr w:rsidR="00F86049" w14:paraId="23F53412" w14:textId="77777777" w:rsidTr="00AD5DAA">
        <w:trPr>
          <w:cantSplit/>
        </w:trPr>
        <w:tc>
          <w:tcPr>
            <w:tcW w:w="3235" w:type="dxa"/>
          </w:tcPr>
          <w:p w14:paraId="21A92E95" w14:textId="73D18209" w:rsidR="00F86049" w:rsidRPr="00F86049" w:rsidRDefault="00F86049" w:rsidP="00EC396A">
            <w:pPr>
              <w:jc w:val="right"/>
              <w:rPr>
                <w:rFonts w:cstheme="minorHAnsi"/>
                <w:b/>
                <w:bCs/>
                <w:sz w:val="20"/>
                <w:szCs w:val="20"/>
              </w:rPr>
            </w:pPr>
            <w:r w:rsidRPr="00F86049">
              <w:rPr>
                <w:rFonts w:cstheme="minorHAnsi"/>
                <w:b/>
                <w:bCs/>
                <w:sz w:val="20"/>
                <w:szCs w:val="20"/>
              </w:rPr>
              <w:t>TOTAL</w:t>
            </w:r>
            <w:r w:rsidR="00664F49">
              <w:rPr>
                <w:rStyle w:val="FootnoteReference"/>
                <w:rFonts w:cstheme="minorHAnsi"/>
                <w:b/>
                <w:bCs/>
                <w:sz w:val="20"/>
                <w:szCs w:val="20"/>
              </w:rPr>
              <w:footnoteReference w:id="2"/>
            </w:r>
          </w:p>
        </w:tc>
        <w:tc>
          <w:tcPr>
            <w:tcW w:w="1260" w:type="dxa"/>
          </w:tcPr>
          <w:p w14:paraId="726CC46C" w14:textId="020E58B7" w:rsidR="00F86049" w:rsidRPr="00F86049" w:rsidRDefault="00F86049" w:rsidP="00EC396A">
            <w:pPr>
              <w:jc w:val="center"/>
              <w:rPr>
                <w:rFonts w:cstheme="minorHAnsi"/>
                <w:sz w:val="20"/>
                <w:szCs w:val="20"/>
              </w:rPr>
            </w:pPr>
            <w:r w:rsidRPr="00F86049">
              <w:rPr>
                <w:rFonts w:cstheme="minorHAnsi"/>
                <w:sz w:val="20"/>
                <w:szCs w:val="20"/>
              </w:rPr>
              <w:t>76,634</w:t>
            </w:r>
          </w:p>
        </w:tc>
        <w:tc>
          <w:tcPr>
            <w:tcW w:w="1440" w:type="dxa"/>
          </w:tcPr>
          <w:p w14:paraId="51B86037" w14:textId="42D524A4" w:rsidR="00F86049" w:rsidRPr="00F86049" w:rsidRDefault="00F86049" w:rsidP="00EC396A">
            <w:pPr>
              <w:jc w:val="center"/>
              <w:rPr>
                <w:rFonts w:cstheme="minorHAnsi"/>
                <w:sz w:val="20"/>
                <w:szCs w:val="20"/>
              </w:rPr>
            </w:pPr>
            <w:r w:rsidRPr="00F86049">
              <w:rPr>
                <w:rFonts w:cstheme="minorHAnsi"/>
                <w:sz w:val="20"/>
                <w:szCs w:val="20"/>
              </w:rPr>
              <w:t>80,417</w:t>
            </w:r>
          </w:p>
        </w:tc>
        <w:tc>
          <w:tcPr>
            <w:tcW w:w="1260" w:type="dxa"/>
          </w:tcPr>
          <w:p w14:paraId="294FF6EC" w14:textId="2153CA82" w:rsidR="00F86049" w:rsidRPr="00F86049" w:rsidRDefault="00F86049" w:rsidP="00EC396A">
            <w:pPr>
              <w:jc w:val="center"/>
              <w:rPr>
                <w:rFonts w:cstheme="minorHAnsi"/>
                <w:sz w:val="20"/>
                <w:szCs w:val="20"/>
              </w:rPr>
            </w:pPr>
            <w:r w:rsidRPr="00F86049">
              <w:rPr>
                <w:rFonts w:cstheme="minorHAnsi"/>
                <w:sz w:val="20"/>
                <w:szCs w:val="20"/>
              </w:rPr>
              <w:t>100%</w:t>
            </w:r>
          </w:p>
        </w:tc>
        <w:tc>
          <w:tcPr>
            <w:tcW w:w="1435" w:type="dxa"/>
          </w:tcPr>
          <w:p w14:paraId="7BC08682" w14:textId="3A788043" w:rsidR="00F86049" w:rsidRPr="00F86049" w:rsidRDefault="00F86049" w:rsidP="00EC396A">
            <w:pPr>
              <w:jc w:val="center"/>
              <w:rPr>
                <w:rFonts w:cstheme="minorHAnsi"/>
                <w:sz w:val="20"/>
                <w:szCs w:val="20"/>
              </w:rPr>
            </w:pPr>
            <w:r w:rsidRPr="00F86049">
              <w:rPr>
                <w:rFonts w:cstheme="minorHAnsi"/>
                <w:sz w:val="20"/>
                <w:szCs w:val="20"/>
              </w:rPr>
              <w:t>100%</w:t>
            </w:r>
          </w:p>
        </w:tc>
      </w:tr>
    </w:tbl>
    <w:p w14:paraId="398329D9" w14:textId="3BDD54D2" w:rsidR="00583E52" w:rsidRPr="00F86049" w:rsidRDefault="00583E52" w:rsidP="00EC396A">
      <w:pPr>
        <w:spacing w:before="120" w:after="120" w:line="240" w:lineRule="auto"/>
        <w:rPr>
          <w:rFonts w:cstheme="minorHAnsi"/>
          <w:color w:val="4472C4" w:themeColor="accent1"/>
        </w:rPr>
      </w:pPr>
    </w:p>
    <w:p w14:paraId="77E94A30" w14:textId="77777777" w:rsidR="00583E52" w:rsidRPr="00BE6294" w:rsidRDefault="00CF5459" w:rsidP="00EC396A">
      <w:pPr>
        <w:pStyle w:val="ListParagraph"/>
        <w:numPr>
          <w:ilvl w:val="1"/>
          <w:numId w:val="37"/>
        </w:numPr>
        <w:spacing w:before="120" w:after="120" w:line="240" w:lineRule="auto"/>
        <w:contextualSpacing w:val="0"/>
        <w:rPr>
          <w:rFonts w:cstheme="minorHAnsi"/>
          <w:b/>
          <w:bCs/>
        </w:rPr>
      </w:pPr>
      <w:r w:rsidRPr="00CC3898">
        <w:rPr>
          <w:rFonts w:cstheme="minorHAnsi"/>
          <w:b/>
          <w:bCs/>
        </w:rPr>
        <w:lastRenderedPageBreak/>
        <w:t xml:space="preserve">You state- In FY2023, after the decision to admit had been made, the Hospital’s medical/surgical patients spent a total of 46,336 hours in the ED waiting for an inpatient bed. 1,818 medical/surgical patients boarded in the ED for more than 12 hours waiting for an inpatient bed to become available. To better understand, please explain these comments </w:t>
      </w:r>
      <w:r w:rsidRPr="00BE6294">
        <w:rPr>
          <w:rFonts w:cstheme="minorHAnsi"/>
          <w:b/>
          <w:bCs/>
        </w:rPr>
        <w:t xml:space="preserve">further. </w:t>
      </w:r>
    </w:p>
    <w:p w14:paraId="42844086" w14:textId="77777777" w:rsidR="00BE6294" w:rsidRDefault="00CF5459" w:rsidP="00EC396A">
      <w:pPr>
        <w:pStyle w:val="ListParagraph"/>
        <w:numPr>
          <w:ilvl w:val="2"/>
          <w:numId w:val="37"/>
        </w:numPr>
        <w:spacing w:before="120" w:after="120" w:line="240" w:lineRule="auto"/>
        <w:contextualSpacing w:val="0"/>
        <w:rPr>
          <w:rFonts w:cstheme="minorHAnsi"/>
        </w:rPr>
      </w:pPr>
      <w:r w:rsidRPr="00BE6294">
        <w:rPr>
          <w:rFonts w:cstheme="minorHAnsi"/>
          <w:b/>
          <w:bCs/>
        </w:rPr>
        <w:t>How many patients does the 46,336 hours equate to.</w:t>
      </w:r>
      <w:r w:rsidRPr="00BE6294">
        <w:rPr>
          <w:rFonts w:cstheme="minorHAnsi"/>
        </w:rPr>
        <w:t xml:space="preserve"> </w:t>
      </w:r>
    </w:p>
    <w:p w14:paraId="3752C12F" w14:textId="1D93BE3C" w:rsidR="00B24163" w:rsidRPr="00BE6294" w:rsidRDefault="00BE6294" w:rsidP="00EC396A">
      <w:pPr>
        <w:pStyle w:val="ListParagraph"/>
        <w:numPr>
          <w:ilvl w:val="3"/>
          <w:numId w:val="37"/>
        </w:numPr>
        <w:spacing w:before="120" w:after="120" w:line="240" w:lineRule="auto"/>
        <w:contextualSpacing w:val="0"/>
        <w:rPr>
          <w:rFonts w:cstheme="minorHAnsi"/>
        </w:rPr>
      </w:pPr>
      <w:r w:rsidRPr="00BE6294">
        <w:rPr>
          <w:rFonts w:cstheme="minorHAnsi"/>
        </w:rPr>
        <w:t>1,818</w:t>
      </w:r>
      <w:r w:rsidR="00F90197">
        <w:rPr>
          <w:rFonts w:cstheme="minorHAnsi"/>
        </w:rPr>
        <w:t xml:space="preserve"> patients</w:t>
      </w:r>
    </w:p>
    <w:p w14:paraId="6FB88C00" w14:textId="77777777" w:rsidR="00B24163" w:rsidRPr="00BE6294" w:rsidRDefault="00CF5459" w:rsidP="00EC396A">
      <w:pPr>
        <w:pStyle w:val="ListParagraph"/>
        <w:numPr>
          <w:ilvl w:val="4"/>
          <w:numId w:val="37"/>
        </w:numPr>
        <w:spacing w:before="120" w:after="120" w:line="240" w:lineRule="auto"/>
        <w:contextualSpacing w:val="0"/>
        <w:rPr>
          <w:rFonts w:cstheme="minorHAnsi"/>
        </w:rPr>
      </w:pPr>
      <w:r w:rsidRPr="00BE6294">
        <w:rPr>
          <w:rFonts w:cstheme="minorHAnsi"/>
        </w:rPr>
        <w:t xml:space="preserve">1085 (60%) of the boarders were waiting for an inpatient bed for an average of 18.6 hours per patient.  </w:t>
      </w:r>
    </w:p>
    <w:p w14:paraId="4BD003E8" w14:textId="11F10249" w:rsidR="00583E52" w:rsidRDefault="00CF5459" w:rsidP="00EC396A">
      <w:pPr>
        <w:pStyle w:val="ListParagraph"/>
        <w:numPr>
          <w:ilvl w:val="4"/>
          <w:numId w:val="37"/>
        </w:numPr>
        <w:spacing w:before="120" w:after="120" w:line="240" w:lineRule="auto"/>
        <w:contextualSpacing w:val="0"/>
        <w:rPr>
          <w:rFonts w:cstheme="minorHAnsi"/>
        </w:rPr>
      </w:pPr>
      <w:r w:rsidRPr="00BE6294">
        <w:rPr>
          <w:rFonts w:cstheme="minorHAnsi"/>
        </w:rPr>
        <w:t xml:space="preserve">733 (40%) </w:t>
      </w:r>
      <w:r w:rsidR="00BE6294">
        <w:rPr>
          <w:rFonts w:cstheme="minorHAnsi"/>
        </w:rPr>
        <w:t>boarded</w:t>
      </w:r>
      <w:r w:rsidRPr="00BE6294">
        <w:rPr>
          <w:rFonts w:cstheme="minorHAnsi"/>
        </w:rPr>
        <w:t xml:space="preserve"> for an average of 38.8 hours per patient for </w:t>
      </w:r>
      <w:r w:rsidR="00F90197">
        <w:rPr>
          <w:rFonts w:cstheme="minorHAnsi"/>
        </w:rPr>
        <w:t>skilled nursing facility</w:t>
      </w:r>
      <w:r w:rsidRPr="00BE6294">
        <w:rPr>
          <w:rFonts w:cstheme="minorHAnsi"/>
        </w:rPr>
        <w:t xml:space="preserve"> or </w:t>
      </w:r>
      <w:proofErr w:type="gramStart"/>
      <w:r w:rsidR="00F90197">
        <w:rPr>
          <w:rFonts w:cstheme="minorHAnsi"/>
        </w:rPr>
        <w:t>short term</w:t>
      </w:r>
      <w:proofErr w:type="gramEnd"/>
      <w:r w:rsidR="00F90197">
        <w:rPr>
          <w:rFonts w:cstheme="minorHAnsi"/>
        </w:rPr>
        <w:t xml:space="preserve"> rehab</w:t>
      </w:r>
      <w:r w:rsidRPr="00BE6294">
        <w:rPr>
          <w:rFonts w:cstheme="minorHAnsi"/>
        </w:rPr>
        <w:t xml:space="preserve"> placement or for services to be put in place to allow them to return home safely.  </w:t>
      </w:r>
    </w:p>
    <w:p w14:paraId="772EC14B" w14:textId="77777777" w:rsidR="00BE6294" w:rsidRPr="00BE6294" w:rsidRDefault="00BE6294" w:rsidP="00EC396A">
      <w:pPr>
        <w:pStyle w:val="ListParagraph"/>
        <w:spacing w:before="120" w:after="120" w:line="240" w:lineRule="auto"/>
        <w:ind w:left="3600"/>
        <w:contextualSpacing w:val="0"/>
        <w:rPr>
          <w:rFonts w:cstheme="minorHAnsi"/>
        </w:rPr>
      </w:pPr>
    </w:p>
    <w:p w14:paraId="782014AB" w14:textId="77777777" w:rsidR="00BE6294" w:rsidRDefault="00CF5459" w:rsidP="00EC396A">
      <w:pPr>
        <w:pStyle w:val="ListParagraph"/>
        <w:numPr>
          <w:ilvl w:val="2"/>
          <w:numId w:val="37"/>
        </w:numPr>
        <w:spacing w:before="120" w:after="120" w:line="240" w:lineRule="auto"/>
        <w:contextualSpacing w:val="0"/>
        <w:rPr>
          <w:rFonts w:cstheme="minorHAnsi"/>
        </w:rPr>
      </w:pPr>
      <w:r w:rsidRPr="00BE6294">
        <w:rPr>
          <w:rFonts w:cstheme="minorHAnsi"/>
          <w:b/>
          <w:bCs/>
        </w:rPr>
        <w:t>How many hours did the boarded (1818) patients remain in the ED. (By staff’s calculations, 1818 M/S patients waiting over 12 hours is at least 21,816 hours.)</w:t>
      </w:r>
      <w:r w:rsidRPr="00BE6294">
        <w:rPr>
          <w:rFonts w:cstheme="minorHAnsi"/>
        </w:rPr>
        <w:t xml:space="preserve"> </w:t>
      </w:r>
    </w:p>
    <w:p w14:paraId="658A17A8" w14:textId="32D2F310" w:rsidR="00BE6294" w:rsidRPr="00EC396A" w:rsidRDefault="00BE6294" w:rsidP="00EC396A">
      <w:pPr>
        <w:pStyle w:val="ListParagraph"/>
        <w:spacing w:before="120" w:after="120" w:line="240" w:lineRule="auto"/>
        <w:ind w:left="2340"/>
        <w:contextualSpacing w:val="0"/>
        <w:rPr>
          <w:rFonts w:cstheme="minorHAnsi"/>
        </w:rPr>
      </w:pPr>
      <w:r w:rsidRPr="00BE6294">
        <w:rPr>
          <w:rFonts w:cstheme="minorHAnsi"/>
        </w:rPr>
        <w:t xml:space="preserve">1,818 boarded patients remained in the ED for a total of 46,336 hours. CCH </w:t>
      </w:r>
      <w:r w:rsidR="001F78D0">
        <w:rPr>
          <w:rFonts w:cstheme="minorHAnsi"/>
        </w:rPr>
        <w:t>tracks boarding times for patients who wait in the ED longer than 12 hours which</w:t>
      </w:r>
      <w:r w:rsidR="00F90197">
        <w:rPr>
          <w:rFonts w:cstheme="minorHAnsi"/>
        </w:rPr>
        <w:t xml:space="preserve"> is consistent with mandatory reporting of ED boarding data reported to the Department on a regular basis. Accordingly,</w:t>
      </w:r>
      <w:r>
        <w:rPr>
          <w:rFonts w:cstheme="minorHAnsi"/>
        </w:rPr>
        <w:t xml:space="preserve"> the</w:t>
      </w:r>
      <w:r w:rsidR="00F90197">
        <w:rPr>
          <w:rFonts w:cstheme="minorHAnsi"/>
        </w:rPr>
        <w:t xml:space="preserve"> Hospital’s</w:t>
      </w:r>
      <w:r>
        <w:rPr>
          <w:rFonts w:cstheme="minorHAnsi"/>
        </w:rPr>
        <w:t xml:space="preserve"> total boarding hours </w:t>
      </w:r>
      <w:proofErr w:type="gramStart"/>
      <w:r>
        <w:rPr>
          <w:rFonts w:cstheme="minorHAnsi"/>
        </w:rPr>
        <w:t>is</w:t>
      </w:r>
      <w:proofErr w:type="gramEnd"/>
      <w:r>
        <w:rPr>
          <w:rFonts w:cstheme="minorHAnsi"/>
        </w:rPr>
        <w:t xml:space="preserve"> significantly higher if patients who waited at least two hours from the decision to admit was made were included. </w:t>
      </w:r>
    </w:p>
    <w:p w14:paraId="23AECC8D" w14:textId="792836FF" w:rsidR="00BE6294" w:rsidRPr="00EC396A" w:rsidRDefault="00CF5459" w:rsidP="00EC396A">
      <w:pPr>
        <w:pStyle w:val="ListParagraph"/>
        <w:numPr>
          <w:ilvl w:val="2"/>
          <w:numId w:val="37"/>
        </w:numPr>
        <w:spacing w:before="120" w:after="120" w:line="240" w:lineRule="auto"/>
        <w:contextualSpacing w:val="0"/>
        <w:rPr>
          <w:rFonts w:cstheme="minorHAnsi"/>
        </w:rPr>
      </w:pPr>
      <w:r w:rsidRPr="00CC3898">
        <w:rPr>
          <w:rFonts w:cstheme="minorHAnsi"/>
          <w:b/>
          <w:bCs/>
        </w:rPr>
        <w:t>What is the average wait time from decision to admit to being assigned to a bed?</w:t>
      </w:r>
      <w:r w:rsidRPr="00CC3898">
        <w:rPr>
          <w:rFonts w:cstheme="minorHAnsi"/>
        </w:rPr>
        <w:t xml:space="preserve"> </w:t>
      </w:r>
    </w:p>
    <w:p w14:paraId="178C166D" w14:textId="452518ED" w:rsidR="00F86049" w:rsidRPr="00EC396A" w:rsidRDefault="00CF5459" w:rsidP="00EC396A">
      <w:pPr>
        <w:pStyle w:val="ListParagraph"/>
        <w:spacing w:before="120" w:after="120" w:line="240" w:lineRule="auto"/>
        <w:ind w:left="2340"/>
        <w:contextualSpacing w:val="0"/>
        <w:rPr>
          <w:rFonts w:cstheme="minorHAnsi"/>
        </w:rPr>
      </w:pPr>
      <w:r w:rsidRPr="00F86049">
        <w:rPr>
          <w:rFonts w:cstheme="minorHAnsi"/>
        </w:rPr>
        <w:t xml:space="preserve">Average wait time from decision to admit to being assigned to a bed for </w:t>
      </w:r>
      <w:r w:rsidR="00F86049">
        <w:rPr>
          <w:rFonts w:cstheme="minorHAnsi"/>
        </w:rPr>
        <w:t>ED</w:t>
      </w:r>
      <w:r w:rsidRPr="00F86049">
        <w:rPr>
          <w:rFonts w:cstheme="minorHAnsi"/>
        </w:rPr>
        <w:t xml:space="preserve"> medical </w:t>
      </w:r>
      <w:r w:rsidR="00F86049">
        <w:rPr>
          <w:rFonts w:cstheme="minorHAnsi"/>
        </w:rPr>
        <w:t xml:space="preserve">boarders </w:t>
      </w:r>
      <w:r w:rsidRPr="00F86049">
        <w:rPr>
          <w:rFonts w:cstheme="minorHAnsi"/>
        </w:rPr>
        <w:t>was 371 minutes</w:t>
      </w:r>
      <w:r w:rsidR="00F86049">
        <w:rPr>
          <w:rFonts w:cstheme="minorHAnsi"/>
        </w:rPr>
        <w:t xml:space="preserve"> </w:t>
      </w:r>
      <w:r w:rsidR="00F86049" w:rsidRPr="00F86049">
        <w:rPr>
          <w:rFonts w:cstheme="minorHAnsi"/>
        </w:rPr>
        <w:t>in FY 2023</w:t>
      </w:r>
      <w:r w:rsidRPr="00F86049">
        <w:rPr>
          <w:rFonts w:cstheme="minorHAnsi"/>
        </w:rPr>
        <w:t>.</w:t>
      </w:r>
    </w:p>
    <w:p w14:paraId="7A6E5D1C" w14:textId="7D57C672" w:rsidR="00583E52" w:rsidRPr="00CC3898" w:rsidRDefault="008B28E9" w:rsidP="00EC396A">
      <w:pPr>
        <w:pStyle w:val="ListParagraph"/>
        <w:numPr>
          <w:ilvl w:val="0"/>
          <w:numId w:val="35"/>
        </w:numPr>
        <w:spacing w:before="120" w:after="120" w:line="240" w:lineRule="auto"/>
        <w:contextualSpacing w:val="0"/>
        <w:rPr>
          <w:rFonts w:cstheme="minorHAnsi"/>
          <w:b/>
          <w:bCs/>
        </w:rPr>
      </w:pPr>
      <w:r w:rsidRPr="00CC3898">
        <w:rPr>
          <w:rFonts w:cstheme="minorHAnsi"/>
          <w:b/>
          <w:bCs/>
        </w:rPr>
        <w:t>“</w:t>
      </w:r>
      <w:r w:rsidR="00CF5459" w:rsidRPr="00CC3898">
        <w:rPr>
          <w:rFonts w:cstheme="minorHAnsi"/>
          <w:b/>
          <w:bCs/>
        </w:rPr>
        <w:t xml:space="preserve">As of </w:t>
      </w:r>
      <w:r w:rsidR="00CF5459" w:rsidRPr="00CC3898">
        <w:rPr>
          <w:rFonts w:cstheme="minorHAnsi"/>
          <w:b/>
          <w:bCs/>
          <w:highlight w:val="yellow"/>
        </w:rPr>
        <w:t>2010</w:t>
      </w:r>
      <w:r w:rsidR="00CF5459" w:rsidRPr="00CC3898">
        <w:rPr>
          <w:rFonts w:cstheme="minorHAnsi"/>
          <w:b/>
          <w:bCs/>
        </w:rPr>
        <w:t>, the percentage of Cape Cod residents aged 45-69 years old was 39%, compared to 32% of Massachusetts residents, and 30% of U.S residents. Furthermore, the percentage of Cape Cod residents aged 70 years and older was 17%, compared to 10% of Massachusetts residents and only 9% of U.S. residents. This older age cohort is anticipated to increase in size by 2035, when 35% of the population is projected to be aged 65-years or older, compared to 24% in 2010.</w:t>
      </w:r>
      <w:r w:rsidRPr="00CC3898">
        <w:rPr>
          <w:rFonts w:cstheme="minorHAnsi"/>
          <w:b/>
          <w:bCs/>
        </w:rPr>
        <w:t xml:space="preserve">” </w:t>
      </w:r>
    </w:p>
    <w:p w14:paraId="4FE84C26" w14:textId="77777777" w:rsidR="008B28E9" w:rsidRPr="00EC396A" w:rsidRDefault="008B28E9" w:rsidP="00EC396A">
      <w:pPr>
        <w:pStyle w:val="ListParagraph"/>
        <w:numPr>
          <w:ilvl w:val="1"/>
          <w:numId w:val="35"/>
        </w:numPr>
        <w:spacing w:before="120" w:after="120" w:line="240" w:lineRule="auto"/>
        <w:contextualSpacing w:val="0"/>
        <w:rPr>
          <w:rFonts w:cstheme="minorHAnsi"/>
        </w:rPr>
      </w:pPr>
      <w:r w:rsidRPr="00CC3898">
        <w:rPr>
          <w:rFonts w:cstheme="minorHAnsi"/>
          <w:b/>
          <w:bCs/>
        </w:rPr>
        <w:t xml:space="preserve">Please update the demographic description for 2020 and the citations. Do these percentages still hold true? </w:t>
      </w:r>
    </w:p>
    <w:p w14:paraId="16389323" w14:textId="5C7F30B3" w:rsidR="00EC396A" w:rsidRPr="00EC396A" w:rsidRDefault="00EC396A" w:rsidP="00EC396A">
      <w:pPr>
        <w:pStyle w:val="ListParagraph"/>
        <w:spacing w:before="120" w:after="120" w:line="240" w:lineRule="auto"/>
        <w:ind w:left="1440"/>
        <w:contextualSpacing w:val="0"/>
        <w:rPr>
          <w:rFonts w:cstheme="minorHAnsi"/>
        </w:rPr>
      </w:pPr>
      <w:r>
        <w:rPr>
          <w:rFonts w:cstheme="minorHAnsi"/>
        </w:rPr>
        <w:t xml:space="preserve">Please see the updated demographic description below: </w:t>
      </w:r>
    </w:p>
    <w:p w14:paraId="2219DE85" w14:textId="77777777" w:rsidR="00EC396A" w:rsidRPr="00EC396A" w:rsidRDefault="008B28E9" w:rsidP="00EC396A">
      <w:pPr>
        <w:pStyle w:val="ListParagraph"/>
        <w:spacing w:before="120" w:after="120" w:line="240" w:lineRule="auto"/>
        <w:ind w:left="1440"/>
        <w:contextualSpacing w:val="0"/>
        <w:jc w:val="both"/>
      </w:pPr>
      <w:r w:rsidRPr="00EC396A">
        <w:t>As of 2022, the percentage of Cape Cod (</w:t>
      </w:r>
      <w:r w:rsidRPr="00EC396A">
        <w:rPr>
          <w:i/>
          <w:iCs/>
        </w:rPr>
        <w:t>Barnstable County</w:t>
      </w:r>
      <w:r w:rsidRPr="00EC396A">
        <w:t>) residents aged 40-69 years old was 42.2%</w:t>
      </w:r>
      <w:r w:rsidRPr="00EC396A">
        <w:rPr>
          <w:rStyle w:val="FootnoteReference"/>
        </w:rPr>
        <w:footnoteReference w:id="3"/>
      </w:r>
      <w:r w:rsidRPr="00EC396A">
        <w:t>, compared to 38.1% of Massachusetts residents</w:t>
      </w:r>
      <w:r w:rsidRPr="00EC396A">
        <w:rPr>
          <w:rStyle w:val="FootnoteReference"/>
        </w:rPr>
        <w:footnoteReference w:id="4"/>
      </w:r>
      <w:r w:rsidRPr="00EC396A">
        <w:t>, and 36.8% of U.S residents</w:t>
      </w:r>
      <w:r w:rsidRPr="00EC396A">
        <w:rPr>
          <w:rStyle w:val="FootnoteReference"/>
        </w:rPr>
        <w:footnoteReference w:id="5"/>
      </w:r>
      <w:r w:rsidRPr="00EC396A">
        <w:t>. Furthermore, the percentage of Cape Cod (</w:t>
      </w:r>
      <w:r w:rsidRPr="00EC396A">
        <w:rPr>
          <w:i/>
          <w:iCs/>
        </w:rPr>
        <w:t xml:space="preserve">Barnstable </w:t>
      </w:r>
      <w:r w:rsidRPr="00EC396A">
        <w:t xml:space="preserve">County) residents aged 70 years and older was 23.7%, compared to 12.2% of Massachusetts residents and 11.8% of U.S. residents. This older </w:t>
      </w:r>
      <w:r w:rsidRPr="00EC396A">
        <w:lastRenderedPageBreak/>
        <w:t>age cohort is anticipated to increase in size by 2035, when 22.4% of Massachusetts is projected to be aged 65-years or older, compared to 13.8% in 2010.</w:t>
      </w:r>
      <w:r w:rsidRPr="00EC396A">
        <w:rPr>
          <w:rStyle w:val="FootnoteReference"/>
        </w:rPr>
        <w:footnoteReference w:id="6"/>
      </w:r>
      <w:r w:rsidRPr="00EC396A">
        <w:t xml:space="preserve"> </w:t>
      </w:r>
    </w:p>
    <w:p w14:paraId="45096152" w14:textId="56CC7CFA" w:rsidR="008B28E9" w:rsidRPr="00EC396A" w:rsidRDefault="008B28E9" w:rsidP="00EC396A">
      <w:pPr>
        <w:pStyle w:val="ListParagraph"/>
        <w:spacing w:before="120" w:after="120" w:line="240" w:lineRule="auto"/>
        <w:ind w:left="1440"/>
        <w:contextualSpacing w:val="0"/>
      </w:pPr>
      <w:r w:rsidRPr="00CC3898">
        <w:t>Massachusetts has an estimated median age of 40.1 years in 2022, compared to the US which has a median age of 38.9. Barnstable County has the highest median age of 55.6 years.</w:t>
      </w:r>
      <w:r w:rsidRPr="00CC3898">
        <w:rPr>
          <w:rStyle w:val="FootnoteReference"/>
        </w:rPr>
        <w:footnoteReference w:id="7"/>
      </w:r>
    </w:p>
    <w:p w14:paraId="35AFB828" w14:textId="77777777" w:rsidR="008B28E9" w:rsidRPr="00CC3898" w:rsidRDefault="008B28E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What are the comparable projections for Cape Cod/Barnstable County?</w:t>
      </w:r>
    </w:p>
    <w:p w14:paraId="629D0EAE" w14:textId="61C38D2B" w:rsidR="008B28E9" w:rsidRPr="00EC396A" w:rsidRDefault="008B28E9" w:rsidP="00EC396A">
      <w:pPr>
        <w:pStyle w:val="ListParagraph"/>
        <w:spacing w:before="120" w:after="120" w:line="240" w:lineRule="auto"/>
        <w:ind w:left="1440"/>
        <w:contextualSpacing w:val="0"/>
      </w:pPr>
      <w:r w:rsidRPr="00CC3898">
        <w:t>In 2035, 39.98% of Barnstable County is projected to be aged 65-years or older.</w:t>
      </w:r>
      <w:r w:rsidR="001F78D0">
        <w:rPr>
          <w:rStyle w:val="FootnoteReference"/>
        </w:rPr>
        <w:footnoteReference w:id="8"/>
      </w:r>
      <w:r w:rsidRPr="00CC3898">
        <w:t xml:space="preserve"> </w:t>
      </w:r>
    </w:p>
    <w:p w14:paraId="2EBFBE5B" w14:textId="77777777" w:rsidR="008B28E9" w:rsidRPr="00CC3898" w:rsidRDefault="008B28E9" w:rsidP="00EC396A">
      <w:pPr>
        <w:pStyle w:val="ListParagraph"/>
        <w:numPr>
          <w:ilvl w:val="1"/>
          <w:numId w:val="35"/>
        </w:numPr>
        <w:spacing w:before="120" w:after="120" w:line="240" w:lineRule="auto"/>
        <w:contextualSpacing w:val="0"/>
        <w:rPr>
          <w:rFonts w:cstheme="minorHAnsi"/>
          <w:b/>
          <w:bCs/>
        </w:rPr>
      </w:pPr>
      <w:r w:rsidRPr="00CC3898">
        <w:rPr>
          <w:rFonts w:cstheme="minorHAnsi"/>
          <w:b/>
          <w:bCs/>
        </w:rPr>
        <w:t>What are the overall population growth projections for MA and Cape Cod?</w:t>
      </w:r>
    </w:p>
    <w:p w14:paraId="0C685B2F" w14:textId="194F5B44" w:rsidR="008B28E9" w:rsidRPr="00CC3898" w:rsidRDefault="008B28E9" w:rsidP="00EC396A">
      <w:pPr>
        <w:pStyle w:val="ListParagraph"/>
        <w:spacing w:before="120" w:after="120" w:line="240" w:lineRule="auto"/>
        <w:ind w:left="1440"/>
        <w:contextualSpacing w:val="0"/>
        <w:rPr>
          <w:rFonts w:cstheme="minorHAnsi"/>
          <w:b/>
          <w:bCs/>
        </w:rPr>
      </w:pPr>
      <w:r w:rsidRPr="00CC3898">
        <w:t>In 2035, the population of Barnstable County is expected to reach 211,205 and the population of Massachusetts is expected to reach 7,244,970.</w:t>
      </w:r>
      <w:r w:rsidR="001F78D0">
        <w:rPr>
          <w:rStyle w:val="FootnoteReference"/>
        </w:rPr>
        <w:footnoteReference w:id="9"/>
      </w:r>
      <w:r w:rsidRPr="00CC3898">
        <w:t xml:space="preserve">  </w:t>
      </w:r>
    </w:p>
    <w:p w14:paraId="203A941D" w14:textId="77777777" w:rsidR="00583E52" w:rsidRDefault="00583E52">
      <w:pPr>
        <w:pStyle w:val="ListParagraph"/>
        <w:ind w:left="1440"/>
        <w:rPr>
          <w:rFonts w:cstheme="minorHAnsi"/>
          <w:sz w:val="24"/>
          <w:szCs w:val="24"/>
        </w:rPr>
      </w:pPr>
    </w:p>
    <w:p w14:paraId="0250DE8D" w14:textId="77777777" w:rsidR="00583E52" w:rsidRDefault="00583E52">
      <w:pPr>
        <w:rPr>
          <w:rFonts w:cstheme="minorHAnsi"/>
          <w:sz w:val="24"/>
          <w:szCs w:val="24"/>
        </w:rPr>
      </w:pPr>
    </w:p>
    <w:p w14:paraId="73767BAB" w14:textId="77777777" w:rsidR="00583E52" w:rsidRDefault="00583E52">
      <w:pPr>
        <w:rPr>
          <w:rFonts w:cstheme="minorHAnsi"/>
          <w:sz w:val="24"/>
          <w:szCs w:val="24"/>
        </w:rPr>
      </w:pPr>
    </w:p>
    <w:p w14:paraId="23735506" w14:textId="77777777" w:rsidR="00583E52" w:rsidRDefault="00583E52">
      <w:pPr>
        <w:rPr>
          <w:rFonts w:cstheme="minorHAnsi"/>
          <w:sz w:val="24"/>
          <w:szCs w:val="24"/>
        </w:rPr>
      </w:pPr>
    </w:p>
    <w:p w14:paraId="1A918200" w14:textId="77777777" w:rsidR="00583E52" w:rsidRDefault="00583E52">
      <w:pPr>
        <w:rPr>
          <w:rFonts w:cstheme="minorHAnsi"/>
          <w:sz w:val="24"/>
          <w:szCs w:val="24"/>
        </w:rPr>
      </w:pPr>
    </w:p>
    <w:sectPr w:rsidR="00583E52">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40D91" w14:textId="77777777" w:rsidR="00DE7217" w:rsidRDefault="00DE7217">
      <w:pPr>
        <w:spacing w:after="0" w:line="240" w:lineRule="auto"/>
      </w:pPr>
      <w:r>
        <w:separator/>
      </w:r>
    </w:p>
  </w:endnote>
  <w:endnote w:type="continuationSeparator" w:id="0">
    <w:p w14:paraId="26CA59AB" w14:textId="77777777" w:rsidR="00DE7217" w:rsidRDefault="00DE7217">
      <w:pPr>
        <w:spacing w:after="0" w:line="240" w:lineRule="auto"/>
      </w:pPr>
      <w:r>
        <w:continuationSeparator/>
      </w:r>
    </w:p>
  </w:endnote>
  <w:endnote w:type="continuationNotice" w:id="1">
    <w:p w14:paraId="696F564F" w14:textId="77777777" w:rsidR="00DE7217" w:rsidRDefault="00DE72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DFF4" w14:textId="77777777" w:rsidR="00DF0A3C" w:rsidRDefault="00DF0A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878915"/>
      <w:docPartObj>
        <w:docPartGallery w:val="Page Numbers (Bottom of Page)"/>
        <w:docPartUnique/>
      </w:docPartObj>
    </w:sdtPr>
    <w:sdtEndPr>
      <w:rPr>
        <w:noProof/>
      </w:rPr>
    </w:sdtEndPr>
    <w:sdtContent>
      <w:p w14:paraId="68D3A3CC" w14:textId="77777777" w:rsidR="00583E52" w:rsidRDefault="00CF545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3FBA7A" w14:textId="77777777" w:rsidR="00583E52" w:rsidRDefault="00583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ACDEB" w14:textId="77777777" w:rsidR="00DF0A3C" w:rsidRDefault="00DF0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05FE7" w14:textId="77777777" w:rsidR="00DE7217" w:rsidRDefault="00DE7217">
      <w:pPr>
        <w:spacing w:after="0" w:line="240" w:lineRule="auto"/>
      </w:pPr>
      <w:r>
        <w:separator/>
      </w:r>
    </w:p>
  </w:footnote>
  <w:footnote w:type="continuationSeparator" w:id="0">
    <w:p w14:paraId="1E23188D" w14:textId="77777777" w:rsidR="00DE7217" w:rsidRDefault="00DE7217">
      <w:pPr>
        <w:spacing w:after="0" w:line="240" w:lineRule="auto"/>
      </w:pPr>
      <w:r>
        <w:continuationSeparator/>
      </w:r>
    </w:p>
  </w:footnote>
  <w:footnote w:type="continuationNotice" w:id="1">
    <w:p w14:paraId="796B5B73" w14:textId="77777777" w:rsidR="00DE7217" w:rsidRDefault="00DE7217">
      <w:pPr>
        <w:spacing w:after="0" w:line="240" w:lineRule="auto"/>
      </w:pPr>
    </w:p>
  </w:footnote>
  <w:footnote w:id="2">
    <w:p w14:paraId="47768B61" w14:textId="1741CEE6" w:rsidR="00664F49" w:rsidRDefault="00664F49">
      <w:pPr>
        <w:pStyle w:val="FootnoteText"/>
      </w:pPr>
      <w:r>
        <w:rPr>
          <w:rStyle w:val="FootnoteReference"/>
        </w:rPr>
        <w:footnoteRef/>
      </w:r>
      <w:r>
        <w:t xml:space="preserve"> </w:t>
      </w:r>
      <w:r w:rsidR="0064050D">
        <w:t>Total volume</w:t>
      </w:r>
      <w:r>
        <w:t xml:space="preserve"> include</w:t>
      </w:r>
      <w:r w:rsidR="0064050D">
        <w:t>s</w:t>
      </w:r>
      <w:r>
        <w:t xml:space="preserve"> patients who register in the ED but leave before being seen by a provider. This population is about 2% of ED volume annually. </w:t>
      </w:r>
    </w:p>
  </w:footnote>
  <w:footnote w:id="3">
    <w:p w14:paraId="1A7EC71C" w14:textId="77777777" w:rsidR="008B28E9" w:rsidRPr="00F42320" w:rsidRDefault="008B28E9" w:rsidP="008B28E9">
      <w:pPr>
        <w:pStyle w:val="FootnoteText"/>
        <w:rPr>
          <w:sz w:val="18"/>
          <w:szCs w:val="18"/>
        </w:rPr>
      </w:pPr>
      <w:r w:rsidRPr="00F42320">
        <w:rPr>
          <w:rStyle w:val="FootnoteReference"/>
          <w:sz w:val="18"/>
          <w:szCs w:val="18"/>
        </w:rPr>
        <w:footnoteRef/>
      </w:r>
      <w:r w:rsidRPr="00F42320">
        <w:rPr>
          <w:sz w:val="18"/>
          <w:szCs w:val="18"/>
        </w:rPr>
        <w:t xml:space="preserve"> </w:t>
      </w:r>
      <w:hyperlink r:id="rId1" w:history="1">
        <w:r w:rsidRPr="00F42320">
          <w:rPr>
            <w:rStyle w:val="Hyperlink"/>
            <w:rFonts w:cstheme="minorHAnsi"/>
            <w:sz w:val="18"/>
            <w:szCs w:val="18"/>
          </w:rPr>
          <w:t>https://censusreporter.org/profiles/05000US25001-barnstable-county-ma/</w:t>
        </w:r>
      </w:hyperlink>
    </w:p>
  </w:footnote>
  <w:footnote w:id="4">
    <w:p w14:paraId="0CA93705" w14:textId="77777777" w:rsidR="008B28E9" w:rsidRPr="00DF0A3C" w:rsidRDefault="008B28E9" w:rsidP="008B28E9">
      <w:pPr>
        <w:spacing w:after="0" w:line="240" w:lineRule="auto"/>
        <w:rPr>
          <w:rFonts w:cstheme="minorHAnsi"/>
          <w:sz w:val="18"/>
          <w:szCs w:val="18"/>
        </w:rPr>
      </w:pPr>
      <w:r w:rsidRPr="00F42320">
        <w:rPr>
          <w:rStyle w:val="FootnoteReference"/>
          <w:sz w:val="18"/>
          <w:szCs w:val="18"/>
        </w:rPr>
        <w:footnoteRef/>
      </w:r>
      <w:r w:rsidRPr="00F42320">
        <w:rPr>
          <w:sz w:val="18"/>
          <w:szCs w:val="18"/>
        </w:rPr>
        <w:t xml:space="preserve"> </w:t>
      </w:r>
      <w:hyperlink r:id="rId2" w:history="1">
        <w:r w:rsidRPr="00F42320">
          <w:rPr>
            <w:rStyle w:val="Hyperlink"/>
            <w:rFonts w:cstheme="minorHAnsi"/>
            <w:sz w:val="18"/>
            <w:szCs w:val="18"/>
          </w:rPr>
          <w:t>https://censusreporter.org/profiles/04000US25-massachusetts/</w:t>
        </w:r>
      </w:hyperlink>
      <w:r w:rsidRPr="00DF0A3C">
        <w:rPr>
          <w:rFonts w:cstheme="minorHAnsi"/>
          <w:sz w:val="18"/>
          <w:szCs w:val="18"/>
        </w:rPr>
        <w:t xml:space="preserve"> </w:t>
      </w:r>
    </w:p>
  </w:footnote>
  <w:footnote w:id="5">
    <w:p w14:paraId="52B076FC" w14:textId="77777777" w:rsidR="008B28E9" w:rsidRPr="00DF0A3C" w:rsidRDefault="008B28E9" w:rsidP="008B28E9">
      <w:pPr>
        <w:spacing w:after="0" w:line="240" w:lineRule="auto"/>
        <w:rPr>
          <w:rFonts w:cstheme="minorHAnsi"/>
          <w:sz w:val="18"/>
          <w:szCs w:val="18"/>
        </w:rPr>
      </w:pPr>
      <w:r w:rsidRPr="00F42320">
        <w:rPr>
          <w:rStyle w:val="FootnoteReference"/>
          <w:sz w:val="18"/>
          <w:szCs w:val="18"/>
        </w:rPr>
        <w:footnoteRef/>
      </w:r>
      <w:r w:rsidRPr="00F42320">
        <w:rPr>
          <w:sz w:val="18"/>
          <w:szCs w:val="18"/>
        </w:rPr>
        <w:t xml:space="preserve"> </w:t>
      </w:r>
      <w:hyperlink r:id="rId3" w:history="1">
        <w:r w:rsidRPr="00F42320">
          <w:rPr>
            <w:rStyle w:val="Hyperlink"/>
            <w:rFonts w:cstheme="minorHAnsi"/>
            <w:sz w:val="18"/>
            <w:szCs w:val="18"/>
          </w:rPr>
          <w:t>https://censusreporter.org/profiles/01000US-united-states/</w:t>
        </w:r>
      </w:hyperlink>
      <w:r w:rsidRPr="00DF0A3C">
        <w:rPr>
          <w:rFonts w:cstheme="minorHAnsi"/>
          <w:sz w:val="18"/>
          <w:szCs w:val="18"/>
        </w:rPr>
        <w:t xml:space="preserve"> </w:t>
      </w:r>
    </w:p>
  </w:footnote>
  <w:footnote w:id="6">
    <w:p w14:paraId="56D175EA" w14:textId="77777777" w:rsidR="008B28E9" w:rsidRPr="001F78D0" w:rsidRDefault="008B28E9" w:rsidP="008B28E9">
      <w:pPr>
        <w:pStyle w:val="FootnoteText"/>
        <w:rPr>
          <w:sz w:val="18"/>
          <w:szCs w:val="18"/>
        </w:rPr>
      </w:pPr>
      <w:r w:rsidRPr="001F78D0">
        <w:rPr>
          <w:rStyle w:val="FootnoteReference"/>
          <w:sz w:val="18"/>
          <w:szCs w:val="18"/>
        </w:rPr>
        <w:footnoteRef/>
      </w:r>
      <w:r w:rsidRPr="001F78D0">
        <w:rPr>
          <w:sz w:val="18"/>
          <w:szCs w:val="18"/>
        </w:rPr>
        <w:t xml:space="preserve"> </w:t>
      </w:r>
      <w:hyperlink r:id="rId4" w:history="1">
        <w:r w:rsidRPr="001F78D0">
          <w:rPr>
            <w:rStyle w:val="Hyperlink"/>
            <w:sz w:val="18"/>
            <w:szCs w:val="18"/>
          </w:rPr>
          <w:t>https://donahue.umass.edu/business-groups/economic-public-policy-research/massachusetts-population-estimates-program/population-projections</w:t>
        </w:r>
      </w:hyperlink>
      <w:r w:rsidRPr="001F78D0">
        <w:rPr>
          <w:sz w:val="18"/>
          <w:szCs w:val="18"/>
        </w:rPr>
        <w:t xml:space="preserve"> </w:t>
      </w:r>
    </w:p>
  </w:footnote>
  <w:footnote w:id="7">
    <w:p w14:paraId="3CA58014" w14:textId="0766E277" w:rsidR="008B28E9" w:rsidRPr="001F78D0" w:rsidRDefault="008B28E9" w:rsidP="008B28E9">
      <w:pPr>
        <w:pStyle w:val="FootnoteText"/>
        <w:rPr>
          <w:sz w:val="18"/>
          <w:szCs w:val="18"/>
        </w:rPr>
      </w:pPr>
      <w:r w:rsidRPr="001F78D0">
        <w:rPr>
          <w:rStyle w:val="FootnoteReference"/>
          <w:sz w:val="18"/>
          <w:szCs w:val="18"/>
        </w:rPr>
        <w:footnoteRef/>
      </w:r>
      <w:r w:rsidRPr="001F78D0">
        <w:rPr>
          <w:sz w:val="18"/>
          <w:szCs w:val="18"/>
        </w:rPr>
        <w:t xml:space="preserve"> </w:t>
      </w:r>
      <w:hyperlink r:id="rId5" w:history="1">
        <w:r w:rsidRPr="002D3495">
          <w:rPr>
            <w:rStyle w:val="Hyperlink"/>
            <w:color w:val="auto"/>
            <w:sz w:val="18"/>
            <w:szCs w:val="18"/>
            <w:u w:val="none"/>
          </w:rPr>
          <w:t>Summary of U.S. Census Bureau’s 2022 County Characteristics Estimates for Massachusetts Counties</w:t>
        </w:r>
      </w:hyperlink>
      <w:r w:rsidRPr="002D3495">
        <w:rPr>
          <w:sz w:val="18"/>
          <w:szCs w:val="18"/>
        </w:rPr>
        <w:t xml:space="preserve">, </w:t>
      </w:r>
      <w:r w:rsidRPr="001F78D0">
        <w:rPr>
          <w:sz w:val="18"/>
          <w:szCs w:val="18"/>
        </w:rPr>
        <w:t xml:space="preserve">August 8, 2023. </w:t>
      </w:r>
      <w:hyperlink r:id="rId6" w:history="1">
        <w:r w:rsidRPr="001F78D0">
          <w:rPr>
            <w:rStyle w:val="Hyperlink"/>
            <w:sz w:val="18"/>
            <w:szCs w:val="18"/>
          </w:rPr>
          <w:t>https://donahue.umass.edu/business-groups/economic-public-policy-research/massachusetts-population-estimates-program/population-estimates-by-massachusetts-geography/by-county</w:t>
        </w:r>
      </w:hyperlink>
      <w:r w:rsidRPr="001F78D0">
        <w:rPr>
          <w:sz w:val="18"/>
          <w:szCs w:val="18"/>
        </w:rPr>
        <w:t xml:space="preserve"> </w:t>
      </w:r>
    </w:p>
  </w:footnote>
  <w:footnote w:id="8">
    <w:p w14:paraId="260B9B17" w14:textId="70AC33E2" w:rsidR="001F78D0" w:rsidRPr="001F78D0" w:rsidRDefault="001F78D0">
      <w:pPr>
        <w:pStyle w:val="FootnoteText"/>
        <w:rPr>
          <w:sz w:val="18"/>
          <w:szCs w:val="18"/>
        </w:rPr>
      </w:pPr>
      <w:r w:rsidRPr="001F78D0">
        <w:rPr>
          <w:rStyle w:val="FootnoteReference"/>
          <w:sz w:val="18"/>
          <w:szCs w:val="18"/>
        </w:rPr>
        <w:footnoteRef/>
      </w:r>
      <w:r w:rsidRPr="001F78D0">
        <w:rPr>
          <w:sz w:val="18"/>
          <w:szCs w:val="18"/>
        </w:rPr>
        <w:t xml:space="preserve"> </w:t>
      </w:r>
      <w:hyperlink r:id="rId7" w:history="1">
        <w:r w:rsidRPr="001F78D0">
          <w:rPr>
            <w:rStyle w:val="Hyperlink"/>
            <w:sz w:val="18"/>
            <w:szCs w:val="18"/>
          </w:rPr>
          <w:t>https://donahue.umass.edu/business-groups/economic-public-policy-research/massachusetts-population-estimates-program/population-projections</w:t>
        </w:r>
      </w:hyperlink>
      <w:r w:rsidRPr="001F78D0">
        <w:rPr>
          <w:sz w:val="18"/>
          <w:szCs w:val="18"/>
        </w:rPr>
        <w:t xml:space="preserve"> </w:t>
      </w:r>
    </w:p>
  </w:footnote>
  <w:footnote w:id="9">
    <w:p w14:paraId="146D046A" w14:textId="5F6462A1" w:rsidR="001F78D0" w:rsidRDefault="001F78D0">
      <w:pPr>
        <w:pStyle w:val="FootnoteText"/>
      </w:pPr>
      <w:r w:rsidRPr="001F78D0">
        <w:rPr>
          <w:rStyle w:val="FootnoteReference"/>
          <w:sz w:val="18"/>
          <w:szCs w:val="18"/>
        </w:rPr>
        <w:footnoteRef/>
      </w:r>
      <w:r w:rsidRPr="001F78D0">
        <w:rPr>
          <w:sz w:val="18"/>
          <w:szCs w:val="18"/>
        </w:rPr>
        <w:t xml:space="preserve"> </w:t>
      </w:r>
      <w:hyperlink r:id="rId8" w:history="1">
        <w:r w:rsidRPr="001F78D0">
          <w:rPr>
            <w:rStyle w:val="Hyperlink"/>
            <w:sz w:val="18"/>
            <w:szCs w:val="18"/>
          </w:rPr>
          <w:t>https://donahue.umass.edu/business-groups/economic-public-policy-research/massachusetts-population-estimates-program/population-projections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2E1F9" w14:textId="77777777" w:rsidR="00583E52" w:rsidRDefault="00000000">
    <w:pPr>
      <w:pStyle w:val="Header"/>
    </w:pPr>
    <w:r>
      <w:rPr>
        <w:noProof/>
      </w:rPr>
      <w:pict w14:anchorId="27886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5" o:spid="_x0000_s1026" type="#_x0000_t136" style="position:absolute;margin-left:0;margin-top:0;width:444.15pt;height:266.4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E33FF" w14:textId="77777777" w:rsidR="00583E52" w:rsidRDefault="00CF5459">
    <w:pPr>
      <w:pStyle w:val="Header"/>
      <w:jc w:val="center"/>
      <w:rPr>
        <w:b/>
        <w:bCs/>
        <w:sz w:val="24"/>
        <w:szCs w:val="24"/>
      </w:rPr>
    </w:pPr>
    <w:r>
      <w:rPr>
        <w:sz w:val="24"/>
        <w:szCs w:val="24"/>
      </w:rPr>
      <w:t>CCHC--22021416-HE</w:t>
    </w:r>
    <w:r>
      <w:rPr>
        <w:b/>
        <w:bCs/>
        <w:sz w:val="24"/>
        <w:szCs w:val="24"/>
      </w:rPr>
      <w:t xml:space="preserve"> </w:t>
    </w:r>
  </w:p>
  <w:p w14:paraId="1A0D8F29" w14:textId="77777777" w:rsidR="00583E52" w:rsidRDefault="00CF5459">
    <w:pPr>
      <w:pStyle w:val="Header"/>
      <w:jc w:val="center"/>
      <w:rPr>
        <w:sz w:val="24"/>
        <w:szCs w:val="24"/>
      </w:rPr>
    </w:pPr>
    <w:r>
      <w:rPr>
        <w:sz w:val="24"/>
        <w:szCs w:val="24"/>
      </w:rPr>
      <w:t>Amendment # CCHC23122109-AM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3C657" w14:textId="77777777" w:rsidR="00583E52" w:rsidRDefault="00000000">
    <w:pPr>
      <w:pStyle w:val="Header"/>
    </w:pPr>
    <w:r>
      <w:rPr>
        <w:noProof/>
      </w:rPr>
      <w:pict w14:anchorId="37948A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6484" o:spid="_x0000_s1025" type="#_x0000_t136" style="position:absolute;margin-left:0;margin-top:0;width:444.15pt;height:266.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2048"/>
    <w:multiLevelType w:val="hybridMultilevel"/>
    <w:tmpl w:val="6D70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00EDA"/>
    <w:multiLevelType w:val="hybridMultilevel"/>
    <w:tmpl w:val="E7DEAF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AF7EC0"/>
    <w:multiLevelType w:val="hybridMultilevel"/>
    <w:tmpl w:val="D81A184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BF0F9E"/>
    <w:multiLevelType w:val="hybridMultilevel"/>
    <w:tmpl w:val="3BA82AD2"/>
    <w:lvl w:ilvl="0" w:tplc="C0C86F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A9071D"/>
    <w:multiLevelType w:val="hybridMultilevel"/>
    <w:tmpl w:val="080AD0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2E637B8"/>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77D48"/>
    <w:multiLevelType w:val="hybridMultilevel"/>
    <w:tmpl w:val="EFE0F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9CD09B6"/>
    <w:multiLevelType w:val="hybridMultilevel"/>
    <w:tmpl w:val="0F1E72C8"/>
    <w:lvl w:ilvl="0" w:tplc="C3E49AEA">
      <w:start w:val="1"/>
      <w:numFmt w:val="lowerLetter"/>
      <w:lvlText w:val="%1."/>
      <w:lvlJc w:val="left"/>
      <w:pPr>
        <w:ind w:left="720" w:hanging="360"/>
      </w:pPr>
      <w:rPr>
        <w:rFonts w:asciiTheme="minorHAnsi" w:eastAsiaTheme="minorHAnsi" w:hAnsiTheme="minorHAnsi" w:cstheme="minorHAnsi"/>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C6B40"/>
    <w:multiLevelType w:val="hybridMultilevel"/>
    <w:tmpl w:val="147E6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D0C41"/>
    <w:multiLevelType w:val="hybridMultilevel"/>
    <w:tmpl w:val="8F1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166C0"/>
    <w:multiLevelType w:val="hybridMultilevel"/>
    <w:tmpl w:val="C05076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D19D3"/>
    <w:multiLevelType w:val="hybridMultilevel"/>
    <w:tmpl w:val="8FE0EBA0"/>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701037D"/>
    <w:multiLevelType w:val="hybridMultilevel"/>
    <w:tmpl w:val="0BE4AD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AC7226"/>
    <w:multiLevelType w:val="hybridMultilevel"/>
    <w:tmpl w:val="0F4A0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E792A"/>
    <w:multiLevelType w:val="hybridMultilevel"/>
    <w:tmpl w:val="6AFCB0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94ED2"/>
    <w:multiLevelType w:val="hybridMultilevel"/>
    <w:tmpl w:val="A75E2A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6A5BC3"/>
    <w:multiLevelType w:val="hybridMultilevel"/>
    <w:tmpl w:val="02FCE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953CC0"/>
    <w:multiLevelType w:val="hybridMultilevel"/>
    <w:tmpl w:val="3F2031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0A36C3"/>
    <w:multiLevelType w:val="hybridMultilevel"/>
    <w:tmpl w:val="2F3EEE18"/>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EE535A"/>
    <w:multiLevelType w:val="hybridMultilevel"/>
    <w:tmpl w:val="B436F6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B05379"/>
    <w:multiLevelType w:val="hybridMultilevel"/>
    <w:tmpl w:val="40B6E1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761319"/>
    <w:multiLevelType w:val="hybridMultilevel"/>
    <w:tmpl w:val="64BAB7A6"/>
    <w:lvl w:ilvl="0" w:tplc="04090019">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A9913E1"/>
    <w:multiLevelType w:val="hybridMultilevel"/>
    <w:tmpl w:val="BA92F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F1F74"/>
    <w:multiLevelType w:val="hybridMultilevel"/>
    <w:tmpl w:val="CC5C6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5260C3"/>
    <w:multiLevelType w:val="hybridMultilevel"/>
    <w:tmpl w:val="A30EE014"/>
    <w:lvl w:ilvl="0" w:tplc="F3521924">
      <w:start w:val="1"/>
      <w:numFmt w:val="lowerLetter"/>
      <w:lvlText w:val="%1."/>
      <w:lvlJc w:val="left"/>
      <w:pPr>
        <w:ind w:left="720" w:hanging="360"/>
      </w:pPr>
      <w:rPr>
        <w:rFonts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C42DB"/>
    <w:multiLevelType w:val="hybridMultilevel"/>
    <w:tmpl w:val="FF8C258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8A20EA3"/>
    <w:multiLevelType w:val="hybridMultilevel"/>
    <w:tmpl w:val="2F0C5E92"/>
    <w:lvl w:ilvl="0" w:tplc="82C403A8">
      <w:start w:val="1"/>
      <w:numFmt w:val="decimal"/>
      <w:lvlText w:val="%1."/>
      <w:lvlJc w:val="left"/>
      <w:pPr>
        <w:ind w:left="720" w:hanging="360"/>
      </w:pPr>
      <w:rPr>
        <w:rFonts w:hint="default"/>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07233B"/>
    <w:multiLevelType w:val="hybridMultilevel"/>
    <w:tmpl w:val="ABB0FE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515CE"/>
    <w:multiLevelType w:val="hybridMultilevel"/>
    <w:tmpl w:val="7E727F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9788F8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2208C"/>
    <w:multiLevelType w:val="hybridMultilevel"/>
    <w:tmpl w:val="C254B4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CF7196D"/>
    <w:multiLevelType w:val="hybridMultilevel"/>
    <w:tmpl w:val="6310DA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92383A"/>
    <w:multiLevelType w:val="hybridMultilevel"/>
    <w:tmpl w:val="08AC2134"/>
    <w:lvl w:ilvl="0" w:tplc="DA78F086">
      <w:start w:val="6"/>
      <w:numFmt w:val="decimal"/>
      <w:lvlText w:val="%1."/>
      <w:lvlJc w:val="left"/>
      <w:pPr>
        <w:ind w:left="720" w:hanging="360"/>
      </w:pPr>
      <w:rPr>
        <w:rFonts w:hint="default"/>
      </w:rPr>
    </w:lvl>
    <w:lvl w:ilvl="1" w:tplc="4198DB18">
      <w:start w:val="1"/>
      <w:numFmt w:val="lowerLetter"/>
      <w:lvlText w:val="%2."/>
      <w:lvlJc w:val="left"/>
      <w:pPr>
        <w:ind w:left="1440" w:hanging="360"/>
      </w:pPr>
      <w:rPr>
        <w:b/>
        <w:bCs/>
      </w:rPr>
    </w:lvl>
    <w:lvl w:ilvl="2" w:tplc="22EC3786">
      <w:start w:val="1"/>
      <w:numFmt w:val="decimal"/>
      <w:lvlText w:val="(%3)"/>
      <w:lvlJc w:val="left"/>
      <w:pPr>
        <w:ind w:left="2340" w:hanging="360"/>
      </w:pPr>
      <w:rPr>
        <w:rFonts w:hint="default"/>
        <w:b/>
        <w:bCs/>
        <w:color w:val="auto"/>
      </w:rPr>
    </w:lvl>
    <w:lvl w:ilvl="3" w:tplc="C43A6E66">
      <w:numFmt w:val="bullet"/>
      <w:lvlText w:val="-"/>
      <w:lvlJc w:val="left"/>
      <w:pPr>
        <w:ind w:left="2880" w:hanging="360"/>
      </w:pPr>
      <w:rPr>
        <w:rFonts w:ascii="Calibri" w:eastAsiaTheme="minorHAnsi" w:hAnsi="Calibri" w:cs="Calibri"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C85BAA"/>
    <w:multiLevelType w:val="hybridMultilevel"/>
    <w:tmpl w:val="9ED4B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0B4C97"/>
    <w:multiLevelType w:val="hybridMultilevel"/>
    <w:tmpl w:val="9FD63E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D4693B"/>
    <w:multiLevelType w:val="hybridMultilevel"/>
    <w:tmpl w:val="0450D3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BF1893"/>
    <w:multiLevelType w:val="hybridMultilevel"/>
    <w:tmpl w:val="E8627D2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ED45180"/>
    <w:multiLevelType w:val="hybridMultilevel"/>
    <w:tmpl w:val="C378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8099838">
    <w:abstractNumId w:val="22"/>
  </w:num>
  <w:num w:numId="2" w16cid:durableId="1468543717">
    <w:abstractNumId w:val="36"/>
  </w:num>
  <w:num w:numId="3" w16cid:durableId="190388193">
    <w:abstractNumId w:val="32"/>
  </w:num>
  <w:num w:numId="4" w16cid:durableId="2114669011">
    <w:abstractNumId w:val="9"/>
  </w:num>
  <w:num w:numId="5" w16cid:durableId="302851929">
    <w:abstractNumId w:val="26"/>
  </w:num>
  <w:num w:numId="6" w16cid:durableId="1288321478">
    <w:abstractNumId w:val="17"/>
  </w:num>
  <w:num w:numId="7" w16cid:durableId="797063927">
    <w:abstractNumId w:val="11"/>
  </w:num>
  <w:num w:numId="8" w16cid:durableId="1881016529">
    <w:abstractNumId w:val="7"/>
  </w:num>
  <w:num w:numId="9" w16cid:durableId="1996912582">
    <w:abstractNumId w:val="15"/>
  </w:num>
  <w:num w:numId="10" w16cid:durableId="2072539154">
    <w:abstractNumId w:val="24"/>
  </w:num>
  <w:num w:numId="11" w16cid:durableId="1364134965">
    <w:abstractNumId w:val="16"/>
  </w:num>
  <w:num w:numId="12" w16cid:durableId="367875062">
    <w:abstractNumId w:val="23"/>
  </w:num>
  <w:num w:numId="13" w16cid:durableId="125441556">
    <w:abstractNumId w:val="8"/>
  </w:num>
  <w:num w:numId="14" w16cid:durableId="1885751986">
    <w:abstractNumId w:val="12"/>
  </w:num>
  <w:num w:numId="15" w16cid:durableId="1792939229">
    <w:abstractNumId w:val="30"/>
  </w:num>
  <w:num w:numId="16" w16cid:durableId="604532392">
    <w:abstractNumId w:val="6"/>
  </w:num>
  <w:num w:numId="17" w16cid:durableId="1057122854">
    <w:abstractNumId w:val="13"/>
  </w:num>
  <w:num w:numId="18" w16cid:durableId="1531530318">
    <w:abstractNumId w:val="5"/>
  </w:num>
  <w:num w:numId="19" w16cid:durableId="1238516371">
    <w:abstractNumId w:val="4"/>
  </w:num>
  <w:num w:numId="20" w16cid:durableId="268662944">
    <w:abstractNumId w:val="34"/>
  </w:num>
  <w:num w:numId="21" w16cid:durableId="440998218">
    <w:abstractNumId w:val="27"/>
  </w:num>
  <w:num w:numId="22" w16cid:durableId="1652557165">
    <w:abstractNumId w:val="33"/>
  </w:num>
  <w:num w:numId="23" w16cid:durableId="1109738961">
    <w:abstractNumId w:val="35"/>
  </w:num>
  <w:num w:numId="24" w16cid:durableId="1799955859">
    <w:abstractNumId w:val="18"/>
  </w:num>
  <w:num w:numId="25" w16cid:durableId="989596112">
    <w:abstractNumId w:val="20"/>
  </w:num>
  <w:num w:numId="26" w16cid:durableId="1262909786">
    <w:abstractNumId w:val="19"/>
  </w:num>
  <w:num w:numId="27" w16cid:durableId="1690066355">
    <w:abstractNumId w:val="0"/>
  </w:num>
  <w:num w:numId="28" w16cid:durableId="1251744159">
    <w:abstractNumId w:val="1"/>
  </w:num>
  <w:num w:numId="29" w16cid:durableId="1619026071">
    <w:abstractNumId w:val="25"/>
  </w:num>
  <w:num w:numId="30" w16cid:durableId="887179546">
    <w:abstractNumId w:val="2"/>
  </w:num>
  <w:num w:numId="31" w16cid:durableId="147475889">
    <w:abstractNumId w:val="29"/>
  </w:num>
  <w:num w:numId="32" w16cid:durableId="1240944079">
    <w:abstractNumId w:val="10"/>
  </w:num>
  <w:num w:numId="33" w16cid:durableId="381901542">
    <w:abstractNumId w:val="14"/>
  </w:num>
  <w:num w:numId="34" w16cid:durableId="1678075109">
    <w:abstractNumId w:val="3"/>
  </w:num>
  <w:num w:numId="35" w16cid:durableId="1068959890">
    <w:abstractNumId w:val="28"/>
  </w:num>
  <w:num w:numId="36" w16cid:durableId="881864203">
    <w:abstractNumId w:val="21"/>
  </w:num>
  <w:num w:numId="37" w16cid:durableId="131363460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E52"/>
    <w:rsid w:val="0002256C"/>
    <w:rsid w:val="00067E4A"/>
    <w:rsid w:val="001D4D53"/>
    <w:rsid w:val="001F78D0"/>
    <w:rsid w:val="002D3495"/>
    <w:rsid w:val="002F1424"/>
    <w:rsid w:val="003F796F"/>
    <w:rsid w:val="0043395F"/>
    <w:rsid w:val="00583E52"/>
    <w:rsid w:val="00594AAF"/>
    <w:rsid w:val="0060456A"/>
    <w:rsid w:val="0064050D"/>
    <w:rsid w:val="00664F49"/>
    <w:rsid w:val="00780AC8"/>
    <w:rsid w:val="0079356A"/>
    <w:rsid w:val="00872306"/>
    <w:rsid w:val="008B28E9"/>
    <w:rsid w:val="009072AC"/>
    <w:rsid w:val="00974F9C"/>
    <w:rsid w:val="00AA1000"/>
    <w:rsid w:val="00AD5DAA"/>
    <w:rsid w:val="00B24163"/>
    <w:rsid w:val="00B56B72"/>
    <w:rsid w:val="00BE6294"/>
    <w:rsid w:val="00BE6454"/>
    <w:rsid w:val="00C20571"/>
    <w:rsid w:val="00C53BAA"/>
    <w:rsid w:val="00C81DE6"/>
    <w:rsid w:val="00CC3898"/>
    <w:rsid w:val="00CF5459"/>
    <w:rsid w:val="00D13218"/>
    <w:rsid w:val="00D2283C"/>
    <w:rsid w:val="00DE212A"/>
    <w:rsid w:val="00DE7217"/>
    <w:rsid w:val="00DF0A3C"/>
    <w:rsid w:val="00E2015E"/>
    <w:rsid w:val="00EC396A"/>
    <w:rsid w:val="00F86049"/>
    <w:rsid w:val="00F90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E5205"/>
  <w15:chartTrackingRefBased/>
  <w15:docId w15:val="{E83D3C62-79E5-4C43-B170-D3FC06CBD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NoSpacing">
    <w:name w:val="No Spacing"/>
    <w:uiPriority w:val="1"/>
    <w:qFormat/>
    <w:pPr>
      <w:spacing w:after="0" w:line="240" w:lineRule="auto"/>
    </w:pPr>
  </w:style>
  <w:style w:type="paragraph" w:styleId="ListParagraph">
    <w:name w:val="List Paragraph"/>
    <w:basedOn w:val="Normal"/>
    <w:uiPriority w:val="1"/>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Hyperlink">
    <w:name w:val="Hyperlink"/>
    <w:basedOn w:val="DefaultParagraphFont"/>
    <w:uiPriority w:val="99"/>
    <w:unhideWhenUsed/>
    <w:rPr>
      <w:color w:val="0563C1" w:themeColor="hyperlink"/>
      <w:u w:val="single"/>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Pr>
      <w:rFonts w:ascii="Calibri" w:eastAsia="Calibri" w:hAnsi="Calibri" w:cs="Calibri"/>
    </w:rPr>
  </w:style>
  <w:style w:type="paragraph" w:customStyle="1" w:styleId="TableParagraph">
    <w:name w:val="Table Paragraph"/>
    <w:basedOn w:val="Normal"/>
    <w:uiPriority w:val="1"/>
    <w:qFormat/>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pPr>
      <w:spacing w:after="0" w:line="240" w:lineRule="auto"/>
    </w:pPr>
    <w:rPr>
      <w:rFonts w:ascii="Calibri" w:hAnsi="Calibri" w:cs="Calibri"/>
    </w:rPr>
  </w:style>
  <w:style w:type="character" w:styleId="UnresolvedMention">
    <w:name w:val="Unresolved Mention"/>
    <w:basedOn w:val="DefaultParagraphFont"/>
    <w:uiPriority w:val="99"/>
    <w:semiHidden/>
    <w:unhideWhenUsed/>
    <w:rPr>
      <w:color w:val="605E5C"/>
      <w:shd w:val="clear" w:color="auto" w:fill="E1DFDD"/>
    </w:rPr>
  </w:style>
  <w:style w:type="paragraph" w:styleId="EndnoteText">
    <w:name w:val="endnote text"/>
    <w:basedOn w:val="Normal"/>
    <w:link w:val="EndnoteTextChar"/>
    <w:uiPriority w:val="99"/>
    <w:unhideWhenUsed/>
    <w:pPr>
      <w:spacing w:after="0" w:line="240" w:lineRule="auto"/>
    </w:pPr>
    <w:rPr>
      <w:sz w:val="20"/>
      <w:szCs w:val="20"/>
    </w:rPr>
  </w:style>
  <w:style w:type="character" w:customStyle="1" w:styleId="EndnoteTextChar">
    <w:name w:val="Endnote Text Char"/>
    <w:basedOn w:val="DefaultParagraphFont"/>
    <w:link w:val="EndnoteText"/>
    <w:uiPriority w:val="99"/>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customStyle="1" w:styleId="Default">
    <w:name w:val="Default"/>
    <w:basedOn w:val="Normal"/>
    <w:rsid w:val="002F1424"/>
    <w:pPr>
      <w:autoSpaceDE w:val="0"/>
      <w:autoSpaceDN w:val="0"/>
      <w:spacing w:after="0" w:line="240" w:lineRule="auto"/>
    </w:pPr>
    <w:rPr>
      <w:rFonts w:ascii="Calibri" w:hAnsi="Calibri" w:cs="Calibri"/>
      <w:color w:val="000000"/>
      <w:sz w:val="24"/>
      <w:szCs w:val="24"/>
      <w14:ligatures w14:val="standardContextual"/>
    </w:rPr>
  </w:style>
  <w:style w:type="character" w:customStyle="1" w:styleId="cf01">
    <w:name w:val="cf01"/>
    <w:basedOn w:val="DefaultParagraphFont"/>
    <w:rsid w:val="00EC396A"/>
    <w:rPr>
      <w:rFonts w:ascii="Segoe UI" w:hAnsi="Segoe UI" w:cs="Segoe UI" w:hint="default"/>
      <w:sz w:val="18"/>
      <w:szCs w:val="18"/>
    </w:rPr>
  </w:style>
  <w:style w:type="character" w:styleId="FollowedHyperlink">
    <w:name w:val="FollowedHyperlink"/>
    <w:basedOn w:val="DefaultParagraphFont"/>
    <w:uiPriority w:val="99"/>
    <w:semiHidden/>
    <w:unhideWhenUsed/>
    <w:rsid w:val="001F78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431287">
      <w:bodyDiv w:val="1"/>
      <w:marLeft w:val="0"/>
      <w:marRight w:val="0"/>
      <w:marTop w:val="0"/>
      <w:marBottom w:val="0"/>
      <w:divBdr>
        <w:top w:val="none" w:sz="0" w:space="0" w:color="auto"/>
        <w:left w:val="none" w:sz="0" w:space="0" w:color="auto"/>
        <w:bottom w:val="none" w:sz="0" w:space="0" w:color="auto"/>
        <w:right w:val="none" w:sz="0" w:space="0" w:color="auto"/>
      </w:divBdr>
    </w:div>
    <w:div w:id="513031321">
      <w:bodyDiv w:val="1"/>
      <w:marLeft w:val="0"/>
      <w:marRight w:val="0"/>
      <w:marTop w:val="0"/>
      <w:marBottom w:val="0"/>
      <w:divBdr>
        <w:top w:val="none" w:sz="0" w:space="0" w:color="auto"/>
        <w:left w:val="none" w:sz="0" w:space="0" w:color="auto"/>
        <w:bottom w:val="none" w:sz="0" w:space="0" w:color="auto"/>
        <w:right w:val="none" w:sz="0" w:space="0" w:color="auto"/>
      </w:divBdr>
    </w:div>
    <w:div w:id="566721004">
      <w:bodyDiv w:val="1"/>
      <w:marLeft w:val="0"/>
      <w:marRight w:val="0"/>
      <w:marTop w:val="0"/>
      <w:marBottom w:val="0"/>
      <w:divBdr>
        <w:top w:val="none" w:sz="0" w:space="0" w:color="auto"/>
        <w:left w:val="none" w:sz="0" w:space="0" w:color="auto"/>
        <w:bottom w:val="none" w:sz="0" w:space="0" w:color="auto"/>
        <w:right w:val="none" w:sz="0" w:space="0" w:color="auto"/>
      </w:divBdr>
    </w:div>
    <w:div w:id="1102413742">
      <w:bodyDiv w:val="1"/>
      <w:marLeft w:val="0"/>
      <w:marRight w:val="0"/>
      <w:marTop w:val="0"/>
      <w:marBottom w:val="0"/>
      <w:divBdr>
        <w:top w:val="none" w:sz="0" w:space="0" w:color="auto"/>
        <w:left w:val="none" w:sz="0" w:space="0" w:color="auto"/>
        <w:bottom w:val="none" w:sz="0" w:space="0" w:color="auto"/>
        <w:right w:val="none" w:sz="0" w:space="0" w:color="auto"/>
      </w:divBdr>
    </w:div>
    <w:div w:id="1478499901">
      <w:bodyDiv w:val="1"/>
      <w:marLeft w:val="0"/>
      <w:marRight w:val="0"/>
      <w:marTop w:val="0"/>
      <w:marBottom w:val="0"/>
      <w:divBdr>
        <w:top w:val="none" w:sz="0" w:space="0" w:color="auto"/>
        <w:left w:val="none" w:sz="0" w:space="0" w:color="auto"/>
        <w:bottom w:val="none" w:sz="0" w:space="0" w:color="auto"/>
        <w:right w:val="none" w:sz="0" w:space="0" w:color="auto"/>
      </w:divBdr>
    </w:div>
    <w:div w:id="1575435056">
      <w:bodyDiv w:val="1"/>
      <w:marLeft w:val="0"/>
      <w:marRight w:val="0"/>
      <w:marTop w:val="0"/>
      <w:marBottom w:val="0"/>
      <w:divBdr>
        <w:top w:val="none" w:sz="0" w:space="0" w:color="auto"/>
        <w:left w:val="none" w:sz="0" w:space="0" w:color="auto"/>
        <w:bottom w:val="none" w:sz="0" w:space="0" w:color="auto"/>
        <w:right w:val="none" w:sz="0" w:space="0" w:color="auto"/>
      </w:divBdr>
    </w:div>
    <w:div w:id="1768768947">
      <w:bodyDiv w:val="1"/>
      <w:marLeft w:val="0"/>
      <w:marRight w:val="0"/>
      <w:marTop w:val="0"/>
      <w:marBottom w:val="0"/>
      <w:divBdr>
        <w:top w:val="none" w:sz="0" w:space="0" w:color="auto"/>
        <w:left w:val="none" w:sz="0" w:space="0" w:color="auto"/>
        <w:bottom w:val="none" w:sz="0" w:space="0" w:color="auto"/>
        <w:right w:val="none" w:sz="0" w:space="0" w:color="auto"/>
      </w:divBdr>
    </w:div>
    <w:div w:id="1924417191">
      <w:bodyDiv w:val="1"/>
      <w:marLeft w:val="0"/>
      <w:marRight w:val="0"/>
      <w:marTop w:val="0"/>
      <w:marBottom w:val="0"/>
      <w:divBdr>
        <w:top w:val="none" w:sz="0" w:space="0" w:color="auto"/>
        <w:left w:val="none" w:sz="0" w:space="0" w:color="auto"/>
        <w:bottom w:val="none" w:sz="0" w:space="0" w:color="auto"/>
        <w:right w:val="none" w:sz="0" w:space="0" w:color="auto"/>
      </w:divBdr>
    </w:div>
    <w:div w:id="2036884851">
      <w:bodyDiv w:val="1"/>
      <w:marLeft w:val="0"/>
      <w:marRight w:val="0"/>
      <w:marTop w:val="0"/>
      <w:marBottom w:val="0"/>
      <w:divBdr>
        <w:top w:val="none" w:sz="0" w:space="0" w:color="auto"/>
        <w:left w:val="none" w:sz="0" w:space="0" w:color="auto"/>
        <w:bottom w:val="none" w:sz="0" w:space="0" w:color="auto"/>
        <w:right w:val="none" w:sz="0" w:space="0" w:color="auto"/>
      </w:divBdr>
    </w:div>
    <w:div w:id="21032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H.DON@State.MA.U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bmchealthservres.biomedcentral.com/articles/10.1186/s12913-020-5023-z" TargetMode="External"/><Relationship Id="rId4" Type="http://schemas.openxmlformats.org/officeDocument/2006/relationships/settings" Target="settings.xml"/><Relationship Id="rId9" Type="http://schemas.openxmlformats.org/officeDocument/2006/relationships/hyperlink" Target="https://bmchealthservres.biomedcentral.com/articles/10.1186/s12913-020-5023-z"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donahue.umass.edu/business-groups/economic-public-policy-research/massachusetts-population-estimates-program/population-projections" TargetMode="External"/><Relationship Id="rId3" Type="http://schemas.openxmlformats.org/officeDocument/2006/relationships/hyperlink" Target="https://censusreporter.org/profiles/01000US-united-states/" TargetMode="External"/><Relationship Id="rId7" Type="http://schemas.openxmlformats.org/officeDocument/2006/relationships/hyperlink" Target="https://donahue.umass.edu/business-groups/economic-public-policy-research/massachusetts-population-estimates-program/population-projections" TargetMode="External"/><Relationship Id="rId2" Type="http://schemas.openxmlformats.org/officeDocument/2006/relationships/hyperlink" Target="https://censusreporter.org/profiles/04000US25-massachusetts/" TargetMode="External"/><Relationship Id="rId1" Type="http://schemas.openxmlformats.org/officeDocument/2006/relationships/hyperlink" Target="https://censusreporter.org/profiles/05000US25001-barnstable-county-ma/" TargetMode="External"/><Relationship Id="rId6" Type="http://schemas.openxmlformats.org/officeDocument/2006/relationships/hyperlink" Target="https://donahue.umass.edu/business-groups/economic-public-policy-research/massachusetts-population-estimates-program/population-estimates-by-massachusetts-geography/by-county" TargetMode="External"/><Relationship Id="rId5" Type="http://schemas.openxmlformats.org/officeDocument/2006/relationships/hyperlink" Target="https://donahue.umass.edu/business-groups/economic-public-policy-research/massachusetts-population-estimates-program/population-estimates-by-massachusetts-geography/by-county" TargetMode="External"/><Relationship Id="rId4" Type="http://schemas.openxmlformats.org/officeDocument/2006/relationships/hyperlink" Target="https://donahue.umass.edu/business-groups/economic-public-policy-research/massachusetts-population-estimates-program/population-proj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2E8A9-1586-4B3F-9C08-261DD5DC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dc:creator>
  <cp:keywords/>
  <dc:description/>
  <cp:lastModifiedBy>Marks, Brett (DPH)</cp:lastModifiedBy>
  <cp:revision>13</cp:revision>
  <cp:lastPrinted>2024-02-26T17:07:00Z</cp:lastPrinted>
  <dcterms:created xsi:type="dcterms:W3CDTF">2024-02-29T19:06:00Z</dcterms:created>
  <dcterms:modified xsi:type="dcterms:W3CDTF">2024-03-15T14:25:00Z</dcterms:modified>
</cp:coreProperties>
</file>