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FAA26" w14:textId="56A18505" w:rsidR="00AC0A51" w:rsidRPr="007C60C5" w:rsidRDefault="00AC0A51" w:rsidP="00BA0F80">
      <w:pPr>
        <w:spacing w:after="160" w:line="259" w:lineRule="auto"/>
        <w:ind w:left="720" w:hanging="360"/>
        <w:jc w:val="center"/>
        <w:rPr>
          <w:rFonts w:cs="Times New Roman"/>
          <w:b/>
          <w:bCs/>
        </w:rPr>
      </w:pPr>
      <w:r w:rsidRPr="007C60C5">
        <w:rPr>
          <w:rFonts w:cs="Times New Roman"/>
          <w:b/>
          <w:bCs/>
        </w:rPr>
        <w:t>Dana-Farber Cancer Institute, Inc.</w:t>
      </w:r>
    </w:p>
    <w:p w14:paraId="4EED34EB" w14:textId="416DE0D3" w:rsidR="00AC0A51" w:rsidRPr="007C60C5" w:rsidRDefault="00AC0A51" w:rsidP="00BA0F80">
      <w:pPr>
        <w:spacing w:after="160" w:line="259" w:lineRule="auto"/>
        <w:ind w:left="720" w:hanging="360"/>
        <w:jc w:val="center"/>
        <w:rPr>
          <w:rFonts w:cs="Times New Roman"/>
          <w:b/>
          <w:bCs/>
        </w:rPr>
      </w:pPr>
      <w:r w:rsidRPr="007C60C5">
        <w:rPr>
          <w:rFonts w:cs="Times New Roman"/>
          <w:b/>
          <w:bCs/>
        </w:rPr>
        <w:t>DON# DFCI-23040915</w:t>
      </w:r>
    </w:p>
    <w:p w14:paraId="05B79740" w14:textId="7C3402C2" w:rsidR="00335AF4" w:rsidRPr="007C60C5" w:rsidRDefault="00335AF4" w:rsidP="00335AF4">
      <w:pPr>
        <w:jc w:val="center"/>
        <w:rPr>
          <w:rFonts w:cs="Times New Roman"/>
          <w:b/>
          <w:bCs/>
        </w:rPr>
      </w:pPr>
      <w:r w:rsidRPr="007C60C5">
        <w:rPr>
          <w:rFonts w:cs="Times New Roman"/>
          <w:b/>
          <w:bCs/>
        </w:rPr>
        <w:t>APPLICANT QUESTIONS</w:t>
      </w:r>
    </w:p>
    <w:p w14:paraId="725AD944" w14:textId="77777777" w:rsidR="00335AF4" w:rsidRPr="007C60C5" w:rsidRDefault="00335AF4" w:rsidP="00335AF4">
      <w:pPr>
        <w:jc w:val="center"/>
        <w:rPr>
          <w:rFonts w:cs="Times New Roman"/>
          <w:b/>
          <w:bCs/>
        </w:rPr>
      </w:pPr>
    </w:p>
    <w:p w14:paraId="063B2CA9" w14:textId="4F20F850" w:rsidR="00424557" w:rsidRDefault="00424557" w:rsidP="00424557">
      <w:pPr>
        <w:jc w:val="center"/>
        <w:rPr>
          <w:rStyle w:val="Hyperlink"/>
          <w:rFonts w:cstheme="minorHAnsi"/>
        </w:rPr>
      </w:pPr>
      <w:r w:rsidRPr="00EA5152">
        <w:rPr>
          <w:rFonts w:cstheme="minorHAnsi"/>
          <w:i/>
          <w:iCs/>
        </w:rPr>
        <w:t xml:space="preserve">Responses should be sent to </w:t>
      </w:r>
      <w:proofErr w:type="spellStart"/>
      <w:r w:rsidRPr="00EA5152">
        <w:rPr>
          <w:rFonts w:cstheme="minorHAnsi"/>
          <w:i/>
          <w:iCs/>
        </w:rPr>
        <w:t>DoN</w:t>
      </w:r>
      <w:proofErr w:type="spellEnd"/>
      <w:r w:rsidRPr="00EA5152">
        <w:rPr>
          <w:rFonts w:cstheme="minorHAnsi"/>
          <w:i/>
          <w:iCs/>
        </w:rPr>
        <w:t xml:space="preserve"> staff at </w:t>
      </w:r>
      <w:hyperlink r:id="rId7" w:history="1">
        <w:r w:rsidRPr="00EA5152">
          <w:rPr>
            <w:rStyle w:val="Hyperlink"/>
            <w:rFonts w:cstheme="minorHAnsi"/>
          </w:rPr>
          <w:t>DPH.DON@State.MA.US</w:t>
        </w:r>
      </w:hyperlink>
    </w:p>
    <w:p w14:paraId="3EE2F7AB" w14:textId="77777777" w:rsidR="00424557" w:rsidRPr="00EA5152" w:rsidRDefault="00424557" w:rsidP="00424557">
      <w:pPr>
        <w:jc w:val="center"/>
        <w:rPr>
          <w:rFonts w:cstheme="minorHAnsi"/>
        </w:rPr>
      </w:pPr>
    </w:p>
    <w:tbl>
      <w:tblPr>
        <w:tblStyle w:val="TableGrid"/>
        <w:tblW w:w="0" w:type="auto"/>
        <w:jc w:val="center"/>
        <w:tblLook w:val="04A0" w:firstRow="1" w:lastRow="0" w:firstColumn="1" w:lastColumn="0" w:noHBand="0" w:noVBand="1"/>
      </w:tblPr>
      <w:tblGrid>
        <w:gridCol w:w="9350"/>
      </w:tblGrid>
      <w:tr w:rsidR="00424557" w:rsidRPr="00265166" w14:paraId="1EBC5036" w14:textId="77777777" w:rsidTr="00181617">
        <w:trPr>
          <w:tblHeader/>
          <w:jc w:val="center"/>
        </w:trPr>
        <w:tc>
          <w:tcPr>
            <w:tcW w:w="9350" w:type="dxa"/>
          </w:tcPr>
          <w:p w14:paraId="272CFF20" w14:textId="77777777" w:rsidR="00424557" w:rsidRPr="00265166" w:rsidRDefault="00424557" w:rsidP="00181617">
            <w:pPr>
              <w:rPr>
                <w:rFonts w:ascii="Times New Roman" w:hAnsi="Times New Roman" w:cs="Times New Roman"/>
                <w:bCs/>
                <w:sz w:val="24"/>
                <w:szCs w:val="24"/>
              </w:rPr>
            </w:pPr>
            <w:r w:rsidRPr="00265166">
              <w:rPr>
                <w:rFonts w:ascii="Times New Roman" w:hAnsi="Times New Roman" w:cs="Times New Roman"/>
                <w:bCs/>
                <w:sz w:val="24"/>
                <w:szCs w:val="24"/>
              </w:rPr>
              <w:t xml:space="preserve">While you may submit each answer as available, </w:t>
            </w:r>
            <w:proofErr w:type="gramStart"/>
            <w:r w:rsidRPr="00265166">
              <w:rPr>
                <w:rFonts w:ascii="Times New Roman" w:hAnsi="Times New Roman" w:cs="Times New Roman"/>
                <w:bCs/>
                <w:sz w:val="24"/>
                <w:szCs w:val="24"/>
              </w:rPr>
              <w:t>please</w:t>
            </w:r>
            <w:proofErr w:type="gramEnd"/>
            <w:r w:rsidRPr="00265166">
              <w:rPr>
                <w:rFonts w:ascii="Times New Roman" w:hAnsi="Times New Roman" w:cs="Times New Roman"/>
                <w:bCs/>
                <w:sz w:val="24"/>
                <w:szCs w:val="24"/>
              </w:rPr>
              <w:t xml:space="preserve"> </w:t>
            </w:r>
          </w:p>
          <w:p w14:paraId="04443D27" w14:textId="77777777" w:rsidR="00424557" w:rsidRPr="00265166" w:rsidRDefault="00424557" w:rsidP="00424557">
            <w:pPr>
              <w:pStyle w:val="ListParagraph"/>
              <w:numPr>
                <w:ilvl w:val="0"/>
                <w:numId w:val="11"/>
              </w:numPr>
              <w:rPr>
                <w:rFonts w:ascii="Times New Roman" w:hAnsi="Times New Roman" w:cs="Times New Roman"/>
                <w:bCs/>
                <w:sz w:val="24"/>
                <w:szCs w:val="24"/>
              </w:rPr>
            </w:pPr>
            <w:r w:rsidRPr="00265166">
              <w:rPr>
                <w:rFonts w:ascii="Times New Roman" w:hAnsi="Times New Roman" w:cs="Times New Roman"/>
                <w:bCs/>
                <w:sz w:val="24"/>
                <w:szCs w:val="24"/>
              </w:rPr>
              <w:t xml:space="preserve">List question number and question for each answer you </w:t>
            </w:r>
            <w:proofErr w:type="gramStart"/>
            <w:r w:rsidRPr="00265166">
              <w:rPr>
                <w:rFonts w:ascii="Times New Roman" w:hAnsi="Times New Roman" w:cs="Times New Roman"/>
                <w:bCs/>
                <w:sz w:val="24"/>
                <w:szCs w:val="24"/>
              </w:rPr>
              <w:t>provide</w:t>
            </w:r>
            <w:proofErr w:type="gramEnd"/>
            <w:r w:rsidRPr="00265166">
              <w:rPr>
                <w:rFonts w:ascii="Times New Roman" w:hAnsi="Times New Roman" w:cs="Times New Roman"/>
                <w:bCs/>
                <w:sz w:val="24"/>
                <w:szCs w:val="24"/>
              </w:rPr>
              <w:t xml:space="preserve"> </w:t>
            </w:r>
          </w:p>
          <w:p w14:paraId="48EAC26E" w14:textId="77777777" w:rsidR="00424557" w:rsidRPr="00265166" w:rsidRDefault="00424557" w:rsidP="00424557">
            <w:pPr>
              <w:pStyle w:val="ListParagraph"/>
              <w:numPr>
                <w:ilvl w:val="0"/>
                <w:numId w:val="11"/>
              </w:numPr>
              <w:rPr>
                <w:rFonts w:ascii="Times New Roman" w:hAnsi="Times New Roman" w:cs="Times New Roman"/>
                <w:bCs/>
                <w:sz w:val="24"/>
                <w:szCs w:val="24"/>
              </w:rPr>
            </w:pPr>
            <w:r w:rsidRPr="00265166">
              <w:rPr>
                <w:rFonts w:ascii="Times New Roman" w:hAnsi="Times New Roman" w:cs="Times New Roman"/>
                <w:bCs/>
                <w:sz w:val="24"/>
                <w:szCs w:val="24"/>
              </w:rPr>
              <w:t xml:space="preserve">Submit responses as a separate word document, using the above application title and number as a running header and page numbers in the </w:t>
            </w:r>
            <w:proofErr w:type="gramStart"/>
            <w:r w:rsidRPr="00265166">
              <w:rPr>
                <w:rFonts w:ascii="Times New Roman" w:hAnsi="Times New Roman" w:cs="Times New Roman"/>
                <w:bCs/>
                <w:sz w:val="24"/>
                <w:szCs w:val="24"/>
              </w:rPr>
              <w:t>footer</w:t>
            </w:r>
            <w:proofErr w:type="gramEnd"/>
            <w:r w:rsidRPr="00265166">
              <w:rPr>
                <w:rFonts w:ascii="Times New Roman" w:hAnsi="Times New Roman" w:cs="Times New Roman"/>
                <w:bCs/>
                <w:sz w:val="24"/>
                <w:szCs w:val="24"/>
              </w:rPr>
              <w:t xml:space="preserve"> </w:t>
            </w:r>
          </w:p>
          <w:p w14:paraId="7131D7D1" w14:textId="77777777" w:rsidR="00424557" w:rsidRPr="00265166" w:rsidRDefault="00424557" w:rsidP="00424557">
            <w:pPr>
              <w:pStyle w:val="ListParagraph"/>
              <w:numPr>
                <w:ilvl w:val="0"/>
                <w:numId w:val="11"/>
              </w:numPr>
              <w:rPr>
                <w:rFonts w:ascii="Times New Roman" w:hAnsi="Times New Roman" w:cs="Times New Roman"/>
                <w:bCs/>
                <w:sz w:val="24"/>
                <w:szCs w:val="24"/>
              </w:rPr>
            </w:pPr>
            <w:r w:rsidRPr="00265166">
              <w:rPr>
                <w:rFonts w:ascii="Times New Roman" w:hAnsi="Times New Roman" w:cs="Times New Roman"/>
                <w:bCs/>
                <w:sz w:val="24"/>
                <w:szCs w:val="24"/>
              </w:rPr>
              <w:t>We accept answers on a rolling basis however, when providing the final answers, submit all questions and answers in order in one final document.</w:t>
            </w:r>
          </w:p>
          <w:p w14:paraId="20314F4F" w14:textId="77777777" w:rsidR="00424557" w:rsidRPr="00265166" w:rsidRDefault="00424557" w:rsidP="00424557">
            <w:pPr>
              <w:pStyle w:val="ListParagraph"/>
              <w:numPr>
                <w:ilvl w:val="0"/>
                <w:numId w:val="11"/>
              </w:numPr>
              <w:rPr>
                <w:rFonts w:ascii="Times New Roman" w:hAnsi="Times New Roman" w:cs="Times New Roman"/>
                <w:b/>
                <w:sz w:val="24"/>
                <w:szCs w:val="24"/>
              </w:rPr>
            </w:pPr>
            <w:r w:rsidRPr="00265166">
              <w:rPr>
                <w:rFonts w:ascii="Times New Roman" w:hAnsi="Times New Roman" w:cs="Times New Roman"/>
                <w:bCs/>
                <w:sz w:val="24"/>
                <w:szCs w:val="24"/>
              </w:rPr>
              <w:t>Submit responses in an accessible format in WORD or EXCEL. I</w:t>
            </w:r>
            <w:r w:rsidRPr="00265166">
              <w:rPr>
                <w:rFonts w:ascii="Times New Roman" w:hAnsi="Times New Roman" w:cs="Times New Roman"/>
                <w:b/>
                <w:sz w:val="24"/>
                <w:szCs w:val="24"/>
              </w:rPr>
              <w:t>nclude a table in data format (NOT pdf or picture) with the response. For HIPAA compliance Do not include numbers &lt;11.</w:t>
            </w:r>
          </w:p>
        </w:tc>
      </w:tr>
    </w:tbl>
    <w:p w14:paraId="395DD82C" w14:textId="77777777" w:rsidR="00424557" w:rsidRDefault="00424557" w:rsidP="00424557">
      <w:pPr>
        <w:pStyle w:val="ListParagraph"/>
        <w:rPr>
          <w:rFonts w:cstheme="minorHAnsi"/>
          <w:b/>
        </w:rPr>
      </w:pPr>
    </w:p>
    <w:p w14:paraId="508FE6EC" w14:textId="603BD8B5" w:rsidR="00667B0F" w:rsidRDefault="00667B0F" w:rsidP="00667B0F">
      <w:pPr>
        <w:spacing w:after="160" w:line="259" w:lineRule="auto"/>
        <w:rPr>
          <w:rFonts w:cs="Times New Roman"/>
        </w:rPr>
      </w:pPr>
      <w:r w:rsidRPr="007C60C5">
        <w:rPr>
          <w:rFonts w:cs="Times New Roman"/>
        </w:rPr>
        <w:t xml:space="preserve">Capitalized terms used and not otherwise defined in these responses have the meanings given in </w:t>
      </w:r>
      <w:r w:rsidR="00707055">
        <w:rPr>
          <w:rFonts w:cs="Times New Roman"/>
        </w:rPr>
        <w:t>Determination of Need Application #</w:t>
      </w:r>
      <w:r w:rsidRPr="007C60C5">
        <w:rPr>
          <w:rFonts w:cs="Times New Roman"/>
        </w:rPr>
        <w:t>DFCI-23040915</w:t>
      </w:r>
      <w:r w:rsidR="00707055">
        <w:rPr>
          <w:rFonts w:cs="Times New Roman"/>
        </w:rPr>
        <w:t xml:space="preserve"> (the “Application”)</w:t>
      </w:r>
      <w:r w:rsidRPr="007C60C5">
        <w:rPr>
          <w:rFonts w:cs="Times New Roman"/>
        </w:rPr>
        <w:t xml:space="preserve">. </w:t>
      </w:r>
    </w:p>
    <w:p w14:paraId="2DF347C7" w14:textId="77777777" w:rsidR="00424557" w:rsidRDefault="00424557" w:rsidP="00667B0F">
      <w:pPr>
        <w:spacing w:after="160" w:line="259" w:lineRule="auto"/>
        <w:rPr>
          <w:rFonts w:cs="Times New Roman"/>
        </w:rPr>
      </w:pPr>
    </w:p>
    <w:p w14:paraId="1998D5B7" w14:textId="77777777" w:rsidR="00424557" w:rsidRDefault="00AC0A51" w:rsidP="00424557">
      <w:pPr>
        <w:pStyle w:val="ListParagraph"/>
        <w:numPr>
          <w:ilvl w:val="0"/>
          <w:numId w:val="10"/>
        </w:numPr>
        <w:spacing w:after="160" w:line="259" w:lineRule="auto"/>
        <w:ind w:hanging="720"/>
        <w:jc w:val="both"/>
        <w:rPr>
          <w:rFonts w:cs="Times New Roman"/>
          <w:b/>
          <w:bCs/>
        </w:rPr>
      </w:pPr>
      <w:proofErr w:type="gramStart"/>
      <w:r w:rsidRPr="007C60C5">
        <w:rPr>
          <w:rFonts w:cs="Times New Roman"/>
          <w:b/>
          <w:bCs/>
        </w:rPr>
        <w:t>In order to</w:t>
      </w:r>
      <w:proofErr w:type="gramEnd"/>
      <w:r w:rsidRPr="007C60C5">
        <w:rPr>
          <w:rFonts w:cs="Times New Roman"/>
          <w:b/>
          <w:bCs/>
        </w:rPr>
        <w:t xml:space="preserve"> better understand the proposed project, explain whether Table 1 comprises all of DFCI patients at all sites (Patient Panel) or just the DFCI inpatients. If it does not describe all, then please provide that information </w:t>
      </w:r>
      <w:proofErr w:type="gramStart"/>
      <w:r w:rsidRPr="007C60C5">
        <w:rPr>
          <w:rFonts w:cs="Times New Roman"/>
          <w:b/>
          <w:bCs/>
        </w:rPr>
        <w:t>on</w:t>
      </w:r>
      <w:proofErr w:type="gramEnd"/>
      <w:r w:rsidRPr="007C60C5">
        <w:rPr>
          <w:rFonts w:cs="Times New Roman"/>
          <w:b/>
          <w:bCs/>
        </w:rPr>
        <w:t xml:space="preserve"> the entire patient panel.</w:t>
      </w:r>
    </w:p>
    <w:p w14:paraId="4A819BEE" w14:textId="77777777" w:rsidR="00424557" w:rsidRDefault="00424557" w:rsidP="00424557">
      <w:pPr>
        <w:pStyle w:val="ListParagraph"/>
        <w:spacing w:after="160" w:line="259" w:lineRule="auto"/>
        <w:jc w:val="both"/>
        <w:rPr>
          <w:rFonts w:cs="Times New Roman"/>
          <w:b/>
          <w:bCs/>
        </w:rPr>
      </w:pPr>
    </w:p>
    <w:p w14:paraId="5F90BCF3" w14:textId="3D42CE88" w:rsidR="0068486D" w:rsidRDefault="00EE60DB" w:rsidP="00424557">
      <w:pPr>
        <w:pStyle w:val="ListParagraph"/>
        <w:spacing w:after="160" w:line="259" w:lineRule="auto"/>
        <w:jc w:val="both"/>
        <w:rPr>
          <w:rFonts w:cs="Times New Roman"/>
        </w:rPr>
      </w:pPr>
      <w:r w:rsidRPr="00424557">
        <w:rPr>
          <w:rFonts w:cs="Times New Roman"/>
        </w:rPr>
        <w:t xml:space="preserve">Table </w:t>
      </w:r>
      <w:r w:rsidR="00BD09F5" w:rsidRPr="00424557">
        <w:rPr>
          <w:rFonts w:cs="Times New Roman"/>
        </w:rPr>
        <w:t xml:space="preserve">1 </w:t>
      </w:r>
      <w:r w:rsidR="00424557">
        <w:rPr>
          <w:rFonts w:cs="Times New Roman"/>
        </w:rPr>
        <w:t xml:space="preserve">in the Application included </w:t>
      </w:r>
      <w:r w:rsidR="00BD09F5" w:rsidRPr="00424557">
        <w:rPr>
          <w:rFonts w:cs="Times New Roman"/>
        </w:rPr>
        <w:t>inpatients and outpatients</w:t>
      </w:r>
      <w:r w:rsidR="00424557">
        <w:rPr>
          <w:rFonts w:cs="Times New Roman"/>
        </w:rPr>
        <w:t>, but only</w:t>
      </w:r>
      <w:r w:rsidR="00BD09F5" w:rsidRPr="00424557">
        <w:rPr>
          <w:rFonts w:cs="Times New Roman"/>
        </w:rPr>
        <w:t xml:space="preserve"> </w:t>
      </w:r>
      <w:r w:rsidR="00667B0F" w:rsidRPr="00424557">
        <w:rPr>
          <w:rFonts w:cs="Times New Roman"/>
        </w:rPr>
        <w:t>on the Longwood Medical Campus.</w:t>
      </w:r>
      <w:r w:rsidR="00BD09F5" w:rsidRPr="00424557">
        <w:rPr>
          <w:rFonts w:cs="Times New Roman"/>
        </w:rPr>
        <w:t xml:space="preserve"> </w:t>
      </w:r>
      <w:r w:rsidR="00424557">
        <w:rPr>
          <w:rFonts w:cs="Times New Roman"/>
        </w:rPr>
        <w:t xml:space="preserve">The following </w:t>
      </w:r>
      <w:r w:rsidR="007D5213" w:rsidRPr="00424557">
        <w:rPr>
          <w:rFonts w:cs="Times New Roman"/>
        </w:rPr>
        <w:t xml:space="preserve">revised version of </w:t>
      </w:r>
      <w:proofErr w:type="gramStart"/>
      <w:r w:rsidR="00424557">
        <w:rPr>
          <w:rFonts w:cs="Times New Roman"/>
        </w:rPr>
        <w:t xml:space="preserve">that </w:t>
      </w:r>
      <w:r w:rsidR="00BD09F5" w:rsidRPr="00424557">
        <w:rPr>
          <w:rFonts w:cs="Times New Roman"/>
        </w:rPr>
        <w:t>Table</w:t>
      </w:r>
      <w:proofErr w:type="gramEnd"/>
      <w:r w:rsidR="00BD09F5" w:rsidRPr="00424557">
        <w:rPr>
          <w:rFonts w:cs="Times New Roman"/>
        </w:rPr>
        <w:t xml:space="preserve"> 1</w:t>
      </w:r>
      <w:r w:rsidR="007D5213" w:rsidRPr="00424557">
        <w:rPr>
          <w:rFonts w:cs="Times New Roman"/>
        </w:rPr>
        <w:t xml:space="preserve">, inclusive of </w:t>
      </w:r>
      <w:proofErr w:type="gramStart"/>
      <w:r w:rsidR="007D5213" w:rsidRPr="00424557">
        <w:rPr>
          <w:rFonts w:cs="Times New Roman"/>
        </w:rPr>
        <w:t>all of</w:t>
      </w:r>
      <w:proofErr w:type="gramEnd"/>
      <w:r w:rsidR="007D5213" w:rsidRPr="00424557">
        <w:rPr>
          <w:rFonts w:cs="Times New Roman"/>
        </w:rPr>
        <w:t xml:space="preserve"> the Applicant’s inpatients and outpatients</w:t>
      </w:r>
      <w:r w:rsidR="00AE5349" w:rsidRPr="00424557">
        <w:rPr>
          <w:rFonts w:cs="Times New Roman"/>
        </w:rPr>
        <w:t xml:space="preserve"> at all sites</w:t>
      </w:r>
      <w:r w:rsidR="007D5213" w:rsidRPr="00424557">
        <w:rPr>
          <w:rFonts w:cs="Times New Roman"/>
        </w:rPr>
        <w:t>, is below.</w:t>
      </w:r>
      <w:r w:rsidR="00BD09F5" w:rsidRPr="00424557">
        <w:rPr>
          <w:rFonts w:cs="Times New Roman"/>
        </w:rPr>
        <w:t xml:space="preserve"> </w:t>
      </w:r>
    </w:p>
    <w:p w14:paraId="46F9FE83" w14:textId="7FA5CFE3" w:rsidR="00424557" w:rsidRDefault="00424557" w:rsidP="00424557">
      <w:pPr>
        <w:pStyle w:val="ListParagraph"/>
        <w:spacing w:after="160" w:line="259" w:lineRule="auto"/>
        <w:jc w:val="both"/>
        <w:rPr>
          <w:rFonts w:cs="Times New Roman"/>
        </w:rPr>
      </w:pPr>
    </w:p>
    <w:p w14:paraId="1573735E" w14:textId="77777777" w:rsidR="00424557" w:rsidRDefault="00424557" w:rsidP="00424557">
      <w:pPr>
        <w:pStyle w:val="ListParagraph"/>
        <w:spacing w:after="160" w:line="259" w:lineRule="auto"/>
        <w:jc w:val="center"/>
        <w:rPr>
          <w:rFonts w:cs="Times New Roman"/>
        </w:rPr>
      </w:pPr>
    </w:p>
    <w:p w14:paraId="4F6A2E7A" w14:textId="77777777" w:rsidR="00424557" w:rsidRDefault="00424557" w:rsidP="00424557">
      <w:pPr>
        <w:pStyle w:val="ListParagraph"/>
        <w:spacing w:after="160" w:line="259" w:lineRule="auto"/>
        <w:jc w:val="center"/>
        <w:rPr>
          <w:rFonts w:cs="Times New Roman"/>
        </w:rPr>
      </w:pPr>
    </w:p>
    <w:p w14:paraId="2452539D" w14:textId="77777777" w:rsidR="00424557" w:rsidRDefault="00424557" w:rsidP="00424557">
      <w:pPr>
        <w:pStyle w:val="ListParagraph"/>
        <w:spacing w:after="160" w:line="259" w:lineRule="auto"/>
        <w:jc w:val="center"/>
        <w:rPr>
          <w:rFonts w:cs="Times New Roman"/>
        </w:rPr>
      </w:pPr>
    </w:p>
    <w:p w14:paraId="11D5447F" w14:textId="77777777" w:rsidR="00424557" w:rsidRDefault="00424557" w:rsidP="00424557">
      <w:pPr>
        <w:pStyle w:val="ListParagraph"/>
        <w:spacing w:after="160" w:line="259" w:lineRule="auto"/>
        <w:jc w:val="center"/>
        <w:rPr>
          <w:rFonts w:cs="Times New Roman"/>
        </w:rPr>
      </w:pPr>
    </w:p>
    <w:p w14:paraId="172531AD" w14:textId="055E6855" w:rsidR="00424557" w:rsidRPr="00424557" w:rsidRDefault="00424557" w:rsidP="00424557">
      <w:pPr>
        <w:pStyle w:val="ListParagraph"/>
        <w:spacing w:after="160" w:line="259" w:lineRule="auto"/>
        <w:ind w:left="0"/>
        <w:jc w:val="center"/>
        <w:rPr>
          <w:rFonts w:cs="Times New Roman"/>
          <w:b/>
          <w:bCs/>
        </w:rPr>
      </w:pPr>
      <w:r>
        <w:rPr>
          <w:rFonts w:cs="Times New Roman"/>
        </w:rPr>
        <w:t>[</w:t>
      </w:r>
      <w:r>
        <w:rPr>
          <w:rFonts w:cs="Times New Roman"/>
          <w:i/>
          <w:iCs/>
        </w:rPr>
        <w:t>Remainder of page intentionally left blank</w:t>
      </w:r>
      <w:r>
        <w:rPr>
          <w:rFonts w:cs="Times New Roman"/>
        </w:rPr>
        <w:t>]</w:t>
      </w:r>
    </w:p>
    <w:p w14:paraId="20491EC1" w14:textId="302D8A3C" w:rsidR="0068486D" w:rsidRPr="007C60C5" w:rsidRDefault="0068486D" w:rsidP="0068486D">
      <w:pPr>
        <w:rPr>
          <w:rFonts w:cs="Times New Roman"/>
        </w:rPr>
      </w:pPr>
      <w:r w:rsidRPr="007C60C5">
        <w:rPr>
          <w:rFonts w:cs="Times New Roman"/>
        </w:rPr>
        <w:br w:type="page"/>
      </w:r>
    </w:p>
    <w:p w14:paraId="58E7A14B" w14:textId="6EA5894A" w:rsidR="00BA3172" w:rsidRPr="007C60C5" w:rsidRDefault="00BA0F80" w:rsidP="00265166">
      <w:pPr>
        <w:spacing w:line="259" w:lineRule="auto"/>
        <w:ind w:left="360"/>
        <w:jc w:val="center"/>
        <w:rPr>
          <w:rFonts w:cs="Times New Roman"/>
        </w:rPr>
      </w:pPr>
      <w:r w:rsidRPr="007C60C5">
        <w:rPr>
          <w:rFonts w:eastAsia="Calibri" w:cs="Times New Roman"/>
          <w:b/>
          <w:bCs/>
        </w:rPr>
        <w:lastRenderedPageBreak/>
        <w:t>Table 1</w:t>
      </w:r>
      <w:r w:rsidRPr="007C60C5">
        <w:rPr>
          <w:rFonts w:eastAsia="Calibri" w:cs="Times New Roman"/>
          <w:b/>
          <w:bCs/>
          <w:vertAlign w:val="superscript"/>
        </w:rPr>
        <w:footnoteReference w:id="1"/>
      </w:r>
    </w:p>
    <w:p w14:paraId="2B6EB568" w14:textId="5703E013" w:rsidR="00261A51" w:rsidRPr="007C60C5" w:rsidRDefault="00BA3172" w:rsidP="00265166">
      <w:pPr>
        <w:contextualSpacing/>
        <w:jc w:val="center"/>
        <w:rPr>
          <w:rFonts w:eastAsia="Calibri" w:cs="Times New Roman"/>
          <w:b/>
          <w:bCs/>
        </w:rPr>
      </w:pPr>
      <w:r w:rsidRPr="007C60C5">
        <w:rPr>
          <w:rFonts w:eastAsia="Calibri" w:cs="Times New Roman"/>
          <w:b/>
          <w:bCs/>
        </w:rPr>
        <w:t>Total Unique Patients, Demographics, and Geography</w:t>
      </w:r>
    </w:p>
    <w:tbl>
      <w:tblPr>
        <w:tblStyle w:val="TableGrid"/>
        <w:tblW w:w="5555" w:type="pct"/>
        <w:jc w:val="center"/>
        <w:tblLayout w:type="fixed"/>
        <w:tblLook w:val="04A0" w:firstRow="1" w:lastRow="0" w:firstColumn="1" w:lastColumn="0" w:noHBand="0" w:noVBand="1"/>
      </w:tblPr>
      <w:tblGrid>
        <w:gridCol w:w="2965"/>
        <w:gridCol w:w="1237"/>
        <w:gridCol w:w="1237"/>
        <w:gridCol w:w="1237"/>
        <w:gridCol w:w="1237"/>
        <w:gridCol w:w="1237"/>
        <w:gridCol w:w="1238"/>
      </w:tblGrid>
      <w:tr w:rsidR="00BA3172" w:rsidRPr="007C60C5" w14:paraId="692BF50F" w14:textId="77777777" w:rsidTr="003F6709">
        <w:trPr>
          <w:cantSplit/>
          <w:trHeight w:val="288"/>
          <w:tblHeader/>
          <w:jc w:val="center"/>
        </w:trPr>
        <w:tc>
          <w:tcPr>
            <w:tcW w:w="2965" w:type="dxa"/>
            <w:noWrap/>
            <w:hideMark/>
          </w:tcPr>
          <w:p w14:paraId="38A627A3" w14:textId="77777777" w:rsidR="00BA3172" w:rsidRPr="007C60C5" w:rsidRDefault="00BA3172" w:rsidP="00883A0E">
            <w:pPr>
              <w:contextualSpacing/>
              <w:jc w:val="center"/>
              <w:rPr>
                <w:rFonts w:ascii="Times New Roman" w:hAnsi="Times New Roman" w:cs="Times New Roman"/>
                <w:color w:val="000000"/>
              </w:rPr>
            </w:pPr>
          </w:p>
        </w:tc>
        <w:tc>
          <w:tcPr>
            <w:tcW w:w="1237" w:type="dxa"/>
            <w:noWrap/>
            <w:hideMark/>
          </w:tcPr>
          <w:p w14:paraId="552ECA06" w14:textId="77777777" w:rsidR="003F6709" w:rsidRDefault="003F6709" w:rsidP="00883A0E">
            <w:pPr>
              <w:contextualSpacing/>
              <w:jc w:val="center"/>
              <w:rPr>
                <w:rFonts w:ascii="Times New Roman" w:hAnsi="Times New Roman" w:cs="Times New Roman"/>
                <w:b/>
                <w:bCs/>
                <w:color w:val="000000"/>
              </w:rPr>
            </w:pPr>
            <w:r w:rsidRPr="007C60C5">
              <w:rPr>
                <w:rFonts w:ascii="Times New Roman" w:hAnsi="Times New Roman" w:cs="Times New Roman"/>
                <w:b/>
                <w:bCs/>
                <w:color w:val="000000"/>
              </w:rPr>
              <w:t>2020</w:t>
            </w:r>
          </w:p>
          <w:p w14:paraId="594B76B3" w14:textId="0A4A0858"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Count</w:t>
            </w:r>
          </w:p>
        </w:tc>
        <w:tc>
          <w:tcPr>
            <w:tcW w:w="1237" w:type="dxa"/>
            <w:noWrap/>
            <w:hideMark/>
          </w:tcPr>
          <w:p w14:paraId="07FB6C4C" w14:textId="77777777" w:rsidR="003F6709" w:rsidRDefault="003F6709" w:rsidP="00883A0E">
            <w:pPr>
              <w:contextualSpacing/>
              <w:jc w:val="center"/>
              <w:rPr>
                <w:rFonts w:ascii="Times New Roman" w:hAnsi="Times New Roman" w:cs="Times New Roman"/>
                <w:b/>
                <w:bCs/>
                <w:color w:val="000000"/>
              </w:rPr>
            </w:pPr>
            <w:r w:rsidRPr="007C60C5">
              <w:rPr>
                <w:rFonts w:ascii="Times New Roman" w:hAnsi="Times New Roman" w:cs="Times New Roman"/>
                <w:b/>
                <w:bCs/>
                <w:color w:val="000000"/>
              </w:rPr>
              <w:t>2020</w:t>
            </w:r>
          </w:p>
          <w:p w14:paraId="3F158CBD" w14:textId="1C0BB3BF"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w:t>
            </w:r>
          </w:p>
        </w:tc>
        <w:tc>
          <w:tcPr>
            <w:tcW w:w="1237" w:type="dxa"/>
            <w:noWrap/>
            <w:hideMark/>
          </w:tcPr>
          <w:p w14:paraId="38C51517" w14:textId="40320D28" w:rsidR="00BA3172" w:rsidRPr="007C60C5" w:rsidRDefault="003F6709" w:rsidP="00883A0E">
            <w:pPr>
              <w:contextualSpacing/>
              <w:jc w:val="center"/>
              <w:rPr>
                <w:rFonts w:ascii="Times New Roman" w:hAnsi="Times New Roman" w:cs="Times New Roman"/>
                <w:color w:val="000000"/>
              </w:rPr>
            </w:pPr>
            <w:r w:rsidRPr="007C60C5">
              <w:rPr>
                <w:rFonts w:ascii="Times New Roman" w:hAnsi="Times New Roman" w:cs="Times New Roman"/>
                <w:b/>
                <w:bCs/>
                <w:color w:val="000000"/>
              </w:rPr>
              <w:t>2021</w:t>
            </w:r>
            <w:r>
              <w:rPr>
                <w:rFonts w:ascii="Times New Roman" w:hAnsi="Times New Roman" w:cs="Times New Roman"/>
                <w:b/>
                <w:bCs/>
                <w:color w:val="000000"/>
              </w:rPr>
              <w:t xml:space="preserve"> </w:t>
            </w:r>
            <w:r w:rsidR="00BA3172" w:rsidRPr="007C60C5">
              <w:rPr>
                <w:rFonts w:ascii="Times New Roman" w:hAnsi="Times New Roman" w:cs="Times New Roman"/>
                <w:color w:val="000000"/>
              </w:rPr>
              <w:t>Count</w:t>
            </w:r>
          </w:p>
        </w:tc>
        <w:tc>
          <w:tcPr>
            <w:tcW w:w="1237" w:type="dxa"/>
            <w:noWrap/>
            <w:hideMark/>
          </w:tcPr>
          <w:p w14:paraId="4E310050" w14:textId="77777777" w:rsidR="003F6709" w:rsidRDefault="003F6709" w:rsidP="00883A0E">
            <w:pPr>
              <w:contextualSpacing/>
              <w:jc w:val="center"/>
              <w:rPr>
                <w:rFonts w:ascii="Times New Roman" w:hAnsi="Times New Roman" w:cs="Times New Roman"/>
                <w:b/>
                <w:bCs/>
                <w:color w:val="000000"/>
              </w:rPr>
            </w:pPr>
            <w:r w:rsidRPr="007C60C5">
              <w:rPr>
                <w:rFonts w:ascii="Times New Roman" w:hAnsi="Times New Roman" w:cs="Times New Roman"/>
                <w:b/>
                <w:bCs/>
                <w:color w:val="000000"/>
              </w:rPr>
              <w:t>2021</w:t>
            </w:r>
            <w:r>
              <w:rPr>
                <w:rFonts w:ascii="Times New Roman" w:hAnsi="Times New Roman" w:cs="Times New Roman"/>
                <w:b/>
                <w:bCs/>
                <w:color w:val="000000"/>
              </w:rPr>
              <w:t xml:space="preserve"> </w:t>
            </w:r>
          </w:p>
          <w:p w14:paraId="7BC6D271" w14:textId="594BDB82"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w:t>
            </w:r>
          </w:p>
        </w:tc>
        <w:tc>
          <w:tcPr>
            <w:tcW w:w="1237" w:type="dxa"/>
            <w:noWrap/>
            <w:hideMark/>
          </w:tcPr>
          <w:p w14:paraId="15843702" w14:textId="10AA41BD" w:rsidR="00BA3172" w:rsidRPr="007C60C5" w:rsidRDefault="003F6709" w:rsidP="00883A0E">
            <w:pPr>
              <w:contextualSpacing/>
              <w:jc w:val="center"/>
              <w:rPr>
                <w:rFonts w:ascii="Times New Roman" w:hAnsi="Times New Roman" w:cs="Times New Roman"/>
                <w:color w:val="000000"/>
              </w:rPr>
            </w:pPr>
            <w:r w:rsidRPr="007C60C5">
              <w:rPr>
                <w:rFonts w:ascii="Times New Roman" w:hAnsi="Times New Roman" w:cs="Times New Roman"/>
                <w:b/>
                <w:bCs/>
                <w:color w:val="000000"/>
              </w:rPr>
              <w:t>2022</w:t>
            </w:r>
            <w:r>
              <w:rPr>
                <w:rFonts w:ascii="Times New Roman" w:hAnsi="Times New Roman" w:cs="Times New Roman"/>
                <w:b/>
                <w:bCs/>
                <w:color w:val="000000"/>
              </w:rPr>
              <w:t xml:space="preserve"> </w:t>
            </w:r>
            <w:r w:rsidR="00BA3172" w:rsidRPr="007C60C5">
              <w:rPr>
                <w:rFonts w:ascii="Times New Roman" w:hAnsi="Times New Roman" w:cs="Times New Roman"/>
                <w:color w:val="000000"/>
              </w:rPr>
              <w:t>Count</w:t>
            </w:r>
          </w:p>
        </w:tc>
        <w:tc>
          <w:tcPr>
            <w:tcW w:w="1238" w:type="dxa"/>
            <w:noWrap/>
            <w:hideMark/>
          </w:tcPr>
          <w:p w14:paraId="35F91C01" w14:textId="77777777" w:rsidR="003F6709" w:rsidRDefault="003F6709" w:rsidP="00883A0E">
            <w:pPr>
              <w:contextualSpacing/>
              <w:jc w:val="center"/>
              <w:rPr>
                <w:rFonts w:ascii="Times New Roman" w:hAnsi="Times New Roman" w:cs="Times New Roman"/>
                <w:b/>
                <w:bCs/>
                <w:color w:val="000000"/>
              </w:rPr>
            </w:pPr>
            <w:r w:rsidRPr="007C60C5">
              <w:rPr>
                <w:rFonts w:ascii="Times New Roman" w:hAnsi="Times New Roman" w:cs="Times New Roman"/>
                <w:b/>
                <w:bCs/>
                <w:color w:val="000000"/>
              </w:rPr>
              <w:t>2022</w:t>
            </w:r>
            <w:r>
              <w:rPr>
                <w:rFonts w:ascii="Times New Roman" w:hAnsi="Times New Roman" w:cs="Times New Roman"/>
                <w:b/>
                <w:bCs/>
                <w:color w:val="000000"/>
              </w:rPr>
              <w:t xml:space="preserve"> </w:t>
            </w:r>
          </w:p>
          <w:p w14:paraId="0C3F083E" w14:textId="48E5E11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w:t>
            </w:r>
          </w:p>
        </w:tc>
      </w:tr>
      <w:tr w:rsidR="00BA3172" w:rsidRPr="007C60C5" w14:paraId="2C42C6D0" w14:textId="77777777" w:rsidTr="003F6709">
        <w:trPr>
          <w:cantSplit/>
          <w:trHeight w:val="413"/>
          <w:jc w:val="center"/>
        </w:trPr>
        <w:tc>
          <w:tcPr>
            <w:tcW w:w="2965" w:type="dxa"/>
            <w:noWrap/>
            <w:hideMark/>
          </w:tcPr>
          <w:p w14:paraId="566525AD"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Total (unique patients)</w:t>
            </w:r>
          </w:p>
        </w:tc>
        <w:tc>
          <w:tcPr>
            <w:tcW w:w="1237" w:type="dxa"/>
            <w:noWrap/>
            <w:vAlign w:val="center"/>
            <w:hideMark/>
          </w:tcPr>
          <w:p w14:paraId="016346E7"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79,341</w:t>
            </w:r>
          </w:p>
        </w:tc>
        <w:tc>
          <w:tcPr>
            <w:tcW w:w="1237" w:type="dxa"/>
            <w:noWrap/>
            <w:vAlign w:val="center"/>
            <w:hideMark/>
          </w:tcPr>
          <w:p w14:paraId="58A3B25B" w14:textId="77777777" w:rsidR="00BA3172" w:rsidRPr="007C60C5" w:rsidRDefault="00BA3172" w:rsidP="00883A0E">
            <w:pPr>
              <w:contextualSpacing/>
              <w:jc w:val="center"/>
              <w:rPr>
                <w:rFonts w:ascii="Times New Roman" w:hAnsi="Times New Roman" w:cs="Times New Roman"/>
                <w:color w:val="000000"/>
              </w:rPr>
            </w:pPr>
          </w:p>
        </w:tc>
        <w:tc>
          <w:tcPr>
            <w:tcW w:w="1237" w:type="dxa"/>
            <w:noWrap/>
            <w:vAlign w:val="center"/>
            <w:hideMark/>
          </w:tcPr>
          <w:p w14:paraId="1AFE2DDF"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90,760</w:t>
            </w:r>
          </w:p>
        </w:tc>
        <w:tc>
          <w:tcPr>
            <w:tcW w:w="1237" w:type="dxa"/>
            <w:noWrap/>
            <w:vAlign w:val="center"/>
            <w:hideMark/>
          </w:tcPr>
          <w:p w14:paraId="243276AA" w14:textId="77777777" w:rsidR="00BA3172" w:rsidRPr="007C60C5" w:rsidRDefault="00BA3172" w:rsidP="00883A0E">
            <w:pPr>
              <w:contextualSpacing/>
              <w:jc w:val="center"/>
              <w:rPr>
                <w:rFonts w:ascii="Times New Roman" w:hAnsi="Times New Roman" w:cs="Times New Roman"/>
                <w:color w:val="000000"/>
              </w:rPr>
            </w:pPr>
          </w:p>
        </w:tc>
        <w:tc>
          <w:tcPr>
            <w:tcW w:w="1237" w:type="dxa"/>
            <w:noWrap/>
            <w:vAlign w:val="center"/>
            <w:hideMark/>
          </w:tcPr>
          <w:p w14:paraId="3EFF2981"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96,950</w:t>
            </w:r>
          </w:p>
        </w:tc>
        <w:tc>
          <w:tcPr>
            <w:tcW w:w="1238" w:type="dxa"/>
            <w:noWrap/>
            <w:vAlign w:val="center"/>
            <w:hideMark/>
          </w:tcPr>
          <w:p w14:paraId="5DE81A38" w14:textId="77777777" w:rsidR="00BA3172" w:rsidRPr="007C60C5" w:rsidRDefault="00BA3172" w:rsidP="00883A0E">
            <w:pPr>
              <w:contextualSpacing/>
              <w:jc w:val="center"/>
              <w:rPr>
                <w:rFonts w:ascii="Times New Roman" w:hAnsi="Times New Roman" w:cs="Times New Roman"/>
                <w:color w:val="000000"/>
              </w:rPr>
            </w:pPr>
          </w:p>
        </w:tc>
      </w:tr>
      <w:tr w:rsidR="00BA3172" w:rsidRPr="007C60C5" w14:paraId="1F318B94" w14:textId="77777777" w:rsidTr="003F6709">
        <w:trPr>
          <w:cantSplit/>
          <w:trHeight w:val="288"/>
          <w:jc w:val="center"/>
        </w:trPr>
        <w:tc>
          <w:tcPr>
            <w:tcW w:w="2965" w:type="dxa"/>
            <w:noWrap/>
            <w:hideMark/>
          </w:tcPr>
          <w:p w14:paraId="5CDA7B33" w14:textId="77777777" w:rsidR="00BA3172" w:rsidRPr="007C60C5" w:rsidRDefault="00BA3172" w:rsidP="00883A0E">
            <w:pPr>
              <w:contextualSpacing/>
              <w:jc w:val="center"/>
              <w:rPr>
                <w:rFonts w:ascii="Times New Roman" w:hAnsi="Times New Roman" w:cs="Times New Roman"/>
                <w:b/>
                <w:bCs/>
                <w:color w:val="000000"/>
              </w:rPr>
            </w:pPr>
            <w:r w:rsidRPr="007C60C5">
              <w:rPr>
                <w:rFonts w:ascii="Times New Roman" w:hAnsi="Times New Roman" w:cs="Times New Roman"/>
                <w:b/>
                <w:bCs/>
                <w:color w:val="000000"/>
              </w:rPr>
              <w:t>Gender</w:t>
            </w:r>
          </w:p>
        </w:tc>
        <w:tc>
          <w:tcPr>
            <w:tcW w:w="1237" w:type="dxa"/>
            <w:noWrap/>
            <w:vAlign w:val="center"/>
          </w:tcPr>
          <w:p w14:paraId="44B52AF8" w14:textId="77777777" w:rsidR="00BA3172" w:rsidRPr="007C60C5" w:rsidRDefault="00BA3172" w:rsidP="00883A0E">
            <w:pPr>
              <w:contextualSpacing/>
              <w:jc w:val="center"/>
              <w:rPr>
                <w:rFonts w:ascii="Times New Roman" w:hAnsi="Times New Roman" w:cs="Times New Roman"/>
                <w:color w:val="000000"/>
              </w:rPr>
            </w:pPr>
          </w:p>
        </w:tc>
        <w:tc>
          <w:tcPr>
            <w:tcW w:w="1237" w:type="dxa"/>
            <w:noWrap/>
            <w:vAlign w:val="center"/>
          </w:tcPr>
          <w:p w14:paraId="753E44F5" w14:textId="77777777" w:rsidR="00BA3172" w:rsidRPr="007C60C5" w:rsidRDefault="00BA3172" w:rsidP="00883A0E">
            <w:pPr>
              <w:contextualSpacing/>
              <w:jc w:val="center"/>
              <w:rPr>
                <w:rFonts w:ascii="Times New Roman" w:hAnsi="Times New Roman" w:cs="Times New Roman"/>
                <w:color w:val="000000"/>
              </w:rPr>
            </w:pPr>
          </w:p>
        </w:tc>
        <w:tc>
          <w:tcPr>
            <w:tcW w:w="1237" w:type="dxa"/>
            <w:noWrap/>
            <w:vAlign w:val="center"/>
          </w:tcPr>
          <w:p w14:paraId="70E8552D" w14:textId="77777777" w:rsidR="00BA3172" w:rsidRPr="007C60C5" w:rsidRDefault="00BA3172" w:rsidP="00883A0E">
            <w:pPr>
              <w:contextualSpacing/>
              <w:jc w:val="center"/>
              <w:rPr>
                <w:rFonts w:ascii="Times New Roman" w:hAnsi="Times New Roman" w:cs="Times New Roman"/>
                <w:color w:val="000000"/>
              </w:rPr>
            </w:pPr>
          </w:p>
        </w:tc>
        <w:tc>
          <w:tcPr>
            <w:tcW w:w="1237" w:type="dxa"/>
            <w:noWrap/>
            <w:vAlign w:val="center"/>
          </w:tcPr>
          <w:p w14:paraId="1C188806" w14:textId="77777777" w:rsidR="00BA3172" w:rsidRPr="007C60C5" w:rsidRDefault="00BA3172" w:rsidP="00883A0E">
            <w:pPr>
              <w:contextualSpacing/>
              <w:jc w:val="center"/>
              <w:rPr>
                <w:rFonts w:ascii="Times New Roman" w:hAnsi="Times New Roman" w:cs="Times New Roman"/>
                <w:color w:val="000000"/>
              </w:rPr>
            </w:pPr>
          </w:p>
        </w:tc>
        <w:tc>
          <w:tcPr>
            <w:tcW w:w="1237" w:type="dxa"/>
            <w:noWrap/>
            <w:vAlign w:val="center"/>
          </w:tcPr>
          <w:p w14:paraId="74271E93" w14:textId="77777777" w:rsidR="00BA3172" w:rsidRPr="007C60C5" w:rsidRDefault="00BA3172" w:rsidP="00883A0E">
            <w:pPr>
              <w:contextualSpacing/>
              <w:jc w:val="center"/>
              <w:rPr>
                <w:rFonts w:ascii="Times New Roman" w:hAnsi="Times New Roman" w:cs="Times New Roman"/>
                <w:color w:val="000000"/>
              </w:rPr>
            </w:pPr>
          </w:p>
        </w:tc>
        <w:tc>
          <w:tcPr>
            <w:tcW w:w="1238" w:type="dxa"/>
            <w:noWrap/>
            <w:vAlign w:val="center"/>
          </w:tcPr>
          <w:p w14:paraId="1BCCE9C9" w14:textId="77777777" w:rsidR="00BA3172" w:rsidRPr="007C60C5" w:rsidRDefault="00BA3172" w:rsidP="00883A0E">
            <w:pPr>
              <w:contextualSpacing/>
              <w:jc w:val="center"/>
              <w:rPr>
                <w:rFonts w:ascii="Times New Roman" w:hAnsi="Times New Roman" w:cs="Times New Roman"/>
                <w:color w:val="000000"/>
              </w:rPr>
            </w:pPr>
          </w:p>
        </w:tc>
      </w:tr>
      <w:tr w:rsidR="00BA3172" w:rsidRPr="007C60C5" w14:paraId="39ADF551" w14:textId="77777777" w:rsidTr="003F6709">
        <w:trPr>
          <w:cantSplit/>
          <w:trHeight w:val="288"/>
          <w:jc w:val="center"/>
        </w:trPr>
        <w:tc>
          <w:tcPr>
            <w:tcW w:w="2965" w:type="dxa"/>
            <w:noWrap/>
            <w:hideMark/>
          </w:tcPr>
          <w:p w14:paraId="4AC47226"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Female</w:t>
            </w:r>
          </w:p>
        </w:tc>
        <w:tc>
          <w:tcPr>
            <w:tcW w:w="1237" w:type="dxa"/>
            <w:noWrap/>
            <w:vAlign w:val="center"/>
            <w:hideMark/>
          </w:tcPr>
          <w:p w14:paraId="6D5BFD49"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49,364</w:t>
            </w:r>
          </w:p>
        </w:tc>
        <w:tc>
          <w:tcPr>
            <w:tcW w:w="1237" w:type="dxa"/>
            <w:noWrap/>
            <w:vAlign w:val="center"/>
            <w:hideMark/>
          </w:tcPr>
          <w:p w14:paraId="7D10BF6B" w14:textId="77777777" w:rsidR="00BA3172" w:rsidRPr="007C60C5" w:rsidRDefault="00BA3172" w:rsidP="00883A0E">
            <w:pPr>
              <w:tabs>
                <w:tab w:val="left" w:pos="909"/>
              </w:tabs>
              <w:ind w:left="189" w:right="-335" w:hanging="189"/>
              <w:contextualSpacing/>
              <w:jc w:val="center"/>
              <w:rPr>
                <w:rFonts w:ascii="Times New Roman" w:hAnsi="Times New Roman" w:cs="Times New Roman"/>
                <w:color w:val="000000"/>
              </w:rPr>
            </w:pPr>
            <w:proofErr w:type="gramStart"/>
            <w:r w:rsidRPr="007C60C5">
              <w:rPr>
                <w:rFonts w:ascii="Times New Roman" w:hAnsi="Times New Roman" w:cs="Times New Roman"/>
                <w:color w:val="000000"/>
              </w:rPr>
              <w:t>62.2  %</w:t>
            </w:r>
            <w:proofErr w:type="gramEnd"/>
          </w:p>
        </w:tc>
        <w:tc>
          <w:tcPr>
            <w:tcW w:w="1237" w:type="dxa"/>
            <w:noWrap/>
            <w:vAlign w:val="center"/>
            <w:hideMark/>
          </w:tcPr>
          <w:p w14:paraId="068C6D47"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56,712</w:t>
            </w:r>
          </w:p>
        </w:tc>
        <w:tc>
          <w:tcPr>
            <w:tcW w:w="1237" w:type="dxa"/>
            <w:noWrap/>
            <w:vAlign w:val="center"/>
            <w:hideMark/>
          </w:tcPr>
          <w:p w14:paraId="5448E494" w14:textId="77777777" w:rsidR="00BA3172" w:rsidRPr="007C60C5" w:rsidRDefault="00BA3172" w:rsidP="00883A0E">
            <w:pPr>
              <w:ind w:left="53"/>
              <w:contextualSpacing/>
              <w:jc w:val="center"/>
              <w:rPr>
                <w:rFonts w:ascii="Times New Roman" w:hAnsi="Times New Roman" w:cs="Times New Roman"/>
                <w:color w:val="000000"/>
              </w:rPr>
            </w:pPr>
            <w:r w:rsidRPr="007C60C5">
              <w:rPr>
                <w:rFonts w:ascii="Times New Roman" w:hAnsi="Times New Roman" w:cs="Times New Roman"/>
                <w:color w:val="000000"/>
              </w:rPr>
              <w:t xml:space="preserve">    </w:t>
            </w:r>
            <w:proofErr w:type="gramStart"/>
            <w:r w:rsidRPr="007C60C5">
              <w:rPr>
                <w:rFonts w:ascii="Times New Roman" w:hAnsi="Times New Roman" w:cs="Times New Roman"/>
                <w:color w:val="000000"/>
              </w:rPr>
              <w:t>62.5  %</w:t>
            </w:r>
            <w:proofErr w:type="gramEnd"/>
          </w:p>
        </w:tc>
        <w:tc>
          <w:tcPr>
            <w:tcW w:w="1237" w:type="dxa"/>
            <w:noWrap/>
            <w:vAlign w:val="center"/>
            <w:hideMark/>
          </w:tcPr>
          <w:p w14:paraId="0B75ECEB"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60,484</w:t>
            </w:r>
          </w:p>
        </w:tc>
        <w:tc>
          <w:tcPr>
            <w:tcW w:w="1238" w:type="dxa"/>
            <w:noWrap/>
            <w:vAlign w:val="center"/>
            <w:hideMark/>
          </w:tcPr>
          <w:p w14:paraId="460E9D1B" w14:textId="77777777" w:rsidR="00BA3172" w:rsidRPr="007C60C5" w:rsidRDefault="00BA3172" w:rsidP="00883A0E">
            <w:pPr>
              <w:ind w:left="271" w:right="-67" w:hanging="85"/>
              <w:contextualSpacing/>
              <w:jc w:val="center"/>
              <w:rPr>
                <w:rFonts w:ascii="Times New Roman" w:hAnsi="Times New Roman" w:cs="Times New Roman"/>
                <w:color w:val="000000"/>
              </w:rPr>
            </w:pPr>
            <w:r w:rsidRPr="007C60C5">
              <w:rPr>
                <w:rFonts w:ascii="Times New Roman" w:hAnsi="Times New Roman" w:cs="Times New Roman"/>
                <w:color w:val="000000"/>
              </w:rPr>
              <w:t xml:space="preserve"> </w:t>
            </w:r>
            <w:proofErr w:type="gramStart"/>
            <w:r w:rsidRPr="007C60C5">
              <w:rPr>
                <w:rFonts w:ascii="Times New Roman" w:hAnsi="Times New Roman" w:cs="Times New Roman"/>
                <w:color w:val="000000"/>
              </w:rPr>
              <w:t>62.4  %</w:t>
            </w:r>
            <w:proofErr w:type="gramEnd"/>
          </w:p>
        </w:tc>
      </w:tr>
      <w:tr w:rsidR="00BA3172" w:rsidRPr="007C60C5" w14:paraId="7FCBCED3" w14:textId="77777777" w:rsidTr="003F6709">
        <w:trPr>
          <w:cantSplit/>
          <w:trHeight w:val="288"/>
          <w:jc w:val="center"/>
        </w:trPr>
        <w:tc>
          <w:tcPr>
            <w:tcW w:w="2965" w:type="dxa"/>
            <w:noWrap/>
            <w:hideMark/>
          </w:tcPr>
          <w:p w14:paraId="61A8FC77"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Male</w:t>
            </w:r>
          </w:p>
        </w:tc>
        <w:tc>
          <w:tcPr>
            <w:tcW w:w="1237" w:type="dxa"/>
            <w:noWrap/>
            <w:vAlign w:val="center"/>
            <w:hideMark/>
          </w:tcPr>
          <w:p w14:paraId="2AEA4B7B"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29,959</w:t>
            </w:r>
          </w:p>
        </w:tc>
        <w:tc>
          <w:tcPr>
            <w:tcW w:w="1237" w:type="dxa"/>
            <w:noWrap/>
            <w:vAlign w:val="center"/>
            <w:hideMark/>
          </w:tcPr>
          <w:p w14:paraId="795E76E3"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37.8</w:t>
            </w:r>
          </w:p>
        </w:tc>
        <w:tc>
          <w:tcPr>
            <w:tcW w:w="1237" w:type="dxa"/>
            <w:noWrap/>
            <w:vAlign w:val="center"/>
            <w:hideMark/>
          </w:tcPr>
          <w:p w14:paraId="3803CE10"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33,992</w:t>
            </w:r>
          </w:p>
        </w:tc>
        <w:tc>
          <w:tcPr>
            <w:tcW w:w="1237" w:type="dxa"/>
            <w:noWrap/>
            <w:vAlign w:val="center"/>
            <w:hideMark/>
          </w:tcPr>
          <w:p w14:paraId="05050F5D"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37.5</w:t>
            </w:r>
          </w:p>
        </w:tc>
        <w:tc>
          <w:tcPr>
            <w:tcW w:w="1237" w:type="dxa"/>
            <w:noWrap/>
            <w:vAlign w:val="center"/>
            <w:hideMark/>
          </w:tcPr>
          <w:p w14:paraId="2E2B0434"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36,441</w:t>
            </w:r>
          </w:p>
        </w:tc>
        <w:tc>
          <w:tcPr>
            <w:tcW w:w="1238" w:type="dxa"/>
            <w:noWrap/>
            <w:vAlign w:val="center"/>
            <w:hideMark/>
          </w:tcPr>
          <w:p w14:paraId="434D192E"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37.6</w:t>
            </w:r>
          </w:p>
        </w:tc>
      </w:tr>
      <w:tr w:rsidR="00BA3172" w:rsidRPr="007C60C5" w14:paraId="62F6FAFD" w14:textId="77777777" w:rsidTr="003F6709">
        <w:trPr>
          <w:cantSplit/>
          <w:trHeight w:val="288"/>
          <w:jc w:val="center"/>
        </w:trPr>
        <w:tc>
          <w:tcPr>
            <w:tcW w:w="2965" w:type="dxa"/>
            <w:noWrap/>
            <w:hideMark/>
          </w:tcPr>
          <w:p w14:paraId="48CA820B"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Unknown</w:t>
            </w:r>
          </w:p>
        </w:tc>
        <w:tc>
          <w:tcPr>
            <w:tcW w:w="1237" w:type="dxa"/>
            <w:noWrap/>
            <w:vAlign w:val="center"/>
            <w:hideMark/>
          </w:tcPr>
          <w:p w14:paraId="1BEBB08C"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18</w:t>
            </w:r>
          </w:p>
        </w:tc>
        <w:tc>
          <w:tcPr>
            <w:tcW w:w="1237" w:type="dxa"/>
            <w:noWrap/>
            <w:vAlign w:val="center"/>
            <w:hideMark/>
          </w:tcPr>
          <w:p w14:paraId="3BE0A873"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0.0</w:t>
            </w:r>
          </w:p>
        </w:tc>
        <w:tc>
          <w:tcPr>
            <w:tcW w:w="1237" w:type="dxa"/>
            <w:noWrap/>
            <w:vAlign w:val="center"/>
            <w:hideMark/>
          </w:tcPr>
          <w:p w14:paraId="34AB2975"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56</w:t>
            </w:r>
          </w:p>
        </w:tc>
        <w:tc>
          <w:tcPr>
            <w:tcW w:w="1237" w:type="dxa"/>
            <w:noWrap/>
            <w:vAlign w:val="center"/>
            <w:hideMark/>
          </w:tcPr>
          <w:p w14:paraId="256233A4"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0.1</w:t>
            </w:r>
          </w:p>
        </w:tc>
        <w:tc>
          <w:tcPr>
            <w:tcW w:w="1237" w:type="dxa"/>
            <w:noWrap/>
            <w:vAlign w:val="center"/>
            <w:hideMark/>
          </w:tcPr>
          <w:p w14:paraId="4363CEA7"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25</w:t>
            </w:r>
          </w:p>
        </w:tc>
        <w:tc>
          <w:tcPr>
            <w:tcW w:w="1238" w:type="dxa"/>
            <w:noWrap/>
            <w:vAlign w:val="center"/>
            <w:hideMark/>
          </w:tcPr>
          <w:p w14:paraId="66FBBFB9"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0.0</w:t>
            </w:r>
          </w:p>
        </w:tc>
      </w:tr>
      <w:tr w:rsidR="00BA3172" w:rsidRPr="007C60C5" w14:paraId="3BA156E0" w14:textId="77777777" w:rsidTr="003F6709">
        <w:trPr>
          <w:cantSplit/>
          <w:trHeight w:val="288"/>
          <w:jc w:val="center"/>
        </w:trPr>
        <w:tc>
          <w:tcPr>
            <w:tcW w:w="2965" w:type="dxa"/>
            <w:noWrap/>
            <w:hideMark/>
          </w:tcPr>
          <w:p w14:paraId="2F9B2748" w14:textId="77777777" w:rsidR="00BA3172" w:rsidRPr="007C60C5" w:rsidRDefault="00BA3172" w:rsidP="00883A0E">
            <w:pPr>
              <w:contextualSpacing/>
              <w:jc w:val="center"/>
              <w:rPr>
                <w:rFonts w:ascii="Times New Roman" w:hAnsi="Times New Roman" w:cs="Times New Roman"/>
                <w:b/>
                <w:bCs/>
                <w:color w:val="000000"/>
              </w:rPr>
            </w:pPr>
            <w:r w:rsidRPr="007C60C5">
              <w:rPr>
                <w:rFonts w:ascii="Times New Roman" w:hAnsi="Times New Roman" w:cs="Times New Roman"/>
                <w:b/>
                <w:bCs/>
                <w:color w:val="000000"/>
              </w:rPr>
              <w:t>Race &amp; Ethnicity</w:t>
            </w:r>
          </w:p>
        </w:tc>
        <w:tc>
          <w:tcPr>
            <w:tcW w:w="1237" w:type="dxa"/>
            <w:noWrap/>
            <w:vAlign w:val="center"/>
          </w:tcPr>
          <w:p w14:paraId="6E3ECF11" w14:textId="77777777" w:rsidR="00BA3172" w:rsidRPr="007C60C5" w:rsidRDefault="00BA3172" w:rsidP="00883A0E">
            <w:pPr>
              <w:contextualSpacing/>
              <w:jc w:val="center"/>
              <w:rPr>
                <w:rFonts w:ascii="Times New Roman" w:hAnsi="Times New Roman" w:cs="Times New Roman"/>
                <w:color w:val="000000"/>
              </w:rPr>
            </w:pPr>
          </w:p>
        </w:tc>
        <w:tc>
          <w:tcPr>
            <w:tcW w:w="1237" w:type="dxa"/>
            <w:noWrap/>
            <w:vAlign w:val="center"/>
          </w:tcPr>
          <w:p w14:paraId="7A9ABE2D" w14:textId="77777777" w:rsidR="00BA3172" w:rsidRPr="007C60C5" w:rsidRDefault="00BA3172" w:rsidP="00883A0E">
            <w:pPr>
              <w:contextualSpacing/>
              <w:jc w:val="center"/>
              <w:rPr>
                <w:rFonts w:ascii="Times New Roman" w:hAnsi="Times New Roman" w:cs="Times New Roman"/>
                <w:color w:val="000000"/>
              </w:rPr>
            </w:pPr>
          </w:p>
        </w:tc>
        <w:tc>
          <w:tcPr>
            <w:tcW w:w="1237" w:type="dxa"/>
            <w:noWrap/>
            <w:vAlign w:val="center"/>
          </w:tcPr>
          <w:p w14:paraId="1D7EC00F" w14:textId="77777777" w:rsidR="00BA3172" w:rsidRPr="007C60C5" w:rsidRDefault="00BA3172" w:rsidP="00883A0E">
            <w:pPr>
              <w:contextualSpacing/>
              <w:jc w:val="center"/>
              <w:rPr>
                <w:rFonts w:ascii="Times New Roman" w:hAnsi="Times New Roman" w:cs="Times New Roman"/>
                <w:color w:val="000000"/>
              </w:rPr>
            </w:pPr>
          </w:p>
        </w:tc>
        <w:tc>
          <w:tcPr>
            <w:tcW w:w="1237" w:type="dxa"/>
            <w:noWrap/>
            <w:vAlign w:val="center"/>
          </w:tcPr>
          <w:p w14:paraId="229AAEBB" w14:textId="77777777" w:rsidR="00BA3172" w:rsidRPr="007C60C5" w:rsidRDefault="00BA3172" w:rsidP="00883A0E">
            <w:pPr>
              <w:contextualSpacing/>
              <w:jc w:val="center"/>
              <w:rPr>
                <w:rFonts w:ascii="Times New Roman" w:hAnsi="Times New Roman" w:cs="Times New Roman"/>
                <w:color w:val="000000"/>
              </w:rPr>
            </w:pPr>
          </w:p>
        </w:tc>
        <w:tc>
          <w:tcPr>
            <w:tcW w:w="1237" w:type="dxa"/>
            <w:noWrap/>
            <w:vAlign w:val="center"/>
          </w:tcPr>
          <w:p w14:paraId="232E0704" w14:textId="77777777" w:rsidR="00BA3172" w:rsidRPr="007C60C5" w:rsidRDefault="00BA3172" w:rsidP="00883A0E">
            <w:pPr>
              <w:contextualSpacing/>
              <w:jc w:val="center"/>
              <w:rPr>
                <w:rFonts w:ascii="Times New Roman" w:hAnsi="Times New Roman" w:cs="Times New Roman"/>
                <w:color w:val="000000"/>
              </w:rPr>
            </w:pPr>
          </w:p>
        </w:tc>
        <w:tc>
          <w:tcPr>
            <w:tcW w:w="1238" w:type="dxa"/>
            <w:noWrap/>
            <w:vAlign w:val="center"/>
          </w:tcPr>
          <w:p w14:paraId="37CFD814" w14:textId="77777777" w:rsidR="00BA3172" w:rsidRPr="007C60C5" w:rsidRDefault="00BA3172" w:rsidP="00883A0E">
            <w:pPr>
              <w:contextualSpacing/>
              <w:jc w:val="center"/>
              <w:rPr>
                <w:rFonts w:ascii="Times New Roman" w:hAnsi="Times New Roman" w:cs="Times New Roman"/>
                <w:color w:val="000000"/>
              </w:rPr>
            </w:pPr>
          </w:p>
        </w:tc>
      </w:tr>
      <w:tr w:rsidR="00BA3172" w:rsidRPr="007C60C5" w14:paraId="5CE28435" w14:textId="77777777" w:rsidTr="003F6709">
        <w:trPr>
          <w:cantSplit/>
          <w:trHeight w:val="288"/>
          <w:jc w:val="center"/>
        </w:trPr>
        <w:tc>
          <w:tcPr>
            <w:tcW w:w="2965" w:type="dxa"/>
            <w:noWrap/>
            <w:hideMark/>
          </w:tcPr>
          <w:p w14:paraId="378EA086"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Asian Non-Hispanic or Latino</w:t>
            </w:r>
          </w:p>
        </w:tc>
        <w:tc>
          <w:tcPr>
            <w:tcW w:w="1237" w:type="dxa"/>
            <w:noWrap/>
            <w:vAlign w:val="center"/>
            <w:hideMark/>
          </w:tcPr>
          <w:p w14:paraId="75B103A7" w14:textId="77777777" w:rsidR="00BA3172" w:rsidRPr="007C60C5" w:rsidRDefault="00BA3172" w:rsidP="00883A0E">
            <w:pPr>
              <w:contextualSpacing/>
              <w:jc w:val="center"/>
              <w:rPr>
                <w:rFonts w:ascii="Times New Roman" w:hAnsi="Times New Roman" w:cs="Times New Roman"/>
              </w:rPr>
            </w:pPr>
            <w:r w:rsidRPr="007C60C5">
              <w:rPr>
                <w:rFonts w:ascii="Times New Roman" w:hAnsi="Times New Roman" w:cs="Times New Roman"/>
              </w:rPr>
              <w:t>2,106</w:t>
            </w:r>
          </w:p>
        </w:tc>
        <w:tc>
          <w:tcPr>
            <w:tcW w:w="1237" w:type="dxa"/>
            <w:noWrap/>
            <w:vAlign w:val="center"/>
            <w:hideMark/>
          </w:tcPr>
          <w:p w14:paraId="22E608BE"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2.7</w:t>
            </w:r>
          </w:p>
        </w:tc>
        <w:tc>
          <w:tcPr>
            <w:tcW w:w="1237" w:type="dxa"/>
            <w:noWrap/>
            <w:vAlign w:val="center"/>
            <w:hideMark/>
          </w:tcPr>
          <w:p w14:paraId="6DEA2A3A"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2,495</w:t>
            </w:r>
          </w:p>
        </w:tc>
        <w:tc>
          <w:tcPr>
            <w:tcW w:w="1237" w:type="dxa"/>
            <w:noWrap/>
            <w:vAlign w:val="center"/>
            <w:hideMark/>
          </w:tcPr>
          <w:p w14:paraId="4B62DEAB"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2.7</w:t>
            </w:r>
          </w:p>
        </w:tc>
        <w:tc>
          <w:tcPr>
            <w:tcW w:w="1237" w:type="dxa"/>
            <w:noWrap/>
            <w:vAlign w:val="center"/>
            <w:hideMark/>
          </w:tcPr>
          <w:p w14:paraId="2B0519AB"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2,857</w:t>
            </w:r>
          </w:p>
        </w:tc>
        <w:tc>
          <w:tcPr>
            <w:tcW w:w="1238" w:type="dxa"/>
            <w:noWrap/>
            <w:vAlign w:val="center"/>
            <w:hideMark/>
          </w:tcPr>
          <w:p w14:paraId="7DB67CE6"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2.9</w:t>
            </w:r>
          </w:p>
        </w:tc>
      </w:tr>
      <w:tr w:rsidR="00BA3172" w:rsidRPr="007C60C5" w14:paraId="215A6138" w14:textId="77777777" w:rsidTr="003F6709">
        <w:trPr>
          <w:cantSplit/>
          <w:trHeight w:val="288"/>
          <w:jc w:val="center"/>
        </w:trPr>
        <w:tc>
          <w:tcPr>
            <w:tcW w:w="2965" w:type="dxa"/>
            <w:noWrap/>
            <w:hideMark/>
          </w:tcPr>
          <w:p w14:paraId="78F6BA72"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Black or African American</w:t>
            </w:r>
          </w:p>
        </w:tc>
        <w:tc>
          <w:tcPr>
            <w:tcW w:w="1237" w:type="dxa"/>
            <w:noWrap/>
            <w:vAlign w:val="center"/>
            <w:hideMark/>
          </w:tcPr>
          <w:p w14:paraId="2C5B9569"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2,874</w:t>
            </w:r>
          </w:p>
        </w:tc>
        <w:tc>
          <w:tcPr>
            <w:tcW w:w="1237" w:type="dxa"/>
            <w:noWrap/>
            <w:vAlign w:val="center"/>
            <w:hideMark/>
          </w:tcPr>
          <w:p w14:paraId="507FA97F"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3.6</w:t>
            </w:r>
          </w:p>
        </w:tc>
        <w:tc>
          <w:tcPr>
            <w:tcW w:w="1237" w:type="dxa"/>
            <w:noWrap/>
            <w:vAlign w:val="center"/>
            <w:hideMark/>
          </w:tcPr>
          <w:p w14:paraId="4C964A7F"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3,369</w:t>
            </w:r>
          </w:p>
        </w:tc>
        <w:tc>
          <w:tcPr>
            <w:tcW w:w="1237" w:type="dxa"/>
            <w:noWrap/>
            <w:vAlign w:val="center"/>
            <w:hideMark/>
          </w:tcPr>
          <w:p w14:paraId="3CB4D06A"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3.7</w:t>
            </w:r>
          </w:p>
        </w:tc>
        <w:tc>
          <w:tcPr>
            <w:tcW w:w="1237" w:type="dxa"/>
            <w:noWrap/>
            <w:vAlign w:val="center"/>
            <w:hideMark/>
          </w:tcPr>
          <w:p w14:paraId="7FAC4A05"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3,789</w:t>
            </w:r>
          </w:p>
        </w:tc>
        <w:tc>
          <w:tcPr>
            <w:tcW w:w="1238" w:type="dxa"/>
            <w:noWrap/>
            <w:vAlign w:val="center"/>
            <w:hideMark/>
          </w:tcPr>
          <w:p w14:paraId="0FA0A804"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3.9</w:t>
            </w:r>
          </w:p>
        </w:tc>
      </w:tr>
      <w:tr w:rsidR="00BA3172" w:rsidRPr="007C60C5" w14:paraId="13C434F3" w14:textId="77777777" w:rsidTr="003F6709">
        <w:trPr>
          <w:cantSplit/>
          <w:trHeight w:val="288"/>
          <w:jc w:val="center"/>
        </w:trPr>
        <w:tc>
          <w:tcPr>
            <w:tcW w:w="2965" w:type="dxa"/>
            <w:noWrap/>
            <w:hideMark/>
          </w:tcPr>
          <w:p w14:paraId="23506AED"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Hispanic or Latino</w:t>
            </w:r>
          </w:p>
        </w:tc>
        <w:tc>
          <w:tcPr>
            <w:tcW w:w="1237" w:type="dxa"/>
            <w:noWrap/>
            <w:vAlign w:val="center"/>
            <w:hideMark/>
          </w:tcPr>
          <w:p w14:paraId="5F22C7CF"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3,943</w:t>
            </w:r>
          </w:p>
        </w:tc>
        <w:tc>
          <w:tcPr>
            <w:tcW w:w="1237" w:type="dxa"/>
            <w:noWrap/>
            <w:vAlign w:val="center"/>
            <w:hideMark/>
          </w:tcPr>
          <w:p w14:paraId="54583580"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5.0</w:t>
            </w:r>
          </w:p>
        </w:tc>
        <w:tc>
          <w:tcPr>
            <w:tcW w:w="1237" w:type="dxa"/>
            <w:noWrap/>
            <w:vAlign w:val="center"/>
            <w:hideMark/>
          </w:tcPr>
          <w:p w14:paraId="57095F84"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4,900</w:t>
            </w:r>
          </w:p>
        </w:tc>
        <w:tc>
          <w:tcPr>
            <w:tcW w:w="1237" w:type="dxa"/>
            <w:noWrap/>
            <w:vAlign w:val="center"/>
            <w:hideMark/>
          </w:tcPr>
          <w:p w14:paraId="1DA23A00"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5.4</w:t>
            </w:r>
          </w:p>
        </w:tc>
        <w:tc>
          <w:tcPr>
            <w:tcW w:w="1237" w:type="dxa"/>
            <w:noWrap/>
            <w:vAlign w:val="center"/>
            <w:hideMark/>
          </w:tcPr>
          <w:p w14:paraId="7397CCD1"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5,552</w:t>
            </w:r>
          </w:p>
        </w:tc>
        <w:tc>
          <w:tcPr>
            <w:tcW w:w="1238" w:type="dxa"/>
            <w:noWrap/>
            <w:vAlign w:val="center"/>
            <w:hideMark/>
          </w:tcPr>
          <w:p w14:paraId="21995E52"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5.7</w:t>
            </w:r>
          </w:p>
        </w:tc>
      </w:tr>
      <w:tr w:rsidR="00BA3172" w:rsidRPr="007C60C5" w14:paraId="4E6E2A7A" w14:textId="77777777" w:rsidTr="003F6709">
        <w:trPr>
          <w:cantSplit/>
          <w:trHeight w:val="288"/>
          <w:jc w:val="center"/>
        </w:trPr>
        <w:tc>
          <w:tcPr>
            <w:tcW w:w="2965" w:type="dxa"/>
            <w:noWrap/>
            <w:hideMark/>
          </w:tcPr>
          <w:p w14:paraId="69301ADA"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Multiracial, non-Hispanic</w:t>
            </w:r>
          </w:p>
        </w:tc>
        <w:tc>
          <w:tcPr>
            <w:tcW w:w="1237" w:type="dxa"/>
            <w:noWrap/>
            <w:vAlign w:val="center"/>
            <w:hideMark/>
          </w:tcPr>
          <w:p w14:paraId="75830F75"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595</w:t>
            </w:r>
          </w:p>
        </w:tc>
        <w:tc>
          <w:tcPr>
            <w:tcW w:w="1237" w:type="dxa"/>
            <w:noWrap/>
            <w:vAlign w:val="center"/>
            <w:hideMark/>
          </w:tcPr>
          <w:p w14:paraId="3FF4FBC8"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0.7</w:t>
            </w:r>
          </w:p>
        </w:tc>
        <w:tc>
          <w:tcPr>
            <w:tcW w:w="1237" w:type="dxa"/>
            <w:noWrap/>
            <w:vAlign w:val="center"/>
            <w:hideMark/>
          </w:tcPr>
          <w:p w14:paraId="346C004C"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774</w:t>
            </w:r>
          </w:p>
        </w:tc>
        <w:tc>
          <w:tcPr>
            <w:tcW w:w="1237" w:type="dxa"/>
            <w:noWrap/>
            <w:vAlign w:val="center"/>
            <w:hideMark/>
          </w:tcPr>
          <w:p w14:paraId="2E5438E1"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0.9</w:t>
            </w:r>
          </w:p>
        </w:tc>
        <w:tc>
          <w:tcPr>
            <w:tcW w:w="1237" w:type="dxa"/>
            <w:noWrap/>
            <w:vAlign w:val="center"/>
            <w:hideMark/>
          </w:tcPr>
          <w:p w14:paraId="7016DE56"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1,114</w:t>
            </w:r>
          </w:p>
        </w:tc>
        <w:tc>
          <w:tcPr>
            <w:tcW w:w="1238" w:type="dxa"/>
            <w:noWrap/>
            <w:vAlign w:val="center"/>
            <w:hideMark/>
          </w:tcPr>
          <w:p w14:paraId="385C77D6"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1.1</w:t>
            </w:r>
          </w:p>
        </w:tc>
      </w:tr>
      <w:tr w:rsidR="00BA3172" w:rsidRPr="007C60C5" w14:paraId="61F0B086" w14:textId="77777777" w:rsidTr="003F6709">
        <w:trPr>
          <w:cantSplit/>
          <w:trHeight w:val="288"/>
          <w:jc w:val="center"/>
        </w:trPr>
        <w:tc>
          <w:tcPr>
            <w:tcW w:w="2965" w:type="dxa"/>
            <w:noWrap/>
            <w:hideMark/>
          </w:tcPr>
          <w:p w14:paraId="73606D13"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 xml:space="preserve">Unknown &amp; Other </w:t>
            </w:r>
          </w:p>
        </w:tc>
        <w:tc>
          <w:tcPr>
            <w:tcW w:w="1237" w:type="dxa"/>
            <w:noWrap/>
            <w:vAlign w:val="center"/>
            <w:hideMark/>
          </w:tcPr>
          <w:p w14:paraId="55455B2D"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9,841</w:t>
            </w:r>
          </w:p>
        </w:tc>
        <w:tc>
          <w:tcPr>
            <w:tcW w:w="1237" w:type="dxa"/>
            <w:noWrap/>
            <w:vAlign w:val="center"/>
            <w:hideMark/>
          </w:tcPr>
          <w:p w14:paraId="60C7AF21"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12.4</w:t>
            </w:r>
          </w:p>
        </w:tc>
        <w:tc>
          <w:tcPr>
            <w:tcW w:w="1237" w:type="dxa"/>
            <w:noWrap/>
            <w:vAlign w:val="center"/>
            <w:hideMark/>
          </w:tcPr>
          <w:p w14:paraId="67966066"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10,484</w:t>
            </w:r>
          </w:p>
        </w:tc>
        <w:tc>
          <w:tcPr>
            <w:tcW w:w="1237" w:type="dxa"/>
            <w:noWrap/>
            <w:vAlign w:val="center"/>
            <w:hideMark/>
          </w:tcPr>
          <w:p w14:paraId="0EFD19FA"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11.6</w:t>
            </w:r>
          </w:p>
        </w:tc>
        <w:tc>
          <w:tcPr>
            <w:tcW w:w="1237" w:type="dxa"/>
            <w:noWrap/>
            <w:vAlign w:val="center"/>
            <w:hideMark/>
          </w:tcPr>
          <w:p w14:paraId="1EDA3509"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10,758</w:t>
            </w:r>
          </w:p>
        </w:tc>
        <w:tc>
          <w:tcPr>
            <w:tcW w:w="1238" w:type="dxa"/>
            <w:noWrap/>
            <w:vAlign w:val="center"/>
            <w:hideMark/>
          </w:tcPr>
          <w:p w14:paraId="34314A00"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11.1</w:t>
            </w:r>
          </w:p>
        </w:tc>
      </w:tr>
      <w:tr w:rsidR="00BA3172" w:rsidRPr="007C60C5" w14:paraId="1CE1C32B" w14:textId="77777777" w:rsidTr="003F6709">
        <w:trPr>
          <w:cantSplit/>
          <w:trHeight w:val="288"/>
          <w:jc w:val="center"/>
        </w:trPr>
        <w:tc>
          <w:tcPr>
            <w:tcW w:w="2965" w:type="dxa"/>
            <w:noWrap/>
            <w:hideMark/>
          </w:tcPr>
          <w:p w14:paraId="69B0EC4E"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White or Caucasian Non-Hispanic or Latino</w:t>
            </w:r>
          </w:p>
        </w:tc>
        <w:tc>
          <w:tcPr>
            <w:tcW w:w="1237" w:type="dxa"/>
            <w:noWrap/>
            <w:vAlign w:val="center"/>
            <w:hideMark/>
          </w:tcPr>
          <w:p w14:paraId="43664E31"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59,982</w:t>
            </w:r>
          </w:p>
        </w:tc>
        <w:tc>
          <w:tcPr>
            <w:tcW w:w="1237" w:type="dxa"/>
            <w:noWrap/>
            <w:vAlign w:val="center"/>
            <w:hideMark/>
          </w:tcPr>
          <w:p w14:paraId="46D2902E"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75.6</w:t>
            </w:r>
          </w:p>
        </w:tc>
        <w:tc>
          <w:tcPr>
            <w:tcW w:w="1237" w:type="dxa"/>
            <w:noWrap/>
            <w:vAlign w:val="center"/>
            <w:hideMark/>
          </w:tcPr>
          <w:p w14:paraId="16F22182"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68,738</w:t>
            </w:r>
          </w:p>
        </w:tc>
        <w:tc>
          <w:tcPr>
            <w:tcW w:w="1237" w:type="dxa"/>
            <w:noWrap/>
            <w:vAlign w:val="center"/>
            <w:hideMark/>
          </w:tcPr>
          <w:p w14:paraId="61FC482C"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75.7</w:t>
            </w:r>
          </w:p>
        </w:tc>
        <w:tc>
          <w:tcPr>
            <w:tcW w:w="1237" w:type="dxa"/>
            <w:noWrap/>
            <w:vAlign w:val="center"/>
            <w:hideMark/>
          </w:tcPr>
          <w:p w14:paraId="2669B8EC"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72,880</w:t>
            </w:r>
          </w:p>
        </w:tc>
        <w:tc>
          <w:tcPr>
            <w:tcW w:w="1238" w:type="dxa"/>
            <w:noWrap/>
            <w:vAlign w:val="center"/>
            <w:hideMark/>
          </w:tcPr>
          <w:p w14:paraId="40E7EFA7"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75.2</w:t>
            </w:r>
          </w:p>
        </w:tc>
      </w:tr>
      <w:tr w:rsidR="00BA3172" w:rsidRPr="007C60C5" w14:paraId="4D277C32" w14:textId="77777777" w:rsidTr="003F6709">
        <w:trPr>
          <w:cantSplit/>
          <w:trHeight w:val="288"/>
          <w:jc w:val="center"/>
        </w:trPr>
        <w:tc>
          <w:tcPr>
            <w:tcW w:w="2965" w:type="dxa"/>
            <w:noWrap/>
            <w:hideMark/>
          </w:tcPr>
          <w:p w14:paraId="37FCEE4C" w14:textId="77777777" w:rsidR="00BA3172" w:rsidRPr="007C60C5" w:rsidRDefault="00BA3172" w:rsidP="00883A0E">
            <w:pPr>
              <w:contextualSpacing/>
              <w:jc w:val="center"/>
              <w:rPr>
                <w:rFonts w:ascii="Times New Roman" w:hAnsi="Times New Roman" w:cs="Times New Roman"/>
                <w:b/>
                <w:bCs/>
                <w:color w:val="000000"/>
              </w:rPr>
            </w:pPr>
            <w:r w:rsidRPr="007C60C5">
              <w:rPr>
                <w:rFonts w:ascii="Times New Roman" w:hAnsi="Times New Roman" w:cs="Times New Roman"/>
                <w:b/>
                <w:bCs/>
                <w:color w:val="000000"/>
              </w:rPr>
              <w:t>Age</w:t>
            </w:r>
            <w:r w:rsidRPr="007C60C5">
              <w:rPr>
                <w:rStyle w:val="FootnoteReference"/>
                <w:rFonts w:ascii="Times New Roman" w:hAnsi="Times New Roman" w:cs="Times New Roman"/>
                <w:b/>
                <w:bCs/>
                <w:color w:val="000000"/>
              </w:rPr>
              <w:footnoteReference w:id="2"/>
            </w:r>
          </w:p>
        </w:tc>
        <w:tc>
          <w:tcPr>
            <w:tcW w:w="1237" w:type="dxa"/>
            <w:noWrap/>
            <w:vAlign w:val="center"/>
          </w:tcPr>
          <w:p w14:paraId="7D4E9BD8" w14:textId="77777777" w:rsidR="00BA3172" w:rsidRPr="007C60C5" w:rsidRDefault="00BA3172" w:rsidP="00883A0E">
            <w:pPr>
              <w:contextualSpacing/>
              <w:jc w:val="center"/>
              <w:rPr>
                <w:rFonts w:ascii="Times New Roman" w:hAnsi="Times New Roman" w:cs="Times New Roman"/>
                <w:color w:val="000000"/>
              </w:rPr>
            </w:pPr>
          </w:p>
        </w:tc>
        <w:tc>
          <w:tcPr>
            <w:tcW w:w="1237" w:type="dxa"/>
            <w:noWrap/>
            <w:vAlign w:val="center"/>
          </w:tcPr>
          <w:p w14:paraId="4BBD9D30" w14:textId="77777777" w:rsidR="00BA3172" w:rsidRPr="007C60C5" w:rsidRDefault="00BA3172" w:rsidP="00883A0E">
            <w:pPr>
              <w:contextualSpacing/>
              <w:jc w:val="center"/>
              <w:rPr>
                <w:rFonts w:ascii="Times New Roman" w:hAnsi="Times New Roman" w:cs="Times New Roman"/>
                <w:color w:val="000000"/>
              </w:rPr>
            </w:pPr>
          </w:p>
        </w:tc>
        <w:tc>
          <w:tcPr>
            <w:tcW w:w="1237" w:type="dxa"/>
            <w:noWrap/>
            <w:vAlign w:val="center"/>
          </w:tcPr>
          <w:p w14:paraId="44440DAF" w14:textId="77777777" w:rsidR="00BA3172" w:rsidRPr="007C60C5" w:rsidRDefault="00BA3172" w:rsidP="00883A0E">
            <w:pPr>
              <w:contextualSpacing/>
              <w:jc w:val="center"/>
              <w:rPr>
                <w:rFonts w:ascii="Times New Roman" w:hAnsi="Times New Roman" w:cs="Times New Roman"/>
                <w:color w:val="000000"/>
              </w:rPr>
            </w:pPr>
          </w:p>
        </w:tc>
        <w:tc>
          <w:tcPr>
            <w:tcW w:w="1237" w:type="dxa"/>
            <w:noWrap/>
            <w:vAlign w:val="center"/>
          </w:tcPr>
          <w:p w14:paraId="01CDC4D9" w14:textId="77777777" w:rsidR="00BA3172" w:rsidRPr="007C60C5" w:rsidRDefault="00BA3172" w:rsidP="00883A0E">
            <w:pPr>
              <w:contextualSpacing/>
              <w:jc w:val="center"/>
              <w:rPr>
                <w:rFonts w:ascii="Times New Roman" w:hAnsi="Times New Roman" w:cs="Times New Roman"/>
                <w:color w:val="000000"/>
              </w:rPr>
            </w:pPr>
          </w:p>
        </w:tc>
        <w:tc>
          <w:tcPr>
            <w:tcW w:w="1237" w:type="dxa"/>
            <w:noWrap/>
            <w:vAlign w:val="center"/>
          </w:tcPr>
          <w:p w14:paraId="4E057D3E" w14:textId="77777777" w:rsidR="00BA3172" w:rsidRPr="007C60C5" w:rsidRDefault="00BA3172" w:rsidP="00883A0E">
            <w:pPr>
              <w:contextualSpacing/>
              <w:jc w:val="center"/>
              <w:rPr>
                <w:rFonts w:ascii="Times New Roman" w:hAnsi="Times New Roman" w:cs="Times New Roman"/>
                <w:color w:val="000000"/>
              </w:rPr>
            </w:pPr>
          </w:p>
        </w:tc>
        <w:tc>
          <w:tcPr>
            <w:tcW w:w="1238" w:type="dxa"/>
            <w:noWrap/>
            <w:vAlign w:val="center"/>
          </w:tcPr>
          <w:p w14:paraId="43A28725" w14:textId="77777777" w:rsidR="00BA3172" w:rsidRPr="007C60C5" w:rsidRDefault="00BA3172" w:rsidP="00883A0E">
            <w:pPr>
              <w:contextualSpacing/>
              <w:jc w:val="center"/>
              <w:rPr>
                <w:rFonts w:ascii="Times New Roman" w:hAnsi="Times New Roman" w:cs="Times New Roman"/>
                <w:color w:val="000000"/>
              </w:rPr>
            </w:pPr>
          </w:p>
        </w:tc>
      </w:tr>
      <w:tr w:rsidR="00BA3172" w:rsidRPr="007C60C5" w14:paraId="1D4FDB90" w14:textId="77777777" w:rsidTr="003F6709">
        <w:trPr>
          <w:cantSplit/>
          <w:trHeight w:val="288"/>
          <w:jc w:val="center"/>
        </w:trPr>
        <w:tc>
          <w:tcPr>
            <w:tcW w:w="2965" w:type="dxa"/>
            <w:noWrap/>
          </w:tcPr>
          <w:p w14:paraId="7ED45743"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0-18</w:t>
            </w:r>
            <w:r w:rsidRPr="007C60C5">
              <w:rPr>
                <w:rStyle w:val="FootnoteReference"/>
                <w:rFonts w:ascii="Times New Roman" w:hAnsi="Times New Roman" w:cs="Times New Roman"/>
                <w:color w:val="000000"/>
              </w:rPr>
              <w:footnoteReference w:id="3"/>
            </w:r>
          </w:p>
        </w:tc>
        <w:tc>
          <w:tcPr>
            <w:tcW w:w="1237" w:type="dxa"/>
            <w:noWrap/>
            <w:vAlign w:val="center"/>
          </w:tcPr>
          <w:p w14:paraId="3324A206"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83</w:t>
            </w:r>
          </w:p>
        </w:tc>
        <w:tc>
          <w:tcPr>
            <w:tcW w:w="1237" w:type="dxa"/>
            <w:noWrap/>
            <w:vAlign w:val="center"/>
          </w:tcPr>
          <w:p w14:paraId="1F687D40"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0.1</w:t>
            </w:r>
          </w:p>
        </w:tc>
        <w:tc>
          <w:tcPr>
            <w:tcW w:w="1237" w:type="dxa"/>
            <w:noWrap/>
            <w:vAlign w:val="center"/>
          </w:tcPr>
          <w:p w14:paraId="0699B527"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130</w:t>
            </w:r>
          </w:p>
        </w:tc>
        <w:tc>
          <w:tcPr>
            <w:tcW w:w="1237" w:type="dxa"/>
            <w:noWrap/>
            <w:vAlign w:val="center"/>
          </w:tcPr>
          <w:p w14:paraId="51C755C9"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0.1</w:t>
            </w:r>
          </w:p>
        </w:tc>
        <w:tc>
          <w:tcPr>
            <w:tcW w:w="1237" w:type="dxa"/>
            <w:noWrap/>
            <w:vAlign w:val="center"/>
          </w:tcPr>
          <w:p w14:paraId="6732D7D5"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86</w:t>
            </w:r>
          </w:p>
        </w:tc>
        <w:tc>
          <w:tcPr>
            <w:tcW w:w="1238" w:type="dxa"/>
            <w:noWrap/>
            <w:vAlign w:val="center"/>
          </w:tcPr>
          <w:p w14:paraId="248F0216"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0.1</w:t>
            </w:r>
          </w:p>
        </w:tc>
      </w:tr>
      <w:tr w:rsidR="00BA3172" w:rsidRPr="007C60C5" w14:paraId="7820EE45" w14:textId="77777777" w:rsidTr="003F6709">
        <w:trPr>
          <w:cantSplit/>
          <w:trHeight w:val="288"/>
          <w:jc w:val="center"/>
        </w:trPr>
        <w:tc>
          <w:tcPr>
            <w:tcW w:w="2965" w:type="dxa"/>
            <w:noWrap/>
            <w:hideMark/>
          </w:tcPr>
          <w:p w14:paraId="1BA6E76D"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19-35</w:t>
            </w:r>
          </w:p>
        </w:tc>
        <w:tc>
          <w:tcPr>
            <w:tcW w:w="1237" w:type="dxa"/>
            <w:noWrap/>
            <w:vAlign w:val="center"/>
            <w:hideMark/>
          </w:tcPr>
          <w:p w14:paraId="6D08F858"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4,754</w:t>
            </w:r>
          </w:p>
        </w:tc>
        <w:tc>
          <w:tcPr>
            <w:tcW w:w="1237" w:type="dxa"/>
            <w:noWrap/>
            <w:vAlign w:val="center"/>
            <w:hideMark/>
          </w:tcPr>
          <w:p w14:paraId="0C2C2735"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6.0</w:t>
            </w:r>
          </w:p>
        </w:tc>
        <w:tc>
          <w:tcPr>
            <w:tcW w:w="1237" w:type="dxa"/>
            <w:noWrap/>
            <w:vAlign w:val="center"/>
            <w:hideMark/>
          </w:tcPr>
          <w:p w14:paraId="14E8CAA3"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5,749</w:t>
            </w:r>
          </w:p>
        </w:tc>
        <w:tc>
          <w:tcPr>
            <w:tcW w:w="1237" w:type="dxa"/>
            <w:noWrap/>
            <w:vAlign w:val="center"/>
            <w:hideMark/>
          </w:tcPr>
          <w:p w14:paraId="41B29366"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6.3</w:t>
            </w:r>
          </w:p>
        </w:tc>
        <w:tc>
          <w:tcPr>
            <w:tcW w:w="1237" w:type="dxa"/>
            <w:noWrap/>
            <w:vAlign w:val="center"/>
            <w:hideMark/>
          </w:tcPr>
          <w:p w14:paraId="7ACD9521"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6,193</w:t>
            </w:r>
          </w:p>
        </w:tc>
        <w:tc>
          <w:tcPr>
            <w:tcW w:w="1238" w:type="dxa"/>
            <w:noWrap/>
            <w:vAlign w:val="center"/>
            <w:hideMark/>
          </w:tcPr>
          <w:p w14:paraId="3BDF1477"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6.4</w:t>
            </w:r>
          </w:p>
        </w:tc>
      </w:tr>
      <w:tr w:rsidR="00BA3172" w:rsidRPr="007C60C5" w14:paraId="560FBFDD" w14:textId="77777777" w:rsidTr="003F6709">
        <w:trPr>
          <w:cantSplit/>
          <w:trHeight w:val="288"/>
          <w:jc w:val="center"/>
        </w:trPr>
        <w:tc>
          <w:tcPr>
            <w:tcW w:w="2965" w:type="dxa"/>
            <w:noWrap/>
            <w:hideMark/>
          </w:tcPr>
          <w:p w14:paraId="2261D37D"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36-55</w:t>
            </w:r>
          </w:p>
        </w:tc>
        <w:tc>
          <w:tcPr>
            <w:tcW w:w="1237" w:type="dxa"/>
            <w:noWrap/>
            <w:vAlign w:val="center"/>
            <w:hideMark/>
          </w:tcPr>
          <w:p w14:paraId="1DFB3728"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19,441</w:t>
            </w:r>
          </w:p>
        </w:tc>
        <w:tc>
          <w:tcPr>
            <w:tcW w:w="1237" w:type="dxa"/>
            <w:noWrap/>
            <w:vAlign w:val="center"/>
            <w:hideMark/>
          </w:tcPr>
          <w:p w14:paraId="497FBDB7"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24.5</w:t>
            </w:r>
          </w:p>
        </w:tc>
        <w:tc>
          <w:tcPr>
            <w:tcW w:w="1237" w:type="dxa"/>
            <w:noWrap/>
            <w:vAlign w:val="center"/>
            <w:hideMark/>
          </w:tcPr>
          <w:p w14:paraId="449DFA8F"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21,775</w:t>
            </w:r>
          </w:p>
        </w:tc>
        <w:tc>
          <w:tcPr>
            <w:tcW w:w="1237" w:type="dxa"/>
            <w:noWrap/>
            <w:vAlign w:val="center"/>
            <w:hideMark/>
          </w:tcPr>
          <w:p w14:paraId="7BA21B0F"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24.0</w:t>
            </w:r>
          </w:p>
        </w:tc>
        <w:tc>
          <w:tcPr>
            <w:tcW w:w="1237" w:type="dxa"/>
            <w:noWrap/>
            <w:vAlign w:val="center"/>
            <w:hideMark/>
          </w:tcPr>
          <w:p w14:paraId="14F509DC"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23,228</w:t>
            </w:r>
          </w:p>
        </w:tc>
        <w:tc>
          <w:tcPr>
            <w:tcW w:w="1238" w:type="dxa"/>
            <w:noWrap/>
            <w:vAlign w:val="center"/>
            <w:hideMark/>
          </w:tcPr>
          <w:p w14:paraId="1787F6B2"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24.0</w:t>
            </w:r>
          </w:p>
        </w:tc>
      </w:tr>
      <w:tr w:rsidR="00BA3172" w:rsidRPr="007C60C5" w14:paraId="5631AEFC" w14:textId="77777777" w:rsidTr="003F6709">
        <w:trPr>
          <w:cantSplit/>
          <w:trHeight w:val="288"/>
          <w:jc w:val="center"/>
        </w:trPr>
        <w:tc>
          <w:tcPr>
            <w:tcW w:w="2965" w:type="dxa"/>
            <w:noWrap/>
            <w:hideMark/>
          </w:tcPr>
          <w:p w14:paraId="354059C7"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56-75</w:t>
            </w:r>
          </w:p>
        </w:tc>
        <w:tc>
          <w:tcPr>
            <w:tcW w:w="1237" w:type="dxa"/>
            <w:noWrap/>
            <w:vAlign w:val="center"/>
            <w:hideMark/>
          </w:tcPr>
          <w:p w14:paraId="00C0EEA1"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43,188</w:t>
            </w:r>
          </w:p>
        </w:tc>
        <w:tc>
          <w:tcPr>
            <w:tcW w:w="1237" w:type="dxa"/>
            <w:noWrap/>
            <w:vAlign w:val="center"/>
            <w:hideMark/>
          </w:tcPr>
          <w:p w14:paraId="048F46F9"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54.4</w:t>
            </w:r>
          </w:p>
        </w:tc>
        <w:tc>
          <w:tcPr>
            <w:tcW w:w="1237" w:type="dxa"/>
            <w:noWrap/>
            <w:vAlign w:val="center"/>
            <w:hideMark/>
          </w:tcPr>
          <w:p w14:paraId="07A25F95"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48,789</w:t>
            </w:r>
          </w:p>
        </w:tc>
        <w:tc>
          <w:tcPr>
            <w:tcW w:w="1237" w:type="dxa"/>
            <w:noWrap/>
            <w:vAlign w:val="center"/>
            <w:hideMark/>
          </w:tcPr>
          <w:p w14:paraId="7B397AAD"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53.8</w:t>
            </w:r>
          </w:p>
        </w:tc>
        <w:tc>
          <w:tcPr>
            <w:tcW w:w="1237" w:type="dxa"/>
            <w:noWrap/>
            <w:vAlign w:val="center"/>
            <w:hideMark/>
          </w:tcPr>
          <w:p w14:paraId="67242B79"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51,774</w:t>
            </w:r>
          </w:p>
        </w:tc>
        <w:tc>
          <w:tcPr>
            <w:tcW w:w="1238" w:type="dxa"/>
            <w:noWrap/>
            <w:vAlign w:val="center"/>
            <w:hideMark/>
          </w:tcPr>
          <w:p w14:paraId="71A4B146"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53.4</w:t>
            </w:r>
          </w:p>
        </w:tc>
      </w:tr>
      <w:tr w:rsidR="00BA3172" w:rsidRPr="007C60C5" w14:paraId="2EDE02C2" w14:textId="77777777" w:rsidTr="003F6709">
        <w:trPr>
          <w:cantSplit/>
          <w:trHeight w:val="288"/>
          <w:jc w:val="center"/>
        </w:trPr>
        <w:tc>
          <w:tcPr>
            <w:tcW w:w="2965" w:type="dxa"/>
            <w:noWrap/>
          </w:tcPr>
          <w:p w14:paraId="4B12CA65"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&gt;75</w:t>
            </w:r>
          </w:p>
        </w:tc>
        <w:tc>
          <w:tcPr>
            <w:tcW w:w="1237" w:type="dxa"/>
            <w:noWrap/>
            <w:vAlign w:val="center"/>
          </w:tcPr>
          <w:p w14:paraId="2AEB5E28"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13,152</w:t>
            </w:r>
          </w:p>
        </w:tc>
        <w:tc>
          <w:tcPr>
            <w:tcW w:w="1237" w:type="dxa"/>
            <w:noWrap/>
            <w:vAlign w:val="center"/>
          </w:tcPr>
          <w:p w14:paraId="2287F9BA"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16.6</w:t>
            </w:r>
          </w:p>
        </w:tc>
        <w:tc>
          <w:tcPr>
            <w:tcW w:w="1237" w:type="dxa"/>
            <w:noWrap/>
            <w:vAlign w:val="center"/>
          </w:tcPr>
          <w:p w14:paraId="55841C33"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15,744</w:t>
            </w:r>
          </w:p>
        </w:tc>
        <w:tc>
          <w:tcPr>
            <w:tcW w:w="1237" w:type="dxa"/>
            <w:noWrap/>
            <w:vAlign w:val="center"/>
          </w:tcPr>
          <w:p w14:paraId="483AC33E"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17.3</w:t>
            </w:r>
          </w:p>
        </w:tc>
        <w:tc>
          <w:tcPr>
            <w:tcW w:w="1237" w:type="dxa"/>
            <w:noWrap/>
            <w:vAlign w:val="center"/>
          </w:tcPr>
          <w:p w14:paraId="1160FEE3"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17,319</w:t>
            </w:r>
          </w:p>
        </w:tc>
        <w:tc>
          <w:tcPr>
            <w:tcW w:w="1238" w:type="dxa"/>
            <w:noWrap/>
            <w:vAlign w:val="center"/>
          </w:tcPr>
          <w:p w14:paraId="511F0A61"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17.9</w:t>
            </w:r>
          </w:p>
        </w:tc>
      </w:tr>
      <w:tr w:rsidR="00BA3172" w:rsidRPr="007C60C5" w14:paraId="42D92835" w14:textId="77777777" w:rsidTr="003F6709">
        <w:trPr>
          <w:cantSplit/>
          <w:trHeight w:val="288"/>
          <w:jc w:val="center"/>
        </w:trPr>
        <w:tc>
          <w:tcPr>
            <w:tcW w:w="2965" w:type="dxa"/>
            <w:noWrap/>
            <w:hideMark/>
          </w:tcPr>
          <w:p w14:paraId="0A153CE9" w14:textId="77777777" w:rsidR="00BA3172" w:rsidRPr="007C60C5" w:rsidRDefault="00BA3172" w:rsidP="00883A0E">
            <w:pPr>
              <w:contextualSpacing/>
              <w:jc w:val="center"/>
              <w:rPr>
                <w:rFonts w:ascii="Times New Roman" w:hAnsi="Times New Roman" w:cs="Times New Roman"/>
                <w:b/>
                <w:bCs/>
                <w:color w:val="000000"/>
              </w:rPr>
            </w:pPr>
            <w:r w:rsidRPr="007C60C5">
              <w:rPr>
                <w:rFonts w:ascii="Times New Roman" w:hAnsi="Times New Roman" w:cs="Times New Roman"/>
                <w:b/>
                <w:bCs/>
                <w:color w:val="000000"/>
              </w:rPr>
              <w:t>Geography</w:t>
            </w:r>
            <w:r w:rsidRPr="007C60C5">
              <w:rPr>
                <w:rStyle w:val="FootnoteReference"/>
                <w:rFonts w:ascii="Times New Roman" w:hAnsi="Times New Roman" w:cs="Times New Roman"/>
                <w:b/>
                <w:bCs/>
                <w:color w:val="000000"/>
              </w:rPr>
              <w:footnoteReference w:id="4"/>
            </w:r>
          </w:p>
        </w:tc>
        <w:tc>
          <w:tcPr>
            <w:tcW w:w="1237" w:type="dxa"/>
            <w:noWrap/>
            <w:vAlign w:val="center"/>
          </w:tcPr>
          <w:p w14:paraId="6BCE6C37" w14:textId="77777777" w:rsidR="00BA3172" w:rsidRPr="007C60C5" w:rsidRDefault="00BA3172" w:rsidP="00883A0E">
            <w:pPr>
              <w:contextualSpacing/>
              <w:jc w:val="center"/>
              <w:rPr>
                <w:rFonts w:ascii="Times New Roman" w:hAnsi="Times New Roman" w:cs="Times New Roman"/>
                <w:color w:val="000000"/>
              </w:rPr>
            </w:pPr>
          </w:p>
        </w:tc>
        <w:tc>
          <w:tcPr>
            <w:tcW w:w="1237" w:type="dxa"/>
            <w:noWrap/>
            <w:vAlign w:val="center"/>
          </w:tcPr>
          <w:p w14:paraId="691A754F" w14:textId="77777777" w:rsidR="00BA3172" w:rsidRPr="007C60C5" w:rsidRDefault="00BA3172" w:rsidP="00883A0E">
            <w:pPr>
              <w:contextualSpacing/>
              <w:jc w:val="center"/>
              <w:rPr>
                <w:rFonts w:ascii="Times New Roman" w:hAnsi="Times New Roman" w:cs="Times New Roman"/>
                <w:color w:val="000000"/>
              </w:rPr>
            </w:pPr>
          </w:p>
        </w:tc>
        <w:tc>
          <w:tcPr>
            <w:tcW w:w="1237" w:type="dxa"/>
            <w:noWrap/>
            <w:vAlign w:val="center"/>
          </w:tcPr>
          <w:p w14:paraId="3713574E" w14:textId="77777777" w:rsidR="00BA3172" w:rsidRPr="007C60C5" w:rsidRDefault="00BA3172" w:rsidP="00883A0E">
            <w:pPr>
              <w:contextualSpacing/>
              <w:jc w:val="center"/>
              <w:rPr>
                <w:rFonts w:ascii="Times New Roman" w:hAnsi="Times New Roman" w:cs="Times New Roman"/>
                <w:color w:val="000000"/>
              </w:rPr>
            </w:pPr>
          </w:p>
        </w:tc>
        <w:tc>
          <w:tcPr>
            <w:tcW w:w="1237" w:type="dxa"/>
            <w:noWrap/>
            <w:vAlign w:val="center"/>
          </w:tcPr>
          <w:p w14:paraId="7C090B9F" w14:textId="77777777" w:rsidR="00BA3172" w:rsidRPr="007C60C5" w:rsidRDefault="00BA3172" w:rsidP="00883A0E">
            <w:pPr>
              <w:contextualSpacing/>
              <w:jc w:val="center"/>
              <w:rPr>
                <w:rFonts w:ascii="Times New Roman" w:hAnsi="Times New Roman" w:cs="Times New Roman"/>
                <w:color w:val="000000"/>
              </w:rPr>
            </w:pPr>
          </w:p>
        </w:tc>
        <w:tc>
          <w:tcPr>
            <w:tcW w:w="1237" w:type="dxa"/>
            <w:noWrap/>
            <w:vAlign w:val="center"/>
          </w:tcPr>
          <w:p w14:paraId="020FCD20" w14:textId="77777777" w:rsidR="00BA3172" w:rsidRPr="007C60C5" w:rsidRDefault="00BA3172" w:rsidP="00883A0E">
            <w:pPr>
              <w:contextualSpacing/>
              <w:jc w:val="center"/>
              <w:rPr>
                <w:rFonts w:ascii="Times New Roman" w:hAnsi="Times New Roman" w:cs="Times New Roman"/>
                <w:color w:val="000000"/>
              </w:rPr>
            </w:pPr>
          </w:p>
        </w:tc>
        <w:tc>
          <w:tcPr>
            <w:tcW w:w="1238" w:type="dxa"/>
            <w:noWrap/>
            <w:vAlign w:val="center"/>
          </w:tcPr>
          <w:p w14:paraId="333CE991" w14:textId="77777777" w:rsidR="00BA3172" w:rsidRPr="007C60C5" w:rsidRDefault="00BA3172" w:rsidP="00883A0E">
            <w:pPr>
              <w:contextualSpacing/>
              <w:jc w:val="center"/>
              <w:rPr>
                <w:rFonts w:ascii="Times New Roman" w:hAnsi="Times New Roman" w:cs="Times New Roman"/>
                <w:color w:val="000000"/>
              </w:rPr>
            </w:pPr>
          </w:p>
        </w:tc>
      </w:tr>
      <w:tr w:rsidR="00BA3172" w:rsidRPr="007C60C5" w14:paraId="440C6008" w14:textId="77777777" w:rsidTr="003F6709">
        <w:trPr>
          <w:cantSplit/>
          <w:trHeight w:val="288"/>
          <w:jc w:val="center"/>
        </w:trPr>
        <w:tc>
          <w:tcPr>
            <w:tcW w:w="2965" w:type="dxa"/>
            <w:noWrap/>
            <w:hideMark/>
          </w:tcPr>
          <w:p w14:paraId="1FE86381"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Massachusetts</w:t>
            </w:r>
          </w:p>
        </w:tc>
        <w:tc>
          <w:tcPr>
            <w:tcW w:w="1237" w:type="dxa"/>
            <w:noWrap/>
            <w:vAlign w:val="center"/>
            <w:hideMark/>
          </w:tcPr>
          <w:p w14:paraId="313E1512"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57,563</w:t>
            </w:r>
          </w:p>
        </w:tc>
        <w:tc>
          <w:tcPr>
            <w:tcW w:w="1237" w:type="dxa"/>
            <w:noWrap/>
            <w:vAlign w:val="center"/>
            <w:hideMark/>
          </w:tcPr>
          <w:p w14:paraId="35BB18C6"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72.6</w:t>
            </w:r>
          </w:p>
        </w:tc>
        <w:tc>
          <w:tcPr>
            <w:tcW w:w="1237" w:type="dxa"/>
            <w:noWrap/>
            <w:vAlign w:val="center"/>
            <w:hideMark/>
          </w:tcPr>
          <w:p w14:paraId="65B23779"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67,185</w:t>
            </w:r>
          </w:p>
        </w:tc>
        <w:tc>
          <w:tcPr>
            <w:tcW w:w="1237" w:type="dxa"/>
            <w:noWrap/>
            <w:vAlign w:val="center"/>
            <w:hideMark/>
          </w:tcPr>
          <w:p w14:paraId="01070B1B"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74.0</w:t>
            </w:r>
          </w:p>
        </w:tc>
        <w:tc>
          <w:tcPr>
            <w:tcW w:w="1237" w:type="dxa"/>
            <w:noWrap/>
            <w:vAlign w:val="center"/>
            <w:hideMark/>
          </w:tcPr>
          <w:p w14:paraId="0641BEBD"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73,571</w:t>
            </w:r>
          </w:p>
        </w:tc>
        <w:tc>
          <w:tcPr>
            <w:tcW w:w="1238" w:type="dxa"/>
            <w:noWrap/>
            <w:vAlign w:val="center"/>
            <w:hideMark/>
          </w:tcPr>
          <w:p w14:paraId="233F076B"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75.9</w:t>
            </w:r>
          </w:p>
        </w:tc>
      </w:tr>
      <w:tr w:rsidR="00BA3172" w:rsidRPr="007C60C5" w14:paraId="2F9CD850" w14:textId="77777777" w:rsidTr="003F6709">
        <w:trPr>
          <w:cantSplit/>
          <w:trHeight w:val="288"/>
          <w:jc w:val="center"/>
        </w:trPr>
        <w:tc>
          <w:tcPr>
            <w:tcW w:w="2965" w:type="dxa"/>
            <w:noWrap/>
            <w:hideMark/>
          </w:tcPr>
          <w:p w14:paraId="29CCEA63"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New York</w:t>
            </w:r>
          </w:p>
        </w:tc>
        <w:tc>
          <w:tcPr>
            <w:tcW w:w="1237" w:type="dxa"/>
            <w:noWrap/>
            <w:vAlign w:val="center"/>
            <w:hideMark/>
          </w:tcPr>
          <w:p w14:paraId="3548A119"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2,248</w:t>
            </w:r>
          </w:p>
        </w:tc>
        <w:tc>
          <w:tcPr>
            <w:tcW w:w="1237" w:type="dxa"/>
            <w:noWrap/>
            <w:vAlign w:val="center"/>
            <w:hideMark/>
          </w:tcPr>
          <w:p w14:paraId="3E58FA59"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2.8</w:t>
            </w:r>
          </w:p>
        </w:tc>
        <w:tc>
          <w:tcPr>
            <w:tcW w:w="1237" w:type="dxa"/>
            <w:noWrap/>
            <w:vAlign w:val="center"/>
            <w:hideMark/>
          </w:tcPr>
          <w:p w14:paraId="7688FFFF"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2,482</w:t>
            </w:r>
          </w:p>
        </w:tc>
        <w:tc>
          <w:tcPr>
            <w:tcW w:w="1237" w:type="dxa"/>
            <w:noWrap/>
            <w:vAlign w:val="center"/>
            <w:hideMark/>
          </w:tcPr>
          <w:p w14:paraId="00D1C769"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2.7</w:t>
            </w:r>
          </w:p>
        </w:tc>
        <w:tc>
          <w:tcPr>
            <w:tcW w:w="1237" w:type="dxa"/>
            <w:noWrap/>
            <w:vAlign w:val="center"/>
            <w:hideMark/>
          </w:tcPr>
          <w:p w14:paraId="0ADBBEAC"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2,262</w:t>
            </w:r>
          </w:p>
        </w:tc>
        <w:tc>
          <w:tcPr>
            <w:tcW w:w="1238" w:type="dxa"/>
            <w:noWrap/>
            <w:vAlign w:val="center"/>
            <w:hideMark/>
          </w:tcPr>
          <w:p w14:paraId="2B2E7074"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2.3</w:t>
            </w:r>
          </w:p>
        </w:tc>
      </w:tr>
      <w:tr w:rsidR="00BA3172" w:rsidRPr="007C60C5" w14:paraId="41750F50" w14:textId="77777777" w:rsidTr="003F6709">
        <w:trPr>
          <w:cantSplit/>
          <w:trHeight w:val="288"/>
          <w:jc w:val="center"/>
        </w:trPr>
        <w:tc>
          <w:tcPr>
            <w:tcW w:w="2965" w:type="dxa"/>
            <w:noWrap/>
          </w:tcPr>
          <w:p w14:paraId="2F233FCE"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Outside MA (New England)</w:t>
            </w:r>
            <w:r w:rsidRPr="007C60C5">
              <w:rPr>
                <w:rStyle w:val="FootnoteReference"/>
                <w:rFonts w:ascii="Times New Roman" w:hAnsi="Times New Roman" w:cs="Times New Roman"/>
                <w:color w:val="000000"/>
              </w:rPr>
              <w:t xml:space="preserve"> </w:t>
            </w:r>
            <w:r w:rsidRPr="007C60C5">
              <w:rPr>
                <w:rStyle w:val="FootnoteReference"/>
                <w:rFonts w:ascii="Times New Roman" w:hAnsi="Times New Roman" w:cs="Times New Roman"/>
                <w:color w:val="000000"/>
              </w:rPr>
              <w:footnoteReference w:id="5"/>
            </w:r>
          </w:p>
        </w:tc>
        <w:tc>
          <w:tcPr>
            <w:tcW w:w="1237" w:type="dxa"/>
            <w:noWrap/>
            <w:vAlign w:val="center"/>
          </w:tcPr>
          <w:p w14:paraId="76538FA5"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14,350</w:t>
            </w:r>
          </w:p>
        </w:tc>
        <w:tc>
          <w:tcPr>
            <w:tcW w:w="1237" w:type="dxa"/>
            <w:noWrap/>
            <w:vAlign w:val="center"/>
          </w:tcPr>
          <w:p w14:paraId="7EBAB246"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18.1</w:t>
            </w:r>
          </w:p>
        </w:tc>
        <w:tc>
          <w:tcPr>
            <w:tcW w:w="1237" w:type="dxa"/>
            <w:noWrap/>
            <w:vAlign w:val="center"/>
          </w:tcPr>
          <w:p w14:paraId="5B561D4A"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15,548</w:t>
            </w:r>
          </w:p>
        </w:tc>
        <w:tc>
          <w:tcPr>
            <w:tcW w:w="1237" w:type="dxa"/>
            <w:noWrap/>
            <w:vAlign w:val="center"/>
          </w:tcPr>
          <w:p w14:paraId="11AE9573"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17.1</w:t>
            </w:r>
          </w:p>
        </w:tc>
        <w:tc>
          <w:tcPr>
            <w:tcW w:w="1237" w:type="dxa"/>
            <w:noWrap/>
            <w:vAlign w:val="center"/>
          </w:tcPr>
          <w:p w14:paraId="71A81007"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16,097</w:t>
            </w:r>
          </w:p>
        </w:tc>
        <w:tc>
          <w:tcPr>
            <w:tcW w:w="1238" w:type="dxa"/>
            <w:noWrap/>
            <w:vAlign w:val="center"/>
          </w:tcPr>
          <w:p w14:paraId="577BBFAC"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16.6</w:t>
            </w:r>
          </w:p>
        </w:tc>
      </w:tr>
      <w:tr w:rsidR="00BA3172" w:rsidRPr="007C60C5" w14:paraId="425D6339" w14:textId="77777777" w:rsidTr="003F6709">
        <w:trPr>
          <w:cantSplit/>
          <w:trHeight w:val="288"/>
          <w:jc w:val="center"/>
        </w:trPr>
        <w:tc>
          <w:tcPr>
            <w:tcW w:w="2965" w:type="dxa"/>
            <w:noWrap/>
          </w:tcPr>
          <w:p w14:paraId="42D94422"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Outside MA (United States)</w:t>
            </w:r>
            <w:r w:rsidRPr="007C60C5">
              <w:rPr>
                <w:rStyle w:val="FootnoteReference"/>
                <w:rFonts w:ascii="Times New Roman" w:hAnsi="Times New Roman" w:cs="Times New Roman"/>
                <w:color w:val="000000"/>
              </w:rPr>
              <w:t xml:space="preserve"> </w:t>
            </w:r>
            <w:r w:rsidRPr="007C60C5">
              <w:rPr>
                <w:rStyle w:val="FootnoteReference"/>
                <w:rFonts w:ascii="Times New Roman" w:hAnsi="Times New Roman" w:cs="Times New Roman"/>
                <w:color w:val="000000"/>
              </w:rPr>
              <w:footnoteReference w:id="6"/>
            </w:r>
          </w:p>
        </w:tc>
        <w:tc>
          <w:tcPr>
            <w:tcW w:w="1237" w:type="dxa"/>
            <w:noWrap/>
            <w:vAlign w:val="center"/>
          </w:tcPr>
          <w:p w14:paraId="24179E8D"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21,128</w:t>
            </w:r>
          </w:p>
        </w:tc>
        <w:tc>
          <w:tcPr>
            <w:tcW w:w="1237" w:type="dxa"/>
            <w:noWrap/>
            <w:vAlign w:val="center"/>
          </w:tcPr>
          <w:p w14:paraId="392A44AA"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26.6</w:t>
            </w:r>
          </w:p>
        </w:tc>
        <w:tc>
          <w:tcPr>
            <w:tcW w:w="1237" w:type="dxa"/>
            <w:noWrap/>
            <w:vAlign w:val="center"/>
          </w:tcPr>
          <w:p w14:paraId="25990580"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22,919</w:t>
            </w:r>
          </w:p>
        </w:tc>
        <w:tc>
          <w:tcPr>
            <w:tcW w:w="1237" w:type="dxa"/>
            <w:noWrap/>
            <w:vAlign w:val="center"/>
          </w:tcPr>
          <w:p w14:paraId="7A74CDDF"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25.3</w:t>
            </w:r>
          </w:p>
        </w:tc>
        <w:tc>
          <w:tcPr>
            <w:tcW w:w="1237" w:type="dxa"/>
            <w:noWrap/>
            <w:vAlign w:val="center"/>
          </w:tcPr>
          <w:p w14:paraId="6E0AE410"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22,545</w:t>
            </w:r>
          </w:p>
        </w:tc>
        <w:tc>
          <w:tcPr>
            <w:tcW w:w="1238" w:type="dxa"/>
            <w:noWrap/>
            <w:vAlign w:val="center"/>
          </w:tcPr>
          <w:p w14:paraId="32DC23FD"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23.3</w:t>
            </w:r>
          </w:p>
        </w:tc>
      </w:tr>
      <w:tr w:rsidR="00BA3172" w:rsidRPr="007C60C5" w14:paraId="18A792F5" w14:textId="77777777" w:rsidTr="003F6709">
        <w:trPr>
          <w:cantSplit/>
          <w:trHeight w:val="77"/>
          <w:jc w:val="center"/>
        </w:trPr>
        <w:tc>
          <w:tcPr>
            <w:tcW w:w="2965" w:type="dxa"/>
            <w:noWrap/>
            <w:hideMark/>
          </w:tcPr>
          <w:p w14:paraId="13B45208"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color w:val="000000"/>
              </w:rPr>
              <w:t>Outside MA (International)</w:t>
            </w:r>
            <w:r w:rsidRPr="007C60C5">
              <w:rPr>
                <w:rStyle w:val="FootnoteReference"/>
                <w:rFonts w:ascii="Times New Roman" w:hAnsi="Times New Roman" w:cs="Times New Roman"/>
                <w:color w:val="000000"/>
              </w:rPr>
              <w:t xml:space="preserve"> </w:t>
            </w:r>
            <w:r w:rsidRPr="007C60C5">
              <w:rPr>
                <w:rStyle w:val="FootnoteReference"/>
                <w:rFonts w:ascii="Times New Roman" w:hAnsi="Times New Roman" w:cs="Times New Roman"/>
                <w:color w:val="000000"/>
              </w:rPr>
              <w:footnoteReference w:id="7"/>
            </w:r>
          </w:p>
        </w:tc>
        <w:tc>
          <w:tcPr>
            <w:tcW w:w="1237" w:type="dxa"/>
            <w:noWrap/>
            <w:vAlign w:val="center"/>
            <w:hideMark/>
          </w:tcPr>
          <w:p w14:paraId="07BBCBF6"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694</w:t>
            </w:r>
          </w:p>
        </w:tc>
        <w:tc>
          <w:tcPr>
            <w:tcW w:w="1237" w:type="dxa"/>
            <w:noWrap/>
            <w:vAlign w:val="center"/>
            <w:hideMark/>
          </w:tcPr>
          <w:p w14:paraId="4A8C41AE"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0.9</w:t>
            </w:r>
          </w:p>
        </w:tc>
        <w:tc>
          <w:tcPr>
            <w:tcW w:w="1237" w:type="dxa"/>
            <w:noWrap/>
            <w:vAlign w:val="center"/>
            <w:hideMark/>
          </w:tcPr>
          <w:p w14:paraId="01C09B96"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707</w:t>
            </w:r>
          </w:p>
        </w:tc>
        <w:tc>
          <w:tcPr>
            <w:tcW w:w="1237" w:type="dxa"/>
            <w:noWrap/>
            <w:vAlign w:val="center"/>
            <w:hideMark/>
          </w:tcPr>
          <w:p w14:paraId="551D8822"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0.8</w:t>
            </w:r>
          </w:p>
        </w:tc>
        <w:tc>
          <w:tcPr>
            <w:tcW w:w="1237" w:type="dxa"/>
            <w:noWrap/>
            <w:vAlign w:val="center"/>
            <w:hideMark/>
          </w:tcPr>
          <w:p w14:paraId="68FC547F"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892</w:t>
            </w:r>
          </w:p>
        </w:tc>
        <w:tc>
          <w:tcPr>
            <w:tcW w:w="1238" w:type="dxa"/>
            <w:noWrap/>
            <w:vAlign w:val="center"/>
            <w:hideMark/>
          </w:tcPr>
          <w:p w14:paraId="33427C4E" w14:textId="77777777" w:rsidR="00BA3172" w:rsidRPr="007C60C5" w:rsidRDefault="00BA3172" w:rsidP="00883A0E">
            <w:pPr>
              <w:contextualSpacing/>
              <w:jc w:val="center"/>
              <w:rPr>
                <w:rFonts w:ascii="Times New Roman" w:hAnsi="Times New Roman" w:cs="Times New Roman"/>
                <w:color w:val="000000"/>
              </w:rPr>
            </w:pPr>
            <w:r w:rsidRPr="007C60C5">
              <w:rPr>
                <w:rFonts w:ascii="Times New Roman" w:hAnsi="Times New Roman" w:cs="Times New Roman"/>
              </w:rPr>
              <w:t>0.9</w:t>
            </w:r>
          </w:p>
        </w:tc>
      </w:tr>
    </w:tbl>
    <w:p w14:paraId="45640132" w14:textId="77777777" w:rsidR="00AC0A51" w:rsidRPr="007C60C5" w:rsidRDefault="00AC0A51" w:rsidP="00AC0A51">
      <w:pPr>
        <w:pStyle w:val="ListParagraph"/>
        <w:spacing w:after="160" w:line="259" w:lineRule="auto"/>
        <w:rPr>
          <w:rFonts w:cs="Times New Roman"/>
          <w:color w:val="2F5496" w:themeColor="accent1" w:themeShade="BF"/>
        </w:rPr>
      </w:pPr>
    </w:p>
    <w:p w14:paraId="67E14177" w14:textId="005802E8" w:rsidR="00AC0A51" w:rsidRPr="007C60C5" w:rsidRDefault="00AC0A51" w:rsidP="00424557">
      <w:pPr>
        <w:pStyle w:val="ListParagraph"/>
        <w:numPr>
          <w:ilvl w:val="0"/>
          <w:numId w:val="10"/>
        </w:numPr>
        <w:spacing w:after="240" w:line="259" w:lineRule="auto"/>
        <w:rPr>
          <w:rFonts w:cs="Times New Roman"/>
          <w:b/>
          <w:bCs/>
        </w:rPr>
      </w:pPr>
      <w:r w:rsidRPr="007C60C5">
        <w:rPr>
          <w:rFonts w:cs="Times New Roman"/>
          <w:b/>
          <w:bCs/>
        </w:rPr>
        <w:t xml:space="preserve">You state that three LINACs will be moved from </w:t>
      </w:r>
      <w:proofErr w:type="gramStart"/>
      <w:r w:rsidRPr="007C60C5">
        <w:rPr>
          <w:rFonts w:cs="Times New Roman"/>
          <w:b/>
          <w:bCs/>
        </w:rPr>
        <w:t>Francis street</w:t>
      </w:r>
      <w:proofErr w:type="gramEnd"/>
      <w:r w:rsidRPr="007C60C5">
        <w:rPr>
          <w:rFonts w:cs="Times New Roman"/>
          <w:b/>
          <w:bCs/>
        </w:rPr>
        <w:t>, at BWH, to the new facility. Please explain further whether those are on DFCI’s or BWH’s license and the status/location of all DFCI licensed LINACs.</w:t>
      </w:r>
    </w:p>
    <w:p w14:paraId="33896D27" w14:textId="0DCC973C" w:rsidR="00EF0660" w:rsidRDefault="00667B0F" w:rsidP="00424557">
      <w:pPr>
        <w:spacing w:after="240" w:line="259" w:lineRule="auto"/>
        <w:ind w:left="720"/>
        <w:jc w:val="both"/>
        <w:rPr>
          <w:rFonts w:cs="Times New Roman"/>
        </w:rPr>
      </w:pPr>
      <w:r w:rsidRPr="007C60C5">
        <w:rPr>
          <w:rFonts w:cs="Times New Roman"/>
        </w:rPr>
        <w:lastRenderedPageBreak/>
        <w:t xml:space="preserve">The Applicant no longer intends to relocate </w:t>
      </w:r>
      <w:r w:rsidR="00DC1F89" w:rsidRPr="007C60C5">
        <w:rPr>
          <w:rFonts w:cs="Times New Roman"/>
        </w:rPr>
        <w:t xml:space="preserve">any of its existing </w:t>
      </w:r>
      <w:r w:rsidR="00424557">
        <w:rPr>
          <w:rFonts w:cs="Times New Roman"/>
        </w:rPr>
        <w:t>LINACs</w:t>
      </w:r>
      <w:r w:rsidR="00DC1F89" w:rsidRPr="007C60C5">
        <w:rPr>
          <w:rFonts w:cs="Times New Roman"/>
        </w:rPr>
        <w:t xml:space="preserve">. </w:t>
      </w:r>
      <w:r w:rsidRPr="007C60C5">
        <w:rPr>
          <w:rFonts w:cs="Times New Roman"/>
        </w:rPr>
        <w:t xml:space="preserve">That portion of the </w:t>
      </w:r>
      <w:r w:rsidR="000E67E9">
        <w:rPr>
          <w:rFonts w:cs="Times New Roman"/>
        </w:rPr>
        <w:t>p</w:t>
      </w:r>
      <w:r w:rsidRPr="007C60C5">
        <w:rPr>
          <w:rFonts w:cs="Times New Roman"/>
        </w:rPr>
        <w:t xml:space="preserve">roject </w:t>
      </w:r>
      <w:r w:rsidR="000E67E9">
        <w:rPr>
          <w:rFonts w:cs="Times New Roman"/>
        </w:rPr>
        <w:t>d</w:t>
      </w:r>
      <w:r w:rsidRPr="007C60C5">
        <w:rPr>
          <w:rFonts w:cs="Times New Roman"/>
        </w:rPr>
        <w:t xml:space="preserve">escription can be disregarded. </w:t>
      </w:r>
      <w:r w:rsidR="00DC1F89" w:rsidRPr="007C60C5">
        <w:rPr>
          <w:rFonts w:cs="Times New Roman"/>
        </w:rPr>
        <w:t>The Applicant currently has three licensed LINACs, all of which are located—and are expected to continue to be locate</w:t>
      </w:r>
      <w:r w:rsidRPr="007C60C5">
        <w:rPr>
          <w:rFonts w:cs="Times New Roman"/>
        </w:rPr>
        <w:t>d</w:t>
      </w:r>
      <w:r w:rsidR="000E67E9">
        <w:rPr>
          <w:rFonts w:cs="Times New Roman"/>
        </w:rPr>
        <w:t>—</w:t>
      </w:r>
      <w:r w:rsidR="00DC1F89" w:rsidRPr="007C60C5">
        <w:rPr>
          <w:rFonts w:cs="Times New Roman"/>
        </w:rPr>
        <w:t>at 44 Binney Street</w:t>
      </w:r>
      <w:r w:rsidRPr="007C60C5">
        <w:rPr>
          <w:rFonts w:cs="Times New Roman"/>
        </w:rPr>
        <w:t>, Boston, Massachusetts</w:t>
      </w:r>
      <w:r w:rsidR="00DB609D" w:rsidRPr="007C60C5">
        <w:rPr>
          <w:rFonts w:cs="Times New Roman"/>
        </w:rPr>
        <w:t xml:space="preserve">. </w:t>
      </w:r>
    </w:p>
    <w:p w14:paraId="01AEDB20" w14:textId="043B254C" w:rsidR="002D4A0A" w:rsidRPr="007C60C5" w:rsidRDefault="00AC0A51" w:rsidP="00424557">
      <w:pPr>
        <w:pStyle w:val="ListParagraph"/>
        <w:numPr>
          <w:ilvl w:val="0"/>
          <w:numId w:val="10"/>
        </w:numPr>
        <w:spacing w:after="240" w:line="259" w:lineRule="auto"/>
        <w:rPr>
          <w:rFonts w:cs="Times New Roman"/>
          <w:b/>
          <w:bCs/>
        </w:rPr>
      </w:pPr>
      <w:r w:rsidRPr="007C60C5">
        <w:rPr>
          <w:rFonts w:cs="Times New Roman"/>
          <w:b/>
          <w:bCs/>
        </w:rPr>
        <w:t>Under Patient Panel need, you state that there is an increase in the prevalence of cancers in young adults. Please describe how that increase would impact the bed need.</w:t>
      </w:r>
    </w:p>
    <w:p w14:paraId="2B8FDDBB" w14:textId="77777777" w:rsidR="00151E95" w:rsidRDefault="00151E95" w:rsidP="00151E95">
      <w:pPr>
        <w:pStyle w:val="ListParagraph"/>
        <w:spacing w:after="240" w:line="259" w:lineRule="auto"/>
        <w:jc w:val="both"/>
        <w:rPr>
          <w:rFonts w:cs="Times New Roman"/>
          <w:color w:val="000000"/>
        </w:rPr>
      </w:pPr>
    </w:p>
    <w:p w14:paraId="3406A104" w14:textId="4AB5627B" w:rsidR="00151E95" w:rsidRPr="00151E95" w:rsidRDefault="00151E95" w:rsidP="00151E95">
      <w:pPr>
        <w:pStyle w:val="ListParagraph"/>
        <w:spacing w:after="240" w:line="259" w:lineRule="auto"/>
        <w:jc w:val="both"/>
        <w:rPr>
          <w:rFonts w:cs="Times New Roman"/>
        </w:rPr>
      </w:pPr>
      <w:r w:rsidRPr="00151E95">
        <w:rPr>
          <w:rFonts w:cs="Times New Roman"/>
          <w:color w:val="000000"/>
        </w:rPr>
        <w:t xml:space="preserve">Colorectal cancer is now the leading cause of cancer-related death in men younger than </w:t>
      </w:r>
      <w:proofErr w:type="gramStart"/>
      <w:r w:rsidRPr="00151E95">
        <w:rPr>
          <w:rFonts w:cs="Times New Roman"/>
          <w:color w:val="000000"/>
        </w:rPr>
        <w:t>50, and</w:t>
      </w:r>
      <w:proofErr w:type="gramEnd"/>
      <w:r w:rsidRPr="00151E95">
        <w:rPr>
          <w:rFonts w:cs="Times New Roman"/>
          <w:color w:val="000000"/>
        </w:rPr>
        <w:t xml:space="preserve"> will surpass breast </w:t>
      </w:r>
      <w:r w:rsidRPr="00151E95">
        <w:rPr>
          <w:rFonts w:cs="Times New Roman"/>
        </w:rPr>
        <w:t>cancer</w:t>
      </w:r>
      <w:r w:rsidRPr="00151E95">
        <w:rPr>
          <w:rFonts w:cs="Times New Roman"/>
          <w:color w:val="000000"/>
        </w:rPr>
        <w:t xml:space="preserve"> to become the leading cause of cancer death in young adults by 2030. Out of all the organ systems, gastrointestinal cancers are rising the most rapidly among young people, and these patients are typically diagnosed with metastatic disease, meaning that the cancer has spread from its origin site to other parts of the body. Incidences are also increasing in other cancers, including 2.3% per year for cancers of the tongue, tonsil, and oropharynx; 2% per year for liver cancer in women; 1.5% per year for renal cancer; 1.1% per year for breast cancer; 1% per year for uterine cancer for white women and greater than 2% per year for Black, Hispanic and AAPI women; </w:t>
      </w:r>
      <w:proofErr w:type="gramStart"/>
      <w:r w:rsidRPr="00151E95">
        <w:rPr>
          <w:rFonts w:cs="Times New Roman"/>
          <w:color w:val="000000"/>
        </w:rPr>
        <w:t>and,</w:t>
      </w:r>
      <w:proofErr w:type="gramEnd"/>
      <w:r w:rsidRPr="00151E95">
        <w:rPr>
          <w:rFonts w:cs="Times New Roman"/>
          <w:color w:val="000000"/>
        </w:rPr>
        <w:t xml:space="preserve"> 1% per year for pancreatic cancer. These increasing incidences of cancer necessarily mean that the population of cancer patients requiring treatment, some of which requires inpatient hospitalization, is increasing. These increases, as was noted in the Application, are expected to result in a 49% increased incidence of cancer by 2050.</w:t>
      </w:r>
    </w:p>
    <w:p w14:paraId="61F4454A" w14:textId="25BB8C2C" w:rsidR="00FA0B70" w:rsidRPr="007C60C5" w:rsidRDefault="00FA0B70" w:rsidP="00424557">
      <w:pPr>
        <w:spacing w:after="240" w:line="259" w:lineRule="auto"/>
        <w:ind w:left="720"/>
        <w:jc w:val="both"/>
        <w:rPr>
          <w:rFonts w:cs="Times New Roman"/>
          <w:color w:val="000000"/>
        </w:rPr>
      </w:pPr>
      <w:r w:rsidRPr="007C60C5">
        <w:rPr>
          <w:rFonts w:cs="Times New Roman"/>
          <w:color w:val="000000"/>
        </w:rPr>
        <w:t>Young adults diagnosed with cancer</w:t>
      </w:r>
      <w:r w:rsidR="00AA6190" w:rsidRPr="007C60C5">
        <w:rPr>
          <w:rFonts w:cs="Times New Roman"/>
          <w:color w:val="000000"/>
        </w:rPr>
        <w:t xml:space="preserve"> are more likely to have aggressive types of cancers and are more likely to be diagnosed at an advanc</w:t>
      </w:r>
      <w:r w:rsidR="006F00C3" w:rsidRPr="007C60C5">
        <w:rPr>
          <w:rFonts w:cs="Times New Roman"/>
          <w:color w:val="000000"/>
        </w:rPr>
        <w:t xml:space="preserve">ed stage. As such, there is an increased need for more aggressive therapy among younger patients. </w:t>
      </w:r>
      <w:r w:rsidR="007D7CA6" w:rsidRPr="007C60C5">
        <w:rPr>
          <w:rFonts w:cs="Times New Roman"/>
          <w:color w:val="000000"/>
        </w:rPr>
        <w:t>A</w:t>
      </w:r>
      <w:r w:rsidR="006F00C3" w:rsidRPr="007C60C5">
        <w:rPr>
          <w:rFonts w:cs="Times New Roman"/>
          <w:color w:val="000000"/>
        </w:rPr>
        <w:t xml:space="preserve">dvanced life-saving therapies are often associated with increased risk of complications for which hospitalization may be necessary. </w:t>
      </w:r>
      <w:r w:rsidRPr="007C60C5">
        <w:rPr>
          <w:rFonts w:cs="Times New Roman"/>
          <w:color w:val="000000"/>
        </w:rPr>
        <w:t>An example of this is the increased use of immunotherapy in triple negative breast cancer fo</w:t>
      </w:r>
      <w:r w:rsidR="006B04CC" w:rsidRPr="007C60C5">
        <w:rPr>
          <w:rFonts w:cs="Times New Roman"/>
          <w:color w:val="000000"/>
        </w:rPr>
        <w:t>r</w:t>
      </w:r>
      <w:r w:rsidR="00D62418" w:rsidRPr="007C60C5">
        <w:rPr>
          <w:rFonts w:cs="Times New Roman"/>
          <w:color w:val="000000"/>
        </w:rPr>
        <w:t xml:space="preserve"> curative intent</w:t>
      </w:r>
      <w:r w:rsidRPr="007C60C5">
        <w:rPr>
          <w:rFonts w:cs="Times New Roman"/>
          <w:color w:val="000000"/>
        </w:rPr>
        <w:t>,</w:t>
      </w:r>
      <w:r w:rsidR="009941BF" w:rsidRPr="007C60C5">
        <w:rPr>
          <w:rFonts w:cs="Times New Roman"/>
          <w:color w:val="000000"/>
        </w:rPr>
        <w:t xml:space="preserve"> or with the goal of achieving remission,</w:t>
      </w:r>
      <w:r w:rsidRPr="007C60C5">
        <w:rPr>
          <w:rFonts w:cs="Times New Roman"/>
          <w:color w:val="000000"/>
        </w:rPr>
        <w:t xml:space="preserve"> which has dramatically improved the event-free survival in this </w:t>
      </w:r>
      <w:proofErr w:type="gramStart"/>
      <w:r w:rsidRPr="007C60C5">
        <w:rPr>
          <w:rFonts w:cs="Times New Roman"/>
          <w:color w:val="000000"/>
        </w:rPr>
        <w:t>population, but</w:t>
      </w:r>
      <w:proofErr w:type="gramEnd"/>
      <w:r w:rsidRPr="007C60C5">
        <w:rPr>
          <w:rFonts w:cs="Times New Roman"/>
          <w:color w:val="000000"/>
        </w:rPr>
        <w:t xml:space="preserve"> has also led to increased risk of serious complications. </w:t>
      </w:r>
    </w:p>
    <w:p w14:paraId="29A84EDF" w14:textId="60048A56" w:rsidR="00886CFA" w:rsidRDefault="00FA0B70" w:rsidP="00424557">
      <w:pPr>
        <w:spacing w:after="240" w:line="259" w:lineRule="auto"/>
        <w:ind w:left="720"/>
        <w:jc w:val="both"/>
        <w:rPr>
          <w:rFonts w:cs="Times New Roman"/>
          <w:color w:val="000000"/>
        </w:rPr>
      </w:pPr>
      <w:r w:rsidRPr="007C60C5">
        <w:rPr>
          <w:rFonts w:cs="Times New Roman"/>
          <w:color w:val="000000"/>
        </w:rPr>
        <w:t>Further, young patients receive more surgical interventions</w:t>
      </w:r>
      <w:r w:rsidRPr="007C60C5">
        <w:rPr>
          <w:rFonts w:cs="Times New Roman"/>
          <w:color w:val="000000"/>
        </w:rPr>
        <w:softHyphen/>
      </w:r>
      <w:r w:rsidRPr="007C60C5">
        <w:rPr>
          <w:rFonts w:cs="Times New Roman"/>
          <w:color w:val="000000"/>
        </w:rPr>
        <w:softHyphen/>
      </w:r>
      <w:r w:rsidRPr="007C60C5">
        <w:rPr>
          <w:rFonts w:cs="Times New Roman"/>
          <w:color w:val="4A4A4A"/>
        </w:rPr>
        <w:t>—</w:t>
      </w:r>
      <w:r w:rsidRPr="007C60C5">
        <w:rPr>
          <w:rFonts w:cs="Times New Roman"/>
          <w:color w:val="000000"/>
        </w:rPr>
        <w:t>which require more inpatient beds</w:t>
      </w:r>
      <w:r w:rsidRPr="007C60C5">
        <w:rPr>
          <w:rFonts w:cs="Times New Roman"/>
          <w:color w:val="4A4A4A"/>
        </w:rPr>
        <w:t>—</w:t>
      </w:r>
      <w:r w:rsidRPr="007C60C5">
        <w:rPr>
          <w:rFonts w:cs="Times New Roman"/>
          <w:color w:val="000000"/>
        </w:rPr>
        <w:t>and may have more complications requiring hospitalizations. Young patients are more likely to enroll on clinical trials such as immunotherapy trials</w:t>
      </w:r>
      <w:r w:rsidR="0066346A">
        <w:rPr>
          <w:rFonts w:cs="Times New Roman"/>
          <w:color w:val="000000"/>
        </w:rPr>
        <w:t xml:space="preserve"> and </w:t>
      </w:r>
      <w:r w:rsidRPr="007C60C5">
        <w:rPr>
          <w:rFonts w:cs="Times New Roman"/>
          <w:color w:val="000000"/>
        </w:rPr>
        <w:t>cell therapy trials, which also require inpatient beds.</w:t>
      </w:r>
      <w:r w:rsidR="007D7CA6" w:rsidRPr="007C60C5">
        <w:rPr>
          <w:rFonts w:cs="Times New Roman"/>
          <w:color w:val="000000"/>
        </w:rPr>
        <w:t xml:space="preserve"> As p</w:t>
      </w:r>
      <w:r w:rsidR="00886CFA" w:rsidRPr="007C60C5">
        <w:rPr>
          <w:rFonts w:cs="Times New Roman"/>
          <w:color w:val="000000"/>
        </w:rPr>
        <w:t>atients with metastatic cancer are living longer, they</w:t>
      </w:r>
      <w:r w:rsidR="00371D0B" w:rsidRPr="007C60C5">
        <w:rPr>
          <w:rFonts w:cs="Times New Roman"/>
          <w:color w:val="000000"/>
        </w:rPr>
        <w:t xml:space="preserve"> also</w:t>
      </w:r>
      <w:r w:rsidR="00886CFA" w:rsidRPr="007C60C5">
        <w:rPr>
          <w:rFonts w:cs="Times New Roman"/>
          <w:color w:val="000000"/>
        </w:rPr>
        <w:t xml:space="preserve"> often require more hospitalizations.</w:t>
      </w:r>
    </w:p>
    <w:p w14:paraId="2CE8AA67" w14:textId="0C691341" w:rsidR="00973CB0" w:rsidRDefault="00265166" w:rsidP="00973CB0">
      <w:pPr>
        <w:spacing w:after="240" w:line="259" w:lineRule="auto"/>
        <w:ind w:left="720"/>
        <w:jc w:val="both"/>
        <w:rPr>
          <w:rFonts w:cs="Times New Roman"/>
          <w:color w:val="000000"/>
        </w:rPr>
      </w:pPr>
      <w:r w:rsidRPr="00265166">
        <w:rPr>
          <w:rFonts w:cs="Times New Roman"/>
          <w:color w:val="000000"/>
        </w:rPr>
        <w:t xml:space="preserve">Additionally, </w:t>
      </w:r>
      <w:r w:rsidR="007006D9">
        <w:rPr>
          <w:rFonts w:cs="Times New Roman"/>
          <w:color w:val="000000"/>
        </w:rPr>
        <w:t xml:space="preserve">forecasts indicate increased inpatient use </w:t>
      </w:r>
      <w:r w:rsidRPr="00265166">
        <w:rPr>
          <w:rFonts w:cs="Times New Roman"/>
          <w:color w:val="000000"/>
        </w:rPr>
        <w:t>rates for inpatient medical oncology, correlated with an increase in both incidence and prevalence (below does not take population growth into account):</w:t>
      </w:r>
    </w:p>
    <w:tbl>
      <w:tblPr>
        <w:tblStyle w:val="TableGrid"/>
        <w:tblW w:w="8635" w:type="dxa"/>
        <w:tblInd w:w="720" w:type="dxa"/>
        <w:tblLook w:val="04A0" w:firstRow="1" w:lastRow="0" w:firstColumn="1" w:lastColumn="0" w:noHBand="0" w:noVBand="1"/>
      </w:tblPr>
      <w:tblGrid>
        <w:gridCol w:w="6295"/>
        <w:gridCol w:w="2340"/>
      </w:tblGrid>
      <w:tr w:rsidR="00265166" w:rsidRPr="00265166" w14:paraId="0FE1DE8A" w14:textId="77777777" w:rsidTr="003A6E88">
        <w:trPr>
          <w:cantSplit/>
          <w:tblHeader/>
        </w:trPr>
        <w:tc>
          <w:tcPr>
            <w:tcW w:w="6295" w:type="dxa"/>
            <w:shd w:val="clear" w:color="auto" w:fill="D9D9D9" w:themeFill="background1" w:themeFillShade="D9"/>
          </w:tcPr>
          <w:p w14:paraId="344A5FF0" w14:textId="2B450D5F" w:rsidR="00265166" w:rsidRPr="00265166" w:rsidRDefault="00265166" w:rsidP="002971F1">
            <w:pPr>
              <w:spacing w:line="259" w:lineRule="auto"/>
              <w:rPr>
                <w:rFonts w:ascii="Times New Roman" w:hAnsi="Times New Roman" w:cs="Times New Roman"/>
                <w:b/>
                <w:bCs/>
                <w:color w:val="000000"/>
              </w:rPr>
            </w:pPr>
            <w:r>
              <w:rPr>
                <w:rFonts w:ascii="Times New Roman" w:hAnsi="Times New Roman" w:cs="Times New Roman"/>
                <w:b/>
                <w:bCs/>
                <w:color w:val="000000"/>
              </w:rPr>
              <w:lastRenderedPageBreak/>
              <w:t xml:space="preserve">Young Adult (20-39) </w:t>
            </w:r>
            <w:r w:rsidRPr="00265166">
              <w:rPr>
                <w:rFonts w:ascii="Times New Roman" w:hAnsi="Times New Roman" w:cs="Times New Roman"/>
                <w:b/>
                <w:bCs/>
                <w:color w:val="000000"/>
              </w:rPr>
              <w:t xml:space="preserve">Patients in New England </w:t>
            </w:r>
            <w:r w:rsidR="00A865B0">
              <w:rPr>
                <w:rFonts w:ascii="Times New Roman" w:hAnsi="Times New Roman" w:cs="Times New Roman"/>
                <w:b/>
                <w:bCs/>
                <w:color w:val="000000"/>
              </w:rPr>
              <w:br/>
            </w:r>
            <w:r w:rsidRPr="00265166">
              <w:rPr>
                <w:rFonts w:ascii="Times New Roman" w:hAnsi="Times New Roman" w:cs="Times New Roman"/>
                <w:b/>
                <w:bCs/>
                <w:color w:val="000000"/>
              </w:rPr>
              <w:t>(MA, RI, ME, NH, CT, VT)</w:t>
            </w:r>
            <w:r w:rsidR="007006D9">
              <w:rPr>
                <w:rStyle w:val="FootnoteReference"/>
                <w:rFonts w:ascii="Times New Roman" w:hAnsi="Times New Roman" w:cs="Times New Roman"/>
                <w:b/>
                <w:bCs/>
                <w:color w:val="000000"/>
              </w:rPr>
              <w:footnoteReference w:id="8"/>
            </w:r>
          </w:p>
        </w:tc>
        <w:tc>
          <w:tcPr>
            <w:tcW w:w="2340" w:type="dxa"/>
            <w:shd w:val="clear" w:color="auto" w:fill="D9D9D9" w:themeFill="background1" w:themeFillShade="D9"/>
          </w:tcPr>
          <w:p w14:paraId="244F439F" w14:textId="77777777" w:rsidR="00265166" w:rsidRPr="00265166" w:rsidRDefault="00265166" w:rsidP="002971F1">
            <w:pPr>
              <w:spacing w:line="259" w:lineRule="auto"/>
              <w:jc w:val="center"/>
              <w:rPr>
                <w:rFonts w:ascii="Times New Roman" w:hAnsi="Times New Roman" w:cs="Times New Roman"/>
                <w:b/>
                <w:bCs/>
                <w:color w:val="000000"/>
              </w:rPr>
            </w:pPr>
            <w:r w:rsidRPr="00265166">
              <w:rPr>
                <w:rFonts w:ascii="Times New Roman" w:hAnsi="Times New Roman" w:cs="Times New Roman"/>
                <w:b/>
                <w:bCs/>
                <w:color w:val="000000"/>
              </w:rPr>
              <w:t>10-Year Growth Rate</w:t>
            </w:r>
          </w:p>
        </w:tc>
      </w:tr>
      <w:tr w:rsidR="00265166" w:rsidRPr="00265166" w14:paraId="30AE7B9B" w14:textId="77777777" w:rsidTr="003A6E88">
        <w:trPr>
          <w:cantSplit/>
        </w:trPr>
        <w:tc>
          <w:tcPr>
            <w:tcW w:w="6295" w:type="dxa"/>
            <w:shd w:val="clear" w:color="auto" w:fill="D9D9D9" w:themeFill="background1" w:themeFillShade="D9"/>
          </w:tcPr>
          <w:p w14:paraId="67231B50" w14:textId="77777777" w:rsidR="00265166" w:rsidRPr="00265166" w:rsidRDefault="00265166" w:rsidP="002971F1">
            <w:pPr>
              <w:spacing w:line="259" w:lineRule="auto"/>
              <w:rPr>
                <w:rFonts w:ascii="Times New Roman" w:hAnsi="Times New Roman" w:cs="Times New Roman"/>
                <w:color w:val="000000"/>
              </w:rPr>
            </w:pPr>
            <w:r w:rsidRPr="00265166">
              <w:rPr>
                <w:rFonts w:ascii="Times New Roman" w:hAnsi="Times New Roman" w:cs="Times New Roman"/>
                <w:color w:val="000000"/>
              </w:rPr>
              <w:t>Inpatient Oncology Forecasted Use Rate per 1000 population</w:t>
            </w:r>
          </w:p>
        </w:tc>
        <w:tc>
          <w:tcPr>
            <w:tcW w:w="2340" w:type="dxa"/>
            <w:shd w:val="clear" w:color="auto" w:fill="D9D9D9" w:themeFill="background1" w:themeFillShade="D9"/>
          </w:tcPr>
          <w:p w14:paraId="48DBBB55" w14:textId="77777777" w:rsidR="00265166" w:rsidRPr="00265166" w:rsidRDefault="00265166" w:rsidP="002971F1">
            <w:pPr>
              <w:spacing w:line="259" w:lineRule="auto"/>
              <w:jc w:val="center"/>
              <w:rPr>
                <w:rFonts w:ascii="Times New Roman" w:hAnsi="Times New Roman" w:cs="Times New Roman"/>
                <w:color w:val="000000"/>
              </w:rPr>
            </w:pPr>
          </w:p>
        </w:tc>
      </w:tr>
      <w:tr w:rsidR="00265166" w:rsidRPr="00265166" w14:paraId="3B774CD2" w14:textId="77777777" w:rsidTr="003A6E88">
        <w:trPr>
          <w:cantSplit/>
        </w:trPr>
        <w:tc>
          <w:tcPr>
            <w:tcW w:w="6295" w:type="dxa"/>
          </w:tcPr>
          <w:p w14:paraId="30C8A6FA" w14:textId="77777777" w:rsidR="00265166" w:rsidRPr="00265166" w:rsidRDefault="00265166" w:rsidP="002971F1">
            <w:pPr>
              <w:spacing w:line="259" w:lineRule="auto"/>
              <w:rPr>
                <w:rFonts w:ascii="Times New Roman" w:hAnsi="Times New Roman" w:cs="Times New Roman"/>
                <w:color w:val="000000"/>
              </w:rPr>
            </w:pPr>
            <w:r w:rsidRPr="00265166">
              <w:rPr>
                <w:rFonts w:ascii="Times New Roman" w:hAnsi="Times New Roman" w:cs="Times New Roman"/>
                <w:color w:val="000000"/>
              </w:rPr>
              <w:t>Inpatient Medical Oncology / Hematology DRGs</w:t>
            </w:r>
          </w:p>
        </w:tc>
        <w:tc>
          <w:tcPr>
            <w:tcW w:w="2340" w:type="dxa"/>
            <w:vAlign w:val="center"/>
          </w:tcPr>
          <w:p w14:paraId="1CBA8B1B" w14:textId="5006E2CB" w:rsidR="00265166" w:rsidRPr="00265166" w:rsidRDefault="00265166" w:rsidP="002971F1">
            <w:pPr>
              <w:spacing w:line="259" w:lineRule="auto"/>
              <w:jc w:val="center"/>
              <w:rPr>
                <w:rFonts w:ascii="Times New Roman" w:hAnsi="Times New Roman" w:cs="Times New Roman"/>
                <w:color w:val="000000"/>
              </w:rPr>
            </w:pPr>
            <w:r>
              <w:rPr>
                <w:rFonts w:ascii="Times New Roman" w:hAnsi="Times New Roman" w:cs="Times New Roman"/>
                <w:color w:val="000000"/>
              </w:rPr>
              <w:t>4</w:t>
            </w:r>
            <w:r w:rsidR="00E40FCD">
              <w:rPr>
                <w:rFonts w:ascii="Times New Roman" w:hAnsi="Times New Roman" w:cs="Times New Roman"/>
                <w:color w:val="000000"/>
              </w:rPr>
              <w:t>.</w:t>
            </w:r>
            <w:r>
              <w:rPr>
                <w:rFonts w:ascii="Times New Roman" w:hAnsi="Times New Roman" w:cs="Times New Roman"/>
                <w:color w:val="000000"/>
              </w:rPr>
              <w:t>64</w:t>
            </w:r>
            <w:r w:rsidRPr="00265166">
              <w:rPr>
                <w:rFonts w:ascii="Times New Roman" w:hAnsi="Times New Roman" w:cs="Times New Roman"/>
                <w:color w:val="000000"/>
              </w:rPr>
              <w:t>%</w:t>
            </w:r>
          </w:p>
        </w:tc>
      </w:tr>
      <w:tr w:rsidR="00265166" w:rsidRPr="00265166" w14:paraId="6A2A426F" w14:textId="77777777" w:rsidTr="003A6E88">
        <w:trPr>
          <w:cantSplit/>
        </w:trPr>
        <w:tc>
          <w:tcPr>
            <w:tcW w:w="6295" w:type="dxa"/>
            <w:shd w:val="clear" w:color="auto" w:fill="D9D9D9" w:themeFill="background1" w:themeFillShade="D9"/>
          </w:tcPr>
          <w:p w14:paraId="6ACAEF1A" w14:textId="77777777" w:rsidR="00265166" w:rsidRPr="00265166" w:rsidRDefault="00265166" w:rsidP="002971F1">
            <w:pPr>
              <w:spacing w:line="259" w:lineRule="auto"/>
              <w:rPr>
                <w:rFonts w:ascii="Times New Roman" w:hAnsi="Times New Roman" w:cs="Times New Roman"/>
                <w:color w:val="000000"/>
              </w:rPr>
            </w:pPr>
            <w:r w:rsidRPr="00265166">
              <w:rPr>
                <w:rFonts w:ascii="Times New Roman" w:hAnsi="Times New Roman" w:cs="Times New Roman"/>
                <w:color w:val="000000"/>
              </w:rPr>
              <w:t>Disease Prevalence Impact to Impatient Discharges</w:t>
            </w:r>
          </w:p>
        </w:tc>
        <w:tc>
          <w:tcPr>
            <w:tcW w:w="2340" w:type="dxa"/>
            <w:shd w:val="clear" w:color="auto" w:fill="D9D9D9" w:themeFill="background1" w:themeFillShade="D9"/>
            <w:vAlign w:val="center"/>
          </w:tcPr>
          <w:p w14:paraId="064397FC" w14:textId="77777777" w:rsidR="00265166" w:rsidRPr="00265166" w:rsidRDefault="00265166" w:rsidP="002971F1">
            <w:pPr>
              <w:spacing w:line="259" w:lineRule="auto"/>
              <w:jc w:val="center"/>
              <w:rPr>
                <w:rFonts w:ascii="Times New Roman" w:hAnsi="Times New Roman" w:cs="Times New Roman"/>
                <w:color w:val="000000"/>
              </w:rPr>
            </w:pPr>
          </w:p>
        </w:tc>
      </w:tr>
      <w:tr w:rsidR="00265166" w:rsidRPr="00265166" w14:paraId="2E065B9E" w14:textId="77777777" w:rsidTr="003A6E88">
        <w:trPr>
          <w:cantSplit/>
        </w:trPr>
        <w:tc>
          <w:tcPr>
            <w:tcW w:w="6295" w:type="dxa"/>
          </w:tcPr>
          <w:p w14:paraId="72439CC0" w14:textId="77777777" w:rsidR="00265166" w:rsidRPr="00265166" w:rsidRDefault="00265166" w:rsidP="002971F1">
            <w:pPr>
              <w:spacing w:line="259" w:lineRule="auto"/>
              <w:rPr>
                <w:rFonts w:ascii="Times New Roman" w:hAnsi="Times New Roman" w:cs="Times New Roman"/>
                <w:color w:val="000000"/>
              </w:rPr>
            </w:pPr>
            <w:r w:rsidRPr="00265166">
              <w:rPr>
                <w:rFonts w:ascii="Times New Roman" w:hAnsi="Times New Roman" w:cs="Times New Roman"/>
                <w:color w:val="000000"/>
              </w:rPr>
              <w:t xml:space="preserve">Forecasted disease prevalence impact to </w:t>
            </w:r>
            <w:r w:rsidRPr="00265166">
              <w:rPr>
                <w:rFonts w:ascii="Times New Roman" w:hAnsi="Times New Roman" w:cs="Times New Roman"/>
                <w:color w:val="000000"/>
              </w:rPr>
              <w:br/>
              <w:t>Inpatient Medical Oncology / Hematology DRGs</w:t>
            </w:r>
          </w:p>
        </w:tc>
        <w:tc>
          <w:tcPr>
            <w:tcW w:w="2340" w:type="dxa"/>
            <w:vAlign w:val="center"/>
          </w:tcPr>
          <w:p w14:paraId="26E15854" w14:textId="2A0DD1F8" w:rsidR="00265166" w:rsidRPr="00265166" w:rsidRDefault="00265166" w:rsidP="002971F1">
            <w:pPr>
              <w:spacing w:line="259" w:lineRule="auto"/>
              <w:jc w:val="center"/>
              <w:rPr>
                <w:rFonts w:ascii="Times New Roman" w:hAnsi="Times New Roman" w:cs="Times New Roman"/>
                <w:color w:val="000000"/>
              </w:rPr>
            </w:pPr>
            <w:r>
              <w:rPr>
                <w:rFonts w:ascii="Times New Roman" w:hAnsi="Times New Roman" w:cs="Times New Roman"/>
                <w:color w:val="000000"/>
              </w:rPr>
              <w:t>4</w:t>
            </w:r>
            <w:r w:rsidRPr="00265166">
              <w:rPr>
                <w:rFonts w:ascii="Times New Roman" w:hAnsi="Times New Roman" w:cs="Times New Roman"/>
                <w:color w:val="000000"/>
              </w:rPr>
              <w:t>.</w:t>
            </w:r>
            <w:r>
              <w:rPr>
                <w:rFonts w:ascii="Times New Roman" w:hAnsi="Times New Roman" w:cs="Times New Roman"/>
                <w:color w:val="000000"/>
              </w:rPr>
              <w:t>39</w:t>
            </w:r>
            <w:r w:rsidRPr="00265166">
              <w:rPr>
                <w:rFonts w:ascii="Times New Roman" w:hAnsi="Times New Roman" w:cs="Times New Roman"/>
                <w:color w:val="000000"/>
              </w:rPr>
              <w:t>%</w:t>
            </w:r>
          </w:p>
        </w:tc>
      </w:tr>
    </w:tbl>
    <w:p w14:paraId="6987AE0F" w14:textId="77777777" w:rsidR="0059086A" w:rsidRPr="007C60C5" w:rsidRDefault="0059086A" w:rsidP="0059086A">
      <w:pPr>
        <w:jc w:val="both"/>
        <w:rPr>
          <w:rFonts w:cs="Times New Roman"/>
          <w:color w:val="000000"/>
        </w:rPr>
      </w:pPr>
    </w:p>
    <w:p w14:paraId="62F07334" w14:textId="617D3DEA" w:rsidR="00AC0A51" w:rsidRPr="007C60C5" w:rsidRDefault="00AC0A51" w:rsidP="004166E2">
      <w:pPr>
        <w:pStyle w:val="ListParagraph"/>
        <w:numPr>
          <w:ilvl w:val="0"/>
          <w:numId w:val="10"/>
        </w:numPr>
        <w:spacing w:after="160" w:line="259" w:lineRule="auto"/>
        <w:rPr>
          <w:rFonts w:cs="Times New Roman"/>
          <w:b/>
          <w:bCs/>
        </w:rPr>
      </w:pPr>
      <w:r w:rsidRPr="007C60C5">
        <w:rPr>
          <w:rFonts w:cs="Times New Roman"/>
          <w:b/>
          <w:bCs/>
        </w:rPr>
        <w:t>Please elaborate on the increased prevalence of Cancers in the 75+ age cohort and how that links to the need for inpatient beds</w:t>
      </w:r>
      <w:r w:rsidR="0062574C" w:rsidRPr="007C60C5">
        <w:rPr>
          <w:rFonts w:cs="Times New Roman"/>
          <w:b/>
          <w:bCs/>
        </w:rPr>
        <w:t xml:space="preserve">. </w:t>
      </w:r>
    </w:p>
    <w:p w14:paraId="6405DDB8" w14:textId="2EEF4E79" w:rsidR="00C86B9D" w:rsidRPr="007C60C5" w:rsidRDefault="00E059E1" w:rsidP="00973CB0">
      <w:pPr>
        <w:spacing w:after="240" w:line="259" w:lineRule="auto"/>
        <w:ind w:left="720"/>
        <w:jc w:val="both"/>
        <w:rPr>
          <w:rFonts w:cs="Times New Roman"/>
        </w:rPr>
      </w:pPr>
      <w:r w:rsidRPr="007C60C5">
        <w:rPr>
          <w:rFonts w:cs="Times New Roman"/>
        </w:rPr>
        <w:t>The population is aging, and the strongest determinant of cancer risk is age</w:t>
      </w:r>
      <w:r w:rsidR="00652059" w:rsidRPr="007C60C5">
        <w:rPr>
          <w:rFonts w:cs="Times New Roman"/>
        </w:rPr>
        <w:t>;</w:t>
      </w:r>
      <w:r w:rsidRPr="007C60C5">
        <w:rPr>
          <w:rFonts w:cs="Times New Roman"/>
        </w:rPr>
        <w:t xml:space="preserve"> therefore, </w:t>
      </w:r>
      <w:r w:rsidR="001F3A10" w:rsidRPr="007C60C5">
        <w:rPr>
          <w:rFonts w:cs="Times New Roman"/>
        </w:rPr>
        <w:t>the Applicant</w:t>
      </w:r>
      <w:r w:rsidRPr="007C60C5">
        <w:rPr>
          <w:rFonts w:cs="Times New Roman"/>
        </w:rPr>
        <w:t xml:space="preserve"> anticipates a </w:t>
      </w:r>
      <w:r w:rsidRPr="00973CB0">
        <w:rPr>
          <w:rFonts w:cs="Times New Roman"/>
          <w:color w:val="000000"/>
        </w:rPr>
        <w:t>growing</w:t>
      </w:r>
      <w:r w:rsidRPr="007C60C5">
        <w:rPr>
          <w:rFonts w:cs="Times New Roman"/>
        </w:rPr>
        <w:t xml:space="preserve"> incidence and prevalence of cancer patients in the 75+ age </w:t>
      </w:r>
      <w:r w:rsidR="00EF0660" w:rsidRPr="007C60C5">
        <w:rPr>
          <w:rFonts w:cs="Times New Roman"/>
        </w:rPr>
        <w:t>cohort</w:t>
      </w:r>
      <w:r w:rsidRPr="007C60C5">
        <w:rPr>
          <w:rFonts w:cs="Times New Roman"/>
        </w:rPr>
        <w:t xml:space="preserve">. </w:t>
      </w:r>
      <w:r w:rsidR="00507261" w:rsidRPr="007C60C5">
        <w:rPr>
          <w:rFonts w:cs="Times New Roman"/>
        </w:rPr>
        <w:t xml:space="preserve">The Advisory Board </w:t>
      </w:r>
      <w:r w:rsidR="009812E6" w:rsidRPr="007C60C5">
        <w:rPr>
          <w:rFonts w:cs="Times New Roman"/>
        </w:rPr>
        <w:t>projects</w:t>
      </w:r>
      <w:r w:rsidR="00507261" w:rsidRPr="007C60C5">
        <w:rPr>
          <w:rFonts w:cs="Times New Roman"/>
        </w:rPr>
        <w:t xml:space="preserve"> that there will be a 28% growth in inpatient oncology patients</w:t>
      </w:r>
      <w:r w:rsidR="009812E6" w:rsidRPr="007C60C5">
        <w:rPr>
          <w:rFonts w:cs="Times New Roman"/>
        </w:rPr>
        <w:t xml:space="preserve"> in this age cohort.</w:t>
      </w:r>
      <w:r w:rsidR="00D30269">
        <w:rPr>
          <w:rStyle w:val="FootnoteReference"/>
          <w:rFonts w:cs="Times New Roman"/>
        </w:rPr>
        <w:footnoteReference w:id="9"/>
      </w:r>
      <w:r w:rsidR="009812E6" w:rsidRPr="007C60C5">
        <w:rPr>
          <w:rFonts w:cs="Times New Roman"/>
        </w:rPr>
        <w:t xml:space="preserve"> The Applicant’s admissions since 2018</w:t>
      </w:r>
      <w:r w:rsidR="00B75A9B" w:rsidRPr="007C60C5">
        <w:rPr>
          <w:rFonts w:cs="Times New Roman"/>
        </w:rPr>
        <w:t>, based on data from the Center for Health Information and Analysis</w:t>
      </w:r>
      <w:r w:rsidR="00B010FD" w:rsidRPr="007C60C5">
        <w:rPr>
          <w:rFonts w:cs="Times New Roman"/>
        </w:rPr>
        <w:t xml:space="preserve"> (“CHIA”)</w:t>
      </w:r>
      <w:r w:rsidR="00B75A9B" w:rsidRPr="007C60C5">
        <w:rPr>
          <w:rFonts w:cs="Times New Roman"/>
        </w:rPr>
        <w:t xml:space="preserve">, demonstrates an increase in admissions </w:t>
      </w:r>
      <w:r w:rsidR="0073125E" w:rsidRPr="007C60C5">
        <w:rPr>
          <w:rFonts w:cs="Times New Roman"/>
        </w:rPr>
        <w:t>for patients who are 80 and older</w:t>
      </w:r>
      <w:r w:rsidR="00CF5CC8" w:rsidRPr="007C60C5">
        <w:rPr>
          <w:rFonts w:cs="Times New Roman"/>
        </w:rPr>
        <w:t xml:space="preserve">, increasing from 1,138 discharges in fiscal year </w:t>
      </w:r>
      <w:r w:rsidR="00D3125E" w:rsidRPr="007C60C5">
        <w:rPr>
          <w:rFonts w:cs="Times New Roman"/>
        </w:rPr>
        <w:t xml:space="preserve">(“FY”) </w:t>
      </w:r>
      <w:r w:rsidR="00CF5CC8" w:rsidRPr="007C60C5">
        <w:rPr>
          <w:rFonts w:cs="Times New Roman"/>
        </w:rPr>
        <w:t xml:space="preserve">2018 to 1,286 in </w:t>
      </w:r>
      <w:r w:rsidR="00D3125E" w:rsidRPr="007C60C5">
        <w:rPr>
          <w:rFonts w:cs="Times New Roman"/>
        </w:rPr>
        <w:t>FY</w:t>
      </w:r>
      <w:r w:rsidR="00CF5CC8" w:rsidRPr="007C60C5">
        <w:rPr>
          <w:rFonts w:cs="Times New Roman"/>
        </w:rPr>
        <w:t>2022</w:t>
      </w:r>
      <w:r w:rsidR="00371D0B" w:rsidRPr="007C60C5">
        <w:rPr>
          <w:rFonts w:cs="Times New Roman"/>
        </w:rPr>
        <w:t xml:space="preserve"> (</w:t>
      </w:r>
      <w:r w:rsidR="00371D0B" w:rsidRPr="007C60C5">
        <w:rPr>
          <w:rFonts w:cs="Times New Roman"/>
          <w:i/>
          <w:iCs/>
        </w:rPr>
        <w:t>i.e.</w:t>
      </w:r>
      <w:r w:rsidR="00371D0B" w:rsidRPr="007C60C5">
        <w:rPr>
          <w:rFonts w:cs="Times New Roman"/>
        </w:rPr>
        <w:t>, 13%)</w:t>
      </w:r>
      <w:r w:rsidR="00CF5CC8" w:rsidRPr="007C60C5">
        <w:rPr>
          <w:rFonts w:cs="Times New Roman"/>
        </w:rPr>
        <w:t xml:space="preserve"> </w:t>
      </w:r>
    </w:p>
    <w:p w14:paraId="2A2743E6" w14:textId="78439428" w:rsidR="002D4A0A" w:rsidRDefault="00E059E1" w:rsidP="00973CB0">
      <w:pPr>
        <w:spacing w:after="240" w:line="259" w:lineRule="auto"/>
        <w:ind w:left="720"/>
        <w:jc w:val="both"/>
        <w:rPr>
          <w:rFonts w:cs="Times New Roman"/>
        </w:rPr>
      </w:pPr>
      <w:r w:rsidRPr="007C60C5">
        <w:rPr>
          <w:rFonts w:cs="Times New Roman"/>
        </w:rPr>
        <w:t>In addition, as patients age</w:t>
      </w:r>
      <w:r w:rsidR="0034649A" w:rsidRPr="007C60C5">
        <w:rPr>
          <w:rFonts w:cs="Times New Roman"/>
        </w:rPr>
        <w:t xml:space="preserve"> </w:t>
      </w:r>
      <w:r w:rsidRPr="007C60C5">
        <w:rPr>
          <w:rFonts w:cs="Times New Roman"/>
        </w:rPr>
        <w:t>their comorbidities increase, decreasing</w:t>
      </w:r>
      <w:r w:rsidR="00371D0B" w:rsidRPr="007C60C5">
        <w:rPr>
          <w:rFonts w:cs="Times New Roman"/>
        </w:rPr>
        <w:t xml:space="preserve"> their</w:t>
      </w:r>
      <w:r w:rsidRPr="007C60C5">
        <w:rPr>
          <w:rFonts w:cs="Times New Roman"/>
        </w:rPr>
        <w:t xml:space="preserve"> </w:t>
      </w:r>
      <w:r w:rsidR="00100432" w:rsidRPr="007C60C5">
        <w:rPr>
          <w:rFonts w:cs="Times New Roman"/>
        </w:rPr>
        <w:t xml:space="preserve">tolerance to </w:t>
      </w:r>
      <w:r w:rsidRPr="007C60C5">
        <w:rPr>
          <w:rFonts w:cs="Times New Roman"/>
        </w:rPr>
        <w:t xml:space="preserve">the physical impact of both </w:t>
      </w:r>
      <w:r w:rsidR="00100432" w:rsidRPr="007C60C5">
        <w:rPr>
          <w:rFonts w:cs="Times New Roman"/>
        </w:rPr>
        <w:t xml:space="preserve">their cancer </w:t>
      </w:r>
      <w:r w:rsidRPr="007C60C5">
        <w:rPr>
          <w:rFonts w:cs="Times New Roman"/>
        </w:rPr>
        <w:t xml:space="preserve">and its treatments, and increasing the frequency of hospitalizations to manage these complications. </w:t>
      </w:r>
      <w:r w:rsidR="006579D8" w:rsidRPr="007C60C5">
        <w:rPr>
          <w:rFonts w:cs="Times New Roman"/>
        </w:rPr>
        <w:t>As</w:t>
      </w:r>
      <w:r w:rsidRPr="007C60C5">
        <w:rPr>
          <w:rFonts w:cs="Times New Roman"/>
        </w:rPr>
        <w:t xml:space="preserve"> discussed above in #3, </w:t>
      </w:r>
      <w:r w:rsidR="00100432" w:rsidRPr="007C60C5">
        <w:rPr>
          <w:rFonts w:cs="Times New Roman"/>
        </w:rPr>
        <w:t xml:space="preserve">as </w:t>
      </w:r>
      <w:r w:rsidRPr="007C60C5">
        <w:rPr>
          <w:rFonts w:cs="Times New Roman"/>
        </w:rPr>
        <w:t>cancer treatment</w:t>
      </w:r>
      <w:r w:rsidR="00100432" w:rsidRPr="007C60C5">
        <w:rPr>
          <w:rFonts w:cs="Times New Roman"/>
        </w:rPr>
        <w:t xml:space="preserve"> </w:t>
      </w:r>
      <w:r w:rsidR="00371D0B" w:rsidRPr="007C60C5">
        <w:rPr>
          <w:rFonts w:cs="Times New Roman"/>
        </w:rPr>
        <w:t>evolves</w:t>
      </w:r>
      <w:r w:rsidRPr="007C60C5">
        <w:rPr>
          <w:rFonts w:cs="Times New Roman"/>
        </w:rPr>
        <w:t>, patients with metastatic cancer are living longer</w:t>
      </w:r>
      <w:r w:rsidR="00371D0B" w:rsidRPr="007C60C5">
        <w:rPr>
          <w:rFonts w:cs="Times New Roman"/>
        </w:rPr>
        <w:t xml:space="preserve"> and may</w:t>
      </w:r>
      <w:r w:rsidRPr="007C60C5">
        <w:rPr>
          <w:rFonts w:cs="Times New Roman"/>
        </w:rPr>
        <w:t xml:space="preserve"> require intermittent hospitalizations that occur </w:t>
      </w:r>
      <w:proofErr w:type="gramStart"/>
      <w:r w:rsidRPr="007C60C5">
        <w:rPr>
          <w:rFonts w:cs="Times New Roman"/>
        </w:rPr>
        <w:t>during the course of</w:t>
      </w:r>
      <w:proofErr w:type="gramEnd"/>
      <w:r w:rsidRPr="007C60C5">
        <w:rPr>
          <w:rFonts w:cs="Times New Roman"/>
        </w:rPr>
        <w:t xml:space="preserve"> their illness.</w:t>
      </w:r>
      <w:r w:rsidR="00BA44BA">
        <w:rPr>
          <w:rFonts w:cs="Times New Roman"/>
        </w:rPr>
        <w:t xml:space="preserve"> </w:t>
      </w:r>
    </w:p>
    <w:p w14:paraId="49091E5C" w14:textId="425478FD" w:rsidR="007006D9" w:rsidRDefault="007006D9" w:rsidP="007006D9">
      <w:pPr>
        <w:spacing w:after="240" w:line="259" w:lineRule="auto"/>
        <w:ind w:left="720"/>
        <w:jc w:val="both"/>
        <w:rPr>
          <w:rFonts w:cs="Times New Roman"/>
          <w:color w:val="000000"/>
        </w:rPr>
      </w:pPr>
      <w:r w:rsidRPr="00265166">
        <w:rPr>
          <w:rFonts w:cs="Times New Roman"/>
          <w:color w:val="000000"/>
        </w:rPr>
        <w:t xml:space="preserve">Additionally, </w:t>
      </w:r>
      <w:r>
        <w:rPr>
          <w:rFonts w:cs="Times New Roman"/>
          <w:color w:val="000000"/>
        </w:rPr>
        <w:t xml:space="preserve">forecasts indicate increased inpatient use </w:t>
      </w:r>
      <w:r w:rsidRPr="00265166">
        <w:rPr>
          <w:rFonts w:cs="Times New Roman"/>
          <w:color w:val="000000"/>
        </w:rPr>
        <w:t>rates for inpatient medical oncology, correlated with an increase in both incidence and prevalence (below does not take population growth into account):</w:t>
      </w:r>
    </w:p>
    <w:tbl>
      <w:tblPr>
        <w:tblStyle w:val="TableGrid"/>
        <w:tblW w:w="8635" w:type="dxa"/>
        <w:tblInd w:w="720" w:type="dxa"/>
        <w:tblLook w:val="04A0" w:firstRow="1" w:lastRow="0" w:firstColumn="1" w:lastColumn="0" w:noHBand="0" w:noVBand="1"/>
      </w:tblPr>
      <w:tblGrid>
        <w:gridCol w:w="6295"/>
        <w:gridCol w:w="2340"/>
      </w:tblGrid>
      <w:tr w:rsidR="00D97DDB" w:rsidRPr="00265166" w14:paraId="5B47B018" w14:textId="77777777" w:rsidTr="003A6E88">
        <w:trPr>
          <w:cantSplit/>
          <w:tblHeader/>
        </w:trPr>
        <w:tc>
          <w:tcPr>
            <w:tcW w:w="6295" w:type="dxa"/>
            <w:shd w:val="clear" w:color="auto" w:fill="D9D9D9" w:themeFill="background1" w:themeFillShade="D9"/>
          </w:tcPr>
          <w:p w14:paraId="7A37D8BC" w14:textId="458B763F" w:rsidR="00D97DDB" w:rsidRPr="00265166" w:rsidRDefault="00D97DDB" w:rsidP="00D97DDB">
            <w:pPr>
              <w:spacing w:line="259" w:lineRule="auto"/>
              <w:rPr>
                <w:rFonts w:ascii="Times New Roman" w:hAnsi="Times New Roman" w:cs="Times New Roman"/>
                <w:b/>
                <w:bCs/>
                <w:color w:val="000000"/>
              </w:rPr>
            </w:pPr>
            <w:r w:rsidRPr="00265166">
              <w:rPr>
                <w:rFonts w:ascii="Times New Roman" w:hAnsi="Times New Roman" w:cs="Times New Roman"/>
                <w:b/>
                <w:bCs/>
                <w:color w:val="000000"/>
              </w:rPr>
              <w:t xml:space="preserve">Aged 75+ Patients in New England </w:t>
            </w:r>
            <w:r w:rsidR="003C24B4">
              <w:rPr>
                <w:rFonts w:ascii="Times New Roman" w:hAnsi="Times New Roman" w:cs="Times New Roman"/>
                <w:b/>
                <w:bCs/>
                <w:color w:val="000000"/>
              </w:rPr>
              <w:br/>
            </w:r>
            <w:r w:rsidRPr="00265166">
              <w:rPr>
                <w:rFonts w:ascii="Times New Roman" w:hAnsi="Times New Roman" w:cs="Times New Roman"/>
                <w:b/>
                <w:bCs/>
                <w:color w:val="000000"/>
              </w:rPr>
              <w:t>(MA, RI, ME, NH, CT, VT)</w:t>
            </w:r>
            <w:r w:rsidR="007006D9">
              <w:rPr>
                <w:rStyle w:val="FootnoteReference"/>
                <w:rFonts w:ascii="Times New Roman" w:hAnsi="Times New Roman" w:cs="Times New Roman"/>
                <w:b/>
                <w:bCs/>
                <w:color w:val="000000"/>
              </w:rPr>
              <w:footnoteReference w:id="10"/>
            </w:r>
          </w:p>
        </w:tc>
        <w:tc>
          <w:tcPr>
            <w:tcW w:w="2340" w:type="dxa"/>
            <w:shd w:val="clear" w:color="auto" w:fill="D9D9D9" w:themeFill="background1" w:themeFillShade="D9"/>
          </w:tcPr>
          <w:p w14:paraId="4B176342" w14:textId="4BE91F50" w:rsidR="00D97DDB" w:rsidRPr="00265166" w:rsidRDefault="00D97DDB" w:rsidP="00D97DDB">
            <w:pPr>
              <w:spacing w:line="259" w:lineRule="auto"/>
              <w:jc w:val="center"/>
              <w:rPr>
                <w:rFonts w:ascii="Times New Roman" w:hAnsi="Times New Roman" w:cs="Times New Roman"/>
                <w:b/>
                <w:bCs/>
                <w:color w:val="000000"/>
              </w:rPr>
            </w:pPr>
            <w:r w:rsidRPr="00265166">
              <w:rPr>
                <w:rFonts w:ascii="Times New Roman" w:hAnsi="Times New Roman" w:cs="Times New Roman"/>
                <w:b/>
                <w:bCs/>
                <w:color w:val="000000"/>
              </w:rPr>
              <w:t>10-Year Growth Rate</w:t>
            </w:r>
          </w:p>
        </w:tc>
      </w:tr>
      <w:tr w:rsidR="00D97DDB" w:rsidRPr="00265166" w14:paraId="71C6B07E" w14:textId="77777777" w:rsidTr="003A6E88">
        <w:trPr>
          <w:cantSplit/>
        </w:trPr>
        <w:tc>
          <w:tcPr>
            <w:tcW w:w="6295" w:type="dxa"/>
            <w:shd w:val="clear" w:color="auto" w:fill="D9D9D9" w:themeFill="background1" w:themeFillShade="D9"/>
          </w:tcPr>
          <w:p w14:paraId="683B6FBE" w14:textId="05D64C53" w:rsidR="00D97DDB" w:rsidRPr="00265166" w:rsidRDefault="00D97DDB" w:rsidP="00D97DDB">
            <w:pPr>
              <w:spacing w:line="259" w:lineRule="auto"/>
              <w:rPr>
                <w:rFonts w:ascii="Times New Roman" w:hAnsi="Times New Roman" w:cs="Times New Roman"/>
                <w:color w:val="000000"/>
              </w:rPr>
            </w:pPr>
            <w:r w:rsidRPr="00265166">
              <w:rPr>
                <w:rFonts w:ascii="Times New Roman" w:hAnsi="Times New Roman" w:cs="Times New Roman"/>
                <w:color w:val="000000"/>
              </w:rPr>
              <w:t>Inpatient Oncology Forecasted Use Rate per 1000 population</w:t>
            </w:r>
          </w:p>
        </w:tc>
        <w:tc>
          <w:tcPr>
            <w:tcW w:w="2340" w:type="dxa"/>
            <w:shd w:val="clear" w:color="auto" w:fill="D9D9D9" w:themeFill="background1" w:themeFillShade="D9"/>
          </w:tcPr>
          <w:p w14:paraId="6045D344" w14:textId="77777777" w:rsidR="00D97DDB" w:rsidRPr="00265166" w:rsidRDefault="00D97DDB" w:rsidP="00D97DDB">
            <w:pPr>
              <w:spacing w:line="259" w:lineRule="auto"/>
              <w:jc w:val="center"/>
              <w:rPr>
                <w:rFonts w:ascii="Times New Roman" w:hAnsi="Times New Roman" w:cs="Times New Roman"/>
                <w:color w:val="000000"/>
              </w:rPr>
            </w:pPr>
          </w:p>
        </w:tc>
      </w:tr>
      <w:tr w:rsidR="00D97DDB" w:rsidRPr="00265166" w14:paraId="1B42E509" w14:textId="77777777" w:rsidTr="003A6E88">
        <w:trPr>
          <w:cantSplit/>
        </w:trPr>
        <w:tc>
          <w:tcPr>
            <w:tcW w:w="6295" w:type="dxa"/>
          </w:tcPr>
          <w:p w14:paraId="6E6DB4FA" w14:textId="261565E0" w:rsidR="00D97DDB" w:rsidRPr="00265166" w:rsidRDefault="00D97DDB" w:rsidP="00D97DDB">
            <w:pPr>
              <w:spacing w:line="259" w:lineRule="auto"/>
              <w:rPr>
                <w:rFonts w:ascii="Times New Roman" w:hAnsi="Times New Roman" w:cs="Times New Roman"/>
                <w:color w:val="000000"/>
              </w:rPr>
            </w:pPr>
            <w:r w:rsidRPr="00265166">
              <w:rPr>
                <w:rFonts w:ascii="Times New Roman" w:hAnsi="Times New Roman" w:cs="Times New Roman"/>
                <w:color w:val="000000"/>
              </w:rPr>
              <w:t>Inpatient Medical Oncology / Hematology DRGs</w:t>
            </w:r>
          </w:p>
        </w:tc>
        <w:tc>
          <w:tcPr>
            <w:tcW w:w="2340" w:type="dxa"/>
            <w:vAlign w:val="center"/>
          </w:tcPr>
          <w:p w14:paraId="21036B95" w14:textId="1C21CFAD" w:rsidR="00D97DDB" w:rsidRPr="00265166" w:rsidRDefault="00D97DDB" w:rsidP="00D97DDB">
            <w:pPr>
              <w:spacing w:line="259" w:lineRule="auto"/>
              <w:jc w:val="center"/>
              <w:rPr>
                <w:rFonts w:ascii="Times New Roman" w:hAnsi="Times New Roman" w:cs="Times New Roman"/>
                <w:color w:val="000000"/>
              </w:rPr>
            </w:pPr>
            <w:r w:rsidRPr="00265166">
              <w:rPr>
                <w:rFonts w:ascii="Times New Roman" w:hAnsi="Times New Roman" w:cs="Times New Roman"/>
                <w:color w:val="000000"/>
              </w:rPr>
              <w:t>7.96%</w:t>
            </w:r>
          </w:p>
        </w:tc>
      </w:tr>
      <w:tr w:rsidR="00D97DDB" w:rsidRPr="00265166" w14:paraId="76F4BA26" w14:textId="77777777" w:rsidTr="003A6E88">
        <w:trPr>
          <w:cantSplit/>
        </w:trPr>
        <w:tc>
          <w:tcPr>
            <w:tcW w:w="6295" w:type="dxa"/>
            <w:shd w:val="clear" w:color="auto" w:fill="D9D9D9" w:themeFill="background1" w:themeFillShade="D9"/>
          </w:tcPr>
          <w:p w14:paraId="70593CB2" w14:textId="6B70A451" w:rsidR="00D97DDB" w:rsidRPr="00265166" w:rsidRDefault="00D97DDB" w:rsidP="00D97DDB">
            <w:pPr>
              <w:spacing w:line="259" w:lineRule="auto"/>
              <w:rPr>
                <w:rFonts w:ascii="Times New Roman" w:hAnsi="Times New Roman" w:cs="Times New Roman"/>
                <w:color w:val="000000"/>
              </w:rPr>
            </w:pPr>
            <w:r w:rsidRPr="00265166">
              <w:rPr>
                <w:rFonts w:ascii="Times New Roman" w:hAnsi="Times New Roman" w:cs="Times New Roman"/>
                <w:color w:val="000000"/>
              </w:rPr>
              <w:t>Disease Prevalence Impact to Impatient Discharges</w:t>
            </w:r>
          </w:p>
        </w:tc>
        <w:tc>
          <w:tcPr>
            <w:tcW w:w="2340" w:type="dxa"/>
            <w:shd w:val="clear" w:color="auto" w:fill="D9D9D9" w:themeFill="background1" w:themeFillShade="D9"/>
            <w:vAlign w:val="center"/>
          </w:tcPr>
          <w:p w14:paraId="33CDBDBD" w14:textId="77777777" w:rsidR="00D97DDB" w:rsidRPr="00265166" w:rsidRDefault="00D97DDB" w:rsidP="00D97DDB">
            <w:pPr>
              <w:spacing w:line="259" w:lineRule="auto"/>
              <w:jc w:val="center"/>
              <w:rPr>
                <w:rFonts w:ascii="Times New Roman" w:hAnsi="Times New Roman" w:cs="Times New Roman"/>
                <w:color w:val="000000"/>
              </w:rPr>
            </w:pPr>
          </w:p>
        </w:tc>
      </w:tr>
      <w:tr w:rsidR="00D97DDB" w:rsidRPr="00265166" w14:paraId="6859F1C1" w14:textId="77777777" w:rsidTr="003A6E88">
        <w:trPr>
          <w:cantSplit/>
        </w:trPr>
        <w:tc>
          <w:tcPr>
            <w:tcW w:w="6295" w:type="dxa"/>
          </w:tcPr>
          <w:p w14:paraId="5D2BF3A3" w14:textId="1BFDF8D6" w:rsidR="00D97DDB" w:rsidRPr="00265166" w:rsidRDefault="00D97DDB" w:rsidP="00D97DDB">
            <w:pPr>
              <w:spacing w:line="259" w:lineRule="auto"/>
              <w:rPr>
                <w:rFonts w:ascii="Times New Roman" w:hAnsi="Times New Roman" w:cs="Times New Roman"/>
                <w:color w:val="000000"/>
              </w:rPr>
            </w:pPr>
            <w:r w:rsidRPr="00265166">
              <w:rPr>
                <w:rFonts w:ascii="Times New Roman" w:hAnsi="Times New Roman" w:cs="Times New Roman"/>
                <w:color w:val="000000"/>
              </w:rPr>
              <w:t xml:space="preserve">Forecasted disease prevalence impact to </w:t>
            </w:r>
            <w:r w:rsidRPr="00265166">
              <w:rPr>
                <w:rFonts w:ascii="Times New Roman" w:hAnsi="Times New Roman" w:cs="Times New Roman"/>
                <w:color w:val="000000"/>
              </w:rPr>
              <w:br/>
              <w:t>Inpatient Medical Oncology / Hematology DRGs</w:t>
            </w:r>
          </w:p>
        </w:tc>
        <w:tc>
          <w:tcPr>
            <w:tcW w:w="2340" w:type="dxa"/>
            <w:vAlign w:val="center"/>
          </w:tcPr>
          <w:p w14:paraId="7A2E96BE" w14:textId="27773D55" w:rsidR="00D97DDB" w:rsidRPr="00265166" w:rsidRDefault="00D97DDB" w:rsidP="00D97DDB">
            <w:pPr>
              <w:spacing w:line="259" w:lineRule="auto"/>
              <w:jc w:val="center"/>
              <w:rPr>
                <w:rFonts w:ascii="Times New Roman" w:hAnsi="Times New Roman" w:cs="Times New Roman"/>
                <w:color w:val="000000"/>
              </w:rPr>
            </w:pPr>
            <w:r w:rsidRPr="00265166">
              <w:rPr>
                <w:rFonts w:ascii="Times New Roman" w:hAnsi="Times New Roman" w:cs="Times New Roman"/>
                <w:color w:val="000000"/>
              </w:rPr>
              <w:t>11.47%</w:t>
            </w:r>
          </w:p>
        </w:tc>
      </w:tr>
    </w:tbl>
    <w:p w14:paraId="25963061" w14:textId="77777777" w:rsidR="00973CB0" w:rsidRDefault="00973CB0" w:rsidP="00973CB0">
      <w:pPr>
        <w:spacing w:after="240" w:line="259" w:lineRule="auto"/>
        <w:ind w:left="720"/>
        <w:jc w:val="both"/>
        <w:rPr>
          <w:rFonts w:cs="Times New Roman"/>
          <w:color w:val="000000"/>
        </w:rPr>
      </w:pPr>
    </w:p>
    <w:p w14:paraId="3D8082F5" w14:textId="62606108" w:rsidR="00AC0A51" w:rsidRPr="007C60C5" w:rsidRDefault="00AC0A51" w:rsidP="00AC0A51">
      <w:pPr>
        <w:pStyle w:val="ListParagraph"/>
        <w:numPr>
          <w:ilvl w:val="0"/>
          <w:numId w:val="10"/>
        </w:numPr>
        <w:spacing w:after="160" w:line="259" w:lineRule="auto"/>
        <w:rPr>
          <w:rFonts w:cs="Times New Roman"/>
          <w:b/>
          <w:bCs/>
        </w:rPr>
      </w:pPr>
      <w:r w:rsidRPr="007C60C5">
        <w:rPr>
          <w:rFonts w:cs="Times New Roman"/>
          <w:b/>
          <w:bCs/>
        </w:rPr>
        <w:t>You state that there are seven patients per day that you cannot accept. Is that due to the lack of beds, or also for other reasons?</w:t>
      </w:r>
    </w:p>
    <w:p w14:paraId="45C647C9" w14:textId="592ACEF7" w:rsidR="00335AF4" w:rsidRPr="00947F7D" w:rsidRDefault="002F76CE" w:rsidP="00D97DDB">
      <w:pPr>
        <w:spacing w:after="240" w:line="259" w:lineRule="auto"/>
        <w:ind w:left="720"/>
        <w:jc w:val="both"/>
        <w:rPr>
          <w:rFonts w:cs="Times New Roman"/>
        </w:rPr>
      </w:pPr>
      <w:bookmarkStart w:id="0" w:name="_Hlk157415232"/>
      <w:r>
        <w:rPr>
          <w:rFonts w:cs="Times New Roman"/>
        </w:rPr>
        <w:lastRenderedPageBreak/>
        <w:t xml:space="preserve">Yes, this stems from the Applicant’s lack of beds. </w:t>
      </w:r>
      <w:r w:rsidR="00947F7D" w:rsidRPr="007C60C5">
        <w:rPr>
          <w:rFonts w:cs="Times New Roman"/>
        </w:rPr>
        <w:t xml:space="preserve">These are patients who have been clinically accepted by the Applicant’s oncologists and are awaiting a bed for transfer to one of the Applicant’s beds or one the beds managed by the Applicant’s oncologists at BWH. </w:t>
      </w:r>
      <w:r w:rsidR="00947F7D">
        <w:rPr>
          <w:rFonts w:cs="Times New Roman"/>
        </w:rPr>
        <w:t>For context, all patients awaiting admission are triaged daily by a clinical team given the current bed constraints.</w:t>
      </w:r>
      <w:bookmarkEnd w:id="0"/>
    </w:p>
    <w:p w14:paraId="6F4A9F60" w14:textId="55CB8E15" w:rsidR="00773B2E" w:rsidRPr="007C60C5" w:rsidRDefault="00AC0A51" w:rsidP="00652059">
      <w:pPr>
        <w:pStyle w:val="ListParagraph"/>
        <w:numPr>
          <w:ilvl w:val="0"/>
          <w:numId w:val="10"/>
        </w:numPr>
        <w:spacing w:after="160" w:line="259" w:lineRule="auto"/>
        <w:rPr>
          <w:rFonts w:cs="Times New Roman"/>
          <w:b/>
          <w:bCs/>
        </w:rPr>
      </w:pPr>
      <w:bookmarkStart w:id="1" w:name="_Hlk157095272"/>
      <w:r w:rsidRPr="007C60C5">
        <w:rPr>
          <w:rFonts w:cs="Times New Roman"/>
          <w:b/>
          <w:bCs/>
        </w:rPr>
        <w:t xml:space="preserve">Please explain further the nature of the “specialized equipment, tools, and support services” and facility requirements </w:t>
      </w:r>
      <w:proofErr w:type="gramStart"/>
      <w:r w:rsidRPr="007C60C5">
        <w:rPr>
          <w:rFonts w:cs="Times New Roman"/>
          <w:b/>
          <w:bCs/>
        </w:rPr>
        <w:t>in order to</w:t>
      </w:r>
      <w:proofErr w:type="gramEnd"/>
      <w:r w:rsidRPr="007C60C5">
        <w:rPr>
          <w:rFonts w:cs="Times New Roman"/>
          <w:b/>
          <w:bCs/>
        </w:rPr>
        <w:t xml:space="preserve"> perform your “subspecialized” services and whether these are currently available now or feasible to add at your current site. Does the current facility meet the requirements for the newest cancer treatments?</w:t>
      </w:r>
    </w:p>
    <w:bookmarkEnd w:id="1"/>
    <w:p w14:paraId="2A77708F" w14:textId="57157405" w:rsidR="00EE7568" w:rsidRDefault="00534044" w:rsidP="0047699C">
      <w:pPr>
        <w:spacing w:after="240" w:line="259" w:lineRule="auto"/>
        <w:ind w:left="720"/>
        <w:jc w:val="both"/>
        <w:rPr>
          <w:rFonts w:cs="Times New Roman"/>
        </w:rPr>
      </w:pPr>
      <w:r>
        <w:rPr>
          <w:rFonts w:eastAsia="Times New Roman"/>
        </w:rPr>
        <w:t>While</w:t>
      </w:r>
      <w:r w:rsidR="00D33D31" w:rsidRPr="33CB19EB">
        <w:rPr>
          <w:rFonts w:eastAsia="Times New Roman"/>
        </w:rPr>
        <w:t xml:space="preserve"> </w:t>
      </w:r>
      <w:r>
        <w:rPr>
          <w:rFonts w:eastAsia="Times New Roman"/>
        </w:rPr>
        <w:t xml:space="preserve">the </w:t>
      </w:r>
      <w:r w:rsidR="00D33D31" w:rsidRPr="33CB19EB">
        <w:rPr>
          <w:rFonts w:eastAsia="Times New Roman"/>
        </w:rPr>
        <w:t xml:space="preserve">current facility </w:t>
      </w:r>
      <w:r>
        <w:rPr>
          <w:rFonts w:eastAsia="Times New Roman"/>
        </w:rPr>
        <w:t>is</w:t>
      </w:r>
      <w:r w:rsidR="00EE7568">
        <w:rPr>
          <w:rFonts w:eastAsia="Times New Roman"/>
        </w:rPr>
        <w:t xml:space="preserve"> capable</w:t>
      </w:r>
      <w:r>
        <w:rPr>
          <w:rFonts w:eastAsia="Times New Roman"/>
        </w:rPr>
        <w:t xml:space="preserve">, it is five decades old and would require extensive renovations to keep pace with the rapid advances in cancer </w:t>
      </w:r>
      <w:r w:rsidR="00D33D31" w:rsidRPr="33CB19EB">
        <w:rPr>
          <w:rFonts w:cs="Times New Roman"/>
        </w:rPr>
        <w:t>technologies and services</w:t>
      </w:r>
      <w:r>
        <w:rPr>
          <w:rFonts w:cs="Times New Roman"/>
        </w:rPr>
        <w:t xml:space="preserve">. </w:t>
      </w:r>
      <w:r w:rsidR="0047699C">
        <w:rPr>
          <w:rFonts w:cs="Times New Roman"/>
        </w:rPr>
        <w:t xml:space="preserve">Importantly, the Applicant is unable to undertake those renovations within the current facility, which it does not control. </w:t>
      </w:r>
      <w:r w:rsidR="00B66249">
        <w:rPr>
          <w:rFonts w:cs="Times New Roman"/>
        </w:rPr>
        <w:t>The growing need for renovations</w:t>
      </w:r>
      <w:r w:rsidR="00EE7568">
        <w:rPr>
          <w:rFonts w:cs="Times New Roman"/>
        </w:rPr>
        <w:t xml:space="preserve"> is reflected in recent patient satisfaction scores</w:t>
      </w:r>
      <w:r w:rsidR="00175208">
        <w:rPr>
          <w:rFonts w:cs="Times New Roman"/>
        </w:rPr>
        <w:t xml:space="preserve"> fr</w:t>
      </w:r>
      <w:r w:rsidR="00BC0A50">
        <w:rPr>
          <w:rFonts w:cs="Times New Roman"/>
        </w:rPr>
        <w:t>o</w:t>
      </w:r>
      <w:r w:rsidR="00175208">
        <w:rPr>
          <w:rFonts w:cs="Times New Roman"/>
        </w:rPr>
        <w:t>m Press-Ganey</w:t>
      </w:r>
      <w:r w:rsidR="00EE7568">
        <w:rPr>
          <w:rFonts w:cs="Times New Roman"/>
        </w:rPr>
        <w:t xml:space="preserve">. </w:t>
      </w:r>
      <w:r w:rsidR="0050615B">
        <w:rPr>
          <w:rFonts w:cs="Times New Roman"/>
        </w:rPr>
        <w:t>While t</w:t>
      </w:r>
      <w:r w:rsidR="00175208">
        <w:rPr>
          <w:rFonts w:cs="Times New Roman"/>
        </w:rPr>
        <w:t xml:space="preserve">hose </w:t>
      </w:r>
      <w:r w:rsidR="00EE7568">
        <w:rPr>
          <w:rFonts w:cs="Times New Roman"/>
        </w:rPr>
        <w:t xml:space="preserve">scores are consistently exemplary for the </w:t>
      </w:r>
      <w:r w:rsidR="004A1A2C">
        <w:rPr>
          <w:rFonts w:cs="Times New Roman"/>
        </w:rPr>
        <w:t xml:space="preserve">overall </w:t>
      </w:r>
      <w:r w:rsidR="0050615B">
        <w:rPr>
          <w:rFonts w:cs="Times New Roman"/>
        </w:rPr>
        <w:t xml:space="preserve">care provided by the </w:t>
      </w:r>
      <w:r w:rsidR="00EE7568">
        <w:rPr>
          <w:rFonts w:cs="Times New Roman"/>
        </w:rPr>
        <w:t xml:space="preserve">Applicant’s </w:t>
      </w:r>
      <w:r w:rsidR="004A1A2C">
        <w:rPr>
          <w:rFonts w:cs="Times New Roman"/>
        </w:rPr>
        <w:t>staff</w:t>
      </w:r>
      <w:r w:rsidR="00175208">
        <w:rPr>
          <w:rFonts w:cs="Times New Roman"/>
        </w:rPr>
        <w:t>, facility scores have been consistently lower. For example, for the last quarter of 2023, while the overall rating for the Applicant’s inpatient care was in the 9</w:t>
      </w:r>
      <w:r w:rsidR="00F01986">
        <w:rPr>
          <w:rFonts w:cs="Times New Roman"/>
        </w:rPr>
        <w:t>4</w:t>
      </w:r>
      <w:r w:rsidR="00175208" w:rsidRPr="00175208">
        <w:rPr>
          <w:rFonts w:cs="Times New Roman"/>
          <w:vertAlign w:val="superscript"/>
        </w:rPr>
        <w:t>th</w:t>
      </w:r>
      <w:r w:rsidR="00175208">
        <w:rPr>
          <w:rFonts w:cs="Times New Roman"/>
        </w:rPr>
        <w:t xml:space="preserve"> percentile, the “hospital environment” scored in the </w:t>
      </w:r>
      <w:r w:rsidR="00F01986">
        <w:rPr>
          <w:rFonts w:cs="Times New Roman"/>
        </w:rPr>
        <w:t>3</w:t>
      </w:r>
      <w:r w:rsidR="00175208">
        <w:rPr>
          <w:rFonts w:cs="Times New Roman"/>
        </w:rPr>
        <w:t xml:space="preserve">8th percentile and the quietness of environment only scored in the </w:t>
      </w:r>
      <w:r w:rsidR="00F01986">
        <w:rPr>
          <w:rFonts w:cs="Times New Roman"/>
        </w:rPr>
        <w:t>13</w:t>
      </w:r>
      <w:r w:rsidR="00175208">
        <w:rPr>
          <w:rFonts w:cs="Times New Roman"/>
        </w:rPr>
        <w:t xml:space="preserve">th percentile. </w:t>
      </w:r>
    </w:p>
    <w:p w14:paraId="4F40287A" w14:textId="16E5555A" w:rsidR="00553C78" w:rsidRDefault="00175208" w:rsidP="0047699C">
      <w:pPr>
        <w:spacing w:after="240" w:line="259" w:lineRule="auto"/>
        <w:ind w:left="720"/>
        <w:jc w:val="both"/>
        <w:rPr>
          <w:rFonts w:cs="Times New Roman"/>
        </w:rPr>
      </w:pPr>
      <w:r>
        <w:rPr>
          <w:rFonts w:cs="Times New Roman"/>
        </w:rPr>
        <w:t xml:space="preserve">This reflects in part that </w:t>
      </w:r>
      <w:r w:rsidR="00501BCB">
        <w:rPr>
          <w:rFonts w:cs="Times New Roman"/>
        </w:rPr>
        <w:t xml:space="preserve">the </w:t>
      </w:r>
      <w:r w:rsidR="00EE7568">
        <w:rPr>
          <w:rFonts w:cs="Times New Roman"/>
        </w:rPr>
        <w:t xml:space="preserve">current facility </w:t>
      </w:r>
      <w:r w:rsidR="0047699C">
        <w:rPr>
          <w:rFonts w:cs="Times New Roman"/>
        </w:rPr>
        <w:t xml:space="preserve">lacks adequate </w:t>
      </w:r>
      <w:r w:rsidR="0047699C" w:rsidRPr="33CB19EB">
        <w:rPr>
          <w:rFonts w:cs="Times New Roman"/>
        </w:rPr>
        <w:t xml:space="preserve">space </w:t>
      </w:r>
      <w:r w:rsidR="0047699C">
        <w:rPr>
          <w:rFonts w:cs="Times New Roman"/>
        </w:rPr>
        <w:t xml:space="preserve">for the storage, transportation, and efficient use of </w:t>
      </w:r>
      <w:r w:rsidR="00501BCB">
        <w:rPr>
          <w:rFonts w:cs="Times New Roman"/>
        </w:rPr>
        <w:t xml:space="preserve">the </w:t>
      </w:r>
      <w:r w:rsidR="0047699C" w:rsidRPr="33CB19EB">
        <w:rPr>
          <w:rFonts w:cs="Times New Roman"/>
        </w:rPr>
        <w:t>newest technolog</w:t>
      </w:r>
      <w:r w:rsidR="00501BCB">
        <w:rPr>
          <w:rFonts w:cs="Times New Roman"/>
        </w:rPr>
        <w:t>ies</w:t>
      </w:r>
      <w:r w:rsidR="0047699C" w:rsidRPr="33CB19EB">
        <w:rPr>
          <w:rFonts w:cs="Times New Roman"/>
        </w:rPr>
        <w:t xml:space="preserve"> and patient mobility equipment which are vital to standard cancer treatment.</w:t>
      </w:r>
      <w:r w:rsidR="0047699C">
        <w:rPr>
          <w:rFonts w:cs="Times New Roman"/>
        </w:rPr>
        <w:t xml:space="preserve"> As an example, t</w:t>
      </w:r>
      <w:r w:rsidR="00534044" w:rsidRPr="33CB19EB">
        <w:rPr>
          <w:rFonts w:cs="Times New Roman"/>
        </w:rPr>
        <w:t xml:space="preserve">he acuity of </w:t>
      </w:r>
      <w:r w:rsidR="00534044">
        <w:rPr>
          <w:rFonts w:cs="Times New Roman"/>
        </w:rPr>
        <w:t>the Applicant’s</w:t>
      </w:r>
      <w:r w:rsidR="00534044" w:rsidRPr="33CB19EB">
        <w:rPr>
          <w:rFonts w:cs="Times New Roman"/>
        </w:rPr>
        <w:t xml:space="preserve"> inpatients has increased such that many </w:t>
      </w:r>
      <w:r w:rsidR="00534044">
        <w:rPr>
          <w:rFonts w:cs="Times New Roman"/>
        </w:rPr>
        <w:t xml:space="preserve">patients </w:t>
      </w:r>
      <w:r w:rsidR="00534044" w:rsidRPr="33CB19EB">
        <w:rPr>
          <w:rFonts w:cs="Times New Roman"/>
        </w:rPr>
        <w:t>are simultaneously tethered via IV poles</w:t>
      </w:r>
      <w:r w:rsidR="0047699C">
        <w:rPr>
          <w:rFonts w:cs="Times New Roman"/>
        </w:rPr>
        <w:t xml:space="preserve"> (including large-based IV poles)</w:t>
      </w:r>
      <w:r w:rsidR="00534044" w:rsidRPr="33CB19EB">
        <w:rPr>
          <w:rFonts w:cs="Times New Roman"/>
        </w:rPr>
        <w:t>, catheters</w:t>
      </w:r>
      <w:r w:rsidR="00534044">
        <w:rPr>
          <w:rFonts w:cs="Times New Roman"/>
        </w:rPr>
        <w:t>,</w:t>
      </w:r>
      <w:r w:rsidR="00534044" w:rsidRPr="33CB19EB">
        <w:rPr>
          <w:rFonts w:cs="Times New Roman"/>
        </w:rPr>
        <w:t xml:space="preserve"> and drainage tubes</w:t>
      </w:r>
      <w:r w:rsidR="0047699C">
        <w:rPr>
          <w:rFonts w:cs="Times New Roman"/>
        </w:rPr>
        <w:t xml:space="preserve">. These </w:t>
      </w:r>
      <w:r w:rsidR="00534044" w:rsidRPr="33CB19EB">
        <w:rPr>
          <w:rFonts w:cs="Times New Roman"/>
        </w:rPr>
        <w:t xml:space="preserve">make navigating a </w:t>
      </w:r>
      <w:r w:rsidR="0047699C">
        <w:rPr>
          <w:rFonts w:cs="Times New Roman"/>
        </w:rPr>
        <w:t xml:space="preserve">crowded </w:t>
      </w:r>
      <w:r w:rsidR="00534044" w:rsidRPr="33CB19EB">
        <w:rPr>
          <w:rFonts w:cs="Times New Roman"/>
        </w:rPr>
        <w:t>patient space difficult</w:t>
      </w:r>
      <w:r w:rsidR="00C066AE">
        <w:rPr>
          <w:rFonts w:cs="Times New Roman"/>
        </w:rPr>
        <w:t xml:space="preserve"> and treacherous</w:t>
      </w:r>
      <w:r w:rsidR="00534044" w:rsidRPr="33CB19EB">
        <w:rPr>
          <w:rFonts w:cs="Times New Roman"/>
        </w:rPr>
        <w:t>.</w:t>
      </w:r>
      <w:r w:rsidR="0047699C">
        <w:rPr>
          <w:rFonts w:cs="Times New Roman"/>
        </w:rPr>
        <w:t xml:space="preserve"> </w:t>
      </w:r>
      <w:r w:rsidR="00D33D31" w:rsidRPr="33CB19EB">
        <w:rPr>
          <w:rFonts w:cs="Times New Roman"/>
        </w:rPr>
        <w:t xml:space="preserve">The Applicant </w:t>
      </w:r>
      <w:r w:rsidR="0047699C">
        <w:rPr>
          <w:rFonts w:cs="Times New Roman"/>
        </w:rPr>
        <w:t xml:space="preserve">also </w:t>
      </w:r>
      <w:r w:rsidR="00D33D31" w:rsidRPr="33CB19EB">
        <w:rPr>
          <w:rFonts w:cs="Times New Roman"/>
        </w:rPr>
        <w:t xml:space="preserve">anticipates </w:t>
      </w:r>
      <w:r w:rsidR="0047699C">
        <w:rPr>
          <w:rFonts w:cs="Times New Roman"/>
        </w:rPr>
        <w:t xml:space="preserve">needing to implement new communication and response </w:t>
      </w:r>
      <w:r w:rsidR="00D33D31" w:rsidRPr="33CB19EB">
        <w:rPr>
          <w:rFonts w:cs="Times New Roman"/>
        </w:rPr>
        <w:t xml:space="preserve">technologies </w:t>
      </w:r>
      <w:r w:rsidR="0047699C">
        <w:rPr>
          <w:rFonts w:cs="Times New Roman"/>
        </w:rPr>
        <w:t xml:space="preserve">that cannot easily be accommodated by </w:t>
      </w:r>
      <w:r w:rsidR="0050615B">
        <w:rPr>
          <w:rFonts w:cs="Times New Roman"/>
        </w:rPr>
        <w:t xml:space="preserve">the </w:t>
      </w:r>
      <w:r w:rsidR="0025626F">
        <w:rPr>
          <w:rFonts w:cs="Times New Roman"/>
        </w:rPr>
        <w:t>current physical plant</w:t>
      </w:r>
      <w:r w:rsidR="00D33D31" w:rsidRPr="33CB19EB">
        <w:rPr>
          <w:rFonts w:cs="Times New Roman"/>
        </w:rPr>
        <w:t xml:space="preserve">. </w:t>
      </w:r>
    </w:p>
    <w:p w14:paraId="1A673B48" w14:textId="4378021D" w:rsidR="002715CC" w:rsidRDefault="005A326A" w:rsidP="00175208">
      <w:pPr>
        <w:spacing w:after="240" w:line="259" w:lineRule="auto"/>
        <w:ind w:left="720"/>
        <w:jc w:val="both"/>
        <w:rPr>
          <w:rFonts w:eastAsia="Times New Roman" w:cstheme="minorHAnsi"/>
        </w:rPr>
      </w:pPr>
      <w:r>
        <w:rPr>
          <w:rFonts w:cs="Times New Roman"/>
        </w:rPr>
        <w:t>Not all allocated oncology beds are in private rooms, and</w:t>
      </w:r>
      <w:r w:rsidR="00175208">
        <w:rPr>
          <w:rFonts w:cs="Times New Roman"/>
        </w:rPr>
        <w:t xml:space="preserve"> </w:t>
      </w:r>
      <w:r>
        <w:rPr>
          <w:rFonts w:eastAsia="Times New Roman" w:cstheme="minorHAnsi"/>
        </w:rPr>
        <w:t>a</w:t>
      </w:r>
      <w:r w:rsidR="002715CC" w:rsidRPr="006172D1">
        <w:rPr>
          <w:rFonts w:eastAsia="Times New Roman" w:cstheme="minorHAnsi"/>
        </w:rPr>
        <w:t xml:space="preserve">s mentioned in the </w:t>
      </w:r>
      <w:r w:rsidR="00707055">
        <w:rPr>
          <w:rFonts w:eastAsia="Times New Roman" w:cstheme="minorHAnsi"/>
        </w:rPr>
        <w:t>Application</w:t>
      </w:r>
      <w:r w:rsidR="002715CC" w:rsidRPr="006172D1">
        <w:rPr>
          <w:rFonts w:eastAsia="Times New Roman" w:cstheme="minorHAnsi"/>
        </w:rPr>
        <w:t>, the oncology census was 116% of allotted oncology beds in FY23</w:t>
      </w:r>
      <w:r w:rsidR="00175208">
        <w:rPr>
          <w:rFonts w:eastAsia="Times New Roman" w:cstheme="minorHAnsi"/>
        </w:rPr>
        <w:t xml:space="preserve">. Many </w:t>
      </w:r>
      <w:r w:rsidR="002715CC" w:rsidRPr="006172D1">
        <w:rPr>
          <w:rFonts w:eastAsia="Times New Roman" w:cstheme="minorHAnsi"/>
        </w:rPr>
        <w:t xml:space="preserve">overflow patients </w:t>
      </w:r>
      <w:r w:rsidR="00175208">
        <w:rPr>
          <w:rFonts w:eastAsia="Times New Roman" w:cstheme="minorHAnsi"/>
        </w:rPr>
        <w:t xml:space="preserve">are </w:t>
      </w:r>
      <w:r w:rsidR="002715CC" w:rsidRPr="006172D1">
        <w:rPr>
          <w:rFonts w:eastAsia="Times New Roman" w:cstheme="minorHAnsi"/>
        </w:rPr>
        <w:t>being cared for in emergency department beds</w:t>
      </w:r>
      <w:r w:rsidR="00DF4827">
        <w:rPr>
          <w:rFonts w:eastAsia="Times New Roman" w:cstheme="minorHAnsi"/>
        </w:rPr>
        <w:t xml:space="preserve"> </w:t>
      </w:r>
      <w:r w:rsidR="00C85300">
        <w:rPr>
          <w:rFonts w:eastAsia="Times New Roman" w:cstheme="minorHAnsi"/>
        </w:rPr>
        <w:t xml:space="preserve">(at times, in the hallways) </w:t>
      </w:r>
      <w:r w:rsidR="00DF4827">
        <w:rPr>
          <w:rFonts w:eastAsia="Times New Roman" w:cstheme="minorHAnsi"/>
        </w:rPr>
        <w:t>and</w:t>
      </w:r>
      <w:r w:rsidR="002715CC" w:rsidRPr="006172D1">
        <w:rPr>
          <w:rFonts w:eastAsia="Times New Roman" w:cstheme="minorHAnsi"/>
        </w:rPr>
        <w:t xml:space="preserve"> in other </w:t>
      </w:r>
      <w:r w:rsidR="00127734">
        <w:rPr>
          <w:rFonts w:eastAsia="Times New Roman" w:cstheme="minorHAnsi"/>
        </w:rPr>
        <w:t xml:space="preserve">medical-surgical beds. </w:t>
      </w:r>
      <w:r w:rsidR="00C85300">
        <w:rPr>
          <w:rFonts w:eastAsia="Times New Roman" w:cstheme="minorHAnsi"/>
        </w:rPr>
        <w:t xml:space="preserve">Those oncology </w:t>
      </w:r>
      <w:r w:rsidR="00127734">
        <w:rPr>
          <w:rFonts w:eastAsia="Times New Roman" w:cstheme="minorHAnsi"/>
        </w:rPr>
        <w:t xml:space="preserve">patients are </w:t>
      </w:r>
      <w:proofErr w:type="gramStart"/>
      <w:r w:rsidR="00C85300">
        <w:rPr>
          <w:rFonts w:eastAsia="Times New Roman" w:cstheme="minorHAnsi"/>
        </w:rPr>
        <w:t xml:space="preserve">being </w:t>
      </w:r>
      <w:r w:rsidR="00127734">
        <w:rPr>
          <w:rFonts w:eastAsia="Times New Roman" w:cstheme="minorHAnsi"/>
        </w:rPr>
        <w:t>located in</w:t>
      </w:r>
      <w:proofErr w:type="gramEnd"/>
      <w:r w:rsidR="00127734">
        <w:rPr>
          <w:rFonts w:eastAsia="Times New Roman" w:cstheme="minorHAnsi"/>
        </w:rPr>
        <w:t xml:space="preserve"> two separate buildings, distributed among </w:t>
      </w:r>
      <w:r w:rsidR="00501BCB">
        <w:rPr>
          <w:rFonts w:eastAsia="Times New Roman" w:cstheme="minorHAnsi"/>
        </w:rPr>
        <w:t xml:space="preserve">eight </w:t>
      </w:r>
      <w:r w:rsidR="00127734">
        <w:rPr>
          <w:rFonts w:eastAsia="Times New Roman" w:cstheme="minorHAnsi"/>
        </w:rPr>
        <w:t xml:space="preserve">separate floors and multiple areas on each floor. In addition, because the inpatient census virtually always exceeds the number of oncology beds, this means that generally 15-25% of inpatient cancer patients </w:t>
      </w:r>
      <w:proofErr w:type="gramStart"/>
      <w:r w:rsidR="00127734">
        <w:rPr>
          <w:rFonts w:eastAsia="Times New Roman" w:cstheme="minorHAnsi"/>
        </w:rPr>
        <w:t>are located in</w:t>
      </w:r>
      <w:proofErr w:type="gramEnd"/>
      <w:r w:rsidR="00127734">
        <w:rPr>
          <w:rFonts w:eastAsia="Times New Roman" w:cstheme="minorHAnsi"/>
        </w:rPr>
        <w:t xml:space="preserve"> beds that are not staffed by oncology-trained nurses.</w:t>
      </w:r>
      <w:r w:rsidR="00C85300">
        <w:rPr>
          <w:rFonts w:eastAsia="Times New Roman" w:cstheme="minorHAnsi"/>
        </w:rPr>
        <w:t xml:space="preserve"> </w:t>
      </w:r>
    </w:p>
    <w:p w14:paraId="73FF4059" w14:textId="0C5ED297" w:rsidR="006E0C9B" w:rsidRDefault="006E0C9B" w:rsidP="00C85300">
      <w:pPr>
        <w:spacing w:after="240" w:line="259" w:lineRule="auto"/>
        <w:ind w:left="720"/>
        <w:jc w:val="both"/>
        <w:rPr>
          <w:rFonts w:cs="Times New Roman"/>
        </w:rPr>
      </w:pPr>
      <w:r w:rsidRPr="007C60C5">
        <w:rPr>
          <w:rFonts w:cs="Times New Roman"/>
        </w:rPr>
        <w:t xml:space="preserve">The Applicant anticipates that the new facility will </w:t>
      </w:r>
      <w:r w:rsidR="00556620" w:rsidRPr="007C60C5">
        <w:rPr>
          <w:rFonts w:cs="Times New Roman"/>
        </w:rPr>
        <w:t xml:space="preserve">focus on a patient-centric inpatient experience with </w:t>
      </w:r>
      <w:r w:rsidRPr="007C60C5">
        <w:rPr>
          <w:rFonts w:cs="Times New Roman"/>
        </w:rPr>
        <w:t xml:space="preserve">advanced </w:t>
      </w:r>
      <w:r w:rsidRPr="00C85300">
        <w:rPr>
          <w:rFonts w:eastAsia="Times New Roman" w:cstheme="minorHAnsi"/>
        </w:rPr>
        <w:t>telemedicine</w:t>
      </w:r>
      <w:r w:rsidRPr="007C60C5">
        <w:rPr>
          <w:rFonts w:cs="Times New Roman"/>
        </w:rPr>
        <w:t xml:space="preserve"> capabilities, spaces and technology for family meetings (including private rooms), ICU</w:t>
      </w:r>
      <w:r w:rsidR="0050615B">
        <w:rPr>
          <w:rFonts w:cs="Times New Roman"/>
        </w:rPr>
        <w:t>-</w:t>
      </w:r>
      <w:r w:rsidRPr="007C60C5">
        <w:rPr>
          <w:rFonts w:cs="Times New Roman"/>
        </w:rPr>
        <w:t>level capabilities</w:t>
      </w:r>
      <w:r w:rsidR="0050615B">
        <w:rPr>
          <w:rFonts w:cs="Times New Roman"/>
        </w:rPr>
        <w:t xml:space="preserve"> to reduce the number of needed </w:t>
      </w:r>
      <w:r w:rsidRPr="007C60C5">
        <w:rPr>
          <w:rFonts w:cs="Times New Roman"/>
        </w:rPr>
        <w:t xml:space="preserve">patient transfers, virtual reality systems for patient education and treatment, clinical trial </w:t>
      </w:r>
      <w:r w:rsidRPr="007C60C5">
        <w:rPr>
          <w:rFonts w:cs="Times New Roman"/>
        </w:rPr>
        <w:lastRenderedPageBreak/>
        <w:t>units with collaborative research space to foster interdisciplinary work, adaptable room designs for changing technology and treatment needs, and improved accessibility to patient rooms and bathrooms.</w:t>
      </w:r>
      <w:r w:rsidR="008D594A" w:rsidRPr="007C60C5">
        <w:rPr>
          <w:rFonts w:cs="Times New Roman"/>
        </w:rPr>
        <w:t> The Applicant will have the opportunity to work with technology partners to design and implement cutting edge solutions focused on the oncology experience and provide more accessible equitable care using technology solutions</w:t>
      </w:r>
      <w:r w:rsidR="0025626F">
        <w:rPr>
          <w:rFonts w:cs="Times New Roman"/>
        </w:rPr>
        <w:t xml:space="preserve"> </w:t>
      </w:r>
      <w:r w:rsidR="00C066AE">
        <w:rPr>
          <w:rFonts w:cs="Times New Roman"/>
        </w:rPr>
        <w:t xml:space="preserve">to </w:t>
      </w:r>
      <w:r w:rsidR="0025626F">
        <w:rPr>
          <w:rFonts w:cs="Times New Roman"/>
        </w:rPr>
        <w:t>support multilingual patient needs and</w:t>
      </w:r>
      <w:r w:rsidR="008D594A" w:rsidRPr="007C60C5">
        <w:rPr>
          <w:rFonts w:cs="Times New Roman"/>
        </w:rPr>
        <w:t xml:space="preserve"> address disparities in care</w:t>
      </w:r>
      <w:r w:rsidR="008501CD" w:rsidRPr="007C60C5">
        <w:rPr>
          <w:rFonts w:cs="Times New Roman"/>
        </w:rPr>
        <w:t xml:space="preserve">. </w:t>
      </w:r>
      <w:r w:rsidR="00C85300">
        <w:rPr>
          <w:rFonts w:cs="Times New Roman"/>
        </w:rPr>
        <w:t>T</w:t>
      </w:r>
      <w:r w:rsidR="00C85300" w:rsidRPr="007C60C5">
        <w:rPr>
          <w:rFonts w:cs="Times New Roman"/>
        </w:rPr>
        <w:t xml:space="preserve">hese types of investments would not be feasible to address in the Applicant’s 30 </w:t>
      </w:r>
      <w:r w:rsidR="00C85300">
        <w:rPr>
          <w:rFonts w:cs="Times New Roman"/>
        </w:rPr>
        <w:t>licensed beds and would not be</w:t>
      </w:r>
      <w:r w:rsidR="00C85300" w:rsidRPr="007C60C5">
        <w:rPr>
          <w:rFonts w:cs="Times New Roman"/>
        </w:rPr>
        <w:t xml:space="preserve"> cost effective</w:t>
      </w:r>
      <w:r w:rsidR="00C85300">
        <w:rPr>
          <w:rFonts w:cs="Times New Roman"/>
        </w:rPr>
        <w:t>.</w:t>
      </w:r>
    </w:p>
    <w:p w14:paraId="385D92A3" w14:textId="4492BA48" w:rsidR="002A7559" w:rsidRPr="007C60C5" w:rsidRDefault="00490D3F" w:rsidP="007006D9">
      <w:pPr>
        <w:spacing w:after="240" w:line="259" w:lineRule="auto"/>
        <w:ind w:left="720"/>
        <w:jc w:val="both"/>
        <w:rPr>
          <w:rFonts w:cs="Times New Roman"/>
        </w:rPr>
      </w:pPr>
      <w:r w:rsidRPr="007C60C5">
        <w:rPr>
          <w:rFonts w:cs="Times New Roman"/>
        </w:rPr>
        <w:t xml:space="preserve">The Applicant, through the Proposed Project, </w:t>
      </w:r>
      <w:r>
        <w:rPr>
          <w:rFonts w:cs="Times New Roman"/>
        </w:rPr>
        <w:t>would</w:t>
      </w:r>
      <w:r w:rsidRPr="007C60C5">
        <w:rPr>
          <w:rFonts w:cs="Times New Roman"/>
        </w:rPr>
        <w:t xml:space="preserve"> </w:t>
      </w:r>
      <w:r w:rsidR="00C85300">
        <w:rPr>
          <w:rFonts w:cs="Times New Roman"/>
        </w:rPr>
        <w:t xml:space="preserve">also </w:t>
      </w:r>
      <w:r w:rsidRPr="007C60C5">
        <w:rPr>
          <w:rFonts w:cs="Times New Roman"/>
        </w:rPr>
        <w:t xml:space="preserve">be able to fully integrate data and analytics across the continuum of care, including inpatient, </w:t>
      </w:r>
      <w:r>
        <w:rPr>
          <w:rFonts w:cs="Times New Roman"/>
        </w:rPr>
        <w:t xml:space="preserve">outpatient, </w:t>
      </w:r>
      <w:r w:rsidRPr="007C60C5">
        <w:rPr>
          <w:rFonts w:cs="Times New Roman"/>
        </w:rPr>
        <w:t xml:space="preserve">surgical, pathology, radiology, and genomic data, </w:t>
      </w:r>
      <w:proofErr w:type="gramStart"/>
      <w:r w:rsidRPr="007C60C5">
        <w:rPr>
          <w:rFonts w:cs="Times New Roman"/>
        </w:rPr>
        <w:t>in order to</w:t>
      </w:r>
      <w:proofErr w:type="gramEnd"/>
      <w:r w:rsidRPr="007C60C5">
        <w:rPr>
          <w:rFonts w:cs="Times New Roman"/>
        </w:rPr>
        <w:t xml:space="preserve"> provide </w:t>
      </w:r>
      <w:r>
        <w:rPr>
          <w:rFonts w:cs="Times New Roman"/>
        </w:rPr>
        <w:t xml:space="preserve">more </w:t>
      </w:r>
      <w:r w:rsidRPr="007C60C5">
        <w:rPr>
          <w:rFonts w:cs="Times New Roman"/>
        </w:rPr>
        <w:t>comprehensive</w:t>
      </w:r>
      <w:r w:rsidR="0025626F">
        <w:rPr>
          <w:rFonts w:cs="Times New Roman"/>
        </w:rPr>
        <w:t xml:space="preserve"> and coordinated</w:t>
      </w:r>
      <w:r w:rsidRPr="007C60C5">
        <w:rPr>
          <w:rFonts w:cs="Times New Roman"/>
        </w:rPr>
        <w:t xml:space="preserve"> cancer care</w:t>
      </w:r>
      <w:r w:rsidR="00127734">
        <w:rPr>
          <w:rFonts w:cs="Times New Roman"/>
        </w:rPr>
        <w:t>, benchmark safety and quality metrics,</w:t>
      </w:r>
      <w:r>
        <w:rPr>
          <w:rFonts w:cs="Times New Roman"/>
        </w:rPr>
        <w:t xml:space="preserve"> and facilitate continuous learning</w:t>
      </w:r>
      <w:r w:rsidRPr="007C60C5">
        <w:rPr>
          <w:rFonts w:cs="Times New Roman"/>
        </w:rPr>
        <w:t xml:space="preserve">. In a piecemeal care model, optimization </w:t>
      </w:r>
      <w:r w:rsidR="0025626F">
        <w:rPr>
          <w:rFonts w:cs="Times New Roman"/>
        </w:rPr>
        <w:t xml:space="preserve">and continuity </w:t>
      </w:r>
      <w:r w:rsidRPr="007C60C5">
        <w:rPr>
          <w:rFonts w:cs="Times New Roman"/>
        </w:rPr>
        <w:t xml:space="preserve">across services is </w:t>
      </w:r>
      <w:r>
        <w:rPr>
          <w:rFonts w:cs="Times New Roman"/>
        </w:rPr>
        <w:t>difficult</w:t>
      </w:r>
      <w:r w:rsidRPr="007C60C5">
        <w:rPr>
          <w:rFonts w:cs="Times New Roman"/>
        </w:rPr>
        <w:t xml:space="preserve">. </w:t>
      </w:r>
      <w:r>
        <w:rPr>
          <w:rFonts w:cs="Times New Roman"/>
        </w:rPr>
        <w:t xml:space="preserve">Without a holistic view of all data relevant to a patient’s care journey, the Applicant’s ability to streamline processes and make them more patient-centric and cost-effective is inherently limited. </w:t>
      </w:r>
      <w:r w:rsidRPr="007C60C5">
        <w:rPr>
          <w:rFonts w:cs="Times New Roman"/>
        </w:rPr>
        <w:t xml:space="preserve">This </w:t>
      </w:r>
      <w:r>
        <w:rPr>
          <w:rFonts w:cs="Times New Roman"/>
        </w:rPr>
        <w:t xml:space="preserve">challenge </w:t>
      </w:r>
      <w:r w:rsidRPr="007C60C5">
        <w:rPr>
          <w:rFonts w:cs="Times New Roman"/>
        </w:rPr>
        <w:t>would be addressed at a freestanding comprehensive cancer hospital.</w:t>
      </w:r>
    </w:p>
    <w:p w14:paraId="54F6CDBD" w14:textId="3A36BA5A" w:rsidR="00AC0A51" w:rsidRPr="007C60C5" w:rsidRDefault="00AC0A51" w:rsidP="00AC0A51">
      <w:pPr>
        <w:pStyle w:val="ListParagraph"/>
        <w:numPr>
          <w:ilvl w:val="0"/>
          <w:numId w:val="10"/>
        </w:numPr>
        <w:spacing w:after="160" w:line="259" w:lineRule="auto"/>
        <w:rPr>
          <w:rFonts w:cs="Times New Roman"/>
          <w:b/>
          <w:bCs/>
        </w:rPr>
      </w:pPr>
      <w:r w:rsidRPr="007C60C5">
        <w:rPr>
          <w:rFonts w:cs="Times New Roman"/>
          <w:b/>
          <w:bCs/>
        </w:rPr>
        <w:t xml:space="preserve">In developing your utilization model, clarify the affiliation of the physicians that you are drawing the patient data from; is it DFCI and BIDMC physicians only? Do the DFCI oncologists have dual privileges at BWH? Is the assumption that </w:t>
      </w:r>
      <w:proofErr w:type="gramStart"/>
      <w:r w:rsidRPr="007C60C5">
        <w:rPr>
          <w:rFonts w:cs="Times New Roman"/>
          <w:b/>
          <w:bCs/>
        </w:rPr>
        <w:t>all of</w:t>
      </w:r>
      <w:proofErr w:type="gramEnd"/>
      <w:r w:rsidRPr="007C60C5">
        <w:rPr>
          <w:rFonts w:cs="Times New Roman"/>
          <w:b/>
          <w:bCs/>
        </w:rPr>
        <w:t xml:space="preserve"> the DFCI oncologists will follow you to the new facility, or is there a subset who might migrate to/remain at BWH? </w:t>
      </w:r>
    </w:p>
    <w:p w14:paraId="49ED0F65" w14:textId="44B0FD10" w:rsidR="00DB669E" w:rsidRPr="007C60C5" w:rsidRDefault="00E3400A" w:rsidP="00D97DDB">
      <w:pPr>
        <w:spacing w:after="240" w:line="259" w:lineRule="auto"/>
        <w:ind w:left="720"/>
        <w:jc w:val="both"/>
        <w:rPr>
          <w:rFonts w:cs="Times New Roman"/>
        </w:rPr>
      </w:pPr>
      <w:r>
        <w:rPr>
          <w:rFonts w:cs="Times New Roman"/>
        </w:rPr>
        <w:t>Yes, the utilization model uses data for patients seen by the Applicant and BIDMC</w:t>
      </w:r>
      <w:r w:rsidR="00DB609D">
        <w:rPr>
          <w:rFonts w:cs="Times New Roman"/>
        </w:rPr>
        <w:t xml:space="preserve"> only</w:t>
      </w:r>
      <w:r>
        <w:rPr>
          <w:rFonts w:cs="Times New Roman"/>
        </w:rPr>
        <w:t xml:space="preserve">. </w:t>
      </w:r>
      <w:r w:rsidR="00DB609D">
        <w:rPr>
          <w:rFonts w:cs="Times New Roman"/>
        </w:rPr>
        <w:t xml:space="preserve">Yes, </w:t>
      </w:r>
      <w:proofErr w:type="gramStart"/>
      <w:r w:rsidR="00DB609D">
        <w:rPr>
          <w:rFonts w:cs="Times New Roman"/>
        </w:rPr>
        <w:t>a</w:t>
      </w:r>
      <w:r w:rsidRPr="007C60C5">
        <w:rPr>
          <w:rFonts w:cs="Times New Roman"/>
        </w:rPr>
        <w:t>ll of</w:t>
      </w:r>
      <w:proofErr w:type="gramEnd"/>
      <w:r w:rsidRPr="007C60C5">
        <w:rPr>
          <w:rFonts w:cs="Times New Roman"/>
        </w:rPr>
        <w:t xml:space="preserve"> the Applicant’s medical oncologists are employed by the Applicant, have privileges at BWH, and manage their patients</w:t>
      </w:r>
      <w:r>
        <w:rPr>
          <w:rFonts w:cs="Times New Roman"/>
        </w:rPr>
        <w:t>’</w:t>
      </w:r>
      <w:r w:rsidRPr="007C60C5">
        <w:rPr>
          <w:rFonts w:cs="Times New Roman"/>
        </w:rPr>
        <w:t xml:space="preserve"> care at BWH.</w:t>
      </w:r>
      <w:r>
        <w:rPr>
          <w:rFonts w:cs="Times New Roman"/>
        </w:rPr>
        <w:t xml:space="preserve"> </w:t>
      </w:r>
      <w:r w:rsidR="00DB669E" w:rsidRPr="007C60C5">
        <w:rPr>
          <w:rFonts w:cs="Times New Roman"/>
        </w:rPr>
        <w:t xml:space="preserve">The utilization model includes </w:t>
      </w:r>
      <w:proofErr w:type="gramStart"/>
      <w:r w:rsidR="00DB669E" w:rsidRPr="007C60C5">
        <w:rPr>
          <w:rFonts w:cs="Times New Roman"/>
        </w:rPr>
        <w:t>all of</w:t>
      </w:r>
      <w:proofErr w:type="gramEnd"/>
      <w:r w:rsidR="00DB669E" w:rsidRPr="007C60C5">
        <w:rPr>
          <w:rFonts w:cs="Times New Roman"/>
        </w:rPr>
        <w:t xml:space="preserve"> the Applicant’s medical oncology patients, outpatient and inpatient, including those who are admitted to a bed at BWH. </w:t>
      </w:r>
      <w:r w:rsidR="00DB609D">
        <w:rPr>
          <w:rFonts w:cs="Times New Roman"/>
        </w:rPr>
        <w:t>Yes, t</w:t>
      </w:r>
      <w:r w:rsidR="00773C1D" w:rsidRPr="007C60C5">
        <w:rPr>
          <w:rFonts w:cs="Times New Roman"/>
        </w:rPr>
        <w:t xml:space="preserve">he Applicant anticipates that </w:t>
      </w:r>
      <w:proofErr w:type="gramStart"/>
      <w:r w:rsidR="00773C1D" w:rsidRPr="007C60C5">
        <w:rPr>
          <w:rFonts w:cs="Times New Roman"/>
        </w:rPr>
        <w:t>all of</w:t>
      </w:r>
      <w:proofErr w:type="gramEnd"/>
      <w:r w:rsidR="00773C1D" w:rsidRPr="007C60C5">
        <w:rPr>
          <w:rFonts w:cs="Times New Roman"/>
        </w:rPr>
        <w:t xml:space="preserve"> its oncologists will migrate to the new facility</w:t>
      </w:r>
      <w:r w:rsidR="00D73CC2" w:rsidRPr="007C60C5">
        <w:rPr>
          <w:rFonts w:cs="Times New Roman"/>
        </w:rPr>
        <w:t xml:space="preserve"> and will continue to be employed by the Applicant. </w:t>
      </w:r>
    </w:p>
    <w:p w14:paraId="57493090" w14:textId="3A6B6167" w:rsidR="0063582D" w:rsidRPr="007C60C5" w:rsidRDefault="00AC0A51" w:rsidP="008E0FC1">
      <w:pPr>
        <w:pStyle w:val="ListParagraph"/>
        <w:numPr>
          <w:ilvl w:val="0"/>
          <w:numId w:val="10"/>
        </w:numPr>
        <w:spacing w:after="160" w:line="259" w:lineRule="auto"/>
        <w:rPr>
          <w:rFonts w:cs="Times New Roman"/>
          <w:b/>
          <w:bCs/>
        </w:rPr>
      </w:pPr>
      <w:r w:rsidRPr="007C60C5">
        <w:rPr>
          <w:rFonts w:cs="Times New Roman"/>
          <w:b/>
          <w:bCs/>
        </w:rPr>
        <w:t xml:space="preserve">Under Competition, explain further if, and by how much, the proposed project will impact prices, </w:t>
      </w:r>
      <w:r w:rsidR="0062574C" w:rsidRPr="007C60C5">
        <w:rPr>
          <w:rFonts w:cs="Times New Roman"/>
          <w:b/>
          <w:bCs/>
        </w:rPr>
        <w:t>costs,</w:t>
      </w:r>
      <w:r w:rsidRPr="007C60C5">
        <w:rPr>
          <w:rFonts w:cs="Times New Roman"/>
          <w:b/>
          <w:bCs/>
        </w:rPr>
        <w:t xml:space="preserve"> and competition. Please explain the basis under which you base the assertion that the DFCI facility will be a lower cost provider than at your current location, under your current arrangement.</w:t>
      </w:r>
    </w:p>
    <w:p w14:paraId="4D93A974" w14:textId="25326D56" w:rsidR="007C60C5" w:rsidRPr="00BC0A50" w:rsidRDefault="0034649A" w:rsidP="00BC0A50">
      <w:pPr>
        <w:spacing w:after="240" w:line="259" w:lineRule="auto"/>
        <w:ind w:left="720"/>
        <w:jc w:val="both"/>
        <w:rPr>
          <w:rFonts w:eastAsia="Calibri" w:cs="Times New Roman"/>
        </w:rPr>
      </w:pPr>
      <w:r w:rsidRPr="007C60C5">
        <w:rPr>
          <w:rFonts w:eastAsia="Calibri" w:cs="Times New Roman"/>
        </w:rPr>
        <w:t>The Applicant’s</w:t>
      </w:r>
      <w:r w:rsidR="00E3400A">
        <w:rPr>
          <w:rFonts w:eastAsia="Calibri" w:cs="Times New Roman"/>
        </w:rPr>
        <w:t xml:space="preserve"> </w:t>
      </w:r>
      <w:r w:rsidRPr="007C60C5">
        <w:rPr>
          <w:rFonts w:eastAsia="Calibri" w:cs="Times New Roman"/>
        </w:rPr>
        <w:t xml:space="preserve">pricing per the CHIA </w:t>
      </w:r>
      <w:r w:rsidR="00E3400A">
        <w:rPr>
          <w:rFonts w:eastAsia="Calibri" w:cs="Times New Roman"/>
        </w:rPr>
        <w:t>inpatient relative</w:t>
      </w:r>
      <w:r w:rsidRPr="007C60C5">
        <w:rPr>
          <w:rFonts w:eastAsia="Calibri" w:cs="Times New Roman"/>
        </w:rPr>
        <w:t xml:space="preserve"> </w:t>
      </w:r>
      <w:r w:rsidR="00E3400A">
        <w:rPr>
          <w:rFonts w:eastAsia="Calibri" w:cs="Times New Roman"/>
        </w:rPr>
        <w:t>p</w:t>
      </w:r>
      <w:r w:rsidRPr="007C60C5">
        <w:rPr>
          <w:rFonts w:eastAsia="Calibri" w:cs="Times New Roman"/>
        </w:rPr>
        <w:t xml:space="preserve">rice </w:t>
      </w:r>
      <w:r w:rsidR="005C7065" w:rsidRPr="007C60C5">
        <w:rPr>
          <w:rFonts w:eastAsia="Calibri" w:cs="Times New Roman"/>
        </w:rPr>
        <w:t xml:space="preserve">data </w:t>
      </w:r>
      <w:r w:rsidRPr="007C60C5">
        <w:rPr>
          <w:rFonts w:eastAsia="Calibri" w:cs="Times New Roman"/>
        </w:rPr>
        <w:t xml:space="preserve">is </w:t>
      </w:r>
      <w:r w:rsidR="00B010FD" w:rsidRPr="007C60C5">
        <w:rPr>
          <w:rFonts w:eastAsia="Calibri" w:cs="Times New Roman"/>
        </w:rPr>
        <w:t>lower than both MGH and BWH</w:t>
      </w:r>
      <w:r w:rsidR="00D32370" w:rsidRPr="007C60C5">
        <w:rPr>
          <w:rFonts w:eastAsia="Calibri" w:cs="Times New Roman"/>
        </w:rPr>
        <w:t>.</w:t>
      </w:r>
      <w:r w:rsidR="005C7065" w:rsidRPr="007C60C5">
        <w:rPr>
          <w:rFonts w:eastAsia="Calibri" w:cs="Times New Roman"/>
        </w:rPr>
        <w:t xml:space="preserve"> Further, based on CHIA data, the Applicant’s inpatient pricing is less costly than MGH, BWH, and BIDMC for the three largest local payers (</w:t>
      </w:r>
      <w:r w:rsidR="006579D8" w:rsidRPr="007C60C5">
        <w:rPr>
          <w:rFonts w:eastAsia="Calibri" w:cs="Times New Roman"/>
          <w:i/>
          <w:iCs/>
        </w:rPr>
        <w:t>i.e.</w:t>
      </w:r>
      <w:r w:rsidR="006579D8" w:rsidRPr="007C60C5">
        <w:rPr>
          <w:rFonts w:eastAsia="Calibri" w:cs="Times New Roman"/>
        </w:rPr>
        <w:t>,</w:t>
      </w:r>
      <w:r w:rsidR="0094259E" w:rsidRPr="007C60C5">
        <w:rPr>
          <w:rFonts w:eastAsia="Calibri" w:cs="Times New Roman"/>
        </w:rPr>
        <w:t xml:space="preserve"> </w:t>
      </w:r>
      <w:r w:rsidR="001455F8" w:rsidRPr="007C60C5">
        <w:rPr>
          <w:rFonts w:eastAsia="Calibri" w:cs="Times New Roman"/>
        </w:rPr>
        <w:t xml:space="preserve">Blue Cross Blue Shield </w:t>
      </w:r>
      <w:r w:rsidR="005C7065" w:rsidRPr="007C60C5">
        <w:rPr>
          <w:rFonts w:eastAsia="Calibri" w:cs="Times New Roman"/>
        </w:rPr>
        <w:t>of Massachusetts,</w:t>
      </w:r>
      <w:r w:rsidR="00CC0565">
        <w:rPr>
          <w:rFonts w:eastAsia="Calibri" w:cs="Times New Roman"/>
        </w:rPr>
        <w:t xml:space="preserve"> </w:t>
      </w:r>
      <w:r w:rsidR="005C7065" w:rsidRPr="007C60C5">
        <w:rPr>
          <w:rFonts w:eastAsia="Calibri" w:cs="Times New Roman"/>
        </w:rPr>
        <w:t>Harvard Pilgrim Health Care and Tufts</w:t>
      </w:r>
      <w:r w:rsidR="001455F8" w:rsidRPr="007C60C5">
        <w:rPr>
          <w:rFonts w:eastAsia="Calibri" w:cs="Times New Roman"/>
        </w:rPr>
        <w:t xml:space="preserve"> Health Plan</w:t>
      </w:r>
      <w:r w:rsidR="005C7065" w:rsidRPr="007C60C5">
        <w:rPr>
          <w:rFonts w:eastAsia="Calibri" w:cs="Times New Roman"/>
        </w:rPr>
        <w:t>).</w:t>
      </w:r>
      <w:r w:rsidR="000A4C82">
        <w:rPr>
          <w:rStyle w:val="FootnoteReference"/>
          <w:rFonts w:eastAsia="Calibri" w:cs="Times New Roman"/>
        </w:rPr>
        <w:footnoteReference w:id="11"/>
      </w:r>
      <w:r w:rsidR="00B27C0E">
        <w:rPr>
          <w:rFonts w:eastAsia="Calibri" w:cs="Times New Roman"/>
        </w:rPr>
        <w:t xml:space="preserve"> </w:t>
      </w:r>
      <w:r w:rsidR="00D951D2">
        <w:t xml:space="preserve">Relative </w:t>
      </w:r>
      <w:r w:rsidR="00D951D2">
        <w:lastRenderedPageBreak/>
        <w:t>price is a calculated, aggregate measure used to evaluate variation in health care provider prices in a given calendar year.</w:t>
      </w:r>
      <w:r w:rsidR="00D951D2">
        <w:rPr>
          <w:rStyle w:val="FootnoteReference"/>
        </w:rPr>
        <w:footnoteReference w:id="12"/>
      </w:r>
      <w:r w:rsidR="00D951D2">
        <w:t xml:space="preserve"> </w:t>
      </w:r>
    </w:p>
    <w:p w14:paraId="69BC0230" w14:textId="73FD23CE" w:rsidR="00056195" w:rsidRDefault="006038F7" w:rsidP="00C57D2D">
      <w:pPr>
        <w:keepNext/>
        <w:ind w:left="720"/>
        <w:jc w:val="center"/>
        <w:rPr>
          <w:rFonts w:eastAsia="Calibri" w:cs="Times New Roman"/>
          <w:b/>
          <w:bCs/>
          <w:u w:val="single"/>
        </w:rPr>
      </w:pPr>
      <w:r>
        <w:rPr>
          <w:rFonts w:eastAsia="Calibri" w:cs="Times New Roman"/>
          <w:b/>
          <w:bCs/>
          <w:u w:val="single"/>
        </w:rPr>
        <w:t xml:space="preserve">Hospital </w:t>
      </w:r>
      <w:r w:rsidR="00B27C0E">
        <w:rPr>
          <w:rFonts w:eastAsia="Calibri" w:cs="Times New Roman"/>
          <w:b/>
          <w:bCs/>
          <w:u w:val="single"/>
        </w:rPr>
        <w:t xml:space="preserve">Inpatient </w:t>
      </w:r>
      <w:r w:rsidR="00056195" w:rsidRPr="00056195">
        <w:rPr>
          <w:rFonts w:eastAsia="Calibri" w:cs="Times New Roman"/>
          <w:b/>
          <w:bCs/>
          <w:u w:val="single"/>
        </w:rPr>
        <w:t>Relative Price</w:t>
      </w:r>
      <w:r w:rsidR="00A640E6">
        <w:rPr>
          <w:rFonts w:eastAsia="Calibri" w:cs="Times New Roman"/>
          <w:b/>
          <w:bCs/>
          <w:u w:val="single"/>
        </w:rPr>
        <w:t xml:space="preserve"> </w:t>
      </w:r>
      <w:r w:rsidR="00056195" w:rsidRPr="00056195">
        <w:rPr>
          <w:rFonts w:eastAsia="Calibri" w:cs="Times New Roman"/>
          <w:b/>
          <w:bCs/>
          <w:u w:val="single"/>
        </w:rPr>
        <w:t>Comparison</w:t>
      </w:r>
      <w:r w:rsidR="003F6AF5">
        <w:rPr>
          <w:rFonts w:eastAsia="Calibri" w:cs="Times New Roman"/>
          <w:b/>
          <w:bCs/>
          <w:u w:val="single"/>
        </w:rPr>
        <w:t xml:space="preserve"> by Payor</w:t>
      </w:r>
    </w:p>
    <w:p w14:paraId="6DD564DD" w14:textId="77777777" w:rsidR="00056195" w:rsidRPr="007C60C5" w:rsidRDefault="00056195" w:rsidP="007C60C5">
      <w:pPr>
        <w:keepNext/>
        <w:jc w:val="center"/>
        <w:rPr>
          <w:rFonts w:eastAsia="Calibri" w:cs="Times New Roman"/>
        </w:rPr>
      </w:pPr>
    </w:p>
    <w:tbl>
      <w:tblPr>
        <w:tblStyle w:val="TableGrid"/>
        <w:tblW w:w="4620" w:type="pct"/>
        <w:tblInd w:w="715" w:type="dxa"/>
        <w:tblLook w:val="00A0" w:firstRow="1" w:lastRow="0" w:firstColumn="1" w:lastColumn="0" w:noHBand="0" w:noVBand="0"/>
      </w:tblPr>
      <w:tblGrid>
        <w:gridCol w:w="2159"/>
        <w:gridCol w:w="2160"/>
        <w:gridCol w:w="2160"/>
        <w:gridCol w:w="2160"/>
      </w:tblGrid>
      <w:tr w:rsidR="00C57D2D" w:rsidRPr="00B27C0E" w14:paraId="5256BE40" w14:textId="77777777" w:rsidTr="008579F3">
        <w:trPr>
          <w:cantSplit/>
          <w:tblHeader/>
        </w:trPr>
        <w:tc>
          <w:tcPr>
            <w:tcW w:w="2159" w:type="dxa"/>
            <w:vAlign w:val="bottom"/>
          </w:tcPr>
          <w:p w14:paraId="2A18A66D" w14:textId="5D042D3C" w:rsidR="00C57D2D" w:rsidRPr="00B27C0E" w:rsidRDefault="00C57D2D" w:rsidP="00C57D2D">
            <w:pPr>
              <w:keepNext/>
              <w:spacing w:after="120"/>
              <w:jc w:val="center"/>
              <w:rPr>
                <w:rFonts w:eastAsia="Calibri" w:cs="Times New Roman"/>
                <w:b/>
                <w:bCs/>
                <w:u w:val="single"/>
              </w:rPr>
            </w:pPr>
            <w:r w:rsidRPr="00B27C0E">
              <w:rPr>
                <w:rFonts w:ascii="Times New Roman" w:eastAsia="Calibri" w:hAnsi="Times New Roman" w:cs="Times New Roman"/>
                <w:b/>
                <w:bCs/>
                <w:sz w:val="24"/>
                <w:szCs w:val="24"/>
                <w:u w:val="single"/>
              </w:rPr>
              <w:t>Hospital</w:t>
            </w:r>
          </w:p>
        </w:tc>
        <w:tc>
          <w:tcPr>
            <w:tcW w:w="2160" w:type="dxa"/>
            <w:vAlign w:val="bottom"/>
          </w:tcPr>
          <w:p w14:paraId="6A6C19CB" w14:textId="3B0C0439" w:rsidR="00C57D2D" w:rsidRPr="00B27C0E" w:rsidRDefault="00C57D2D" w:rsidP="00C57D2D">
            <w:pPr>
              <w:keepNext/>
              <w:spacing w:after="120"/>
              <w:jc w:val="center"/>
              <w:rPr>
                <w:rFonts w:eastAsia="Calibri" w:cs="Times New Roman"/>
                <w:b/>
                <w:bCs/>
                <w:u w:val="single"/>
              </w:rPr>
            </w:pPr>
            <w:r>
              <w:rPr>
                <w:rFonts w:ascii="Times New Roman" w:eastAsia="Calibri" w:hAnsi="Times New Roman" w:cs="Times New Roman"/>
                <w:b/>
                <w:bCs/>
                <w:sz w:val="24"/>
                <w:szCs w:val="24"/>
                <w:u w:val="single"/>
              </w:rPr>
              <w:t>Blue Cross Blue Shield of Massachusetts</w:t>
            </w:r>
          </w:p>
        </w:tc>
        <w:tc>
          <w:tcPr>
            <w:tcW w:w="2160" w:type="dxa"/>
            <w:vAlign w:val="bottom"/>
          </w:tcPr>
          <w:p w14:paraId="069C9ABA" w14:textId="432F0A8F" w:rsidR="00C57D2D" w:rsidRPr="00B27C0E" w:rsidRDefault="00C57D2D" w:rsidP="00C57D2D">
            <w:pPr>
              <w:keepNext/>
              <w:spacing w:after="120"/>
              <w:jc w:val="center"/>
              <w:rPr>
                <w:rFonts w:eastAsia="Calibri" w:cs="Times New Roman"/>
                <w:b/>
                <w:bCs/>
                <w:u w:val="single"/>
              </w:rPr>
            </w:pPr>
            <w:r>
              <w:rPr>
                <w:rFonts w:ascii="Times New Roman" w:eastAsia="Calibri" w:hAnsi="Times New Roman" w:cs="Times New Roman"/>
                <w:b/>
                <w:bCs/>
                <w:sz w:val="24"/>
                <w:szCs w:val="24"/>
                <w:u w:val="single"/>
              </w:rPr>
              <w:t>Harvard Pilgrim Health Care</w:t>
            </w:r>
          </w:p>
        </w:tc>
        <w:tc>
          <w:tcPr>
            <w:tcW w:w="2160" w:type="dxa"/>
            <w:vAlign w:val="bottom"/>
          </w:tcPr>
          <w:p w14:paraId="6DBF9F35" w14:textId="73824439" w:rsidR="00C57D2D" w:rsidRPr="00B27C0E" w:rsidRDefault="00C57D2D" w:rsidP="00C57D2D">
            <w:pPr>
              <w:keepNext/>
              <w:spacing w:after="120"/>
              <w:jc w:val="center"/>
              <w:rPr>
                <w:rFonts w:eastAsia="Calibri" w:cs="Times New Roman"/>
                <w:b/>
                <w:bCs/>
                <w:u w:val="single"/>
              </w:rPr>
            </w:pPr>
            <w:r>
              <w:rPr>
                <w:rFonts w:ascii="Times New Roman" w:eastAsia="Calibri" w:hAnsi="Times New Roman" w:cs="Times New Roman"/>
                <w:b/>
                <w:bCs/>
                <w:sz w:val="24"/>
                <w:szCs w:val="24"/>
                <w:u w:val="single"/>
              </w:rPr>
              <w:t>Tufts Health Plan</w:t>
            </w:r>
          </w:p>
        </w:tc>
      </w:tr>
      <w:tr w:rsidR="00C57D2D" w:rsidRPr="00C57D2D" w14:paraId="02C85601" w14:textId="77777777" w:rsidTr="008579F3">
        <w:trPr>
          <w:cantSplit/>
        </w:trPr>
        <w:tc>
          <w:tcPr>
            <w:tcW w:w="2159" w:type="dxa"/>
          </w:tcPr>
          <w:p w14:paraId="1D3BF939" w14:textId="044835A9" w:rsidR="00C57D2D" w:rsidRPr="00C57D2D" w:rsidRDefault="00C57D2D" w:rsidP="00C57D2D">
            <w:pPr>
              <w:keepNext/>
              <w:spacing w:before="40" w:after="40"/>
              <w:jc w:val="center"/>
              <w:rPr>
                <w:rFonts w:ascii="Times New Roman" w:eastAsia="Calibri" w:hAnsi="Times New Roman" w:cs="Times New Roman"/>
              </w:rPr>
            </w:pPr>
            <w:r w:rsidRPr="00C57D2D">
              <w:rPr>
                <w:rFonts w:ascii="Times New Roman" w:eastAsia="Calibri" w:hAnsi="Times New Roman" w:cs="Times New Roman"/>
                <w:sz w:val="24"/>
                <w:szCs w:val="24"/>
              </w:rPr>
              <w:t>MGH</w:t>
            </w:r>
          </w:p>
        </w:tc>
        <w:tc>
          <w:tcPr>
            <w:tcW w:w="2160" w:type="dxa"/>
            <w:vAlign w:val="center"/>
          </w:tcPr>
          <w:p w14:paraId="245E81A4" w14:textId="6DB594F4" w:rsidR="00C57D2D" w:rsidRPr="00C57D2D" w:rsidRDefault="00C57D2D" w:rsidP="00C57D2D">
            <w:pPr>
              <w:keepNext/>
              <w:spacing w:before="40" w:after="40"/>
              <w:jc w:val="center"/>
              <w:rPr>
                <w:rFonts w:ascii="Times New Roman" w:eastAsia="Calibri" w:hAnsi="Times New Roman" w:cs="Times New Roman"/>
              </w:rPr>
            </w:pPr>
            <w:r w:rsidRPr="00C57D2D">
              <w:rPr>
                <w:rFonts w:ascii="Times New Roman" w:hAnsi="Times New Roman" w:cs="Times New Roman"/>
                <w:color w:val="000000"/>
              </w:rPr>
              <w:t>1.32</w:t>
            </w:r>
          </w:p>
        </w:tc>
        <w:tc>
          <w:tcPr>
            <w:tcW w:w="2160" w:type="dxa"/>
            <w:vAlign w:val="center"/>
          </w:tcPr>
          <w:p w14:paraId="30F26FFD" w14:textId="533B74E5" w:rsidR="00C57D2D" w:rsidRPr="00C57D2D" w:rsidRDefault="00C57D2D" w:rsidP="00C57D2D">
            <w:pPr>
              <w:keepNext/>
              <w:spacing w:before="40" w:after="40"/>
              <w:jc w:val="center"/>
              <w:rPr>
                <w:rFonts w:ascii="Times New Roman" w:eastAsia="Calibri" w:hAnsi="Times New Roman" w:cs="Times New Roman"/>
              </w:rPr>
            </w:pPr>
            <w:r w:rsidRPr="00C57D2D">
              <w:rPr>
                <w:rFonts w:ascii="Times New Roman" w:hAnsi="Times New Roman" w:cs="Times New Roman"/>
                <w:color w:val="000000"/>
              </w:rPr>
              <w:t>1.26</w:t>
            </w:r>
          </w:p>
        </w:tc>
        <w:tc>
          <w:tcPr>
            <w:tcW w:w="2160" w:type="dxa"/>
            <w:vAlign w:val="center"/>
          </w:tcPr>
          <w:p w14:paraId="1A5BD472" w14:textId="0ECB931A" w:rsidR="00C57D2D" w:rsidRPr="00C57D2D" w:rsidRDefault="00C57D2D" w:rsidP="00C57D2D">
            <w:pPr>
              <w:keepNext/>
              <w:spacing w:before="40" w:after="40"/>
              <w:jc w:val="center"/>
              <w:rPr>
                <w:rFonts w:ascii="Times New Roman" w:eastAsia="Calibri" w:hAnsi="Times New Roman" w:cs="Times New Roman"/>
                <w:sz w:val="24"/>
                <w:szCs w:val="24"/>
              </w:rPr>
            </w:pPr>
            <w:r w:rsidRPr="00C57D2D">
              <w:rPr>
                <w:rFonts w:ascii="Times New Roman" w:hAnsi="Times New Roman" w:cs="Times New Roman"/>
                <w:color w:val="000000"/>
              </w:rPr>
              <w:t>1.5</w:t>
            </w:r>
          </w:p>
        </w:tc>
      </w:tr>
      <w:tr w:rsidR="00C57D2D" w:rsidRPr="00C57D2D" w14:paraId="1BBB02A8" w14:textId="77777777" w:rsidTr="008579F3">
        <w:trPr>
          <w:cantSplit/>
        </w:trPr>
        <w:tc>
          <w:tcPr>
            <w:tcW w:w="2159" w:type="dxa"/>
          </w:tcPr>
          <w:p w14:paraId="1D0D0B2D" w14:textId="613F4638" w:rsidR="00C57D2D" w:rsidRPr="00C57D2D" w:rsidRDefault="00C57D2D" w:rsidP="00C57D2D">
            <w:pPr>
              <w:keepNext/>
              <w:spacing w:before="40" w:after="40"/>
              <w:jc w:val="center"/>
              <w:rPr>
                <w:rFonts w:ascii="Times New Roman" w:eastAsia="Calibri" w:hAnsi="Times New Roman" w:cs="Times New Roman"/>
              </w:rPr>
            </w:pPr>
            <w:r w:rsidRPr="00C57D2D">
              <w:rPr>
                <w:rFonts w:ascii="Times New Roman" w:eastAsia="Calibri" w:hAnsi="Times New Roman" w:cs="Times New Roman"/>
                <w:sz w:val="24"/>
                <w:szCs w:val="24"/>
              </w:rPr>
              <w:t>BWH</w:t>
            </w:r>
          </w:p>
        </w:tc>
        <w:tc>
          <w:tcPr>
            <w:tcW w:w="2160" w:type="dxa"/>
            <w:vAlign w:val="center"/>
          </w:tcPr>
          <w:p w14:paraId="132C57E8" w14:textId="740DA387" w:rsidR="00C57D2D" w:rsidRPr="00C57D2D" w:rsidRDefault="00C57D2D" w:rsidP="00C57D2D">
            <w:pPr>
              <w:keepNext/>
              <w:spacing w:before="40" w:after="40"/>
              <w:jc w:val="center"/>
              <w:rPr>
                <w:rFonts w:ascii="Times New Roman" w:eastAsia="Calibri" w:hAnsi="Times New Roman" w:cs="Times New Roman"/>
              </w:rPr>
            </w:pPr>
            <w:r w:rsidRPr="00C57D2D">
              <w:rPr>
                <w:rFonts w:ascii="Times New Roman" w:hAnsi="Times New Roman" w:cs="Times New Roman"/>
                <w:color w:val="000000"/>
              </w:rPr>
              <w:t>1.32</w:t>
            </w:r>
          </w:p>
        </w:tc>
        <w:tc>
          <w:tcPr>
            <w:tcW w:w="2160" w:type="dxa"/>
            <w:vAlign w:val="center"/>
          </w:tcPr>
          <w:p w14:paraId="3E7450F8" w14:textId="45D93818" w:rsidR="00C57D2D" w:rsidRPr="00C57D2D" w:rsidRDefault="00C57D2D" w:rsidP="00C57D2D">
            <w:pPr>
              <w:keepNext/>
              <w:spacing w:before="40" w:after="40"/>
              <w:jc w:val="center"/>
              <w:rPr>
                <w:rFonts w:ascii="Times New Roman" w:eastAsia="Calibri" w:hAnsi="Times New Roman" w:cs="Times New Roman"/>
              </w:rPr>
            </w:pPr>
            <w:r w:rsidRPr="00C57D2D">
              <w:rPr>
                <w:rFonts w:ascii="Times New Roman" w:hAnsi="Times New Roman" w:cs="Times New Roman"/>
                <w:color w:val="000000"/>
              </w:rPr>
              <w:t>1.24</w:t>
            </w:r>
          </w:p>
        </w:tc>
        <w:tc>
          <w:tcPr>
            <w:tcW w:w="2160" w:type="dxa"/>
            <w:vAlign w:val="center"/>
          </w:tcPr>
          <w:p w14:paraId="5A980BD9" w14:textId="7EEAFDF8" w:rsidR="00C57D2D" w:rsidRPr="00C57D2D" w:rsidRDefault="00C57D2D" w:rsidP="00C57D2D">
            <w:pPr>
              <w:keepNext/>
              <w:spacing w:before="40" w:after="40"/>
              <w:jc w:val="center"/>
              <w:rPr>
                <w:rFonts w:ascii="Times New Roman" w:eastAsia="Calibri" w:hAnsi="Times New Roman" w:cs="Times New Roman"/>
                <w:sz w:val="24"/>
                <w:szCs w:val="24"/>
              </w:rPr>
            </w:pPr>
            <w:r w:rsidRPr="00C57D2D">
              <w:rPr>
                <w:rFonts w:ascii="Times New Roman" w:hAnsi="Times New Roman" w:cs="Times New Roman"/>
                <w:color w:val="000000"/>
              </w:rPr>
              <w:t>1.47</w:t>
            </w:r>
          </w:p>
        </w:tc>
      </w:tr>
      <w:tr w:rsidR="00C57D2D" w:rsidRPr="00C57D2D" w14:paraId="7B1E8391" w14:textId="77777777" w:rsidTr="008579F3">
        <w:trPr>
          <w:cantSplit/>
        </w:trPr>
        <w:tc>
          <w:tcPr>
            <w:tcW w:w="2159" w:type="dxa"/>
          </w:tcPr>
          <w:p w14:paraId="7CB1FA0A" w14:textId="5375CA87" w:rsidR="00C57D2D" w:rsidRPr="00C57D2D" w:rsidRDefault="00C57D2D" w:rsidP="00C57D2D">
            <w:pPr>
              <w:keepNext/>
              <w:spacing w:before="40" w:after="40"/>
              <w:jc w:val="center"/>
              <w:rPr>
                <w:rFonts w:ascii="Times New Roman" w:eastAsia="Calibri" w:hAnsi="Times New Roman" w:cs="Times New Roman"/>
              </w:rPr>
            </w:pPr>
            <w:r w:rsidRPr="00C57D2D">
              <w:rPr>
                <w:rFonts w:ascii="Times New Roman" w:eastAsia="Calibri" w:hAnsi="Times New Roman" w:cs="Times New Roman"/>
                <w:sz w:val="24"/>
                <w:szCs w:val="24"/>
              </w:rPr>
              <w:t>BIDMC</w:t>
            </w:r>
          </w:p>
        </w:tc>
        <w:tc>
          <w:tcPr>
            <w:tcW w:w="2160" w:type="dxa"/>
            <w:vAlign w:val="center"/>
          </w:tcPr>
          <w:p w14:paraId="3BCF7A9F" w14:textId="30A65BD7" w:rsidR="00C57D2D" w:rsidRPr="00C57D2D" w:rsidRDefault="00C57D2D" w:rsidP="00C57D2D">
            <w:pPr>
              <w:keepNext/>
              <w:spacing w:before="40" w:after="40"/>
              <w:jc w:val="center"/>
              <w:rPr>
                <w:rFonts w:ascii="Times New Roman" w:eastAsia="Calibri" w:hAnsi="Times New Roman" w:cs="Times New Roman"/>
              </w:rPr>
            </w:pPr>
            <w:r w:rsidRPr="00C57D2D">
              <w:rPr>
                <w:rFonts w:ascii="Times New Roman" w:hAnsi="Times New Roman" w:cs="Times New Roman"/>
                <w:color w:val="000000"/>
              </w:rPr>
              <w:t>1.2</w:t>
            </w:r>
          </w:p>
        </w:tc>
        <w:tc>
          <w:tcPr>
            <w:tcW w:w="2160" w:type="dxa"/>
            <w:vAlign w:val="center"/>
          </w:tcPr>
          <w:p w14:paraId="006FF22A" w14:textId="6153C5F2" w:rsidR="00C57D2D" w:rsidRPr="00C57D2D" w:rsidRDefault="00C57D2D" w:rsidP="00C57D2D">
            <w:pPr>
              <w:keepNext/>
              <w:spacing w:before="40" w:after="40"/>
              <w:jc w:val="center"/>
              <w:rPr>
                <w:rFonts w:ascii="Times New Roman" w:eastAsia="Calibri" w:hAnsi="Times New Roman" w:cs="Times New Roman"/>
              </w:rPr>
            </w:pPr>
            <w:r w:rsidRPr="00C57D2D">
              <w:rPr>
                <w:rFonts w:ascii="Times New Roman" w:hAnsi="Times New Roman" w:cs="Times New Roman"/>
                <w:color w:val="000000"/>
              </w:rPr>
              <w:t>1.22</w:t>
            </w:r>
          </w:p>
        </w:tc>
        <w:tc>
          <w:tcPr>
            <w:tcW w:w="2160" w:type="dxa"/>
            <w:vAlign w:val="center"/>
          </w:tcPr>
          <w:p w14:paraId="7061A79E" w14:textId="54EE1B52" w:rsidR="00C57D2D" w:rsidRPr="00C57D2D" w:rsidRDefault="00C57D2D" w:rsidP="00C57D2D">
            <w:pPr>
              <w:keepNext/>
              <w:spacing w:before="40" w:after="40"/>
              <w:jc w:val="center"/>
              <w:rPr>
                <w:rFonts w:ascii="Times New Roman" w:eastAsia="Calibri" w:hAnsi="Times New Roman" w:cs="Times New Roman"/>
                <w:sz w:val="24"/>
                <w:szCs w:val="24"/>
              </w:rPr>
            </w:pPr>
            <w:r w:rsidRPr="00C57D2D">
              <w:rPr>
                <w:rFonts w:ascii="Times New Roman" w:hAnsi="Times New Roman" w:cs="Times New Roman"/>
                <w:color w:val="000000"/>
              </w:rPr>
              <w:t>1.31</w:t>
            </w:r>
          </w:p>
        </w:tc>
      </w:tr>
      <w:tr w:rsidR="00C57D2D" w:rsidRPr="00C57D2D" w14:paraId="22EC760E" w14:textId="77777777" w:rsidTr="008579F3">
        <w:trPr>
          <w:cantSplit/>
        </w:trPr>
        <w:tc>
          <w:tcPr>
            <w:tcW w:w="2159" w:type="dxa"/>
            <w:shd w:val="clear" w:color="auto" w:fill="DBDBDB" w:themeFill="accent3" w:themeFillTint="66"/>
          </w:tcPr>
          <w:p w14:paraId="6AB403D0" w14:textId="68E7845E" w:rsidR="00C57D2D" w:rsidRPr="00C57D2D" w:rsidRDefault="00C57D2D" w:rsidP="00C57D2D">
            <w:pPr>
              <w:keepNext/>
              <w:spacing w:before="40" w:after="40"/>
              <w:jc w:val="center"/>
              <w:rPr>
                <w:rFonts w:ascii="Times New Roman" w:eastAsia="Calibri" w:hAnsi="Times New Roman" w:cs="Times New Roman"/>
                <w:b/>
                <w:bCs/>
              </w:rPr>
            </w:pPr>
            <w:r w:rsidRPr="00C57D2D">
              <w:rPr>
                <w:rFonts w:ascii="Times New Roman" w:eastAsia="Calibri" w:hAnsi="Times New Roman" w:cs="Times New Roman"/>
                <w:b/>
                <w:bCs/>
                <w:sz w:val="24"/>
                <w:szCs w:val="24"/>
              </w:rPr>
              <w:t>Applicant</w:t>
            </w:r>
          </w:p>
        </w:tc>
        <w:tc>
          <w:tcPr>
            <w:tcW w:w="2160" w:type="dxa"/>
            <w:shd w:val="clear" w:color="auto" w:fill="DBDBDB" w:themeFill="accent3" w:themeFillTint="66"/>
            <w:vAlign w:val="center"/>
          </w:tcPr>
          <w:p w14:paraId="10C77803" w14:textId="136CDAE4" w:rsidR="00C57D2D" w:rsidRPr="00C57D2D" w:rsidRDefault="00C57D2D" w:rsidP="00C57D2D">
            <w:pPr>
              <w:keepNext/>
              <w:spacing w:before="40" w:after="40"/>
              <w:jc w:val="center"/>
              <w:rPr>
                <w:rFonts w:ascii="Times New Roman" w:eastAsia="Calibri" w:hAnsi="Times New Roman" w:cs="Times New Roman"/>
                <w:b/>
                <w:bCs/>
              </w:rPr>
            </w:pPr>
            <w:r w:rsidRPr="00C57D2D">
              <w:rPr>
                <w:rFonts w:ascii="Times New Roman" w:hAnsi="Times New Roman" w:cs="Times New Roman"/>
                <w:b/>
                <w:bCs/>
                <w:color w:val="000000"/>
              </w:rPr>
              <w:t>1.13</w:t>
            </w:r>
          </w:p>
        </w:tc>
        <w:tc>
          <w:tcPr>
            <w:tcW w:w="2160" w:type="dxa"/>
            <w:shd w:val="clear" w:color="auto" w:fill="DBDBDB" w:themeFill="accent3" w:themeFillTint="66"/>
            <w:vAlign w:val="bottom"/>
          </w:tcPr>
          <w:p w14:paraId="4F6359AF" w14:textId="0485F3CA" w:rsidR="00C57D2D" w:rsidRPr="00C57D2D" w:rsidRDefault="00C57D2D" w:rsidP="00C57D2D">
            <w:pPr>
              <w:keepNext/>
              <w:spacing w:before="40" w:after="40"/>
              <w:jc w:val="center"/>
              <w:rPr>
                <w:rFonts w:ascii="Times New Roman" w:eastAsia="Calibri" w:hAnsi="Times New Roman" w:cs="Times New Roman"/>
                <w:b/>
                <w:bCs/>
              </w:rPr>
            </w:pPr>
            <w:r w:rsidRPr="00C57D2D">
              <w:rPr>
                <w:rFonts w:ascii="Times New Roman" w:hAnsi="Times New Roman" w:cs="Times New Roman"/>
                <w:b/>
                <w:bCs/>
                <w:color w:val="000000"/>
              </w:rPr>
              <w:t>1.15</w:t>
            </w:r>
          </w:p>
        </w:tc>
        <w:tc>
          <w:tcPr>
            <w:tcW w:w="2160" w:type="dxa"/>
            <w:shd w:val="clear" w:color="auto" w:fill="DBDBDB" w:themeFill="accent3" w:themeFillTint="66"/>
            <w:vAlign w:val="center"/>
          </w:tcPr>
          <w:p w14:paraId="4061BB03" w14:textId="4E23E799" w:rsidR="00C57D2D" w:rsidRPr="00C57D2D" w:rsidRDefault="00C57D2D" w:rsidP="00C57D2D">
            <w:pPr>
              <w:keepNext/>
              <w:spacing w:before="40" w:after="40"/>
              <w:jc w:val="center"/>
              <w:rPr>
                <w:rFonts w:ascii="Times New Roman" w:eastAsia="Calibri" w:hAnsi="Times New Roman" w:cs="Times New Roman"/>
                <w:b/>
                <w:bCs/>
              </w:rPr>
            </w:pPr>
            <w:r w:rsidRPr="00C57D2D">
              <w:rPr>
                <w:rFonts w:ascii="Times New Roman" w:hAnsi="Times New Roman" w:cs="Times New Roman"/>
                <w:b/>
                <w:bCs/>
                <w:color w:val="000000"/>
              </w:rPr>
              <w:t>0.82</w:t>
            </w:r>
          </w:p>
        </w:tc>
      </w:tr>
    </w:tbl>
    <w:p w14:paraId="173781B8" w14:textId="77777777" w:rsidR="00105089" w:rsidRDefault="00105089" w:rsidP="00C57D2D">
      <w:pPr>
        <w:keepNext/>
        <w:spacing w:before="40" w:after="40"/>
        <w:jc w:val="both"/>
        <w:rPr>
          <w:rFonts w:eastAsia="Calibri" w:cs="Times New Roman"/>
        </w:rPr>
      </w:pPr>
    </w:p>
    <w:p w14:paraId="0720CDC4" w14:textId="0E13F4B3" w:rsidR="00F624A2" w:rsidRPr="007C60C5" w:rsidRDefault="00A640E6" w:rsidP="00C57D2D">
      <w:pPr>
        <w:spacing w:after="240" w:line="259" w:lineRule="auto"/>
        <w:ind w:left="720"/>
        <w:jc w:val="both"/>
        <w:rPr>
          <w:rFonts w:eastAsia="Calibri" w:cs="Times New Roman"/>
        </w:rPr>
      </w:pPr>
      <w:r w:rsidRPr="007C60C5">
        <w:rPr>
          <w:rFonts w:eastAsia="Calibri" w:cs="Times New Roman"/>
        </w:rPr>
        <w:t>Additionally, according to an analysis conducted by the Health Policy Commission of 49 acute care hospitals, among the Applicant, BWH, and MGH, the Applicant had the lowest acuity-adjusted average commercial prices for non-maternity inpatient stays.</w:t>
      </w:r>
      <w:r w:rsidRPr="007C60C5">
        <w:rPr>
          <w:rStyle w:val="FootnoteReference"/>
          <w:rFonts w:eastAsia="Calibri" w:cs="Times New Roman"/>
        </w:rPr>
        <w:footnoteReference w:id="13"/>
      </w:r>
    </w:p>
    <w:p w14:paraId="283213FD" w14:textId="4DFCE7D7" w:rsidR="00997141" w:rsidRDefault="00C57D2D" w:rsidP="00105089">
      <w:pPr>
        <w:spacing w:after="240" w:line="259" w:lineRule="auto"/>
        <w:ind w:left="720"/>
        <w:jc w:val="both"/>
        <w:rPr>
          <w:rFonts w:cs="Times New Roman"/>
        </w:rPr>
      </w:pPr>
      <w:r w:rsidRPr="007C60C5">
        <w:rPr>
          <w:rFonts w:eastAsia="Times New Roman" w:cs="Times New Roman"/>
        </w:rPr>
        <w:t xml:space="preserve">While the Applicant is </w:t>
      </w:r>
      <w:r>
        <w:rPr>
          <w:rFonts w:eastAsia="Times New Roman" w:cs="Times New Roman"/>
        </w:rPr>
        <w:t xml:space="preserve">exempt from the </w:t>
      </w:r>
      <w:r w:rsidRPr="007C60C5">
        <w:rPr>
          <w:rFonts w:eastAsia="Times New Roman" w:cs="Times New Roman"/>
        </w:rPr>
        <w:t xml:space="preserve">Inpatient </w:t>
      </w:r>
      <w:proofErr w:type="gramStart"/>
      <w:r w:rsidRPr="007C60C5">
        <w:rPr>
          <w:rFonts w:eastAsia="Times New Roman" w:cs="Times New Roman"/>
        </w:rPr>
        <w:t>Prospective</w:t>
      </w:r>
      <w:proofErr w:type="gramEnd"/>
      <w:r w:rsidRPr="007C60C5">
        <w:rPr>
          <w:rFonts w:eastAsia="Times New Roman" w:cs="Times New Roman"/>
        </w:rPr>
        <w:t xml:space="preserve"> Payment System (“IPPS”), it nonetheless </w:t>
      </w:r>
      <w:r w:rsidR="00E94D4D">
        <w:rPr>
          <w:rFonts w:eastAsia="Times New Roman" w:cs="Times New Roman"/>
        </w:rPr>
        <w:t>receives</w:t>
      </w:r>
      <w:r w:rsidRPr="007C60C5">
        <w:rPr>
          <w:rFonts w:eastAsia="Times New Roman" w:cs="Times New Roman"/>
        </w:rPr>
        <w:t xml:space="preserve"> lower reimbursement than BWH</w:t>
      </w:r>
      <w:r w:rsidR="00501BCB">
        <w:rPr>
          <w:rFonts w:eastAsia="Times New Roman" w:cs="Times New Roman"/>
        </w:rPr>
        <w:t xml:space="preserve"> from the Medicare program</w:t>
      </w:r>
      <w:r w:rsidRPr="007C60C5">
        <w:rPr>
          <w:rFonts w:eastAsia="Times New Roman" w:cs="Times New Roman"/>
        </w:rPr>
        <w:t xml:space="preserve">. </w:t>
      </w:r>
      <w:r>
        <w:rPr>
          <w:rFonts w:eastAsia="Times New Roman" w:cs="Times New Roman"/>
        </w:rPr>
        <w:t>B</w:t>
      </w:r>
      <w:r w:rsidR="00A35F50" w:rsidRPr="007C60C5">
        <w:rPr>
          <w:rFonts w:eastAsia="Calibri" w:cs="Times New Roman"/>
        </w:rPr>
        <w:t>ased o</w:t>
      </w:r>
      <w:r w:rsidR="00635658" w:rsidRPr="007C60C5">
        <w:rPr>
          <w:rFonts w:eastAsia="Calibri" w:cs="Times New Roman"/>
        </w:rPr>
        <w:t>n</w:t>
      </w:r>
      <w:r w:rsidR="00A35F50" w:rsidRPr="007C60C5">
        <w:rPr>
          <w:rFonts w:eastAsia="Calibri" w:cs="Times New Roman"/>
        </w:rPr>
        <w:t xml:space="preserve"> data from the American Hospital Directory</w:t>
      </w:r>
      <w:r w:rsidR="00D3125E" w:rsidRPr="007C60C5">
        <w:rPr>
          <w:rFonts w:eastAsia="Calibri" w:cs="Times New Roman"/>
        </w:rPr>
        <w:t xml:space="preserve"> for 2022</w:t>
      </w:r>
      <w:r w:rsidR="00A35F50" w:rsidRPr="007C60C5">
        <w:rPr>
          <w:rFonts w:eastAsia="Calibri" w:cs="Times New Roman"/>
        </w:rPr>
        <w:t xml:space="preserve">, </w:t>
      </w:r>
      <w:r w:rsidR="00A35F50" w:rsidRPr="007C60C5">
        <w:rPr>
          <w:rFonts w:cs="Times New Roman"/>
        </w:rPr>
        <w:t>the Applicant’s average Medicare payment for oncology</w:t>
      </w:r>
      <w:r>
        <w:rPr>
          <w:rFonts w:cs="Times New Roman"/>
        </w:rPr>
        <w:t xml:space="preserve"> (</w:t>
      </w:r>
      <w:r>
        <w:rPr>
          <w:rFonts w:cs="Times New Roman"/>
          <w:i/>
          <w:iCs/>
        </w:rPr>
        <w:t>i.e.</w:t>
      </w:r>
      <w:r>
        <w:rPr>
          <w:rFonts w:cs="Times New Roman"/>
        </w:rPr>
        <w:t xml:space="preserve">, </w:t>
      </w:r>
      <w:r w:rsidRPr="007C60C5">
        <w:rPr>
          <w:rFonts w:cs="Times New Roman"/>
        </w:rPr>
        <w:t>$20,061</w:t>
      </w:r>
      <w:r>
        <w:rPr>
          <w:rFonts w:cs="Times New Roman"/>
        </w:rPr>
        <w:t>)</w:t>
      </w:r>
      <w:r w:rsidR="00A35F50" w:rsidRPr="007C60C5">
        <w:rPr>
          <w:rFonts w:cs="Times New Roman"/>
        </w:rPr>
        <w:t xml:space="preserve"> is lower than </w:t>
      </w:r>
      <w:r w:rsidR="00635658" w:rsidRPr="007C60C5">
        <w:rPr>
          <w:rFonts w:cs="Times New Roman"/>
        </w:rPr>
        <w:t>the average oncology payment made to BWH (</w:t>
      </w:r>
      <w:r w:rsidRPr="00C57D2D">
        <w:rPr>
          <w:rFonts w:cs="Times New Roman"/>
          <w:i/>
          <w:iCs/>
        </w:rPr>
        <w:t>i.e.</w:t>
      </w:r>
      <w:r w:rsidRPr="00C57D2D">
        <w:rPr>
          <w:rFonts w:cs="Times New Roman"/>
        </w:rPr>
        <w:t xml:space="preserve">, </w:t>
      </w:r>
      <w:r w:rsidR="00635658" w:rsidRPr="007C60C5">
        <w:rPr>
          <w:rFonts w:cs="Times New Roman"/>
        </w:rPr>
        <w:t>$63,303)</w:t>
      </w:r>
      <w:r w:rsidR="002655A2">
        <w:rPr>
          <w:rFonts w:cs="Times New Roman"/>
        </w:rPr>
        <w:t>, not adjusted for acuity</w:t>
      </w:r>
      <w:r w:rsidR="00635658" w:rsidRPr="007C60C5">
        <w:rPr>
          <w:rFonts w:cs="Times New Roman"/>
        </w:rPr>
        <w:t xml:space="preserve">. </w:t>
      </w:r>
      <w:r w:rsidR="004C13AA" w:rsidRPr="007C60C5">
        <w:rPr>
          <w:rFonts w:eastAsia="Times New Roman" w:cs="Times New Roman"/>
        </w:rPr>
        <w:t xml:space="preserve">In </w:t>
      </w:r>
      <w:r>
        <w:rPr>
          <w:rFonts w:eastAsia="Times New Roman" w:cs="Times New Roman"/>
        </w:rPr>
        <w:t>2</w:t>
      </w:r>
      <w:r w:rsidR="004C13AA" w:rsidRPr="007C60C5">
        <w:rPr>
          <w:rFonts w:eastAsia="Times New Roman" w:cs="Times New Roman"/>
        </w:rPr>
        <w:t xml:space="preserve">022, the Applicant’s Medicare reimbursement </w:t>
      </w:r>
      <w:r w:rsidR="00FF74F1" w:rsidRPr="007C60C5">
        <w:rPr>
          <w:rFonts w:eastAsia="Times New Roman" w:cs="Times New Roman"/>
        </w:rPr>
        <w:t>w</w:t>
      </w:r>
      <w:r w:rsidR="004C13AA" w:rsidRPr="007C60C5">
        <w:rPr>
          <w:rFonts w:eastAsia="Times New Roman" w:cs="Times New Roman"/>
        </w:rPr>
        <w:t>as $</w:t>
      </w:r>
      <w:r w:rsidR="00AB5A2D" w:rsidRPr="007C60C5">
        <w:rPr>
          <w:rFonts w:eastAsia="Times New Roman" w:cs="Times New Roman"/>
        </w:rPr>
        <w:t>1</w:t>
      </w:r>
      <w:r w:rsidR="004C13AA" w:rsidRPr="007C60C5">
        <w:rPr>
          <w:rFonts w:eastAsia="Times New Roman" w:cs="Times New Roman"/>
        </w:rPr>
        <w:t>0.1</w:t>
      </w:r>
      <w:r>
        <w:rPr>
          <w:rFonts w:eastAsia="Times New Roman" w:cs="Times New Roman"/>
        </w:rPr>
        <w:t xml:space="preserve"> million</w:t>
      </w:r>
      <w:r w:rsidR="00FF74F1" w:rsidRPr="007C60C5">
        <w:rPr>
          <w:rFonts w:eastAsia="Times New Roman" w:cs="Times New Roman"/>
        </w:rPr>
        <w:t xml:space="preserve"> </w:t>
      </w:r>
      <w:r>
        <w:rPr>
          <w:rFonts w:eastAsia="Times New Roman" w:cs="Times New Roman"/>
        </w:rPr>
        <w:t xml:space="preserve">with </w:t>
      </w:r>
      <w:r w:rsidR="00D3125E" w:rsidRPr="007C60C5">
        <w:rPr>
          <w:rFonts w:cs="Times New Roman"/>
        </w:rPr>
        <w:t>479 discharges from its 30 licensed beds</w:t>
      </w:r>
      <w:r w:rsidR="00FF74F1" w:rsidRPr="007C60C5">
        <w:rPr>
          <w:rFonts w:cs="Times New Roman"/>
        </w:rPr>
        <w:t xml:space="preserve"> (</w:t>
      </w:r>
      <w:r w:rsidR="00FF74F1" w:rsidRPr="007C60C5">
        <w:rPr>
          <w:rFonts w:cs="Times New Roman"/>
          <w:i/>
          <w:iCs/>
        </w:rPr>
        <w:t>i.e.</w:t>
      </w:r>
      <w:r w:rsidR="00D3125E" w:rsidRPr="007C60C5">
        <w:rPr>
          <w:rFonts w:cs="Times New Roman"/>
        </w:rPr>
        <w:t>,</w:t>
      </w:r>
      <w:r w:rsidR="00FF74F1" w:rsidRPr="007C60C5">
        <w:rPr>
          <w:rFonts w:cs="Times New Roman"/>
        </w:rPr>
        <w:t xml:space="preserve"> $</w:t>
      </w:r>
      <w:r w:rsidR="00AB5A2D" w:rsidRPr="007C60C5">
        <w:rPr>
          <w:rFonts w:cs="Times New Roman"/>
        </w:rPr>
        <w:t>2</w:t>
      </w:r>
      <w:r w:rsidR="00FF74F1" w:rsidRPr="007C60C5">
        <w:rPr>
          <w:rFonts w:cs="Times New Roman"/>
        </w:rPr>
        <w:t>1,</w:t>
      </w:r>
      <w:r w:rsidR="00AB5A2D" w:rsidRPr="007C60C5">
        <w:rPr>
          <w:rFonts w:cs="Times New Roman"/>
        </w:rPr>
        <w:t>0</w:t>
      </w:r>
      <w:r w:rsidR="0052640C" w:rsidRPr="007C60C5">
        <w:rPr>
          <w:rFonts w:cs="Times New Roman"/>
        </w:rPr>
        <w:t>00</w:t>
      </w:r>
      <w:r w:rsidR="00FF74F1" w:rsidRPr="007C60C5">
        <w:rPr>
          <w:rFonts w:cs="Times New Roman"/>
        </w:rPr>
        <w:t xml:space="preserve"> per discharge</w:t>
      </w:r>
      <w:r>
        <w:rPr>
          <w:rFonts w:cs="Times New Roman"/>
        </w:rPr>
        <w:t>, on average</w:t>
      </w:r>
      <w:r w:rsidR="00FF74F1" w:rsidRPr="007C60C5">
        <w:rPr>
          <w:rFonts w:cs="Times New Roman"/>
        </w:rPr>
        <w:t>)</w:t>
      </w:r>
      <w:r w:rsidR="00AB5A2D" w:rsidRPr="007C60C5">
        <w:rPr>
          <w:rFonts w:cs="Times New Roman"/>
        </w:rPr>
        <w:t>.</w:t>
      </w:r>
      <w:r w:rsidR="00D3125E" w:rsidRPr="007C60C5">
        <w:rPr>
          <w:rFonts w:cs="Times New Roman"/>
        </w:rPr>
        <w:t xml:space="preserve"> The </w:t>
      </w:r>
      <w:r w:rsidR="00316F16" w:rsidRPr="007C60C5">
        <w:rPr>
          <w:rFonts w:cs="Times New Roman"/>
        </w:rPr>
        <w:t>IPPS reimbursement</w:t>
      </w:r>
      <w:r w:rsidR="00D3125E" w:rsidRPr="007C60C5">
        <w:rPr>
          <w:rFonts w:cs="Times New Roman"/>
        </w:rPr>
        <w:t xml:space="preserve"> for those </w:t>
      </w:r>
      <w:r>
        <w:rPr>
          <w:rFonts w:cs="Times New Roman"/>
        </w:rPr>
        <w:t xml:space="preserve">same </w:t>
      </w:r>
      <w:r w:rsidR="00D3125E" w:rsidRPr="007C60C5">
        <w:rPr>
          <w:rFonts w:cs="Times New Roman"/>
        </w:rPr>
        <w:t xml:space="preserve">discharges </w:t>
      </w:r>
      <w:r>
        <w:rPr>
          <w:rFonts w:cs="Times New Roman"/>
        </w:rPr>
        <w:t xml:space="preserve">would have </w:t>
      </w:r>
      <w:r w:rsidR="00D3125E" w:rsidRPr="007C60C5">
        <w:rPr>
          <w:rFonts w:cs="Times New Roman"/>
        </w:rPr>
        <w:t>be</w:t>
      </w:r>
      <w:r>
        <w:rPr>
          <w:rFonts w:cs="Times New Roman"/>
        </w:rPr>
        <w:t>en approximately</w:t>
      </w:r>
      <w:r w:rsidR="00D3125E" w:rsidRPr="007C60C5">
        <w:rPr>
          <w:rFonts w:cs="Times New Roman"/>
        </w:rPr>
        <w:t xml:space="preserve"> $15.1</w:t>
      </w:r>
      <w:r>
        <w:rPr>
          <w:rFonts w:cs="Times New Roman"/>
        </w:rPr>
        <w:t xml:space="preserve"> million</w:t>
      </w:r>
      <w:r w:rsidR="00AB5A2D" w:rsidRPr="007C60C5">
        <w:rPr>
          <w:rFonts w:cs="Times New Roman"/>
        </w:rPr>
        <w:t xml:space="preserve"> (</w:t>
      </w:r>
      <w:r w:rsidR="00AB5A2D" w:rsidRPr="007C60C5">
        <w:rPr>
          <w:rFonts w:cs="Times New Roman"/>
          <w:i/>
          <w:iCs/>
        </w:rPr>
        <w:t>i.e.</w:t>
      </w:r>
      <w:r w:rsidR="00AB5A2D" w:rsidRPr="007C60C5">
        <w:rPr>
          <w:rFonts w:cs="Times New Roman"/>
        </w:rPr>
        <w:t>, $31,5</w:t>
      </w:r>
      <w:r w:rsidR="00702FBE" w:rsidRPr="007C60C5">
        <w:rPr>
          <w:rFonts w:cs="Times New Roman"/>
        </w:rPr>
        <w:t>82</w:t>
      </w:r>
      <w:r w:rsidR="00316F16" w:rsidRPr="007C60C5">
        <w:rPr>
          <w:rFonts w:cs="Times New Roman"/>
        </w:rPr>
        <w:t xml:space="preserve"> per discharge</w:t>
      </w:r>
      <w:r>
        <w:rPr>
          <w:rFonts w:cs="Times New Roman"/>
        </w:rPr>
        <w:t>, on average</w:t>
      </w:r>
      <w:r w:rsidR="00AB5A2D" w:rsidRPr="007C60C5">
        <w:rPr>
          <w:rFonts w:cs="Times New Roman"/>
        </w:rPr>
        <w:t>)</w:t>
      </w:r>
      <w:r w:rsidR="00D3125E" w:rsidRPr="007C60C5">
        <w:rPr>
          <w:rFonts w:cs="Times New Roman"/>
        </w:rPr>
        <w:t>.</w:t>
      </w:r>
      <w:r w:rsidR="00702FBE" w:rsidRPr="007C60C5">
        <w:rPr>
          <w:rFonts w:cs="Times New Roman"/>
        </w:rPr>
        <w:t xml:space="preserve"> </w:t>
      </w:r>
      <w:r w:rsidR="008437D0">
        <w:rPr>
          <w:rFonts w:cs="Times New Roman"/>
        </w:rPr>
        <w:t xml:space="preserve">To get a sense of the estimated total savings, </w:t>
      </w:r>
      <w:r w:rsidR="0050615B">
        <w:rPr>
          <w:rFonts w:cs="Times New Roman"/>
        </w:rPr>
        <w:t>the calculation below assumes</w:t>
      </w:r>
      <w:r w:rsidR="008437D0">
        <w:rPr>
          <w:rFonts w:cs="Times New Roman"/>
        </w:rPr>
        <w:t xml:space="preserve"> that</w:t>
      </w:r>
      <w:r w:rsidR="00872C48">
        <w:rPr>
          <w:rFonts w:cs="Times New Roman"/>
        </w:rPr>
        <w:t xml:space="preserve"> all unique Medicare inpatients under the care of </w:t>
      </w:r>
      <w:r w:rsidR="00262A06">
        <w:rPr>
          <w:rFonts w:cs="Times New Roman"/>
        </w:rPr>
        <w:t xml:space="preserve">one of the Applicant’s </w:t>
      </w:r>
      <w:proofErr w:type="gramStart"/>
      <w:r w:rsidR="00872C48">
        <w:rPr>
          <w:rFonts w:cs="Times New Roman"/>
        </w:rPr>
        <w:t>oncologist</w:t>
      </w:r>
      <w:proofErr w:type="gramEnd"/>
      <w:r w:rsidR="00262A06">
        <w:rPr>
          <w:rFonts w:cs="Times New Roman"/>
        </w:rPr>
        <w:t xml:space="preserve"> in 2022 had </w:t>
      </w:r>
      <w:r w:rsidR="00A33C56">
        <w:rPr>
          <w:rFonts w:cs="Times New Roman"/>
        </w:rPr>
        <w:t>a single discharge</w:t>
      </w:r>
      <w:r w:rsidR="00262A06">
        <w:rPr>
          <w:rFonts w:cs="Times New Roman"/>
        </w:rPr>
        <w:t xml:space="preserve"> from one of the Applicant’s beds</w:t>
      </w:r>
      <w:r w:rsidR="008437D0">
        <w:rPr>
          <w:rFonts w:cs="Times New Roman"/>
        </w:rPr>
        <w:t xml:space="preserve">. Based on those assumptions, </w:t>
      </w:r>
      <w:r w:rsidR="00262A06">
        <w:rPr>
          <w:rFonts w:cs="Times New Roman"/>
        </w:rPr>
        <w:t>estimated total savings would have been at least $2</w:t>
      </w:r>
      <w:r w:rsidR="00A33C56">
        <w:rPr>
          <w:rFonts w:cs="Times New Roman"/>
        </w:rPr>
        <w:t>2</w:t>
      </w:r>
      <w:r w:rsidR="00262A06">
        <w:rPr>
          <w:rFonts w:cs="Times New Roman"/>
        </w:rPr>
        <w:t>.</w:t>
      </w:r>
      <w:r w:rsidR="00A33C56">
        <w:rPr>
          <w:rFonts w:cs="Times New Roman"/>
        </w:rPr>
        <w:t>4</w:t>
      </w:r>
      <w:r w:rsidR="00262A06">
        <w:rPr>
          <w:rFonts w:cs="Times New Roman"/>
        </w:rPr>
        <w:t xml:space="preserve"> million</w:t>
      </w:r>
      <w:r w:rsidR="00A33C56">
        <w:rPr>
          <w:rFonts w:cs="Times New Roman"/>
        </w:rPr>
        <w:t>, as shown in the following table:</w:t>
      </w:r>
      <w:r w:rsidR="00262A06">
        <w:rPr>
          <w:rStyle w:val="FootnoteReference"/>
          <w:rFonts w:cs="Times New Roman"/>
        </w:rPr>
        <w:footnoteReference w:id="14"/>
      </w:r>
    </w:p>
    <w:p w14:paraId="4D7F2D1B" w14:textId="22F24206" w:rsidR="00010C20" w:rsidRDefault="00010C20" w:rsidP="00105089">
      <w:pPr>
        <w:spacing w:after="240" w:line="259" w:lineRule="auto"/>
        <w:ind w:left="720"/>
        <w:jc w:val="both"/>
        <w:rPr>
          <w:rFonts w:cs="Times New Roman"/>
        </w:rPr>
      </w:pPr>
    </w:p>
    <w:p w14:paraId="42DB9228" w14:textId="77777777" w:rsidR="00010C20" w:rsidRDefault="00010C20" w:rsidP="00105089">
      <w:pPr>
        <w:spacing w:after="240" w:line="259" w:lineRule="auto"/>
        <w:ind w:left="720"/>
        <w:jc w:val="both"/>
        <w:rPr>
          <w:rFonts w:cs="Times New Roman"/>
        </w:rPr>
      </w:pPr>
    </w:p>
    <w:tbl>
      <w:tblPr>
        <w:tblStyle w:val="TableGrid"/>
        <w:tblW w:w="0" w:type="auto"/>
        <w:jc w:val="center"/>
        <w:tblLook w:val="04A0" w:firstRow="1" w:lastRow="0" w:firstColumn="1" w:lastColumn="0" w:noHBand="0" w:noVBand="1"/>
      </w:tblPr>
      <w:tblGrid>
        <w:gridCol w:w="4945"/>
        <w:gridCol w:w="1890"/>
      </w:tblGrid>
      <w:tr w:rsidR="00A33C56" w:rsidRPr="000333F2" w14:paraId="3DEEE03F" w14:textId="77777777" w:rsidTr="008579F3">
        <w:trPr>
          <w:cantSplit/>
          <w:trHeight w:val="350"/>
          <w:tblHeader/>
          <w:jc w:val="center"/>
        </w:trPr>
        <w:tc>
          <w:tcPr>
            <w:tcW w:w="4945" w:type="dxa"/>
            <w:shd w:val="clear" w:color="auto" w:fill="BFBFBF" w:themeFill="background1" w:themeFillShade="BF"/>
            <w:vAlign w:val="center"/>
          </w:tcPr>
          <w:p w14:paraId="3E2BB7EB" w14:textId="101DA303" w:rsidR="00A33C56" w:rsidRPr="000333F2" w:rsidRDefault="00A33C56" w:rsidP="000333F2">
            <w:pPr>
              <w:spacing w:line="259" w:lineRule="auto"/>
              <w:jc w:val="center"/>
              <w:rPr>
                <w:rFonts w:ascii="Times New Roman" w:hAnsi="Times New Roman" w:cs="Times New Roman"/>
                <w:b/>
                <w:bCs/>
                <w:sz w:val="24"/>
                <w:szCs w:val="24"/>
              </w:rPr>
            </w:pPr>
          </w:p>
        </w:tc>
        <w:tc>
          <w:tcPr>
            <w:tcW w:w="1890" w:type="dxa"/>
            <w:shd w:val="clear" w:color="auto" w:fill="BFBFBF" w:themeFill="background1" w:themeFillShade="BF"/>
            <w:vAlign w:val="center"/>
          </w:tcPr>
          <w:p w14:paraId="2E3B8F22" w14:textId="357AAFD6" w:rsidR="00A33C56" w:rsidRPr="000333F2" w:rsidRDefault="00A33C56" w:rsidP="000333F2">
            <w:pPr>
              <w:spacing w:line="259" w:lineRule="auto"/>
              <w:jc w:val="center"/>
              <w:rPr>
                <w:rFonts w:ascii="Times New Roman" w:hAnsi="Times New Roman" w:cs="Times New Roman"/>
                <w:b/>
                <w:bCs/>
                <w:sz w:val="24"/>
                <w:szCs w:val="24"/>
              </w:rPr>
            </w:pPr>
            <w:r w:rsidRPr="000333F2">
              <w:rPr>
                <w:rFonts w:ascii="Times New Roman" w:hAnsi="Times New Roman" w:cs="Times New Roman"/>
                <w:b/>
                <w:bCs/>
                <w:sz w:val="24"/>
                <w:szCs w:val="24"/>
              </w:rPr>
              <w:t>2022</w:t>
            </w:r>
          </w:p>
        </w:tc>
      </w:tr>
      <w:tr w:rsidR="005D6403" w:rsidRPr="000333F2" w14:paraId="4956FB22" w14:textId="77777777" w:rsidTr="008579F3">
        <w:trPr>
          <w:cantSplit/>
          <w:jc w:val="center"/>
        </w:trPr>
        <w:tc>
          <w:tcPr>
            <w:tcW w:w="4945" w:type="dxa"/>
          </w:tcPr>
          <w:p w14:paraId="753829C1" w14:textId="132013B7" w:rsidR="00A33C56" w:rsidRPr="000333F2" w:rsidRDefault="002655A2" w:rsidP="000333F2">
            <w:pPr>
              <w:spacing w:after="40" w:line="259" w:lineRule="auto"/>
              <w:rPr>
                <w:rFonts w:ascii="Times New Roman" w:hAnsi="Times New Roman" w:cs="Times New Roman"/>
                <w:sz w:val="24"/>
                <w:szCs w:val="24"/>
              </w:rPr>
            </w:pPr>
            <w:r w:rsidRPr="000333F2">
              <w:rPr>
                <w:rFonts w:ascii="Times New Roman" w:hAnsi="Times New Roman" w:cs="Times New Roman"/>
                <w:b/>
                <w:bCs/>
                <w:sz w:val="24"/>
                <w:szCs w:val="24"/>
              </w:rPr>
              <w:t xml:space="preserve">A. </w:t>
            </w:r>
            <w:r w:rsidR="00A33C56" w:rsidRPr="000333F2">
              <w:rPr>
                <w:rFonts w:ascii="Times New Roman" w:hAnsi="Times New Roman" w:cs="Times New Roman"/>
                <w:b/>
                <w:bCs/>
                <w:sz w:val="24"/>
                <w:szCs w:val="24"/>
              </w:rPr>
              <w:t xml:space="preserve">Unique </w:t>
            </w:r>
            <w:r w:rsidR="0003547F" w:rsidRPr="000333F2">
              <w:rPr>
                <w:rFonts w:ascii="Times New Roman" w:hAnsi="Times New Roman" w:cs="Times New Roman"/>
                <w:b/>
                <w:bCs/>
                <w:sz w:val="24"/>
                <w:szCs w:val="24"/>
              </w:rPr>
              <w:t xml:space="preserve">Inpatients </w:t>
            </w:r>
            <w:r w:rsidR="00A33C56" w:rsidRPr="000333F2">
              <w:rPr>
                <w:rFonts w:ascii="Times New Roman" w:hAnsi="Times New Roman" w:cs="Times New Roman"/>
                <w:sz w:val="24"/>
                <w:szCs w:val="24"/>
              </w:rPr>
              <w:br/>
              <w:t>(as shown in Table 2 of the Application)</w:t>
            </w:r>
          </w:p>
        </w:tc>
        <w:tc>
          <w:tcPr>
            <w:tcW w:w="1890" w:type="dxa"/>
            <w:vAlign w:val="bottom"/>
          </w:tcPr>
          <w:p w14:paraId="06A6D571" w14:textId="6D014146" w:rsidR="00A33C56" w:rsidRPr="000333F2" w:rsidRDefault="00A33C56" w:rsidP="000333F2">
            <w:pPr>
              <w:spacing w:after="40" w:line="259" w:lineRule="auto"/>
              <w:rPr>
                <w:rFonts w:ascii="Times New Roman" w:hAnsi="Times New Roman" w:cs="Times New Roman"/>
                <w:sz w:val="24"/>
                <w:szCs w:val="24"/>
              </w:rPr>
            </w:pPr>
            <w:r w:rsidRPr="000333F2">
              <w:rPr>
                <w:rFonts w:ascii="Times New Roman" w:hAnsi="Times New Roman" w:cs="Times New Roman"/>
                <w:sz w:val="24"/>
                <w:szCs w:val="24"/>
              </w:rPr>
              <w:t>4,877</w:t>
            </w:r>
          </w:p>
        </w:tc>
      </w:tr>
      <w:tr w:rsidR="00A33C56" w:rsidRPr="000333F2" w14:paraId="7DAD48DD" w14:textId="77777777" w:rsidTr="008579F3">
        <w:trPr>
          <w:cantSplit/>
          <w:jc w:val="center"/>
        </w:trPr>
        <w:tc>
          <w:tcPr>
            <w:tcW w:w="4945" w:type="dxa"/>
          </w:tcPr>
          <w:p w14:paraId="1A0B1796" w14:textId="071D46D7" w:rsidR="00A33C56" w:rsidRPr="000333F2" w:rsidRDefault="002655A2" w:rsidP="000333F2">
            <w:pPr>
              <w:spacing w:after="40" w:line="259" w:lineRule="auto"/>
              <w:rPr>
                <w:rFonts w:ascii="Times New Roman" w:hAnsi="Times New Roman" w:cs="Times New Roman"/>
                <w:sz w:val="24"/>
                <w:szCs w:val="24"/>
              </w:rPr>
            </w:pPr>
            <w:r w:rsidRPr="000333F2">
              <w:rPr>
                <w:rFonts w:ascii="Times New Roman" w:hAnsi="Times New Roman" w:cs="Times New Roman"/>
                <w:b/>
                <w:bCs/>
                <w:sz w:val="24"/>
                <w:szCs w:val="24"/>
              </w:rPr>
              <w:t xml:space="preserve">B. </w:t>
            </w:r>
            <w:r w:rsidR="00A33C56" w:rsidRPr="000333F2">
              <w:rPr>
                <w:rFonts w:ascii="Times New Roman" w:hAnsi="Times New Roman" w:cs="Times New Roman"/>
                <w:b/>
                <w:bCs/>
                <w:sz w:val="24"/>
                <w:szCs w:val="24"/>
              </w:rPr>
              <w:t>Medicare Payor Mix</w:t>
            </w:r>
            <w:r w:rsidR="00A33C56" w:rsidRPr="000333F2">
              <w:rPr>
                <w:rFonts w:ascii="Times New Roman" w:hAnsi="Times New Roman" w:cs="Times New Roman"/>
                <w:b/>
                <w:bCs/>
                <w:sz w:val="24"/>
                <w:szCs w:val="24"/>
              </w:rPr>
              <w:br/>
            </w:r>
            <w:r w:rsidR="00A33C56" w:rsidRPr="000333F2">
              <w:rPr>
                <w:rFonts w:ascii="Times New Roman" w:hAnsi="Times New Roman" w:cs="Times New Roman"/>
                <w:sz w:val="24"/>
                <w:szCs w:val="24"/>
              </w:rPr>
              <w:t>(as shown in Table 10 of the Application)</w:t>
            </w:r>
          </w:p>
        </w:tc>
        <w:tc>
          <w:tcPr>
            <w:tcW w:w="1890" w:type="dxa"/>
            <w:vAlign w:val="bottom"/>
          </w:tcPr>
          <w:p w14:paraId="3694988E" w14:textId="4A00C88F" w:rsidR="00A33C56" w:rsidRPr="000333F2" w:rsidRDefault="00A33C56" w:rsidP="000333F2">
            <w:pPr>
              <w:spacing w:after="40" w:line="259" w:lineRule="auto"/>
              <w:rPr>
                <w:rFonts w:ascii="Times New Roman" w:hAnsi="Times New Roman" w:cs="Times New Roman"/>
                <w:sz w:val="24"/>
                <w:szCs w:val="24"/>
              </w:rPr>
            </w:pPr>
            <w:r w:rsidRPr="000333F2">
              <w:rPr>
                <w:rFonts w:ascii="Times New Roman" w:hAnsi="Times New Roman" w:cs="Times New Roman"/>
                <w:sz w:val="24"/>
                <w:szCs w:val="24"/>
              </w:rPr>
              <w:t>43.4%</w:t>
            </w:r>
          </w:p>
        </w:tc>
      </w:tr>
      <w:tr w:rsidR="00A33C56" w:rsidRPr="000333F2" w14:paraId="281BC58D" w14:textId="77777777" w:rsidTr="008579F3">
        <w:trPr>
          <w:cantSplit/>
          <w:jc w:val="center"/>
        </w:trPr>
        <w:tc>
          <w:tcPr>
            <w:tcW w:w="4945" w:type="dxa"/>
          </w:tcPr>
          <w:p w14:paraId="1D5E91BB" w14:textId="39990224" w:rsidR="00A33C56" w:rsidRPr="000333F2" w:rsidRDefault="002655A2" w:rsidP="000333F2">
            <w:pPr>
              <w:spacing w:after="40" w:line="259" w:lineRule="auto"/>
              <w:rPr>
                <w:rFonts w:ascii="Times New Roman" w:hAnsi="Times New Roman" w:cs="Times New Roman"/>
                <w:b/>
                <w:bCs/>
                <w:sz w:val="24"/>
                <w:szCs w:val="24"/>
              </w:rPr>
            </w:pPr>
            <w:r w:rsidRPr="000333F2">
              <w:rPr>
                <w:rFonts w:ascii="Times New Roman" w:hAnsi="Times New Roman" w:cs="Times New Roman"/>
                <w:b/>
                <w:bCs/>
                <w:sz w:val="24"/>
                <w:szCs w:val="24"/>
              </w:rPr>
              <w:t xml:space="preserve">C. </w:t>
            </w:r>
            <w:r w:rsidR="00A33C56" w:rsidRPr="000333F2">
              <w:rPr>
                <w:rFonts w:ascii="Times New Roman" w:hAnsi="Times New Roman" w:cs="Times New Roman"/>
                <w:b/>
                <w:bCs/>
                <w:sz w:val="24"/>
                <w:szCs w:val="24"/>
              </w:rPr>
              <w:t>Estimated Number of Medicare Patients</w:t>
            </w:r>
          </w:p>
          <w:p w14:paraId="546D2473" w14:textId="489C7223" w:rsidR="005D6403" w:rsidRPr="000333F2" w:rsidRDefault="005D6403" w:rsidP="000333F2">
            <w:pPr>
              <w:spacing w:after="40" w:line="259" w:lineRule="auto"/>
              <w:rPr>
                <w:rFonts w:ascii="Times New Roman" w:hAnsi="Times New Roman" w:cs="Times New Roman"/>
                <w:sz w:val="24"/>
                <w:szCs w:val="24"/>
              </w:rPr>
            </w:pPr>
            <w:r w:rsidRPr="000333F2">
              <w:rPr>
                <w:rFonts w:ascii="Times New Roman" w:hAnsi="Times New Roman" w:cs="Times New Roman"/>
                <w:sz w:val="24"/>
                <w:szCs w:val="24"/>
              </w:rPr>
              <w:t>(</w:t>
            </w:r>
            <w:r w:rsidR="002655A2" w:rsidRPr="000333F2">
              <w:rPr>
                <w:rFonts w:ascii="Times New Roman" w:hAnsi="Times New Roman" w:cs="Times New Roman"/>
                <w:sz w:val="24"/>
                <w:szCs w:val="24"/>
              </w:rPr>
              <w:t xml:space="preserve">A </w:t>
            </w:r>
            <w:r w:rsidR="002655A2" w:rsidRPr="000333F2">
              <w:rPr>
                <w:rFonts w:ascii="Times New Roman" w:hAnsi="Times New Roman" w:cs="Times New Roman"/>
                <w:i/>
                <w:iCs/>
                <w:sz w:val="24"/>
                <w:szCs w:val="24"/>
              </w:rPr>
              <w:t xml:space="preserve">x </w:t>
            </w:r>
            <w:r w:rsidR="002655A2" w:rsidRPr="000333F2">
              <w:rPr>
                <w:rFonts w:ascii="Times New Roman" w:hAnsi="Times New Roman" w:cs="Times New Roman"/>
                <w:sz w:val="24"/>
                <w:szCs w:val="24"/>
              </w:rPr>
              <w:t>B</w:t>
            </w:r>
            <w:r w:rsidRPr="000333F2">
              <w:rPr>
                <w:rFonts w:ascii="Times New Roman" w:hAnsi="Times New Roman" w:cs="Times New Roman"/>
                <w:sz w:val="24"/>
                <w:szCs w:val="24"/>
              </w:rPr>
              <w:t xml:space="preserve">) </w:t>
            </w:r>
          </w:p>
        </w:tc>
        <w:tc>
          <w:tcPr>
            <w:tcW w:w="1890" w:type="dxa"/>
            <w:vAlign w:val="bottom"/>
          </w:tcPr>
          <w:p w14:paraId="7A1C3B4C" w14:textId="1C58022A" w:rsidR="00A33C56" w:rsidRPr="000333F2" w:rsidRDefault="00A33C56" w:rsidP="000333F2">
            <w:pPr>
              <w:spacing w:after="40" w:line="259" w:lineRule="auto"/>
              <w:rPr>
                <w:rFonts w:ascii="Times New Roman" w:hAnsi="Times New Roman" w:cs="Times New Roman"/>
                <w:sz w:val="24"/>
                <w:szCs w:val="24"/>
              </w:rPr>
            </w:pPr>
            <w:r w:rsidRPr="000333F2">
              <w:rPr>
                <w:rFonts w:ascii="Times New Roman" w:hAnsi="Times New Roman" w:cs="Times New Roman"/>
                <w:sz w:val="24"/>
                <w:szCs w:val="24"/>
              </w:rPr>
              <w:t>2,121</w:t>
            </w:r>
          </w:p>
        </w:tc>
      </w:tr>
      <w:tr w:rsidR="005D6403" w:rsidRPr="000333F2" w14:paraId="09D04A06" w14:textId="77777777" w:rsidTr="008579F3">
        <w:trPr>
          <w:cantSplit/>
          <w:jc w:val="center"/>
        </w:trPr>
        <w:tc>
          <w:tcPr>
            <w:tcW w:w="4945" w:type="dxa"/>
          </w:tcPr>
          <w:p w14:paraId="242A5F60" w14:textId="4AA63403" w:rsidR="002655A2" w:rsidRPr="000333F2" w:rsidRDefault="002655A2" w:rsidP="000333F2">
            <w:pPr>
              <w:spacing w:after="40" w:line="259" w:lineRule="auto"/>
              <w:rPr>
                <w:rFonts w:ascii="Times New Roman" w:hAnsi="Times New Roman" w:cs="Times New Roman"/>
                <w:b/>
                <w:bCs/>
                <w:sz w:val="24"/>
                <w:szCs w:val="24"/>
              </w:rPr>
            </w:pPr>
            <w:r w:rsidRPr="000333F2">
              <w:rPr>
                <w:rFonts w:ascii="Times New Roman" w:hAnsi="Times New Roman" w:cs="Times New Roman"/>
                <w:b/>
                <w:bCs/>
                <w:sz w:val="24"/>
                <w:szCs w:val="24"/>
              </w:rPr>
              <w:t xml:space="preserve">D. </w:t>
            </w:r>
            <w:r w:rsidR="005D6403" w:rsidRPr="000333F2">
              <w:rPr>
                <w:rFonts w:ascii="Times New Roman" w:hAnsi="Times New Roman" w:cs="Times New Roman"/>
                <w:b/>
                <w:bCs/>
                <w:sz w:val="24"/>
                <w:szCs w:val="24"/>
              </w:rPr>
              <w:t>Average Medicare Savings (vs.</w:t>
            </w:r>
            <w:r w:rsidRPr="000333F2">
              <w:rPr>
                <w:rFonts w:ascii="Times New Roman" w:hAnsi="Times New Roman" w:cs="Times New Roman"/>
                <w:b/>
                <w:bCs/>
                <w:sz w:val="24"/>
                <w:szCs w:val="24"/>
              </w:rPr>
              <w:t xml:space="preserve"> IPPS</w:t>
            </w:r>
            <w:r w:rsidR="005D6403" w:rsidRPr="000333F2">
              <w:rPr>
                <w:rFonts w:ascii="Times New Roman" w:hAnsi="Times New Roman" w:cs="Times New Roman"/>
                <w:b/>
                <w:bCs/>
                <w:sz w:val="24"/>
                <w:szCs w:val="24"/>
              </w:rPr>
              <w:t>)</w:t>
            </w:r>
          </w:p>
        </w:tc>
        <w:tc>
          <w:tcPr>
            <w:tcW w:w="1890" w:type="dxa"/>
            <w:vAlign w:val="bottom"/>
          </w:tcPr>
          <w:p w14:paraId="0899A80A" w14:textId="3152233A" w:rsidR="005D6403" w:rsidRPr="000333F2" w:rsidRDefault="005D6403" w:rsidP="000333F2">
            <w:pPr>
              <w:spacing w:after="40" w:line="259" w:lineRule="auto"/>
              <w:rPr>
                <w:rFonts w:ascii="Times New Roman" w:hAnsi="Times New Roman" w:cs="Times New Roman"/>
                <w:sz w:val="24"/>
                <w:szCs w:val="24"/>
              </w:rPr>
            </w:pPr>
            <w:r w:rsidRPr="000333F2">
              <w:rPr>
                <w:rFonts w:ascii="Times New Roman" w:hAnsi="Times New Roman" w:cs="Times New Roman"/>
                <w:sz w:val="24"/>
                <w:szCs w:val="24"/>
              </w:rPr>
              <w:t>$10,582</w:t>
            </w:r>
          </w:p>
        </w:tc>
      </w:tr>
      <w:tr w:rsidR="00A33C56" w:rsidRPr="000333F2" w14:paraId="245E939B" w14:textId="77777777" w:rsidTr="008579F3">
        <w:trPr>
          <w:cantSplit/>
          <w:trHeight w:val="548"/>
          <w:jc w:val="center"/>
        </w:trPr>
        <w:tc>
          <w:tcPr>
            <w:tcW w:w="4945" w:type="dxa"/>
          </w:tcPr>
          <w:p w14:paraId="01C31BF5" w14:textId="56B43E72" w:rsidR="00A33C56" w:rsidRPr="000333F2" w:rsidRDefault="002655A2" w:rsidP="000333F2">
            <w:pPr>
              <w:spacing w:after="40" w:line="259" w:lineRule="auto"/>
              <w:rPr>
                <w:rFonts w:ascii="Times New Roman" w:hAnsi="Times New Roman" w:cs="Times New Roman"/>
                <w:b/>
                <w:bCs/>
                <w:sz w:val="24"/>
                <w:szCs w:val="24"/>
              </w:rPr>
            </w:pPr>
            <w:r w:rsidRPr="000333F2">
              <w:rPr>
                <w:rFonts w:ascii="Times New Roman" w:hAnsi="Times New Roman" w:cs="Times New Roman"/>
                <w:b/>
                <w:bCs/>
                <w:sz w:val="24"/>
                <w:szCs w:val="24"/>
              </w:rPr>
              <w:t xml:space="preserve">E. </w:t>
            </w:r>
            <w:r w:rsidR="005D6403" w:rsidRPr="000333F2">
              <w:rPr>
                <w:rFonts w:ascii="Times New Roman" w:hAnsi="Times New Roman" w:cs="Times New Roman"/>
                <w:b/>
                <w:bCs/>
                <w:sz w:val="24"/>
                <w:szCs w:val="24"/>
              </w:rPr>
              <w:t>Estimated Savings</w:t>
            </w:r>
          </w:p>
          <w:p w14:paraId="439AB5F3" w14:textId="43460A97" w:rsidR="005D6403" w:rsidRPr="000333F2" w:rsidRDefault="002655A2" w:rsidP="000333F2">
            <w:pPr>
              <w:spacing w:after="40" w:line="259" w:lineRule="auto"/>
              <w:rPr>
                <w:rFonts w:ascii="Times New Roman" w:hAnsi="Times New Roman" w:cs="Times New Roman"/>
                <w:sz w:val="24"/>
                <w:szCs w:val="24"/>
              </w:rPr>
            </w:pPr>
            <w:r w:rsidRPr="000333F2">
              <w:rPr>
                <w:rFonts w:ascii="Times New Roman" w:hAnsi="Times New Roman" w:cs="Times New Roman"/>
                <w:sz w:val="24"/>
                <w:szCs w:val="24"/>
              </w:rPr>
              <w:t xml:space="preserve">(D </w:t>
            </w:r>
            <w:r w:rsidRPr="000333F2">
              <w:rPr>
                <w:rFonts w:ascii="Times New Roman" w:hAnsi="Times New Roman" w:cs="Times New Roman"/>
                <w:i/>
                <w:iCs/>
                <w:sz w:val="24"/>
                <w:szCs w:val="24"/>
              </w:rPr>
              <w:t xml:space="preserve">x </w:t>
            </w:r>
            <w:r w:rsidRPr="000333F2">
              <w:rPr>
                <w:rFonts w:ascii="Times New Roman" w:hAnsi="Times New Roman" w:cs="Times New Roman"/>
                <w:sz w:val="24"/>
                <w:szCs w:val="24"/>
              </w:rPr>
              <w:t>C)</w:t>
            </w:r>
          </w:p>
        </w:tc>
        <w:tc>
          <w:tcPr>
            <w:tcW w:w="1890" w:type="dxa"/>
            <w:vAlign w:val="bottom"/>
          </w:tcPr>
          <w:p w14:paraId="21430D36" w14:textId="19E4A501" w:rsidR="00A33C56" w:rsidRPr="000333F2" w:rsidRDefault="005D6403" w:rsidP="000333F2">
            <w:pPr>
              <w:spacing w:after="40" w:line="259" w:lineRule="auto"/>
              <w:rPr>
                <w:rFonts w:ascii="Times New Roman" w:hAnsi="Times New Roman" w:cs="Times New Roman"/>
                <w:sz w:val="24"/>
                <w:szCs w:val="24"/>
              </w:rPr>
            </w:pPr>
            <w:r w:rsidRPr="000333F2">
              <w:rPr>
                <w:rFonts w:ascii="Times New Roman" w:hAnsi="Times New Roman" w:cs="Times New Roman"/>
                <w:sz w:val="24"/>
                <w:szCs w:val="24"/>
              </w:rPr>
              <w:t>$22.4 million</w:t>
            </w:r>
          </w:p>
        </w:tc>
      </w:tr>
    </w:tbl>
    <w:p w14:paraId="43F5D8DF" w14:textId="1FB516BE" w:rsidR="00A33C56" w:rsidRPr="007C60C5" w:rsidRDefault="00A33C56" w:rsidP="00F639A8">
      <w:pPr>
        <w:spacing w:after="240" w:line="259" w:lineRule="auto"/>
        <w:jc w:val="both"/>
        <w:rPr>
          <w:rFonts w:cs="Times New Roman"/>
        </w:rPr>
      </w:pPr>
    </w:p>
    <w:p w14:paraId="109F79B4" w14:textId="62A00ABC" w:rsidR="004C13AA" w:rsidRPr="007C60C5" w:rsidRDefault="00997141" w:rsidP="00105089">
      <w:pPr>
        <w:spacing w:after="240" w:line="259" w:lineRule="auto"/>
        <w:ind w:left="720"/>
        <w:jc w:val="both"/>
        <w:rPr>
          <w:rFonts w:cs="Times New Roman"/>
        </w:rPr>
      </w:pPr>
      <w:r w:rsidRPr="007C60C5">
        <w:rPr>
          <w:rFonts w:cs="Times New Roman"/>
        </w:rPr>
        <w:t>While</w:t>
      </w:r>
      <w:r w:rsidR="00EA4903">
        <w:rPr>
          <w:rFonts w:cs="Times New Roman"/>
        </w:rPr>
        <w:t xml:space="preserve"> additional</w:t>
      </w:r>
      <w:r w:rsidRPr="007C60C5">
        <w:rPr>
          <w:rFonts w:cs="Times New Roman"/>
        </w:rPr>
        <w:t xml:space="preserve"> </w:t>
      </w:r>
      <w:r w:rsidR="008F4D3D" w:rsidRPr="007C60C5">
        <w:rPr>
          <w:rFonts w:cs="Times New Roman"/>
        </w:rPr>
        <w:t xml:space="preserve">Medicare </w:t>
      </w:r>
      <w:r w:rsidR="00EA4903">
        <w:rPr>
          <w:rFonts w:cs="Times New Roman"/>
        </w:rPr>
        <w:t>funding</w:t>
      </w:r>
      <w:r w:rsidR="008F4D3D" w:rsidRPr="007C60C5">
        <w:rPr>
          <w:rFonts w:cs="Times New Roman"/>
        </w:rPr>
        <w:t xml:space="preserve"> for capital expenditures may be available, </w:t>
      </w:r>
      <w:r w:rsidR="000333F2">
        <w:rPr>
          <w:rFonts w:cs="Times New Roman"/>
        </w:rPr>
        <w:t>such additional funding would consist</w:t>
      </w:r>
      <w:r w:rsidR="008F4D3D" w:rsidRPr="007C60C5">
        <w:rPr>
          <w:rFonts w:cs="Times New Roman"/>
        </w:rPr>
        <w:t xml:space="preserve"> entirely</w:t>
      </w:r>
      <w:r w:rsidRPr="007C60C5">
        <w:rPr>
          <w:rFonts w:cs="Times New Roman"/>
        </w:rPr>
        <w:t xml:space="preserve"> </w:t>
      </w:r>
      <w:r w:rsidR="000333F2">
        <w:rPr>
          <w:rFonts w:cs="Times New Roman"/>
        </w:rPr>
        <w:t xml:space="preserve">of </w:t>
      </w:r>
      <w:r w:rsidR="008F4D3D" w:rsidRPr="008F4D3D">
        <w:rPr>
          <w:rFonts w:cs="Times New Roman"/>
        </w:rPr>
        <w:t>federal funds and will not increase out</w:t>
      </w:r>
      <w:r w:rsidR="000333F2">
        <w:rPr>
          <w:rFonts w:cs="Times New Roman"/>
        </w:rPr>
        <w:t>-</w:t>
      </w:r>
      <w:r w:rsidR="008F4D3D" w:rsidRPr="008F4D3D">
        <w:rPr>
          <w:rFonts w:cs="Times New Roman"/>
        </w:rPr>
        <w:t>of</w:t>
      </w:r>
      <w:r w:rsidR="000333F2">
        <w:rPr>
          <w:rFonts w:cs="Times New Roman"/>
        </w:rPr>
        <w:t>-</w:t>
      </w:r>
      <w:r w:rsidR="008F4D3D" w:rsidRPr="008F4D3D">
        <w:rPr>
          <w:rFonts w:cs="Times New Roman"/>
        </w:rPr>
        <w:t>pocket expenditures (</w:t>
      </w:r>
      <w:r w:rsidR="008F4D3D" w:rsidRPr="008F4D3D">
        <w:rPr>
          <w:rFonts w:cs="Times New Roman"/>
          <w:i/>
          <w:iCs/>
        </w:rPr>
        <w:t>i.e.</w:t>
      </w:r>
      <w:r w:rsidR="008F4D3D" w:rsidRPr="008F4D3D">
        <w:rPr>
          <w:rFonts w:cs="Times New Roman"/>
        </w:rPr>
        <w:t>, co-insurance) by</w:t>
      </w:r>
      <w:r w:rsidRPr="007C60C5">
        <w:rPr>
          <w:rFonts w:cs="Times New Roman"/>
        </w:rPr>
        <w:t xml:space="preserve"> </w:t>
      </w:r>
      <w:r w:rsidR="008F4D3D" w:rsidRPr="007C60C5">
        <w:rPr>
          <w:rFonts w:cs="Times New Roman"/>
        </w:rPr>
        <w:t>Massachusetts residents.</w:t>
      </w:r>
    </w:p>
    <w:sectPr w:rsidR="004C13AA" w:rsidRPr="007C60C5" w:rsidSect="002D6D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16BA5" w14:textId="77777777" w:rsidR="002D6DF5" w:rsidRDefault="002D6DF5">
      <w:r>
        <w:separator/>
      </w:r>
    </w:p>
  </w:endnote>
  <w:endnote w:type="continuationSeparator" w:id="0">
    <w:p w14:paraId="19A25497" w14:textId="77777777" w:rsidR="002D6DF5" w:rsidRDefault="002D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8D7D" w14:textId="25EBAA93" w:rsidR="00B83D87" w:rsidRPr="000333F2" w:rsidRDefault="00B83D87" w:rsidP="00033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059446"/>
      <w:docPartObj>
        <w:docPartGallery w:val="Page Numbers (Bottom of Page)"/>
        <w:docPartUnique/>
      </w:docPartObj>
    </w:sdtPr>
    <w:sdtEndPr>
      <w:rPr>
        <w:noProof/>
      </w:rPr>
    </w:sdtEndPr>
    <w:sdtContent>
      <w:p w14:paraId="47450117" w14:textId="6E09DB77" w:rsidR="00335AF4" w:rsidRDefault="00335A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E102" w14:textId="661099DD" w:rsidR="00B83D87" w:rsidRPr="000333F2" w:rsidRDefault="00B83D87" w:rsidP="00033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B672B" w14:textId="77777777" w:rsidR="002D6DF5" w:rsidRDefault="002D6DF5">
      <w:r>
        <w:separator/>
      </w:r>
    </w:p>
  </w:footnote>
  <w:footnote w:type="continuationSeparator" w:id="0">
    <w:p w14:paraId="42A57D52" w14:textId="77777777" w:rsidR="002D6DF5" w:rsidRDefault="002D6DF5">
      <w:r>
        <w:continuationSeparator/>
      </w:r>
    </w:p>
  </w:footnote>
  <w:footnote w:id="1">
    <w:p w14:paraId="5B7A3784" w14:textId="67EFABAC" w:rsidR="00BA0F80" w:rsidRPr="007006D9" w:rsidRDefault="00BA0F80" w:rsidP="00BA0F80">
      <w:pPr>
        <w:pStyle w:val="FootnoteText"/>
        <w:rPr>
          <w:sz w:val="18"/>
          <w:szCs w:val="18"/>
        </w:rPr>
      </w:pPr>
      <w:r w:rsidRPr="007006D9">
        <w:rPr>
          <w:rStyle w:val="FootnoteReference"/>
          <w:sz w:val="18"/>
          <w:szCs w:val="18"/>
        </w:rPr>
        <w:footnoteRef/>
      </w:r>
      <w:r w:rsidRPr="007006D9">
        <w:rPr>
          <w:sz w:val="18"/>
          <w:szCs w:val="18"/>
        </w:rPr>
        <w:t xml:space="preserve"> This table includes all patients seen at all locations on the Applicant’s license. For inpatients only, this table is based on utilization data for the Applicant’s current licensed beds, as well as an estimate of utilization for patients admitted to </w:t>
      </w:r>
      <w:r w:rsidR="007D5213" w:rsidRPr="007006D9">
        <w:rPr>
          <w:sz w:val="18"/>
          <w:szCs w:val="18"/>
        </w:rPr>
        <w:t>Brigham and Women’s Hospital (“BWH”)</w:t>
      </w:r>
      <w:r w:rsidRPr="007006D9">
        <w:rPr>
          <w:sz w:val="18"/>
          <w:szCs w:val="18"/>
        </w:rPr>
        <w:t>-licensed beds under the care of the Applicant’s oncologists derived from the Applicant’s professional claim data. While precise utilization data for all such patients is available to the Applicant as part of its existing collaboration, portions of that data are proprietary to BWH, and the Applicant is restricted from disclosing it in this Application due to confidentiality restrictions.</w:t>
      </w:r>
    </w:p>
  </w:footnote>
  <w:footnote w:id="2">
    <w:p w14:paraId="5207E5E8" w14:textId="77777777" w:rsidR="00BA3172" w:rsidRPr="007006D9" w:rsidRDefault="00BA3172" w:rsidP="00BA3172">
      <w:pPr>
        <w:pStyle w:val="FootnoteText"/>
        <w:rPr>
          <w:sz w:val="18"/>
          <w:szCs w:val="18"/>
        </w:rPr>
      </w:pPr>
      <w:r w:rsidRPr="007006D9">
        <w:rPr>
          <w:rStyle w:val="FootnoteReference"/>
          <w:sz w:val="18"/>
          <w:szCs w:val="18"/>
        </w:rPr>
        <w:footnoteRef/>
      </w:r>
      <w:r w:rsidRPr="007006D9">
        <w:rPr>
          <w:sz w:val="18"/>
          <w:szCs w:val="18"/>
        </w:rPr>
        <w:t xml:space="preserve"> Age categories may sum to more than 100%, as patients age into different categories during a fiscal year. </w:t>
      </w:r>
    </w:p>
  </w:footnote>
  <w:footnote w:id="3">
    <w:p w14:paraId="140BD9EA" w14:textId="77777777" w:rsidR="00BA3172" w:rsidRPr="007006D9" w:rsidRDefault="00BA3172" w:rsidP="00BA3172">
      <w:pPr>
        <w:pStyle w:val="FootnoteText"/>
        <w:rPr>
          <w:sz w:val="18"/>
          <w:szCs w:val="18"/>
        </w:rPr>
      </w:pPr>
      <w:r w:rsidRPr="007006D9">
        <w:rPr>
          <w:rStyle w:val="FootnoteReference"/>
          <w:sz w:val="18"/>
          <w:szCs w:val="18"/>
        </w:rPr>
        <w:footnoteRef/>
      </w:r>
      <w:r w:rsidRPr="007006D9">
        <w:rPr>
          <w:sz w:val="18"/>
          <w:szCs w:val="18"/>
        </w:rPr>
        <w:t xml:space="preserve"> Includes only patients 18 or younger seen in adult clinical departments. Excludes patients seen in pediatrics departments. </w:t>
      </w:r>
    </w:p>
  </w:footnote>
  <w:footnote w:id="4">
    <w:p w14:paraId="25B39750" w14:textId="77777777" w:rsidR="00BA3172" w:rsidRPr="007006D9" w:rsidRDefault="00BA3172" w:rsidP="00BA3172">
      <w:pPr>
        <w:pStyle w:val="FootnoteText"/>
        <w:rPr>
          <w:sz w:val="18"/>
          <w:szCs w:val="18"/>
        </w:rPr>
      </w:pPr>
      <w:r w:rsidRPr="007006D9">
        <w:rPr>
          <w:rStyle w:val="FootnoteReference"/>
          <w:sz w:val="18"/>
          <w:szCs w:val="18"/>
        </w:rPr>
        <w:footnoteRef/>
      </w:r>
      <w:r w:rsidRPr="007006D9">
        <w:rPr>
          <w:sz w:val="18"/>
          <w:szCs w:val="18"/>
        </w:rPr>
        <w:t xml:space="preserve"> Given overlapping geographies, percentages will sum to be over 100%.</w:t>
      </w:r>
    </w:p>
  </w:footnote>
  <w:footnote w:id="5">
    <w:p w14:paraId="75C09F77" w14:textId="77777777" w:rsidR="00BA3172" w:rsidRPr="007006D9" w:rsidRDefault="00BA3172" w:rsidP="00BA3172">
      <w:pPr>
        <w:pStyle w:val="FootnoteText"/>
        <w:rPr>
          <w:sz w:val="18"/>
          <w:szCs w:val="18"/>
        </w:rPr>
      </w:pPr>
      <w:r w:rsidRPr="007006D9">
        <w:rPr>
          <w:rStyle w:val="FootnoteReference"/>
          <w:sz w:val="18"/>
          <w:szCs w:val="18"/>
        </w:rPr>
        <w:footnoteRef/>
      </w:r>
      <w:r w:rsidRPr="007006D9">
        <w:rPr>
          <w:sz w:val="18"/>
          <w:szCs w:val="18"/>
        </w:rPr>
        <w:t xml:space="preserve"> As used herein, “New England” means Connecticut, Maine, New Hampshire, Rhode Island, Vermont, and unless otherwise noted, Massachusetts. </w:t>
      </w:r>
    </w:p>
  </w:footnote>
  <w:footnote w:id="6">
    <w:p w14:paraId="79B29C67" w14:textId="77777777" w:rsidR="00BA3172" w:rsidRPr="007006D9" w:rsidRDefault="00BA3172" w:rsidP="00BA3172">
      <w:pPr>
        <w:pStyle w:val="FootnoteText"/>
        <w:rPr>
          <w:sz w:val="18"/>
          <w:szCs w:val="18"/>
        </w:rPr>
      </w:pPr>
      <w:r w:rsidRPr="007006D9">
        <w:rPr>
          <w:rStyle w:val="FootnoteReference"/>
          <w:sz w:val="18"/>
          <w:szCs w:val="18"/>
        </w:rPr>
        <w:footnoteRef/>
      </w:r>
      <w:r w:rsidRPr="007006D9">
        <w:rPr>
          <w:sz w:val="18"/>
          <w:szCs w:val="18"/>
        </w:rPr>
        <w:t xml:space="preserve"> These patients include those from New England states, excluding Massachusetts.</w:t>
      </w:r>
    </w:p>
  </w:footnote>
  <w:footnote w:id="7">
    <w:p w14:paraId="54270524" w14:textId="77777777" w:rsidR="00BA3172" w:rsidRPr="007006D9" w:rsidRDefault="00BA3172" w:rsidP="00BA3172">
      <w:pPr>
        <w:pStyle w:val="FootnoteText"/>
        <w:rPr>
          <w:sz w:val="18"/>
          <w:szCs w:val="18"/>
        </w:rPr>
      </w:pPr>
      <w:r w:rsidRPr="007006D9">
        <w:rPr>
          <w:rStyle w:val="FootnoteReference"/>
          <w:sz w:val="18"/>
          <w:szCs w:val="18"/>
        </w:rPr>
        <w:footnoteRef/>
      </w:r>
      <w:r w:rsidRPr="007006D9">
        <w:rPr>
          <w:sz w:val="18"/>
          <w:szCs w:val="18"/>
        </w:rPr>
        <w:t xml:space="preserve"> These patients include those with a permanent country of residence outside the United States. </w:t>
      </w:r>
    </w:p>
  </w:footnote>
  <w:footnote w:id="8">
    <w:p w14:paraId="60117BE6" w14:textId="376E87F2" w:rsidR="007006D9" w:rsidRPr="007006D9" w:rsidRDefault="007006D9">
      <w:pPr>
        <w:pStyle w:val="FootnoteText"/>
        <w:rPr>
          <w:sz w:val="18"/>
          <w:szCs w:val="18"/>
        </w:rPr>
      </w:pPr>
      <w:r w:rsidRPr="007006D9">
        <w:rPr>
          <w:rStyle w:val="FootnoteReference"/>
          <w:sz w:val="18"/>
          <w:szCs w:val="18"/>
        </w:rPr>
        <w:footnoteRef/>
      </w:r>
      <w:r w:rsidRPr="007006D9">
        <w:rPr>
          <w:sz w:val="18"/>
          <w:szCs w:val="18"/>
        </w:rPr>
        <w:t xml:space="preserve"> </w:t>
      </w:r>
      <w:r>
        <w:rPr>
          <w:sz w:val="18"/>
          <w:szCs w:val="18"/>
        </w:rPr>
        <w:t xml:space="preserve">Based on the Advisory Board Company data. </w:t>
      </w:r>
    </w:p>
  </w:footnote>
  <w:footnote w:id="9">
    <w:p w14:paraId="2DA234E1" w14:textId="5431BC53" w:rsidR="00D30269" w:rsidRPr="007006D9" w:rsidRDefault="00D30269">
      <w:pPr>
        <w:pStyle w:val="FootnoteText"/>
        <w:rPr>
          <w:sz w:val="18"/>
          <w:szCs w:val="18"/>
        </w:rPr>
      </w:pPr>
      <w:r w:rsidRPr="007006D9">
        <w:rPr>
          <w:rStyle w:val="FootnoteReference"/>
          <w:sz w:val="18"/>
          <w:szCs w:val="18"/>
        </w:rPr>
        <w:footnoteRef/>
      </w:r>
      <w:r w:rsidRPr="007006D9">
        <w:rPr>
          <w:sz w:val="18"/>
          <w:szCs w:val="18"/>
        </w:rPr>
        <w:t xml:space="preserve"> The Advisory Board Company, adjusted for certain factors included in The Advisory Board Company growth rates applicable only to community hospital providers.</w:t>
      </w:r>
    </w:p>
  </w:footnote>
  <w:footnote w:id="10">
    <w:p w14:paraId="637BE096" w14:textId="4E447977" w:rsidR="007006D9" w:rsidRDefault="007006D9">
      <w:pPr>
        <w:pStyle w:val="FootnoteText"/>
      </w:pPr>
      <w:r>
        <w:rPr>
          <w:rStyle w:val="FootnoteReference"/>
        </w:rPr>
        <w:footnoteRef/>
      </w:r>
      <w:r>
        <w:t xml:space="preserve"> </w:t>
      </w:r>
      <w:r>
        <w:rPr>
          <w:sz w:val="18"/>
          <w:szCs w:val="18"/>
        </w:rPr>
        <w:t>Based on the Advisory Board Company data.</w:t>
      </w:r>
    </w:p>
  </w:footnote>
  <w:footnote w:id="11">
    <w:p w14:paraId="64F3A299" w14:textId="687BDA58" w:rsidR="000A4C82" w:rsidRPr="007006D9" w:rsidRDefault="000A4C82">
      <w:pPr>
        <w:pStyle w:val="FootnoteText"/>
        <w:rPr>
          <w:sz w:val="18"/>
          <w:szCs w:val="18"/>
        </w:rPr>
      </w:pPr>
      <w:r w:rsidRPr="007006D9">
        <w:rPr>
          <w:rStyle w:val="FootnoteReference"/>
          <w:sz w:val="18"/>
          <w:szCs w:val="18"/>
        </w:rPr>
        <w:footnoteRef/>
      </w:r>
      <w:r w:rsidRPr="007006D9">
        <w:rPr>
          <w:sz w:val="18"/>
          <w:szCs w:val="18"/>
        </w:rPr>
        <w:t xml:space="preserve"> CHIA,</w:t>
      </w:r>
      <w:r w:rsidRPr="007006D9">
        <w:rPr>
          <w:i/>
          <w:iCs/>
          <w:sz w:val="18"/>
          <w:szCs w:val="18"/>
        </w:rPr>
        <w:t xml:space="preserve"> </w:t>
      </w:r>
      <w:hyperlink r:id="rId1" w:history="1">
        <w:r w:rsidRPr="003E379E">
          <w:rPr>
            <w:rStyle w:val="Hyperlink"/>
            <w:i/>
            <w:iCs/>
            <w:color w:val="auto"/>
            <w:sz w:val="18"/>
            <w:szCs w:val="18"/>
            <w:u w:val="none"/>
          </w:rPr>
          <w:t>Relative Price and Provider Price Variation in the Massachusetts Commercial Market</w:t>
        </w:r>
        <w:r w:rsidRPr="003E379E">
          <w:rPr>
            <w:rStyle w:val="Hyperlink"/>
            <w:color w:val="auto"/>
            <w:sz w:val="18"/>
            <w:szCs w:val="18"/>
            <w:u w:val="none"/>
          </w:rPr>
          <w:t xml:space="preserve"> </w:t>
        </w:r>
        <w:r w:rsidRPr="003E379E">
          <w:rPr>
            <w:rStyle w:val="Hyperlink"/>
            <w:i/>
            <w:iCs/>
            <w:color w:val="auto"/>
            <w:sz w:val="18"/>
            <w:szCs w:val="18"/>
            <w:u w:val="none"/>
          </w:rPr>
          <w:t>Databook</w:t>
        </w:r>
        <w:r w:rsidRPr="003E379E">
          <w:rPr>
            <w:rStyle w:val="Hyperlink"/>
            <w:color w:val="auto"/>
            <w:sz w:val="18"/>
            <w:szCs w:val="18"/>
            <w:u w:val="none"/>
          </w:rPr>
          <w:t xml:space="preserve"> (</w:t>
        </w:r>
      </w:hyperlink>
      <w:r w:rsidRPr="003E379E">
        <w:rPr>
          <w:sz w:val="18"/>
          <w:szCs w:val="18"/>
        </w:rPr>
        <w:t>2022</w:t>
      </w:r>
      <w:r w:rsidRPr="007006D9">
        <w:rPr>
          <w:sz w:val="18"/>
          <w:szCs w:val="18"/>
        </w:rPr>
        <w:t xml:space="preserve">), </w:t>
      </w:r>
      <w:hyperlink r:id="rId2" w:history="1">
        <w:r w:rsidRPr="007006D9">
          <w:rPr>
            <w:rStyle w:val="Hyperlink"/>
            <w:sz w:val="18"/>
            <w:szCs w:val="18"/>
          </w:rPr>
          <w:t>https://www.chiamass.gov/assets/docs/r/pubs/2022/Relative-Price-Databook-2020.xlsx</w:t>
        </w:r>
      </w:hyperlink>
      <w:r w:rsidRPr="007006D9">
        <w:rPr>
          <w:sz w:val="18"/>
          <w:szCs w:val="18"/>
        </w:rPr>
        <w:t xml:space="preserve">. </w:t>
      </w:r>
    </w:p>
  </w:footnote>
  <w:footnote w:id="12">
    <w:p w14:paraId="7EA3AA6F" w14:textId="39A00425" w:rsidR="00D951D2" w:rsidRPr="007006D9" w:rsidRDefault="00D951D2">
      <w:pPr>
        <w:pStyle w:val="FootnoteText"/>
        <w:rPr>
          <w:i/>
          <w:iCs/>
          <w:sz w:val="18"/>
          <w:szCs w:val="18"/>
        </w:rPr>
      </w:pPr>
      <w:r w:rsidRPr="007006D9">
        <w:rPr>
          <w:rStyle w:val="FootnoteReference"/>
          <w:sz w:val="18"/>
          <w:szCs w:val="18"/>
        </w:rPr>
        <w:footnoteRef/>
      </w:r>
      <w:r w:rsidRPr="007006D9">
        <w:rPr>
          <w:sz w:val="18"/>
          <w:szCs w:val="18"/>
        </w:rPr>
        <w:t xml:space="preserve"> </w:t>
      </w:r>
      <w:r w:rsidR="00E35038" w:rsidRPr="007006D9">
        <w:rPr>
          <w:sz w:val="18"/>
          <w:szCs w:val="18"/>
        </w:rPr>
        <w:t>For inpatient services, r</w:t>
      </w:r>
      <w:r w:rsidRPr="007006D9">
        <w:rPr>
          <w:sz w:val="18"/>
          <w:szCs w:val="18"/>
        </w:rPr>
        <w:t>elative price compares prices paid to different providers within a payer’s network, while accounting for differences in the intensity of services</w:t>
      </w:r>
      <w:r w:rsidR="00E35038" w:rsidRPr="007006D9">
        <w:rPr>
          <w:sz w:val="18"/>
          <w:szCs w:val="18"/>
        </w:rPr>
        <w:t xml:space="preserve">. </w:t>
      </w:r>
      <w:r w:rsidRPr="007006D9">
        <w:rPr>
          <w:i/>
          <w:iCs/>
          <w:sz w:val="18"/>
          <w:szCs w:val="18"/>
        </w:rPr>
        <w:t>See</w:t>
      </w:r>
      <w:r w:rsidRPr="007006D9">
        <w:rPr>
          <w:sz w:val="18"/>
          <w:szCs w:val="18"/>
        </w:rPr>
        <w:t xml:space="preserve"> CH</w:t>
      </w:r>
      <w:r w:rsidRPr="0072684A">
        <w:rPr>
          <w:sz w:val="18"/>
          <w:szCs w:val="18"/>
        </w:rPr>
        <w:t>IA,</w:t>
      </w:r>
      <w:r w:rsidRPr="0072684A">
        <w:rPr>
          <w:i/>
          <w:iCs/>
          <w:sz w:val="18"/>
          <w:szCs w:val="18"/>
        </w:rPr>
        <w:t xml:space="preserve"> </w:t>
      </w:r>
      <w:hyperlink r:id="rId3" w:history="1">
        <w:r w:rsidRPr="0072684A">
          <w:rPr>
            <w:rStyle w:val="Hyperlink"/>
            <w:i/>
            <w:iCs/>
            <w:color w:val="auto"/>
            <w:sz w:val="18"/>
            <w:szCs w:val="18"/>
            <w:u w:val="none"/>
          </w:rPr>
          <w:t>Relative Price and Provider Price Variation in the Massachusetts Commercial Market Technical Appendix</w:t>
        </w:r>
      </w:hyperlink>
      <w:r w:rsidRPr="0072684A">
        <w:rPr>
          <w:sz w:val="18"/>
          <w:szCs w:val="18"/>
        </w:rPr>
        <w:t xml:space="preserve"> (August </w:t>
      </w:r>
      <w:r w:rsidRPr="007006D9">
        <w:rPr>
          <w:sz w:val="18"/>
          <w:szCs w:val="18"/>
        </w:rPr>
        <w:t xml:space="preserve">2022), </w:t>
      </w:r>
      <w:hyperlink r:id="rId4" w:history="1">
        <w:r w:rsidRPr="007006D9">
          <w:rPr>
            <w:rStyle w:val="Hyperlink"/>
            <w:sz w:val="18"/>
            <w:szCs w:val="18"/>
          </w:rPr>
          <w:t>https://www.chiamass.gov/assets/docs/r/pubs/2022/Relative-Price-Technical-Appendix-2020.pdf</w:t>
        </w:r>
      </w:hyperlink>
      <w:r w:rsidRPr="007006D9">
        <w:rPr>
          <w:sz w:val="18"/>
          <w:szCs w:val="18"/>
        </w:rPr>
        <w:t xml:space="preserve">. </w:t>
      </w:r>
    </w:p>
  </w:footnote>
  <w:footnote w:id="13">
    <w:p w14:paraId="4429C458" w14:textId="0D9BDD4F" w:rsidR="00A640E6" w:rsidRPr="007006D9" w:rsidRDefault="00A640E6" w:rsidP="00A640E6">
      <w:pPr>
        <w:pStyle w:val="FootnoteText"/>
        <w:rPr>
          <w:sz w:val="18"/>
          <w:szCs w:val="18"/>
        </w:rPr>
      </w:pPr>
      <w:r w:rsidRPr="007006D9">
        <w:rPr>
          <w:rStyle w:val="FootnoteReference"/>
          <w:sz w:val="18"/>
          <w:szCs w:val="18"/>
        </w:rPr>
        <w:footnoteRef/>
      </w:r>
      <w:r w:rsidRPr="007006D9">
        <w:rPr>
          <w:sz w:val="18"/>
          <w:szCs w:val="18"/>
        </w:rPr>
        <w:t xml:space="preserve"> </w:t>
      </w:r>
      <w:r w:rsidRPr="007006D9">
        <w:rPr>
          <w:i/>
          <w:iCs/>
          <w:sz w:val="18"/>
          <w:szCs w:val="18"/>
        </w:rPr>
        <w:t>See</w:t>
      </w:r>
      <w:r w:rsidRPr="007006D9">
        <w:rPr>
          <w:sz w:val="18"/>
          <w:szCs w:val="18"/>
        </w:rPr>
        <w:t xml:space="preserve"> Health Policy Commission, </w:t>
      </w:r>
      <w:hyperlink r:id="rId5" w:history="1">
        <w:r w:rsidRPr="0072684A">
          <w:rPr>
            <w:rStyle w:val="Hyperlink"/>
            <w:i/>
            <w:iCs/>
            <w:color w:val="auto"/>
            <w:sz w:val="18"/>
            <w:szCs w:val="18"/>
            <w:u w:val="none"/>
          </w:rPr>
          <w:t>Acuity-Adjusted Average Commercial Prices for Material and Non-Material Inpatient Stays, 2021</w:t>
        </w:r>
      </w:hyperlink>
      <w:r w:rsidRPr="0072684A">
        <w:rPr>
          <w:sz w:val="18"/>
          <w:szCs w:val="18"/>
        </w:rPr>
        <w:t xml:space="preserve"> (Sept</w:t>
      </w:r>
      <w:r w:rsidRPr="007006D9">
        <w:rPr>
          <w:sz w:val="18"/>
          <w:szCs w:val="18"/>
        </w:rPr>
        <w:t xml:space="preserve">. 2023), </w:t>
      </w:r>
      <w:hyperlink r:id="rId6" w:history="1">
        <w:r w:rsidRPr="007006D9">
          <w:rPr>
            <w:rStyle w:val="Hyperlink"/>
            <w:sz w:val="18"/>
            <w:szCs w:val="18"/>
          </w:rPr>
          <w:t>https://www.mass.gov/doc/2023-health-care-cost-trends-report-chartpack/download</w:t>
        </w:r>
      </w:hyperlink>
      <w:r w:rsidRPr="007006D9">
        <w:rPr>
          <w:sz w:val="18"/>
          <w:szCs w:val="18"/>
        </w:rPr>
        <w:t xml:space="preserve">. </w:t>
      </w:r>
    </w:p>
  </w:footnote>
  <w:footnote w:id="14">
    <w:p w14:paraId="29BC8C66" w14:textId="39105723" w:rsidR="00262A06" w:rsidRPr="007006D9" w:rsidRDefault="00262A06">
      <w:pPr>
        <w:pStyle w:val="FootnoteText"/>
        <w:rPr>
          <w:sz w:val="18"/>
          <w:szCs w:val="18"/>
        </w:rPr>
      </w:pPr>
      <w:r w:rsidRPr="007006D9">
        <w:rPr>
          <w:rStyle w:val="FootnoteReference"/>
          <w:sz w:val="18"/>
          <w:szCs w:val="18"/>
        </w:rPr>
        <w:footnoteRef/>
      </w:r>
      <w:r w:rsidRPr="007006D9">
        <w:rPr>
          <w:sz w:val="18"/>
          <w:szCs w:val="18"/>
        </w:rPr>
        <w:t xml:space="preserve"> </w:t>
      </w:r>
      <w:r w:rsidR="00CF603E" w:rsidRPr="007006D9">
        <w:rPr>
          <w:sz w:val="18"/>
          <w:szCs w:val="18"/>
        </w:rPr>
        <w:t>B</w:t>
      </w:r>
      <w:r w:rsidRPr="007006D9">
        <w:rPr>
          <w:sz w:val="18"/>
          <w:szCs w:val="18"/>
        </w:rPr>
        <w:t>ased on the Applicant’s 4,887 unique patients in 2022</w:t>
      </w:r>
      <w:r w:rsidR="00CF603E" w:rsidRPr="007006D9">
        <w:rPr>
          <w:sz w:val="18"/>
          <w:szCs w:val="18"/>
        </w:rPr>
        <w:t>,</w:t>
      </w:r>
      <w:r w:rsidRPr="007006D9">
        <w:rPr>
          <w:sz w:val="18"/>
          <w:szCs w:val="18"/>
        </w:rPr>
        <w:t xml:space="preserve"> as set forth in Table 2 of the Application, </w:t>
      </w:r>
      <w:r w:rsidR="00CF603E" w:rsidRPr="007006D9">
        <w:rPr>
          <w:sz w:val="18"/>
          <w:szCs w:val="18"/>
        </w:rPr>
        <w:t xml:space="preserve">that </w:t>
      </w:r>
      <w:r w:rsidRPr="007006D9">
        <w:rPr>
          <w:sz w:val="18"/>
          <w:szCs w:val="18"/>
        </w:rPr>
        <w:t>4</w:t>
      </w:r>
      <w:r w:rsidR="00A33C56" w:rsidRPr="007006D9">
        <w:rPr>
          <w:sz w:val="18"/>
          <w:szCs w:val="18"/>
        </w:rPr>
        <w:t>3.4</w:t>
      </w:r>
      <w:r w:rsidRPr="007006D9">
        <w:rPr>
          <w:sz w:val="18"/>
          <w:szCs w:val="18"/>
        </w:rPr>
        <w:t>% of those patients were Medicare beneficiaries (or approximately 2,</w:t>
      </w:r>
      <w:r w:rsidR="00A33C56" w:rsidRPr="007006D9">
        <w:rPr>
          <w:sz w:val="18"/>
          <w:szCs w:val="18"/>
        </w:rPr>
        <w:t>1</w:t>
      </w:r>
      <w:r w:rsidRPr="007006D9">
        <w:rPr>
          <w:sz w:val="18"/>
          <w:szCs w:val="18"/>
        </w:rPr>
        <w:t>2</w:t>
      </w:r>
      <w:r w:rsidR="00CF603E" w:rsidRPr="007006D9">
        <w:rPr>
          <w:sz w:val="18"/>
          <w:szCs w:val="18"/>
        </w:rPr>
        <w:t>1</w:t>
      </w:r>
      <w:r w:rsidRPr="007006D9">
        <w:rPr>
          <w:sz w:val="18"/>
          <w:szCs w:val="18"/>
        </w:rPr>
        <w:t xml:space="preserve"> unique patients),</w:t>
      </w:r>
      <w:r w:rsidR="00CF603E" w:rsidRPr="007006D9">
        <w:rPr>
          <w:sz w:val="18"/>
          <w:szCs w:val="18"/>
        </w:rPr>
        <w:t xml:space="preserve"> and average savings per discharge of $10,582.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ED0E" w14:textId="77777777" w:rsidR="003441BF" w:rsidRDefault="00344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FBAB" w14:textId="5B16EC2D" w:rsidR="00B83D87" w:rsidRPr="0094259E" w:rsidRDefault="0094259E" w:rsidP="00335AF4">
    <w:pPr>
      <w:pStyle w:val="Header"/>
      <w:jc w:val="center"/>
      <w:rPr>
        <w:b/>
        <w:bCs/>
        <w:i/>
        <w:iCs/>
      </w:rPr>
    </w:pPr>
    <w:r>
      <w:tab/>
    </w:r>
    <w:r w:rsidR="00474586" w:rsidRPr="00474586">
      <w:t>DFCI-23040915</w:t>
    </w:r>
    <w:r>
      <w:tab/>
    </w:r>
    <w:r w:rsidRPr="00424557">
      <w:rPr>
        <w:b/>
        <w:bCs/>
        <w:i/>
        <w:i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75DA" w14:textId="77777777" w:rsidR="00785ED1" w:rsidRPr="005256F9" w:rsidRDefault="00785ED1" w:rsidP="00785ED1">
    <w:pPr>
      <w:pStyle w:val="Header"/>
      <w:jc w:val="center"/>
    </w:pPr>
    <w:r>
      <w:t>DFCI-23040915</w:t>
    </w:r>
  </w:p>
  <w:p w14:paraId="274A35F1" w14:textId="77777777" w:rsidR="00B12D91" w:rsidRDefault="00B12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81832"/>
    <w:multiLevelType w:val="hybridMultilevel"/>
    <w:tmpl w:val="C7BAD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54305"/>
    <w:multiLevelType w:val="hybridMultilevel"/>
    <w:tmpl w:val="AAC60320"/>
    <w:lvl w:ilvl="0" w:tplc="F306B528">
      <w:start w:val="1"/>
      <w:numFmt w:val="upperRoman"/>
      <w:lvlText w:val="%1."/>
      <w:lvlJc w:val="left"/>
      <w:pPr>
        <w:ind w:left="1080" w:hanging="720"/>
      </w:pPr>
    </w:lvl>
    <w:lvl w:ilvl="1" w:tplc="21BC79E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5B34739"/>
    <w:multiLevelType w:val="multilevel"/>
    <w:tmpl w:val="FFFFFFFF"/>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start w:val="1"/>
      <w:numFmt w:val="upp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360"/>
      </w:pPr>
      <w:rPr>
        <w:rFonts w:cs="Times New Roman"/>
      </w:rPr>
    </w:lvl>
    <w:lvl w:ilvl="6">
      <w:start w:val="1"/>
      <w:numFmt w:val="upperLetter"/>
      <w:lvlText w:val="%7."/>
      <w:lvlJc w:val="left"/>
      <w:pPr>
        <w:tabs>
          <w:tab w:val="num" w:pos="5040"/>
        </w:tabs>
        <w:ind w:left="5040" w:hanging="360"/>
      </w:pPr>
      <w:rPr>
        <w:rFonts w:cs="Times New Roman"/>
      </w:rPr>
    </w:lvl>
    <w:lvl w:ilvl="7">
      <w:start w:val="1"/>
      <w:numFmt w:val="upperLetter"/>
      <w:lvlText w:val="%8."/>
      <w:lvlJc w:val="left"/>
      <w:pPr>
        <w:tabs>
          <w:tab w:val="num" w:pos="5760"/>
        </w:tabs>
        <w:ind w:left="5760" w:hanging="360"/>
      </w:pPr>
      <w:rPr>
        <w:rFonts w:cs="Times New Roman"/>
      </w:rPr>
    </w:lvl>
    <w:lvl w:ilvl="8">
      <w:start w:val="1"/>
      <w:numFmt w:val="upperLetter"/>
      <w:lvlText w:val="%9."/>
      <w:lvlJc w:val="left"/>
      <w:pPr>
        <w:tabs>
          <w:tab w:val="num" w:pos="6480"/>
        </w:tabs>
        <w:ind w:left="6480" w:hanging="360"/>
      </w:pPr>
      <w:rPr>
        <w:rFonts w:cs="Times New Roman"/>
      </w:rPr>
    </w:lvl>
  </w:abstractNum>
  <w:abstractNum w:abstractNumId="4" w15:restartNumberingAfterBreak="0">
    <w:nsid w:val="4F274774"/>
    <w:multiLevelType w:val="multilevel"/>
    <w:tmpl w:val="CF6E48E6"/>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617515CE"/>
    <w:multiLevelType w:val="hybridMultilevel"/>
    <w:tmpl w:val="EED05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AA215B"/>
    <w:multiLevelType w:val="hybridMultilevel"/>
    <w:tmpl w:val="9C98D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330E70"/>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079524709">
    <w:abstractNumId w:val="4"/>
  </w:num>
  <w:num w:numId="2" w16cid:durableId="1943536199">
    <w:abstractNumId w:val="7"/>
  </w:num>
  <w:num w:numId="3" w16cid:durableId="9225668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7559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68965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5700057">
    <w:abstractNumId w:val="6"/>
  </w:num>
  <w:num w:numId="7" w16cid:durableId="1415324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823581">
    <w:abstractNumId w:val="5"/>
  </w:num>
  <w:num w:numId="9" w16cid:durableId="353850912">
    <w:abstractNumId w:val="2"/>
  </w:num>
  <w:num w:numId="10" w16cid:durableId="2084403902">
    <w:abstractNumId w:val="0"/>
  </w:num>
  <w:num w:numId="11" w16cid:durableId="660279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CB"/>
    <w:rsid w:val="000019F2"/>
    <w:rsid w:val="0001018C"/>
    <w:rsid w:val="00010C20"/>
    <w:rsid w:val="00012995"/>
    <w:rsid w:val="00030689"/>
    <w:rsid w:val="000333F2"/>
    <w:rsid w:val="0003547F"/>
    <w:rsid w:val="0003675D"/>
    <w:rsid w:val="00056195"/>
    <w:rsid w:val="00067270"/>
    <w:rsid w:val="00083C5A"/>
    <w:rsid w:val="00086881"/>
    <w:rsid w:val="00095D09"/>
    <w:rsid w:val="000975F6"/>
    <w:rsid w:val="000A4C82"/>
    <w:rsid w:val="000E67E9"/>
    <w:rsid w:val="000F41C0"/>
    <w:rsid w:val="000F632C"/>
    <w:rsid w:val="001003B3"/>
    <w:rsid w:val="00100432"/>
    <w:rsid w:val="00105089"/>
    <w:rsid w:val="001169E4"/>
    <w:rsid w:val="00127734"/>
    <w:rsid w:val="001341B8"/>
    <w:rsid w:val="001412A1"/>
    <w:rsid w:val="00144C80"/>
    <w:rsid w:val="001455F8"/>
    <w:rsid w:val="00151E95"/>
    <w:rsid w:val="00155C87"/>
    <w:rsid w:val="00163145"/>
    <w:rsid w:val="00175208"/>
    <w:rsid w:val="001B40AA"/>
    <w:rsid w:val="001C0503"/>
    <w:rsid w:val="001D26FA"/>
    <w:rsid w:val="001E28A9"/>
    <w:rsid w:val="001F0FC7"/>
    <w:rsid w:val="001F3A10"/>
    <w:rsid w:val="001F6071"/>
    <w:rsid w:val="00200269"/>
    <w:rsid w:val="00202C5B"/>
    <w:rsid w:val="00206111"/>
    <w:rsid w:val="0021037D"/>
    <w:rsid w:val="0021748D"/>
    <w:rsid w:val="00224ACE"/>
    <w:rsid w:val="00225C0F"/>
    <w:rsid w:val="00230E5B"/>
    <w:rsid w:val="0023548B"/>
    <w:rsid w:val="00245F91"/>
    <w:rsid w:val="0025626F"/>
    <w:rsid w:val="00261A51"/>
    <w:rsid w:val="00262A06"/>
    <w:rsid w:val="00265166"/>
    <w:rsid w:val="002655A2"/>
    <w:rsid w:val="002715CC"/>
    <w:rsid w:val="00281AAE"/>
    <w:rsid w:val="002A4AA9"/>
    <w:rsid w:val="002A7559"/>
    <w:rsid w:val="002D4A0A"/>
    <w:rsid w:val="002D6DF5"/>
    <w:rsid w:val="002F76CE"/>
    <w:rsid w:val="003015C8"/>
    <w:rsid w:val="00316F16"/>
    <w:rsid w:val="00335AF4"/>
    <w:rsid w:val="003441BF"/>
    <w:rsid w:val="0034649A"/>
    <w:rsid w:val="00351876"/>
    <w:rsid w:val="00352E69"/>
    <w:rsid w:val="00371D0B"/>
    <w:rsid w:val="003744A7"/>
    <w:rsid w:val="0037455A"/>
    <w:rsid w:val="00393E70"/>
    <w:rsid w:val="003A6E88"/>
    <w:rsid w:val="003B748C"/>
    <w:rsid w:val="003B7690"/>
    <w:rsid w:val="003C24B4"/>
    <w:rsid w:val="003E379E"/>
    <w:rsid w:val="003F6709"/>
    <w:rsid w:val="003F6AF5"/>
    <w:rsid w:val="00415C65"/>
    <w:rsid w:val="004166E2"/>
    <w:rsid w:val="0042085F"/>
    <w:rsid w:val="00424557"/>
    <w:rsid w:val="004657DE"/>
    <w:rsid w:val="00474586"/>
    <w:rsid w:val="00474CD4"/>
    <w:rsid w:val="0047699C"/>
    <w:rsid w:val="004815B2"/>
    <w:rsid w:val="00482022"/>
    <w:rsid w:val="00490D3F"/>
    <w:rsid w:val="004A1A2C"/>
    <w:rsid w:val="004B178A"/>
    <w:rsid w:val="004C13AA"/>
    <w:rsid w:val="004E2016"/>
    <w:rsid w:val="004E4600"/>
    <w:rsid w:val="004F7C5E"/>
    <w:rsid w:val="00501BCB"/>
    <w:rsid w:val="0050615B"/>
    <w:rsid w:val="00507261"/>
    <w:rsid w:val="0052640C"/>
    <w:rsid w:val="00534044"/>
    <w:rsid w:val="0053645A"/>
    <w:rsid w:val="00541272"/>
    <w:rsid w:val="00553C78"/>
    <w:rsid w:val="00556620"/>
    <w:rsid w:val="00572E2F"/>
    <w:rsid w:val="0058483B"/>
    <w:rsid w:val="0059086A"/>
    <w:rsid w:val="00594E37"/>
    <w:rsid w:val="005A326A"/>
    <w:rsid w:val="005B548D"/>
    <w:rsid w:val="005B6DB4"/>
    <w:rsid w:val="005C7065"/>
    <w:rsid w:val="005D6403"/>
    <w:rsid w:val="005E3E2C"/>
    <w:rsid w:val="005E74ED"/>
    <w:rsid w:val="005F6E99"/>
    <w:rsid w:val="006038F7"/>
    <w:rsid w:val="00604093"/>
    <w:rsid w:val="0062574C"/>
    <w:rsid w:val="00630088"/>
    <w:rsid w:val="00635658"/>
    <w:rsid w:val="0063582D"/>
    <w:rsid w:val="006501D7"/>
    <w:rsid w:val="00652059"/>
    <w:rsid w:val="00657809"/>
    <w:rsid w:val="006579D8"/>
    <w:rsid w:val="0066346A"/>
    <w:rsid w:val="00667B0F"/>
    <w:rsid w:val="006719D4"/>
    <w:rsid w:val="00682BAF"/>
    <w:rsid w:val="0068486D"/>
    <w:rsid w:val="00684E1C"/>
    <w:rsid w:val="006906AF"/>
    <w:rsid w:val="0069131F"/>
    <w:rsid w:val="006A4389"/>
    <w:rsid w:val="006B04CC"/>
    <w:rsid w:val="006B6039"/>
    <w:rsid w:val="006C2E3C"/>
    <w:rsid w:val="006E0C9B"/>
    <w:rsid w:val="006F00C3"/>
    <w:rsid w:val="006F01FD"/>
    <w:rsid w:val="007006B4"/>
    <w:rsid w:val="007006D9"/>
    <w:rsid w:val="00702FBE"/>
    <w:rsid w:val="00703E69"/>
    <w:rsid w:val="00707055"/>
    <w:rsid w:val="0072683F"/>
    <w:rsid w:val="0072684A"/>
    <w:rsid w:val="0073125E"/>
    <w:rsid w:val="00732B7F"/>
    <w:rsid w:val="00740529"/>
    <w:rsid w:val="00742CF1"/>
    <w:rsid w:val="00773B2E"/>
    <w:rsid w:val="00773C1D"/>
    <w:rsid w:val="007859AD"/>
    <w:rsid w:val="00785ED1"/>
    <w:rsid w:val="007A177E"/>
    <w:rsid w:val="007A629A"/>
    <w:rsid w:val="007C60C5"/>
    <w:rsid w:val="007D5213"/>
    <w:rsid w:val="007D7CA6"/>
    <w:rsid w:val="007E34D6"/>
    <w:rsid w:val="007E706E"/>
    <w:rsid w:val="007F319E"/>
    <w:rsid w:val="008172B1"/>
    <w:rsid w:val="008437D0"/>
    <w:rsid w:val="008501CD"/>
    <w:rsid w:val="00850613"/>
    <w:rsid w:val="00851BA9"/>
    <w:rsid w:val="008579F3"/>
    <w:rsid w:val="00872C48"/>
    <w:rsid w:val="00886CFA"/>
    <w:rsid w:val="00887377"/>
    <w:rsid w:val="008B233B"/>
    <w:rsid w:val="008D594A"/>
    <w:rsid w:val="008E0FC1"/>
    <w:rsid w:val="008F1860"/>
    <w:rsid w:val="008F1888"/>
    <w:rsid w:val="008F4D3D"/>
    <w:rsid w:val="0092743D"/>
    <w:rsid w:val="00936CBD"/>
    <w:rsid w:val="00940610"/>
    <w:rsid w:val="0094259E"/>
    <w:rsid w:val="00942E68"/>
    <w:rsid w:val="00947F7D"/>
    <w:rsid w:val="00973CB0"/>
    <w:rsid w:val="009812E6"/>
    <w:rsid w:val="009941BF"/>
    <w:rsid w:val="00997141"/>
    <w:rsid w:val="00997811"/>
    <w:rsid w:val="009A3F96"/>
    <w:rsid w:val="009A58DF"/>
    <w:rsid w:val="009A6BCB"/>
    <w:rsid w:val="009C1F02"/>
    <w:rsid w:val="009F7C1F"/>
    <w:rsid w:val="00A05852"/>
    <w:rsid w:val="00A332B7"/>
    <w:rsid w:val="00A33C56"/>
    <w:rsid w:val="00A35F50"/>
    <w:rsid w:val="00A640E6"/>
    <w:rsid w:val="00A84082"/>
    <w:rsid w:val="00A865B0"/>
    <w:rsid w:val="00A92F9B"/>
    <w:rsid w:val="00A978F2"/>
    <w:rsid w:val="00AA6190"/>
    <w:rsid w:val="00AB5A2D"/>
    <w:rsid w:val="00AC0A51"/>
    <w:rsid w:val="00AC422F"/>
    <w:rsid w:val="00AD2C0B"/>
    <w:rsid w:val="00AD77EF"/>
    <w:rsid w:val="00AE5349"/>
    <w:rsid w:val="00AF05EE"/>
    <w:rsid w:val="00B00BAF"/>
    <w:rsid w:val="00B010FD"/>
    <w:rsid w:val="00B01169"/>
    <w:rsid w:val="00B01720"/>
    <w:rsid w:val="00B12D91"/>
    <w:rsid w:val="00B27C0E"/>
    <w:rsid w:val="00B55273"/>
    <w:rsid w:val="00B66249"/>
    <w:rsid w:val="00B67DE0"/>
    <w:rsid w:val="00B75A9B"/>
    <w:rsid w:val="00B83D87"/>
    <w:rsid w:val="00B84569"/>
    <w:rsid w:val="00B97B64"/>
    <w:rsid w:val="00BA0F80"/>
    <w:rsid w:val="00BA3172"/>
    <w:rsid w:val="00BA44BA"/>
    <w:rsid w:val="00BB7EE2"/>
    <w:rsid w:val="00BC0A50"/>
    <w:rsid w:val="00BD09F5"/>
    <w:rsid w:val="00BE3160"/>
    <w:rsid w:val="00C066AE"/>
    <w:rsid w:val="00C12299"/>
    <w:rsid w:val="00C21FAE"/>
    <w:rsid w:val="00C225EF"/>
    <w:rsid w:val="00C57D2D"/>
    <w:rsid w:val="00C736FD"/>
    <w:rsid w:val="00C85300"/>
    <w:rsid w:val="00C86B9D"/>
    <w:rsid w:val="00C97428"/>
    <w:rsid w:val="00CA175B"/>
    <w:rsid w:val="00CA2EE7"/>
    <w:rsid w:val="00CB6061"/>
    <w:rsid w:val="00CC0565"/>
    <w:rsid w:val="00CE23FC"/>
    <w:rsid w:val="00CF52DA"/>
    <w:rsid w:val="00CF5CC8"/>
    <w:rsid w:val="00CF603E"/>
    <w:rsid w:val="00D0069C"/>
    <w:rsid w:val="00D06DCA"/>
    <w:rsid w:val="00D11E80"/>
    <w:rsid w:val="00D12741"/>
    <w:rsid w:val="00D21C79"/>
    <w:rsid w:val="00D30269"/>
    <w:rsid w:val="00D3125E"/>
    <w:rsid w:val="00D32370"/>
    <w:rsid w:val="00D33D31"/>
    <w:rsid w:val="00D44D43"/>
    <w:rsid w:val="00D62418"/>
    <w:rsid w:val="00D62D6D"/>
    <w:rsid w:val="00D73C08"/>
    <w:rsid w:val="00D73CC2"/>
    <w:rsid w:val="00D82D8E"/>
    <w:rsid w:val="00D855F8"/>
    <w:rsid w:val="00D951D2"/>
    <w:rsid w:val="00D97DDB"/>
    <w:rsid w:val="00DA0F28"/>
    <w:rsid w:val="00DB609D"/>
    <w:rsid w:val="00DB669E"/>
    <w:rsid w:val="00DB7AEE"/>
    <w:rsid w:val="00DC147D"/>
    <w:rsid w:val="00DC1F89"/>
    <w:rsid w:val="00DF4827"/>
    <w:rsid w:val="00E059E1"/>
    <w:rsid w:val="00E179B6"/>
    <w:rsid w:val="00E3400A"/>
    <w:rsid w:val="00E35038"/>
    <w:rsid w:val="00E35B9E"/>
    <w:rsid w:val="00E40FCD"/>
    <w:rsid w:val="00E462F8"/>
    <w:rsid w:val="00E47EC2"/>
    <w:rsid w:val="00E5488B"/>
    <w:rsid w:val="00E56FFD"/>
    <w:rsid w:val="00E6797B"/>
    <w:rsid w:val="00E8013A"/>
    <w:rsid w:val="00E94D4D"/>
    <w:rsid w:val="00EA0A2C"/>
    <w:rsid w:val="00EA2906"/>
    <w:rsid w:val="00EA4903"/>
    <w:rsid w:val="00EB2731"/>
    <w:rsid w:val="00EE60DB"/>
    <w:rsid w:val="00EE7568"/>
    <w:rsid w:val="00EF0660"/>
    <w:rsid w:val="00F01986"/>
    <w:rsid w:val="00F21225"/>
    <w:rsid w:val="00F24F5B"/>
    <w:rsid w:val="00F25FFD"/>
    <w:rsid w:val="00F614D2"/>
    <w:rsid w:val="00F624A2"/>
    <w:rsid w:val="00F639A8"/>
    <w:rsid w:val="00F8361A"/>
    <w:rsid w:val="00F87661"/>
    <w:rsid w:val="00FA0B70"/>
    <w:rsid w:val="00FA3BAB"/>
    <w:rsid w:val="00FF70E2"/>
    <w:rsid w:val="00FF7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3F849"/>
  <w15:chartTrackingRefBased/>
  <w15:docId w15:val="{ABD1D6CE-DC7F-4ABD-9C54-E27D1D50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2"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6D9"/>
  </w:style>
  <w:style w:type="paragraph" w:styleId="Heading1">
    <w:name w:val="heading 1"/>
    <w:basedOn w:val="Normal"/>
    <w:next w:val="Normal"/>
    <w:link w:val="Heading1Char"/>
    <w:uiPriority w:val="99"/>
    <w:unhideWhenUs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Normal"/>
    <w:rPr>
      <w:rFonts w:cs="Times New Roman"/>
      <w:sz w:val="16"/>
    </w:rPr>
  </w:style>
  <w:style w:type="character" w:customStyle="1" w:styleId="Heading1Char">
    <w:name w:val="Heading 1 Char"/>
    <w:basedOn w:val="DefaultParagraphFont"/>
    <w:link w:val="Heading1"/>
    <w:uiPriority w:val="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22"/>
    <w:unhideWhenUs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2"/>
    <w:rPr>
      <w:rFonts w:asciiTheme="majorHAnsi" w:eastAsiaTheme="majorEastAsia" w:hAnsiTheme="majorHAnsi" w:cstheme="majorBidi"/>
      <w:spacing w:val="-10"/>
      <w:kern w:val="28"/>
      <w:sz w:val="56"/>
      <w:szCs w:val="56"/>
    </w:r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Pr>
      <w:rFonts w:ascii="Consolas" w:hAnsi="Consolas"/>
      <w:szCs w:val="20"/>
    </w:rPr>
  </w:style>
  <w:style w:type="paragraph" w:customStyle="1" w:styleId="R2Para1D">
    <w:name w:val="R2 Para 1&quot;D"/>
    <w:basedOn w:val="Normal"/>
    <w:pPr>
      <w:spacing w:line="480" w:lineRule="auto"/>
      <w:ind w:firstLine="1440"/>
    </w:pPr>
  </w:style>
  <w:style w:type="paragraph" w:customStyle="1" w:styleId="RBBasic">
    <w:name w:val="RB Basic"/>
    <w:basedOn w:val="Normal"/>
    <w:pPr>
      <w:snapToGrid w:val="0"/>
      <w:spacing w:after="240"/>
    </w:pPr>
  </w:style>
  <w:style w:type="paragraph" w:customStyle="1" w:styleId="RBNBasicNoSpace">
    <w:name w:val="RBN Basic No Space"/>
    <w:basedOn w:val="Normal"/>
  </w:style>
  <w:style w:type="paragraph" w:customStyle="1" w:styleId="RHPara11-12">
    <w:name w:val="RH Para 1&quot; 1-1/2"/>
    <w:basedOn w:val="Normal"/>
    <w:pPr>
      <w:snapToGrid w:val="0"/>
      <w:spacing w:line="360" w:lineRule="auto"/>
      <w:ind w:firstLine="1440"/>
    </w:pPr>
  </w:style>
  <w:style w:type="paragraph" w:customStyle="1" w:styleId="RHDPara12D">
    <w:name w:val="RHD Para 1/2&quot; D"/>
    <w:basedOn w:val="Normal"/>
    <w:pPr>
      <w:snapToGrid w:val="0"/>
      <w:spacing w:line="480" w:lineRule="auto"/>
      <w:ind w:firstLine="720"/>
    </w:pPr>
  </w:style>
  <w:style w:type="paragraph" w:customStyle="1" w:styleId="RHHPara121-12">
    <w:name w:val="RHH Para 1/2&quot; 1-1/2"/>
    <w:basedOn w:val="Normal"/>
    <w:pPr>
      <w:snapToGrid w:val="0"/>
      <w:spacing w:after="120" w:line="360" w:lineRule="auto"/>
      <w:ind w:firstLine="720"/>
    </w:pPr>
  </w:style>
  <w:style w:type="paragraph" w:customStyle="1" w:styleId="RHSPara12S">
    <w:name w:val="RHS Para 1/2&quot; S"/>
    <w:basedOn w:val="Normal"/>
    <w:pPr>
      <w:snapToGrid w:val="0"/>
      <w:spacing w:after="240"/>
      <w:ind w:firstLine="720"/>
    </w:pPr>
  </w:style>
  <w:style w:type="character" w:customStyle="1" w:styleId="RibItalicBold">
    <w:name w:val="Rib ItalicBold"/>
    <w:basedOn w:val="DefaultParagraphFont"/>
    <w:uiPriority w:val="1"/>
    <w:rPr>
      <w:b/>
      <w:i/>
      <w:caps w:val="0"/>
      <w:smallCaps w:val="0"/>
      <w:strike w:val="0"/>
      <w:dstrike w:val="0"/>
      <w:vanish w:val="0"/>
      <w:vertAlign w:val="baseline"/>
    </w:rPr>
  </w:style>
  <w:style w:type="paragraph" w:customStyle="1" w:styleId="RNDParaNoIndD">
    <w:name w:val="RND Para No Ind D"/>
    <w:basedOn w:val="Normal"/>
    <w:pPr>
      <w:snapToGrid w:val="0"/>
      <w:spacing w:line="480" w:lineRule="auto"/>
    </w:pPr>
  </w:style>
  <w:style w:type="paragraph" w:customStyle="1" w:styleId="RNHParaNoIndH">
    <w:name w:val="RNH Para No Ind H"/>
    <w:basedOn w:val="Normal"/>
    <w:pPr>
      <w:snapToGrid w:val="0"/>
      <w:spacing w:line="360" w:lineRule="auto"/>
    </w:pPr>
  </w:style>
  <w:style w:type="paragraph" w:customStyle="1" w:styleId="RNSParaNoIndS">
    <w:name w:val="RNS Para No Ind S"/>
    <w:basedOn w:val="Normal"/>
    <w:pPr>
      <w:snapToGrid w:val="0"/>
      <w:spacing w:after="240"/>
    </w:pPr>
  </w:style>
  <w:style w:type="paragraph" w:customStyle="1" w:styleId="RQBlockQuote">
    <w:name w:val="RQ Block Quote"/>
    <w:basedOn w:val="Normal"/>
    <w:pPr>
      <w:snapToGrid w:val="0"/>
      <w:spacing w:after="240"/>
      <w:ind w:left="1440" w:right="1440"/>
    </w:pPr>
  </w:style>
  <w:style w:type="paragraph" w:customStyle="1" w:styleId="RQIBlockQuInd">
    <w:name w:val="RQI Block Qu Ind"/>
    <w:basedOn w:val="Normal"/>
    <w:pPr>
      <w:snapToGrid w:val="0"/>
      <w:spacing w:after="240"/>
      <w:ind w:left="1440" w:right="1440" w:firstLine="720"/>
    </w:pPr>
  </w:style>
  <w:style w:type="paragraph" w:customStyle="1" w:styleId="RSBSubtitle">
    <w:name w:val="RSB Subtitle"/>
    <w:basedOn w:val="Normal"/>
    <w:next w:val="RHDPara12D"/>
    <w:pPr>
      <w:keepNext/>
      <w:keepLines/>
      <w:snapToGrid w:val="0"/>
      <w:spacing w:after="240"/>
    </w:pPr>
    <w:rPr>
      <w:b/>
    </w:rPr>
  </w:style>
  <w:style w:type="paragraph" w:customStyle="1" w:styleId="RSBCSubtitle">
    <w:name w:val="RSBC Subtitle"/>
    <w:basedOn w:val="Normal"/>
    <w:next w:val="RHDPara12D"/>
    <w:pPr>
      <w:keepNext/>
      <w:keepLines/>
      <w:snapToGrid w:val="0"/>
      <w:spacing w:after="240"/>
      <w:jc w:val="center"/>
    </w:pPr>
    <w:rPr>
      <w:b/>
    </w:rPr>
  </w:style>
  <w:style w:type="paragraph" w:customStyle="1" w:styleId="RTTitle">
    <w:name w:val="RT Title"/>
    <w:basedOn w:val="Normal"/>
    <w:next w:val="RSBSubtitle"/>
    <w:pPr>
      <w:keepNext/>
      <w:keepLines/>
      <w:snapToGrid w:val="0"/>
      <w:spacing w:after="240"/>
      <w:jc w:val="center"/>
    </w:pPr>
    <w:rPr>
      <w:caps/>
    </w:rPr>
  </w:style>
  <w:style w:type="paragraph" w:customStyle="1" w:styleId="RTaPTblPara">
    <w:name w:val="RTaP TblPara"/>
    <w:basedOn w:val="Normal"/>
    <w:pPr>
      <w:snapToGrid w:val="0"/>
      <w:spacing w:after="60"/>
    </w:pPr>
  </w:style>
  <w:style w:type="paragraph" w:customStyle="1" w:styleId="RTBTitle">
    <w:name w:val="RTB Title"/>
    <w:basedOn w:val="Normal"/>
    <w:next w:val="RSBSubtitle"/>
    <w:pPr>
      <w:keepNext/>
      <w:keepLines/>
      <w:snapToGrid w:val="0"/>
      <w:spacing w:after="240"/>
      <w:jc w:val="center"/>
    </w:pPr>
    <w:rPr>
      <w:b/>
      <w:caps/>
    </w:rPr>
  </w:style>
  <w:style w:type="paragraph" w:customStyle="1" w:styleId="RTHTblHead">
    <w:name w:val="RTH TblHead"/>
    <w:basedOn w:val="Normal"/>
    <w:pPr>
      <w:snapToGrid w:val="0"/>
      <w:spacing w:before="180" w:after="180"/>
    </w:pPr>
    <w:rPr>
      <w:b/>
    </w:rPr>
  </w:style>
  <w:style w:type="paragraph" w:customStyle="1" w:styleId="RTOCTitle">
    <w:name w:val="RTOC Title"/>
    <w:basedOn w:val="Normal"/>
    <w:next w:val="Normal"/>
    <w:pPr>
      <w:snapToGrid w:val="0"/>
      <w:spacing w:after="360"/>
      <w:jc w:val="center"/>
    </w:pPr>
    <w:rPr>
      <w:b/>
      <w:caps/>
    </w:rPr>
  </w:style>
  <w:style w:type="paragraph" w:customStyle="1" w:styleId="RTPTOCPage">
    <w:name w:val="RTP TOC Page"/>
    <w:basedOn w:val="Normal"/>
    <w:next w:val="RNSParaNoIndS"/>
    <w:pPr>
      <w:snapToGrid w:val="0"/>
      <w:jc w:val="right"/>
    </w:pPr>
    <w:rPr>
      <w:b/>
    </w:rPr>
  </w:style>
  <w:style w:type="paragraph" w:customStyle="1" w:styleId="R1Para1S">
    <w:name w:val="R1 Para 1&quot;S"/>
    <w:basedOn w:val="Normal"/>
    <w:pPr>
      <w:snapToGrid w:val="0"/>
      <w:spacing w:after="240"/>
      <w:ind w:firstLine="1440"/>
    </w:pPr>
  </w:style>
  <w:style w:type="paragraph" w:customStyle="1" w:styleId="RSUSubtitle">
    <w:name w:val="RSU Subtitle"/>
    <w:basedOn w:val="Normal"/>
    <w:next w:val="RHDPara12D"/>
    <w:qFormat/>
    <w:pPr>
      <w:keepNext/>
      <w:keepLines/>
      <w:snapToGrid w:val="0"/>
      <w:spacing w:after="240"/>
    </w:pPr>
    <w:rPr>
      <w:u w:val="single"/>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unhideWhenUsed/>
    <w:qFormat/>
    <w:pPr>
      <w:ind w:left="720"/>
      <w:contextualSpacing/>
    </w:pPr>
  </w:style>
  <w:style w:type="paragraph" w:styleId="NormalWeb">
    <w:name w:val="Normal (Web)"/>
    <w:basedOn w:val="Normal"/>
    <w:uiPriority w:val="99"/>
    <w:semiHidden/>
    <w:unhideWhenUsed/>
    <w:rsid w:val="009A6BCB"/>
    <w:pPr>
      <w:spacing w:before="100" w:beforeAutospacing="1" w:after="100" w:afterAutospacing="1"/>
    </w:pPr>
    <w:rPr>
      <w:rFonts w:eastAsia="Times New Roman" w:cs="Times New Roman"/>
    </w:rPr>
  </w:style>
  <w:style w:type="paragraph" w:styleId="FootnoteText">
    <w:name w:val="footnote text"/>
    <w:basedOn w:val="Normal"/>
    <w:link w:val="FootnoteTextChar"/>
    <w:uiPriority w:val="99"/>
    <w:unhideWhenUsed/>
    <w:rsid w:val="00AC0A51"/>
    <w:rPr>
      <w:rFonts w:eastAsia="Calibri" w:cs="Times New Roman"/>
      <w:sz w:val="20"/>
      <w:szCs w:val="20"/>
      <w:lang w:eastAsia="en-US"/>
    </w:rPr>
  </w:style>
  <w:style w:type="character" w:customStyle="1" w:styleId="FootnoteTextChar">
    <w:name w:val="Footnote Text Char"/>
    <w:basedOn w:val="DefaultParagraphFont"/>
    <w:link w:val="FootnoteText"/>
    <w:uiPriority w:val="99"/>
    <w:rsid w:val="00AC0A51"/>
    <w:rPr>
      <w:rFonts w:eastAsia="Calibri" w:cs="Times New Roman"/>
      <w:sz w:val="20"/>
      <w:szCs w:val="20"/>
      <w:lang w:eastAsia="en-US"/>
    </w:rPr>
  </w:style>
  <w:style w:type="character" w:styleId="FootnoteReference">
    <w:name w:val="footnote reference"/>
    <w:basedOn w:val="DefaultParagraphFont"/>
    <w:uiPriority w:val="99"/>
    <w:unhideWhenUsed/>
    <w:rsid w:val="00AC0A51"/>
    <w:rPr>
      <w:vertAlign w:val="superscript"/>
    </w:rPr>
  </w:style>
  <w:style w:type="table" w:styleId="TableGrid">
    <w:name w:val="Table Grid"/>
    <w:basedOn w:val="TableNormal"/>
    <w:rsid w:val="00AC0A51"/>
    <w:rPr>
      <w:rFonts w:asciiTheme="minorHAnsi" w:eastAsia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5273"/>
    <w:rPr>
      <w:sz w:val="16"/>
      <w:szCs w:val="16"/>
    </w:rPr>
  </w:style>
  <w:style w:type="paragraph" w:styleId="CommentText">
    <w:name w:val="annotation text"/>
    <w:basedOn w:val="Normal"/>
    <w:link w:val="CommentTextChar"/>
    <w:uiPriority w:val="99"/>
    <w:unhideWhenUsed/>
    <w:rsid w:val="00B55273"/>
    <w:rPr>
      <w:sz w:val="20"/>
      <w:szCs w:val="20"/>
    </w:rPr>
  </w:style>
  <w:style w:type="character" w:customStyle="1" w:styleId="CommentTextChar">
    <w:name w:val="Comment Text Char"/>
    <w:basedOn w:val="DefaultParagraphFont"/>
    <w:link w:val="CommentText"/>
    <w:uiPriority w:val="99"/>
    <w:rsid w:val="00B55273"/>
    <w:rPr>
      <w:sz w:val="20"/>
      <w:szCs w:val="20"/>
    </w:rPr>
  </w:style>
  <w:style w:type="paragraph" w:styleId="CommentSubject">
    <w:name w:val="annotation subject"/>
    <w:basedOn w:val="CommentText"/>
    <w:next w:val="CommentText"/>
    <w:link w:val="CommentSubjectChar"/>
    <w:uiPriority w:val="99"/>
    <w:semiHidden/>
    <w:unhideWhenUsed/>
    <w:rsid w:val="00B55273"/>
    <w:rPr>
      <w:b/>
      <w:bCs/>
    </w:rPr>
  </w:style>
  <w:style w:type="character" w:customStyle="1" w:styleId="CommentSubjectChar">
    <w:name w:val="Comment Subject Char"/>
    <w:basedOn w:val="CommentTextChar"/>
    <w:link w:val="CommentSubject"/>
    <w:uiPriority w:val="99"/>
    <w:semiHidden/>
    <w:rsid w:val="00B55273"/>
    <w:rPr>
      <w:b/>
      <w:bCs/>
      <w:sz w:val="20"/>
      <w:szCs w:val="20"/>
    </w:rPr>
  </w:style>
  <w:style w:type="character" w:styleId="Hyperlink">
    <w:name w:val="Hyperlink"/>
    <w:basedOn w:val="DefaultParagraphFont"/>
    <w:uiPriority w:val="99"/>
    <w:unhideWhenUsed/>
    <w:rsid w:val="00335AF4"/>
    <w:rPr>
      <w:color w:val="0563C1" w:themeColor="hyperlink"/>
      <w:u w:val="single"/>
    </w:rPr>
  </w:style>
  <w:style w:type="paragraph" w:styleId="Revision">
    <w:name w:val="Revision"/>
    <w:hidden/>
    <w:uiPriority w:val="99"/>
    <w:semiHidden/>
    <w:rsid w:val="007D5213"/>
  </w:style>
  <w:style w:type="character" w:styleId="UnresolvedMention">
    <w:name w:val="Unresolved Mention"/>
    <w:basedOn w:val="DefaultParagraphFont"/>
    <w:uiPriority w:val="99"/>
    <w:semiHidden/>
    <w:unhideWhenUsed/>
    <w:rsid w:val="00D73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8793">
      <w:bodyDiv w:val="1"/>
      <w:marLeft w:val="0"/>
      <w:marRight w:val="0"/>
      <w:marTop w:val="0"/>
      <w:marBottom w:val="0"/>
      <w:divBdr>
        <w:top w:val="none" w:sz="0" w:space="0" w:color="auto"/>
        <w:left w:val="none" w:sz="0" w:space="0" w:color="auto"/>
        <w:bottom w:val="none" w:sz="0" w:space="0" w:color="auto"/>
        <w:right w:val="none" w:sz="0" w:space="0" w:color="auto"/>
      </w:divBdr>
    </w:div>
    <w:div w:id="63718860">
      <w:bodyDiv w:val="1"/>
      <w:marLeft w:val="0"/>
      <w:marRight w:val="0"/>
      <w:marTop w:val="0"/>
      <w:marBottom w:val="0"/>
      <w:divBdr>
        <w:top w:val="none" w:sz="0" w:space="0" w:color="auto"/>
        <w:left w:val="none" w:sz="0" w:space="0" w:color="auto"/>
        <w:bottom w:val="none" w:sz="0" w:space="0" w:color="auto"/>
        <w:right w:val="none" w:sz="0" w:space="0" w:color="auto"/>
      </w:divBdr>
    </w:div>
    <w:div w:id="76556938">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
    <w:div w:id="172185100">
      <w:bodyDiv w:val="1"/>
      <w:marLeft w:val="0"/>
      <w:marRight w:val="0"/>
      <w:marTop w:val="0"/>
      <w:marBottom w:val="0"/>
      <w:divBdr>
        <w:top w:val="none" w:sz="0" w:space="0" w:color="auto"/>
        <w:left w:val="none" w:sz="0" w:space="0" w:color="auto"/>
        <w:bottom w:val="none" w:sz="0" w:space="0" w:color="auto"/>
        <w:right w:val="none" w:sz="0" w:space="0" w:color="auto"/>
      </w:divBdr>
    </w:div>
    <w:div w:id="212886783">
      <w:bodyDiv w:val="1"/>
      <w:marLeft w:val="0"/>
      <w:marRight w:val="0"/>
      <w:marTop w:val="0"/>
      <w:marBottom w:val="0"/>
      <w:divBdr>
        <w:top w:val="none" w:sz="0" w:space="0" w:color="auto"/>
        <w:left w:val="none" w:sz="0" w:space="0" w:color="auto"/>
        <w:bottom w:val="none" w:sz="0" w:space="0" w:color="auto"/>
        <w:right w:val="none" w:sz="0" w:space="0" w:color="auto"/>
      </w:divBdr>
    </w:div>
    <w:div w:id="273101892">
      <w:bodyDiv w:val="1"/>
      <w:marLeft w:val="0"/>
      <w:marRight w:val="0"/>
      <w:marTop w:val="0"/>
      <w:marBottom w:val="0"/>
      <w:divBdr>
        <w:top w:val="none" w:sz="0" w:space="0" w:color="auto"/>
        <w:left w:val="none" w:sz="0" w:space="0" w:color="auto"/>
        <w:bottom w:val="none" w:sz="0" w:space="0" w:color="auto"/>
        <w:right w:val="none" w:sz="0" w:space="0" w:color="auto"/>
      </w:divBdr>
    </w:div>
    <w:div w:id="324749623">
      <w:bodyDiv w:val="1"/>
      <w:marLeft w:val="0"/>
      <w:marRight w:val="0"/>
      <w:marTop w:val="0"/>
      <w:marBottom w:val="0"/>
      <w:divBdr>
        <w:top w:val="none" w:sz="0" w:space="0" w:color="auto"/>
        <w:left w:val="none" w:sz="0" w:space="0" w:color="auto"/>
        <w:bottom w:val="none" w:sz="0" w:space="0" w:color="auto"/>
        <w:right w:val="none" w:sz="0" w:space="0" w:color="auto"/>
      </w:divBdr>
    </w:div>
    <w:div w:id="395009387">
      <w:bodyDiv w:val="1"/>
      <w:marLeft w:val="0"/>
      <w:marRight w:val="0"/>
      <w:marTop w:val="0"/>
      <w:marBottom w:val="0"/>
      <w:divBdr>
        <w:top w:val="none" w:sz="0" w:space="0" w:color="auto"/>
        <w:left w:val="none" w:sz="0" w:space="0" w:color="auto"/>
        <w:bottom w:val="none" w:sz="0" w:space="0" w:color="auto"/>
        <w:right w:val="none" w:sz="0" w:space="0" w:color="auto"/>
      </w:divBdr>
    </w:div>
    <w:div w:id="444807982">
      <w:bodyDiv w:val="1"/>
      <w:marLeft w:val="0"/>
      <w:marRight w:val="0"/>
      <w:marTop w:val="0"/>
      <w:marBottom w:val="0"/>
      <w:divBdr>
        <w:top w:val="none" w:sz="0" w:space="0" w:color="auto"/>
        <w:left w:val="none" w:sz="0" w:space="0" w:color="auto"/>
        <w:bottom w:val="none" w:sz="0" w:space="0" w:color="auto"/>
        <w:right w:val="none" w:sz="0" w:space="0" w:color="auto"/>
      </w:divBdr>
    </w:div>
    <w:div w:id="447118706">
      <w:bodyDiv w:val="1"/>
      <w:marLeft w:val="0"/>
      <w:marRight w:val="0"/>
      <w:marTop w:val="0"/>
      <w:marBottom w:val="0"/>
      <w:divBdr>
        <w:top w:val="none" w:sz="0" w:space="0" w:color="auto"/>
        <w:left w:val="none" w:sz="0" w:space="0" w:color="auto"/>
        <w:bottom w:val="none" w:sz="0" w:space="0" w:color="auto"/>
        <w:right w:val="none" w:sz="0" w:space="0" w:color="auto"/>
      </w:divBdr>
    </w:div>
    <w:div w:id="539588135">
      <w:bodyDiv w:val="1"/>
      <w:marLeft w:val="0"/>
      <w:marRight w:val="0"/>
      <w:marTop w:val="0"/>
      <w:marBottom w:val="0"/>
      <w:divBdr>
        <w:top w:val="none" w:sz="0" w:space="0" w:color="auto"/>
        <w:left w:val="none" w:sz="0" w:space="0" w:color="auto"/>
        <w:bottom w:val="none" w:sz="0" w:space="0" w:color="auto"/>
        <w:right w:val="none" w:sz="0" w:space="0" w:color="auto"/>
      </w:divBdr>
    </w:div>
    <w:div w:id="822162629">
      <w:bodyDiv w:val="1"/>
      <w:marLeft w:val="0"/>
      <w:marRight w:val="0"/>
      <w:marTop w:val="0"/>
      <w:marBottom w:val="0"/>
      <w:divBdr>
        <w:top w:val="none" w:sz="0" w:space="0" w:color="auto"/>
        <w:left w:val="none" w:sz="0" w:space="0" w:color="auto"/>
        <w:bottom w:val="none" w:sz="0" w:space="0" w:color="auto"/>
        <w:right w:val="none" w:sz="0" w:space="0" w:color="auto"/>
      </w:divBdr>
    </w:div>
    <w:div w:id="890767141">
      <w:bodyDiv w:val="1"/>
      <w:marLeft w:val="0"/>
      <w:marRight w:val="0"/>
      <w:marTop w:val="0"/>
      <w:marBottom w:val="0"/>
      <w:divBdr>
        <w:top w:val="none" w:sz="0" w:space="0" w:color="auto"/>
        <w:left w:val="none" w:sz="0" w:space="0" w:color="auto"/>
        <w:bottom w:val="none" w:sz="0" w:space="0" w:color="auto"/>
        <w:right w:val="none" w:sz="0" w:space="0" w:color="auto"/>
      </w:divBdr>
    </w:div>
    <w:div w:id="995694239">
      <w:bodyDiv w:val="1"/>
      <w:marLeft w:val="0"/>
      <w:marRight w:val="0"/>
      <w:marTop w:val="0"/>
      <w:marBottom w:val="0"/>
      <w:divBdr>
        <w:top w:val="none" w:sz="0" w:space="0" w:color="auto"/>
        <w:left w:val="none" w:sz="0" w:space="0" w:color="auto"/>
        <w:bottom w:val="none" w:sz="0" w:space="0" w:color="auto"/>
        <w:right w:val="none" w:sz="0" w:space="0" w:color="auto"/>
      </w:divBdr>
    </w:div>
    <w:div w:id="1068921107">
      <w:bodyDiv w:val="1"/>
      <w:marLeft w:val="0"/>
      <w:marRight w:val="0"/>
      <w:marTop w:val="0"/>
      <w:marBottom w:val="0"/>
      <w:divBdr>
        <w:top w:val="none" w:sz="0" w:space="0" w:color="auto"/>
        <w:left w:val="none" w:sz="0" w:space="0" w:color="auto"/>
        <w:bottom w:val="none" w:sz="0" w:space="0" w:color="auto"/>
        <w:right w:val="none" w:sz="0" w:space="0" w:color="auto"/>
      </w:divBdr>
    </w:div>
    <w:div w:id="1069890658">
      <w:bodyDiv w:val="1"/>
      <w:marLeft w:val="0"/>
      <w:marRight w:val="0"/>
      <w:marTop w:val="0"/>
      <w:marBottom w:val="0"/>
      <w:divBdr>
        <w:top w:val="none" w:sz="0" w:space="0" w:color="auto"/>
        <w:left w:val="none" w:sz="0" w:space="0" w:color="auto"/>
        <w:bottom w:val="none" w:sz="0" w:space="0" w:color="auto"/>
        <w:right w:val="none" w:sz="0" w:space="0" w:color="auto"/>
      </w:divBdr>
    </w:div>
    <w:div w:id="1075278699">
      <w:bodyDiv w:val="1"/>
      <w:marLeft w:val="0"/>
      <w:marRight w:val="0"/>
      <w:marTop w:val="0"/>
      <w:marBottom w:val="0"/>
      <w:divBdr>
        <w:top w:val="none" w:sz="0" w:space="0" w:color="auto"/>
        <w:left w:val="none" w:sz="0" w:space="0" w:color="auto"/>
        <w:bottom w:val="none" w:sz="0" w:space="0" w:color="auto"/>
        <w:right w:val="none" w:sz="0" w:space="0" w:color="auto"/>
      </w:divBdr>
    </w:div>
    <w:div w:id="1087264720">
      <w:bodyDiv w:val="1"/>
      <w:marLeft w:val="0"/>
      <w:marRight w:val="0"/>
      <w:marTop w:val="0"/>
      <w:marBottom w:val="0"/>
      <w:divBdr>
        <w:top w:val="none" w:sz="0" w:space="0" w:color="auto"/>
        <w:left w:val="none" w:sz="0" w:space="0" w:color="auto"/>
        <w:bottom w:val="none" w:sz="0" w:space="0" w:color="auto"/>
        <w:right w:val="none" w:sz="0" w:space="0" w:color="auto"/>
      </w:divBdr>
    </w:div>
    <w:div w:id="1126006298">
      <w:bodyDiv w:val="1"/>
      <w:marLeft w:val="0"/>
      <w:marRight w:val="0"/>
      <w:marTop w:val="0"/>
      <w:marBottom w:val="0"/>
      <w:divBdr>
        <w:top w:val="none" w:sz="0" w:space="0" w:color="auto"/>
        <w:left w:val="none" w:sz="0" w:space="0" w:color="auto"/>
        <w:bottom w:val="none" w:sz="0" w:space="0" w:color="auto"/>
        <w:right w:val="none" w:sz="0" w:space="0" w:color="auto"/>
      </w:divBdr>
    </w:div>
    <w:div w:id="1226531155">
      <w:bodyDiv w:val="1"/>
      <w:marLeft w:val="0"/>
      <w:marRight w:val="0"/>
      <w:marTop w:val="0"/>
      <w:marBottom w:val="0"/>
      <w:divBdr>
        <w:top w:val="none" w:sz="0" w:space="0" w:color="auto"/>
        <w:left w:val="none" w:sz="0" w:space="0" w:color="auto"/>
        <w:bottom w:val="none" w:sz="0" w:space="0" w:color="auto"/>
        <w:right w:val="none" w:sz="0" w:space="0" w:color="auto"/>
      </w:divBdr>
    </w:div>
    <w:div w:id="1295064473">
      <w:bodyDiv w:val="1"/>
      <w:marLeft w:val="0"/>
      <w:marRight w:val="0"/>
      <w:marTop w:val="0"/>
      <w:marBottom w:val="0"/>
      <w:divBdr>
        <w:top w:val="none" w:sz="0" w:space="0" w:color="auto"/>
        <w:left w:val="none" w:sz="0" w:space="0" w:color="auto"/>
        <w:bottom w:val="none" w:sz="0" w:space="0" w:color="auto"/>
        <w:right w:val="none" w:sz="0" w:space="0" w:color="auto"/>
      </w:divBdr>
    </w:div>
    <w:div w:id="1321813275">
      <w:bodyDiv w:val="1"/>
      <w:marLeft w:val="0"/>
      <w:marRight w:val="0"/>
      <w:marTop w:val="0"/>
      <w:marBottom w:val="0"/>
      <w:divBdr>
        <w:top w:val="none" w:sz="0" w:space="0" w:color="auto"/>
        <w:left w:val="none" w:sz="0" w:space="0" w:color="auto"/>
        <w:bottom w:val="none" w:sz="0" w:space="0" w:color="auto"/>
        <w:right w:val="none" w:sz="0" w:space="0" w:color="auto"/>
      </w:divBdr>
      <w:divsChild>
        <w:div w:id="485630797">
          <w:marLeft w:val="0"/>
          <w:marRight w:val="0"/>
          <w:marTop w:val="0"/>
          <w:marBottom w:val="0"/>
          <w:divBdr>
            <w:top w:val="none" w:sz="0" w:space="0" w:color="auto"/>
            <w:left w:val="none" w:sz="0" w:space="0" w:color="auto"/>
            <w:bottom w:val="none" w:sz="0" w:space="0" w:color="auto"/>
            <w:right w:val="none" w:sz="0" w:space="0" w:color="auto"/>
          </w:divBdr>
          <w:divsChild>
            <w:div w:id="617225552">
              <w:marLeft w:val="0"/>
              <w:marRight w:val="0"/>
              <w:marTop w:val="0"/>
              <w:marBottom w:val="0"/>
              <w:divBdr>
                <w:top w:val="none" w:sz="0" w:space="0" w:color="auto"/>
                <w:left w:val="none" w:sz="0" w:space="0" w:color="auto"/>
                <w:bottom w:val="none" w:sz="0" w:space="0" w:color="auto"/>
                <w:right w:val="none" w:sz="0" w:space="0" w:color="auto"/>
              </w:divBdr>
              <w:divsChild>
                <w:div w:id="58722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86201">
      <w:bodyDiv w:val="1"/>
      <w:marLeft w:val="0"/>
      <w:marRight w:val="0"/>
      <w:marTop w:val="0"/>
      <w:marBottom w:val="0"/>
      <w:divBdr>
        <w:top w:val="none" w:sz="0" w:space="0" w:color="auto"/>
        <w:left w:val="none" w:sz="0" w:space="0" w:color="auto"/>
        <w:bottom w:val="none" w:sz="0" w:space="0" w:color="auto"/>
        <w:right w:val="none" w:sz="0" w:space="0" w:color="auto"/>
      </w:divBdr>
    </w:div>
    <w:div w:id="1349674228">
      <w:bodyDiv w:val="1"/>
      <w:marLeft w:val="0"/>
      <w:marRight w:val="0"/>
      <w:marTop w:val="0"/>
      <w:marBottom w:val="0"/>
      <w:divBdr>
        <w:top w:val="none" w:sz="0" w:space="0" w:color="auto"/>
        <w:left w:val="none" w:sz="0" w:space="0" w:color="auto"/>
        <w:bottom w:val="none" w:sz="0" w:space="0" w:color="auto"/>
        <w:right w:val="none" w:sz="0" w:space="0" w:color="auto"/>
      </w:divBdr>
    </w:div>
    <w:div w:id="1460077137">
      <w:bodyDiv w:val="1"/>
      <w:marLeft w:val="0"/>
      <w:marRight w:val="0"/>
      <w:marTop w:val="0"/>
      <w:marBottom w:val="0"/>
      <w:divBdr>
        <w:top w:val="none" w:sz="0" w:space="0" w:color="auto"/>
        <w:left w:val="none" w:sz="0" w:space="0" w:color="auto"/>
        <w:bottom w:val="none" w:sz="0" w:space="0" w:color="auto"/>
        <w:right w:val="none" w:sz="0" w:space="0" w:color="auto"/>
      </w:divBdr>
    </w:div>
    <w:div w:id="1481927045">
      <w:bodyDiv w:val="1"/>
      <w:marLeft w:val="0"/>
      <w:marRight w:val="0"/>
      <w:marTop w:val="0"/>
      <w:marBottom w:val="0"/>
      <w:divBdr>
        <w:top w:val="none" w:sz="0" w:space="0" w:color="auto"/>
        <w:left w:val="none" w:sz="0" w:space="0" w:color="auto"/>
        <w:bottom w:val="none" w:sz="0" w:space="0" w:color="auto"/>
        <w:right w:val="none" w:sz="0" w:space="0" w:color="auto"/>
      </w:divBdr>
    </w:div>
    <w:div w:id="1568951535">
      <w:bodyDiv w:val="1"/>
      <w:marLeft w:val="0"/>
      <w:marRight w:val="0"/>
      <w:marTop w:val="0"/>
      <w:marBottom w:val="0"/>
      <w:divBdr>
        <w:top w:val="none" w:sz="0" w:space="0" w:color="auto"/>
        <w:left w:val="none" w:sz="0" w:space="0" w:color="auto"/>
        <w:bottom w:val="none" w:sz="0" w:space="0" w:color="auto"/>
        <w:right w:val="none" w:sz="0" w:space="0" w:color="auto"/>
      </w:divBdr>
    </w:div>
    <w:div w:id="1640570797">
      <w:bodyDiv w:val="1"/>
      <w:marLeft w:val="0"/>
      <w:marRight w:val="0"/>
      <w:marTop w:val="0"/>
      <w:marBottom w:val="0"/>
      <w:divBdr>
        <w:top w:val="none" w:sz="0" w:space="0" w:color="auto"/>
        <w:left w:val="none" w:sz="0" w:space="0" w:color="auto"/>
        <w:bottom w:val="none" w:sz="0" w:space="0" w:color="auto"/>
        <w:right w:val="none" w:sz="0" w:space="0" w:color="auto"/>
      </w:divBdr>
    </w:div>
    <w:div w:id="1641497092">
      <w:bodyDiv w:val="1"/>
      <w:marLeft w:val="0"/>
      <w:marRight w:val="0"/>
      <w:marTop w:val="0"/>
      <w:marBottom w:val="0"/>
      <w:divBdr>
        <w:top w:val="none" w:sz="0" w:space="0" w:color="auto"/>
        <w:left w:val="none" w:sz="0" w:space="0" w:color="auto"/>
        <w:bottom w:val="none" w:sz="0" w:space="0" w:color="auto"/>
        <w:right w:val="none" w:sz="0" w:space="0" w:color="auto"/>
      </w:divBdr>
    </w:div>
    <w:div w:id="1934706882">
      <w:bodyDiv w:val="1"/>
      <w:marLeft w:val="0"/>
      <w:marRight w:val="0"/>
      <w:marTop w:val="0"/>
      <w:marBottom w:val="0"/>
      <w:divBdr>
        <w:top w:val="none" w:sz="0" w:space="0" w:color="auto"/>
        <w:left w:val="none" w:sz="0" w:space="0" w:color="auto"/>
        <w:bottom w:val="none" w:sz="0" w:space="0" w:color="auto"/>
        <w:right w:val="none" w:sz="0" w:space="0" w:color="auto"/>
      </w:divBdr>
    </w:div>
    <w:div w:id="2006861944">
      <w:bodyDiv w:val="1"/>
      <w:marLeft w:val="0"/>
      <w:marRight w:val="0"/>
      <w:marTop w:val="0"/>
      <w:marBottom w:val="0"/>
      <w:divBdr>
        <w:top w:val="none" w:sz="0" w:space="0" w:color="auto"/>
        <w:left w:val="none" w:sz="0" w:space="0" w:color="auto"/>
        <w:bottom w:val="none" w:sz="0" w:space="0" w:color="auto"/>
        <w:right w:val="none" w:sz="0" w:space="0" w:color="auto"/>
      </w:divBdr>
    </w:div>
    <w:div w:id="2066487444">
      <w:bodyDiv w:val="1"/>
      <w:marLeft w:val="0"/>
      <w:marRight w:val="0"/>
      <w:marTop w:val="0"/>
      <w:marBottom w:val="0"/>
      <w:divBdr>
        <w:top w:val="none" w:sz="0" w:space="0" w:color="auto"/>
        <w:left w:val="none" w:sz="0" w:space="0" w:color="auto"/>
        <w:bottom w:val="none" w:sz="0" w:space="0" w:color="auto"/>
        <w:right w:val="none" w:sz="0" w:space="0" w:color="auto"/>
      </w:divBdr>
    </w:div>
    <w:div w:id="2133665446">
      <w:bodyDiv w:val="1"/>
      <w:marLeft w:val="0"/>
      <w:marRight w:val="0"/>
      <w:marTop w:val="0"/>
      <w:marBottom w:val="0"/>
      <w:divBdr>
        <w:top w:val="none" w:sz="0" w:space="0" w:color="auto"/>
        <w:left w:val="none" w:sz="0" w:space="0" w:color="auto"/>
        <w:bottom w:val="none" w:sz="0" w:space="0" w:color="auto"/>
        <w:right w:val="none" w:sz="0" w:space="0" w:color="auto"/>
      </w:divBdr>
    </w:div>
    <w:div w:id="214481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H.DON@State.MA.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hiamass.gov/assets/docs/r/pubs/2022/Relative-Price-Technical-Appendix-2020.pdf" TargetMode="External"/><Relationship Id="rId2" Type="http://schemas.openxmlformats.org/officeDocument/2006/relationships/hyperlink" Target="https://www.chiamass.gov/assets/docs/r/pubs/2022/Relative-Price-Databook-2020.xlsx" TargetMode="External"/><Relationship Id="rId1" Type="http://schemas.openxmlformats.org/officeDocument/2006/relationships/hyperlink" Target="https://www.chiamass.gov/assets/docs/r/pubs/2022/Relative-Price-Databook-2020.xlsx" TargetMode="External"/><Relationship Id="rId6" Type="http://schemas.openxmlformats.org/officeDocument/2006/relationships/hyperlink" Target="https://www.mass.gov/doc/2023-health-care-cost-trends-report-chartpack/download" TargetMode="External"/><Relationship Id="rId5" Type="http://schemas.openxmlformats.org/officeDocument/2006/relationships/hyperlink" Target="https://www.mass.gov/doc/2023-health-care-cost-trends-report-chartpack/download" TargetMode="External"/><Relationship Id="rId4" Type="http://schemas.openxmlformats.org/officeDocument/2006/relationships/hyperlink" Target="https://www.chiamass.gov/assets/docs/r/pubs/2022/Relative-Price-Technical-Appendix-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2421</Words>
  <Characters>13802</Characters>
  <Application>Microsoft Office Word</Application>
  <DocSecurity>0</DocSecurity>
  <Lines>115</Lines>
  <Paragraphs>32</Paragraphs>
  <ScaleCrop>false</ScaleCrop>
  <Company>Commonwealth of Massachusetts</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8</cp:revision>
  <dcterms:created xsi:type="dcterms:W3CDTF">1900-01-01T05:00:00Z</dcterms:created>
  <dcterms:modified xsi:type="dcterms:W3CDTF">2024-02-07T14:31:00Z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GMatter">
    <vt:lpwstr>SFCE-231-002</vt:lpwstr>
  </property>
</Properties>
</file>