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7B29" w14:textId="77777777" w:rsidR="003779B3" w:rsidRDefault="003779B3" w:rsidP="00D45CF3">
      <w:pPr>
        <w:jc w:val="center"/>
        <w:rPr>
          <w:rFonts w:ascii="Aptos" w:hAnsi="Aptos" w:cstheme="minorHAnsi"/>
          <w:b/>
          <w:bCs/>
        </w:rPr>
      </w:pPr>
    </w:p>
    <w:p w14:paraId="26D9C4F2" w14:textId="18FCE1C1" w:rsidR="00D45CF3" w:rsidRPr="00466128" w:rsidRDefault="001348C0" w:rsidP="00D45CF3">
      <w:pPr>
        <w:jc w:val="center"/>
        <w:rPr>
          <w:rFonts w:ascii="Aptos" w:hAnsi="Aptos" w:cstheme="minorHAnsi"/>
          <w:b/>
          <w:bCs/>
        </w:rPr>
      </w:pPr>
      <w:r w:rsidRPr="00466128">
        <w:rPr>
          <w:rFonts w:ascii="Aptos" w:hAnsi="Aptos" w:cstheme="minorHAnsi"/>
          <w:b/>
          <w:bCs/>
        </w:rPr>
        <w:t xml:space="preserve"> DoN </w:t>
      </w:r>
      <w:r w:rsidR="00DD080C" w:rsidRPr="00466128">
        <w:rPr>
          <w:rFonts w:ascii="Aptos" w:hAnsi="Aptos" w:cstheme="minorHAnsi"/>
          <w:b/>
          <w:bCs/>
        </w:rPr>
        <w:t>RESPONSES</w:t>
      </w:r>
      <w:r w:rsidR="00006750" w:rsidRPr="00466128">
        <w:rPr>
          <w:rFonts w:ascii="Aptos" w:hAnsi="Aptos" w:cstheme="minorHAnsi"/>
          <w:b/>
          <w:bCs/>
        </w:rPr>
        <w:t xml:space="preserve"> #</w:t>
      </w:r>
      <w:r w:rsidR="00B371F2" w:rsidRPr="00466128">
        <w:rPr>
          <w:rFonts w:ascii="Aptos" w:hAnsi="Aptos" w:cstheme="minorHAnsi"/>
          <w:b/>
          <w:bCs/>
        </w:rPr>
        <w:t>1</w:t>
      </w:r>
    </w:p>
    <w:p w14:paraId="0B653DC0" w14:textId="77777777" w:rsidR="00D45CF3" w:rsidRPr="00466128" w:rsidRDefault="00D45CF3" w:rsidP="00D45CF3">
      <w:pPr>
        <w:jc w:val="center"/>
        <w:rPr>
          <w:rFonts w:ascii="Aptos" w:hAnsi="Aptos" w:cstheme="minorHAnsi"/>
        </w:rPr>
      </w:pPr>
      <w:r w:rsidRPr="00466128">
        <w:rPr>
          <w:rFonts w:ascii="Aptos" w:hAnsi="Aptos" w:cstheme="minorHAnsi"/>
          <w:i/>
          <w:iCs/>
        </w:rPr>
        <w:t xml:space="preserve">Responses should be sent to DoN staff at </w:t>
      </w:r>
      <w:hyperlink r:id="rId7" w:history="1">
        <w:r w:rsidRPr="00466128">
          <w:rPr>
            <w:rStyle w:val="Hyperlink"/>
            <w:rFonts w:ascii="Aptos" w:hAnsi="Aptos" w:cstheme="minorHAnsi"/>
            <w:color w:val="auto"/>
          </w:rPr>
          <w:t>DPH.DON@State.MA.US</w:t>
        </w:r>
      </w:hyperlink>
    </w:p>
    <w:tbl>
      <w:tblPr>
        <w:tblStyle w:val="TableGrid"/>
        <w:tblW w:w="0" w:type="auto"/>
        <w:jc w:val="center"/>
        <w:tblLook w:val="04A0" w:firstRow="1" w:lastRow="0" w:firstColumn="1" w:lastColumn="0" w:noHBand="0" w:noVBand="1"/>
      </w:tblPr>
      <w:tblGrid>
        <w:gridCol w:w="9350"/>
      </w:tblGrid>
      <w:tr w:rsidR="00D45CF3" w:rsidRPr="00466128" w14:paraId="0DA3F6A5" w14:textId="77777777" w:rsidTr="005C13BE">
        <w:trPr>
          <w:jc w:val="center"/>
        </w:trPr>
        <w:tc>
          <w:tcPr>
            <w:tcW w:w="9350" w:type="dxa"/>
          </w:tcPr>
          <w:p w14:paraId="45FEAD51" w14:textId="77777777" w:rsidR="00D45CF3" w:rsidRPr="00466128" w:rsidRDefault="00D45CF3" w:rsidP="005C13BE">
            <w:pPr>
              <w:rPr>
                <w:rFonts w:ascii="Aptos" w:hAnsi="Aptos" w:cstheme="minorHAnsi"/>
                <w:bCs/>
              </w:rPr>
            </w:pPr>
            <w:r w:rsidRPr="00466128">
              <w:rPr>
                <w:rFonts w:ascii="Aptos" w:hAnsi="Aptos" w:cstheme="minorHAnsi"/>
                <w:bCs/>
              </w:rPr>
              <w:t xml:space="preserve">While you may submit each answer as available, please </w:t>
            </w:r>
          </w:p>
          <w:p w14:paraId="564BC99A" w14:textId="77777777" w:rsidR="00D45CF3" w:rsidRPr="00466128" w:rsidRDefault="00D45CF3" w:rsidP="00D45CF3">
            <w:pPr>
              <w:pStyle w:val="ListParagraph"/>
              <w:numPr>
                <w:ilvl w:val="0"/>
                <w:numId w:val="2"/>
              </w:numPr>
              <w:rPr>
                <w:rFonts w:ascii="Aptos" w:hAnsi="Aptos" w:cstheme="minorHAnsi"/>
                <w:bCs/>
              </w:rPr>
            </w:pPr>
            <w:r w:rsidRPr="00466128">
              <w:rPr>
                <w:rFonts w:ascii="Aptos" w:hAnsi="Aptos" w:cstheme="minorHAnsi"/>
                <w:bCs/>
              </w:rPr>
              <w:t xml:space="preserve">List question number and question for each answer you provide </w:t>
            </w:r>
          </w:p>
          <w:p w14:paraId="3481F63B" w14:textId="77777777" w:rsidR="00D45CF3" w:rsidRPr="00466128" w:rsidRDefault="00D45CF3" w:rsidP="00D45CF3">
            <w:pPr>
              <w:pStyle w:val="ListParagraph"/>
              <w:numPr>
                <w:ilvl w:val="0"/>
                <w:numId w:val="2"/>
              </w:numPr>
              <w:rPr>
                <w:rFonts w:ascii="Aptos" w:hAnsi="Aptos" w:cstheme="minorHAnsi"/>
                <w:bCs/>
              </w:rPr>
            </w:pPr>
            <w:r w:rsidRPr="00466128">
              <w:rPr>
                <w:rFonts w:ascii="Aptos" w:hAnsi="Aptos" w:cstheme="minorHAnsi"/>
                <w:bCs/>
              </w:rPr>
              <w:t xml:space="preserve">Submit responses as a separate word document, using the above application title and number as a running header and page numbers in the footer </w:t>
            </w:r>
          </w:p>
          <w:p w14:paraId="78D014BD" w14:textId="77777777" w:rsidR="00D45CF3" w:rsidRPr="00466128" w:rsidRDefault="00D45CF3" w:rsidP="00D45CF3">
            <w:pPr>
              <w:pStyle w:val="ListParagraph"/>
              <w:numPr>
                <w:ilvl w:val="0"/>
                <w:numId w:val="2"/>
              </w:numPr>
              <w:rPr>
                <w:rFonts w:ascii="Aptos" w:hAnsi="Aptos" w:cstheme="minorHAnsi"/>
                <w:bCs/>
              </w:rPr>
            </w:pPr>
            <w:r w:rsidRPr="00466128">
              <w:rPr>
                <w:rFonts w:ascii="Aptos" w:hAnsi="Aptos" w:cstheme="minorHAnsi"/>
                <w:bCs/>
              </w:rPr>
              <w:t xml:space="preserve">When providing the answer to the final question, submit all questions and answers in one final document </w:t>
            </w:r>
          </w:p>
          <w:p w14:paraId="61B898A9" w14:textId="77777777" w:rsidR="00D45CF3" w:rsidRPr="00466128" w:rsidRDefault="00D45CF3" w:rsidP="00D45CF3">
            <w:pPr>
              <w:pStyle w:val="ListParagraph"/>
              <w:numPr>
                <w:ilvl w:val="0"/>
                <w:numId w:val="2"/>
              </w:numPr>
              <w:rPr>
                <w:rFonts w:ascii="Aptos" w:hAnsi="Aptos" w:cstheme="minorHAnsi"/>
                <w:b/>
              </w:rPr>
            </w:pPr>
            <w:r w:rsidRPr="00466128">
              <w:rPr>
                <w:rFonts w:ascii="Aptos" w:hAnsi="Aptos" w:cstheme="minorHAnsi"/>
                <w:bCs/>
              </w:rPr>
              <w:t xml:space="preserve">Submit responses in WORD or EXCEL; only use PDF’s if </w:t>
            </w:r>
            <w:proofErr w:type="gramStart"/>
            <w:r w:rsidRPr="00466128">
              <w:rPr>
                <w:rFonts w:ascii="Aptos" w:hAnsi="Aptos" w:cstheme="minorHAnsi"/>
                <w:bCs/>
              </w:rPr>
              <w:t>absolutely necessary</w:t>
            </w:r>
            <w:proofErr w:type="gramEnd"/>
            <w:r w:rsidRPr="00466128">
              <w:rPr>
                <w:rFonts w:ascii="Aptos" w:hAnsi="Aptos" w:cstheme="minorHAnsi"/>
                <w:bCs/>
              </w:rPr>
              <w:t>. If “cutting and pasting” charts, provide them in a PDF so they can be clearly seen</w:t>
            </w:r>
          </w:p>
          <w:p w14:paraId="70F1F40B" w14:textId="77777777" w:rsidR="00D45CF3" w:rsidRPr="00466128" w:rsidRDefault="00D45CF3" w:rsidP="00D45CF3">
            <w:pPr>
              <w:pStyle w:val="ListParagraph"/>
              <w:numPr>
                <w:ilvl w:val="0"/>
                <w:numId w:val="2"/>
              </w:numPr>
              <w:rPr>
                <w:rFonts w:ascii="Aptos" w:hAnsi="Aptos" w:cstheme="minorHAnsi"/>
                <w:b/>
              </w:rPr>
            </w:pPr>
            <w:r w:rsidRPr="00466128">
              <w:rPr>
                <w:rFonts w:ascii="Aptos" w:hAnsi="Aptos" w:cstheme="minorHAnsi"/>
                <w:b/>
              </w:rPr>
              <w:t>Whenever possible, include a table with the response</w:t>
            </w:r>
          </w:p>
          <w:p w14:paraId="01C56AEF" w14:textId="30C3F16C" w:rsidR="001A32EA" w:rsidRPr="00466128" w:rsidRDefault="001A32EA" w:rsidP="00D45CF3">
            <w:pPr>
              <w:pStyle w:val="ListParagraph"/>
              <w:numPr>
                <w:ilvl w:val="0"/>
                <w:numId w:val="2"/>
              </w:numPr>
              <w:rPr>
                <w:rFonts w:ascii="Aptos" w:hAnsi="Aptos" w:cstheme="minorHAnsi"/>
                <w:b/>
              </w:rPr>
            </w:pPr>
            <w:r w:rsidRPr="00466128">
              <w:rPr>
                <w:rFonts w:ascii="Aptos" w:hAnsi="Aptos" w:cstheme="minorHAnsi"/>
                <w:b/>
              </w:rPr>
              <w:t>For HIPAA compliance Do not include numbers &lt;11.</w:t>
            </w:r>
          </w:p>
        </w:tc>
      </w:tr>
    </w:tbl>
    <w:p w14:paraId="0A81B0B9" w14:textId="2966E733" w:rsidR="0066604A" w:rsidRPr="00466128" w:rsidRDefault="0066604A">
      <w:pPr>
        <w:rPr>
          <w:rFonts w:ascii="Aptos" w:hAnsi="Aptos" w:cstheme="minorHAnsi"/>
        </w:rPr>
      </w:pPr>
    </w:p>
    <w:p w14:paraId="6E542D62" w14:textId="6685CFFC" w:rsidR="00332060" w:rsidRPr="009A3FFE" w:rsidRDefault="00332060">
      <w:pPr>
        <w:rPr>
          <w:rFonts w:ascii="Aptos" w:hAnsi="Aptos" w:cstheme="minorHAnsi"/>
          <w:u w:val="single"/>
        </w:rPr>
      </w:pPr>
      <w:r w:rsidRPr="009A3FFE">
        <w:rPr>
          <w:rFonts w:ascii="Aptos" w:hAnsi="Aptos" w:cstheme="minorHAnsi"/>
          <w:u w:val="single"/>
        </w:rPr>
        <w:t>Factor 1a: Patient Panel Need</w:t>
      </w:r>
    </w:p>
    <w:p w14:paraId="405CF44B" w14:textId="7D45729E" w:rsidR="007C7AEE" w:rsidRPr="00466128" w:rsidRDefault="007C7AEE" w:rsidP="007C7AEE">
      <w:pPr>
        <w:pStyle w:val="ListParagraph"/>
        <w:numPr>
          <w:ilvl w:val="0"/>
          <w:numId w:val="27"/>
        </w:numPr>
        <w:rPr>
          <w:rFonts w:ascii="Aptos" w:hAnsi="Aptos" w:cstheme="minorHAnsi"/>
        </w:rPr>
      </w:pPr>
      <w:r w:rsidRPr="00466128">
        <w:rPr>
          <w:rFonts w:ascii="Aptos" w:hAnsi="Aptos" w:cstheme="minorHAnsi"/>
        </w:rPr>
        <w:t xml:space="preserve">Footnote 1 states that the Applicant does not collect information related to patients’ race or ethnicity as part of its intake process. </w:t>
      </w:r>
    </w:p>
    <w:p w14:paraId="4DF8529E" w14:textId="7210FF9C" w:rsidR="007C7AEE" w:rsidRPr="00466128" w:rsidRDefault="00C01F2B" w:rsidP="007C7AEE">
      <w:pPr>
        <w:pStyle w:val="ListParagraph"/>
        <w:numPr>
          <w:ilvl w:val="1"/>
          <w:numId w:val="27"/>
        </w:numPr>
        <w:rPr>
          <w:rFonts w:ascii="Aptos" w:hAnsi="Aptos" w:cstheme="minorHAnsi"/>
        </w:rPr>
      </w:pPr>
      <w:r w:rsidRPr="00466128">
        <w:rPr>
          <w:rFonts w:ascii="Aptos" w:hAnsi="Aptos" w:cstheme="minorHAnsi"/>
        </w:rPr>
        <w:t>Responses to DoN Questions #1</w:t>
      </w:r>
      <w:r w:rsidR="00DD0E66" w:rsidRPr="00466128">
        <w:rPr>
          <w:rFonts w:ascii="Aptos" w:hAnsi="Aptos" w:cstheme="minorHAnsi"/>
        </w:rPr>
        <w:t xml:space="preserve"> (pg.1) </w:t>
      </w:r>
      <w:r w:rsidR="00792DFA" w:rsidRPr="00466128">
        <w:rPr>
          <w:rFonts w:ascii="Aptos" w:hAnsi="Aptos" w:cstheme="minorHAnsi"/>
        </w:rPr>
        <w:t xml:space="preserve">from the 2021 DoN approval </w:t>
      </w:r>
      <w:r w:rsidR="00DD0E66" w:rsidRPr="00466128">
        <w:rPr>
          <w:rFonts w:ascii="Aptos" w:hAnsi="Aptos" w:cstheme="minorHAnsi"/>
        </w:rPr>
        <w:t xml:space="preserve">states “The ASC will continue to collect race/ethnicity during patient </w:t>
      </w:r>
      <w:proofErr w:type="gramStart"/>
      <w:r w:rsidR="00DD0E66" w:rsidRPr="00466128">
        <w:rPr>
          <w:rFonts w:ascii="Aptos" w:hAnsi="Aptos" w:cstheme="minorHAnsi"/>
        </w:rPr>
        <w:t>registration..</w:t>
      </w:r>
      <w:proofErr w:type="gramEnd"/>
      <w:r w:rsidR="00DD0E66" w:rsidRPr="00466128">
        <w:rPr>
          <w:rFonts w:ascii="Aptos" w:hAnsi="Aptos" w:cstheme="minorHAnsi"/>
        </w:rPr>
        <w:t>”</w:t>
      </w:r>
      <w:r w:rsidR="00DD0E66" w:rsidRPr="00466128">
        <w:rPr>
          <w:rStyle w:val="FootnoteReference"/>
          <w:rFonts w:ascii="Aptos" w:hAnsi="Aptos" w:cstheme="minorHAnsi"/>
        </w:rPr>
        <w:footnoteReference w:id="2"/>
      </w:r>
    </w:p>
    <w:p w14:paraId="40B8E5BB" w14:textId="1A30F3B3" w:rsidR="001353D6" w:rsidRPr="00807358" w:rsidRDefault="00DD0E66" w:rsidP="00807358">
      <w:pPr>
        <w:pStyle w:val="ListParagraph"/>
        <w:numPr>
          <w:ilvl w:val="2"/>
          <w:numId w:val="27"/>
        </w:numPr>
        <w:spacing w:after="120"/>
        <w:ind w:left="2174" w:hanging="187"/>
        <w:contextualSpacing w:val="0"/>
        <w:rPr>
          <w:rFonts w:ascii="Aptos" w:hAnsi="Aptos" w:cstheme="minorHAnsi"/>
        </w:rPr>
      </w:pPr>
      <w:r w:rsidRPr="00466128">
        <w:rPr>
          <w:rFonts w:ascii="Aptos" w:hAnsi="Aptos" w:cstheme="minorHAnsi"/>
        </w:rPr>
        <w:t xml:space="preserve">Explain why the </w:t>
      </w:r>
      <w:r w:rsidR="00D02182" w:rsidRPr="00466128">
        <w:rPr>
          <w:rFonts w:ascii="Aptos" w:hAnsi="Aptos" w:cstheme="minorHAnsi"/>
        </w:rPr>
        <w:t>Center</w:t>
      </w:r>
      <w:r w:rsidRPr="00466128">
        <w:rPr>
          <w:rFonts w:ascii="Aptos" w:hAnsi="Aptos" w:cstheme="minorHAnsi"/>
        </w:rPr>
        <w:t xml:space="preserve"> does not collect race/ethnicity information. </w:t>
      </w:r>
    </w:p>
    <w:p w14:paraId="38D89C67" w14:textId="11E41FF7" w:rsidR="001353D6" w:rsidRPr="00466128" w:rsidRDefault="00E411A8" w:rsidP="001353D6">
      <w:pPr>
        <w:pStyle w:val="ListParagraph"/>
        <w:ind w:left="2160"/>
        <w:rPr>
          <w:rFonts w:ascii="Aptos" w:hAnsi="Aptos" w:cstheme="minorHAnsi"/>
          <w:b/>
          <w:bCs/>
        </w:rPr>
      </w:pPr>
      <w:r w:rsidRPr="00466128">
        <w:rPr>
          <w:rFonts w:ascii="Aptos" w:hAnsi="Aptos" w:cstheme="minorHAnsi"/>
          <w:b/>
          <w:bCs/>
        </w:rPr>
        <w:t xml:space="preserve">Historically, </w:t>
      </w:r>
      <w:r w:rsidR="007D001D" w:rsidRPr="00466128">
        <w:rPr>
          <w:rFonts w:ascii="Aptos" w:hAnsi="Aptos" w:cstheme="minorHAnsi"/>
          <w:b/>
          <w:bCs/>
        </w:rPr>
        <w:t xml:space="preserve">self-reporting </w:t>
      </w:r>
      <w:r w:rsidRPr="00466128">
        <w:rPr>
          <w:rFonts w:ascii="Aptos" w:hAnsi="Aptos" w:cstheme="minorHAnsi"/>
          <w:b/>
          <w:bCs/>
        </w:rPr>
        <w:t>race and ethnicity</w:t>
      </w:r>
      <w:r w:rsidR="007D001D" w:rsidRPr="00466128">
        <w:rPr>
          <w:rFonts w:ascii="Aptos" w:hAnsi="Aptos" w:cstheme="minorHAnsi"/>
          <w:b/>
          <w:bCs/>
        </w:rPr>
        <w:t xml:space="preserve"> </w:t>
      </w:r>
      <w:proofErr w:type="gramStart"/>
      <w:r w:rsidR="007D001D" w:rsidRPr="00466128">
        <w:rPr>
          <w:rFonts w:ascii="Aptos" w:hAnsi="Aptos" w:cstheme="minorHAnsi"/>
          <w:b/>
          <w:bCs/>
        </w:rPr>
        <w:t>was</w:t>
      </w:r>
      <w:proofErr w:type="gramEnd"/>
      <w:r w:rsidR="007D001D" w:rsidRPr="00466128">
        <w:rPr>
          <w:rFonts w:ascii="Aptos" w:hAnsi="Aptos" w:cstheme="minorHAnsi"/>
          <w:b/>
          <w:bCs/>
        </w:rPr>
        <w:t xml:space="preserve"> </w:t>
      </w:r>
      <w:proofErr w:type="gramStart"/>
      <w:r w:rsidR="007D001D" w:rsidRPr="00466128">
        <w:rPr>
          <w:rFonts w:ascii="Aptos" w:hAnsi="Aptos" w:cstheme="minorHAnsi"/>
          <w:b/>
          <w:bCs/>
        </w:rPr>
        <w:t>optional</w:t>
      </w:r>
      <w:proofErr w:type="gramEnd"/>
      <w:r w:rsidR="007D001D" w:rsidRPr="00466128">
        <w:rPr>
          <w:rFonts w:ascii="Aptos" w:hAnsi="Aptos" w:cstheme="minorHAnsi"/>
          <w:b/>
          <w:bCs/>
        </w:rPr>
        <w:t xml:space="preserve"> and most patients chose not to self-report.</w:t>
      </w:r>
      <w:r w:rsidRPr="00466128">
        <w:rPr>
          <w:rFonts w:ascii="Aptos" w:hAnsi="Aptos" w:cstheme="minorHAnsi"/>
          <w:b/>
          <w:bCs/>
        </w:rPr>
        <w:t xml:space="preserve"> </w:t>
      </w:r>
      <w:r w:rsidR="007D001D" w:rsidRPr="00466128">
        <w:rPr>
          <w:rFonts w:ascii="Aptos" w:hAnsi="Aptos" w:cstheme="minorHAnsi"/>
          <w:b/>
          <w:bCs/>
        </w:rPr>
        <w:t xml:space="preserve"> </w:t>
      </w:r>
      <w:r w:rsidR="001353D6" w:rsidRPr="00466128">
        <w:rPr>
          <w:rFonts w:ascii="Aptos" w:hAnsi="Aptos" w:cstheme="minorHAnsi"/>
          <w:b/>
          <w:bCs/>
        </w:rPr>
        <w:t xml:space="preserve">Effective April 29, 2025, the Center collects race and ethnicity data during check-in. </w:t>
      </w:r>
    </w:p>
    <w:p w14:paraId="653D0330" w14:textId="77777777" w:rsidR="002D7BFC" w:rsidRPr="00466128" w:rsidRDefault="002D7BFC" w:rsidP="002D7BFC">
      <w:pPr>
        <w:pStyle w:val="ListParagraph"/>
        <w:rPr>
          <w:rFonts w:ascii="Aptos" w:hAnsi="Aptos" w:cstheme="minorHAnsi"/>
        </w:rPr>
      </w:pPr>
    </w:p>
    <w:p w14:paraId="5A8A36DD" w14:textId="04BAF064" w:rsidR="0055317A" w:rsidRPr="00466128" w:rsidRDefault="00C66024" w:rsidP="0055317A">
      <w:pPr>
        <w:pStyle w:val="ListParagraph"/>
        <w:numPr>
          <w:ilvl w:val="0"/>
          <w:numId w:val="27"/>
        </w:numPr>
        <w:rPr>
          <w:rFonts w:ascii="Aptos" w:hAnsi="Aptos" w:cstheme="minorHAnsi"/>
        </w:rPr>
      </w:pPr>
      <w:r w:rsidRPr="00466128">
        <w:rPr>
          <w:rFonts w:ascii="Aptos" w:hAnsi="Aptos" w:cstheme="minorHAnsi"/>
        </w:rPr>
        <w:t>Do</w:t>
      </w:r>
      <w:r w:rsidR="008C6549" w:rsidRPr="00466128">
        <w:rPr>
          <w:rFonts w:ascii="Aptos" w:hAnsi="Aptos" w:cstheme="minorHAnsi"/>
        </w:rPr>
        <w:t>es</w:t>
      </w:r>
      <w:r w:rsidRPr="00466128">
        <w:rPr>
          <w:rFonts w:ascii="Aptos" w:hAnsi="Aptos" w:cstheme="minorHAnsi"/>
        </w:rPr>
        <w:t xml:space="preserve"> </w:t>
      </w:r>
      <w:r w:rsidR="0055317A" w:rsidRPr="00466128">
        <w:rPr>
          <w:rFonts w:ascii="Aptos" w:hAnsi="Aptos" w:cstheme="minorHAnsi"/>
        </w:rPr>
        <w:t>Patient Panel data</w:t>
      </w:r>
      <w:r w:rsidR="0073766B" w:rsidRPr="00466128">
        <w:rPr>
          <w:rFonts w:ascii="Aptos" w:hAnsi="Aptos" w:cstheme="minorHAnsi"/>
        </w:rPr>
        <w:t xml:space="preserve"> (dem</w:t>
      </w:r>
      <w:r w:rsidR="00E67788" w:rsidRPr="00466128">
        <w:rPr>
          <w:rFonts w:ascii="Aptos" w:hAnsi="Aptos" w:cstheme="minorHAnsi"/>
        </w:rPr>
        <w:t>ographics, geographic origin, payer mix)</w:t>
      </w:r>
      <w:r w:rsidR="0055317A" w:rsidRPr="00466128">
        <w:rPr>
          <w:rFonts w:ascii="Aptos" w:hAnsi="Aptos" w:cstheme="minorHAnsi"/>
        </w:rPr>
        <w:t xml:space="preserve"> </w:t>
      </w:r>
      <w:r w:rsidRPr="00466128">
        <w:rPr>
          <w:rFonts w:ascii="Aptos" w:hAnsi="Aptos" w:cstheme="minorHAnsi"/>
        </w:rPr>
        <w:t xml:space="preserve">represent </w:t>
      </w:r>
      <w:r w:rsidR="0055317A" w:rsidRPr="00466128">
        <w:rPr>
          <w:rFonts w:ascii="Aptos" w:hAnsi="Aptos" w:cstheme="minorHAnsi"/>
        </w:rPr>
        <w:t>calendar year or fiscal year</w:t>
      </w:r>
      <w:r w:rsidRPr="00466128">
        <w:rPr>
          <w:rFonts w:ascii="Aptos" w:hAnsi="Aptos" w:cstheme="minorHAnsi"/>
        </w:rPr>
        <w:t>?</w:t>
      </w:r>
    </w:p>
    <w:p w14:paraId="766EC814" w14:textId="09BC6BD5" w:rsidR="00EC7E97" w:rsidRPr="00807358" w:rsidRDefault="00E67788"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 xml:space="preserve">Please provide the dates of </w:t>
      </w:r>
      <w:r w:rsidR="001348C0" w:rsidRPr="00466128">
        <w:rPr>
          <w:rFonts w:ascii="Aptos" w:hAnsi="Aptos" w:cstheme="minorHAnsi"/>
        </w:rPr>
        <w:t>the Center’s</w:t>
      </w:r>
      <w:r w:rsidRPr="00466128">
        <w:rPr>
          <w:rFonts w:ascii="Aptos" w:hAnsi="Aptos" w:cstheme="minorHAnsi"/>
        </w:rPr>
        <w:t xml:space="preserve"> fiscal year. </w:t>
      </w:r>
    </w:p>
    <w:p w14:paraId="23F61F90" w14:textId="0BCDEFA2" w:rsidR="001353D6" w:rsidRPr="00466128" w:rsidRDefault="001353D6" w:rsidP="001353D6">
      <w:pPr>
        <w:pStyle w:val="ListParagraph"/>
        <w:ind w:left="1440"/>
        <w:rPr>
          <w:rFonts w:ascii="Aptos" w:hAnsi="Aptos" w:cstheme="minorHAnsi"/>
          <w:b/>
          <w:bCs/>
        </w:rPr>
      </w:pPr>
      <w:r w:rsidRPr="00466128">
        <w:rPr>
          <w:rFonts w:ascii="Aptos" w:hAnsi="Aptos" w:cstheme="minorHAnsi"/>
          <w:b/>
          <w:bCs/>
        </w:rPr>
        <w:t xml:space="preserve">The Center’s fiscal year is the calendar year. </w:t>
      </w:r>
    </w:p>
    <w:p w14:paraId="3F5B8F7D" w14:textId="77777777" w:rsidR="001353D6" w:rsidRPr="00466128" w:rsidRDefault="001353D6" w:rsidP="001353D6">
      <w:pPr>
        <w:pStyle w:val="ListParagraph"/>
        <w:ind w:left="1440"/>
        <w:rPr>
          <w:rFonts w:ascii="Aptos" w:hAnsi="Aptos" w:cstheme="minorHAnsi"/>
          <w:b/>
          <w:bCs/>
        </w:rPr>
      </w:pPr>
    </w:p>
    <w:p w14:paraId="5EE1E401" w14:textId="63E66669" w:rsidR="00D12E94" w:rsidRPr="00466128" w:rsidRDefault="00D12E94" w:rsidP="00E67788">
      <w:pPr>
        <w:pStyle w:val="ListParagraph"/>
        <w:numPr>
          <w:ilvl w:val="1"/>
          <w:numId w:val="27"/>
        </w:numPr>
        <w:rPr>
          <w:rFonts w:ascii="Aptos" w:hAnsi="Aptos" w:cstheme="minorHAnsi"/>
        </w:rPr>
      </w:pPr>
      <w:r w:rsidRPr="00466128">
        <w:rPr>
          <w:rFonts w:ascii="Aptos" w:hAnsi="Aptos" w:cstheme="minorHAnsi"/>
        </w:rPr>
        <w:t>Why doesn’t the Applicant’s 2022 payer mix</w:t>
      </w:r>
      <w:r w:rsidR="005C2AE2" w:rsidRPr="00466128">
        <w:rPr>
          <w:rFonts w:ascii="Aptos" w:hAnsi="Aptos" w:cstheme="minorHAnsi"/>
        </w:rPr>
        <w:t xml:space="preserve"> (96%) not</w:t>
      </w:r>
      <w:r w:rsidRPr="00466128">
        <w:rPr>
          <w:rFonts w:ascii="Aptos" w:hAnsi="Aptos" w:cstheme="minorHAnsi"/>
        </w:rPr>
        <w:t xml:space="preserve"> total 100%?</w:t>
      </w:r>
    </w:p>
    <w:p w14:paraId="7C593D44" w14:textId="434DF460" w:rsidR="003C34BC" w:rsidRPr="00466128" w:rsidRDefault="003C34BC" w:rsidP="003779B3">
      <w:pPr>
        <w:rPr>
          <w:rFonts w:ascii="Aptos" w:hAnsi="Aptos" w:cstheme="minorHAnsi"/>
          <w:b/>
          <w:bCs/>
        </w:rPr>
      </w:pPr>
      <w:r w:rsidRPr="00466128">
        <w:rPr>
          <w:rFonts w:ascii="Aptos" w:hAnsi="Aptos" w:cstheme="minorHAnsi"/>
          <w:b/>
          <w:bCs/>
        </w:rPr>
        <w:t>Please see corrections to the payer mix table below</w:t>
      </w:r>
      <w:r w:rsidR="00CA0107" w:rsidRPr="00466128">
        <w:rPr>
          <w:rFonts w:ascii="Aptos" w:hAnsi="Aptos" w:cstheme="minorHAnsi"/>
          <w:b/>
          <w:bCs/>
        </w:rPr>
        <w:t xml:space="preserve"> in red</w:t>
      </w:r>
      <w:r w:rsidR="00435BD1">
        <w:rPr>
          <w:rFonts w:ascii="Aptos" w:hAnsi="Aptos" w:cstheme="minorHAnsi"/>
          <w:b/>
          <w:bCs/>
        </w:rPr>
        <w:t xml:space="preserve"> [and </w:t>
      </w:r>
      <w:r w:rsidR="00435BD1" w:rsidRPr="00C6622C">
        <w:rPr>
          <w:rFonts w:ascii="Aptos" w:hAnsi="Aptos" w:cstheme="minorHAnsi"/>
          <w:b/>
          <w:bCs/>
          <w:u w:val="single"/>
        </w:rPr>
        <w:t>underlined</w:t>
      </w:r>
      <w:r w:rsidR="00435BD1">
        <w:rPr>
          <w:rFonts w:ascii="Aptos" w:hAnsi="Aptos" w:cstheme="minorHAnsi"/>
          <w:b/>
          <w:bCs/>
        </w:rPr>
        <w:t>]</w:t>
      </w:r>
      <w:r w:rsidR="00CA0107" w:rsidRPr="00466128">
        <w:rPr>
          <w:rFonts w:ascii="Aptos" w:hAnsi="Aptos" w:cstheme="minorHAnsi"/>
          <w:b/>
          <w:bCs/>
        </w:rPr>
        <w:t xml:space="preserve">. MassHealth Primary was inadvertently missed from the Medicaid category in 2022, 2023, and 2024. </w:t>
      </w:r>
    </w:p>
    <w:tbl>
      <w:tblPr>
        <w:tblStyle w:val="GridTable4-Accent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020"/>
        <w:gridCol w:w="1020"/>
        <w:gridCol w:w="1020"/>
      </w:tblGrid>
      <w:tr w:rsidR="00466128" w:rsidRPr="00466128" w14:paraId="70E78875" w14:textId="77777777" w:rsidTr="00B970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295" w:type="dxa"/>
            <w:tcBorders>
              <w:top w:val="none" w:sz="0" w:space="0" w:color="auto"/>
              <w:left w:val="none" w:sz="0" w:space="0" w:color="auto"/>
              <w:bottom w:val="none" w:sz="0" w:space="0" w:color="auto"/>
              <w:right w:val="none" w:sz="0" w:space="0" w:color="auto"/>
            </w:tcBorders>
            <w:shd w:val="clear" w:color="auto" w:fill="FFFFFF" w:themeFill="background1"/>
          </w:tcPr>
          <w:p w14:paraId="68A5C186" w14:textId="77777777" w:rsidR="00406E19" w:rsidRPr="00406E19" w:rsidRDefault="00406E19" w:rsidP="00F3335B">
            <w:pPr>
              <w:rPr>
                <w:rFonts w:ascii="Aptos" w:hAnsi="Aptos" w:cs="Arial"/>
                <w:b w:val="0"/>
                <w:bCs w:val="0"/>
                <w:kern w:val="2"/>
                <w:sz w:val="20"/>
                <w:szCs w:val="20"/>
              </w:rPr>
            </w:pPr>
            <w:r w:rsidRPr="00406E19">
              <w:rPr>
                <w:rFonts w:ascii="Aptos" w:hAnsi="Aptos" w:cs="Arial"/>
                <w:color w:val="auto"/>
                <w:kern w:val="2"/>
                <w:sz w:val="20"/>
                <w:szCs w:val="20"/>
              </w:rPr>
              <w:t>Narrative Table 3</w:t>
            </w:r>
            <w:r w:rsidR="001353D6" w:rsidRPr="00406E19">
              <w:rPr>
                <w:rFonts w:ascii="Aptos" w:hAnsi="Aptos" w:cs="Arial"/>
                <w:color w:val="auto"/>
                <w:kern w:val="2"/>
                <w:sz w:val="20"/>
                <w:szCs w:val="20"/>
              </w:rPr>
              <w:t xml:space="preserve">: </w:t>
            </w:r>
          </w:p>
          <w:p w14:paraId="3C4C716C" w14:textId="3A479ED9" w:rsidR="001353D6" w:rsidRPr="00406E19" w:rsidRDefault="001353D6" w:rsidP="00F3335B">
            <w:pPr>
              <w:rPr>
                <w:rFonts w:ascii="Aptos" w:hAnsi="Aptos" w:cs="Arial"/>
                <w:b w:val="0"/>
                <w:bCs w:val="0"/>
                <w:color w:val="auto"/>
                <w:kern w:val="2"/>
                <w:sz w:val="20"/>
                <w:szCs w:val="20"/>
              </w:rPr>
            </w:pPr>
            <w:r w:rsidRPr="00406E19">
              <w:rPr>
                <w:rFonts w:ascii="Aptos" w:hAnsi="Aptos" w:cs="Arial"/>
                <w:color w:val="auto"/>
                <w:kern w:val="2"/>
                <w:sz w:val="20"/>
                <w:szCs w:val="20"/>
              </w:rPr>
              <w:t>Patient Panel Payer Mix</w:t>
            </w:r>
          </w:p>
        </w:tc>
        <w:tc>
          <w:tcPr>
            <w:tcW w:w="1020" w:type="dxa"/>
            <w:tcBorders>
              <w:top w:val="none" w:sz="0" w:space="0" w:color="auto"/>
              <w:left w:val="none" w:sz="0" w:space="0" w:color="auto"/>
              <w:bottom w:val="none" w:sz="0" w:space="0" w:color="auto"/>
              <w:right w:val="none" w:sz="0" w:space="0" w:color="auto"/>
            </w:tcBorders>
            <w:shd w:val="clear" w:color="auto" w:fill="FFFFFF" w:themeFill="background1"/>
          </w:tcPr>
          <w:p w14:paraId="5BA81878" w14:textId="77777777" w:rsidR="001353D6" w:rsidRPr="00406E19" w:rsidRDefault="001353D6" w:rsidP="00F3335B">
            <w:pPr>
              <w:jc w:val="center"/>
              <w:cnfStyle w:val="100000000000" w:firstRow="1" w:lastRow="0" w:firstColumn="0" w:lastColumn="0" w:oddVBand="0" w:evenVBand="0" w:oddHBand="0" w:evenHBand="0" w:firstRowFirstColumn="0" w:firstRowLastColumn="0" w:lastRowFirstColumn="0" w:lastRowLastColumn="0"/>
              <w:rPr>
                <w:rFonts w:ascii="Aptos" w:hAnsi="Aptos" w:cs="Arial"/>
                <w:color w:val="auto"/>
                <w:kern w:val="2"/>
                <w:sz w:val="20"/>
                <w:szCs w:val="20"/>
              </w:rPr>
            </w:pPr>
            <w:r w:rsidRPr="00406E19">
              <w:rPr>
                <w:rFonts w:ascii="Aptos" w:hAnsi="Aptos" w:cs="Arial"/>
                <w:color w:val="auto"/>
                <w:kern w:val="2"/>
                <w:sz w:val="20"/>
                <w:szCs w:val="20"/>
              </w:rPr>
              <w:t>2022</w:t>
            </w:r>
          </w:p>
        </w:tc>
        <w:tc>
          <w:tcPr>
            <w:tcW w:w="1020" w:type="dxa"/>
            <w:tcBorders>
              <w:top w:val="none" w:sz="0" w:space="0" w:color="auto"/>
              <w:left w:val="none" w:sz="0" w:space="0" w:color="auto"/>
              <w:bottom w:val="none" w:sz="0" w:space="0" w:color="auto"/>
              <w:right w:val="none" w:sz="0" w:space="0" w:color="auto"/>
            </w:tcBorders>
            <w:shd w:val="clear" w:color="auto" w:fill="FFFFFF" w:themeFill="background1"/>
          </w:tcPr>
          <w:p w14:paraId="5ABFA46F" w14:textId="77777777" w:rsidR="001353D6" w:rsidRPr="00406E19" w:rsidRDefault="001353D6" w:rsidP="00F3335B">
            <w:pPr>
              <w:jc w:val="center"/>
              <w:cnfStyle w:val="100000000000" w:firstRow="1" w:lastRow="0" w:firstColumn="0" w:lastColumn="0" w:oddVBand="0" w:evenVBand="0" w:oddHBand="0" w:evenHBand="0" w:firstRowFirstColumn="0" w:firstRowLastColumn="0" w:lastRowFirstColumn="0" w:lastRowLastColumn="0"/>
              <w:rPr>
                <w:rFonts w:ascii="Aptos" w:hAnsi="Aptos" w:cs="Arial"/>
                <w:color w:val="auto"/>
                <w:kern w:val="2"/>
                <w:sz w:val="20"/>
                <w:szCs w:val="20"/>
              </w:rPr>
            </w:pPr>
            <w:r w:rsidRPr="00406E19">
              <w:rPr>
                <w:rFonts w:ascii="Aptos" w:hAnsi="Aptos" w:cs="Arial"/>
                <w:color w:val="auto"/>
                <w:kern w:val="2"/>
                <w:sz w:val="20"/>
                <w:szCs w:val="20"/>
              </w:rPr>
              <w:t>2023</w:t>
            </w:r>
          </w:p>
        </w:tc>
        <w:tc>
          <w:tcPr>
            <w:tcW w:w="1020" w:type="dxa"/>
            <w:tcBorders>
              <w:top w:val="none" w:sz="0" w:space="0" w:color="auto"/>
              <w:left w:val="none" w:sz="0" w:space="0" w:color="auto"/>
              <w:bottom w:val="none" w:sz="0" w:space="0" w:color="auto"/>
              <w:right w:val="none" w:sz="0" w:space="0" w:color="auto"/>
            </w:tcBorders>
            <w:shd w:val="clear" w:color="auto" w:fill="FFFFFF" w:themeFill="background1"/>
          </w:tcPr>
          <w:p w14:paraId="0514254C" w14:textId="77777777" w:rsidR="001353D6" w:rsidRPr="00406E19" w:rsidRDefault="001353D6" w:rsidP="00F3335B">
            <w:pPr>
              <w:jc w:val="center"/>
              <w:cnfStyle w:val="100000000000" w:firstRow="1" w:lastRow="0" w:firstColumn="0" w:lastColumn="0" w:oddVBand="0" w:evenVBand="0" w:oddHBand="0" w:evenHBand="0" w:firstRowFirstColumn="0" w:firstRowLastColumn="0" w:lastRowFirstColumn="0" w:lastRowLastColumn="0"/>
              <w:rPr>
                <w:rFonts w:ascii="Aptos" w:hAnsi="Aptos" w:cs="Arial"/>
                <w:color w:val="auto"/>
                <w:kern w:val="2"/>
                <w:sz w:val="20"/>
                <w:szCs w:val="20"/>
              </w:rPr>
            </w:pPr>
            <w:r w:rsidRPr="00406E19">
              <w:rPr>
                <w:rFonts w:ascii="Aptos" w:hAnsi="Aptos" w:cs="Arial"/>
                <w:color w:val="auto"/>
                <w:kern w:val="2"/>
                <w:sz w:val="20"/>
                <w:szCs w:val="20"/>
              </w:rPr>
              <w:t>2024</w:t>
            </w:r>
          </w:p>
        </w:tc>
      </w:tr>
      <w:tr w:rsidR="00466128" w:rsidRPr="00466128" w14:paraId="5C2B21FF" w14:textId="77777777" w:rsidTr="00B97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7D6AE504" w14:textId="77777777" w:rsidR="001353D6" w:rsidRPr="00406E19" w:rsidRDefault="001353D6" w:rsidP="00F3335B">
            <w:pPr>
              <w:rPr>
                <w:rFonts w:ascii="Aptos" w:hAnsi="Aptos" w:cs="Arial"/>
                <w:kern w:val="2"/>
                <w:sz w:val="20"/>
                <w:szCs w:val="20"/>
              </w:rPr>
            </w:pPr>
            <w:r w:rsidRPr="00406E19">
              <w:rPr>
                <w:rFonts w:ascii="Aptos" w:hAnsi="Aptos" w:cs="Arial"/>
                <w:kern w:val="2"/>
                <w:sz w:val="20"/>
                <w:szCs w:val="20"/>
              </w:rPr>
              <w:t>Commercial (PPO/Indemnity and HMO/POS)</w:t>
            </w:r>
          </w:p>
        </w:tc>
        <w:tc>
          <w:tcPr>
            <w:tcW w:w="1020" w:type="dxa"/>
            <w:shd w:val="clear" w:color="auto" w:fill="FFFFFF" w:themeFill="background1"/>
          </w:tcPr>
          <w:p w14:paraId="08E0B5AE"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60%</w:t>
            </w:r>
          </w:p>
        </w:tc>
        <w:tc>
          <w:tcPr>
            <w:tcW w:w="1020" w:type="dxa"/>
            <w:shd w:val="clear" w:color="auto" w:fill="FFFFFF" w:themeFill="background1"/>
          </w:tcPr>
          <w:p w14:paraId="2FA684FE"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72.6%</w:t>
            </w:r>
          </w:p>
        </w:tc>
        <w:tc>
          <w:tcPr>
            <w:tcW w:w="1020" w:type="dxa"/>
            <w:shd w:val="clear" w:color="auto" w:fill="FFFFFF" w:themeFill="background1"/>
          </w:tcPr>
          <w:p w14:paraId="2248C144" w14:textId="5C896085" w:rsidR="001353D6" w:rsidRPr="00C6622C" w:rsidRDefault="003C34BC"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u w:val="single"/>
              </w:rPr>
            </w:pPr>
            <w:r w:rsidRPr="00C6622C">
              <w:rPr>
                <w:rFonts w:ascii="Aptos" w:hAnsi="Aptos" w:cs="Arial"/>
                <w:color w:val="FF0000"/>
                <w:kern w:val="2"/>
                <w:sz w:val="20"/>
                <w:szCs w:val="20"/>
                <w:u w:val="single"/>
              </w:rPr>
              <w:t>80.7</w:t>
            </w:r>
            <w:r w:rsidR="001353D6" w:rsidRPr="00C6622C">
              <w:rPr>
                <w:rFonts w:ascii="Aptos" w:hAnsi="Aptos" w:cs="Arial"/>
                <w:color w:val="FF0000"/>
                <w:kern w:val="2"/>
                <w:sz w:val="20"/>
                <w:szCs w:val="20"/>
                <w:u w:val="single"/>
              </w:rPr>
              <w:t>%</w:t>
            </w:r>
          </w:p>
        </w:tc>
      </w:tr>
      <w:tr w:rsidR="00466128" w:rsidRPr="00466128" w14:paraId="0E8AB782" w14:textId="77777777" w:rsidTr="00B97089">
        <w:trPr>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7DC41ABC" w14:textId="77777777" w:rsidR="001353D6" w:rsidRPr="00406E19" w:rsidRDefault="001353D6" w:rsidP="00F3335B">
            <w:pPr>
              <w:rPr>
                <w:rFonts w:ascii="Aptos" w:hAnsi="Aptos" w:cs="Arial"/>
                <w:kern w:val="2"/>
                <w:sz w:val="20"/>
                <w:szCs w:val="20"/>
              </w:rPr>
            </w:pPr>
            <w:r w:rsidRPr="00406E19">
              <w:rPr>
                <w:rFonts w:ascii="Aptos" w:hAnsi="Aptos" w:cs="Arial"/>
                <w:kern w:val="2"/>
                <w:sz w:val="20"/>
                <w:szCs w:val="20"/>
              </w:rPr>
              <w:t>Medicare</w:t>
            </w:r>
          </w:p>
        </w:tc>
        <w:tc>
          <w:tcPr>
            <w:tcW w:w="1020" w:type="dxa"/>
            <w:shd w:val="clear" w:color="auto" w:fill="FFFFFF" w:themeFill="background1"/>
          </w:tcPr>
          <w:p w14:paraId="67429C19" w14:textId="77777777" w:rsidR="001353D6" w:rsidRPr="00406E19" w:rsidRDefault="001353D6" w:rsidP="00F3335B">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20%</w:t>
            </w:r>
          </w:p>
        </w:tc>
        <w:tc>
          <w:tcPr>
            <w:tcW w:w="1020" w:type="dxa"/>
            <w:shd w:val="clear" w:color="auto" w:fill="FFFFFF" w:themeFill="background1"/>
          </w:tcPr>
          <w:p w14:paraId="016B6A64" w14:textId="77777777" w:rsidR="001353D6" w:rsidRPr="00406E19" w:rsidRDefault="001353D6" w:rsidP="00F3335B">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15%</w:t>
            </w:r>
          </w:p>
        </w:tc>
        <w:tc>
          <w:tcPr>
            <w:tcW w:w="1020" w:type="dxa"/>
            <w:shd w:val="clear" w:color="auto" w:fill="FFFFFF" w:themeFill="background1"/>
          </w:tcPr>
          <w:p w14:paraId="10DD22BF" w14:textId="77777777" w:rsidR="001353D6" w:rsidRPr="00406E19" w:rsidRDefault="001353D6" w:rsidP="00F3335B">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12.3%</w:t>
            </w:r>
          </w:p>
        </w:tc>
      </w:tr>
      <w:tr w:rsidR="00466128" w:rsidRPr="00466128" w14:paraId="0D7A284C" w14:textId="77777777" w:rsidTr="00B97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7AAEA517" w14:textId="77777777" w:rsidR="001353D6" w:rsidRPr="00406E19" w:rsidRDefault="001353D6" w:rsidP="00F3335B">
            <w:pPr>
              <w:rPr>
                <w:rFonts w:ascii="Aptos" w:hAnsi="Aptos" w:cs="Arial"/>
                <w:kern w:val="2"/>
                <w:sz w:val="20"/>
                <w:szCs w:val="20"/>
              </w:rPr>
            </w:pPr>
            <w:r w:rsidRPr="00406E19">
              <w:rPr>
                <w:rFonts w:ascii="Aptos" w:hAnsi="Aptos" w:cs="Arial"/>
                <w:kern w:val="2"/>
                <w:sz w:val="20"/>
                <w:szCs w:val="20"/>
              </w:rPr>
              <w:t>Commercial Medicare (Private Medicare/ Medicare Advantage)</w:t>
            </w:r>
          </w:p>
        </w:tc>
        <w:tc>
          <w:tcPr>
            <w:tcW w:w="1020" w:type="dxa"/>
            <w:shd w:val="clear" w:color="auto" w:fill="FFFFFF" w:themeFill="background1"/>
          </w:tcPr>
          <w:p w14:paraId="19006805"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11%</w:t>
            </w:r>
          </w:p>
        </w:tc>
        <w:tc>
          <w:tcPr>
            <w:tcW w:w="1020" w:type="dxa"/>
            <w:shd w:val="clear" w:color="auto" w:fill="FFFFFF" w:themeFill="background1"/>
          </w:tcPr>
          <w:p w14:paraId="3FA33F0A"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11%</w:t>
            </w:r>
          </w:p>
        </w:tc>
        <w:tc>
          <w:tcPr>
            <w:tcW w:w="1020" w:type="dxa"/>
            <w:shd w:val="clear" w:color="auto" w:fill="FFFFFF" w:themeFill="background1"/>
          </w:tcPr>
          <w:p w14:paraId="74B63773"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4.8%</w:t>
            </w:r>
          </w:p>
        </w:tc>
      </w:tr>
      <w:tr w:rsidR="00466128" w:rsidRPr="00466128" w14:paraId="49D0CD15" w14:textId="77777777" w:rsidTr="00B97089">
        <w:trPr>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2268A648" w14:textId="77777777" w:rsidR="001353D6" w:rsidRPr="00406E19" w:rsidRDefault="001353D6" w:rsidP="00F3335B">
            <w:pPr>
              <w:rPr>
                <w:rFonts w:ascii="Aptos" w:hAnsi="Aptos" w:cs="Arial"/>
                <w:kern w:val="2"/>
                <w:sz w:val="20"/>
                <w:szCs w:val="20"/>
              </w:rPr>
            </w:pPr>
            <w:r w:rsidRPr="00406E19">
              <w:rPr>
                <w:rFonts w:ascii="Aptos" w:hAnsi="Aptos" w:cs="Arial"/>
                <w:kern w:val="2"/>
                <w:sz w:val="20"/>
                <w:szCs w:val="20"/>
              </w:rPr>
              <w:t>Medicaid</w:t>
            </w:r>
          </w:p>
        </w:tc>
        <w:tc>
          <w:tcPr>
            <w:tcW w:w="1020" w:type="dxa"/>
            <w:shd w:val="clear" w:color="auto" w:fill="FFFFFF" w:themeFill="background1"/>
          </w:tcPr>
          <w:p w14:paraId="23BFD440" w14:textId="340F557B" w:rsidR="001353D6" w:rsidRPr="00C6622C" w:rsidRDefault="003C34BC" w:rsidP="00F3335B">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0"/>
                <w:szCs w:val="20"/>
                <w:u w:val="single"/>
              </w:rPr>
            </w:pPr>
            <w:r w:rsidRPr="00C6622C">
              <w:rPr>
                <w:rFonts w:ascii="Aptos" w:hAnsi="Aptos" w:cs="Arial"/>
                <w:color w:val="FF0000"/>
                <w:kern w:val="2"/>
                <w:sz w:val="20"/>
                <w:szCs w:val="20"/>
                <w:u w:val="single"/>
              </w:rPr>
              <w:t>8</w:t>
            </w:r>
            <w:r w:rsidR="001353D6" w:rsidRPr="00C6622C">
              <w:rPr>
                <w:rFonts w:ascii="Aptos" w:hAnsi="Aptos" w:cs="Arial"/>
                <w:color w:val="FF0000"/>
                <w:kern w:val="2"/>
                <w:sz w:val="20"/>
                <w:szCs w:val="20"/>
                <w:u w:val="single"/>
              </w:rPr>
              <w:t>%</w:t>
            </w:r>
          </w:p>
        </w:tc>
        <w:tc>
          <w:tcPr>
            <w:tcW w:w="1020" w:type="dxa"/>
            <w:shd w:val="clear" w:color="auto" w:fill="FFFFFF" w:themeFill="background1"/>
          </w:tcPr>
          <w:p w14:paraId="113E68A7" w14:textId="1FF9C4C5" w:rsidR="001353D6" w:rsidRPr="00C6622C" w:rsidRDefault="003C34BC" w:rsidP="00F3335B">
            <w:pPr>
              <w:jc w:val="center"/>
              <w:cnfStyle w:val="000000000000" w:firstRow="0" w:lastRow="0" w:firstColumn="0" w:lastColumn="0" w:oddVBand="0" w:evenVBand="0" w:oddHBand="0" w:evenHBand="0" w:firstRowFirstColumn="0" w:firstRowLastColumn="0" w:lastRowFirstColumn="0" w:lastRowLastColumn="0"/>
              <w:rPr>
                <w:rFonts w:ascii="Aptos" w:hAnsi="Aptos" w:cs="Arial"/>
                <w:color w:val="FF0000"/>
                <w:kern w:val="2"/>
                <w:sz w:val="20"/>
                <w:szCs w:val="20"/>
                <w:u w:val="single"/>
              </w:rPr>
            </w:pPr>
            <w:r w:rsidRPr="00C6622C">
              <w:rPr>
                <w:rFonts w:ascii="Aptos" w:hAnsi="Aptos" w:cs="Arial"/>
                <w:color w:val="FF0000"/>
                <w:kern w:val="2"/>
                <w:sz w:val="20"/>
                <w:szCs w:val="20"/>
                <w:u w:val="single"/>
              </w:rPr>
              <w:t>1.4</w:t>
            </w:r>
            <w:r w:rsidR="001353D6" w:rsidRPr="00C6622C">
              <w:rPr>
                <w:rFonts w:ascii="Aptos" w:hAnsi="Aptos" w:cs="Arial"/>
                <w:color w:val="FF0000"/>
                <w:kern w:val="2"/>
                <w:sz w:val="20"/>
                <w:szCs w:val="20"/>
                <w:u w:val="single"/>
              </w:rPr>
              <w:t>%</w:t>
            </w:r>
          </w:p>
        </w:tc>
        <w:tc>
          <w:tcPr>
            <w:tcW w:w="1020" w:type="dxa"/>
            <w:shd w:val="clear" w:color="auto" w:fill="FFFFFF" w:themeFill="background1"/>
          </w:tcPr>
          <w:p w14:paraId="22419A7F" w14:textId="3C476043" w:rsidR="001353D6" w:rsidRPr="00C6622C" w:rsidRDefault="001353D6" w:rsidP="00F3335B">
            <w:pPr>
              <w:jc w:val="center"/>
              <w:cnfStyle w:val="000000000000" w:firstRow="0" w:lastRow="0" w:firstColumn="0" w:lastColumn="0" w:oddVBand="0" w:evenVBand="0" w:oddHBand="0" w:evenHBand="0" w:firstRowFirstColumn="0" w:firstRowLastColumn="0" w:lastRowFirstColumn="0" w:lastRowLastColumn="0"/>
              <w:rPr>
                <w:rFonts w:ascii="Aptos" w:hAnsi="Aptos" w:cs="Arial"/>
                <w:color w:val="FF0000"/>
                <w:kern w:val="2"/>
                <w:sz w:val="20"/>
                <w:szCs w:val="20"/>
                <w:u w:val="single"/>
              </w:rPr>
            </w:pPr>
            <w:r w:rsidRPr="00C6622C">
              <w:rPr>
                <w:rFonts w:ascii="Aptos" w:hAnsi="Aptos" w:cs="Arial"/>
                <w:color w:val="FF0000"/>
                <w:kern w:val="2"/>
                <w:sz w:val="20"/>
                <w:szCs w:val="20"/>
                <w:u w:val="single"/>
              </w:rPr>
              <w:t>1.</w:t>
            </w:r>
            <w:r w:rsidR="003C34BC" w:rsidRPr="00C6622C">
              <w:rPr>
                <w:rFonts w:ascii="Aptos" w:hAnsi="Aptos" w:cs="Arial"/>
                <w:color w:val="FF0000"/>
                <w:kern w:val="2"/>
                <w:sz w:val="20"/>
                <w:szCs w:val="20"/>
                <w:u w:val="single"/>
              </w:rPr>
              <w:t>9</w:t>
            </w:r>
            <w:r w:rsidRPr="00C6622C">
              <w:rPr>
                <w:rFonts w:ascii="Aptos" w:hAnsi="Aptos" w:cs="Arial"/>
                <w:color w:val="FF0000"/>
                <w:kern w:val="2"/>
                <w:sz w:val="20"/>
                <w:szCs w:val="20"/>
                <w:u w:val="single"/>
              </w:rPr>
              <w:t>%</w:t>
            </w:r>
          </w:p>
        </w:tc>
      </w:tr>
      <w:tr w:rsidR="00466128" w:rsidRPr="00466128" w14:paraId="1887C00F" w14:textId="77777777" w:rsidTr="00B97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6A587B63" w14:textId="77777777" w:rsidR="001353D6" w:rsidRPr="00406E19" w:rsidRDefault="001353D6" w:rsidP="00F3335B">
            <w:pPr>
              <w:rPr>
                <w:rFonts w:ascii="Aptos" w:hAnsi="Aptos" w:cs="Arial"/>
                <w:kern w:val="2"/>
                <w:sz w:val="20"/>
                <w:szCs w:val="20"/>
              </w:rPr>
            </w:pPr>
            <w:r w:rsidRPr="00406E19">
              <w:rPr>
                <w:rFonts w:ascii="Aptos" w:hAnsi="Aptos" w:cs="Arial"/>
                <w:kern w:val="2"/>
                <w:sz w:val="20"/>
                <w:szCs w:val="20"/>
              </w:rPr>
              <w:t>All Other</w:t>
            </w:r>
          </w:p>
        </w:tc>
        <w:tc>
          <w:tcPr>
            <w:tcW w:w="1020" w:type="dxa"/>
            <w:shd w:val="clear" w:color="auto" w:fill="FFFFFF" w:themeFill="background1"/>
          </w:tcPr>
          <w:p w14:paraId="5F828038"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1%</w:t>
            </w:r>
          </w:p>
        </w:tc>
        <w:tc>
          <w:tcPr>
            <w:tcW w:w="1020" w:type="dxa"/>
            <w:shd w:val="clear" w:color="auto" w:fill="FFFFFF" w:themeFill="background1"/>
          </w:tcPr>
          <w:p w14:paraId="2C7DDCD4" w14:textId="4BE32438" w:rsidR="001353D6" w:rsidRPr="00406E19" w:rsidRDefault="003C34BC"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.5</w:t>
            </w:r>
            <w:r w:rsidR="001353D6" w:rsidRPr="00406E19">
              <w:rPr>
                <w:rFonts w:ascii="Aptos" w:hAnsi="Aptos" w:cs="Arial"/>
                <w:kern w:val="2"/>
                <w:sz w:val="20"/>
                <w:szCs w:val="20"/>
              </w:rPr>
              <w:t>%</w:t>
            </w:r>
          </w:p>
        </w:tc>
        <w:tc>
          <w:tcPr>
            <w:tcW w:w="1020" w:type="dxa"/>
            <w:shd w:val="clear" w:color="auto" w:fill="FFFFFF" w:themeFill="background1"/>
          </w:tcPr>
          <w:p w14:paraId="738D8DD9" w14:textId="77777777" w:rsidR="001353D6" w:rsidRPr="00406E19" w:rsidRDefault="001353D6" w:rsidP="00F3335B">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0"/>
                <w:szCs w:val="20"/>
              </w:rPr>
            </w:pPr>
            <w:r w:rsidRPr="00406E19">
              <w:rPr>
                <w:rFonts w:ascii="Aptos" w:hAnsi="Aptos" w:cs="Arial"/>
                <w:kern w:val="2"/>
                <w:sz w:val="20"/>
                <w:szCs w:val="20"/>
              </w:rPr>
              <w:t>.3%</w:t>
            </w:r>
          </w:p>
        </w:tc>
      </w:tr>
    </w:tbl>
    <w:p w14:paraId="4D597D34" w14:textId="77777777" w:rsidR="0055317A" w:rsidRPr="009A3FFE" w:rsidRDefault="0055317A" w:rsidP="009A3FFE">
      <w:pPr>
        <w:rPr>
          <w:rFonts w:ascii="Aptos" w:hAnsi="Aptos" w:cstheme="minorHAnsi"/>
        </w:rPr>
      </w:pPr>
    </w:p>
    <w:p w14:paraId="56009FAC" w14:textId="5AE627E3" w:rsidR="003C34BC" w:rsidRPr="00807358" w:rsidRDefault="0055317A" w:rsidP="00807358">
      <w:pPr>
        <w:pStyle w:val="ListParagraph"/>
        <w:numPr>
          <w:ilvl w:val="0"/>
          <w:numId w:val="27"/>
        </w:numPr>
        <w:spacing w:after="120"/>
        <w:contextualSpacing w:val="0"/>
        <w:rPr>
          <w:rFonts w:ascii="Aptos" w:hAnsi="Aptos" w:cstheme="minorHAnsi"/>
        </w:rPr>
      </w:pPr>
      <w:r w:rsidRPr="00466128">
        <w:rPr>
          <w:rFonts w:ascii="Aptos" w:hAnsi="Aptos" w:cstheme="minorHAnsi"/>
        </w:rPr>
        <w:t>In Table 2:Geograhic Origin, what is included in the category “All Other”.</w:t>
      </w:r>
    </w:p>
    <w:p w14:paraId="6BB32E0A" w14:textId="36DAFF18" w:rsidR="00E12D29" w:rsidRDefault="00B62AA8" w:rsidP="00406E19">
      <w:pPr>
        <w:pStyle w:val="ListParagraph"/>
        <w:rPr>
          <w:rFonts w:ascii="Aptos" w:hAnsi="Aptos" w:cstheme="minorHAnsi"/>
          <w:b/>
          <w:bCs/>
        </w:rPr>
      </w:pPr>
      <w:r>
        <w:rPr>
          <w:rFonts w:ascii="Aptos" w:hAnsi="Aptos" w:cstheme="minorHAnsi"/>
          <w:b/>
          <w:bCs/>
        </w:rPr>
        <w:t xml:space="preserve">Additional towns that represent 75% of the Center’s patients for CY2024 include Lincoln, Framingham, Bolton, Townsend, Shirley, Billerica, and Lancaster. </w:t>
      </w:r>
    </w:p>
    <w:p w14:paraId="62651ECF" w14:textId="77777777" w:rsidR="00406E19" w:rsidRPr="00406E19" w:rsidRDefault="00406E19" w:rsidP="00406E19">
      <w:pPr>
        <w:pStyle w:val="ListParagraph"/>
        <w:rPr>
          <w:rFonts w:ascii="Aptos" w:hAnsi="Aptos" w:cstheme="minorHAnsi"/>
          <w:b/>
          <w:bCs/>
        </w:rPr>
      </w:pPr>
    </w:p>
    <w:p w14:paraId="7512413B" w14:textId="47EDDFD4" w:rsidR="003D1D4E" w:rsidRPr="00807358" w:rsidRDefault="00A3256A" w:rsidP="00807358">
      <w:pPr>
        <w:pStyle w:val="ListParagraph"/>
        <w:numPr>
          <w:ilvl w:val="0"/>
          <w:numId w:val="27"/>
        </w:numPr>
        <w:spacing w:after="120"/>
        <w:contextualSpacing w:val="0"/>
        <w:rPr>
          <w:rFonts w:ascii="Aptos" w:hAnsi="Aptos" w:cstheme="minorHAnsi"/>
        </w:rPr>
      </w:pPr>
      <w:r w:rsidRPr="00466128">
        <w:rPr>
          <w:rFonts w:ascii="Aptos" w:hAnsi="Aptos" w:cstheme="minorHAnsi"/>
        </w:rPr>
        <w:t xml:space="preserve">Please complete </w:t>
      </w:r>
      <w:r w:rsidR="0047239E" w:rsidRPr="00466128">
        <w:rPr>
          <w:rFonts w:ascii="Aptos" w:hAnsi="Aptos" w:cstheme="minorHAnsi"/>
        </w:rPr>
        <w:t xml:space="preserve">the </w:t>
      </w:r>
      <w:r w:rsidRPr="00466128">
        <w:rPr>
          <w:rFonts w:ascii="Aptos" w:hAnsi="Aptos" w:cstheme="minorHAnsi"/>
        </w:rPr>
        <w:t>ACO Contracts Tab</w:t>
      </w:r>
      <w:r w:rsidR="0047239E" w:rsidRPr="00466128">
        <w:rPr>
          <w:rFonts w:ascii="Aptos" w:hAnsi="Aptos" w:cstheme="minorHAnsi"/>
        </w:rPr>
        <w:t>le</w:t>
      </w:r>
      <w:r w:rsidRPr="00466128">
        <w:rPr>
          <w:rFonts w:ascii="Aptos" w:hAnsi="Aptos" w:cstheme="minorHAnsi"/>
        </w:rPr>
        <w:t xml:space="preserve"> listed below.</w:t>
      </w:r>
    </w:p>
    <w:p w14:paraId="323432EA" w14:textId="6E7194EF" w:rsidR="00A3256A" w:rsidRPr="00466128" w:rsidRDefault="003D1D4E" w:rsidP="001D6557">
      <w:pPr>
        <w:pStyle w:val="ListParagraph"/>
        <w:rPr>
          <w:rFonts w:ascii="Aptos" w:hAnsi="Aptos" w:cstheme="minorHAnsi"/>
          <w:b/>
          <w:bCs/>
        </w:rPr>
      </w:pPr>
      <w:r w:rsidRPr="00466128">
        <w:rPr>
          <w:rFonts w:ascii="Aptos" w:hAnsi="Aptos" w:cstheme="minorHAnsi"/>
          <w:b/>
          <w:bCs/>
        </w:rPr>
        <w:t xml:space="preserve">Please note this information has been reported to the DoN Program as part of the Holder’s Annual DoN Reporting. </w:t>
      </w:r>
    </w:p>
    <w:tbl>
      <w:tblPr>
        <w:tblStyle w:val="TableGrid"/>
        <w:tblW w:w="8820" w:type="dxa"/>
        <w:tblInd w:w="715" w:type="dxa"/>
        <w:tblLook w:val="04A0" w:firstRow="1" w:lastRow="0" w:firstColumn="1" w:lastColumn="0" w:noHBand="0" w:noVBand="1"/>
      </w:tblPr>
      <w:tblGrid>
        <w:gridCol w:w="4500"/>
        <w:gridCol w:w="1440"/>
        <w:gridCol w:w="1440"/>
        <w:gridCol w:w="1440"/>
      </w:tblGrid>
      <w:tr w:rsidR="00466128" w:rsidRPr="00466128" w14:paraId="697A3165" w14:textId="77777777" w:rsidTr="00C6622C">
        <w:trPr>
          <w:cantSplit/>
          <w:tblHeader/>
        </w:trPr>
        <w:tc>
          <w:tcPr>
            <w:tcW w:w="4500" w:type="dxa"/>
          </w:tcPr>
          <w:p w14:paraId="1791FD79" w14:textId="577CC710" w:rsidR="00A3256A" w:rsidRPr="00E0532C" w:rsidRDefault="00406E19" w:rsidP="007F25A0">
            <w:pPr>
              <w:rPr>
                <w:rFonts w:ascii="Aptos" w:hAnsi="Aptos" w:cs="Times New Roman"/>
                <w:b/>
                <w:bCs/>
                <w:sz w:val="20"/>
                <w:szCs w:val="20"/>
              </w:rPr>
            </w:pPr>
            <w:r w:rsidRPr="00406E19">
              <w:rPr>
                <w:rFonts w:ascii="Aptos" w:hAnsi="Aptos" w:cs="Times New Roman"/>
                <w:b/>
                <w:bCs/>
                <w:sz w:val="20"/>
                <w:szCs w:val="20"/>
              </w:rPr>
              <w:t xml:space="preserve">Response </w:t>
            </w:r>
            <w:r w:rsidR="009704F9" w:rsidRPr="00406E19">
              <w:rPr>
                <w:rFonts w:ascii="Aptos" w:hAnsi="Aptos" w:cs="Times New Roman"/>
                <w:b/>
                <w:bCs/>
                <w:sz w:val="20"/>
                <w:szCs w:val="20"/>
              </w:rPr>
              <w:t xml:space="preserve">Table </w:t>
            </w:r>
            <w:r w:rsidRPr="00406E19">
              <w:rPr>
                <w:rFonts w:ascii="Aptos" w:hAnsi="Aptos" w:cs="Times New Roman"/>
                <w:b/>
                <w:bCs/>
                <w:sz w:val="20"/>
                <w:szCs w:val="20"/>
              </w:rPr>
              <w:t>1</w:t>
            </w:r>
            <w:r w:rsidR="009704F9" w:rsidRPr="00406E19">
              <w:rPr>
                <w:rFonts w:ascii="Aptos" w:hAnsi="Aptos" w:cs="Times New Roman"/>
                <w:b/>
                <w:bCs/>
                <w:sz w:val="20"/>
                <w:szCs w:val="20"/>
              </w:rPr>
              <w:t xml:space="preserve">: </w:t>
            </w:r>
            <w:r w:rsidR="00E0532C">
              <w:rPr>
                <w:rFonts w:ascii="Aptos" w:hAnsi="Aptos" w:cs="Times New Roman"/>
                <w:b/>
                <w:bCs/>
                <w:sz w:val="20"/>
                <w:szCs w:val="20"/>
              </w:rPr>
              <w:t xml:space="preserve"> </w:t>
            </w:r>
            <w:r w:rsidR="001D6557" w:rsidRPr="00406E19">
              <w:rPr>
                <w:rFonts w:ascii="Aptos" w:hAnsi="Aptos" w:cs="Times New Roman"/>
                <w:b/>
                <w:bCs/>
                <w:sz w:val="20"/>
                <w:szCs w:val="20"/>
              </w:rPr>
              <w:t>APM Contracts</w:t>
            </w:r>
          </w:p>
        </w:tc>
        <w:tc>
          <w:tcPr>
            <w:tcW w:w="1440" w:type="dxa"/>
          </w:tcPr>
          <w:p w14:paraId="56B5C2DA" w14:textId="23F2E377" w:rsidR="00A3256A" w:rsidRPr="00406E19" w:rsidRDefault="00A3256A" w:rsidP="00710684">
            <w:pPr>
              <w:jc w:val="center"/>
              <w:rPr>
                <w:rFonts w:ascii="Aptos" w:hAnsi="Aptos" w:cs="Times New Roman"/>
                <w:b/>
                <w:bCs/>
                <w:sz w:val="20"/>
                <w:szCs w:val="20"/>
              </w:rPr>
            </w:pPr>
            <w:r w:rsidRPr="00406E19">
              <w:rPr>
                <w:rFonts w:ascii="Aptos" w:hAnsi="Aptos" w:cs="Times New Roman"/>
                <w:b/>
                <w:bCs/>
                <w:sz w:val="20"/>
                <w:szCs w:val="20"/>
              </w:rPr>
              <w:t>2022</w:t>
            </w:r>
          </w:p>
        </w:tc>
        <w:tc>
          <w:tcPr>
            <w:tcW w:w="1440" w:type="dxa"/>
          </w:tcPr>
          <w:p w14:paraId="1601125E" w14:textId="38402A81" w:rsidR="00A3256A" w:rsidRPr="00406E19" w:rsidRDefault="00A3256A" w:rsidP="00710684">
            <w:pPr>
              <w:jc w:val="center"/>
              <w:rPr>
                <w:rFonts w:ascii="Aptos" w:hAnsi="Aptos" w:cs="Times New Roman"/>
                <w:b/>
                <w:bCs/>
                <w:sz w:val="20"/>
                <w:szCs w:val="20"/>
              </w:rPr>
            </w:pPr>
            <w:r w:rsidRPr="00406E19">
              <w:rPr>
                <w:rFonts w:ascii="Aptos" w:hAnsi="Aptos" w:cs="Times New Roman"/>
                <w:b/>
                <w:bCs/>
                <w:sz w:val="20"/>
                <w:szCs w:val="20"/>
              </w:rPr>
              <w:t>2023</w:t>
            </w:r>
          </w:p>
        </w:tc>
        <w:tc>
          <w:tcPr>
            <w:tcW w:w="1440" w:type="dxa"/>
          </w:tcPr>
          <w:p w14:paraId="422A6C93" w14:textId="09F1636D" w:rsidR="00A3256A" w:rsidRPr="00406E19" w:rsidRDefault="00A3256A" w:rsidP="00710684">
            <w:pPr>
              <w:jc w:val="center"/>
              <w:rPr>
                <w:rFonts w:ascii="Aptos" w:hAnsi="Aptos" w:cs="Times New Roman"/>
                <w:b/>
                <w:bCs/>
                <w:sz w:val="20"/>
                <w:szCs w:val="20"/>
              </w:rPr>
            </w:pPr>
            <w:r w:rsidRPr="00406E19">
              <w:rPr>
                <w:rFonts w:ascii="Aptos" w:hAnsi="Aptos" w:cs="Times New Roman"/>
                <w:b/>
                <w:bCs/>
                <w:sz w:val="20"/>
                <w:szCs w:val="20"/>
              </w:rPr>
              <w:t>2024</w:t>
            </w:r>
          </w:p>
        </w:tc>
      </w:tr>
      <w:tr w:rsidR="00466128" w:rsidRPr="00466128" w14:paraId="43623874" w14:textId="77777777" w:rsidTr="00C6622C">
        <w:trPr>
          <w:cantSplit/>
        </w:trPr>
        <w:tc>
          <w:tcPr>
            <w:tcW w:w="4500" w:type="dxa"/>
          </w:tcPr>
          <w:p w14:paraId="0FC5DA05" w14:textId="77777777" w:rsidR="00710684" w:rsidRPr="00406E19" w:rsidRDefault="00710684" w:rsidP="001D6557">
            <w:pPr>
              <w:rPr>
                <w:rFonts w:ascii="Aptos" w:hAnsi="Aptos" w:cs="Times New Roman"/>
                <w:sz w:val="20"/>
                <w:szCs w:val="20"/>
              </w:rPr>
            </w:pPr>
            <w:r w:rsidRPr="00406E19">
              <w:rPr>
                <w:rFonts w:ascii="Aptos" w:hAnsi="Aptos" w:cs="Times New Roman"/>
                <w:sz w:val="20"/>
                <w:szCs w:val="20"/>
              </w:rPr>
              <w:t>ACO and APM Contracts</w:t>
            </w:r>
          </w:p>
        </w:tc>
        <w:tc>
          <w:tcPr>
            <w:tcW w:w="1440" w:type="dxa"/>
          </w:tcPr>
          <w:p w14:paraId="34499BA1" w14:textId="17129828"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0%</w:t>
            </w:r>
          </w:p>
        </w:tc>
        <w:tc>
          <w:tcPr>
            <w:tcW w:w="1440" w:type="dxa"/>
          </w:tcPr>
          <w:p w14:paraId="06E4309B" w14:textId="02D1B08C"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0%</w:t>
            </w:r>
          </w:p>
        </w:tc>
        <w:tc>
          <w:tcPr>
            <w:tcW w:w="1440" w:type="dxa"/>
          </w:tcPr>
          <w:p w14:paraId="7B2957DD" w14:textId="06E9FBD0"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0%</w:t>
            </w:r>
          </w:p>
        </w:tc>
      </w:tr>
      <w:tr w:rsidR="00466128" w:rsidRPr="00466128" w14:paraId="48A4488A" w14:textId="77777777" w:rsidTr="00C6622C">
        <w:trPr>
          <w:cantSplit/>
        </w:trPr>
        <w:tc>
          <w:tcPr>
            <w:tcW w:w="4500" w:type="dxa"/>
            <w:tcBorders>
              <w:bottom w:val="single" w:sz="4" w:space="0" w:color="auto"/>
            </w:tcBorders>
          </w:tcPr>
          <w:p w14:paraId="2A1C927C" w14:textId="77777777" w:rsidR="00710684" w:rsidRPr="00406E19" w:rsidRDefault="00710684" w:rsidP="001D6557">
            <w:pPr>
              <w:rPr>
                <w:rFonts w:ascii="Aptos" w:hAnsi="Aptos" w:cs="Times New Roman"/>
                <w:sz w:val="20"/>
                <w:szCs w:val="20"/>
              </w:rPr>
            </w:pPr>
            <w:r w:rsidRPr="00406E19">
              <w:rPr>
                <w:rFonts w:ascii="Aptos" w:hAnsi="Aptos" w:cs="Times New Roman"/>
                <w:sz w:val="20"/>
                <w:szCs w:val="20"/>
              </w:rPr>
              <w:t>Non-ACO and APM Contracts</w:t>
            </w:r>
          </w:p>
        </w:tc>
        <w:tc>
          <w:tcPr>
            <w:tcW w:w="1440" w:type="dxa"/>
            <w:tcBorders>
              <w:bottom w:val="single" w:sz="4" w:space="0" w:color="auto"/>
            </w:tcBorders>
          </w:tcPr>
          <w:p w14:paraId="252C5872" w14:textId="15556448"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100%</w:t>
            </w:r>
          </w:p>
        </w:tc>
        <w:tc>
          <w:tcPr>
            <w:tcW w:w="1440" w:type="dxa"/>
            <w:tcBorders>
              <w:bottom w:val="single" w:sz="4" w:space="0" w:color="auto"/>
            </w:tcBorders>
          </w:tcPr>
          <w:p w14:paraId="3149C623" w14:textId="416E8DB4"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100%</w:t>
            </w:r>
          </w:p>
        </w:tc>
        <w:tc>
          <w:tcPr>
            <w:tcW w:w="1440" w:type="dxa"/>
            <w:tcBorders>
              <w:bottom w:val="single" w:sz="4" w:space="0" w:color="auto"/>
            </w:tcBorders>
          </w:tcPr>
          <w:p w14:paraId="7642F372" w14:textId="596E10E2"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100%</w:t>
            </w:r>
          </w:p>
        </w:tc>
      </w:tr>
      <w:tr w:rsidR="00466128" w:rsidRPr="00466128" w14:paraId="7F60B682" w14:textId="77777777" w:rsidTr="00C6622C">
        <w:trPr>
          <w:cantSplit/>
        </w:trPr>
        <w:tc>
          <w:tcPr>
            <w:tcW w:w="4500" w:type="dxa"/>
            <w:tcBorders>
              <w:bottom w:val="single" w:sz="4" w:space="0" w:color="auto"/>
            </w:tcBorders>
          </w:tcPr>
          <w:p w14:paraId="617FB8F6" w14:textId="77777777" w:rsidR="00710684" w:rsidRPr="00406E19" w:rsidRDefault="00710684" w:rsidP="001D6557">
            <w:pPr>
              <w:rPr>
                <w:rFonts w:ascii="Aptos" w:hAnsi="Aptos" w:cs="Times New Roman"/>
                <w:sz w:val="20"/>
                <w:szCs w:val="20"/>
              </w:rPr>
            </w:pPr>
            <w:r w:rsidRPr="00406E19">
              <w:rPr>
                <w:rFonts w:ascii="Aptos" w:hAnsi="Aptos" w:cs="Times New Roman"/>
                <w:b/>
                <w:bCs/>
                <w:sz w:val="20"/>
                <w:szCs w:val="20"/>
              </w:rPr>
              <w:t>Total % (must=100%)</w:t>
            </w:r>
          </w:p>
        </w:tc>
        <w:tc>
          <w:tcPr>
            <w:tcW w:w="1440" w:type="dxa"/>
            <w:tcBorders>
              <w:bottom w:val="single" w:sz="4" w:space="0" w:color="auto"/>
            </w:tcBorders>
          </w:tcPr>
          <w:p w14:paraId="7BE7A59B" w14:textId="4548E62E"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100%</w:t>
            </w:r>
          </w:p>
        </w:tc>
        <w:tc>
          <w:tcPr>
            <w:tcW w:w="1440" w:type="dxa"/>
            <w:tcBorders>
              <w:bottom w:val="single" w:sz="4" w:space="0" w:color="auto"/>
            </w:tcBorders>
          </w:tcPr>
          <w:p w14:paraId="00C92F43" w14:textId="493EF7A0"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100%</w:t>
            </w:r>
          </w:p>
        </w:tc>
        <w:tc>
          <w:tcPr>
            <w:tcW w:w="1440" w:type="dxa"/>
            <w:tcBorders>
              <w:bottom w:val="single" w:sz="4" w:space="0" w:color="auto"/>
            </w:tcBorders>
          </w:tcPr>
          <w:p w14:paraId="4126CBDF" w14:textId="6E8AA263" w:rsidR="00710684" w:rsidRPr="00406E19" w:rsidRDefault="00710684" w:rsidP="00710684">
            <w:pPr>
              <w:jc w:val="center"/>
              <w:rPr>
                <w:rFonts w:ascii="Aptos" w:hAnsi="Aptos" w:cs="Times New Roman"/>
                <w:b/>
                <w:bCs/>
                <w:sz w:val="20"/>
                <w:szCs w:val="20"/>
              </w:rPr>
            </w:pPr>
            <w:r w:rsidRPr="00406E19">
              <w:rPr>
                <w:rFonts w:ascii="Aptos" w:hAnsi="Aptos" w:cs="Times New Roman"/>
                <w:b/>
                <w:bCs/>
                <w:sz w:val="20"/>
                <w:szCs w:val="20"/>
              </w:rPr>
              <w:t>100%</w:t>
            </w:r>
          </w:p>
        </w:tc>
      </w:tr>
    </w:tbl>
    <w:p w14:paraId="3340DFAA" w14:textId="77777777" w:rsidR="00A3256A" w:rsidRPr="00466128" w:rsidRDefault="00A3256A" w:rsidP="00A3256A">
      <w:pPr>
        <w:rPr>
          <w:rFonts w:ascii="Aptos" w:hAnsi="Aptos" w:cstheme="minorHAnsi"/>
        </w:rPr>
      </w:pPr>
    </w:p>
    <w:p w14:paraId="363EC91D" w14:textId="7B137551" w:rsidR="00710684" w:rsidRPr="00807358" w:rsidRDefault="00BC0A97" w:rsidP="00807358">
      <w:pPr>
        <w:pStyle w:val="ListParagraph"/>
        <w:numPr>
          <w:ilvl w:val="0"/>
          <w:numId w:val="27"/>
        </w:numPr>
        <w:spacing w:after="120"/>
        <w:contextualSpacing w:val="0"/>
        <w:rPr>
          <w:rFonts w:ascii="Aptos" w:hAnsi="Aptos" w:cstheme="minorHAnsi"/>
        </w:rPr>
      </w:pPr>
      <w:r w:rsidRPr="00466128">
        <w:rPr>
          <w:rFonts w:ascii="Aptos" w:hAnsi="Aptos" w:cstheme="minorHAnsi"/>
        </w:rPr>
        <w:t xml:space="preserve">To what does the Applicant attribute the </w:t>
      </w:r>
      <w:r w:rsidR="00C077DA" w:rsidRPr="00466128">
        <w:rPr>
          <w:rFonts w:ascii="Aptos" w:hAnsi="Aptos" w:cstheme="minorHAnsi"/>
        </w:rPr>
        <w:t xml:space="preserve">101% </w:t>
      </w:r>
      <w:r w:rsidRPr="00466128">
        <w:rPr>
          <w:rFonts w:ascii="Aptos" w:hAnsi="Aptos" w:cstheme="minorHAnsi"/>
        </w:rPr>
        <w:t xml:space="preserve">increase in </w:t>
      </w:r>
      <w:r w:rsidR="002A48E5" w:rsidRPr="00466128">
        <w:rPr>
          <w:rFonts w:ascii="Aptos" w:hAnsi="Aptos" w:cstheme="minorHAnsi"/>
        </w:rPr>
        <w:t>case</w:t>
      </w:r>
      <w:r w:rsidRPr="00466128">
        <w:rPr>
          <w:rFonts w:ascii="Aptos" w:hAnsi="Aptos" w:cstheme="minorHAnsi"/>
        </w:rPr>
        <w:t xml:space="preserve"> volume from CY2022 to CY2023</w:t>
      </w:r>
      <w:r w:rsidR="009C5BE2" w:rsidRPr="00466128">
        <w:rPr>
          <w:rFonts w:ascii="Aptos" w:hAnsi="Aptos" w:cstheme="minorHAnsi"/>
        </w:rPr>
        <w:t>?</w:t>
      </w:r>
    </w:p>
    <w:p w14:paraId="6793C2BE" w14:textId="362E0588" w:rsidR="00710684" w:rsidRPr="00466128" w:rsidRDefault="00710684" w:rsidP="00710684">
      <w:pPr>
        <w:pStyle w:val="ListParagraph"/>
        <w:rPr>
          <w:rFonts w:ascii="Aptos" w:hAnsi="Aptos" w:cstheme="minorHAnsi"/>
          <w:b/>
          <w:bCs/>
        </w:rPr>
      </w:pPr>
      <w:r w:rsidRPr="00466128">
        <w:rPr>
          <w:rFonts w:ascii="Aptos" w:hAnsi="Aptos" w:cstheme="minorHAnsi"/>
          <w:b/>
          <w:bCs/>
        </w:rPr>
        <w:t xml:space="preserve">The Center opened in April of 2022 so the volume for 2022 is not a full year. Moreover, as a new ASC, the Center was still ramping up volume in 2022 and into 2023. </w:t>
      </w:r>
    </w:p>
    <w:p w14:paraId="40965FEE" w14:textId="77777777" w:rsidR="007531A0" w:rsidRPr="00466128" w:rsidRDefault="007531A0" w:rsidP="007531A0">
      <w:pPr>
        <w:pStyle w:val="ListParagraph"/>
        <w:rPr>
          <w:rFonts w:ascii="Aptos" w:hAnsi="Aptos" w:cstheme="minorHAnsi"/>
        </w:rPr>
      </w:pPr>
    </w:p>
    <w:p w14:paraId="672215C7" w14:textId="77777777" w:rsidR="00E724A1" w:rsidRPr="00466128" w:rsidRDefault="007531A0" w:rsidP="00E724A1">
      <w:pPr>
        <w:pStyle w:val="ListParagraph"/>
        <w:numPr>
          <w:ilvl w:val="0"/>
          <w:numId w:val="27"/>
        </w:numPr>
        <w:rPr>
          <w:rFonts w:ascii="Aptos" w:hAnsi="Aptos" w:cstheme="minorHAnsi"/>
        </w:rPr>
      </w:pPr>
      <w:r w:rsidRPr="00466128">
        <w:rPr>
          <w:rFonts w:ascii="Aptos" w:hAnsi="Aptos" w:cstheme="minorHAnsi"/>
        </w:rPr>
        <w:t>What does the Applicant attribute to the 21% decrease in the age 70+ patient population between 2023 and 2024?</w:t>
      </w:r>
      <w:r w:rsidR="00E724A1" w:rsidRPr="00466128">
        <w:rPr>
          <w:rFonts w:ascii="Aptos" w:hAnsi="Aptos" w:cstheme="minorHAnsi"/>
        </w:rPr>
        <w:t xml:space="preserve"> </w:t>
      </w:r>
    </w:p>
    <w:p w14:paraId="3CBBC13B" w14:textId="1E506B86" w:rsidR="001D6557" w:rsidRPr="00466128" w:rsidRDefault="001D6557" w:rsidP="001D6557">
      <w:pPr>
        <w:rPr>
          <w:rFonts w:ascii="Aptos" w:hAnsi="Aptos" w:cstheme="minorHAnsi"/>
          <w:b/>
          <w:bCs/>
        </w:rPr>
      </w:pPr>
      <w:r w:rsidRPr="00466128">
        <w:rPr>
          <w:rFonts w:ascii="Aptos" w:hAnsi="Aptos" w:cstheme="minorHAnsi"/>
          <w:b/>
          <w:bCs/>
        </w:rPr>
        <w:t>Please see the table</w:t>
      </w:r>
      <w:r w:rsidR="002B4509">
        <w:rPr>
          <w:rFonts w:ascii="Aptos" w:hAnsi="Aptos" w:cstheme="minorHAnsi"/>
          <w:b/>
          <w:bCs/>
        </w:rPr>
        <w:t>s</w:t>
      </w:r>
      <w:r w:rsidRPr="00466128">
        <w:rPr>
          <w:rFonts w:ascii="Aptos" w:hAnsi="Aptos" w:cstheme="minorHAnsi"/>
          <w:b/>
          <w:bCs/>
        </w:rPr>
        <w:t xml:space="preserve"> below which ha</w:t>
      </w:r>
      <w:r w:rsidR="002B4509">
        <w:rPr>
          <w:rFonts w:ascii="Aptos" w:hAnsi="Aptos" w:cstheme="minorHAnsi"/>
          <w:b/>
          <w:bCs/>
        </w:rPr>
        <w:t xml:space="preserve">ve </w:t>
      </w:r>
      <w:r w:rsidRPr="00466128">
        <w:rPr>
          <w:rFonts w:ascii="Aptos" w:hAnsi="Aptos" w:cstheme="minorHAnsi"/>
          <w:b/>
          <w:bCs/>
        </w:rPr>
        <w:t xml:space="preserve">been updated to reflect full year 2024 data. Accounting for the full year of data, the 70+ patient population </w:t>
      </w:r>
      <w:proofErr w:type="gramStart"/>
      <w:r w:rsidRPr="00466128">
        <w:rPr>
          <w:rFonts w:ascii="Aptos" w:hAnsi="Aptos" w:cstheme="minorHAnsi"/>
          <w:b/>
          <w:bCs/>
        </w:rPr>
        <w:t>actually grew</w:t>
      </w:r>
      <w:proofErr w:type="gramEnd"/>
      <w:r w:rsidRPr="00466128">
        <w:rPr>
          <w:rFonts w:ascii="Aptos" w:hAnsi="Aptos" w:cstheme="minorHAnsi"/>
          <w:b/>
          <w:bCs/>
        </w:rPr>
        <w:t xml:space="preserve"> in volume. </w:t>
      </w:r>
    </w:p>
    <w:tbl>
      <w:tblPr>
        <w:tblStyle w:val="TableGrid"/>
        <w:tblW w:w="9535" w:type="dxa"/>
        <w:tblLook w:val="04A0" w:firstRow="1" w:lastRow="0" w:firstColumn="1" w:lastColumn="0" w:noHBand="0" w:noVBand="1"/>
      </w:tblPr>
      <w:tblGrid>
        <w:gridCol w:w="3415"/>
        <w:gridCol w:w="989"/>
        <w:gridCol w:w="989"/>
        <w:gridCol w:w="989"/>
        <w:gridCol w:w="989"/>
        <w:gridCol w:w="989"/>
        <w:gridCol w:w="1175"/>
      </w:tblGrid>
      <w:tr w:rsidR="00466128" w:rsidRPr="00466128" w14:paraId="2346C58D" w14:textId="77777777" w:rsidTr="00C6622C">
        <w:trPr>
          <w:cantSplit/>
          <w:trHeight w:val="269"/>
          <w:tblHeader/>
        </w:trPr>
        <w:tc>
          <w:tcPr>
            <w:tcW w:w="3415" w:type="dxa"/>
          </w:tcPr>
          <w:p w14:paraId="7994C3A7" w14:textId="410BD377" w:rsidR="001D6557" w:rsidRPr="00466128" w:rsidRDefault="00406E19" w:rsidP="00C76FB6">
            <w:pPr>
              <w:rPr>
                <w:rFonts w:ascii="Aptos" w:hAnsi="Aptos" w:cs="Arial"/>
                <w:b/>
                <w:bCs/>
                <w:sz w:val="20"/>
                <w:szCs w:val="20"/>
              </w:rPr>
            </w:pPr>
            <w:r>
              <w:rPr>
                <w:rFonts w:ascii="Aptos" w:hAnsi="Aptos" w:cs="Arial"/>
                <w:b/>
                <w:bCs/>
                <w:sz w:val="20"/>
                <w:szCs w:val="20"/>
              </w:rPr>
              <w:t xml:space="preserve">Narrative </w:t>
            </w:r>
            <w:r w:rsidR="001D6557" w:rsidRPr="00466128">
              <w:rPr>
                <w:rFonts w:ascii="Aptos" w:hAnsi="Aptos" w:cs="Arial"/>
                <w:b/>
                <w:bCs/>
                <w:sz w:val="20"/>
                <w:szCs w:val="20"/>
              </w:rPr>
              <w:t xml:space="preserve">Table </w:t>
            </w:r>
            <w:r>
              <w:rPr>
                <w:rFonts w:ascii="Aptos" w:hAnsi="Aptos" w:cs="Arial"/>
                <w:b/>
                <w:bCs/>
                <w:sz w:val="20"/>
                <w:szCs w:val="20"/>
              </w:rPr>
              <w:t>1</w:t>
            </w:r>
            <w:r w:rsidR="001D6557" w:rsidRPr="00466128">
              <w:rPr>
                <w:rFonts w:ascii="Aptos" w:hAnsi="Aptos" w:cs="Arial"/>
                <w:b/>
                <w:bCs/>
                <w:sz w:val="20"/>
                <w:szCs w:val="20"/>
              </w:rPr>
              <w:t>:</w:t>
            </w:r>
          </w:p>
          <w:p w14:paraId="5B22E211" w14:textId="5D28063F" w:rsidR="001D6557" w:rsidRPr="00466128" w:rsidRDefault="001D6557" w:rsidP="00C76FB6">
            <w:pPr>
              <w:spacing w:after="120"/>
              <w:rPr>
                <w:rFonts w:ascii="Aptos" w:hAnsi="Aptos" w:cs="Arial"/>
                <w:b/>
                <w:bCs/>
                <w:sz w:val="20"/>
                <w:szCs w:val="20"/>
              </w:rPr>
            </w:pPr>
            <w:r w:rsidRPr="00466128">
              <w:rPr>
                <w:rFonts w:ascii="Aptos" w:hAnsi="Aptos" w:cs="Arial"/>
                <w:b/>
                <w:bCs/>
                <w:sz w:val="20"/>
                <w:szCs w:val="20"/>
              </w:rPr>
              <w:t>Demographics</w:t>
            </w:r>
          </w:p>
        </w:tc>
        <w:tc>
          <w:tcPr>
            <w:tcW w:w="989" w:type="dxa"/>
          </w:tcPr>
          <w:p w14:paraId="64477E84" w14:textId="77777777" w:rsidR="001D6557" w:rsidRPr="00466128" w:rsidRDefault="001D6557" w:rsidP="00E0532C">
            <w:pPr>
              <w:jc w:val="center"/>
              <w:rPr>
                <w:rFonts w:ascii="Aptos" w:hAnsi="Aptos" w:cs="Arial"/>
                <w:b/>
                <w:bCs/>
                <w:sz w:val="20"/>
                <w:szCs w:val="20"/>
              </w:rPr>
            </w:pPr>
            <w:r w:rsidRPr="00466128">
              <w:rPr>
                <w:rFonts w:ascii="Aptos" w:hAnsi="Aptos" w:cs="Arial"/>
                <w:b/>
                <w:bCs/>
                <w:sz w:val="20"/>
                <w:szCs w:val="20"/>
              </w:rPr>
              <w:t>2022 Count</w:t>
            </w:r>
          </w:p>
        </w:tc>
        <w:tc>
          <w:tcPr>
            <w:tcW w:w="989" w:type="dxa"/>
          </w:tcPr>
          <w:p w14:paraId="25CD6DB7" w14:textId="77777777" w:rsidR="001D6557" w:rsidRPr="00466128" w:rsidRDefault="001D6557" w:rsidP="00E0532C">
            <w:pPr>
              <w:jc w:val="center"/>
              <w:rPr>
                <w:rFonts w:ascii="Aptos" w:hAnsi="Aptos" w:cs="Arial"/>
                <w:b/>
                <w:bCs/>
                <w:sz w:val="20"/>
                <w:szCs w:val="20"/>
              </w:rPr>
            </w:pPr>
            <w:r w:rsidRPr="00466128">
              <w:rPr>
                <w:rFonts w:ascii="Aptos" w:hAnsi="Aptos" w:cs="Arial"/>
                <w:b/>
                <w:bCs/>
                <w:sz w:val="20"/>
                <w:szCs w:val="20"/>
              </w:rPr>
              <w:t>2022 Percent</w:t>
            </w:r>
          </w:p>
        </w:tc>
        <w:tc>
          <w:tcPr>
            <w:tcW w:w="989" w:type="dxa"/>
          </w:tcPr>
          <w:p w14:paraId="54F6BE33" w14:textId="77777777" w:rsidR="001D6557" w:rsidRPr="00466128" w:rsidRDefault="001D6557" w:rsidP="00E0532C">
            <w:pPr>
              <w:jc w:val="center"/>
              <w:rPr>
                <w:rFonts w:ascii="Aptos" w:hAnsi="Aptos" w:cs="Arial"/>
                <w:b/>
                <w:bCs/>
                <w:sz w:val="20"/>
                <w:szCs w:val="20"/>
              </w:rPr>
            </w:pPr>
            <w:r w:rsidRPr="00466128">
              <w:rPr>
                <w:rFonts w:ascii="Aptos" w:hAnsi="Aptos" w:cs="Arial"/>
                <w:b/>
                <w:bCs/>
                <w:sz w:val="20"/>
                <w:szCs w:val="20"/>
              </w:rPr>
              <w:t>2023 Count</w:t>
            </w:r>
          </w:p>
        </w:tc>
        <w:tc>
          <w:tcPr>
            <w:tcW w:w="989" w:type="dxa"/>
          </w:tcPr>
          <w:p w14:paraId="18EB97A0" w14:textId="77777777" w:rsidR="001D6557" w:rsidRPr="00466128" w:rsidRDefault="001D6557" w:rsidP="00E0532C">
            <w:pPr>
              <w:jc w:val="center"/>
              <w:rPr>
                <w:rFonts w:ascii="Aptos" w:hAnsi="Aptos" w:cs="Arial"/>
                <w:b/>
                <w:bCs/>
                <w:sz w:val="20"/>
                <w:szCs w:val="20"/>
              </w:rPr>
            </w:pPr>
            <w:r w:rsidRPr="00466128">
              <w:rPr>
                <w:rFonts w:ascii="Aptos" w:hAnsi="Aptos" w:cs="Arial"/>
                <w:b/>
                <w:bCs/>
                <w:sz w:val="20"/>
                <w:szCs w:val="20"/>
              </w:rPr>
              <w:t>2023 Percent</w:t>
            </w:r>
          </w:p>
        </w:tc>
        <w:tc>
          <w:tcPr>
            <w:tcW w:w="989" w:type="dxa"/>
          </w:tcPr>
          <w:p w14:paraId="7EFDB708" w14:textId="62C7FA6E" w:rsidR="00E0532C" w:rsidRDefault="001D6557" w:rsidP="00E0532C">
            <w:pPr>
              <w:jc w:val="center"/>
              <w:rPr>
                <w:rFonts w:ascii="Aptos" w:hAnsi="Aptos" w:cs="Arial"/>
                <w:b/>
                <w:bCs/>
                <w:sz w:val="20"/>
                <w:szCs w:val="20"/>
              </w:rPr>
            </w:pPr>
            <w:r w:rsidRPr="00466128">
              <w:rPr>
                <w:rFonts w:ascii="Aptos" w:hAnsi="Aptos" w:cs="Arial"/>
                <w:b/>
                <w:bCs/>
                <w:sz w:val="20"/>
                <w:szCs w:val="20"/>
              </w:rPr>
              <w:t>2024</w:t>
            </w:r>
          </w:p>
          <w:p w14:paraId="21249A96" w14:textId="68ED9F1B" w:rsidR="001D6557" w:rsidRPr="00466128" w:rsidRDefault="001D6557" w:rsidP="00E0532C">
            <w:pPr>
              <w:jc w:val="center"/>
              <w:rPr>
                <w:rFonts w:ascii="Aptos" w:hAnsi="Aptos" w:cs="Arial"/>
                <w:b/>
                <w:bCs/>
                <w:sz w:val="20"/>
                <w:szCs w:val="20"/>
              </w:rPr>
            </w:pPr>
            <w:r w:rsidRPr="00466128">
              <w:rPr>
                <w:rFonts w:ascii="Aptos" w:hAnsi="Aptos" w:cs="Arial"/>
                <w:b/>
                <w:bCs/>
                <w:sz w:val="20"/>
                <w:szCs w:val="20"/>
              </w:rPr>
              <w:t>Count</w:t>
            </w:r>
          </w:p>
        </w:tc>
        <w:tc>
          <w:tcPr>
            <w:tcW w:w="1175" w:type="dxa"/>
          </w:tcPr>
          <w:p w14:paraId="144B2E95" w14:textId="77777777" w:rsidR="001D6557" w:rsidRPr="00466128" w:rsidRDefault="001D6557" w:rsidP="00E0532C">
            <w:pPr>
              <w:jc w:val="center"/>
              <w:rPr>
                <w:rFonts w:ascii="Aptos" w:hAnsi="Aptos" w:cs="Arial"/>
                <w:b/>
                <w:bCs/>
                <w:sz w:val="20"/>
                <w:szCs w:val="20"/>
              </w:rPr>
            </w:pPr>
            <w:r w:rsidRPr="00466128">
              <w:rPr>
                <w:rFonts w:ascii="Aptos" w:hAnsi="Aptos" w:cs="Arial"/>
                <w:b/>
                <w:bCs/>
                <w:sz w:val="20"/>
                <w:szCs w:val="20"/>
              </w:rPr>
              <w:t>2024 Percent</w:t>
            </w:r>
          </w:p>
        </w:tc>
      </w:tr>
      <w:tr w:rsidR="00466128" w:rsidRPr="00466128" w14:paraId="15EBF6AC" w14:textId="77777777" w:rsidTr="00C6622C">
        <w:trPr>
          <w:cantSplit/>
        </w:trPr>
        <w:tc>
          <w:tcPr>
            <w:tcW w:w="3415" w:type="dxa"/>
          </w:tcPr>
          <w:p w14:paraId="193D5BE9" w14:textId="77777777" w:rsidR="001D6557" w:rsidRPr="00466128" w:rsidRDefault="001D6557" w:rsidP="00C76FB6">
            <w:pPr>
              <w:rPr>
                <w:rFonts w:ascii="Aptos" w:hAnsi="Aptos" w:cs="Arial"/>
                <w:b/>
                <w:bCs/>
                <w:sz w:val="20"/>
                <w:szCs w:val="20"/>
              </w:rPr>
            </w:pPr>
            <w:r w:rsidRPr="00466128">
              <w:rPr>
                <w:rFonts w:ascii="Aptos" w:hAnsi="Aptos" w:cs="Arial"/>
                <w:b/>
                <w:bCs/>
                <w:sz w:val="20"/>
                <w:szCs w:val="20"/>
              </w:rPr>
              <w:t>Gender: Female</w:t>
            </w:r>
          </w:p>
        </w:tc>
        <w:tc>
          <w:tcPr>
            <w:tcW w:w="989" w:type="dxa"/>
          </w:tcPr>
          <w:p w14:paraId="61FBB7FC"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1,042</w:t>
            </w:r>
          </w:p>
        </w:tc>
        <w:tc>
          <w:tcPr>
            <w:tcW w:w="989" w:type="dxa"/>
          </w:tcPr>
          <w:p w14:paraId="10CE1D2F"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64.7%</w:t>
            </w:r>
          </w:p>
        </w:tc>
        <w:tc>
          <w:tcPr>
            <w:tcW w:w="989" w:type="dxa"/>
          </w:tcPr>
          <w:p w14:paraId="4E42575C"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1,883</w:t>
            </w:r>
          </w:p>
        </w:tc>
        <w:tc>
          <w:tcPr>
            <w:tcW w:w="989" w:type="dxa"/>
          </w:tcPr>
          <w:p w14:paraId="621E429B"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58.6%</w:t>
            </w:r>
          </w:p>
        </w:tc>
        <w:tc>
          <w:tcPr>
            <w:tcW w:w="989" w:type="dxa"/>
          </w:tcPr>
          <w:p w14:paraId="3DEE1A83" w14:textId="36525C8F" w:rsidR="001D6557" w:rsidRPr="00466128" w:rsidRDefault="001D6557" w:rsidP="00E0532C">
            <w:pPr>
              <w:jc w:val="center"/>
              <w:rPr>
                <w:rFonts w:ascii="Aptos" w:hAnsi="Aptos" w:cs="Arial"/>
                <w:sz w:val="20"/>
                <w:szCs w:val="20"/>
              </w:rPr>
            </w:pPr>
            <w:r w:rsidRPr="00466128">
              <w:rPr>
                <w:rFonts w:ascii="Aptos" w:hAnsi="Aptos" w:cs="Arial"/>
                <w:sz w:val="20"/>
                <w:szCs w:val="20"/>
              </w:rPr>
              <w:t>2,697</w:t>
            </w:r>
          </w:p>
        </w:tc>
        <w:tc>
          <w:tcPr>
            <w:tcW w:w="1175" w:type="dxa"/>
          </w:tcPr>
          <w:p w14:paraId="727BE423" w14:textId="0545D890" w:rsidR="001D6557" w:rsidRPr="00466128" w:rsidRDefault="001D6557" w:rsidP="00E0532C">
            <w:pPr>
              <w:jc w:val="center"/>
              <w:rPr>
                <w:rFonts w:ascii="Aptos" w:hAnsi="Aptos" w:cs="Arial"/>
                <w:sz w:val="20"/>
                <w:szCs w:val="20"/>
              </w:rPr>
            </w:pPr>
            <w:r w:rsidRPr="00466128">
              <w:rPr>
                <w:rFonts w:ascii="Aptos" w:hAnsi="Aptos" w:cs="Arial"/>
                <w:sz w:val="20"/>
                <w:szCs w:val="20"/>
              </w:rPr>
              <w:t>56.3%</w:t>
            </w:r>
          </w:p>
        </w:tc>
      </w:tr>
      <w:tr w:rsidR="00466128" w:rsidRPr="00466128" w14:paraId="2582A206" w14:textId="77777777" w:rsidTr="00C6622C">
        <w:trPr>
          <w:cantSplit/>
        </w:trPr>
        <w:tc>
          <w:tcPr>
            <w:tcW w:w="3415" w:type="dxa"/>
          </w:tcPr>
          <w:p w14:paraId="1862E3F4" w14:textId="77777777" w:rsidR="001D6557" w:rsidRPr="00466128" w:rsidRDefault="001D6557" w:rsidP="00C76FB6">
            <w:pPr>
              <w:rPr>
                <w:rFonts w:ascii="Aptos" w:hAnsi="Aptos" w:cs="Arial"/>
                <w:b/>
                <w:bCs/>
                <w:sz w:val="20"/>
                <w:szCs w:val="20"/>
              </w:rPr>
            </w:pPr>
            <w:r w:rsidRPr="00466128">
              <w:rPr>
                <w:rFonts w:ascii="Aptos" w:hAnsi="Aptos" w:cs="Arial"/>
                <w:b/>
                <w:bCs/>
                <w:sz w:val="20"/>
                <w:szCs w:val="20"/>
              </w:rPr>
              <w:t>Gender: Male</w:t>
            </w:r>
          </w:p>
        </w:tc>
        <w:tc>
          <w:tcPr>
            <w:tcW w:w="989" w:type="dxa"/>
          </w:tcPr>
          <w:p w14:paraId="24CFB559"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568</w:t>
            </w:r>
          </w:p>
        </w:tc>
        <w:tc>
          <w:tcPr>
            <w:tcW w:w="989" w:type="dxa"/>
          </w:tcPr>
          <w:p w14:paraId="4F6CE987"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35.2%</w:t>
            </w:r>
          </w:p>
        </w:tc>
        <w:tc>
          <w:tcPr>
            <w:tcW w:w="989" w:type="dxa"/>
          </w:tcPr>
          <w:p w14:paraId="2047C3DA"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1,327</w:t>
            </w:r>
          </w:p>
        </w:tc>
        <w:tc>
          <w:tcPr>
            <w:tcW w:w="989" w:type="dxa"/>
          </w:tcPr>
          <w:p w14:paraId="7C313392"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41.3%</w:t>
            </w:r>
          </w:p>
        </w:tc>
        <w:tc>
          <w:tcPr>
            <w:tcW w:w="989" w:type="dxa"/>
          </w:tcPr>
          <w:p w14:paraId="06945CC8" w14:textId="2EFFFE66" w:rsidR="001D6557" w:rsidRPr="00466128" w:rsidRDefault="001D6557" w:rsidP="00E0532C">
            <w:pPr>
              <w:jc w:val="center"/>
              <w:rPr>
                <w:rFonts w:ascii="Aptos" w:hAnsi="Aptos" w:cs="Arial"/>
                <w:sz w:val="20"/>
                <w:szCs w:val="20"/>
              </w:rPr>
            </w:pPr>
            <w:r w:rsidRPr="00466128">
              <w:rPr>
                <w:rFonts w:ascii="Aptos" w:hAnsi="Aptos" w:cs="Arial"/>
                <w:sz w:val="20"/>
                <w:szCs w:val="20"/>
              </w:rPr>
              <w:t>2,093</w:t>
            </w:r>
          </w:p>
        </w:tc>
        <w:tc>
          <w:tcPr>
            <w:tcW w:w="1175" w:type="dxa"/>
          </w:tcPr>
          <w:p w14:paraId="04B81823" w14:textId="5C6F523A" w:rsidR="001D6557" w:rsidRPr="00466128" w:rsidRDefault="001D6557" w:rsidP="00E0532C">
            <w:pPr>
              <w:jc w:val="center"/>
              <w:rPr>
                <w:rFonts w:ascii="Aptos" w:hAnsi="Aptos" w:cs="Arial"/>
                <w:sz w:val="20"/>
                <w:szCs w:val="20"/>
              </w:rPr>
            </w:pPr>
            <w:r w:rsidRPr="00466128">
              <w:rPr>
                <w:rFonts w:ascii="Aptos" w:hAnsi="Aptos" w:cs="Arial"/>
                <w:sz w:val="20"/>
                <w:szCs w:val="20"/>
              </w:rPr>
              <w:t>43.7%</w:t>
            </w:r>
          </w:p>
        </w:tc>
      </w:tr>
      <w:tr w:rsidR="00466128" w:rsidRPr="00466128" w14:paraId="6D92B72A" w14:textId="77777777" w:rsidTr="00C6622C">
        <w:trPr>
          <w:cantSplit/>
        </w:trPr>
        <w:tc>
          <w:tcPr>
            <w:tcW w:w="3415" w:type="dxa"/>
            <w:shd w:val="clear" w:color="auto" w:fill="FFFFFF" w:themeFill="background1"/>
          </w:tcPr>
          <w:p w14:paraId="1F8E9992" w14:textId="77777777" w:rsidR="001D6557" w:rsidRPr="00466128" w:rsidRDefault="001D6557" w:rsidP="001D6557">
            <w:pPr>
              <w:rPr>
                <w:rFonts w:ascii="Aptos" w:hAnsi="Aptos" w:cs="Arial"/>
                <w:b/>
                <w:bCs/>
                <w:sz w:val="20"/>
                <w:szCs w:val="20"/>
              </w:rPr>
            </w:pPr>
            <w:r w:rsidRPr="00466128">
              <w:rPr>
                <w:rFonts w:ascii="Aptos" w:hAnsi="Aptos" w:cs="Arial"/>
                <w:b/>
                <w:bCs/>
                <w:sz w:val="20"/>
                <w:szCs w:val="20"/>
              </w:rPr>
              <w:t>Age: 18-49</w:t>
            </w:r>
          </w:p>
        </w:tc>
        <w:tc>
          <w:tcPr>
            <w:tcW w:w="989" w:type="dxa"/>
            <w:shd w:val="clear" w:color="auto" w:fill="FFFFFF" w:themeFill="background1"/>
          </w:tcPr>
          <w:p w14:paraId="3CA64444"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441</w:t>
            </w:r>
          </w:p>
        </w:tc>
        <w:tc>
          <w:tcPr>
            <w:tcW w:w="989" w:type="dxa"/>
            <w:shd w:val="clear" w:color="auto" w:fill="FFFFFF" w:themeFill="background1"/>
          </w:tcPr>
          <w:p w14:paraId="5195B074"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27.3%</w:t>
            </w:r>
          </w:p>
        </w:tc>
        <w:tc>
          <w:tcPr>
            <w:tcW w:w="989" w:type="dxa"/>
            <w:shd w:val="clear" w:color="auto" w:fill="FFFFFF" w:themeFill="background1"/>
          </w:tcPr>
          <w:p w14:paraId="769F447A"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1,030</w:t>
            </w:r>
          </w:p>
        </w:tc>
        <w:tc>
          <w:tcPr>
            <w:tcW w:w="989" w:type="dxa"/>
            <w:shd w:val="clear" w:color="auto" w:fill="FFFFFF" w:themeFill="background1"/>
          </w:tcPr>
          <w:p w14:paraId="57130391"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32%</w:t>
            </w:r>
          </w:p>
        </w:tc>
        <w:tc>
          <w:tcPr>
            <w:tcW w:w="989" w:type="dxa"/>
            <w:shd w:val="clear" w:color="auto" w:fill="FFFFFF" w:themeFill="background1"/>
          </w:tcPr>
          <w:p w14:paraId="0F7CA646" w14:textId="3C0FE6B4" w:rsidR="001D6557" w:rsidRPr="00466128" w:rsidRDefault="001D6557" w:rsidP="00E0532C">
            <w:pPr>
              <w:jc w:val="center"/>
              <w:rPr>
                <w:rFonts w:ascii="Aptos" w:hAnsi="Aptos" w:cs="Arial"/>
                <w:sz w:val="20"/>
                <w:szCs w:val="20"/>
              </w:rPr>
            </w:pPr>
            <w:r w:rsidRPr="00466128">
              <w:rPr>
                <w:rFonts w:ascii="Aptos" w:hAnsi="Aptos" w:cs="Arial"/>
                <w:sz w:val="20"/>
                <w:szCs w:val="20"/>
              </w:rPr>
              <w:t>1,810</w:t>
            </w:r>
          </w:p>
        </w:tc>
        <w:tc>
          <w:tcPr>
            <w:tcW w:w="1175" w:type="dxa"/>
            <w:shd w:val="clear" w:color="auto" w:fill="FFFFFF" w:themeFill="background1"/>
            <w:vAlign w:val="bottom"/>
          </w:tcPr>
          <w:p w14:paraId="3C0381AE" w14:textId="39730387" w:rsidR="001D6557" w:rsidRPr="00466128" w:rsidRDefault="001D6557" w:rsidP="00E0532C">
            <w:pPr>
              <w:jc w:val="center"/>
              <w:rPr>
                <w:rFonts w:ascii="Aptos" w:hAnsi="Aptos" w:cs="Arial"/>
                <w:sz w:val="20"/>
                <w:szCs w:val="20"/>
              </w:rPr>
            </w:pPr>
            <w:r w:rsidRPr="00466128">
              <w:rPr>
                <w:rFonts w:ascii="Aptos" w:hAnsi="Aptos"/>
                <w:sz w:val="20"/>
                <w:szCs w:val="20"/>
              </w:rPr>
              <w:t>37.8%</w:t>
            </w:r>
          </w:p>
        </w:tc>
      </w:tr>
      <w:tr w:rsidR="00466128" w:rsidRPr="00466128" w14:paraId="7E15F9B9" w14:textId="77777777" w:rsidTr="00C6622C">
        <w:trPr>
          <w:cantSplit/>
        </w:trPr>
        <w:tc>
          <w:tcPr>
            <w:tcW w:w="3415" w:type="dxa"/>
          </w:tcPr>
          <w:p w14:paraId="3089C6FC" w14:textId="77777777" w:rsidR="001D6557" w:rsidRPr="00466128" w:rsidRDefault="001D6557" w:rsidP="001D6557">
            <w:pPr>
              <w:rPr>
                <w:rFonts w:ascii="Aptos" w:hAnsi="Aptos" w:cs="Arial"/>
                <w:b/>
                <w:bCs/>
                <w:sz w:val="20"/>
                <w:szCs w:val="20"/>
              </w:rPr>
            </w:pPr>
            <w:r w:rsidRPr="00466128">
              <w:rPr>
                <w:rFonts w:ascii="Aptos" w:hAnsi="Aptos" w:cs="Arial"/>
                <w:b/>
                <w:bCs/>
                <w:sz w:val="20"/>
                <w:szCs w:val="20"/>
              </w:rPr>
              <w:t>Age: 50-69</w:t>
            </w:r>
          </w:p>
        </w:tc>
        <w:tc>
          <w:tcPr>
            <w:tcW w:w="989" w:type="dxa"/>
          </w:tcPr>
          <w:p w14:paraId="30A38DC9"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861</w:t>
            </w:r>
          </w:p>
        </w:tc>
        <w:tc>
          <w:tcPr>
            <w:tcW w:w="989" w:type="dxa"/>
          </w:tcPr>
          <w:p w14:paraId="0D832280"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53.4%</w:t>
            </w:r>
          </w:p>
        </w:tc>
        <w:tc>
          <w:tcPr>
            <w:tcW w:w="989" w:type="dxa"/>
          </w:tcPr>
          <w:p w14:paraId="7ACF511A"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1,723</w:t>
            </w:r>
          </w:p>
        </w:tc>
        <w:tc>
          <w:tcPr>
            <w:tcW w:w="989" w:type="dxa"/>
          </w:tcPr>
          <w:p w14:paraId="7E675305"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53.6%</w:t>
            </w:r>
          </w:p>
        </w:tc>
        <w:tc>
          <w:tcPr>
            <w:tcW w:w="989" w:type="dxa"/>
          </w:tcPr>
          <w:p w14:paraId="5CE8DB54" w14:textId="48B0181C" w:rsidR="001D6557" w:rsidRPr="00466128" w:rsidRDefault="001D6557" w:rsidP="00E0532C">
            <w:pPr>
              <w:jc w:val="center"/>
              <w:rPr>
                <w:rFonts w:ascii="Aptos" w:hAnsi="Aptos" w:cs="Arial"/>
                <w:sz w:val="20"/>
                <w:szCs w:val="20"/>
              </w:rPr>
            </w:pPr>
            <w:r w:rsidRPr="00466128">
              <w:rPr>
                <w:rFonts w:ascii="Aptos" w:hAnsi="Aptos" w:cs="Arial"/>
                <w:sz w:val="20"/>
                <w:szCs w:val="20"/>
              </w:rPr>
              <w:t>2,439</w:t>
            </w:r>
          </w:p>
        </w:tc>
        <w:tc>
          <w:tcPr>
            <w:tcW w:w="1175" w:type="dxa"/>
            <w:vAlign w:val="bottom"/>
          </w:tcPr>
          <w:p w14:paraId="6C3310BC" w14:textId="0C5B3540" w:rsidR="001D6557" w:rsidRPr="00466128" w:rsidRDefault="001D6557" w:rsidP="00E0532C">
            <w:pPr>
              <w:jc w:val="center"/>
              <w:rPr>
                <w:rFonts w:ascii="Aptos" w:hAnsi="Aptos" w:cs="Arial"/>
                <w:sz w:val="20"/>
                <w:szCs w:val="20"/>
              </w:rPr>
            </w:pPr>
            <w:r w:rsidRPr="00466128">
              <w:rPr>
                <w:rFonts w:ascii="Aptos" w:hAnsi="Aptos"/>
                <w:sz w:val="20"/>
                <w:szCs w:val="20"/>
              </w:rPr>
              <w:t>50.9%</w:t>
            </w:r>
          </w:p>
        </w:tc>
      </w:tr>
      <w:tr w:rsidR="00466128" w:rsidRPr="00466128" w14:paraId="1E7DC49C" w14:textId="77777777" w:rsidTr="00C6622C">
        <w:trPr>
          <w:cantSplit/>
        </w:trPr>
        <w:tc>
          <w:tcPr>
            <w:tcW w:w="3415" w:type="dxa"/>
          </w:tcPr>
          <w:p w14:paraId="2C1A311C" w14:textId="77777777" w:rsidR="001D6557" w:rsidRPr="00466128" w:rsidRDefault="001D6557" w:rsidP="001D6557">
            <w:pPr>
              <w:rPr>
                <w:rFonts w:ascii="Aptos" w:hAnsi="Aptos" w:cs="Arial"/>
                <w:b/>
                <w:bCs/>
                <w:sz w:val="20"/>
                <w:szCs w:val="20"/>
              </w:rPr>
            </w:pPr>
            <w:r w:rsidRPr="00466128">
              <w:rPr>
                <w:rFonts w:ascii="Aptos" w:hAnsi="Aptos" w:cs="Arial"/>
                <w:b/>
                <w:bCs/>
                <w:sz w:val="20"/>
                <w:szCs w:val="20"/>
              </w:rPr>
              <w:t>Age: 70+</w:t>
            </w:r>
          </w:p>
        </w:tc>
        <w:tc>
          <w:tcPr>
            <w:tcW w:w="989" w:type="dxa"/>
          </w:tcPr>
          <w:p w14:paraId="03DABF3D"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308</w:t>
            </w:r>
          </w:p>
        </w:tc>
        <w:tc>
          <w:tcPr>
            <w:tcW w:w="989" w:type="dxa"/>
          </w:tcPr>
          <w:p w14:paraId="79E7463F"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19.1%</w:t>
            </w:r>
          </w:p>
        </w:tc>
        <w:tc>
          <w:tcPr>
            <w:tcW w:w="989" w:type="dxa"/>
          </w:tcPr>
          <w:p w14:paraId="387EDCD8"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457</w:t>
            </w:r>
          </w:p>
        </w:tc>
        <w:tc>
          <w:tcPr>
            <w:tcW w:w="989" w:type="dxa"/>
          </w:tcPr>
          <w:p w14:paraId="75EB0AFB" w14:textId="77777777" w:rsidR="001D6557" w:rsidRPr="00466128" w:rsidRDefault="001D6557" w:rsidP="00E0532C">
            <w:pPr>
              <w:jc w:val="center"/>
              <w:rPr>
                <w:rFonts w:ascii="Aptos" w:hAnsi="Aptos" w:cs="Arial"/>
                <w:sz w:val="20"/>
                <w:szCs w:val="20"/>
              </w:rPr>
            </w:pPr>
            <w:r w:rsidRPr="00466128">
              <w:rPr>
                <w:rFonts w:ascii="Aptos" w:hAnsi="Aptos" w:cs="Arial"/>
                <w:sz w:val="20"/>
                <w:szCs w:val="20"/>
              </w:rPr>
              <w:t>14.2%</w:t>
            </w:r>
          </w:p>
        </w:tc>
        <w:tc>
          <w:tcPr>
            <w:tcW w:w="989" w:type="dxa"/>
          </w:tcPr>
          <w:p w14:paraId="55112815" w14:textId="0B807BBA" w:rsidR="001D6557" w:rsidRPr="00466128" w:rsidRDefault="001D6557" w:rsidP="00E0532C">
            <w:pPr>
              <w:jc w:val="center"/>
              <w:rPr>
                <w:rFonts w:ascii="Aptos" w:hAnsi="Aptos" w:cs="Arial"/>
                <w:sz w:val="20"/>
                <w:szCs w:val="20"/>
              </w:rPr>
            </w:pPr>
            <w:r w:rsidRPr="00466128">
              <w:rPr>
                <w:rFonts w:ascii="Aptos" w:hAnsi="Aptos" w:cs="Arial"/>
                <w:sz w:val="20"/>
                <w:szCs w:val="20"/>
              </w:rPr>
              <w:t>541</w:t>
            </w:r>
          </w:p>
        </w:tc>
        <w:tc>
          <w:tcPr>
            <w:tcW w:w="1175" w:type="dxa"/>
            <w:vAlign w:val="bottom"/>
          </w:tcPr>
          <w:p w14:paraId="0E3B92DC" w14:textId="22169E9C" w:rsidR="001D6557" w:rsidRPr="00466128" w:rsidRDefault="001D6557" w:rsidP="00E0532C">
            <w:pPr>
              <w:jc w:val="center"/>
              <w:rPr>
                <w:rFonts w:ascii="Aptos" w:hAnsi="Aptos" w:cs="Arial"/>
                <w:sz w:val="20"/>
                <w:szCs w:val="20"/>
              </w:rPr>
            </w:pPr>
            <w:r w:rsidRPr="00466128">
              <w:rPr>
                <w:rFonts w:ascii="Aptos" w:hAnsi="Aptos"/>
                <w:sz w:val="20"/>
                <w:szCs w:val="20"/>
              </w:rPr>
              <w:t>11.3%</w:t>
            </w:r>
          </w:p>
        </w:tc>
      </w:tr>
      <w:tr w:rsidR="002B4509" w:rsidRPr="00466128" w14:paraId="3AA9AB01" w14:textId="77777777" w:rsidTr="00C6622C">
        <w:trPr>
          <w:cantSplit/>
        </w:trPr>
        <w:tc>
          <w:tcPr>
            <w:tcW w:w="3415" w:type="dxa"/>
          </w:tcPr>
          <w:p w14:paraId="199ACC99" w14:textId="596604DF" w:rsidR="002B4509" w:rsidRPr="00466128" w:rsidRDefault="002B4509" w:rsidP="002B4509">
            <w:pPr>
              <w:rPr>
                <w:rFonts w:ascii="Aptos" w:hAnsi="Aptos" w:cs="Arial"/>
                <w:b/>
                <w:bCs/>
                <w:sz w:val="20"/>
                <w:szCs w:val="20"/>
              </w:rPr>
            </w:pPr>
            <w:r w:rsidRPr="00466128">
              <w:rPr>
                <w:rFonts w:ascii="Aptos" w:hAnsi="Aptos" w:cs="Arial"/>
                <w:b/>
                <w:bCs/>
                <w:sz w:val="20"/>
                <w:szCs w:val="20"/>
              </w:rPr>
              <w:t>Total</w:t>
            </w:r>
          </w:p>
        </w:tc>
        <w:tc>
          <w:tcPr>
            <w:tcW w:w="989" w:type="dxa"/>
          </w:tcPr>
          <w:p w14:paraId="62A7BB42" w14:textId="39D5BF98" w:rsidR="002B4509" w:rsidRPr="00466128" w:rsidRDefault="002B4509" w:rsidP="002B4509">
            <w:pPr>
              <w:jc w:val="center"/>
              <w:rPr>
                <w:rFonts w:ascii="Aptos" w:hAnsi="Aptos" w:cs="Arial"/>
                <w:sz w:val="20"/>
                <w:szCs w:val="20"/>
              </w:rPr>
            </w:pPr>
            <w:r w:rsidRPr="00466128">
              <w:rPr>
                <w:rFonts w:ascii="Aptos" w:hAnsi="Aptos" w:cs="Arial"/>
                <w:sz w:val="20"/>
                <w:szCs w:val="20"/>
              </w:rPr>
              <w:t>1,610</w:t>
            </w:r>
          </w:p>
        </w:tc>
        <w:tc>
          <w:tcPr>
            <w:tcW w:w="989" w:type="dxa"/>
          </w:tcPr>
          <w:p w14:paraId="57C7BD39" w14:textId="5824093A" w:rsidR="002B4509" w:rsidRPr="00466128" w:rsidRDefault="002B4509" w:rsidP="002B4509">
            <w:pPr>
              <w:jc w:val="center"/>
              <w:rPr>
                <w:rFonts w:ascii="Aptos" w:hAnsi="Aptos" w:cs="Arial"/>
                <w:sz w:val="20"/>
                <w:szCs w:val="20"/>
              </w:rPr>
            </w:pPr>
            <w:r w:rsidRPr="00466128">
              <w:rPr>
                <w:rFonts w:ascii="Aptos" w:hAnsi="Aptos" w:cs="Arial"/>
                <w:sz w:val="20"/>
                <w:szCs w:val="20"/>
              </w:rPr>
              <w:t>100%</w:t>
            </w:r>
          </w:p>
        </w:tc>
        <w:tc>
          <w:tcPr>
            <w:tcW w:w="989" w:type="dxa"/>
          </w:tcPr>
          <w:p w14:paraId="24B32347" w14:textId="7982DC32" w:rsidR="002B4509" w:rsidRPr="00466128" w:rsidRDefault="002B4509" w:rsidP="002B4509">
            <w:pPr>
              <w:jc w:val="center"/>
              <w:rPr>
                <w:rFonts w:ascii="Aptos" w:hAnsi="Aptos" w:cs="Arial"/>
                <w:sz w:val="20"/>
                <w:szCs w:val="20"/>
              </w:rPr>
            </w:pPr>
            <w:r w:rsidRPr="00466128">
              <w:rPr>
                <w:rFonts w:ascii="Aptos" w:hAnsi="Aptos" w:cs="Arial"/>
                <w:sz w:val="20"/>
                <w:szCs w:val="20"/>
              </w:rPr>
              <w:t>3,210</w:t>
            </w:r>
          </w:p>
        </w:tc>
        <w:tc>
          <w:tcPr>
            <w:tcW w:w="989" w:type="dxa"/>
          </w:tcPr>
          <w:p w14:paraId="075D2008" w14:textId="2C465A1C" w:rsidR="002B4509" w:rsidRPr="00466128" w:rsidRDefault="002B4509" w:rsidP="002B4509">
            <w:pPr>
              <w:jc w:val="center"/>
              <w:rPr>
                <w:rFonts w:ascii="Aptos" w:hAnsi="Aptos" w:cs="Arial"/>
                <w:sz w:val="20"/>
                <w:szCs w:val="20"/>
              </w:rPr>
            </w:pPr>
            <w:r w:rsidRPr="00466128">
              <w:rPr>
                <w:rFonts w:ascii="Aptos" w:hAnsi="Aptos" w:cs="Arial"/>
                <w:sz w:val="20"/>
                <w:szCs w:val="20"/>
              </w:rPr>
              <w:t>100%</w:t>
            </w:r>
          </w:p>
        </w:tc>
        <w:tc>
          <w:tcPr>
            <w:tcW w:w="989" w:type="dxa"/>
          </w:tcPr>
          <w:p w14:paraId="1AA28017" w14:textId="21FBA609" w:rsidR="002B4509" w:rsidRPr="00466128" w:rsidRDefault="002B4509" w:rsidP="002B4509">
            <w:pPr>
              <w:jc w:val="center"/>
              <w:rPr>
                <w:rFonts w:ascii="Aptos" w:hAnsi="Aptos" w:cs="Arial"/>
                <w:sz w:val="20"/>
                <w:szCs w:val="20"/>
              </w:rPr>
            </w:pPr>
            <w:r w:rsidRPr="00466128">
              <w:rPr>
                <w:rFonts w:ascii="Aptos" w:hAnsi="Aptos" w:cs="Arial"/>
                <w:sz w:val="20"/>
                <w:szCs w:val="20"/>
              </w:rPr>
              <w:t>4,790</w:t>
            </w:r>
          </w:p>
        </w:tc>
        <w:tc>
          <w:tcPr>
            <w:tcW w:w="1175" w:type="dxa"/>
          </w:tcPr>
          <w:p w14:paraId="6718BA22" w14:textId="4E1D7425" w:rsidR="002B4509" w:rsidRPr="00466128" w:rsidRDefault="002B4509" w:rsidP="002B4509">
            <w:pPr>
              <w:jc w:val="center"/>
              <w:rPr>
                <w:rFonts w:ascii="Aptos" w:hAnsi="Aptos"/>
                <w:sz w:val="20"/>
                <w:szCs w:val="20"/>
              </w:rPr>
            </w:pPr>
            <w:r w:rsidRPr="00466128">
              <w:rPr>
                <w:rFonts w:ascii="Aptos" w:hAnsi="Aptos" w:cs="Arial"/>
                <w:sz w:val="20"/>
                <w:szCs w:val="20"/>
              </w:rPr>
              <w:t>100%</w:t>
            </w:r>
          </w:p>
        </w:tc>
      </w:tr>
    </w:tbl>
    <w:p w14:paraId="08A4789E" w14:textId="77777777" w:rsidR="00987943" w:rsidRDefault="00987943" w:rsidP="006C26A3">
      <w:pPr>
        <w:rPr>
          <w:rFonts w:ascii="Aptos" w:hAnsi="Aptos" w:cstheme="minorHAnsi"/>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1"/>
        <w:gridCol w:w="1153"/>
        <w:gridCol w:w="1153"/>
        <w:gridCol w:w="1153"/>
        <w:gridCol w:w="1153"/>
        <w:gridCol w:w="1153"/>
        <w:gridCol w:w="1344"/>
      </w:tblGrid>
      <w:tr w:rsidR="000013CE" w:rsidRPr="000013CE" w14:paraId="2250E713" w14:textId="77777777" w:rsidTr="00C6622C">
        <w:trPr>
          <w:cantSplit/>
          <w:tblHeader/>
        </w:trPr>
        <w:tc>
          <w:tcPr>
            <w:tcW w:w="2421" w:type="dxa"/>
            <w:tcMar>
              <w:top w:w="0" w:type="dxa"/>
              <w:left w:w="108" w:type="dxa"/>
              <w:bottom w:w="0" w:type="dxa"/>
              <w:right w:w="108" w:type="dxa"/>
            </w:tcMar>
            <w:hideMark/>
          </w:tcPr>
          <w:p w14:paraId="7FBD767F" w14:textId="653ACE44" w:rsidR="000013CE" w:rsidRPr="000013CE" w:rsidRDefault="002B4509" w:rsidP="000013CE">
            <w:pPr>
              <w:spacing w:after="0" w:line="240" w:lineRule="auto"/>
              <w:rPr>
                <w:rFonts w:ascii="Aptos" w:hAnsi="Aptos" w:cstheme="minorHAnsi"/>
                <w:b/>
                <w:bCs/>
                <w:sz w:val="20"/>
                <w:szCs w:val="20"/>
              </w:rPr>
            </w:pPr>
            <w:r>
              <w:rPr>
                <w:rFonts w:ascii="Aptos" w:hAnsi="Aptos" w:cstheme="minorHAnsi"/>
                <w:b/>
                <w:bCs/>
                <w:sz w:val="20"/>
                <w:szCs w:val="20"/>
              </w:rPr>
              <w:t xml:space="preserve">Narrative </w:t>
            </w:r>
            <w:r w:rsidR="000013CE" w:rsidRPr="000013CE">
              <w:rPr>
                <w:rFonts w:ascii="Aptos" w:hAnsi="Aptos" w:cstheme="minorHAnsi"/>
                <w:b/>
                <w:bCs/>
                <w:sz w:val="20"/>
                <w:szCs w:val="20"/>
              </w:rPr>
              <w:t xml:space="preserve">Table 2: </w:t>
            </w:r>
          </w:p>
          <w:p w14:paraId="2277DEA0"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 xml:space="preserve">Geographic Origin </w:t>
            </w:r>
          </w:p>
        </w:tc>
        <w:tc>
          <w:tcPr>
            <w:tcW w:w="1153" w:type="dxa"/>
            <w:tcMar>
              <w:top w:w="0" w:type="dxa"/>
              <w:left w:w="108" w:type="dxa"/>
              <w:bottom w:w="0" w:type="dxa"/>
              <w:right w:w="108" w:type="dxa"/>
            </w:tcMar>
            <w:hideMark/>
          </w:tcPr>
          <w:p w14:paraId="6BA45698" w14:textId="77777777" w:rsidR="000013CE" w:rsidRPr="000013CE" w:rsidRDefault="000013CE" w:rsidP="002B4509">
            <w:pPr>
              <w:spacing w:after="0" w:line="240" w:lineRule="auto"/>
              <w:jc w:val="center"/>
              <w:rPr>
                <w:rFonts w:ascii="Aptos" w:hAnsi="Aptos" w:cstheme="minorHAnsi"/>
                <w:b/>
                <w:bCs/>
                <w:sz w:val="20"/>
                <w:szCs w:val="20"/>
              </w:rPr>
            </w:pPr>
            <w:r w:rsidRPr="000013CE">
              <w:rPr>
                <w:rFonts w:ascii="Aptos" w:hAnsi="Aptos" w:cstheme="minorHAnsi"/>
                <w:b/>
                <w:bCs/>
                <w:sz w:val="20"/>
                <w:szCs w:val="20"/>
              </w:rPr>
              <w:t>2022 Count</w:t>
            </w:r>
          </w:p>
        </w:tc>
        <w:tc>
          <w:tcPr>
            <w:tcW w:w="1153" w:type="dxa"/>
            <w:tcMar>
              <w:top w:w="0" w:type="dxa"/>
              <w:left w:w="108" w:type="dxa"/>
              <w:bottom w:w="0" w:type="dxa"/>
              <w:right w:w="108" w:type="dxa"/>
            </w:tcMar>
            <w:hideMark/>
          </w:tcPr>
          <w:p w14:paraId="1A9B0772" w14:textId="77777777" w:rsidR="000013CE" w:rsidRPr="000013CE" w:rsidRDefault="000013CE" w:rsidP="002B4509">
            <w:pPr>
              <w:spacing w:after="0" w:line="240" w:lineRule="auto"/>
              <w:jc w:val="center"/>
              <w:rPr>
                <w:rFonts w:ascii="Aptos" w:hAnsi="Aptos" w:cstheme="minorHAnsi"/>
                <w:b/>
                <w:bCs/>
                <w:sz w:val="20"/>
                <w:szCs w:val="20"/>
              </w:rPr>
            </w:pPr>
            <w:r w:rsidRPr="000013CE">
              <w:rPr>
                <w:rFonts w:ascii="Aptos" w:hAnsi="Aptos" w:cstheme="minorHAnsi"/>
                <w:b/>
                <w:bCs/>
                <w:sz w:val="20"/>
                <w:szCs w:val="20"/>
              </w:rPr>
              <w:t>2022 Percent</w:t>
            </w:r>
          </w:p>
        </w:tc>
        <w:tc>
          <w:tcPr>
            <w:tcW w:w="1153" w:type="dxa"/>
            <w:tcMar>
              <w:top w:w="0" w:type="dxa"/>
              <w:left w:w="108" w:type="dxa"/>
              <w:bottom w:w="0" w:type="dxa"/>
              <w:right w:w="108" w:type="dxa"/>
            </w:tcMar>
            <w:hideMark/>
          </w:tcPr>
          <w:p w14:paraId="48796E90" w14:textId="77777777" w:rsidR="000013CE" w:rsidRPr="000013CE" w:rsidRDefault="000013CE" w:rsidP="002B4509">
            <w:pPr>
              <w:spacing w:after="0" w:line="240" w:lineRule="auto"/>
              <w:jc w:val="center"/>
              <w:rPr>
                <w:rFonts w:ascii="Aptos" w:hAnsi="Aptos" w:cstheme="minorHAnsi"/>
                <w:b/>
                <w:bCs/>
                <w:sz w:val="20"/>
                <w:szCs w:val="20"/>
              </w:rPr>
            </w:pPr>
            <w:r w:rsidRPr="000013CE">
              <w:rPr>
                <w:rFonts w:ascii="Aptos" w:hAnsi="Aptos" w:cstheme="minorHAnsi"/>
                <w:b/>
                <w:bCs/>
                <w:sz w:val="20"/>
                <w:szCs w:val="20"/>
              </w:rPr>
              <w:t>2023 Count</w:t>
            </w:r>
          </w:p>
        </w:tc>
        <w:tc>
          <w:tcPr>
            <w:tcW w:w="1153" w:type="dxa"/>
            <w:tcMar>
              <w:top w:w="0" w:type="dxa"/>
              <w:left w:w="108" w:type="dxa"/>
              <w:bottom w:w="0" w:type="dxa"/>
              <w:right w:w="108" w:type="dxa"/>
            </w:tcMar>
            <w:hideMark/>
          </w:tcPr>
          <w:p w14:paraId="75937575" w14:textId="77777777" w:rsidR="000013CE" w:rsidRPr="000013CE" w:rsidRDefault="000013CE" w:rsidP="002B4509">
            <w:pPr>
              <w:spacing w:after="0" w:line="240" w:lineRule="auto"/>
              <w:jc w:val="center"/>
              <w:rPr>
                <w:rFonts w:ascii="Aptos" w:hAnsi="Aptos" w:cstheme="minorHAnsi"/>
                <w:b/>
                <w:bCs/>
                <w:sz w:val="20"/>
                <w:szCs w:val="20"/>
              </w:rPr>
            </w:pPr>
            <w:r w:rsidRPr="000013CE">
              <w:rPr>
                <w:rFonts w:ascii="Aptos" w:hAnsi="Aptos" w:cstheme="minorHAnsi"/>
                <w:b/>
                <w:bCs/>
                <w:sz w:val="20"/>
                <w:szCs w:val="20"/>
              </w:rPr>
              <w:t>2023 Percent</w:t>
            </w:r>
          </w:p>
        </w:tc>
        <w:tc>
          <w:tcPr>
            <w:tcW w:w="1153" w:type="dxa"/>
            <w:tcMar>
              <w:top w:w="0" w:type="dxa"/>
              <w:left w:w="108" w:type="dxa"/>
              <w:bottom w:w="0" w:type="dxa"/>
              <w:right w:w="108" w:type="dxa"/>
            </w:tcMar>
            <w:hideMark/>
          </w:tcPr>
          <w:p w14:paraId="350DFFF7" w14:textId="77777777" w:rsidR="000013CE" w:rsidRPr="000013CE" w:rsidRDefault="000013CE" w:rsidP="002B4509">
            <w:pPr>
              <w:spacing w:after="0" w:line="240" w:lineRule="auto"/>
              <w:jc w:val="center"/>
              <w:rPr>
                <w:rFonts w:ascii="Aptos" w:hAnsi="Aptos" w:cstheme="minorHAnsi"/>
                <w:b/>
                <w:bCs/>
                <w:sz w:val="20"/>
                <w:szCs w:val="20"/>
              </w:rPr>
            </w:pPr>
            <w:r w:rsidRPr="000013CE">
              <w:rPr>
                <w:rFonts w:ascii="Aptos" w:hAnsi="Aptos" w:cstheme="minorHAnsi"/>
                <w:b/>
                <w:bCs/>
                <w:sz w:val="20"/>
                <w:szCs w:val="20"/>
              </w:rPr>
              <w:t>2024 Count</w:t>
            </w:r>
          </w:p>
        </w:tc>
        <w:tc>
          <w:tcPr>
            <w:tcW w:w="1344" w:type="dxa"/>
            <w:tcMar>
              <w:top w:w="0" w:type="dxa"/>
              <w:left w:w="108" w:type="dxa"/>
              <w:bottom w:w="0" w:type="dxa"/>
              <w:right w:w="108" w:type="dxa"/>
            </w:tcMar>
            <w:hideMark/>
          </w:tcPr>
          <w:p w14:paraId="7521874F" w14:textId="77777777" w:rsidR="000013CE" w:rsidRPr="000013CE" w:rsidRDefault="000013CE" w:rsidP="002B4509">
            <w:pPr>
              <w:spacing w:after="0" w:line="240" w:lineRule="auto"/>
              <w:jc w:val="center"/>
              <w:rPr>
                <w:rFonts w:ascii="Aptos" w:hAnsi="Aptos" w:cstheme="minorHAnsi"/>
                <w:b/>
                <w:bCs/>
                <w:sz w:val="20"/>
                <w:szCs w:val="20"/>
              </w:rPr>
            </w:pPr>
            <w:r w:rsidRPr="000013CE">
              <w:rPr>
                <w:rFonts w:ascii="Aptos" w:hAnsi="Aptos" w:cstheme="minorHAnsi"/>
                <w:b/>
                <w:bCs/>
                <w:sz w:val="20"/>
                <w:szCs w:val="20"/>
              </w:rPr>
              <w:t>2024 Percent</w:t>
            </w:r>
          </w:p>
        </w:tc>
      </w:tr>
      <w:tr w:rsidR="000013CE" w:rsidRPr="000013CE" w14:paraId="54DCAEC0" w14:textId="77777777" w:rsidTr="00C6622C">
        <w:trPr>
          <w:cantSplit/>
        </w:trPr>
        <w:tc>
          <w:tcPr>
            <w:tcW w:w="2421" w:type="dxa"/>
            <w:tcMar>
              <w:top w:w="0" w:type="dxa"/>
              <w:left w:w="108" w:type="dxa"/>
              <w:bottom w:w="0" w:type="dxa"/>
              <w:right w:w="108" w:type="dxa"/>
            </w:tcMar>
            <w:hideMark/>
          </w:tcPr>
          <w:p w14:paraId="14BD83AB"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Concord</w:t>
            </w:r>
          </w:p>
        </w:tc>
        <w:tc>
          <w:tcPr>
            <w:tcW w:w="1153" w:type="dxa"/>
            <w:tcMar>
              <w:top w:w="0" w:type="dxa"/>
              <w:left w:w="108" w:type="dxa"/>
              <w:bottom w:w="0" w:type="dxa"/>
              <w:right w:w="108" w:type="dxa"/>
            </w:tcMar>
            <w:hideMark/>
          </w:tcPr>
          <w:p w14:paraId="457100B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134</w:t>
            </w:r>
          </w:p>
        </w:tc>
        <w:tc>
          <w:tcPr>
            <w:tcW w:w="1153" w:type="dxa"/>
            <w:tcMar>
              <w:top w:w="0" w:type="dxa"/>
              <w:left w:w="108" w:type="dxa"/>
              <w:bottom w:w="0" w:type="dxa"/>
              <w:right w:w="108" w:type="dxa"/>
            </w:tcMar>
            <w:hideMark/>
          </w:tcPr>
          <w:p w14:paraId="1B34BB1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8.3%</w:t>
            </w:r>
          </w:p>
        </w:tc>
        <w:tc>
          <w:tcPr>
            <w:tcW w:w="1153" w:type="dxa"/>
            <w:tcMar>
              <w:top w:w="0" w:type="dxa"/>
              <w:left w:w="108" w:type="dxa"/>
              <w:bottom w:w="0" w:type="dxa"/>
              <w:right w:w="108" w:type="dxa"/>
            </w:tcMar>
            <w:hideMark/>
          </w:tcPr>
          <w:p w14:paraId="50FAB9B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310</w:t>
            </w:r>
          </w:p>
        </w:tc>
        <w:tc>
          <w:tcPr>
            <w:tcW w:w="1153" w:type="dxa"/>
            <w:tcMar>
              <w:top w:w="0" w:type="dxa"/>
              <w:left w:w="108" w:type="dxa"/>
              <w:bottom w:w="0" w:type="dxa"/>
              <w:right w:w="108" w:type="dxa"/>
            </w:tcMar>
            <w:hideMark/>
          </w:tcPr>
          <w:p w14:paraId="3DB4C46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9.6%</w:t>
            </w:r>
          </w:p>
        </w:tc>
        <w:tc>
          <w:tcPr>
            <w:tcW w:w="1153" w:type="dxa"/>
            <w:tcMar>
              <w:top w:w="0" w:type="dxa"/>
              <w:left w:w="108" w:type="dxa"/>
              <w:bottom w:w="0" w:type="dxa"/>
              <w:right w:w="108" w:type="dxa"/>
            </w:tcMar>
            <w:vAlign w:val="bottom"/>
            <w:hideMark/>
          </w:tcPr>
          <w:p w14:paraId="5ADF927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379</w:t>
            </w:r>
          </w:p>
        </w:tc>
        <w:tc>
          <w:tcPr>
            <w:tcW w:w="1344" w:type="dxa"/>
            <w:tcMar>
              <w:top w:w="0" w:type="dxa"/>
              <w:left w:w="108" w:type="dxa"/>
              <w:bottom w:w="0" w:type="dxa"/>
              <w:right w:w="108" w:type="dxa"/>
            </w:tcMar>
            <w:vAlign w:val="center"/>
            <w:hideMark/>
          </w:tcPr>
          <w:p w14:paraId="4E029A0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8%</w:t>
            </w:r>
          </w:p>
        </w:tc>
      </w:tr>
      <w:tr w:rsidR="000013CE" w:rsidRPr="000013CE" w14:paraId="292C7563" w14:textId="77777777" w:rsidTr="00C6622C">
        <w:trPr>
          <w:cantSplit/>
        </w:trPr>
        <w:tc>
          <w:tcPr>
            <w:tcW w:w="2421" w:type="dxa"/>
            <w:tcMar>
              <w:top w:w="0" w:type="dxa"/>
              <w:left w:w="108" w:type="dxa"/>
              <w:bottom w:w="0" w:type="dxa"/>
              <w:right w:w="108" w:type="dxa"/>
            </w:tcMar>
            <w:hideMark/>
          </w:tcPr>
          <w:p w14:paraId="3128E746"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Acton</w:t>
            </w:r>
          </w:p>
        </w:tc>
        <w:tc>
          <w:tcPr>
            <w:tcW w:w="1153" w:type="dxa"/>
            <w:tcMar>
              <w:top w:w="0" w:type="dxa"/>
              <w:left w:w="108" w:type="dxa"/>
              <w:bottom w:w="0" w:type="dxa"/>
              <w:right w:w="108" w:type="dxa"/>
            </w:tcMar>
            <w:hideMark/>
          </w:tcPr>
          <w:p w14:paraId="093D350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123</w:t>
            </w:r>
          </w:p>
        </w:tc>
        <w:tc>
          <w:tcPr>
            <w:tcW w:w="1153" w:type="dxa"/>
            <w:tcMar>
              <w:top w:w="0" w:type="dxa"/>
              <w:left w:w="108" w:type="dxa"/>
              <w:bottom w:w="0" w:type="dxa"/>
              <w:right w:w="108" w:type="dxa"/>
            </w:tcMar>
            <w:hideMark/>
          </w:tcPr>
          <w:p w14:paraId="0C2759A2"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7.6%</w:t>
            </w:r>
          </w:p>
        </w:tc>
        <w:tc>
          <w:tcPr>
            <w:tcW w:w="1153" w:type="dxa"/>
            <w:tcMar>
              <w:top w:w="0" w:type="dxa"/>
              <w:left w:w="108" w:type="dxa"/>
              <w:bottom w:w="0" w:type="dxa"/>
              <w:right w:w="108" w:type="dxa"/>
            </w:tcMar>
            <w:hideMark/>
          </w:tcPr>
          <w:p w14:paraId="5CA64F6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275</w:t>
            </w:r>
          </w:p>
        </w:tc>
        <w:tc>
          <w:tcPr>
            <w:tcW w:w="1153" w:type="dxa"/>
            <w:tcMar>
              <w:top w:w="0" w:type="dxa"/>
              <w:left w:w="108" w:type="dxa"/>
              <w:bottom w:w="0" w:type="dxa"/>
              <w:right w:w="108" w:type="dxa"/>
            </w:tcMar>
            <w:hideMark/>
          </w:tcPr>
          <w:p w14:paraId="7340FB0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8.5%</w:t>
            </w:r>
          </w:p>
        </w:tc>
        <w:tc>
          <w:tcPr>
            <w:tcW w:w="1153" w:type="dxa"/>
            <w:tcMar>
              <w:top w:w="0" w:type="dxa"/>
              <w:left w:w="108" w:type="dxa"/>
              <w:bottom w:w="0" w:type="dxa"/>
              <w:right w:w="108" w:type="dxa"/>
            </w:tcMar>
            <w:vAlign w:val="bottom"/>
            <w:hideMark/>
          </w:tcPr>
          <w:p w14:paraId="1EEC43B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383</w:t>
            </w:r>
          </w:p>
        </w:tc>
        <w:tc>
          <w:tcPr>
            <w:tcW w:w="1344" w:type="dxa"/>
            <w:tcMar>
              <w:top w:w="0" w:type="dxa"/>
              <w:left w:w="108" w:type="dxa"/>
              <w:bottom w:w="0" w:type="dxa"/>
              <w:right w:w="108" w:type="dxa"/>
            </w:tcMar>
            <w:vAlign w:val="center"/>
            <w:hideMark/>
          </w:tcPr>
          <w:p w14:paraId="68EEB89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8%</w:t>
            </w:r>
          </w:p>
        </w:tc>
      </w:tr>
      <w:tr w:rsidR="000013CE" w:rsidRPr="000013CE" w14:paraId="6BBF5591" w14:textId="77777777" w:rsidTr="00C6622C">
        <w:trPr>
          <w:cantSplit/>
        </w:trPr>
        <w:tc>
          <w:tcPr>
            <w:tcW w:w="2421" w:type="dxa"/>
            <w:tcMar>
              <w:top w:w="0" w:type="dxa"/>
              <w:left w:w="108" w:type="dxa"/>
              <w:bottom w:w="0" w:type="dxa"/>
              <w:right w:w="108" w:type="dxa"/>
            </w:tcMar>
            <w:hideMark/>
          </w:tcPr>
          <w:p w14:paraId="29A02C76"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Sudbury</w:t>
            </w:r>
          </w:p>
        </w:tc>
        <w:tc>
          <w:tcPr>
            <w:tcW w:w="1153" w:type="dxa"/>
            <w:tcMar>
              <w:top w:w="0" w:type="dxa"/>
              <w:left w:w="108" w:type="dxa"/>
              <w:bottom w:w="0" w:type="dxa"/>
              <w:right w:w="108" w:type="dxa"/>
            </w:tcMar>
            <w:hideMark/>
          </w:tcPr>
          <w:p w14:paraId="00D6680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100</w:t>
            </w:r>
          </w:p>
        </w:tc>
        <w:tc>
          <w:tcPr>
            <w:tcW w:w="1153" w:type="dxa"/>
            <w:tcMar>
              <w:top w:w="0" w:type="dxa"/>
              <w:left w:w="108" w:type="dxa"/>
              <w:bottom w:w="0" w:type="dxa"/>
              <w:right w:w="108" w:type="dxa"/>
            </w:tcMar>
            <w:hideMark/>
          </w:tcPr>
          <w:p w14:paraId="3C60F6F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6.2%</w:t>
            </w:r>
          </w:p>
        </w:tc>
        <w:tc>
          <w:tcPr>
            <w:tcW w:w="1153" w:type="dxa"/>
            <w:tcMar>
              <w:top w:w="0" w:type="dxa"/>
              <w:left w:w="108" w:type="dxa"/>
              <w:bottom w:w="0" w:type="dxa"/>
              <w:right w:w="108" w:type="dxa"/>
            </w:tcMar>
            <w:hideMark/>
          </w:tcPr>
          <w:p w14:paraId="6EEEF3DD"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200</w:t>
            </w:r>
          </w:p>
        </w:tc>
        <w:tc>
          <w:tcPr>
            <w:tcW w:w="1153" w:type="dxa"/>
            <w:tcMar>
              <w:top w:w="0" w:type="dxa"/>
              <w:left w:w="108" w:type="dxa"/>
              <w:bottom w:w="0" w:type="dxa"/>
              <w:right w:w="108" w:type="dxa"/>
            </w:tcMar>
            <w:hideMark/>
          </w:tcPr>
          <w:p w14:paraId="600E48F0"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6.2%</w:t>
            </w:r>
          </w:p>
        </w:tc>
        <w:tc>
          <w:tcPr>
            <w:tcW w:w="1153" w:type="dxa"/>
            <w:tcMar>
              <w:top w:w="0" w:type="dxa"/>
              <w:left w:w="108" w:type="dxa"/>
              <w:bottom w:w="0" w:type="dxa"/>
              <w:right w:w="108" w:type="dxa"/>
            </w:tcMar>
            <w:vAlign w:val="bottom"/>
            <w:hideMark/>
          </w:tcPr>
          <w:p w14:paraId="1F110F82"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269</w:t>
            </w:r>
          </w:p>
        </w:tc>
        <w:tc>
          <w:tcPr>
            <w:tcW w:w="1344" w:type="dxa"/>
            <w:tcMar>
              <w:top w:w="0" w:type="dxa"/>
              <w:left w:w="108" w:type="dxa"/>
              <w:bottom w:w="0" w:type="dxa"/>
              <w:right w:w="108" w:type="dxa"/>
            </w:tcMar>
            <w:vAlign w:val="center"/>
            <w:hideMark/>
          </w:tcPr>
          <w:p w14:paraId="6C8CAC6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w:t>
            </w:r>
          </w:p>
        </w:tc>
      </w:tr>
      <w:tr w:rsidR="000013CE" w:rsidRPr="000013CE" w14:paraId="4A73CEA1" w14:textId="77777777" w:rsidTr="00C6622C">
        <w:trPr>
          <w:cantSplit/>
        </w:trPr>
        <w:tc>
          <w:tcPr>
            <w:tcW w:w="2421" w:type="dxa"/>
            <w:tcMar>
              <w:top w:w="0" w:type="dxa"/>
              <w:left w:w="108" w:type="dxa"/>
              <w:bottom w:w="0" w:type="dxa"/>
              <w:right w:w="108" w:type="dxa"/>
            </w:tcMar>
            <w:hideMark/>
          </w:tcPr>
          <w:p w14:paraId="26428DA5"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Westford</w:t>
            </w:r>
          </w:p>
        </w:tc>
        <w:tc>
          <w:tcPr>
            <w:tcW w:w="1153" w:type="dxa"/>
            <w:tcMar>
              <w:top w:w="0" w:type="dxa"/>
              <w:left w:w="108" w:type="dxa"/>
              <w:bottom w:w="0" w:type="dxa"/>
              <w:right w:w="108" w:type="dxa"/>
            </w:tcMar>
            <w:hideMark/>
          </w:tcPr>
          <w:p w14:paraId="6240B10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96</w:t>
            </w:r>
          </w:p>
        </w:tc>
        <w:tc>
          <w:tcPr>
            <w:tcW w:w="1153" w:type="dxa"/>
            <w:tcMar>
              <w:top w:w="0" w:type="dxa"/>
              <w:left w:w="108" w:type="dxa"/>
              <w:bottom w:w="0" w:type="dxa"/>
              <w:right w:w="108" w:type="dxa"/>
            </w:tcMar>
            <w:hideMark/>
          </w:tcPr>
          <w:p w14:paraId="66D5562D"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5.9%</w:t>
            </w:r>
          </w:p>
        </w:tc>
        <w:tc>
          <w:tcPr>
            <w:tcW w:w="1153" w:type="dxa"/>
            <w:tcMar>
              <w:top w:w="0" w:type="dxa"/>
              <w:left w:w="108" w:type="dxa"/>
              <w:bottom w:w="0" w:type="dxa"/>
              <w:right w:w="108" w:type="dxa"/>
            </w:tcMar>
            <w:hideMark/>
          </w:tcPr>
          <w:p w14:paraId="2157F25D"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184</w:t>
            </w:r>
          </w:p>
        </w:tc>
        <w:tc>
          <w:tcPr>
            <w:tcW w:w="1153" w:type="dxa"/>
            <w:tcMar>
              <w:top w:w="0" w:type="dxa"/>
              <w:left w:w="108" w:type="dxa"/>
              <w:bottom w:w="0" w:type="dxa"/>
              <w:right w:w="108" w:type="dxa"/>
            </w:tcMar>
            <w:hideMark/>
          </w:tcPr>
          <w:p w14:paraId="45F9907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5.7%</w:t>
            </w:r>
          </w:p>
        </w:tc>
        <w:tc>
          <w:tcPr>
            <w:tcW w:w="1153" w:type="dxa"/>
            <w:tcMar>
              <w:top w:w="0" w:type="dxa"/>
              <w:left w:w="108" w:type="dxa"/>
              <w:bottom w:w="0" w:type="dxa"/>
              <w:right w:w="108" w:type="dxa"/>
            </w:tcMar>
            <w:vAlign w:val="bottom"/>
            <w:hideMark/>
          </w:tcPr>
          <w:p w14:paraId="1228AF7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237</w:t>
            </w:r>
          </w:p>
        </w:tc>
        <w:tc>
          <w:tcPr>
            <w:tcW w:w="1344" w:type="dxa"/>
            <w:tcMar>
              <w:top w:w="0" w:type="dxa"/>
              <w:left w:w="108" w:type="dxa"/>
              <w:bottom w:w="0" w:type="dxa"/>
              <w:right w:w="108" w:type="dxa"/>
            </w:tcMar>
            <w:vAlign w:val="center"/>
            <w:hideMark/>
          </w:tcPr>
          <w:p w14:paraId="3DDFB6C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w:t>
            </w:r>
          </w:p>
        </w:tc>
      </w:tr>
      <w:tr w:rsidR="000013CE" w:rsidRPr="000013CE" w14:paraId="0D016FAE" w14:textId="77777777" w:rsidTr="00C6622C">
        <w:trPr>
          <w:cantSplit/>
        </w:trPr>
        <w:tc>
          <w:tcPr>
            <w:tcW w:w="2421" w:type="dxa"/>
            <w:tcMar>
              <w:top w:w="0" w:type="dxa"/>
              <w:left w:w="108" w:type="dxa"/>
              <w:bottom w:w="0" w:type="dxa"/>
              <w:right w:w="108" w:type="dxa"/>
            </w:tcMar>
            <w:hideMark/>
          </w:tcPr>
          <w:p w14:paraId="57CAC443"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Bedford</w:t>
            </w:r>
          </w:p>
        </w:tc>
        <w:tc>
          <w:tcPr>
            <w:tcW w:w="1153" w:type="dxa"/>
            <w:tcMar>
              <w:top w:w="0" w:type="dxa"/>
              <w:left w:w="108" w:type="dxa"/>
              <w:bottom w:w="0" w:type="dxa"/>
              <w:right w:w="108" w:type="dxa"/>
            </w:tcMar>
            <w:hideMark/>
          </w:tcPr>
          <w:p w14:paraId="18D82D0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75</w:t>
            </w:r>
          </w:p>
        </w:tc>
        <w:tc>
          <w:tcPr>
            <w:tcW w:w="1153" w:type="dxa"/>
            <w:tcMar>
              <w:top w:w="0" w:type="dxa"/>
              <w:left w:w="108" w:type="dxa"/>
              <w:bottom w:w="0" w:type="dxa"/>
              <w:right w:w="108" w:type="dxa"/>
            </w:tcMar>
            <w:hideMark/>
          </w:tcPr>
          <w:p w14:paraId="38438A6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4.6%</w:t>
            </w:r>
          </w:p>
        </w:tc>
        <w:tc>
          <w:tcPr>
            <w:tcW w:w="1153" w:type="dxa"/>
            <w:tcMar>
              <w:top w:w="0" w:type="dxa"/>
              <w:left w:w="108" w:type="dxa"/>
              <w:bottom w:w="0" w:type="dxa"/>
              <w:right w:w="108" w:type="dxa"/>
            </w:tcMar>
            <w:hideMark/>
          </w:tcPr>
          <w:p w14:paraId="12227C9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118</w:t>
            </w:r>
          </w:p>
        </w:tc>
        <w:tc>
          <w:tcPr>
            <w:tcW w:w="1153" w:type="dxa"/>
            <w:tcMar>
              <w:top w:w="0" w:type="dxa"/>
              <w:left w:w="108" w:type="dxa"/>
              <w:bottom w:w="0" w:type="dxa"/>
              <w:right w:w="108" w:type="dxa"/>
            </w:tcMar>
            <w:hideMark/>
          </w:tcPr>
          <w:p w14:paraId="5012BCD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3.6%</w:t>
            </w:r>
          </w:p>
        </w:tc>
        <w:tc>
          <w:tcPr>
            <w:tcW w:w="1153" w:type="dxa"/>
            <w:tcMar>
              <w:top w:w="0" w:type="dxa"/>
              <w:left w:w="108" w:type="dxa"/>
              <w:bottom w:w="0" w:type="dxa"/>
              <w:right w:w="108" w:type="dxa"/>
            </w:tcMar>
            <w:vAlign w:val="bottom"/>
            <w:hideMark/>
          </w:tcPr>
          <w:p w14:paraId="79E46ED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162</w:t>
            </w:r>
          </w:p>
        </w:tc>
        <w:tc>
          <w:tcPr>
            <w:tcW w:w="1344" w:type="dxa"/>
            <w:tcMar>
              <w:top w:w="0" w:type="dxa"/>
              <w:left w:w="108" w:type="dxa"/>
              <w:bottom w:w="0" w:type="dxa"/>
              <w:right w:w="108" w:type="dxa"/>
            </w:tcMar>
            <w:vAlign w:val="center"/>
            <w:hideMark/>
          </w:tcPr>
          <w:p w14:paraId="4B7CC79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w:t>
            </w:r>
          </w:p>
        </w:tc>
      </w:tr>
      <w:tr w:rsidR="000013CE" w:rsidRPr="000013CE" w14:paraId="14D483B5" w14:textId="77777777" w:rsidTr="00C6622C">
        <w:trPr>
          <w:cantSplit/>
        </w:trPr>
        <w:tc>
          <w:tcPr>
            <w:tcW w:w="2421" w:type="dxa"/>
            <w:tcMar>
              <w:top w:w="0" w:type="dxa"/>
              <w:left w:w="108" w:type="dxa"/>
              <w:bottom w:w="0" w:type="dxa"/>
              <w:right w:w="108" w:type="dxa"/>
            </w:tcMar>
            <w:hideMark/>
          </w:tcPr>
          <w:p w14:paraId="0B2623CE"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Maynard</w:t>
            </w:r>
          </w:p>
        </w:tc>
        <w:tc>
          <w:tcPr>
            <w:tcW w:w="1153" w:type="dxa"/>
            <w:tcMar>
              <w:top w:w="0" w:type="dxa"/>
              <w:left w:w="108" w:type="dxa"/>
              <w:bottom w:w="0" w:type="dxa"/>
              <w:right w:w="108" w:type="dxa"/>
            </w:tcMar>
            <w:hideMark/>
          </w:tcPr>
          <w:p w14:paraId="5138552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66</w:t>
            </w:r>
          </w:p>
        </w:tc>
        <w:tc>
          <w:tcPr>
            <w:tcW w:w="1153" w:type="dxa"/>
            <w:tcMar>
              <w:top w:w="0" w:type="dxa"/>
              <w:left w:w="108" w:type="dxa"/>
              <w:bottom w:w="0" w:type="dxa"/>
              <w:right w:w="108" w:type="dxa"/>
            </w:tcMar>
            <w:hideMark/>
          </w:tcPr>
          <w:p w14:paraId="79277F4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w:t>
            </w:r>
          </w:p>
        </w:tc>
        <w:tc>
          <w:tcPr>
            <w:tcW w:w="1153" w:type="dxa"/>
            <w:tcMar>
              <w:top w:w="0" w:type="dxa"/>
              <w:left w:w="108" w:type="dxa"/>
              <w:bottom w:w="0" w:type="dxa"/>
              <w:right w:w="108" w:type="dxa"/>
            </w:tcMar>
            <w:hideMark/>
          </w:tcPr>
          <w:p w14:paraId="7B4B876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150</w:t>
            </w:r>
          </w:p>
        </w:tc>
        <w:tc>
          <w:tcPr>
            <w:tcW w:w="1153" w:type="dxa"/>
            <w:tcMar>
              <w:top w:w="0" w:type="dxa"/>
              <w:left w:w="108" w:type="dxa"/>
              <w:bottom w:w="0" w:type="dxa"/>
              <w:right w:w="108" w:type="dxa"/>
            </w:tcMar>
            <w:hideMark/>
          </w:tcPr>
          <w:p w14:paraId="1B96AA4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4.6%</w:t>
            </w:r>
          </w:p>
        </w:tc>
        <w:tc>
          <w:tcPr>
            <w:tcW w:w="1153" w:type="dxa"/>
            <w:tcMar>
              <w:top w:w="0" w:type="dxa"/>
              <w:left w:w="108" w:type="dxa"/>
              <w:bottom w:w="0" w:type="dxa"/>
              <w:right w:w="108" w:type="dxa"/>
            </w:tcMar>
            <w:vAlign w:val="bottom"/>
            <w:hideMark/>
          </w:tcPr>
          <w:p w14:paraId="7E0F254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209</w:t>
            </w:r>
          </w:p>
        </w:tc>
        <w:tc>
          <w:tcPr>
            <w:tcW w:w="1344" w:type="dxa"/>
            <w:tcMar>
              <w:top w:w="0" w:type="dxa"/>
              <w:left w:w="108" w:type="dxa"/>
              <w:bottom w:w="0" w:type="dxa"/>
              <w:right w:w="108" w:type="dxa"/>
            </w:tcMar>
            <w:vAlign w:val="center"/>
            <w:hideMark/>
          </w:tcPr>
          <w:p w14:paraId="2615290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w:t>
            </w:r>
          </w:p>
        </w:tc>
      </w:tr>
      <w:tr w:rsidR="000013CE" w:rsidRPr="000013CE" w14:paraId="6A9A93B7" w14:textId="77777777" w:rsidTr="00C6622C">
        <w:trPr>
          <w:cantSplit/>
        </w:trPr>
        <w:tc>
          <w:tcPr>
            <w:tcW w:w="2421" w:type="dxa"/>
            <w:tcMar>
              <w:top w:w="0" w:type="dxa"/>
              <w:left w:w="108" w:type="dxa"/>
              <w:bottom w:w="0" w:type="dxa"/>
              <w:right w:w="108" w:type="dxa"/>
            </w:tcMar>
            <w:hideMark/>
          </w:tcPr>
          <w:p w14:paraId="37CD8222"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Littleton</w:t>
            </w:r>
          </w:p>
        </w:tc>
        <w:tc>
          <w:tcPr>
            <w:tcW w:w="1153" w:type="dxa"/>
            <w:tcMar>
              <w:top w:w="0" w:type="dxa"/>
              <w:left w:w="108" w:type="dxa"/>
              <w:bottom w:w="0" w:type="dxa"/>
              <w:right w:w="108" w:type="dxa"/>
            </w:tcMar>
            <w:hideMark/>
          </w:tcPr>
          <w:p w14:paraId="620621D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58</w:t>
            </w:r>
          </w:p>
        </w:tc>
        <w:tc>
          <w:tcPr>
            <w:tcW w:w="1153" w:type="dxa"/>
            <w:tcMar>
              <w:top w:w="0" w:type="dxa"/>
              <w:left w:w="108" w:type="dxa"/>
              <w:bottom w:w="0" w:type="dxa"/>
              <w:right w:w="108" w:type="dxa"/>
            </w:tcMar>
            <w:hideMark/>
          </w:tcPr>
          <w:p w14:paraId="204D7752"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3.6%</w:t>
            </w:r>
          </w:p>
        </w:tc>
        <w:tc>
          <w:tcPr>
            <w:tcW w:w="1153" w:type="dxa"/>
            <w:tcMar>
              <w:top w:w="0" w:type="dxa"/>
              <w:left w:w="108" w:type="dxa"/>
              <w:bottom w:w="0" w:type="dxa"/>
              <w:right w:w="108" w:type="dxa"/>
            </w:tcMar>
            <w:hideMark/>
          </w:tcPr>
          <w:p w14:paraId="56E7576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110</w:t>
            </w:r>
          </w:p>
        </w:tc>
        <w:tc>
          <w:tcPr>
            <w:tcW w:w="1153" w:type="dxa"/>
            <w:tcMar>
              <w:top w:w="0" w:type="dxa"/>
              <w:left w:w="108" w:type="dxa"/>
              <w:bottom w:w="0" w:type="dxa"/>
              <w:right w:w="108" w:type="dxa"/>
            </w:tcMar>
            <w:hideMark/>
          </w:tcPr>
          <w:p w14:paraId="0412249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3.4%</w:t>
            </w:r>
          </w:p>
        </w:tc>
        <w:tc>
          <w:tcPr>
            <w:tcW w:w="1153" w:type="dxa"/>
            <w:tcMar>
              <w:top w:w="0" w:type="dxa"/>
              <w:left w:w="108" w:type="dxa"/>
              <w:bottom w:w="0" w:type="dxa"/>
              <w:right w:w="108" w:type="dxa"/>
            </w:tcMar>
            <w:vAlign w:val="bottom"/>
            <w:hideMark/>
          </w:tcPr>
          <w:p w14:paraId="471200C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177</w:t>
            </w:r>
          </w:p>
        </w:tc>
        <w:tc>
          <w:tcPr>
            <w:tcW w:w="1344" w:type="dxa"/>
            <w:tcMar>
              <w:top w:w="0" w:type="dxa"/>
              <w:left w:w="108" w:type="dxa"/>
              <w:bottom w:w="0" w:type="dxa"/>
              <w:right w:w="108" w:type="dxa"/>
            </w:tcMar>
            <w:vAlign w:val="center"/>
            <w:hideMark/>
          </w:tcPr>
          <w:p w14:paraId="18B4C94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w:t>
            </w:r>
          </w:p>
        </w:tc>
      </w:tr>
      <w:tr w:rsidR="000013CE" w:rsidRPr="000013CE" w14:paraId="12812616" w14:textId="77777777" w:rsidTr="00C6622C">
        <w:trPr>
          <w:cantSplit/>
        </w:trPr>
        <w:tc>
          <w:tcPr>
            <w:tcW w:w="2421" w:type="dxa"/>
            <w:tcMar>
              <w:top w:w="0" w:type="dxa"/>
              <w:left w:w="108" w:type="dxa"/>
              <w:bottom w:w="0" w:type="dxa"/>
              <w:right w:w="108" w:type="dxa"/>
            </w:tcMar>
            <w:hideMark/>
          </w:tcPr>
          <w:p w14:paraId="4721B509"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Groton</w:t>
            </w:r>
          </w:p>
        </w:tc>
        <w:tc>
          <w:tcPr>
            <w:tcW w:w="1153" w:type="dxa"/>
            <w:tcMar>
              <w:top w:w="0" w:type="dxa"/>
              <w:left w:w="108" w:type="dxa"/>
              <w:bottom w:w="0" w:type="dxa"/>
              <w:right w:w="108" w:type="dxa"/>
            </w:tcMar>
            <w:hideMark/>
          </w:tcPr>
          <w:p w14:paraId="732B072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54</w:t>
            </w:r>
          </w:p>
        </w:tc>
        <w:tc>
          <w:tcPr>
            <w:tcW w:w="1153" w:type="dxa"/>
            <w:tcMar>
              <w:top w:w="0" w:type="dxa"/>
              <w:left w:w="108" w:type="dxa"/>
              <w:bottom w:w="0" w:type="dxa"/>
              <w:right w:w="108" w:type="dxa"/>
            </w:tcMar>
            <w:hideMark/>
          </w:tcPr>
          <w:p w14:paraId="54BDC6F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3.3%</w:t>
            </w:r>
          </w:p>
        </w:tc>
        <w:tc>
          <w:tcPr>
            <w:tcW w:w="1153" w:type="dxa"/>
            <w:tcMar>
              <w:top w:w="0" w:type="dxa"/>
              <w:left w:w="108" w:type="dxa"/>
              <w:bottom w:w="0" w:type="dxa"/>
              <w:right w:w="108" w:type="dxa"/>
            </w:tcMar>
            <w:hideMark/>
          </w:tcPr>
          <w:p w14:paraId="0F87F31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111</w:t>
            </w:r>
          </w:p>
        </w:tc>
        <w:tc>
          <w:tcPr>
            <w:tcW w:w="1153" w:type="dxa"/>
            <w:tcMar>
              <w:top w:w="0" w:type="dxa"/>
              <w:left w:w="108" w:type="dxa"/>
              <w:bottom w:w="0" w:type="dxa"/>
              <w:right w:w="108" w:type="dxa"/>
            </w:tcMar>
            <w:hideMark/>
          </w:tcPr>
          <w:p w14:paraId="6D8573A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3.4%</w:t>
            </w:r>
          </w:p>
        </w:tc>
        <w:tc>
          <w:tcPr>
            <w:tcW w:w="1153" w:type="dxa"/>
            <w:tcMar>
              <w:top w:w="0" w:type="dxa"/>
              <w:left w:w="108" w:type="dxa"/>
              <w:bottom w:w="0" w:type="dxa"/>
              <w:right w:w="108" w:type="dxa"/>
            </w:tcMar>
            <w:vAlign w:val="bottom"/>
            <w:hideMark/>
          </w:tcPr>
          <w:p w14:paraId="33B28D4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225</w:t>
            </w:r>
          </w:p>
        </w:tc>
        <w:tc>
          <w:tcPr>
            <w:tcW w:w="1344" w:type="dxa"/>
            <w:tcMar>
              <w:top w:w="0" w:type="dxa"/>
              <w:left w:w="108" w:type="dxa"/>
              <w:bottom w:w="0" w:type="dxa"/>
              <w:right w:w="108" w:type="dxa"/>
            </w:tcMar>
            <w:vAlign w:val="center"/>
            <w:hideMark/>
          </w:tcPr>
          <w:p w14:paraId="63E2E53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w:t>
            </w:r>
          </w:p>
        </w:tc>
      </w:tr>
      <w:tr w:rsidR="000013CE" w:rsidRPr="000013CE" w14:paraId="27481571" w14:textId="77777777" w:rsidTr="00C6622C">
        <w:trPr>
          <w:cantSplit/>
        </w:trPr>
        <w:tc>
          <w:tcPr>
            <w:tcW w:w="2421" w:type="dxa"/>
            <w:tcMar>
              <w:top w:w="0" w:type="dxa"/>
              <w:left w:w="108" w:type="dxa"/>
              <w:bottom w:w="0" w:type="dxa"/>
              <w:right w:w="108" w:type="dxa"/>
            </w:tcMar>
            <w:hideMark/>
          </w:tcPr>
          <w:p w14:paraId="7F9ED40F"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Stow</w:t>
            </w:r>
          </w:p>
        </w:tc>
        <w:tc>
          <w:tcPr>
            <w:tcW w:w="1153" w:type="dxa"/>
            <w:tcMar>
              <w:top w:w="0" w:type="dxa"/>
              <w:left w:w="108" w:type="dxa"/>
              <w:bottom w:w="0" w:type="dxa"/>
              <w:right w:w="108" w:type="dxa"/>
            </w:tcMar>
            <w:hideMark/>
          </w:tcPr>
          <w:p w14:paraId="0B3A3AE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52</w:t>
            </w:r>
          </w:p>
        </w:tc>
        <w:tc>
          <w:tcPr>
            <w:tcW w:w="1153" w:type="dxa"/>
            <w:tcMar>
              <w:top w:w="0" w:type="dxa"/>
              <w:left w:w="108" w:type="dxa"/>
              <w:bottom w:w="0" w:type="dxa"/>
              <w:right w:w="108" w:type="dxa"/>
            </w:tcMar>
            <w:hideMark/>
          </w:tcPr>
          <w:p w14:paraId="53F1DE9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3.2%</w:t>
            </w:r>
          </w:p>
        </w:tc>
        <w:tc>
          <w:tcPr>
            <w:tcW w:w="1153" w:type="dxa"/>
            <w:tcMar>
              <w:top w:w="0" w:type="dxa"/>
              <w:left w:w="108" w:type="dxa"/>
              <w:bottom w:w="0" w:type="dxa"/>
              <w:right w:w="108" w:type="dxa"/>
            </w:tcMar>
            <w:hideMark/>
          </w:tcPr>
          <w:p w14:paraId="00F6508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102</w:t>
            </w:r>
          </w:p>
        </w:tc>
        <w:tc>
          <w:tcPr>
            <w:tcW w:w="1153" w:type="dxa"/>
            <w:tcMar>
              <w:top w:w="0" w:type="dxa"/>
              <w:left w:w="108" w:type="dxa"/>
              <w:bottom w:w="0" w:type="dxa"/>
              <w:right w:w="108" w:type="dxa"/>
            </w:tcMar>
            <w:hideMark/>
          </w:tcPr>
          <w:p w14:paraId="047C31E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3.1%</w:t>
            </w:r>
          </w:p>
        </w:tc>
        <w:tc>
          <w:tcPr>
            <w:tcW w:w="1153" w:type="dxa"/>
            <w:tcMar>
              <w:top w:w="0" w:type="dxa"/>
              <w:left w:w="108" w:type="dxa"/>
              <w:bottom w:w="0" w:type="dxa"/>
              <w:right w:w="108" w:type="dxa"/>
            </w:tcMar>
            <w:vAlign w:val="bottom"/>
            <w:hideMark/>
          </w:tcPr>
          <w:p w14:paraId="2B93ED4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118</w:t>
            </w:r>
          </w:p>
        </w:tc>
        <w:tc>
          <w:tcPr>
            <w:tcW w:w="1344" w:type="dxa"/>
            <w:tcMar>
              <w:top w:w="0" w:type="dxa"/>
              <w:left w:w="108" w:type="dxa"/>
              <w:bottom w:w="0" w:type="dxa"/>
              <w:right w:w="108" w:type="dxa"/>
            </w:tcMar>
            <w:vAlign w:val="center"/>
            <w:hideMark/>
          </w:tcPr>
          <w:p w14:paraId="650260C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558BB004" w14:textId="77777777" w:rsidTr="00C6622C">
        <w:trPr>
          <w:cantSplit/>
        </w:trPr>
        <w:tc>
          <w:tcPr>
            <w:tcW w:w="2421" w:type="dxa"/>
            <w:tcMar>
              <w:top w:w="0" w:type="dxa"/>
              <w:left w:w="108" w:type="dxa"/>
              <w:bottom w:w="0" w:type="dxa"/>
              <w:right w:w="108" w:type="dxa"/>
            </w:tcMar>
            <w:hideMark/>
          </w:tcPr>
          <w:p w14:paraId="136B4900"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Hudson</w:t>
            </w:r>
          </w:p>
        </w:tc>
        <w:tc>
          <w:tcPr>
            <w:tcW w:w="1153" w:type="dxa"/>
            <w:tcMar>
              <w:top w:w="0" w:type="dxa"/>
              <w:left w:w="108" w:type="dxa"/>
              <w:bottom w:w="0" w:type="dxa"/>
              <w:right w:w="108" w:type="dxa"/>
            </w:tcMar>
            <w:hideMark/>
          </w:tcPr>
          <w:p w14:paraId="15DC3A4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44</w:t>
            </w:r>
          </w:p>
        </w:tc>
        <w:tc>
          <w:tcPr>
            <w:tcW w:w="1153" w:type="dxa"/>
            <w:tcMar>
              <w:top w:w="0" w:type="dxa"/>
              <w:left w:w="108" w:type="dxa"/>
              <w:bottom w:w="0" w:type="dxa"/>
              <w:right w:w="108" w:type="dxa"/>
            </w:tcMar>
            <w:hideMark/>
          </w:tcPr>
          <w:p w14:paraId="3CB46EE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2.7%</w:t>
            </w:r>
          </w:p>
        </w:tc>
        <w:tc>
          <w:tcPr>
            <w:tcW w:w="1153" w:type="dxa"/>
            <w:tcMar>
              <w:top w:w="0" w:type="dxa"/>
              <w:left w:w="108" w:type="dxa"/>
              <w:bottom w:w="0" w:type="dxa"/>
              <w:right w:w="108" w:type="dxa"/>
            </w:tcMar>
            <w:hideMark/>
          </w:tcPr>
          <w:p w14:paraId="710EE40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68</w:t>
            </w:r>
          </w:p>
        </w:tc>
        <w:tc>
          <w:tcPr>
            <w:tcW w:w="1153" w:type="dxa"/>
            <w:tcMar>
              <w:top w:w="0" w:type="dxa"/>
              <w:left w:w="108" w:type="dxa"/>
              <w:bottom w:w="0" w:type="dxa"/>
              <w:right w:w="108" w:type="dxa"/>
            </w:tcMar>
            <w:hideMark/>
          </w:tcPr>
          <w:p w14:paraId="634F2AD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2.1%</w:t>
            </w:r>
          </w:p>
        </w:tc>
        <w:tc>
          <w:tcPr>
            <w:tcW w:w="1153" w:type="dxa"/>
            <w:tcMar>
              <w:top w:w="0" w:type="dxa"/>
              <w:left w:w="108" w:type="dxa"/>
              <w:bottom w:w="0" w:type="dxa"/>
              <w:right w:w="108" w:type="dxa"/>
            </w:tcMar>
            <w:vAlign w:val="bottom"/>
            <w:hideMark/>
          </w:tcPr>
          <w:p w14:paraId="6F2BB12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89</w:t>
            </w:r>
          </w:p>
        </w:tc>
        <w:tc>
          <w:tcPr>
            <w:tcW w:w="1344" w:type="dxa"/>
            <w:tcMar>
              <w:top w:w="0" w:type="dxa"/>
              <w:left w:w="108" w:type="dxa"/>
              <w:bottom w:w="0" w:type="dxa"/>
              <w:right w:w="108" w:type="dxa"/>
            </w:tcMar>
            <w:vAlign w:val="center"/>
            <w:hideMark/>
          </w:tcPr>
          <w:p w14:paraId="7A381BB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75E1F110" w14:textId="77777777" w:rsidTr="00C6622C">
        <w:trPr>
          <w:cantSplit/>
        </w:trPr>
        <w:tc>
          <w:tcPr>
            <w:tcW w:w="2421" w:type="dxa"/>
            <w:tcMar>
              <w:top w:w="0" w:type="dxa"/>
              <w:left w:w="108" w:type="dxa"/>
              <w:bottom w:w="0" w:type="dxa"/>
              <w:right w:w="108" w:type="dxa"/>
            </w:tcMar>
            <w:hideMark/>
          </w:tcPr>
          <w:p w14:paraId="6AEC6B62"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lastRenderedPageBreak/>
              <w:t>Carlisle</w:t>
            </w:r>
          </w:p>
        </w:tc>
        <w:tc>
          <w:tcPr>
            <w:tcW w:w="1153" w:type="dxa"/>
            <w:tcMar>
              <w:top w:w="0" w:type="dxa"/>
              <w:left w:w="108" w:type="dxa"/>
              <w:bottom w:w="0" w:type="dxa"/>
              <w:right w:w="108" w:type="dxa"/>
            </w:tcMar>
            <w:hideMark/>
          </w:tcPr>
          <w:p w14:paraId="0AE077F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36</w:t>
            </w:r>
          </w:p>
        </w:tc>
        <w:tc>
          <w:tcPr>
            <w:tcW w:w="1153" w:type="dxa"/>
            <w:tcMar>
              <w:top w:w="0" w:type="dxa"/>
              <w:left w:w="108" w:type="dxa"/>
              <w:bottom w:w="0" w:type="dxa"/>
              <w:right w:w="108" w:type="dxa"/>
            </w:tcMar>
            <w:hideMark/>
          </w:tcPr>
          <w:p w14:paraId="60668E1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2.2%</w:t>
            </w:r>
          </w:p>
        </w:tc>
        <w:tc>
          <w:tcPr>
            <w:tcW w:w="1153" w:type="dxa"/>
            <w:tcMar>
              <w:top w:w="0" w:type="dxa"/>
              <w:left w:w="108" w:type="dxa"/>
              <w:bottom w:w="0" w:type="dxa"/>
              <w:right w:w="108" w:type="dxa"/>
            </w:tcMar>
            <w:hideMark/>
          </w:tcPr>
          <w:p w14:paraId="596659B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48</w:t>
            </w:r>
          </w:p>
        </w:tc>
        <w:tc>
          <w:tcPr>
            <w:tcW w:w="1153" w:type="dxa"/>
            <w:tcMar>
              <w:top w:w="0" w:type="dxa"/>
              <w:left w:w="108" w:type="dxa"/>
              <w:bottom w:w="0" w:type="dxa"/>
              <w:right w:w="108" w:type="dxa"/>
            </w:tcMar>
            <w:hideMark/>
          </w:tcPr>
          <w:p w14:paraId="468C3B90"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1.4%</w:t>
            </w:r>
          </w:p>
        </w:tc>
        <w:tc>
          <w:tcPr>
            <w:tcW w:w="1153" w:type="dxa"/>
            <w:tcMar>
              <w:top w:w="0" w:type="dxa"/>
              <w:left w:w="108" w:type="dxa"/>
              <w:bottom w:w="0" w:type="dxa"/>
              <w:right w:w="108" w:type="dxa"/>
            </w:tcMar>
            <w:vAlign w:val="bottom"/>
            <w:hideMark/>
          </w:tcPr>
          <w:p w14:paraId="0CD5CFB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98</w:t>
            </w:r>
          </w:p>
        </w:tc>
        <w:tc>
          <w:tcPr>
            <w:tcW w:w="1344" w:type="dxa"/>
            <w:tcMar>
              <w:top w:w="0" w:type="dxa"/>
              <w:left w:w="108" w:type="dxa"/>
              <w:bottom w:w="0" w:type="dxa"/>
              <w:right w:w="108" w:type="dxa"/>
            </w:tcMar>
            <w:vAlign w:val="center"/>
            <w:hideMark/>
          </w:tcPr>
          <w:p w14:paraId="018F69F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367E6395" w14:textId="77777777" w:rsidTr="00C6622C">
        <w:trPr>
          <w:cantSplit/>
        </w:trPr>
        <w:tc>
          <w:tcPr>
            <w:tcW w:w="2421" w:type="dxa"/>
            <w:tcMar>
              <w:top w:w="0" w:type="dxa"/>
              <w:left w:w="108" w:type="dxa"/>
              <w:bottom w:w="0" w:type="dxa"/>
              <w:right w:w="108" w:type="dxa"/>
            </w:tcMar>
            <w:hideMark/>
          </w:tcPr>
          <w:p w14:paraId="77E9F111"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Chelmsford</w:t>
            </w:r>
          </w:p>
        </w:tc>
        <w:tc>
          <w:tcPr>
            <w:tcW w:w="1153" w:type="dxa"/>
            <w:tcMar>
              <w:top w:w="0" w:type="dxa"/>
              <w:left w:w="108" w:type="dxa"/>
              <w:bottom w:w="0" w:type="dxa"/>
              <w:right w:w="108" w:type="dxa"/>
            </w:tcMar>
            <w:hideMark/>
          </w:tcPr>
          <w:p w14:paraId="64D2011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35</w:t>
            </w:r>
          </w:p>
        </w:tc>
        <w:tc>
          <w:tcPr>
            <w:tcW w:w="1153" w:type="dxa"/>
            <w:tcMar>
              <w:top w:w="0" w:type="dxa"/>
              <w:left w:w="108" w:type="dxa"/>
              <w:bottom w:w="0" w:type="dxa"/>
              <w:right w:w="108" w:type="dxa"/>
            </w:tcMar>
            <w:hideMark/>
          </w:tcPr>
          <w:p w14:paraId="678119E2"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2.1%</w:t>
            </w:r>
          </w:p>
        </w:tc>
        <w:tc>
          <w:tcPr>
            <w:tcW w:w="1153" w:type="dxa"/>
            <w:tcMar>
              <w:top w:w="0" w:type="dxa"/>
              <w:left w:w="108" w:type="dxa"/>
              <w:bottom w:w="0" w:type="dxa"/>
              <w:right w:w="108" w:type="dxa"/>
            </w:tcMar>
            <w:hideMark/>
          </w:tcPr>
          <w:p w14:paraId="5ECAF25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63</w:t>
            </w:r>
          </w:p>
        </w:tc>
        <w:tc>
          <w:tcPr>
            <w:tcW w:w="1153" w:type="dxa"/>
            <w:tcMar>
              <w:top w:w="0" w:type="dxa"/>
              <w:left w:w="108" w:type="dxa"/>
              <w:bottom w:w="0" w:type="dxa"/>
              <w:right w:w="108" w:type="dxa"/>
            </w:tcMar>
            <w:hideMark/>
          </w:tcPr>
          <w:p w14:paraId="2ABF6AB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1.9%</w:t>
            </w:r>
          </w:p>
        </w:tc>
        <w:tc>
          <w:tcPr>
            <w:tcW w:w="1153" w:type="dxa"/>
            <w:tcMar>
              <w:top w:w="0" w:type="dxa"/>
              <w:left w:w="108" w:type="dxa"/>
              <w:bottom w:w="0" w:type="dxa"/>
              <w:right w:w="108" w:type="dxa"/>
            </w:tcMar>
            <w:vAlign w:val="bottom"/>
            <w:hideMark/>
          </w:tcPr>
          <w:p w14:paraId="0C6CCA8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129</w:t>
            </w:r>
          </w:p>
        </w:tc>
        <w:tc>
          <w:tcPr>
            <w:tcW w:w="1344" w:type="dxa"/>
            <w:tcMar>
              <w:top w:w="0" w:type="dxa"/>
              <w:left w:w="108" w:type="dxa"/>
              <w:bottom w:w="0" w:type="dxa"/>
              <w:right w:w="108" w:type="dxa"/>
            </w:tcMar>
            <w:vAlign w:val="center"/>
            <w:hideMark/>
          </w:tcPr>
          <w:p w14:paraId="44A2D97D"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w:t>
            </w:r>
          </w:p>
        </w:tc>
      </w:tr>
      <w:tr w:rsidR="000013CE" w:rsidRPr="000013CE" w14:paraId="1525B2AC" w14:textId="77777777" w:rsidTr="00C6622C">
        <w:trPr>
          <w:cantSplit/>
          <w:trHeight w:val="179"/>
        </w:trPr>
        <w:tc>
          <w:tcPr>
            <w:tcW w:w="2421" w:type="dxa"/>
            <w:tcMar>
              <w:top w:w="0" w:type="dxa"/>
              <w:left w:w="108" w:type="dxa"/>
              <w:bottom w:w="0" w:type="dxa"/>
              <w:right w:w="108" w:type="dxa"/>
            </w:tcMar>
            <w:hideMark/>
          </w:tcPr>
          <w:p w14:paraId="29BF166F"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Boxborough</w:t>
            </w:r>
          </w:p>
        </w:tc>
        <w:tc>
          <w:tcPr>
            <w:tcW w:w="1153" w:type="dxa"/>
            <w:tcMar>
              <w:top w:w="0" w:type="dxa"/>
              <w:left w:w="108" w:type="dxa"/>
              <w:bottom w:w="0" w:type="dxa"/>
              <w:right w:w="108" w:type="dxa"/>
            </w:tcMar>
            <w:hideMark/>
          </w:tcPr>
          <w:p w14:paraId="22CC68D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34</w:t>
            </w:r>
          </w:p>
        </w:tc>
        <w:tc>
          <w:tcPr>
            <w:tcW w:w="1153" w:type="dxa"/>
            <w:tcMar>
              <w:top w:w="0" w:type="dxa"/>
              <w:left w:w="108" w:type="dxa"/>
              <w:bottom w:w="0" w:type="dxa"/>
              <w:right w:w="108" w:type="dxa"/>
            </w:tcMar>
            <w:hideMark/>
          </w:tcPr>
          <w:p w14:paraId="16DF6CC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2.1%</w:t>
            </w:r>
          </w:p>
        </w:tc>
        <w:tc>
          <w:tcPr>
            <w:tcW w:w="1153" w:type="dxa"/>
            <w:tcMar>
              <w:top w:w="0" w:type="dxa"/>
              <w:left w:w="108" w:type="dxa"/>
              <w:bottom w:w="0" w:type="dxa"/>
              <w:right w:w="108" w:type="dxa"/>
            </w:tcMar>
            <w:hideMark/>
          </w:tcPr>
          <w:p w14:paraId="145DED1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58</w:t>
            </w:r>
          </w:p>
        </w:tc>
        <w:tc>
          <w:tcPr>
            <w:tcW w:w="1153" w:type="dxa"/>
            <w:tcMar>
              <w:top w:w="0" w:type="dxa"/>
              <w:left w:w="108" w:type="dxa"/>
              <w:bottom w:w="0" w:type="dxa"/>
              <w:right w:w="108" w:type="dxa"/>
            </w:tcMar>
            <w:hideMark/>
          </w:tcPr>
          <w:p w14:paraId="725E0F9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1.8%</w:t>
            </w:r>
          </w:p>
        </w:tc>
        <w:tc>
          <w:tcPr>
            <w:tcW w:w="1153" w:type="dxa"/>
            <w:tcMar>
              <w:top w:w="0" w:type="dxa"/>
              <w:left w:w="108" w:type="dxa"/>
              <w:bottom w:w="0" w:type="dxa"/>
              <w:right w:w="108" w:type="dxa"/>
            </w:tcMar>
            <w:vAlign w:val="bottom"/>
            <w:hideMark/>
          </w:tcPr>
          <w:p w14:paraId="1D889AC0"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110</w:t>
            </w:r>
          </w:p>
        </w:tc>
        <w:tc>
          <w:tcPr>
            <w:tcW w:w="1344" w:type="dxa"/>
            <w:tcMar>
              <w:top w:w="0" w:type="dxa"/>
              <w:left w:w="108" w:type="dxa"/>
              <w:bottom w:w="0" w:type="dxa"/>
              <w:right w:w="108" w:type="dxa"/>
            </w:tcMar>
            <w:vAlign w:val="center"/>
            <w:hideMark/>
          </w:tcPr>
          <w:p w14:paraId="1CA5868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56AB7D73" w14:textId="77777777" w:rsidTr="00C6622C">
        <w:trPr>
          <w:cantSplit/>
        </w:trPr>
        <w:tc>
          <w:tcPr>
            <w:tcW w:w="2421" w:type="dxa"/>
            <w:tcMar>
              <w:top w:w="0" w:type="dxa"/>
              <w:left w:w="108" w:type="dxa"/>
              <w:bottom w:w="0" w:type="dxa"/>
              <w:right w:w="108" w:type="dxa"/>
            </w:tcMar>
            <w:hideMark/>
          </w:tcPr>
          <w:p w14:paraId="62441F9D"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Harvard</w:t>
            </w:r>
          </w:p>
        </w:tc>
        <w:tc>
          <w:tcPr>
            <w:tcW w:w="1153" w:type="dxa"/>
            <w:tcMar>
              <w:top w:w="0" w:type="dxa"/>
              <w:left w:w="108" w:type="dxa"/>
              <w:bottom w:w="0" w:type="dxa"/>
              <w:right w:w="108" w:type="dxa"/>
            </w:tcMar>
            <w:hideMark/>
          </w:tcPr>
          <w:p w14:paraId="6A7DAD8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34</w:t>
            </w:r>
          </w:p>
        </w:tc>
        <w:tc>
          <w:tcPr>
            <w:tcW w:w="1153" w:type="dxa"/>
            <w:tcMar>
              <w:top w:w="0" w:type="dxa"/>
              <w:left w:w="108" w:type="dxa"/>
              <w:bottom w:w="0" w:type="dxa"/>
              <w:right w:w="108" w:type="dxa"/>
            </w:tcMar>
            <w:hideMark/>
          </w:tcPr>
          <w:p w14:paraId="7277695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2.1%</w:t>
            </w:r>
          </w:p>
        </w:tc>
        <w:tc>
          <w:tcPr>
            <w:tcW w:w="1153" w:type="dxa"/>
            <w:tcMar>
              <w:top w:w="0" w:type="dxa"/>
              <w:left w:w="108" w:type="dxa"/>
              <w:bottom w:w="0" w:type="dxa"/>
              <w:right w:w="108" w:type="dxa"/>
            </w:tcMar>
            <w:hideMark/>
          </w:tcPr>
          <w:p w14:paraId="6A11F3A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62</w:t>
            </w:r>
          </w:p>
        </w:tc>
        <w:tc>
          <w:tcPr>
            <w:tcW w:w="1153" w:type="dxa"/>
            <w:tcMar>
              <w:top w:w="0" w:type="dxa"/>
              <w:left w:w="108" w:type="dxa"/>
              <w:bottom w:w="0" w:type="dxa"/>
              <w:right w:w="108" w:type="dxa"/>
            </w:tcMar>
            <w:hideMark/>
          </w:tcPr>
          <w:p w14:paraId="4DBCD94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1.9%</w:t>
            </w:r>
          </w:p>
        </w:tc>
        <w:tc>
          <w:tcPr>
            <w:tcW w:w="1153" w:type="dxa"/>
            <w:tcMar>
              <w:top w:w="0" w:type="dxa"/>
              <w:left w:w="108" w:type="dxa"/>
              <w:bottom w:w="0" w:type="dxa"/>
              <w:right w:w="108" w:type="dxa"/>
            </w:tcMar>
            <w:vAlign w:val="bottom"/>
            <w:hideMark/>
          </w:tcPr>
          <w:p w14:paraId="60E87EE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97</w:t>
            </w:r>
          </w:p>
        </w:tc>
        <w:tc>
          <w:tcPr>
            <w:tcW w:w="1344" w:type="dxa"/>
            <w:tcMar>
              <w:top w:w="0" w:type="dxa"/>
              <w:left w:w="108" w:type="dxa"/>
              <w:bottom w:w="0" w:type="dxa"/>
              <w:right w:w="108" w:type="dxa"/>
            </w:tcMar>
            <w:vAlign w:val="center"/>
            <w:hideMark/>
          </w:tcPr>
          <w:p w14:paraId="5259B61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00176FFE" w14:textId="77777777" w:rsidTr="00C6622C">
        <w:trPr>
          <w:cantSplit/>
        </w:trPr>
        <w:tc>
          <w:tcPr>
            <w:tcW w:w="2421" w:type="dxa"/>
            <w:tcMar>
              <w:top w:w="0" w:type="dxa"/>
              <w:left w:w="108" w:type="dxa"/>
              <w:bottom w:w="0" w:type="dxa"/>
              <w:right w:w="108" w:type="dxa"/>
            </w:tcMar>
            <w:hideMark/>
          </w:tcPr>
          <w:p w14:paraId="0BF8909A"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Leominster</w:t>
            </w:r>
          </w:p>
        </w:tc>
        <w:tc>
          <w:tcPr>
            <w:tcW w:w="1153" w:type="dxa"/>
            <w:tcMar>
              <w:top w:w="0" w:type="dxa"/>
              <w:left w:w="108" w:type="dxa"/>
              <w:bottom w:w="0" w:type="dxa"/>
              <w:right w:w="108" w:type="dxa"/>
            </w:tcMar>
            <w:hideMark/>
          </w:tcPr>
          <w:p w14:paraId="59D0260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33</w:t>
            </w:r>
          </w:p>
        </w:tc>
        <w:tc>
          <w:tcPr>
            <w:tcW w:w="1153" w:type="dxa"/>
            <w:tcMar>
              <w:top w:w="0" w:type="dxa"/>
              <w:left w:w="108" w:type="dxa"/>
              <w:bottom w:w="0" w:type="dxa"/>
              <w:right w:w="108" w:type="dxa"/>
            </w:tcMar>
            <w:hideMark/>
          </w:tcPr>
          <w:p w14:paraId="214FE2B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c>
          <w:tcPr>
            <w:tcW w:w="1153" w:type="dxa"/>
            <w:tcMar>
              <w:top w:w="0" w:type="dxa"/>
              <w:left w:w="108" w:type="dxa"/>
              <w:bottom w:w="0" w:type="dxa"/>
              <w:right w:w="108" w:type="dxa"/>
            </w:tcMar>
            <w:hideMark/>
          </w:tcPr>
          <w:p w14:paraId="10B8555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63</w:t>
            </w:r>
          </w:p>
        </w:tc>
        <w:tc>
          <w:tcPr>
            <w:tcW w:w="1153" w:type="dxa"/>
            <w:tcMar>
              <w:top w:w="0" w:type="dxa"/>
              <w:left w:w="108" w:type="dxa"/>
              <w:bottom w:w="0" w:type="dxa"/>
              <w:right w:w="108" w:type="dxa"/>
            </w:tcMar>
            <w:hideMark/>
          </w:tcPr>
          <w:p w14:paraId="0AAF284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1.9%</w:t>
            </w:r>
          </w:p>
        </w:tc>
        <w:tc>
          <w:tcPr>
            <w:tcW w:w="1153" w:type="dxa"/>
            <w:tcMar>
              <w:top w:w="0" w:type="dxa"/>
              <w:left w:w="108" w:type="dxa"/>
              <w:bottom w:w="0" w:type="dxa"/>
              <w:right w:w="108" w:type="dxa"/>
            </w:tcMar>
            <w:vAlign w:val="bottom"/>
            <w:hideMark/>
          </w:tcPr>
          <w:p w14:paraId="7CA7EED2"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91</w:t>
            </w:r>
          </w:p>
        </w:tc>
        <w:tc>
          <w:tcPr>
            <w:tcW w:w="1344" w:type="dxa"/>
            <w:tcMar>
              <w:top w:w="0" w:type="dxa"/>
              <w:left w:w="108" w:type="dxa"/>
              <w:bottom w:w="0" w:type="dxa"/>
              <w:right w:w="108" w:type="dxa"/>
            </w:tcMar>
            <w:vAlign w:val="center"/>
            <w:hideMark/>
          </w:tcPr>
          <w:p w14:paraId="5181EAB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5C371F33" w14:textId="77777777" w:rsidTr="00C6622C">
        <w:trPr>
          <w:cantSplit/>
        </w:trPr>
        <w:tc>
          <w:tcPr>
            <w:tcW w:w="2421" w:type="dxa"/>
            <w:tcMar>
              <w:top w:w="0" w:type="dxa"/>
              <w:left w:w="108" w:type="dxa"/>
              <w:bottom w:w="0" w:type="dxa"/>
              <w:right w:w="108" w:type="dxa"/>
            </w:tcMar>
            <w:hideMark/>
          </w:tcPr>
          <w:p w14:paraId="1E300525"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Ayer</w:t>
            </w:r>
          </w:p>
        </w:tc>
        <w:tc>
          <w:tcPr>
            <w:tcW w:w="1153" w:type="dxa"/>
            <w:tcMar>
              <w:top w:w="0" w:type="dxa"/>
              <w:left w:w="108" w:type="dxa"/>
              <w:bottom w:w="0" w:type="dxa"/>
              <w:right w:w="108" w:type="dxa"/>
            </w:tcMar>
            <w:hideMark/>
          </w:tcPr>
          <w:p w14:paraId="334213D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30</w:t>
            </w:r>
          </w:p>
        </w:tc>
        <w:tc>
          <w:tcPr>
            <w:tcW w:w="1153" w:type="dxa"/>
            <w:tcMar>
              <w:top w:w="0" w:type="dxa"/>
              <w:left w:w="108" w:type="dxa"/>
              <w:bottom w:w="0" w:type="dxa"/>
              <w:right w:w="108" w:type="dxa"/>
            </w:tcMar>
            <w:hideMark/>
          </w:tcPr>
          <w:p w14:paraId="08FF02F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1.8%</w:t>
            </w:r>
          </w:p>
        </w:tc>
        <w:tc>
          <w:tcPr>
            <w:tcW w:w="1153" w:type="dxa"/>
            <w:tcMar>
              <w:top w:w="0" w:type="dxa"/>
              <w:left w:w="108" w:type="dxa"/>
              <w:bottom w:w="0" w:type="dxa"/>
              <w:right w:w="108" w:type="dxa"/>
            </w:tcMar>
            <w:hideMark/>
          </w:tcPr>
          <w:p w14:paraId="3A21362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55</w:t>
            </w:r>
          </w:p>
        </w:tc>
        <w:tc>
          <w:tcPr>
            <w:tcW w:w="1153" w:type="dxa"/>
            <w:tcMar>
              <w:top w:w="0" w:type="dxa"/>
              <w:left w:w="108" w:type="dxa"/>
              <w:bottom w:w="0" w:type="dxa"/>
              <w:right w:w="108" w:type="dxa"/>
            </w:tcMar>
            <w:hideMark/>
          </w:tcPr>
          <w:p w14:paraId="2727B5D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1.7%</w:t>
            </w:r>
          </w:p>
        </w:tc>
        <w:tc>
          <w:tcPr>
            <w:tcW w:w="1153" w:type="dxa"/>
            <w:tcMar>
              <w:top w:w="0" w:type="dxa"/>
              <w:left w:w="108" w:type="dxa"/>
              <w:bottom w:w="0" w:type="dxa"/>
              <w:right w:w="108" w:type="dxa"/>
            </w:tcMar>
            <w:vAlign w:val="bottom"/>
            <w:hideMark/>
          </w:tcPr>
          <w:p w14:paraId="39779EA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91</w:t>
            </w:r>
          </w:p>
        </w:tc>
        <w:tc>
          <w:tcPr>
            <w:tcW w:w="1344" w:type="dxa"/>
            <w:tcMar>
              <w:top w:w="0" w:type="dxa"/>
              <w:left w:w="108" w:type="dxa"/>
              <w:bottom w:w="0" w:type="dxa"/>
              <w:right w:w="108" w:type="dxa"/>
            </w:tcMar>
            <w:vAlign w:val="center"/>
            <w:hideMark/>
          </w:tcPr>
          <w:p w14:paraId="3D0DF9D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794691E6" w14:textId="77777777" w:rsidTr="00C6622C">
        <w:trPr>
          <w:cantSplit/>
        </w:trPr>
        <w:tc>
          <w:tcPr>
            <w:tcW w:w="2421" w:type="dxa"/>
            <w:tcMar>
              <w:top w:w="0" w:type="dxa"/>
              <w:left w:w="108" w:type="dxa"/>
              <w:bottom w:w="0" w:type="dxa"/>
              <w:right w:w="108" w:type="dxa"/>
            </w:tcMar>
            <w:hideMark/>
          </w:tcPr>
          <w:p w14:paraId="49B4BCCC"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Marlborough</w:t>
            </w:r>
          </w:p>
        </w:tc>
        <w:tc>
          <w:tcPr>
            <w:tcW w:w="1153" w:type="dxa"/>
            <w:tcMar>
              <w:top w:w="0" w:type="dxa"/>
              <w:left w:w="108" w:type="dxa"/>
              <w:bottom w:w="0" w:type="dxa"/>
              <w:right w:w="108" w:type="dxa"/>
            </w:tcMar>
            <w:hideMark/>
          </w:tcPr>
          <w:p w14:paraId="35BBACB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29</w:t>
            </w:r>
          </w:p>
        </w:tc>
        <w:tc>
          <w:tcPr>
            <w:tcW w:w="1153" w:type="dxa"/>
            <w:tcMar>
              <w:top w:w="0" w:type="dxa"/>
              <w:left w:w="108" w:type="dxa"/>
              <w:bottom w:w="0" w:type="dxa"/>
              <w:right w:w="108" w:type="dxa"/>
            </w:tcMar>
            <w:hideMark/>
          </w:tcPr>
          <w:p w14:paraId="7BDD8A5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1.8%</w:t>
            </w:r>
          </w:p>
        </w:tc>
        <w:tc>
          <w:tcPr>
            <w:tcW w:w="1153" w:type="dxa"/>
            <w:tcMar>
              <w:top w:w="0" w:type="dxa"/>
              <w:left w:w="108" w:type="dxa"/>
              <w:bottom w:w="0" w:type="dxa"/>
              <w:right w:w="108" w:type="dxa"/>
            </w:tcMar>
            <w:hideMark/>
          </w:tcPr>
          <w:p w14:paraId="7D115610"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71</w:t>
            </w:r>
          </w:p>
        </w:tc>
        <w:tc>
          <w:tcPr>
            <w:tcW w:w="1153" w:type="dxa"/>
            <w:tcMar>
              <w:top w:w="0" w:type="dxa"/>
              <w:left w:w="108" w:type="dxa"/>
              <w:bottom w:w="0" w:type="dxa"/>
              <w:right w:w="108" w:type="dxa"/>
            </w:tcMar>
            <w:hideMark/>
          </w:tcPr>
          <w:p w14:paraId="1D1FAD02"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2.2%</w:t>
            </w:r>
          </w:p>
        </w:tc>
        <w:tc>
          <w:tcPr>
            <w:tcW w:w="1153" w:type="dxa"/>
            <w:tcMar>
              <w:top w:w="0" w:type="dxa"/>
              <w:left w:w="108" w:type="dxa"/>
              <w:bottom w:w="0" w:type="dxa"/>
              <w:right w:w="108" w:type="dxa"/>
            </w:tcMar>
            <w:vAlign w:val="bottom"/>
            <w:hideMark/>
          </w:tcPr>
          <w:p w14:paraId="633CEFA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70</w:t>
            </w:r>
          </w:p>
        </w:tc>
        <w:tc>
          <w:tcPr>
            <w:tcW w:w="1344" w:type="dxa"/>
            <w:tcMar>
              <w:top w:w="0" w:type="dxa"/>
              <w:left w:w="108" w:type="dxa"/>
              <w:bottom w:w="0" w:type="dxa"/>
              <w:right w:w="108" w:type="dxa"/>
            </w:tcMar>
            <w:vAlign w:val="center"/>
            <w:hideMark/>
          </w:tcPr>
          <w:p w14:paraId="33C3CAC4"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w:t>
            </w:r>
          </w:p>
        </w:tc>
      </w:tr>
      <w:tr w:rsidR="000013CE" w:rsidRPr="000013CE" w14:paraId="65D10B01" w14:textId="77777777" w:rsidTr="00C6622C">
        <w:trPr>
          <w:cantSplit/>
        </w:trPr>
        <w:tc>
          <w:tcPr>
            <w:tcW w:w="2421" w:type="dxa"/>
            <w:tcMar>
              <w:top w:w="0" w:type="dxa"/>
              <w:left w:w="108" w:type="dxa"/>
              <w:bottom w:w="0" w:type="dxa"/>
              <w:right w:w="108" w:type="dxa"/>
            </w:tcMar>
            <w:hideMark/>
          </w:tcPr>
          <w:p w14:paraId="23581673"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Lexington</w:t>
            </w:r>
          </w:p>
        </w:tc>
        <w:tc>
          <w:tcPr>
            <w:tcW w:w="1153" w:type="dxa"/>
            <w:tcMar>
              <w:top w:w="0" w:type="dxa"/>
              <w:left w:w="108" w:type="dxa"/>
              <w:bottom w:w="0" w:type="dxa"/>
              <w:right w:w="108" w:type="dxa"/>
            </w:tcMar>
            <w:hideMark/>
          </w:tcPr>
          <w:p w14:paraId="0561F0D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27</w:t>
            </w:r>
          </w:p>
        </w:tc>
        <w:tc>
          <w:tcPr>
            <w:tcW w:w="1153" w:type="dxa"/>
            <w:tcMar>
              <w:top w:w="0" w:type="dxa"/>
              <w:left w:w="108" w:type="dxa"/>
              <w:bottom w:w="0" w:type="dxa"/>
              <w:right w:w="108" w:type="dxa"/>
            </w:tcMar>
            <w:hideMark/>
          </w:tcPr>
          <w:p w14:paraId="1961A21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1.6%</w:t>
            </w:r>
          </w:p>
        </w:tc>
        <w:tc>
          <w:tcPr>
            <w:tcW w:w="1153" w:type="dxa"/>
            <w:tcMar>
              <w:top w:w="0" w:type="dxa"/>
              <w:left w:w="108" w:type="dxa"/>
              <w:bottom w:w="0" w:type="dxa"/>
              <w:right w:w="108" w:type="dxa"/>
            </w:tcMar>
            <w:hideMark/>
          </w:tcPr>
          <w:p w14:paraId="5193ACA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70</w:t>
            </w:r>
          </w:p>
        </w:tc>
        <w:tc>
          <w:tcPr>
            <w:tcW w:w="1153" w:type="dxa"/>
            <w:tcMar>
              <w:top w:w="0" w:type="dxa"/>
              <w:left w:w="108" w:type="dxa"/>
              <w:bottom w:w="0" w:type="dxa"/>
              <w:right w:w="108" w:type="dxa"/>
            </w:tcMar>
            <w:hideMark/>
          </w:tcPr>
          <w:p w14:paraId="2953AF9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2.1%</w:t>
            </w:r>
          </w:p>
        </w:tc>
        <w:tc>
          <w:tcPr>
            <w:tcW w:w="1153" w:type="dxa"/>
            <w:tcMar>
              <w:top w:w="0" w:type="dxa"/>
              <w:left w:w="108" w:type="dxa"/>
              <w:bottom w:w="0" w:type="dxa"/>
              <w:right w:w="108" w:type="dxa"/>
            </w:tcMar>
            <w:vAlign w:val="bottom"/>
            <w:hideMark/>
          </w:tcPr>
          <w:p w14:paraId="0A84897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87</w:t>
            </w:r>
          </w:p>
        </w:tc>
        <w:tc>
          <w:tcPr>
            <w:tcW w:w="1344" w:type="dxa"/>
            <w:tcMar>
              <w:top w:w="0" w:type="dxa"/>
              <w:left w:w="108" w:type="dxa"/>
              <w:bottom w:w="0" w:type="dxa"/>
              <w:right w:w="108" w:type="dxa"/>
            </w:tcMar>
            <w:vAlign w:val="center"/>
            <w:hideMark/>
          </w:tcPr>
          <w:p w14:paraId="199AE1B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5CD73D24" w14:textId="77777777" w:rsidTr="00C6622C">
        <w:trPr>
          <w:cantSplit/>
        </w:trPr>
        <w:tc>
          <w:tcPr>
            <w:tcW w:w="2421" w:type="dxa"/>
            <w:tcMar>
              <w:top w:w="0" w:type="dxa"/>
              <w:left w:w="108" w:type="dxa"/>
              <w:bottom w:w="0" w:type="dxa"/>
              <w:right w:w="108" w:type="dxa"/>
            </w:tcMar>
            <w:hideMark/>
          </w:tcPr>
          <w:p w14:paraId="1FA01F0D"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Lunenburg</w:t>
            </w:r>
          </w:p>
        </w:tc>
        <w:tc>
          <w:tcPr>
            <w:tcW w:w="1153" w:type="dxa"/>
            <w:tcMar>
              <w:top w:w="0" w:type="dxa"/>
              <w:left w:w="108" w:type="dxa"/>
              <w:bottom w:w="0" w:type="dxa"/>
              <w:right w:w="108" w:type="dxa"/>
            </w:tcMar>
            <w:hideMark/>
          </w:tcPr>
          <w:p w14:paraId="5CD3E899"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26</w:t>
            </w:r>
          </w:p>
        </w:tc>
        <w:tc>
          <w:tcPr>
            <w:tcW w:w="1153" w:type="dxa"/>
            <w:tcMar>
              <w:top w:w="0" w:type="dxa"/>
              <w:left w:w="108" w:type="dxa"/>
              <w:bottom w:w="0" w:type="dxa"/>
              <w:right w:w="108" w:type="dxa"/>
            </w:tcMar>
            <w:hideMark/>
          </w:tcPr>
          <w:p w14:paraId="488F1C3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1.6%</w:t>
            </w:r>
          </w:p>
        </w:tc>
        <w:tc>
          <w:tcPr>
            <w:tcW w:w="1153" w:type="dxa"/>
            <w:tcMar>
              <w:top w:w="0" w:type="dxa"/>
              <w:left w:w="108" w:type="dxa"/>
              <w:bottom w:w="0" w:type="dxa"/>
              <w:right w:w="108" w:type="dxa"/>
            </w:tcMar>
            <w:hideMark/>
          </w:tcPr>
          <w:p w14:paraId="353AFDC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43</w:t>
            </w:r>
          </w:p>
        </w:tc>
        <w:tc>
          <w:tcPr>
            <w:tcW w:w="1153" w:type="dxa"/>
            <w:tcMar>
              <w:top w:w="0" w:type="dxa"/>
              <w:left w:w="108" w:type="dxa"/>
              <w:bottom w:w="0" w:type="dxa"/>
              <w:right w:w="108" w:type="dxa"/>
            </w:tcMar>
            <w:hideMark/>
          </w:tcPr>
          <w:p w14:paraId="33271FFA"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1.3%</w:t>
            </w:r>
          </w:p>
        </w:tc>
        <w:tc>
          <w:tcPr>
            <w:tcW w:w="1153" w:type="dxa"/>
            <w:tcMar>
              <w:top w:w="0" w:type="dxa"/>
              <w:left w:w="108" w:type="dxa"/>
              <w:bottom w:w="0" w:type="dxa"/>
              <w:right w:w="108" w:type="dxa"/>
            </w:tcMar>
            <w:vAlign w:val="bottom"/>
            <w:hideMark/>
          </w:tcPr>
          <w:p w14:paraId="7F027B6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66</w:t>
            </w:r>
          </w:p>
        </w:tc>
        <w:tc>
          <w:tcPr>
            <w:tcW w:w="1344" w:type="dxa"/>
            <w:tcMar>
              <w:top w:w="0" w:type="dxa"/>
              <w:left w:w="108" w:type="dxa"/>
              <w:bottom w:w="0" w:type="dxa"/>
              <w:right w:w="108" w:type="dxa"/>
            </w:tcMar>
            <w:vAlign w:val="center"/>
            <w:hideMark/>
          </w:tcPr>
          <w:p w14:paraId="1D4435F8"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w:t>
            </w:r>
          </w:p>
        </w:tc>
      </w:tr>
      <w:tr w:rsidR="000013CE" w:rsidRPr="000013CE" w14:paraId="34616831" w14:textId="77777777" w:rsidTr="00C6622C">
        <w:trPr>
          <w:cantSplit/>
        </w:trPr>
        <w:tc>
          <w:tcPr>
            <w:tcW w:w="2421" w:type="dxa"/>
            <w:tcMar>
              <w:top w:w="0" w:type="dxa"/>
              <w:left w:w="108" w:type="dxa"/>
              <w:bottom w:w="0" w:type="dxa"/>
              <w:right w:w="108" w:type="dxa"/>
            </w:tcMar>
            <w:hideMark/>
          </w:tcPr>
          <w:p w14:paraId="485163F2"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Pepperell</w:t>
            </w:r>
          </w:p>
        </w:tc>
        <w:tc>
          <w:tcPr>
            <w:tcW w:w="1153" w:type="dxa"/>
            <w:tcMar>
              <w:top w:w="0" w:type="dxa"/>
              <w:left w:w="108" w:type="dxa"/>
              <w:bottom w:w="0" w:type="dxa"/>
              <w:right w:w="108" w:type="dxa"/>
            </w:tcMar>
            <w:hideMark/>
          </w:tcPr>
          <w:p w14:paraId="75741AE5"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26</w:t>
            </w:r>
          </w:p>
        </w:tc>
        <w:tc>
          <w:tcPr>
            <w:tcW w:w="1153" w:type="dxa"/>
            <w:tcMar>
              <w:top w:w="0" w:type="dxa"/>
              <w:left w:w="108" w:type="dxa"/>
              <w:bottom w:w="0" w:type="dxa"/>
              <w:right w:w="108" w:type="dxa"/>
            </w:tcMar>
            <w:hideMark/>
          </w:tcPr>
          <w:p w14:paraId="0238B72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1.6%</w:t>
            </w:r>
          </w:p>
        </w:tc>
        <w:tc>
          <w:tcPr>
            <w:tcW w:w="1153" w:type="dxa"/>
            <w:tcMar>
              <w:top w:w="0" w:type="dxa"/>
              <w:left w:w="108" w:type="dxa"/>
              <w:bottom w:w="0" w:type="dxa"/>
              <w:right w:w="108" w:type="dxa"/>
            </w:tcMar>
            <w:hideMark/>
          </w:tcPr>
          <w:p w14:paraId="54D8407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53</w:t>
            </w:r>
          </w:p>
        </w:tc>
        <w:tc>
          <w:tcPr>
            <w:tcW w:w="1153" w:type="dxa"/>
            <w:tcMar>
              <w:top w:w="0" w:type="dxa"/>
              <w:left w:w="108" w:type="dxa"/>
              <w:bottom w:w="0" w:type="dxa"/>
              <w:right w:w="108" w:type="dxa"/>
            </w:tcMar>
            <w:hideMark/>
          </w:tcPr>
          <w:p w14:paraId="072D1C01"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1.6%</w:t>
            </w:r>
          </w:p>
        </w:tc>
        <w:tc>
          <w:tcPr>
            <w:tcW w:w="1153" w:type="dxa"/>
            <w:tcMar>
              <w:top w:w="0" w:type="dxa"/>
              <w:left w:w="108" w:type="dxa"/>
              <w:bottom w:w="0" w:type="dxa"/>
              <w:right w:w="108" w:type="dxa"/>
            </w:tcMar>
            <w:vAlign w:val="bottom"/>
            <w:hideMark/>
          </w:tcPr>
          <w:p w14:paraId="6897FA86"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74</w:t>
            </w:r>
          </w:p>
        </w:tc>
        <w:tc>
          <w:tcPr>
            <w:tcW w:w="1344" w:type="dxa"/>
            <w:tcMar>
              <w:top w:w="0" w:type="dxa"/>
              <w:left w:w="108" w:type="dxa"/>
              <w:bottom w:w="0" w:type="dxa"/>
              <w:right w:w="108" w:type="dxa"/>
            </w:tcMar>
            <w:vAlign w:val="center"/>
            <w:hideMark/>
          </w:tcPr>
          <w:p w14:paraId="2972CE4F"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2%</w:t>
            </w:r>
          </w:p>
        </w:tc>
      </w:tr>
      <w:tr w:rsidR="000013CE" w:rsidRPr="000013CE" w14:paraId="19E74518" w14:textId="77777777" w:rsidTr="00C6622C">
        <w:trPr>
          <w:cantSplit/>
        </w:trPr>
        <w:tc>
          <w:tcPr>
            <w:tcW w:w="2421" w:type="dxa"/>
            <w:tcMar>
              <w:top w:w="0" w:type="dxa"/>
              <w:left w:w="108" w:type="dxa"/>
              <w:bottom w:w="0" w:type="dxa"/>
              <w:right w:w="108" w:type="dxa"/>
            </w:tcMar>
            <w:hideMark/>
          </w:tcPr>
          <w:p w14:paraId="17E7022F" w14:textId="77777777" w:rsidR="000013CE" w:rsidRPr="000013CE" w:rsidRDefault="000013CE" w:rsidP="000013CE">
            <w:pPr>
              <w:spacing w:after="0" w:line="240" w:lineRule="auto"/>
              <w:rPr>
                <w:rFonts w:ascii="Aptos" w:hAnsi="Aptos" w:cstheme="minorHAnsi"/>
                <w:b/>
                <w:bCs/>
                <w:sz w:val="20"/>
                <w:szCs w:val="20"/>
              </w:rPr>
            </w:pPr>
            <w:r w:rsidRPr="000013CE">
              <w:rPr>
                <w:rFonts w:ascii="Aptos" w:hAnsi="Aptos" w:cstheme="minorHAnsi"/>
                <w:b/>
                <w:bCs/>
                <w:sz w:val="20"/>
                <w:szCs w:val="20"/>
              </w:rPr>
              <w:t>All Other</w:t>
            </w:r>
          </w:p>
        </w:tc>
        <w:tc>
          <w:tcPr>
            <w:tcW w:w="1153" w:type="dxa"/>
            <w:tcMar>
              <w:top w:w="0" w:type="dxa"/>
              <w:left w:w="108" w:type="dxa"/>
              <w:bottom w:w="0" w:type="dxa"/>
              <w:right w:w="108" w:type="dxa"/>
            </w:tcMar>
            <w:hideMark/>
          </w:tcPr>
          <w:p w14:paraId="144B8B83"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498</w:t>
            </w:r>
          </w:p>
        </w:tc>
        <w:tc>
          <w:tcPr>
            <w:tcW w:w="1153" w:type="dxa"/>
            <w:tcMar>
              <w:top w:w="0" w:type="dxa"/>
              <w:left w:w="108" w:type="dxa"/>
              <w:bottom w:w="0" w:type="dxa"/>
              <w:right w:w="108" w:type="dxa"/>
            </w:tcMar>
            <w:hideMark/>
          </w:tcPr>
          <w:p w14:paraId="3133CA2D"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31.6%</w:t>
            </w:r>
          </w:p>
        </w:tc>
        <w:tc>
          <w:tcPr>
            <w:tcW w:w="1153" w:type="dxa"/>
            <w:tcMar>
              <w:top w:w="0" w:type="dxa"/>
              <w:left w:w="108" w:type="dxa"/>
              <w:bottom w:w="0" w:type="dxa"/>
              <w:right w:w="108" w:type="dxa"/>
            </w:tcMar>
            <w:hideMark/>
          </w:tcPr>
          <w:p w14:paraId="2ADFF2EC"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996</w:t>
            </w:r>
          </w:p>
        </w:tc>
        <w:tc>
          <w:tcPr>
            <w:tcW w:w="1153" w:type="dxa"/>
            <w:tcMar>
              <w:top w:w="0" w:type="dxa"/>
              <w:left w:w="108" w:type="dxa"/>
              <w:bottom w:w="0" w:type="dxa"/>
              <w:right w:w="108" w:type="dxa"/>
            </w:tcMar>
            <w:hideMark/>
          </w:tcPr>
          <w:p w14:paraId="6C7701A7"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31%</w:t>
            </w:r>
          </w:p>
        </w:tc>
        <w:tc>
          <w:tcPr>
            <w:tcW w:w="1153" w:type="dxa"/>
            <w:tcMar>
              <w:top w:w="0" w:type="dxa"/>
              <w:left w:w="108" w:type="dxa"/>
              <w:bottom w:w="0" w:type="dxa"/>
              <w:right w:w="108" w:type="dxa"/>
            </w:tcMar>
            <w:vAlign w:val="center"/>
            <w:hideMark/>
          </w:tcPr>
          <w:p w14:paraId="2C874D2B"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1,629</w:t>
            </w:r>
          </w:p>
        </w:tc>
        <w:tc>
          <w:tcPr>
            <w:tcW w:w="1344" w:type="dxa"/>
            <w:tcMar>
              <w:top w:w="0" w:type="dxa"/>
              <w:left w:w="108" w:type="dxa"/>
              <w:bottom w:w="0" w:type="dxa"/>
              <w:right w:w="108" w:type="dxa"/>
            </w:tcMar>
            <w:vAlign w:val="center"/>
            <w:hideMark/>
          </w:tcPr>
          <w:p w14:paraId="5DA83ADE" w14:textId="77777777" w:rsidR="000013CE" w:rsidRPr="000013CE" w:rsidRDefault="000013CE" w:rsidP="002B4509">
            <w:pPr>
              <w:spacing w:after="0" w:line="240" w:lineRule="auto"/>
              <w:jc w:val="center"/>
              <w:rPr>
                <w:rFonts w:ascii="Aptos" w:hAnsi="Aptos" w:cstheme="minorHAnsi"/>
                <w:sz w:val="20"/>
                <w:szCs w:val="20"/>
              </w:rPr>
            </w:pPr>
            <w:r w:rsidRPr="000013CE">
              <w:rPr>
                <w:rFonts w:ascii="Aptos" w:hAnsi="Aptos" w:cstheme="minorHAnsi"/>
                <w:sz w:val="20"/>
                <w:szCs w:val="20"/>
              </w:rPr>
              <w:t>34%</w:t>
            </w:r>
          </w:p>
        </w:tc>
      </w:tr>
      <w:tr w:rsidR="002B4509" w:rsidRPr="000013CE" w14:paraId="594B234B" w14:textId="77777777" w:rsidTr="00C6622C">
        <w:trPr>
          <w:cantSplit/>
        </w:trPr>
        <w:tc>
          <w:tcPr>
            <w:tcW w:w="2421" w:type="dxa"/>
            <w:tcMar>
              <w:top w:w="0" w:type="dxa"/>
              <w:left w:w="108" w:type="dxa"/>
              <w:bottom w:w="0" w:type="dxa"/>
              <w:right w:w="108" w:type="dxa"/>
            </w:tcMar>
          </w:tcPr>
          <w:p w14:paraId="437D4C16" w14:textId="3E2E1D32" w:rsidR="002B4509" w:rsidRPr="000013CE" w:rsidRDefault="002B4509" w:rsidP="002B4509">
            <w:pPr>
              <w:spacing w:after="0" w:line="240" w:lineRule="auto"/>
              <w:rPr>
                <w:rFonts w:ascii="Aptos" w:hAnsi="Aptos" w:cstheme="minorHAnsi"/>
                <w:b/>
                <w:bCs/>
                <w:sz w:val="20"/>
                <w:szCs w:val="20"/>
              </w:rPr>
            </w:pPr>
            <w:r w:rsidRPr="00466128">
              <w:rPr>
                <w:rFonts w:ascii="Aptos" w:hAnsi="Aptos" w:cs="Arial"/>
                <w:b/>
                <w:bCs/>
                <w:sz w:val="20"/>
                <w:szCs w:val="20"/>
              </w:rPr>
              <w:t>Total</w:t>
            </w:r>
          </w:p>
        </w:tc>
        <w:tc>
          <w:tcPr>
            <w:tcW w:w="1153" w:type="dxa"/>
            <w:tcMar>
              <w:top w:w="0" w:type="dxa"/>
              <w:left w:w="108" w:type="dxa"/>
              <w:bottom w:w="0" w:type="dxa"/>
              <w:right w:w="108" w:type="dxa"/>
            </w:tcMar>
          </w:tcPr>
          <w:p w14:paraId="38DCB0F9" w14:textId="0A22CEF3" w:rsidR="002B4509" w:rsidRPr="000013CE" w:rsidRDefault="002B4509" w:rsidP="002B4509">
            <w:pPr>
              <w:spacing w:after="0" w:line="240" w:lineRule="auto"/>
              <w:jc w:val="center"/>
              <w:rPr>
                <w:rFonts w:ascii="Aptos" w:hAnsi="Aptos" w:cstheme="minorHAnsi"/>
                <w:sz w:val="20"/>
                <w:szCs w:val="20"/>
              </w:rPr>
            </w:pPr>
            <w:r w:rsidRPr="00466128">
              <w:rPr>
                <w:rFonts w:ascii="Aptos" w:hAnsi="Aptos" w:cs="Arial"/>
                <w:sz w:val="20"/>
                <w:szCs w:val="20"/>
              </w:rPr>
              <w:t>1,610</w:t>
            </w:r>
          </w:p>
        </w:tc>
        <w:tc>
          <w:tcPr>
            <w:tcW w:w="1153" w:type="dxa"/>
            <w:tcMar>
              <w:top w:w="0" w:type="dxa"/>
              <w:left w:w="108" w:type="dxa"/>
              <w:bottom w:w="0" w:type="dxa"/>
              <w:right w:w="108" w:type="dxa"/>
            </w:tcMar>
          </w:tcPr>
          <w:p w14:paraId="057E1727" w14:textId="7469F433" w:rsidR="002B4509" w:rsidRPr="000013CE" w:rsidRDefault="002B4509" w:rsidP="002B4509">
            <w:pPr>
              <w:spacing w:after="0" w:line="240" w:lineRule="auto"/>
              <w:jc w:val="center"/>
              <w:rPr>
                <w:rFonts w:ascii="Aptos" w:hAnsi="Aptos" w:cstheme="minorHAnsi"/>
                <w:sz w:val="20"/>
                <w:szCs w:val="20"/>
              </w:rPr>
            </w:pPr>
            <w:r w:rsidRPr="00466128">
              <w:rPr>
                <w:rFonts w:ascii="Aptos" w:hAnsi="Aptos" w:cs="Arial"/>
                <w:sz w:val="20"/>
                <w:szCs w:val="20"/>
              </w:rPr>
              <w:t>100%</w:t>
            </w:r>
          </w:p>
        </w:tc>
        <w:tc>
          <w:tcPr>
            <w:tcW w:w="1153" w:type="dxa"/>
            <w:tcMar>
              <w:top w:w="0" w:type="dxa"/>
              <w:left w:w="108" w:type="dxa"/>
              <w:bottom w:w="0" w:type="dxa"/>
              <w:right w:w="108" w:type="dxa"/>
            </w:tcMar>
          </w:tcPr>
          <w:p w14:paraId="514AECB6" w14:textId="1FCA4403" w:rsidR="002B4509" w:rsidRPr="000013CE" w:rsidRDefault="002B4509" w:rsidP="002B4509">
            <w:pPr>
              <w:spacing w:after="0" w:line="240" w:lineRule="auto"/>
              <w:jc w:val="center"/>
              <w:rPr>
                <w:rFonts w:ascii="Aptos" w:hAnsi="Aptos" w:cstheme="minorHAnsi"/>
                <w:sz w:val="20"/>
                <w:szCs w:val="20"/>
              </w:rPr>
            </w:pPr>
            <w:r w:rsidRPr="00466128">
              <w:rPr>
                <w:rFonts w:ascii="Aptos" w:hAnsi="Aptos" w:cs="Arial"/>
                <w:sz w:val="20"/>
                <w:szCs w:val="20"/>
              </w:rPr>
              <w:t>3,210</w:t>
            </w:r>
          </w:p>
        </w:tc>
        <w:tc>
          <w:tcPr>
            <w:tcW w:w="1153" w:type="dxa"/>
            <w:tcMar>
              <w:top w:w="0" w:type="dxa"/>
              <w:left w:w="108" w:type="dxa"/>
              <w:bottom w:w="0" w:type="dxa"/>
              <w:right w:w="108" w:type="dxa"/>
            </w:tcMar>
          </w:tcPr>
          <w:p w14:paraId="4267EF23" w14:textId="2D9FE7C1" w:rsidR="002B4509" w:rsidRPr="000013CE" w:rsidRDefault="002B4509" w:rsidP="002B4509">
            <w:pPr>
              <w:spacing w:after="0" w:line="240" w:lineRule="auto"/>
              <w:jc w:val="center"/>
              <w:rPr>
                <w:rFonts w:ascii="Aptos" w:hAnsi="Aptos" w:cstheme="minorHAnsi"/>
                <w:sz w:val="20"/>
                <w:szCs w:val="20"/>
              </w:rPr>
            </w:pPr>
            <w:r w:rsidRPr="00466128">
              <w:rPr>
                <w:rFonts w:ascii="Aptos" w:hAnsi="Aptos" w:cs="Arial"/>
                <w:sz w:val="20"/>
                <w:szCs w:val="20"/>
              </w:rPr>
              <w:t>100%</w:t>
            </w:r>
          </w:p>
        </w:tc>
        <w:tc>
          <w:tcPr>
            <w:tcW w:w="1153" w:type="dxa"/>
            <w:tcMar>
              <w:top w:w="0" w:type="dxa"/>
              <w:left w:w="108" w:type="dxa"/>
              <w:bottom w:w="0" w:type="dxa"/>
              <w:right w:w="108" w:type="dxa"/>
            </w:tcMar>
          </w:tcPr>
          <w:p w14:paraId="284DF692" w14:textId="6A8AA796" w:rsidR="002B4509" w:rsidRPr="000013CE" w:rsidRDefault="002B4509" w:rsidP="002B4509">
            <w:pPr>
              <w:spacing w:after="0" w:line="240" w:lineRule="auto"/>
              <w:jc w:val="center"/>
              <w:rPr>
                <w:rFonts w:ascii="Aptos" w:hAnsi="Aptos" w:cstheme="minorHAnsi"/>
                <w:sz w:val="20"/>
                <w:szCs w:val="20"/>
              </w:rPr>
            </w:pPr>
            <w:r w:rsidRPr="00466128">
              <w:rPr>
                <w:rFonts w:ascii="Aptos" w:hAnsi="Aptos" w:cs="Arial"/>
                <w:sz w:val="20"/>
                <w:szCs w:val="20"/>
              </w:rPr>
              <w:t>4,790</w:t>
            </w:r>
          </w:p>
        </w:tc>
        <w:tc>
          <w:tcPr>
            <w:tcW w:w="1344" w:type="dxa"/>
            <w:tcMar>
              <w:top w:w="0" w:type="dxa"/>
              <w:left w:w="108" w:type="dxa"/>
              <w:bottom w:w="0" w:type="dxa"/>
              <w:right w:w="108" w:type="dxa"/>
            </w:tcMar>
          </w:tcPr>
          <w:p w14:paraId="51F9053F" w14:textId="644C027A" w:rsidR="002B4509" w:rsidRPr="000013CE" w:rsidRDefault="002B4509" w:rsidP="002B4509">
            <w:pPr>
              <w:spacing w:after="0" w:line="240" w:lineRule="auto"/>
              <w:jc w:val="center"/>
              <w:rPr>
                <w:rFonts w:ascii="Aptos" w:hAnsi="Aptos" w:cstheme="minorHAnsi"/>
                <w:sz w:val="20"/>
                <w:szCs w:val="20"/>
              </w:rPr>
            </w:pPr>
            <w:r w:rsidRPr="00466128">
              <w:rPr>
                <w:rFonts w:ascii="Aptos" w:hAnsi="Aptos" w:cs="Arial"/>
                <w:sz w:val="20"/>
                <w:szCs w:val="20"/>
              </w:rPr>
              <w:t>100%</w:t>
            </w:r>
          </w:p>
        </w:tc>
      </w:tr>
    </w:tbl>
    <w:p w14:paraId="4DCA1916" w14:textId="77777777" w:rsidR="000013CE" w:rsidRPr="00466128" w:rsidRDefault="000013CE" w:rsidP="006C26A3">
      <w:pPr>
        <w:rPr>
          <w:rFonts w:ascii="Aptos" w:hAnsi="Aptos" w:cstheme="minorHAnsi"/>
        </w:rPr>
      </w:pPr>
    </w:p>
    <w:p w14:paraId="26984502" w14:textId="77777777" w:rsidR="001D6557" w:rsidRPr="00466128" w:rsidRDefault="00723C74" w:rsidP="0026167E">
      <w:pPr>
        <w:pStyle w:val="ListParagraph"/>
        <w:numPr>
          <w:ilvl w:val="0"/>
          <w:numId w:val="27"/>
        </w:numPr>
        <w:rPr>
          <w:rFonts w:ascii="Aptos" w:hAnsi="Aptos" w:cstheme="minorHAnsi"/>
        </w:rPr>
      </w:pPr>
      <w:r w:rsidRPr="00466128">
        <w:rPr>
          <w:rFonts w:ascii="Aptos" w:hAnsi="Aptos" w:cstheme="minorHAnsi"/>
        </w:rPr>
        <w:t>How many patients seen</w:t>
      </w:r>
      <w:r w:rsidR="00071A62" w:rsidRPr="00466128">
        <w:rPr>
          <w:rFonts w:ascii="Aptos" w:hAnsi="Aptos" w:cstheme="minorHAnsi"/>
        </w:rPr>
        <w:t xml:space="preserve"> at the Center</w:t>
      </w:r>
      <w:r w:rsidRPr="00466128">
        <w:rPr>
          <w:rFonts w:ascii="Aptos" w:hAnsi="Aptos" w:cstheme="minorHAnsi"/>
        </w:rPr>
        <w:t xml:space="preserve"> in 2024, were </w:t>
      </w:r>
      <w:r w:rsidR="00FE1525" w:rsidRPr="00466128">
        <w:rPr>
          <w:rFonts w:ascii="Aptos" w:hAnsi="Aptos" w:cstheme="minorHAnsi"/>
        </w:rPr>
        <w:t xml:space="preserve">patients of </w:t>
      </w:r>
      <w:r w:rsidR="00FC45B9" w:rsidRPr="00466128">
        <w:rPr>
          <w:rFonts w:ascii="Aptos" w:hAnsi="Aptos" w:cstheme="minorHAnsi"/>
        </w:rPr>
        <w:t xml:space="preserve">Emerson </w:t>
      </w:r>
      <w:r w:rsidR="00446451" w:rsidRPr="00466128">
        <w:rPr>
          <w:rFonts w:ascii="Aptos" w:hAnsi="Aptos" w:cstheme="minorHAnsi"/>
        </w:rPr>
        <w:t>Hospital</w:t>
      </w:r>
      <w:r w:rsidRPr="00466128">
        <w:rPr>
          <w:rFonts w:ascii="Aptos" w:hAnsi="Aptos" w:cstheme="minorHAnsi"/>
        </w:rPr>
        <w:t>?</w:t>
      </w:r>
      <w:r w:rsidR="001D6557" w:rsidRPr="00466128">
        <w:rPr>
          <w:rFonts w:ascii="Aptos" w:hAnsi="Aptos" w:cstheme="minorHAnsi"/>
        </w:rPr>
        <w:t xml:space="preserve"> </w:t>
      </w:r>
    </w:p>
    <w:p w14:paraId="5B3E85EB" w14:textId="2084ED82" w:rsidR="00987943" w:rsidRPr="00466128" w:rsidRDefault="001D6557" w:rsidP="001D6557">
      <w:pPr>
        <w:pStyle w:val="ListParagraph"/>
        <w:rPr>
          <w:rFonts w:ascii="Aptos" w:hAnsi="Aptos" w:cstheme="minorHAnsi"/>
        </w:rPr>
      </w:pPr>
      <w:r w:rsidRPr="00466128">
        <w:rPr>
          <w:rFonts w:ascii="Aptos" w:hAnsi="Aptos" w:cstheme="minorHAnsi"/>
          <w:b/>
          <w:bCs/>
        </w:rPr>
        <w:t>4,354, or 90.1%</w:t>
      </w:r>
    </w:p>
    <w:p w14:paraId="695C88C8" w14:textId="77777777" w:rsidR="0026167E" w:rsidRPr="00466128" w:rsidRDefault="0026167E" w:rsidP="0026167E">
      <w:pPr>
        <w:pStyle w:val="ListParagraph"/>
        <w:rPr>
          <w:rFonts w:ascii="Aptos" w:hAnsi="Aptos" w:cstheme="minorHAnsi"/>
        </w:rPr>
      </w:pPr>
    </w:p>
    <w:p w14:paraId="671A859C" w14:textId="164E777E" w:rsidR="00AD2FC9" w:rsidRPr="00807358" w:rsidRDefault="0026167E" w:rsidP="00807358">
      <w:pPr>
        <w:pStyle w:val="ListParagraph"/>
        <w:numPr>
          <w:ilvl w:val="0"/>
          <w:numId w:val="27"/>
        </w:numPr>
        <w:spacing w:after="120"/>
        <w:contextualSpacing w:val="0"/>
        <w:rPr>
          <w:rFonts w:ascii="Aptos" w:hAnsi="Aptos" w:cstheme="minorHAnsi"/>
        </w:rPr>
      </w:pPr>
      <w:r w:rsidRPr="00466128">
        <w:rPr>
          <w:rFonts w:ascii="Aptos" w:hAnsi="Aptos" w:cstheme="minorHAnsi"/>
        </w:rPr>
        <w:t xml:space="preserve">Explain methodology used, including data sources, to determine that one additional procedure room and 3 pre/post op beds are needed to meet Patient Panel need for </w:t>
      </w:r>
      <w:r w:rsidR="001348C0" w:rsidRPr="00466128">
        <w:rPr>
          <w:rFonts w:ascii="Aptos" w:hAnsi="Aptos" w:cstheme="minorHAnsi"/>
        </w:rPr>
        <w:t>the Center’s</w:t>
      </w:r>
      <w:r w:rsidRPr="00466128">
        <w:rPr>
          <w:rFonts w:ascii="Aptos" w:hAnsi="Aptos" w:cstheme="minorHAnsi"/>
        </w:rPr>
        <w:t xml:space="preserve"> services.</w:t>
      </w:r>
    </w:p>
    <w:p w14:paraId="5094E1FB" w14:textId="48368E59" w:rsidR="0026167E" w:rsidRPr="00466128" w:rsidRDefault="00AD2FC9" w:rsidP="009704F9">
      <w:pPr>
        <w:pStyle w:val="ListParagraph"/>
        <w:jc w:val="both"/>
        <w:rPr>
          <w:rFonts w:ascii="Aptos" w:hAnsi="Aptos" w:cstheme="minorHAnsi"/>
          <w:b/>
          <w:bCs/>
        </w:rPr>
      </w:pPr>
      <w:r w:rsidRPr="00466128">
        <w:rPr>
          <w:rFonts w:ascii="Aptos" w:hAnsi="Aptos" w:cstheme="minorHAnsi"/>
          <w:b/>
          <w:bCs/>
        </w:rPr>
        <w:t xml:space="preserve">As noted in Question #10 below, current capacity at the Center is 75% which is the optimal operating capacity of the Center to allow for add-on cases. With higher volume projected in future years beginning with the current year, additional capacity will be needed </w:t>
      </w:r>
      <w:proofErr w:type="gramStart"/>
      <w:r w:rsidRPr="00466128">
        <w:rPr>
          <w:rFonts w:ascii="Aptos" w:hAnsi="Aptos" w:cstheme="minorHAnsi"/>
          <w:b/>
          <w:bCs/>
        </w:rPr>
        <w:t>in order to</w:t>
      </w:r>
      <w:proofErr w:type="gramEnd"/>
      <w:r w:rsidRPr="00466128">
        <w:rPr>
          <w:rFonts w:ascii="Aptos" w:hAnsi="Aptos" w:cstheme="minorHAnsi"/>
          <w:b/>
          <w:bCs/>
        </w:rPr>
        <w:t xml:space="preserve"> ensure timely access to endoscopy. At the Center’s present operating capacity, additional block time is not available and as a result, wait times and scheduling backlogs will continue to grow. The current wait time for endoscopy is one month for Emerson GI patients. The wait time for</w:t>
      </w:r>
      <w:r w:rsidR="00AE2B02">
        <w:rPr>
          <w:rFonts w:ascii="Aptos" w:hAnsi="Aptos" w:cstheme="minorHAnsi"/>
          <w:b/>
          <w:bCs/>
        </w:rPr>
        <w:t xml:space="preserve"> Atrius</w:t>
      </w:r>
      <w:r w:rsidR="00941336">
        <w:rPr>
          <w:rFonts w:ascii="Aptos" w:hAnsi="Aptos" w:cstheme="minorHAnsi"/>
          <w:b/>
          <w:bCs/>
        </w:rPr>
        <w:t>’ open access</w:t>
      </w:r>
      <w:r w:rsidR="00AE2B02">
        <w:rPr>
          <w:rFonts w:ascii="Aptos" w:hAnsi="Aptos" w:cstheme="minorHAnsi"/>
          <w:b/>
          <w:bCs/>
        </w:rPr>
        <w:t xml:space="preserve"> patients </w:t>
      </w:r>
      <w:r w:rsidR="00941336">
        <w:rPr>
          <w:rFonts w:ascii="Aptos" w:hAnsi="Aptos" w:cstheme="minorHAnsi"/>
          <w:b/>
          <w:bCs/>
        </w:rPr>
        <w:t xml:space="preserve">(those without a GI referral) </w:t>
      </w:r>
      <w:r w:rsidRPr="00466128">
        <w:rPr>
          <w:rFonts w:ascii="Aptos" w:hAnsi="Aptos" w:cstheme="minorHAnsi"/>
          <w:b/>
          <w:bCs/>
        </w:rPr>
        <w:t xml:space="preserve">is three months. </w:t>
      </w:r>
      <w:r w:rsidR="009704F9" w:rsidRPr="00466128">
        <w:rPr>
          <w:rFonts w:ascii="Aptos" w:hAnsi="Aptos" w:cstheme="minorHAnsi"/>
          <w:b/>
          <w:bCs/>
        </w:rPr>
        <w:t xml:space="preserve">Additional operating capacity will allow the Center to accommodate more than 9,000 patients annually which it cannot do with only two procedure rooms. </w:t>
      </w:r>
      <w:r w:rsidR="006C26A3" w:rsidRPr="00466128">
        <w:rPr>
          <w:rFonts w:ascii="Aptos" w:hAnsi="Aptos" w:cstheme="minorHAnsi"/>
          <w:b/>
          <w:bCs/>
        </w:rPr>
        <w:t xml:space="preserve">Therefore, to maintain </w:t>
      </w:r>
      <w:r w:rsidR="00E0532C">
        <w:rPr>
          <w:rFonts w:ascii="Aptos" w:hAnsi="Aptos" w:cstheme="minorHAnsi"/>
          <w:b/>
          <w:bCs/>
        </w:rPr>
        <w:t>and</w:t>
      </w:r>
      <w:r w:rsidR="006C26A3" w:rsidRPr="00466128">
        <w:rPr>
          <w:rFonts w:ascii="Aptos" w:hAnsi="Aptos" w:cstheme="minorHAnsi"/>
          <w:b/>
          <w:bCs/>
        </w:rPr>
        <w:t xml:space="preserve"> reduce current wait times </w:t>
      </w:r>
      <w:r w:rsidR="00E0532C">
        <w:rPr>
          <w:rFonts w:ascii="Aptos" w:hAnsi="Aptos" w:cstheme="minorHAnsi"/>
          <w:b/>
          <w:bCs/>
        </w:rPr>
        <w:t>for all patients</w:t>
      </w:r>
      <w:r w:rsidR="006C26A3" w:rsidRPr="00466128">
        <w:rPr>
          <w:rFonts w:ascii="Aptos" w:hAnsi="Aptos" w:cstheme="minorHAnsi"/>
          <w:b/>
          <w:bCs/>
        </w:rPr>
        <w:t xml:space="preserve">, a third procedure room is needed. </w:t>
      </w:r>
    </w:p>
    <w:p w14:paraId="1233E6D6" w14:textId="77777777" w:rsidR="009704F9" w:rsidRPr="00466128" w:rsidRDefault="009704F9" w:rsidP="009704F9">
      <w:pPr>
        <w:pStyle w:val="ListParagraph"/>
        <w:jc w:val="both"/>
        <w:rPr>
          <w:rFonts w:ascii="Aptos" w:hAnsi="Aptos" w:cstheme="minorHAnsi"/>
          <w:b/>
          <w:bCs/>
        </w:rPr>
      </w:pPr>
    </w:p>
    <w:p w14:paraId="6AB45C76" w14:textId="559BD4A9" w:rsidR="00786222" w:rsidRPr="00466128" w:rsidRDefault="003D49A8" w:rsidP="00786222">
      <w:pPr>
        <w:pStyle w:val="ListParagraph"/>
        <w:numPr>
          <w:ilvl w:val="0"/>
          <w:numId w:val="27"/>
        </w:numPr>
        <w:rPr>
          <w:rFonts w:ascii="Aptos" w:hAnsi="Aptos" w:cstheme="minorHAnsi"/>
        </w:rPr>
      </w:pPr>
      <w:r w:rsidRPr="00466128">
        <w:rPr>
          <w:rFonts w:ascii="Aptos" w:hAnsi="Aptos" w:cstheme="minorHAnsi"/>
        </w:rPr>
        <w:t xml:space="preserve">The application states that </w:t>
      </w:r>
      <w:r w:rsidR="00DE5B3F" w:rsidRPr="00466128">
        <w:rPr>
          <w:rFonts w:ascii="Aptos" w:hAnsi="Aptos" w:cstheme="minorHAnsi"/>
        </w:rPr>
        <w:t>the Center can accommodate a maximum of 3,500 cases per room per year (pg.)</w:t>
      </w:r>
      <w:r w:rsidR="00786222" w:rsidRPr="00466128">
        <w:rPr>
          <w:rFonts w:ascii="Aptos" w:hAnsi="Aptos" w:cstheme="minorHAnsi"/>
        </w:rPr>
        <w:t>, which would be 7,000 cases for the two procedure rooms a</w:t>
      </w:r>
      <w:r w:rsidR="00611A51" w:rsidRPr="00466128">
        <w:rPr>
          <w:rFonts w:ascii="Aptos" w:hAnsi="Aptos" w:cstheme="minorHAnsi"/>
        </w:rPr>
        <w:t>t</w:t>
      </w:r>
      <w:r w:rsidR="00786222" w:rsidRPr="00466128">
        <w:rPr>
          <w:rFonts w:ascii="Aptos" w:hAnsi="Aptos" w:cstheme="minorHAnsi"/>
        </w:rPr>
        <w:t xml:space="preserve"> </w:t>
      </w:r>
      <w:r w:rsidR="001348C0" w:rsidRPr="00466128">
        <w:rPr>
          <w:rFonts w:ascii="Aptos" w:hAnsi="Aptos" w:cstheme="minorHAnsi"/>
        </w:rPr>
        <w:t>the Center</w:t>
      </w:r>
      <w:r w:rsidR="00786222" w:rsidRPr="00466128">
        <w:rPr>
          <w:rFonts w:ascii="Aptos" w:hAnsi="Aptos" w:cstheme="minorHAnsi"/>
        </w:rPr>
        <w:t xml:space="preserve">. </w:t>
      </w:r>
    </w:p>
    <w:p w14:paraId="581D7463" w14:textId="09C055E0" w:rsidR="006C26A3" w:rsidRPr="00807358" w:rsidRDefault="00DE5B3F"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 xml:space="preserve"> Given there were </w:t>
      </w:r>
      <w:r w:rsidR="00786222" w:rsidRPr="00466128">
        <w:rPr>
          <w:rFonts w:ascii="Aptos" w:hAnsi="Aptos" w:cstheme="minorHAnsi"/>
        </w:rPr>
        <w:t>4,873 cases in 2024, why is additional capacity needed now?</w:t>
      </w:r>
      <w:r w:rsidR="00AD2FC9" w:rsidRPr="00466128">
        <w:rPr>
          <w:rFonts w:ascii="Aptos" w:hAnsi="Aptos" w:cstheme="minorHAnsi"/>
        </w:rPr>
        <w:t xml:space="preserve"> </w:t>
      </w:r>
    </w:p>
    <w:p w14:paraId="48DE3297" w14:textId="391BE4A9" w:rsidR="00786222" w:rsidRPr="00466128" w:rsidRDefault="006C26A3" w:rsidP="006C26A3">
      <w:pPr>
        <w:pStyle w:val="ListParagraph"/>
        <w:ind w:left="1440"/>
        <w:jc w:val="both"/>
        <w:rPr>
          <w:rFonts w:ascii="Aptos" w:hAnsi="Aptos" w:cstheme="minorHAnsi"/>
          <w:b/>
          <w:bCs/>
        </w:rPr>
      </w:pPr>
      <w:r w:rsidRPr="00466128">
        <w:rPr>
          <w:rFonts w:ascii="Aptos" w:hAnsi="Aptos" w:cstheme="minorHAnsi"/>
          <w:b/>
          <w:bCs/>
        </w:rPr>
        <w:t>Please refer to the response provided to Question #8. Given the</w:t>
      </w:r>
      <w:r w:rsidR="00A16131">
        <w:rPr>
          <w:rFonts w:ascii="Aptos" w:hAnsi="Aptos" w:cstheme="minorHAnsi"/>
          <w:b/>
          <w:bCs/>
        </w:rPr>
        <w:t xml:space="preserve"> importance of timely</w:t>
      </w:r>
      <w:r w:rsidRPr="00466128">
        <w:rPr>
          <w:rFonts w:ascii="Aptos" w:hAnsi="Aptos" w:cstheme="minorHAnsi"/>
          <w:b/>
          <w:bCs/>
        </w:rPr>
        <w:t xml:space="preserve"> </w:t>
      </w:r>
      <w:r w:rsidR="00A16131">
        <w:rPr>
          <w:rFonts w:ascii="Aptos" w:hAnsi="Aptos" w:cstheme="minorHAnsi"/>
          <w:b/>
          <w:bCs/>
        </w:rPr>
        <w:t xml:space="preserve">screening and diagnosis of </w:t>
      </w:r>
      <w:r w:rsidRPr="00466128">
        <w:rPr>
          <w:rFonts w:ascii="Aptos" w:hAnsi="Aptos" w:cstheme="minorHAnsi"/>
          <w:b/>
          <w:bCs/>
        </w:rPr>
        <w:t xml:space="preserve">colorectal cancer, it would be detrimental to public health to require a backlog of cases to build before allowing additional capacity. </w:t>
      </w:r>
      <w:r w:rsidR="00A16131">
        <w:rPr>
          <w:rFonts w:ascii="Aptos" w:hAnsi="Aptos" w:cstheme="minorHAnsi"/>
          <w:b/>
          <w:bCs/>
        </w:rPr>
        <w:t xml:space="preserve">The Applicant is starting to see wait times </w:t>
      </w:r>
      <w:r w:rsidR="00E34270">
        <w:rPr>
          <w:rFonts w:ascii="Aptos" w:hAnsi="Aptos" w:cstheme="minorHAnsi"/>
          <w:b/>
          <w:bCs/>
        </w:rPr>
        <w:t xml:space="preserve">increase </w:t>
      </w:r>
      <w:r w:rsidR="00A16131">
        <w:rPr>
          <w:rFonts w:ascii="Aptos" w:hAnsi="Aptos" w:cstheme="minorHAnsi"/>
          <w:b/>
          <w:bCs/>
        </w:rPr>
        <w:t xml:space="preserve">for patients to access the ASC and </w:t>
      </w:r>
      <w:r w:rsidR="00E34270">
        <w:rPr>
          <w:rFonts w:ascii="Aptos" w:hAnsi="Aptos" w:cstheme="minorHAnsi"/>
          <w:b/>
          <w:bCs/>
        </w:rPr>
        <w:t>wait times</w:t>
      </w:r>
      <w:r w:rsidR="00A16131">
        <w:rPr>
          <w:rFonts w:ascii="Aptos" w:hAnsi="Aptos" w:cstheme="minorHAnsi"/>
          <w:b/>
          <w:bCs/>
        </w:rPr>
        <w:t xml:space="preserve"> will continue to </w:t>
      </w:r>
      <w:r w:rsidR="00E34270">
        <w:rPr>
          <w:rFonts w:ascii="Aptos" w:hAnsi="Aptos" w:cstheme="minorHAnsi"/>
          <w:b/>
          <w:bCs/>
        </w:rPr>
        <w:t>increase</w:t>
      </w:r>
      <w:r w:rsidR="00A16131">
        <w:rPr>
          <w:rFonts w:ascii="Aptos" w:hAnsi="Aptos" w:cstheme="minorHAnsi"/>
          <w:b/>
          <w:bCs/>
        </w:rPr>
        <w:t>. It would not be prudent to wait to begin to build this additional capacity until access becomes even more difficult. Taken together with the increased incidence in younger populations and the recent change in guidelines for screening age, the Applicant is taking a proactive approach to addressing this know</w:t>
      </w:r>
      <w:r w:rsidR="009A236F">
        <w:rPr>
          <w:rFonts w:ascii="Aptos" w:hAnsi="Aptos" w:cstheme="minorHAnsi"/>
          <w:b/>
          <w:bCs/>
        </w:rPr>
        <w:t>n</w:t>
      </w:r>
      <w:r w:rsidR="00A16131">
        <w:rPr>
          <w:rFonts w:ascii="Aptos" w:hAnsi="Aptos" w:cstheme="minorHAnsi"/>
          <w:b/>
          <w:bCs/>
        </w:rPr>
        <w:t xml:space="preserve"> public health need for timely access in the community to colorectal screening and treatment.</w:t>
      </w:r>
    </w:p>
    <w:p w14:paraId="1D953EB5" w14:textId="77777777" w:rsidR="006C26A3" w:rsidRPr="00466128" w:rsidRDefault="006C26A3" w:rsidP="006C26A3">
      <w:pPr>
        <w:pStyle w:val="ListParagraph"/>
        <w:ind w:left="1440"/>
        <w:rPr>
          <w:rFonts w:ascii="Aptos" w:hAnsi="Aptos" w:cstheme="minorHAnsi"/>
        </w:rPr>
      </w:pPr>
    </w:p>
    <w:p w14:paraId="469E1D15" w14:textId="2D7B89A4" w:rsidR="00BB28C2" w:rsidRPr="00466128" w:rsidRDefault="00786222" w:rsidP="009704F9">
      <w:pPr>
        <w:pStyle w:val="ListParagraph"/>
        <w:numPr>
          <w:ilvl w:val="0"/>
          <w:numId w:val="27"/>
        </w:numPr>
        <w:rPr>
          <w:rFonts w:ascii="Aptos" w:hAnsi="Aptos" w:cstheme="minorHAnsi"/>
        </w:rPr>
      </w:pPr>
      <w:r w:rsidRPr="00466128">
        <w:rPr>
          <w:rFonts w:ascii="Aptos" w:hAnsi="Aptos" w:cstheme="minorHAnsi"/>
        </w:rPr>
        <w:t xml:space="preserve">Provide the </w:t>
      </w:r>
      <w:r w:rsidR="001B28D2" w:rsidRPr="00466128">
        <w:rPr>
          <w:rFonts w:ascii="Aptos" w:hAnsi="Aptos" w:cstheme="minorHAnsi"/>
        </w:rPr>
        <w:t xml:space="preserve">Center’s </w:t>
      </w:r>
      <w:r w:rsidRPr="00466128">
        <w:rPr>
          <w:rFonts w:ascii="Aptos" w:hAnsi="Aptos" w:cstheme="minorHAnsi"/>
        </w:rPr>
        <w:t>operating capacity for each year of operation (2022 to 2024) and projected operating capacity for each year of the projections (2027 to 2031).</w:t>
      </w:r>
    </w:p>
    <w:tbl>
      <w:tblPr>
        <w:tblStyle w:val="TableGrid"/>
        <w:tblW w:w="0" w:type="auto"/>
        <w:tblInd w:w="715" w:type="dxa"/>
        <w:tblLook w:val="04A0" w:firstRow="1" w:lastRow="0" w:firstColumn="1" w:lastColumn="0" w:noHBand="0" w:noVBand="1"/>
      </w:tblPr>
      <w:tblGrid>
        <w:gridCol w:w="2878"/>
        <w:gridCol w:w="2878"/>
        <w:gridCol w:w="2879"/>
      </w:tblGrid>
      <w:tr w:rsidR="00466128" w:rsidRPr="00466128" w14:paraId="54380CC8" w14:textId="77777777" w:rsidTr="00C6622C">
        <w:trPr>
          <w:cantSplit/>
          <w:tblHeader/>
        </w:trPr>
        <w:tc>
          <w:tcPr>
            <w:tcW w:w="2878" w:type="dxa"/>
          </w:tcPr>
          <w:p w14:paraId="4C4327F7" w14:textId="77777777" w:rsidR="00E0532C" w:rsidRDefault="00E0532C" w:rsidP="00F3335B">
            <w:pPr>
              <w:jc w:val="both"/>
              <w:rPr>
                <w:rFonts w:ascii="Aptos" w:hAnsi="Aptos" w:cs="Arial"/>
                <w:b/>
                <w:bCs/>
                <w:sz w:val="20"/>
                <w:szCs w:val="20"/>
              </w:rPr>
            </w:pPr>
            <w:r>
              <w:rPr>
                <w:rFonts w:ascii="Aptos" w:hAnsi="Aptos" w:cs="Arial"/>
                <w:b/>
                <w:bCs/>
                <w:sz w:val="20"/>
                <w:szCs w:val="20"/>
              </w:rPr>
              <w:t xml:space="preserve">Response </w:t>
            </w:r>
            <w:r w:rsidR="009704F9" w:rsidRPr="00466128">
              <w:rPr>
                <w:rFonts w:ascii="Aptos" w:hAnsi="Aptos" w:cs="Arial"/>
                <w:b/>
                <w:bCs/>
                <w:sz w:val="20"/>
                <w:szCs w:val="20"/>
              </w:rPr>
              <w:t xml:space="preserve">Table </w:t>
            </w:r>
            <w:r>
              <w:rPr>
                <w:rFonts w:ascii="Aptos" w:hAnsi="Aptos" w:cs="Arial"/>
                <w:b/>
                <w:bCs/>
                <w:sz w:val="20"/>
                <w:szCs w:val="20"/>
              </w:rPr>
              <w:t>2</w:t>
            </w:r>
            <w:r w:rsidR="009704F9" w:rsidRPr="00466128">
              <w:rPr>
                <w:rFonts w:ascii="Aptos" w:hAnsi="Aptos" w:cs="Arial"/>
                <w:b/>
                <w:bCs/>
                <w:sz w:val="20"/>
                <w:szCs w:val="20"/>
              </w:rPr>
              <w:t xml:space="preserve">: </w:t>
            </w:r>
          </w:p>
          <w:p w14:paraId="3ACE7942" w14:textId="504A44ED"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Calendar Year</w:t>
            </w:r>
          </w:p>
        </w:tc>
        <w:tc>
          <w:tcPr>
            <w:tcW w:w="2878" w:type="dxa"/>
          </w:tcPr>
          <w:p w14:paraId="1E0EAF85" w14:textId="499C8B21"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(Projected)</w:t>
            </w:r>
            <w:r w:rsidR="00CC7321">
              <w:rPr>
                <w:rStyle w:val="FootnoteReference"/>
                <w:rFonts w:ascii="Aptos" w:hAnsi="Aptos" w:cs="Arial"/>
                <w:b/>
                <w:bCs/>
                <w:sz w:val="20"/>
                <w:szCs w:val="20"/>
              </w:rPr>
              <w:footnoteReference w:id="3"/>
            </w:r>
            <w:r w:rsidRPr="00466128">
              <w:rPr>
                <w:rFonts w:ascii="Aptos" w:hAnsi="Aptos" w:cs="Arial"/>
                <w:b/>
                <w:bCs/>
                <w:sz w:val="20"/>
                <w:szCs w:val="20"/>
              </w:rPr>
              <w:t xml:space="preserve"> Cases per Room </w:t>
            </w:r>
          </w:p>
        </w:tc>
        <w:tc>
          <w:tcPr>
            <w:tcW w:w="2879" w:type="dxa"/>
          </w:tcPr>
          <w:p w14:paraId="3470534A" w14:textId="0B677E45" w:rsidR="00BB28C2" w:rsidRPr="00466128" w:rsidRDefault="00E0532C" w:rsidP="00E0532C">
            <w:pPr>
              <w:rPr>
                <w:rFonts w:ascii="Aptos" w:hAnsi="Aptos" w:cs="Arial"/>
                <w:b/>
                <w:bCs/>
                <w:sz w:val="20"/>
                <w:szCs w:val="20"/>
              </w:rPr>
            </w:pPr>
            <w:r>
              <w:rPr>
                <w:rFonts w:ascii="Aptos" w:hAnsi="Aptos" w:cs="Arial"/>
                <w:b/>
                <w:bCs/>
                <w:sz w:val="20"/>
                <w:szCs w:val="20"/>
              </w:rPr>
              <w:t>(</w:t>
            </w:r>
            <w:r w:rsidR="00BB28C2" w:rsidRPr="00466128">
              <w:rPr>
                <w:rFonts w:ascii="Aptos" w:hAnsi="Aptos" w:cs="Arial"/>
                <w:b/>
                <w:bCs/>
                <w:sz w:val="20"/>
                <w:szCs w:val="20"/>
              </w:rPr>
              <w:t>Projected</w:t>
            </w:r>
            <w:r>
              <w:rPr>
                <w:rFonts w:ascii="Aptos" w:hAnsi="Aptos" w:cs="Arial"/>
                <w:b/>
                <w:bCs/>
                <w:sz w:val="20"/>
                <w:szCs w:val="20"/>
              </w:rPr>
              <w:t xml:space="preserve">) </w:t>
            </w:r>
            <w:r w:rsidR="00BB28C2" w:rsidRPr="00466128">
              <w:rPr>
                <w:rFonts w:ascii="Aptos" w:hAnsi="Aptos" w:cs="Arial"/>
                <w:b/>
                <w:bCs/>
                <w:sz w:val="20"/>
                <w:szCs w:val="20"/>
              </w:rPr>
              <w:t>Operating Capacity</w:t>
            </w:r>
          </w:p>
        </w:tc>
      </w:tr>
      <w:tr w:rsidR="00466128" w:rsidRPr="00466128" w14:paraId="09B1B450" w14:textId="77777777" w:rsidTr="00C6622C">
        <w:trPr>
          <w:cantSplit/>
        </w:trPr>
        <w:tc>
          <w:tcPr>
            <w:tcW w:w="2878" w:type="dxa"/>
            <w:vAlign w:val="center"/>
          </w:tcPr>
          <w:p w14:paraId="61F3CD54" w14:textId="6C8D70B1"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2022</w:t>
            </w:r>
            <w:r w:rsidR="009704F9" w:rsidRPr="00466128">
              <w:rPr>
                <w:rStyle w:val="FootnoteReference"/>
                <w:rFonts w:ascii="Aptos" w:hAnsi="Aptos" w:cs="Arial"/>
                <w:b/>
                <w:bCs/>
                <w:sz w:val="20"/>
                <w:szCs w:val="20"/>
              </w:rPr>
              <w:footnoteReference w:id="4"/>
            </w:r>
          </w:p>
        </w:tc>
        <w:tc>
          <w:tcPr>
            <w:tcW w:w="2878" w:type="dxa"/>
            <w:vAlign w:val="center"/>
          </w:tcPr>
          <w:p w14:paraId="6118ED79" w14:textId="1A312A12"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 891</w:t>
            </w:r>
          </w:p>
        </w:tc>
        <w:tc>
          <w:tcPr>
            <w:tcW w:w="2879" w:type="dxa"/>
            <w:vAlign w:val="center"/>
          </w:tcPr>
          <w:p w14:paraId="145B329F" w14:textId="6B27AC82"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 25%</w:t>
            </w:r>
          </w:p>
        </w:tc>
      </w:tr>
      <w:tr w:rsidR="00466128" w:rsidRPr="00466128" w14:paraId="16981618" w14:textId="77777777" w:rsidTr="00C6622C">
        <w:trPr>
          <w:cantSplit/>
        </w:trPr>
        <w:tc>
          <w:tcPr>
            <w:tcW w:w="2878" w:type="dxa"/>
            <w:vAlign w:val="center"/>
          </w:tcPr>
          <w:p w14:paraId="015F1D89" w14:textId="0077EE43"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2023</w:t>
            </w:r>
          </w:p>
        </w:tc>
        <w:tc>
          <w:tcPr>
            <w:tcW w:w="2878" w:type="dxa"/>
            <w:vAlign w:val="center"/>
          </w:tcPr>
          <w:p w14:paraId="38FCB449" w14:textId="5A6B2FA9"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 1,791</w:t>
            </w:r>
          </w:p>
        </w:tc>
        <w:tc>
          <w:tcPr>
            <w:tcW w:w="2879" w:type="dxa"/>
            <w:vAlign w:val="center"/>
          </w:tcPr>
          <w:p w14:paraId="519D321B" w14:textId="5D1043C1"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 51%</w:t>
            </w:r>
          </w:p>
        </w:tc>
      </w:tr>
      <w:tr w:rsidR="00466128" w:rsidRPr="00466128" w14:paraId="528D38F4" w14:textId="77777777" w:rsidTr="00C6622C">
        <w:trPr>
          <w:cantSplit/>
        </w:trPr>
        <w:tc>
          <w:tcPr>
            <w:tcW w:w="2878" w:type="dxa"/>
            <w:vAlign w:val="center"/>
          </w:tcPr>
          <w:p w14:paraId="639459DA" w14:textId="4CF24F62"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2024</w:t>
            </w:r>
          </w:p>
        </w:tc>
        <w:tc>
          <w:tcPr>
            <w:tcW w:w="2878" w:type="dxa"/>
            <w:vAlign w:val="center"/>
          </w:tcPr>
          <w:p w14:paraId="4D47F6CE" w14:textId="3624164E"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 2,436</w:t>
            </w:r>
          </w:p>
        </w:tc>
        <w:tc>
          <w:tcPr>
            <w:tcW w:w="2879" w:type="dxa"/>
            <w:vAlign w:val="center"/>
          </w:tcPr>
          <w:p w14:paraId="5CD42B47" w14:textId="21786E07" w:rsidR="00CA0107" w:rsidRPr="00466128" w:rsidRDefault="00CA0107" w:rsidP="00CA0107">
            <w:pPr>
              <w:jc w:val="both"/>
              <w:rPr>
                <w:rFonts w:ascii="Aptos" w:hAnsi="Aptos" w:cs="Arial"/>
                <w:b/>
                <w:bCs/>
                <w:sz w:val="20"/>
                <w:szCs w:val="20"/>
              </w:rPr>
            </w:pPr>
            <w:r w:rsidRPr="00466128">
              <w:rPr>
                <w:rFonts w:ascii="Aptos" w:hAnsi="Aptos" w:cs="Arial"/>
                <w:b/>
                <w:bCs/>
                <w:sz w:val="20"/>
                <w:szCs w:val="20"/>
              </w:rPr>
              <w:t> 69%</w:t>
            </w:r>
          </w:p>
        </w:tc>
      </w:tr>
      <w:tr w:rsidR="00466128" w:rsidRPr="00466128" w14:paraId="46567B78" w14:textId="77777777" w:rsidTr="00C6622C">
        <w:trPr>
          <w:cantSplit/>
        </w:trPr>
        <w:tc>
          <w:tcPr>
            <w:tcW w:w="2878" w:type="dxa"/>
          </w:tcPr>
          <w:p w14:paraId="6CF746F6" w14:textId="4B8A2B4A"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2025 (Annualized</w:t>
            </w:r>
            <w:r w:rsidR="00CA0107" w:rsidRPr="00466128">
              <w:rPr>
                <w:rFonts w:ascii="Aptos" w:hAnsi="Aptos" w:cs="Arial"/>
                <w:b/>
                <w:bCs/>
                <w:sz w:val="20"/>
                <w:szCs w:val="20"/>
              </w:rPr>
              <w:t>)</w:t>
            </w:r>
            <w:r w:rsidRPr="00466128">
              <w:rPr>
                <w:rStyle w:val="FootnoteReference"/>
                <w:rFonts w:ascii="Aptos" w:hAnsi="Aptos" w:cs="Arial"/>
                <w:b/>
                <w:bCs/>
                <w:sz w:val="20"/>
                <w:szCs w:val="20"/>
              </w:rPr>
              <w:footnoteReference w:id="5"/>
            </w:r>
          </w:p>
        </w:tc>
        <w:tc>
          <w:tcPr>
            <w:tcW w:w="2878" w:type="dxa"/>
          </w:tcPr>
          <w:p w14:paraId="656A2F52" w14:textId="1FF382AC" w:rsidR="00BB28C2" w:rsidRPr="00466128" w:rsidRDefault="00E0532C" w:rsidP="00F3335B">
            <w:pPr>
              <w:jc w:val="both"/>
              <w:rPr>
                <w:rFonts w:ascii="Aptos" w:hAnsi="Aptos"/>
                <w:b/>
                <w:bCs/>
                <w:sz w:val="20"/>
                <w:szCs w:val="20"/>
              </w:rPr>
            </w:pPr>
            <w:r>
              <w:rPr>
                <w:rFonts w:ascii="Aptos" w:hAnsi="Aptos"/>
                <w:b/>
                <w:bCs/>
                <w:sz w:val="20"/>
                <w:szCs w:val="20"/>
              </w:rPr>
              <w:t>(</w:t>
            </w:r>
            <w:r w:rsidR="009704F9" w:rsidRPr="00466128">
              <w:rPr>
                <w:rFonts w:ascii="Aptos" w:hAnsi="Aptos"/>
                <w:b/>
                <w:bCs/>
                <w:sz w:val="20"/>
                <w:szCs w:val="20"/>
              </w:rPr>
              <w:t>2,628</w:t>
            </w:r>
            <w:r>
              <w:rPr>
                <w:rFonts w:ascii="Aptos" w:hAnsi="Aptos"/>
                <w:b/>
                <w:bCs/>
                <w:sz w:val="20"/>
                <w:szCs w:val="20"/>
              </w:rPr>
              <w:t>)</w:t>
            </w:r>
          </w:p>
        </w:tc>
        <w:tc>
          <w:tcPr>
            <w:tcW w:w="2879" w:type="dxa"/>
          </w:tcPr>
          <w:p w14:paraId="35A6429E" w14:textId="54315C07" w:rsidR="00BB28C2" w:rsidRPr="00466128" w:rsidRDefault="009704F9" w:rsidP="00F3335B">
            <w:pPr>
              <w:jc w:val="both"/>
              <w:rPr>
                <w:rFonts w:ascii="Aptos" w:hAnsi="Aptos" w:cs="Arial"/>
                <w:b/>
                <w:bCs/>
                <w:sz w:val="20"/>
                <w:szCs w:val="20"/>
              </w:rPr>
            </w:pPr>
            <w:r w:rsidRPr="00466128">
              <w:rPr>
                <w:rFonts w:ascii="Aptos" w:hAnsi="Aptos" w:cs="Arial"/>
                <w:b/>
                <w:bCs/>
                <w:sz w:val="20"/>
                <w:szCs w:val="20"/>
              </w:rPr>
              <w:t>75%</w:t>
            </w:r>
          </w:p>
        </w:tc>
      </w:tr>
      <w:tr w:rsidR="00466128" w:rsidRPr="00466128" w14:paraId="579047DC" w14:textId="77777777" w:rsidTr="00C6622C">
        <w:trPr>
          <w:cantSplit/>
        </w:trPr>
        <w:tc>
          <w:tcPr>
            <w:tcW w:w="2878" w:type="dxa"/>
          </w:tcPr>
          <w:p w14:paraId="054F38C4" w14:textId="694AA022"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2026</w:t>
            </w:r>
          </w:p>
        </w:tc>
        <w:tc>
          <w:tcPr>
            <w:tcW w:w="2878" w:type="dxa"/>
          </w:tcPr>
          <w:p w14:paraId="4B415E17" w14:textId="0E09BF78" w:rsidR="00BB28C2" w:rsidRPr="00466128" w:rsidRDefault="00E0532C" w:rsidP="00F3335B">
            <w:pPr>
              <w:jc w:val="both"/>
              <w:rPr>
                <w:rFonts w:ascii="Aptos" w:hAnsi="Aptos" w:cs="Arial"/>
                <w:b/>
                <w:bCs/>
                <w:sz w:val="20"/>
                <w:szCs w:val="20"/>
              </w:rPr>
            </w:pPr>
            <w:r>
              <w:rPr>
                <w:rFonts w:ascii="Aptos" w:hAnsi="Aptos"/>
                <w:b/>
                <w:bCs/>
                <w:sz w:val="20"/>
                <w:szCs w:val="20"/>
              </w:rPr>
              <w:t>(</w:t>
            </w:r>
            <w:r w:rsidR="00BB28C2" w:rsidRPr="00466128">
              <w:rPr>
                <w:rFonts w:ascii="Aptos" w:hAnsi="Aptos"/>
                <w:b/>
                <w:bCs/>
                <w:sz w:val="20"/>
                <w:szCs w:val="20"/>
              </w:rPr>
              <w:t>1,855</w:t>
            </w:r>
            <w:r>
              <w:rPr>
                <w:rFonts w:ascii="Aptos" w:hAnsi="Aptos"/>
                <w:b/>
                <w:bCs/>
                <w:sz w:val="20"/>
                <w:szCs w:val="20"/>
              </w:rPr>
              <w:t>)</w:t>
            </w:r>
          </w:p>
        </w:tc>
        <w:tc>
          <w:tcPr>
            <w:tcW w:w="2879" w:type="dxa"/>
          </w:tcPr>
          <w:p w14:paraId="25C37C9D" w14:textId="3EF8F700" w:rsidR="00BB28C2" w:rsidRPr="00466128" w:rsidRDefault="00E0532C" w:rsidP="00F3335B">
            <w:pPr>
              <w:jc w:val="both"/>
              <w:rPr>
                <w:rFonts w:ascii="Aptos" w:hAnsi="Aptos" w:cs="Arial"/>
                <w:b/>
                <w:bCs/>
                <w:sz w:val="20"/>
                <w:szCs w:val="20"/>
              </w:rPr>
            </w:pPr>
            <w:r>
              <w:rPr>
                <w:rFonts w:ascii="Aptos" w:hAnsi="Aptos" w:cs="Arial"/>
                <w:b/>
                <w:bCs/>
                <w:sz w:val="20"/>
                <w:szCs w:val="20"/>
              </w:rPr>
              <w:t>(</w:t>
            </w:r>
            <w:r w:rsidR="00BB28C2" w:rsidRPr="00466128">
              <w:rPr>
                <w:rFonts w:ascii="Aptos" w:hAnsi="Aptos" w:cs="Arial"/>
                <w:b/>
                <w:bCs/>
                <w:sz w:val="20"/>
                <w:szCs w:val="20"/>
              </w:rPr>
              <w:t>53%</w:t>
            </w:r>
            <w:r>
              <w:rPr>
                <w:rFonts w:ascii="Aptos" w:hAnsi="Aptos" w:cs="Arial"/>
                <w:b/>
                <w:bCs/>
                <w:sz w:val="20"/>
                <w:szCs w:val="20"/>
              </w:rPr>
              <w:t>)</w:t>
            </w:r>
          </w:p>
        </w:tc>
      </w:tr>
      <w:tr w:rsidR="00466128" w:rsidRPr="00466128" w14:paraId="7AABB949" w14:textId="77777777" w:rsidTr="00C6622C">
        <w:trPr>
          <w:cantSplit/>
        </w:trPr>
        <w:tc>
          <w:tcPr>
            <w:tcW w:w="2878" w:type="dxa"/>
          </w:tcPr>
          <w:p w14:paraId="55219EEF" w14:textId="245FBB80" w:rsidR="00BB28C2" w:rsidRPr="00466128" w:rsidRDefault="009704F9" w:rsidP="00F3335B">
            <w:pPr>
              <w:jc w:val="both"/>
              <w:rPr>
                <w:rFonts w:ascii="Aptos" w:hAnsi="Aptos" w:cs="Arial"/>
                <w:b/>
                <w:bCs/>
                <w:sz w:val="20"/>
                <w:szCs w:val="20"/>
              </w:rPr>
            </w:pPr>
            <w:r w:rsidRPr="00466128">
              <w:rPr>
                <w:rFonts w:ascii="Aptos" w:hAnsi="Aptos" w:cs="Arial"/>
                <w:b/>
                <w:bCs/>
                <w:sz w:val="20"/>
                <w:szCs w:val="20"/>
              </w:rPr>
              <w:t>2</w:t>
            </w:r>
            <w:r w:rsidR="00BB28C2" w:rsidRPr="00466128">
              <w:rPr>
                <w:rFonts w:ascii="Aptos" w:hAnsi="Aptos" w:cs="Arial"/>
                <w:b/>
                <w:bCs/>
                <w:sz w:val="20"/>
                <w:szCs w:val="20"/>
              </w:rPr>
              <w:t>027</w:t>
            </w:r>
          </w:p>
        </w:tc>
        <w:tc>
          <w:tcPr>
            <w:tcW w:w="2878" w:type="dxa"/>
          </w:tcPr>
          <w:p w14:paraId="05DB12C4" w14:textId="39DF24F9" w:rsidR="00BB28C2" w:rsidRPr="00466128" w:rsidRDefault="00E0532C" w:rsidP="00F3335B">
            <w:pPr>
              <w:jc w:val="both"/>
              <w:rPr>
                <w:rFonts w:ascii="Aptos" w:hAnsi="Aptos" w:cs="Arial"/>
                <w:b/>
                <w:bCs/>
                <w:sz w:val="20"/>
                <w:szCs w:val="20"/>
              </w:rPr>
            </w:pPr>
            <w:r>
              <w:rPr>
                <w:rFonts w:ascii="Aptos" w:hAnsi="Aptos"/>
                <w:b/>
                <w:bCs/>
                <w:sz w:val="20"/>
                <w:szCs w:val="20"/>
              </w:rPr>
              <w:t>(</w:t>
            </w:r>
            <w:r w:rsidR="00BB28C2" w:rsidRPr="00466128">
              <w:rPr>
                <w:rFonts w:ascii="Aptos" w:hAnsi="Aptos"/>
                <w:b/>
                <w:bCs/>
                <w:sz w:val="20"/>
                <w:szCs w:val="20"/>
              </w:rPr>
              <w:t>2,188</w:t>
            </w:r>
            <w:r>
              <w:rPr>
                <w:rFonts w:ascii="Aptos" w:hAnsi="Aptos"/>
                <w:b/>
                <w:bCs/>
                <w:sz w:val="20"/>
                <w:szCs w:val="20"/>
              </w:rPr>
              <w:t>)</w:t>
            </w:r>
          </w:p>
        </w:tc>
        <w:tc>
          <w:tcPr>
            <w:tcW w:w="2879" w:type="dxa"/>
          </w:tcPr>
          <w:p w14:paraId="406B97CF" w14:textId="6075672E" w:rsidR="00BB28C2" w:rsidRPr="00466128" w:rsidRDefault="00E0532C" w:rsidP="00F3335B">
            <w:pPr>
              <w:jc w:val="both"/>
              <w:rPr>
                <w:rFonts w:ascii="Aptos" w:hAnsi="Aptos" w:cs="Arial"/>
                <w:b/>
                <w:bCs/>
                <w:sz w:val="20"/>
                <w:szCs w:val="20"/>
              </w:rPr>
            </w:pPr>
            <w:r>
              <w:rPr>
                <w:rFonts w:ascii="Aptos" w:hAnsi="Aptos" w:cs="Arial"/>
                <w:b/>
                <w:bCs/>
                <w:sz w:val="20"/>
                <w:szCs w:val="20"/>
              </w:rPr>
              <w:t>(</w:t>
            </w:r>
            <w:r w:rsidR="00BB28C2" w:rsidRPr="00466128">
              <w:rPr>
                <w:rFonts w:ascii="Aptos" w:hAnsi="Aptos" w:cs="Arial"/>
                <w:b/>
                <w:bCs/>
                <w:sz w:val="20"/>
                <w:szCs w:val="20"/>
              </w:rPr>
              <w:t>63%</w:t>
            </w:r>
            <w:r>
              <w:rPr>
                <w:rFonts w:ascii="Aptos" w:hAnsi="Aptos" w:cs="Arial"/>
                <w:b/>
                <w:bCs/>
                <w:sz w:val="20"/>
                <w:szCs w:val="20"/>
              </w:rPr>
              <w:t>)</w:t>
            </w:r>
          </w:p>
        </w:tc>
      </w:tr>
      <w:tr w:rsidR="00466128" w:rsidRPr="00466128" w14:paraId="5258CD2C" w14:textId="77777777" w:rsidTr="00C6622C">
        <w:trPr>
          <w:cantSplit/>
        </w:trPr>
        <w:tc>
          <w:tcPr>
            <w:tcW w:w="2878" w:type="dxa"/>
          </w:tcPr>
          <w:p w14:paraId="28F0249A" w14:textId="738B0B4C"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2028</w:t>
            </w:r>
          </w:p>
        </w:tc>
        <w:tc>
          <w:tcPr>
            <w:tcW w:w="2878" w:type="dxa"/>
          </w:tcPr>
          <w:p w14:paraId="1FB8DDD2" w14:textId="77B98243" w:rsidR="00BB28C2" w:rsidRPr="00466128" w:rsidRDefault="00E0532C" w:rsidP="00F3335B">
            <w:pPr>
              <w:jc w:val="both"/>
              <w:rPr>
                <w:rFonts w:ascii="Aptos" w:hAnsi="Aptos" w:cs="Arial"/>
                <w:b/>
                <w:bCs/>
                <w:sz w:val="20"/>
                <w:szCs w:val="20"/>
              </w:rPr>
            </w:pPr>
            <w:r>
              <w:rPr>
                <w:rFonts w:ascii="Aptos" w:hAnsi="Aptos"/>
                <w:b/>
                <w:bCs/>
                <w:sz w:val="20"/>
                <w:szCs w:val="20"/>
              </w:rPr>
              <w:t>(</w:t>
            </w:r>
            <w:r w:rsidR="00BB28C2" w:rsidRPr="00466128">
              <w:rPr>
                <w:rFonts w:ascii="Aptos" w:hAnsi="Aptos"/>
                <w:b/>
                <w:bCs/>
                <w:sz w:val="20"/>
                <w:szCs w:val="20"/>
              </w:rPr>
              <w:t>2,521</w:t>
            </w:r>
            <w:r>
              <w:rPr>
                <w:rFonts w:ascii="Aptos" w:hAnsi="Aptos"/>
                <w:b/>
                <w:bCs/>
                <w:sz w:val="20"/>
                <w:szCs w:val="20"/>
              </w:rPr>
              <w:t>)</w:t>
            </w:r>
          </w:p>
        </w:tc>
        <w:tc>
          <w:tcPr>
            <w:tcW w:w="2879" w:type="dxa"/>
          </w:tcPr>
          <w:p w14:paraId="12228BC5" w14:textId="24ABF603" w:rsidR="00BB28C2" w:rsidRPr="00466128" w:rsidRDefault="00E0532C" w:rsidP="00F3335B">
            <w:pPr>
              <w:jc w:val="both"/>
              <w:rPr>
                <w:rFonts w:ascii="Aptos" w:hAnsi="Aptos" w:cs="Arial"/>
                <w:b/>
                <w:bCs/>
                <w:sz w:val="20"/>
                <w:szCs w:val="20"/>
              </w:rPr>
            </w:pPr>
            <w:r>
              <w:rPr>
                <w:rFonts w:ascii="Aptos" w:hAnsi="Aptos" w:cs="Arial"/>
                <w:b/>
                <w:bCs/>
                <w:sz w:val="20"/>
                <w:szCs w:val="20"/>
              </w:rPr>
              <w:t>(</w:t>
            </w:r>
            <w:r w:rsidR="00BB28C2" w:rsidRPr="00466128">
              <w:rPr>
                <w:rFonts w:ascii="Aptos" w:hAnsi="Aptos" w:cs="Arial"/>
                <w:b/>
                <w:bCs/>
                <w:sz w:val="20"/>
                <w:szCs w:val="20"/>
              </w:rPr>
              <w:t>72%</w:t>
            </w:r>
            <w:r>
              <w:rPr>
                <w:rFonts w:ascii="Aptos" w:hAnsi="Aptos" w:cs="Arial"/>
                <w:b/>
                <w:bCs/>
                <w:sz w:val="20"/>
                <w:szCs w:val="20"/>
              </w:rPr>
              <w:t>)</w:t>
            </w:r>
          </w:p>
        </w:tc>
      </w:tr>
      <w:tr w:rsidR="00466128" w:rsidRPr="00466128" w14:paraId="68DC3AE2" w14:textId="77777777" w:rsidTr="00C6622C">
        <w:trPr>
          <w:cantSplit/>
        </w:trPr>
        <w:tc>
          <w:tcPr>
            <w:tcW w:w="2878" w:type="dxa"/>
          </w:tcPr>
          <w:p w14:paraId="33C3EB33" w14:textId="2632953E"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2029</w:t>
            </w:r>
          </w:p>
        </w:tc>
        <w:tc>
          <w:tcPr>
            <w:tcW w:w="2878" w:type="dxa"/>
          </w:tcPr>
          <w:p w14:paraId="7E22D1AD" w14:textId="5066E836" w:rsidR="00BB28C2" w:rsidRPr="00466128" w:rsidRDefault="00E0532C" w:rsidP="00F3335B">
            <w:pPr>
              <w:jc w:val="both"/>
              <w:rPr>
                <w:rFonts w:ascii="Aptos" w:hAnsi="Aptos" w:cs="Arial"/>
                <w:b/>
                <w:bCs/>
                <w:sz w:val="20"/>
                <w:szCs w:val="20"/>
              </w:rPr>
            </w:pPr>
            <w:r>
              <w:rPr>
                <w:rFonts w:ascii="Aptos" w:hAnsi="Aptos"/>
                <w:b/>
                <w:bCs/>
                <w:sz w:val="20"/>
                <w:szCs w:val="20"/>
              </w:rPr>
              <w:t>(</w:t>
            </w:r>
            <w:r w:rsidR="00BB28C2" w:rsidRPr="00466128">
              <w:rPr>
                <w:rFonts w:ascii="Aptos" w:hAnsi="Aptos"/>
                <w:b/>
                <w:bCs/>
                <w:sz w:val="20"/>
                <w:szCs w:val="20"/>
              </w:rPr>
              <w:t>2,855</w:t>
            </w:r>
            <w:r>
              <w:rPr>
                <w:rFonts w:ascii="Aptos" w:hAnsi="Aptos"/>
                <w:b/>
                <w:bCs/>
                <w:sz w:val="20"/>
                <w:szCs w:val="20"/>
              </w:rPr>
              <w:t>)</w:t>
            </w:r>
          </w:p>
        </w:tc>
        <w:tc>
          <w:tcPr>
            <w:tcW w:w="2879" w:type="dxa"/>
          </w:tcPr>
          <w:p w14:paraId="18D2C4FF" w14:textId="3109487B" w:rsidR="00BB28C2" w:rsidRPr="00466128" w:rsidRDefault="00E0532C" w:rsidP="00F3335B">
            <w:pPr>
              <w:jc w:val="both"/>
              <w:rPr>
                <w:rFonts w:ascii="Aptos" w:hAnsi="Aptos" w:cs="Arial"/>
                <w:b/>
                <w:bCs/>
                <w:sz w:val="20"/>
                <w:szCs w:val="20"/>
              </w:rPr>
            </w:pPr>
            <w:r>
              <w:rPr>
                <w:rFonts w:ascii="Aptos" w:hAnsi="Aptos" w:cs="Arial"/>
                <w:b/>
                <w:bCs/>
                <w:sz w:val="20"/>
                <w:szCs w:val="20"/>
              </w:rPr>
              <w:t>(</w:t>
            </w:r>
            <w:r w:rsidR="00BB28C2" w:rsidRPr="00466128">
              <w:rPr>
                <w:rFonts w:ascii="Aptos" w:hAnsi="Aptos" w:cs="Arial"/>
                <w:b/>
                <w:bCs/>
                <w:sz w:val="20"/>
                <w:szCs w:val="20"/>
              </w:rPr>
              <w:t>82%</w:t>
            </w:r>
            <w:r>
              <w:rPr>
                <w:rFonts w:ascii="Aptos" w:hAnsi="Aptos" w:cs="Arial"/>
                <w:b/>
                <w:bCs/>
                <w:sz w:val="20"/>
                <w:szCs w:val="20"/>
              </w:rPr>
              <w:t>)</w:t>
            </w:r>
          </w:p>
        </w:tc>
      </w:tr>
      <w:tr w:rsidR="00E0532C" w:rsidRPr="00466128" w14:paraId="47899D11" w14:textId="77777777" w:rsidTr="00C6622C">
        <w:trPr>
          <w:cantSplit/>
        </w:trPr>
        <w:tc>
          <w:tcPr>
            <w:tcW w:w="2878" w:type="dxa"/>
          </w:tcPr>
          <w:p w14:paraId="63CBDE8B" w14:textId="390E16CC" w:rsidR="00BB28C2" w:rsidRPr="00466128" w:rsidRDefault="00BB28C2" w:rsidP="00F3335B">
            <w:pPr>
              <w:jc w:val="both"/>
              <w:rPr>
                <w:rFonts w:ascii="Aptos" w:hAnsi="Aptos" w:cs="Arial"/>
                <w:b/>
                <w:bCs/>
                <w:sz w:val="20"/>
                <w:szCs w:val="20"/>
              </w:rPr>
            </w:pPr>
            <w:r w:rsidRPr="00466128">
              <w:rPr>
                <w:rFonts w:ascii="Aptos" w:hAnsi="Aptos" w:cs="Arial"/>
                <w:b/>
                <w:bCs/>
                <w:sz w:val="20"/>
                <w:szCs w:val="20"/>
              </w:rPr>
              <w:t>2030</w:t>
            </w:r>
          </w:p>
        </w:tc>
        <w:tc>
          <w:tcPr>
            <w:tcW w:w="2878" w:type="dxa"/>
          </w:tcPr>
          <w:p w14:paraId="1F2570A9" w14:textId="3E43BE4F" w:rsidR="00BB28C2" w:rsidRPr="00466128" w:rsidRDefault="00E0532C" w:rsidP="00F3335B">
            <w:pPr>
              <w:jc w:val="both"/>
              <w:rPr>
                <w:rFonts w:ascii="Aptos" w:hAnsi="Aptos" w:cs="Arial"/>
                <w:b/>
                <w:bCs/>
                <w:sz w:val="20"/>
                <w:szCs w:val="20"/>
              </w:rPr>
            </w:pPr>
            <w:r>
              <w:rPr>
                <w:rFonts w:ascii="Aptos" w:hAnsi="Aptos"/>
                <w:b/>
                <w:bCs/>
                <w:sz w:val="20"/>
                <w:szCs w:val="20"/>
              </w:rPr>
              <w:t>(</w:t>
            </w:r>
            <w:r w:rsidR="00BB28C2" w:rsidRPr="00466128">
              <w:rPr>
                <w:rFonts w:ascii="Aptos" w:hAnsi="Aptos"/>
                <w:b/>
                <w:bCs/>
                <w:sz w:val="20"/>
                <w:szCs w:val="20"/>
              </w:rPr>
              <w:t>3,105</w:t>
            </w:r>
            <w:r>
              <w:rPr>
                <w:rFonts w:ascii="Aptos" w:hAnsi="Aptos"/>
                <w:b/>
                <w:bCs/>
                <w:sz w:val="20"/>
                <w:szCs w:val="20"/>
              </w:rPr>
              <w:t>)</w:t>
            </w:r>
          </w:p>
        </w:tc>
        <w:tc>
          <w:tcPr>
            <w:tcW w:w="2879" w:type="dxa"/>
          </w:tcPr>
          <w:p w14:paraId="7A5FC807" w14:textId="663DB33B" w:rsidR="00BB28C2" w:rsidRPr="00466128" w:rsidRDefault="00E0532C" w:rsidP="00F3335B">
            <w:pPr>
              <w:jc w:val="both"/>
              <w:rPr>
                <w:rFonts w:ascii="Aptos" w:hAnsi="Aptos" w:cs="Arial"/>
                <w:b/>
                <w:bCs/>
                <w:sz w:val="20"/>
                <w:szCs w:val="20"/>
              </w:rPr>
            </w:pPr>
            <w:r>
              <w:rPr>
                <w:rFonts w:ascii="Aptos" w:hAnsi="Aptos" w:cs="Arial"/>
                <w:b/>
                <w:bCs/>
                <w:sz w:val="20"/>
                <w:szCs w:val="20"/>
              </w:rPr>
              <w:t>(</w:t>
            </w:r>
            <w:r w:rsidR="00BB28C2" w:rsidRPr="00466128">
              <w:rPr>
                <w:rFonts w:ascii="Aptos" w:hAnsi="Aptos" w:cs="Arial"/>
                <w:b/>
                <w:bCs/>
                <w:sz w:val="20"/>
                <w:szCs w:val="20"/>
              </w:rPr>
              <w:t>89%</w:t>
            </w:r>
            <w:r>
              <w:rPr>
                <w:rFonts w:ascii="Aptos" w:hAnsi="Aptos" w:cs="Arial"/>
                <w:b/>
                <w:bCs/>
                <w:sz w:val="20"/>
                <w:szCs w:val="20"/>
              </w:rPr>
              <w:t>)</w:t>
            </w:r>
          </w:p>
        </w:tc>
      </w:tr>
    </w:tbl>
    <w:p w14:paraId="63296896" w14:textId="77777777" w:rsidR="00BB28C2" w:rsidRPr="00466128" w:rsidRDefault="00BB28C2" w:rsidP="00BB28C2">
      <w:pPr>
        <w:rPr>
          <w:rFonts w:ascii="Aptos" w:hAnsi="Aptos" w:cstheme="minorHAnsi"/>
        </w:rPr>
      </w:pPr>
    </w:p>
    <w:p w14:paraId="0659DE04" w14:textId="77777777" w:rsidR="00786222" w:rsidRPr="00466128" w:rsidRDefault="00786222" w:rsidP="00786222">
      <w:pPr>
        <w:pStyle w:val="ListParagraph"/>
        <w:numPr>
          <w:ilvl w:val="1"/>
          <w:numId w:val="27"/>
        </w:numPr>
        <w:rPr>
          <w:rFonts w:ascii="Aptos" w:hAnsi="Aptos" w:cstheme="minorHAnsi"/>
        </w:rPr>
      </w:pPr>
      <w:r w:rsidRPr="00466128">
        <w:rPr>
          <w:rFonts w:ascii="Aptos" w:hAnsi="Aptos" w:cstheme="minorHAnsi"/>
        </w:rPr>
        <w:t>What is the optimal operating capacity for the ASC?</w:t>
      </w:r>
    </w:p>
    <w:p w14:paraId="321C0D32" w14:textId="0534FC8F" w:rsidR="001D6557" w:rsidRPr="00466128" w:rsidRDefault="001D6557" w:rsidP="001D6557">
      <w:pPr>
        <w:pStyle w:val="ListParagraph"/>
        <w:ind w:left="1440"/>
        <w:rPr>
          <w:rFonts w:ascii="Aptos" w:hAnsi="Aptos" w:cstheme="minorHAnsi"/>
          <w:b/>
          <w:bCs/>
        </w:rPr>
      </w:pPr>
      <w:r w:rsidRPr="00466128">
        <w:rPr>
          <w:rFonts w:ascii="Aptos" w:hAnsi="Aptos" w:cstheme="minorHAnsi"/>
          <w:b/>
          <w:bCs/>
        </w:rPr>
        <w:t>75% - 85%</w:t>
      </w:r>
    </w:p>
    <w:p w14:paraId="33EFC9C4" w14:textId="77777777" w:rsidR="001D6557" w:rsidRPr="00466128" w:rsidRDefault="001D6557" w:rsidP="001D6557">
      <w:pPr>
        <w:pStyle w:val="ListParagraph"/>
        <w:ind w:left="1440"/>
        <w:rPr>
          <w:rFonts w:ascii="Aptos" w:hAnsi="Aptos" w:cstheme="minorHAnsi"/>
        </w:rPr>
      </w:pPr>
    </w:p>
    <w:p w14:paraId="3E559F63" w14:textId="0A693287" w:rsidR="006C26A3" w:rsidRPr="00807358" w:rsidRDefault="00786222"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How does the Applicant’s historical operating capacity demonstrate need for an additional procedure room?</w:t>
      </w:r>
    </w:p>
    <w:p w14:paraId="5B048F8B" w14:textId="0CB1BB92" w:rsidR="006C26A3" w:rsidRPr="00466128" w:rsidRDefault="005453F3" w:rsidP="006C26A3">
      <w:pPr>
        <w:pStyle w:val="ListParagraph"/>
        <w:ind w:left="1440"/>
        <w:jc w:val="both"/>
        <w:rPr>
          <w:rFonts w:ascii="Aptos" w:hAnsi="Aptos" w:cstheme="minorHAnsi"/>
          <w:b/>
          <w:bCs/>
        </w:rPr>
      </w:pPr>
      <w:r>
        <w:rPr>
          <w:rFonts w:ascii="Aptos" w:hAnsi="Aptos" w:cstheme="minorHAnsi"/>
          <w:b/>
          <w:bCs/>
        </w:rPr>
        <w:t xml:space="preserve">The applicant’s operating capacity has steadily increased since the ASC opened in 2022 and wait times are developing. This location has available space to build out a third room to meet the existing and increasing need for access in a </w:t>
      </w:r>
      <w:proofErr w:type="gramStart"/>
      <w:r>
        <w:rPr>
          <w:rFonts w:ascii="Aptos" w:hAnsi="Aptos" w:cstheme="minorHAnsi"/>
          <w:b/>
          <w:bCs/>
        </w:rPr>
        <w:t>cost effective</w:t>
      </w:r>
      <w:proofErr w:type="gramEnd"/>
      <w:r>
        <w:rPr>
          <w:rFonts w:ascii="Aptos" w:hAnsi="Aptos" w:cstheme="minorHAnsi"/>
          <w:b/>
          <w:bCs/>
        </w:rPr>
        <w:t xml:space="preserve"> manner.</w:t>
      </w:r>
      <w:r w:rsidR="006C26A3" w:rsidRPr="00466128">
        <w:rPr>
          <w:rFonts w:ascii="Aptos" w:hAnsi="Aptos" w:cstheme="minorHAnsi"/>
          <w:b/>
          <w:bCs/>
        </w:rPr>
        <w:t xml:space="preserve"> As de</w:t>
      </w:r>
      <w:r w:rsidR="009704F9" w:rsidRPr="00466128">
        <w:rPr>
          <w:rFonts w:ascii="Aptos" w:hAnsi="Aptos" w:cstheme="minorHAnsi"/>
          <w:b/>
          <w:bCs/>
        </w:rPr>
        <w:t>tailed</w:t>
      </w:r>
      <w:r w:rsidR="006C26A3" w:rsidRPr="00466128">
        <w:rPr>
          <w:rFonts w:ascii="Aptos" w:hAnsi="Aptos" w:cstheme="minorHAnsi"/>
          <w:b/>
          <w:bCs/>
        </w:rPr>
        <w:t xml:space="preserve"> throughout the narrative, colorectal cancer is </w:t>
      </w:r>
      <w:r w:rsidR="009704F9" w:rsidRPr="00466128">
        <w:rPr>
          <w:rFonts w:ascii="Aptos" w:hAnsi="Aptos" w:cstheme="minorHAnsi"/>
          <w:b/>
          <w:bCs/>
        </w:rPr>
        <w:t xml:space="preserve">a </w:t>
      </w:r>
      <w:r w:rsidR="006C26A3" w:rsidRPr="00466128">
        <w:rPr>
          <w:rFonts w:ascii="Aptos" w:hAnsi="Aptos" w:cstheme="minorHAnsi"/>
          <w:b/>
          <w:bCs/>
        </w:rPr>
        <w:t xml:space="preserve">leading cause of death in men and women. However, colorectal cancer is one of the few cancers where the same screening test can </w:t>
      </w:r>
      <w:proofErr w:type="gramStart"/>
      <w:r w:rsidR="006C26A3" w:rsidRPr="00466128">
        <w:rPr>
          <w:rFonts w:ascii="Aptos" w:hAnsi="Aptos" w:cstheme="minorHAnsi"/>
          <w:b/>
          <w:bCs/>
        </w:rPr>
        <w:t>actually prevent</w:t>
      </w:r>
      <w:proofErr w:type="gramEnd"/>
      <w:r w:rsidR="006C26A3" w:rsidRPr="00466128">
        <w:rPr>
          <w:rFonts w:ascii="Aptos" w:hAnsi="Aptos" w:cstheme="minorHAnsi"/>
          <w:b/>
          <w:bCs/>
        </w:rPr>
        <w:t xml:space="preserve"> cancer. </w:t>
      </w:r>
      <w:r w:rsidR="006C26A3" w:rsidRPr="00466128">
        <w:rPr>
          <w:rFonts w:ascii="Aptos" w:hAnsi="Aptos" w:cs="Arial"/>
          <w:b/>
          <w:bCs/>
        </w:rPr>
        <w:t>Research found the availability of screenings, coupled with community education, result</w:t>
      </w:r>
      <w:r w:rsidR="00E0532C">
        <w:rPr>
          <w:rFonts w:ascii="Aptos" w:hAnsi="Aptos" w:cs="Arial"/>
          <w:b/>
          <w:bCs/>
        </w:rPr>
        <w:t>ed</w:t>
      </w:r>
      <w:r w:rsidR="006C26A3" w:rsidRPr="00466128">
        <w:rPr>
          <w:rFonts w:ascii="Aptos" w:hAnsi="Aptos" w:cs="Arial"/>
          <w:b/>
          <w:bCs/>
        </w:rPr>
        <w:t xml:space="preserve"> in a 25.5% reduction in annual CRC incidence, and a 52.4% reduction in cancer mortality between 2000 and 2015.</w:t>
      </w:r>
      <w:r w:rsidR="006C26A3" w:rsidRPr="00466128">
        <w:rPr>
          <w:rStyle w:val="FootnoteReference"/>
          <w:rFonts w:ascii="Aptos" w:hAnsi="Aptos" w:cs="Arial"/>
          <w:b/>
          <w:bCs/>
        </w:rPr>
        <w:footnoteReference w:id="6"/>
      </w:r>
      <w:r w:rsidR="006C26A3" w:rsidRPr="00466128">
        <w:rPr>
          <w:rFonts w:ascii="Aptos" w:hAnsi="Aptos" w:cs="Arial"/>
          <w:b/>
          <w:bCs/>
        </w:rPr>
        <w:t xml:space="preserve"> </w:t>
      </w:r>
      <w:r w:rsidR="006C26A3" w:rsidRPr="00466128">
        <w:rPr>
          <w:rFonts w:ascii="Aptos" w:hAnsi="Aptos" w:cstheme="minorHAnsi"/>
          <w:b/>
          <w:bCs/>
        </w:rPr>
        <w:t xml:space="preserve"> </w:t>
      </w:r>
      <w:bookmarkStart w:id="0" w:name="_Hlk201308075"/>
      <w:r w:rsidR="006D61AE" w:rsidRPr="00466128">
        <w:rPr>
          <w:rFonts w:ascii="Aptos" w:hAnsi="Aptos" w:cstheme="minorHAnsi"/>
          <w:b/>
          <w:bCs/>
        </w:rPr>
        <w:t>Moreover, colorectal cancer is rising among younger adults, before routine screening is recommended.</w:t>
      </w:r>
      <w:r w:rsidR="006D61AE" w:rsidRPr="00466128">
        <w:rPr>
          <w:rStyle w:val="FootnoteReference"/>
          <w:rFonts w:ascii="Aptos" w:hAnsi="Aptos" w:cstheme="minorHAnsi"/>
          <w:b/>
          <w:bCs/>
        </w:rPr>
        <w:footnoteReference w:id="7"/>
      </w:r>
      <w:r w:rsidR="006D61AE" w:rsidRPr="00466128">
        <w:rPr>
          <w:rFonts w:ascii="Aptos" w:hAnsi="Aptos" w:cstheme="minorHAnsi"/>
          <w:b/>
          <w:bCs/>
        </w:rPr>
        <w:t xml:space="preserve"> </w:t>
      </w:r>
      <w:bookmarkEnd w:id="0"/>
      <w:r w:rsidR="00B77987">
        <w:rPr>
          <w:rFonts w:ascii="Aptos" w:hAnsi="Aptos" w:cstheme="minorHAnsi"/>
          <w:b/>
          <w:bCs/>
        </w:rPr>
        <w:t xml:space="preserve">Given </w:t>
      </w:r>
      <w:r w:rsidR="006C26A3" w:rsidRPr="00466128">
        <w:rPr>
          <w:rFonts w:ascii="Aptos" w:hAnsi="Aptos" w:cstheme="minorHAnsi"/>
          <w:b/>
          <w:bCs/>
        </w:rPr>
        <w:t xml:space="preserve">the direct link between colorectal cancer screening and colorectal cancer prevention, public health indicates </w:t>
      </w:r>
      <w:r w:rsidR="006D61AE" w:rsidRPr="00466128">
        <w:rPr>
          <w:rFonts w:ascii="Aptos" w:hAnsi="Aptos" w:cstheme="minorHAnsi"/>
          <w:b/>
          <w:bCs/>
        </w:rPr>
        <w:t>an immediate need to expand access to colonoscopy in convenient, low-cost settings</w:t>
      </w:r>
      <w:r w:rsidR="009704F9" w:rsidRPr="00466128">
        <w:rPr>
          <w:rFonts w:ascii="Aptos" w:hAnsi="Aptos" w:cstheme="minorHAnsi"/>
          <w:b/>
          <w:bCs/>
        </w:rPr>
        <w:t xml:space="preserve"> to prevent delayed access to endoscopy. </w:t>
      </w:r>
    </w:p>
    <w:p w14:paraId="5FBEE859" w14:textId="77777777" w:rsidR="00786222" w:rsidRPr="00466128" w:rsidRDefault="00786222" w:rsidP="00786222">
      <w:pPr>
        <w:pStyle w:val="ListParagraph"/>
        <w:rPr>
          <w:rFonts w:ascii="Aptos" w:hAnsi="Aptos" w:cstheme="minorHAnsi"/>
        </w:rPr>
      </w:pPr>
    </w:p>
    <w:p w14:paraId="61CFBD29" w14:textId="3E40ED83" w:rsidR="00BC0A97" w:rsidRPr="00466128" w:rsidRDefault="00332060" w:rsidP="00BC0A97">
      <w:pPr>
        <w:pStyle w:val="ListParagraph"/>
        <w:numPr>
          <w:ilvl w:val="0"/>
          <w:numId w:val="27"/>
        </w:numPr>
        <w:rPr>
          <w:rFonts w:ascii="Aptos" w:hAnsi="Aptos" w:cstheme="minorHAnsi"/>
        </w:rPr>
      </w:pPr>
      <w:r w:rsidRPr="00466128">
        <w:rPr>
          <w:rFonts w:ascii="Aptos" w:hAnsi="Aptos" w:cstheme="minorHAnsi"/>
        </w:rPr>
        <w:t xml:space="preserve">Please provide data on the average wait time for </w:t>
      </w:r>
      <w:r w:rsidR="002D3C8E" w:rsidRPr="00466128">
        <w:rPr>
          <w:rFonts w:ascii="Aptos" w:hAnsi="Aptos" w:cstheme="minorHAnsi"/>
        </w:rPr>
        <w:t>procedures</w:t>
      </w:r>
      <w:r w:rsidRPr="00466128">
        <w:rPr>
          <w:rFonts w:ascii="Aptos" w:hAnsi="Aptos" w:cstheme="minorHAnsi"/>
        </w:rPr>
        <w:t xml:space="preserve"> </w:t>
      </w:r>
      <w:r w:rsidR="00BC0A97" w:rsidRPr="00466128">
        <w:rPr>
          <w:rFonts w:ascii="Aptos" w:hAnsi="Aptos" w:cstheme="minorHAnsi"/>
        </w:rPr>
        <w:t>for each year of operation</w:t>
      </w:r>
      <w:r w:rsidRPr="00466128">
        <w:rPr>
          <w:rFonts w:ascii="Aptos" w:hAnsi="Aptos" w:cstheme="minorHAnsi"/>
        </w:rPr>
        <w:t>.</w:t>
      </w:r>
    </w:p>
    <w:p w14:paraId="2980C914" w14:textId="2880D53D" w:rsidR="006D61AE" w:rsidRPr="00807358" w:rsidRDefault="00332060"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 xml:space="preserve">Does the Applicant anticipate the Proposed Project </w:t>
      </w:r>
      <w:r w:rsidR="008325CF" w:rsidRPr="00466128">
        <w:rPr>
          <w:rFonts w:ascii="Aptos" w:hAnsi="Aptos" w:cstheme="minorHAnsi"/>
        </w:rPr>
        <w:t>will</w:t>
      </w:r>
      <w:r w:rsidRPr="00466128">
        <w:rPr>
          <w:rFonts w:ascii="Aptos" w:hAnsi="Aptos" w:cstheme="minorHAnsi"/>
        </w:rPr>
        <w:t xml:space="preserve"> reduce wait times for </w:t>
      </w:r>
      <w:r w:rsidR="003F5831" w:rsidRPr="00466128">
        <w:rPr>
          <w:rFonts w:ascii="Aptos" w:hAnsi="Aptos" w:cstheme="minorHAnsi"/>
        </w:rPr>
        <w:t>procedures</w:t>
      </w:r>
      <w:r w:rsidRPr="00466128">
        <w:rPr>
          <w:rFonts w:ascii="Aptos" w:hAnsi="Aptos" w:cstheme="minorHAnsi"/>
        </w:rPr>
        <w:t>?</w:t>
      </w:r>
      <w:r w:rsidR="00D555A2" w:rsidRPr="00466128">
        <w:rPr>
          <w:rFonts w:ascii="Aptos" w:hAnsi="Aptos" w:cstheme="minorHAnsi"/>
        </w:rPr>
        <w:t xml:space="preserve"> </w:t>
      </w:r>
    </w:p>
    <w:p w14:paraId="5831AC77" w14:textId="1F4BFB78" w:rsidR="006D61AE" w:rsidRPr="00466128" w:rsidRDefault="006D61AE" w:rsidP="006D61AE">
      <w:pPr>
        <w:pStyle w:val="ListParagraph"/>
        <w:ind w:left="1440"/>
        <w:rPr>
          <w:rFonts w:ascii="Aptos" w:hAnsi="Aptos" w:cstheme="minorHAnsi"/>
          <w:b/>
          <w:bCs/>
        </w:rPr>
      </w:pPr>
      <w:r w:rsidRPr="00466128">
        <w:rPr>
          <w:rFonts w:ascii="Aptos" w:hAnsi="Aptos" w:cstheme="minorHAnsi"/>
          <w:b/>
          <w:bCs/>
        </w:rPr>
        <w:lastRenderedPageBreak/>
        <w:t xml:space="preserve">Yes. </w:t>
      </w:r>
      <w:r w:rsidR="00FA57AC">
        <w:rPr>
          <w:rFonts w:ascii="Aptos" w:hAnsi="Aptos" w:cstheme="minorHAnsi"/>
          <w:b/>
          <w:bCs/>
        </w:rPr>
        <w:t xml:space="preserve">The Center </w:t>
      </w:r>
      <w:r w:rsidR="00E0532C">
        <w:rPr>
          <w:rFonts w:ascii="Aptos" w:hAnsi="Aptos" w:cstheme="minorHAnsi"/>
          <w:b/>
          <w:bCs/>
        </w:rPr>
        <w:t>anticipates th</w:t>
      </w:r>
      <w:r w:rsidR="003A51E4">
        <w:rPr>
          <w:rFonts w:ascii="Aptos" w:hAnsi="Aptos" w:cstheme="minorHAnsi"/>
          <w:b/>
          <w:bCs/>
        </w:rPr>
        <w:t xml:space="preserve">at </w:t>
      </w:r>
      <w:r w:rsidR="00FA57AC">
        <w:rPr>
          <w:rFonts w:ascii="Aptos" w:hAnsi="Aptos" w:cstheme="minorHAnsi"/>
          <w:b/>
          <w:bCs/>
        </w:rPr>
        <w:t xml:space="preserve">wait times </w:t>
      </w:r>
      <w:r w:rsidR="003A51E4">
        <w:rPr>
          <w:rFonts w:ascii="Aptos" w:hAnsi="Aptos" w:cstheme="minorHAnsi"/>
          <w:b/>
          <w:bCs/>
        </w:rPr>
        <w:t xml:space="preserve">for diagnostic procedures </w:t>
      </w:r>
      <w:r w:rsidR="00FA57AC">
        <w:rPr>
          <w:rFonts w:ascii="Aptos" w:hAnsi="Aptos" w:cstheme="minorHAnsi"/>
          <w:b/>
          <w:bCs/>
        </w:rPr>
        <w:t xml:space="preserve">to remain under two months. </w:t>
      </w:r>
      <w:r w:rsidRPr="00466128">
        <w:rPr>
          <w:rFonts w:ascii="Aptos" w:hAnsi="Aptos" w:cstheme="minorHAnsi"/>
          <w:b/>
          <w:bCs/>
        </w:rPr>
        <w:t xml:space="preserve"> </w:t>
      </w:r>
    </w:p>
    <w:p w14:paraId="673E9503" w14:textId="77777777" w:rsidR="006D61AE" w:rsidRPr="00466128" w:rsidRDefault="006D61AE" w:rsidP="006D61AE">
      <w:pPr>
        <w:pStyle w:val="ListParagraph"/>
        <w:ind w:left="1440"/>
        <w:rPr>
          <w:rFonts w:ascii="Aptos" w:hAnsi="Aptos" w:cstheme="minorHAnsi"/>
        </w:rPr>
      </w:pPr>
    </w:p>
    <w:p w14:paraId="47477568" w14:textId="4121FCB4" w:rsidR="00E96B35" w:rsidRPr="00807358" w:rsidRDefault="00332060"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Please include any industry standard/ national benchmarks for optimal wait times for the procedures performed.</w:t>
      </w:r>
    </w:p>
    <w:p w14:paraId="2F01C5DC" w14:textId="42178C3B" w:rsidR="00E96B35" w:rsidRPr="00466128" w:rsidRDefault="005453F3" w:rsidP="00261855">
      <w:pPr>
        <w:pStyle w:val="ListParagraph"/>
        <w:ind w:left="1440"/>
        <w:jc w:val="both"/>
        <w:rPr>
          <w:rFonts w:ascii="Aptos" w:hAnsi="Aptos" w:cstheme="minorHAnsi"/>
        </w:rPr>
      </w:pPr>
      <w:r>
        <w:rPr>
          <w:rFonts w:ascii="Aptos" w:hAnsi="Aptos" w:cstheme="minorHAnsi"/>
          <w:b/>
          <w:bCs/>
        </w:rPr>
        <w:t>While the United States has not developed a wait time measure, t</w:t>
      </w:r>
      <w:r w:rsidR="00E96B35" w:rsidRPr="00466128">
        <w:rPr>
          <w:rFonts w:ascii="Aptos" w:hAnsi="Aptos" w:cstheme="minorHAnsi"/>
          <w:b/>
          <w:bCs/>
        </w:rPr>
        <w:t xml:space="preserve">he Canadian Association of Gastroenterology established guidelines for a maximal wait time of two months for diagnostic colonoscopy and 6 months for screening colonoscopy.  </w:t>
      </w:r>
      <w:r w:rsidR="00E96B35" w:rsidRPr="00466128">
        <w:rPr>
          <w:rFonts w:ascii="Aptos" w:hAnsi="Aptos" w:cstheme="minorHAnsi"/>
        </w:rPr>
        <w:t xml:space="preserve">Paterson WG, Depew WT, Pare P, et al. Canadian consensus on medically acceptable wait times for digestive health care. Can J Gastroenterol 2006;20:411–23. </w:t>
      </w:r>
    </w:p>
    <w:p w14:paraId="080DAD9D" w14:textId="77777777" w:rsidR="00C61A05" w:rsidRPr="00466128" w:rsidRDefault="00C61A05" w:rsidP="00C61A05">
      <w:pPr>
        <w:pStyle w:val="ListParagraph"/>
        <w:ind w:left="1440"/>
        <w:rPr>
          <w:rFonts w:ascii="Aptos" w:hAnsi="Aptos" w:cstheme="minorHAnsi"/>
        </w:rPr>
      </w:pPr>
    </w:p>
    <w:p w14:paraId="76A1EB1C" w14:textId="555E65A4" w:rsidR="00C61A05" w:rsidRPr="00261855" w:rsidRDefault="00C61A05" w:rsidP="00C61A05">
      <w:pPr>
        <w:pStyle w:val="ListParagraph"/>
        <w:numPr>
          <w:ilvl w:val="0"/>
          <w:numId w:val="27"/>
        </w:numPr>
        <w:rPr>
          <w:rFonts w:ascii="Aptos" w:hAnsi="Aptos" w:cstheme="minorHAnsi"/>
        </w:rPr>
      </w:pPr>
      <w:r w:rsidRPr="00261855">
        <w:rPr>
          <w:rFonts w:ascii="Aptos" w:hAnsi="Aptos" w:cstheme="minorHAnsi"/>
        </w:rPr>
        <w:t xml:space="preserve">Are patients </w:t>
      </w:r>
      <w:proofErr w:type="gramStart"/>
      <w:r w:rsidRPr="00261855">
        <w:rPr>
          <w:rFonts w:ascii="Aptos" w:hAnsi="Aptos" w:cstheme="minorHAnsi"/>
        </w:rPr>
        <w:t>experiencing difficulty</w:t>
      </w:r>
      <w:proofErr w:type="gramEnd"/>
      <w:r w:rsidRPr="00261855">
        <w:rPr>
          <w:rFonts w:ascii="Aptos" w:hAnsi="Aptos" w:cstheme="minorHAnsi"/>
        </w:rPr>
        <w:t xml:space="preserve"> accessing the ASC due to increasing volume? If so, please provide measures to demonstrate access challenges. </w:t>
      </w:r>
    </w:p>
    <w:p w14:paraId="2F69328E" w14:textId="6945BF2F" w:rsidR="009A3FFE" w:rsidRPr="00106635" w:rsidRDefault="00130C46" w:rsidP="00106635">
      <w:pPr>
        <w:pStyle w:val="ListParagraph"/>
        <w:spacing w:after="120" w:line="240" w:lineRule="auto"/>
        <w:contextualSpacing w:val="0"/>
        <w:jc w:val="both"/>
        <w:rPr>
          <w:rFonts w:ascii="Aptos" w:hAnsi="Aptos" w:cstheme="minorHAnsi"/>
          <w:b/>
          <w:bCs/>
        </w:rPr>
      </w:pPr>
      <w:r w:rsidRPr="00261855">
        <w:rPr>
          <w:rFonts w:ascii="Aptos" w:hAnsi="Aptos" w:cstheme="minorHAnsi"/>
          <w:b/>
          <w:bCs/>
        </w:rPr>
        <w:t xml:space="preserve">As noted in the response to Question #8, wait times continue to increase and are currently upwards of one month for </w:t>
      </w:r>
      <w:r w:rsidR="00E34270">
        <w:rPr>
          <w:rFonts w:ascii="Aptos" w:hAnsi="Aptos" w:cstheme="minorHAnsi"/>
          <w:b/>
          <w:bCs/>
        </w:rPr>
        <w:t>Emerson GI</w:t>
      </w:r>
      <w:r w:rsidRPr="00261855">
        <w:rPr>
          <w:rFonts w:ascii="Aptos" w:hAnsi="Aptos" w:cstheme="minorHAnsi"/>
          <w:b/>
          <w:bCs/>
        </w:rPr>
        <w:t xml:space="preserve"> patients and a minimum of three months for </w:t>
      </w:r>
      <w:r w:rsidR="00E34270">
        <w:rPr>
          <w:rFonts w:ascii="Aptos" w:hAnsi="Aptos" w:cstheme="minorHAnsi"/>
          <w:b/>
          <w:bCs/>
        </w:rPr>
        <w:t>Atrius</w:t>
      </w:r>
      <w:r w:rsidR="00106635">
        <w:rPr>
          <w:rFonts w:ascii="Aptos" w:hAnsi="Aptos" w:cstheme="minorHAnsi"/>
          <w:b/>
          <w:bCs/>
        </w:rPr>
        <w:t xml:space="preserve"> </w:t>
      </w:r>
      <w:r w:rsidRPr="00261855">
        <w:rPr>
          <w:rFonts w:ascii="Aptos" w:hAnsi="Aptos" w:cstheme="minorHAnsi"/>
          <w:b/>
          <w:bCs/>
        </w:rPr>
        <w:t xml:space="preserve">patients. </w:t>
      </w:r>
    </w:p>
    <w:p w14:paraId="39001F30" w14:textId="5957B9E2" w:rsidR="0026167E" w:rsidRPr="003A51E4" w:rsidRDefault="0026167E" w:rsidP="0026167E">
      <w:pPr>
        <w:pStyle w:val="ListParagraph"/>
        <w:numPr>
          <w:ilvl w:val="0"/>
          <w:numId w:val="27"/>
        </w:numPr>
        <w:rPr>
          <w:rFonts w:ascii="Aptos" w:hAnsi="Aptos" w:cstheme="minorHAnsi"/>
        </w:rPr>
      </w:pPr>
      <w:r w:rsidRPr="003A51E4">
        <w:rPr>
          <w:rFonts w:ascii="Aptos" w:hAnsi="Aptos" w:cstheme="minorHAnsi"/>
        </w:rPr>
        <w:t xml:space="preserve">Provide a breakdown of historical </w:t>
      </w:r>
      <w:r w:rsidR="00987943" w:rsidRPr="003A51E4">
        <w:rPr>
          <w:rFonts w:ascii="Aptos" w:hAnsi="Aptos" w:cstheme="minorHAnsi"/>
        </w:rPr>
        <w:t xml:space="preserve">case </w:t>
      </w:r>
      <w:r w:rsidRPr="003A51E4">
        <w:rPr>
          <w:rFonts w:ascii="Aptos" w:hAnsi="Aptos" w:cstheme="minorHAnsi"/>
        </w:rPr>
        <w:t>volume (Table 4: Historical Volume) by upper endoscopy and lower endoscopy.</w:t>
      </w:r>
    </w:p>
    <w:p w14:paraId="2901B4E5" w14:textId="77777777" w:rsidR="000D3D43" w:rsidRPr="000D3D43" w:rsidRDefault="000D3D43" w:rsidP="000D3D43">
      <w:pPr>
        <w:pStyle w:val="ListParagraph"/>
        <w:rPr>
          <w:rFonts w:ascii="Aptos" w:hAnsi="Aptos" w:cstheme="minorHAnsi"/>
          <w:color w:val="4472C4" w:themeColor="accent1"/>
        </w:rPr>
      </w:pPr>
    </w:p>
    <w:tbl>
      <w:tblPr>
        <w:tblW w:w="8550" w:type="dxa"/>
        <w:tblInd w:w="710" w:type="dxa"/>
        <w:tblCellMar>
          <w:left w:w="0" w:type="dxa"/>
          <w:right w:w="0" w:type="dxa"/>
        </w:tblCellMar>
        <w:tblLook w:val="04A0" w:firstRow="1" w:lastRow="0" w:firstColumn="1" w:lastColumn="0" w:noHBand="0" w:noVBand="1"/>
      </w:tblPr>
      <w:tblGrid>
        <w:gridCol w:w="2880"/>
        <w:gridCol w:w="1890"/>
        <w:gridCol w:w="1890"/>
        <w:gridCol w:w="1890"/>
      </w:tblGrid>
      <w:tr w:rsidR="000D3D43" w:rsidRPr="00406E19" w14:paraId="264353B9" w14:textId="77777777" w:rsidTr="00FC603C">
        <w:trPr>
          <w:cantSplit/>
          <w:trHeight w:val="377"/>
          <w:tblHead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C0C675" w14:textId="77777777" w:rsidR="00406E19" w:rsidRPr="00406E19" w:rsidRDefault="000D3D43" w:rsidP="000D3D43">
            <w:pPr>
              <w:pStyle w:val="ListParagraph"/>
              <w:spacing w:after="0" w:line="240" w:lineRule="auto"/>
              <w:ind w:left="-20"/>
              <w:rPr>
                <w:rFonts w:ascii="Aptos" w:hAnsi="Aptos" w:cstheme="minorHAnsi"/>
                <w:b/>
                <w:bCs/>
                <w:sz w:val="20"/>
                <w:szCs w:val="20"/>
              </w:rPr>
            </w:pPr>
            <w:r w:rsidRPr="00406E19">
              <w:rPr>
                <w:rFonts w:ascii="Aptos" w:hAnsi="Aptos" w:cstheme="minorHAnsi"/>
                <w:b/>
                <w:bCs/>
                <w:sz w:val="20"/>
                <w:szCs w:val="20"/>
              </w:rPr>
              <w:t xml:space="preserve">Narrative </w:t>
            </w:r>
            <w:r w:rsidRPr="000D3D43">
              <w:rPr>
                <w:rFonts w:ascii="Aptos" w:hAnsi="Aptos" w:cstheme="minorHAnsi"/>
                <w:b/>
                <w:bCs/>
                <w:sz w:val="20"/>
                <w:szCs w:val="20"/>
              </w:rPr>
              <w:t xml:space="preserve">Table 4: </w:t>
            </w:r>
          </w:p>
          <w:p w14:paraId="3F5A8A16" w14:textId="44BBD3FF" w:rsidR="000D3D43" w:rsidRPr="000D3D43" w:rsidRDefault="000D3D43" w:rsidP="000D3D43">
            <w:pPr>
              <w:pStyle w:val="ListParagraph"/>
              <w:spacing w:after="0" w:line="240" w:lineRule="auto"/>
              <w:ind w:left="-20"/>
              <w:rPr>
                <w:rFonts w:ascii="Aptos" w:hAnsi="Aptos" w:cstheme="minorHAnsi"/>
                <w:b/>
                <w:bCs/>
                <w:sz w:val="20"/>
                <w:szCs w:val="20"/>
              </w:rPr>
            </w:pPr>
            <w:r w:rsidRPr="000D3D43">
              <w:rPr>
                <w:rFonts w:ascii="Aptos" w:hAnsi="Aptos" w:cstheme="minorHAnsi"/>
                <w:b/>
                <w:bCs/>
                <w:sz w:val="20"/>
                <w:szCs w:val="20"/>
              </w:rPr>
              <w:t>Historical Volume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7056F8" w14:textId="77777777" w:rsidR="000D3D43" w:rsidRPr="000D3D43" w:rsidRDefault="000D3D43" w:rsidP="000D3D43">
            <w:pPr>
              <w:pStyle w:val="ListParagraph"/>
              <w:spacing w:after="0" w:line="240" w:lineRule="auto"/>
              <w:ind w:left="350" w:hanging="380"/>
              <w:jc w:val="center"/>
              <w:rPr>
                <w:rFonts w:ascii="Aptos" w:hAnsi="Aptos" w:cstheme="minorHAnsi"/>
                <w:b/>
                <w:bCs/>
                <w:sz w:val="20"/>
                <w:szCs w:val="20"/>
              </w:rPr>
            </w:pPr>
            <w:r w:rsidRPr="000D3D43">
              <w:rPr>
                <w:rFonts w:ascii="Aptos" w:hAnsi="Aptos" w:cstheme="minorHAnsi"/>
                <w:b/>
                <w:bCs/>
                <w:sz w:val="20"/>
                <w:szCs w:val="20"/>
              </w:rPr>
              <w:t>CY2022</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52DED" w14:textId="77777777" w:rsidR="000D3D43" w:rsidRPr="000D3D43" w:rsidRDefault="000D3D43" w:rsidP="000D3D43">
            <w:pPr>
              <w:pStyle w:val="ListParagraph"/>
              <w:spacing w:after="0" w:line="240" w:lineRule="auto"/>
              <w:ind w:left="220" w:hanging="110"/>
              <w:jc w:val="center"/>
              <w:rPr>
                <w:rFonts w:ascii="Aptos" w:hAnsi="Aptos" w:cstheme="minorHAnsi"/>
                <w:b/>
                <w:bCs/>
                <w:sz w:val="20"/>
                <w:szCs w:val="20"/>
              </w:rPr>
            </w:pPr>
            <w:r w:rsidRPr="000D3D43">
              <w:rPr>
                <w:rFonts w:ascii="Aptos" w:hAnsi="Aptos" w:cstheme="minorHAnsi"/>
                <w:b/>
                <w:bCs/>
                <w:sz w:val="20"/>
                <w:szCs w:val="20"/>
              </w:rPr>
              <w:t>CY2023</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7FC207" w14:textId="77777777" w:rsidR="000D3D43" w:rsidRPr="000D3D43" w:rsidRDefault="000D3D43" w:rsidP="000D3D43">
            <w:pPr>
              <w:pStyle w:val="ListParagraph"/>
              <w:spacing w:after="0" w:line="240" w:lineRule="auto"/>
              <w:ind w:left="90" w:firstLine="20"/>
              <w:jc w:val="center"/>
              <w:rPr>
                <w:rFonts w:ascii="Aptos" w:hAnsi="Aptos" w:cstheme="minorHAnsi"/>
                <w:b/>
                <w:bCs/>
                <w:sz w:val="20"/>
                <w:szCs w:val="20"/>
              </w:rPr>
            </w:pPr>
            <w:r w:rsidRPr="000D3D43">
              <w:rPr>
                <w:rFonts w:ascii="Aptos" w:hAnsi="Aptos" w:cstheme="minorHAnsi"/>
                <w:b/>
                <w:bCs/>
                <w:sz w:val="20"/>
                <w:szCs w:val="20"/>
              </w:rPr>
              <w:t>CY2024</w:t>
            </w:r>
          </w:p>
        </w:tc>
      </w:tr>
      <w:tr w:rsidR="000D3D43" w:rsidRPr="00406E19" w14:paraId="5D9DFC8B" w14:textId="77777777" w:rsidTr="00FC603C">
        <w:trPr>
          <w:cantSplit/>
          <w:trHeight w:val="27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F9720" w14:textId="1EC387C7" w:rsidR="000D3D43" w:rsidRPr="000D3D43" w:rsidRDefault="000D3D43" w:rsidP="000D3D43">
            <w:pPr>
              <w:pStyle w:val="ListParagraph"/>
              <w:spacing w:after="0" w:line="240" w:lineRule="auto"/>
              <w:ind w:hanging="740"/>
              <w:rPr>
                <w:rFonts w:ascii="Aptos" w:hAnsi="Aptos" w:cstheme="minorHAnsi"/>
                <w:sz w:val="20"/>
                <w:szCs w:val="20"/>
              </w:rPr>
            </w:pPr>
            <w:r w:rsidRPr="000D3D43">
              <w:rPr>
                <w:rFonts w:ascii="Aptos" w:hAnsi="Aptos" w:cstheme="minorHAnsi"/>
                <w:sz w:val="20"/>
                <w:szCs w:val="20"/>
              </w:rPr>
              <w:t>Cases at the Center</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585AC4D" w14:textId="77777777" w:rsidR="000D3D43" w:rsidRPr="000D3D43" w:rsidRDefault="000D3D43" w:rsidP="00A70AB3">
            <w:pPr>
              <w:pStyle w:val="ListParagraph"/>
              <w:spacing w:after="0" w:line="240" w:lineRule="auto"/>
              <w:ind w:left="350" w:hanging="380"/>
              <w:jc w:val="center"/>
              <w:rPr>
                <w:rFonts w:ascii="Aptos" w:hAnsi="Aptos" w:cstheme="minorHAnsi"/>
                <w:sz w:val="20"/>
                <w:szCs w:val="20"/>
              </w:rPr>
            </w:pPr>
            <w:r w:rsidRPr="000D3D43">
              <w:rPr>
                <w:rFonts w:ascii="Aptos" w:hAnsi="Aptos" w:cstheme="minorHAnsi"/>
                <w:sz w:val="20"/>
                <w:szCs w:val="20"/>
              </w:rPr>
              <w:t>1,782</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42FBB40" w14:textId="77777777" w:rsidR="000D3D43" w:rsidRPr="000D3D43" w:rsidRDefault="000D3D43" w:rsidP="00A70AB3">
            <w:pPr>
              <w:pStyle w:val="ListParagraph"/>
              <w:spacing w:after="0" w:line="240" w:lineRule="auto"/>
              <w:ind w:left="220" w:hanging="110"/>
              <w:jc w:val="center"/>
              <w:rPr>
                <w:rFonts w:ascii="Aptos" w:hAnsi="Aptos" w:cstheme="minorHAnsi"/>
                <w:sz w:val="20"/>
                <w:szCs w:val="20"/>
              </w:rPr>
            </w:pPr>
            <w:r w:rsidRPr="000D3D43">
              <w:rPr>
                <w:rFonts w:ascii="Aptos" w:hAnsi="Aptos" w:cstheme="minorHAnsi"/>
                <w:sz w:val="20"/>
                <w:szCs w:val="20"/>
              </w:rPr>
              <w:t>3,583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62F3F59" w14:textId="77777777" w:rsidR="000D3D43" w:rsidRPr="000D3D43" w:rsidRDefault="000D3D43" w:rsidP="00A70AB3">
            <w:pPr>
              <w:pStyle w:val="ListParagraph"/>
              <w:spacing w:after="0" w:line="240" w:lineRule="auto"/>
              <w:ind w:left="90" w:firstLine="20"/>
              <w:jc w:val="center"/>
              <w:rPr>
                <w:rFonts w:ascii="Aptos" w:hAnsi="Aptos" w:cstheme="minorHAnsi"/>
                <w:sz w:val="20"/>
                <w:szCs w:val="20"/>
              </w:rPr>
            </w:pPr>
            <w:r w:rsidRPr="000D3D43">
              <w:rPr>
                <w:rFonts w:ascii="Aptos" w:hAnsi="Aptos" w:cstheme="minorHAnsi"/>
                <w:sz w:val="20"/>
                <w:szCs w:val="20"/>
              </w:rPr>
              <w:t>4,873</w:t>
            </w:r>
          </w:p>
        </w:tc>
      </w:tr>
      <w:tr w:rsidR="000D3D43" w:rsidRPr="00406E19" w14:paraId="6A0D16FE" w14:textId="77777777" w:rsidTr="00FC603C">
        <w:trPr>
          <w:cantSplit/>
          <w:trHeight w:val="27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37B7" w14:textId="77777777" w:rsidR="000D3D43" w:rsidRPr="00A70AB3" w:rsidRDefault="000D3D43" w:rsidP="000D3D43">
            <w:pPr>
              <w:pStyle w:val="ListParagraph"/>
              <w:spacing w:after="0" w:line="240" w:lineRule="auto"/>
              <w:ind w:hanging="740"/>
              <w:jc w:val="right"/>
              <w:rPr>
                <w:rFonts w:ascii="Aptos" w:hAnsi="Aptos" w:cstheme="minorHAnsi"/>
                <w:b/>
                <w:bCs/>
                <w:sz w:val="20"/>
                <w:szCs w:val="20"/>
              </w:rPr>
            </w:pPr>
            <w:r w:rsidRPr="00A70AB3">
              <w:rPr>
                <w:rFonts w:ascii="Aptos" w:hAnsi="Aptos" w:cstheme="minorHAnsi"/>
                <w:b/>
                <w:bCs/>
                <w:sz w:val="20"/>
                <w:szCs w:val="20"/>
              </w:rPr>
              <w:t>Upper</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1DDC2B71" w14:textId="2C507CDA" w:rsidR="000D3D43" w:rsidRPr="00A70AB3" w:rsidRDefault="00A70AB3" w:rsidP="00A70AB3">
            <w:pPr>
              <w:pStyle w:val="ListParagraph"/>
              <w:spacing w:after="0" w:line="240" w:lineRule="auto"/>
              <w:ind w:left="350" w:hanging="380"/>
              <w:jc w:val="center"/>
              <w:rPr>
                <w:rFonts w:ascii="Aptos" w:hAnsi="Aptos" w:cstheme="minorHAnsi"/>
                <w:b/>
                <w:bCs/>
                <w:sz w:val="20"/>
                <w:szCs w:val="20"/>
              </w:rPr>
            </w:pPr>
            <w:r w:rsidRPr="00A70AB3">
              <w:rPr>
                <w:rFonts w:ascii="Aptos" w:hAnsi="Aptos" w:cstheme="minorHAnsi"/>
                <w:b/>
                <w:bCs/>
                <w:sz w:val="20"/>
                <w:szCs w:val="20"/>
              </w:rPr>
              <w:t>433</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227B5E3A" w14:textId="3E66FEDF" w:rsidR="000D3D43" w:rsidRPr="00A70AB3" w:rsidRDefault="00A70AB3" w:rsidP="00A70AB3">
            <w:pPr>
              <w:pStyle w:val="ListParagraph"/>
              <w:spacing w:after="0" w:line="240" w:lineRule="auto"/>
              <w:ind w:left="220" w:hanging="110"/>
              <w:jc w:val="center"/>
              <w:rPr>
                <w:rFonts w:ascii="Aptos" w:hAnsi="Aptos" w:cstheme="minorHAnsi"/>
                <w:b/>
                <w:bCs/>
                <w:sz w:val="20"/>
                <w:szCs w:val="20"/>
              </w:rPr>
            </w:pPr>
            <w:r w:rsidRPr="00A70AB3">
              <w:rPr>
                <w:rFonts w:ascii="Aptos" w:hAnsi="Aptos" w:cstheme="minorHAnsi"/>
                <w:b/>
                <w:bCs/>
                <w:sz w:val="20"/>
                <w:szCs w:val="20"/>
              </w:rPr>
              <w:t>759</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71DA982E" w14:textId="69AE42E8" w:rsidR="000D3D43" w:rsidRPr="00A70AB3" w:rsidRDefault="00A70AB3" w:rsidP="00A70AB3">
            <w:pPr>
              <w:pStyle w:val="ListParagraph"/>
              <w:spacing w:after="0" w:line="240" w:lineRule="auto"/>
              <w:ind w:left="90" w:firstLine="20"/>
              <w:jc w:val="center"/>
              <w:rPr>
                <w:rFonts w:ascii="Aptos" w:hAnsi="Aptos" w:cstheme="minorHAnsi"/>
                <w:b/>
                <w:bCs/>
                <w:sz w:val="20"/>
                <w:szCs w:val="20"/>
              </w:rPr>
            </w:pPr>
            <w:r w:rsidRPr="00A70AB3">
              <w:rPr>
                <w:rFonts w:ascii="Aptos" w:hAnsi="Aptos" w:cstheme="minorHAnsi"/>
                <w:b/>
                <w:bCs/>
                <w:sz w:val="20"/>
                <w:szCs w:val="20"/>
              </w:rPr>
              <w:t>951</w:t>
            </w:r>
          </w:p>
        </w:tc>
      </w:tr>
      <w:tr w:rsidR="000D3D43" w:rsidRPr="00406E19" w14:paraId="6638EC07" w14:textId="77777777" w:rsidTr="00FC603C">
        <w:trPr>
          <w:cantSplit/>
          <w:trHeight w:val="27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7F8E6" w14:textId="77777777" w:rsidR="000D3D43" w:rsidRPr="00A70AB3" w:rsidRDefault="000D3D43" w:rsidP="000D3D43">
            <w:pPr>
              <w:pStyle w:val="ListParagraph"/>
              <w:spacing w:after="0" w:line="240" w:lineRule="auto"/>
              <w:ind w:hanging="740"/>
              <w:jc w:val="right"/>
              <w:rPr>
                <w:rFonts w:ascii="Aptos" w:hAnsi="Aptos" w:cstheme="minorHAnsi"/>
                <w:b/>
                <w:bCs/>
                <w:sz w:val="20"/>
                <w:szCs w:val="20"/>
              </w:rPr>
            </w:pPr>
            <w:r w:rsidRPr="00A70AB3">
              <w:rPr>
                <w:rFonts w:ascii="Aptos" w:hAnsi="Aptos" w:cstheme="minorHAnsi"/>
                <w:b/>
                <w:bCs/>
                <w:sz w:val="20"/>
                <w:szCs w:val="20"/>
              </w:rPr>
              <w:t>Lower</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6554553C" w14:textId="45C2B990" w:rsidR="000D3D43" w:rsidRPr="00A70AB3" w:rsidRDefault="00A70AB3" w:rsidP="00A70AB3">
            <w:pPr>
              <w:pStyle w:val="ListParagraph"/>
              <w:spacing w:after="0" w:line="240" w:lineRule="auto"/>
              <w:ind w:left="350" w:hanging="380"/>
              <w:jc w:val="center"/>
              <w:rPr>
                <w:rFonts w:ascii="Aptos" w:hAnsi="Aptos" w:cstheme="minorHAnsi"/>
                <w:b/>
                <w:bCs/>
                <w:sz w:val="20"/>
                <w:szCs w:val="20"/>
              </w:rPr>
            </w:pPr>
            <w:r w:rsidRPr="00A70AB3">
              <w:rPr>
                <w:rFonts w:ascii="Aptos" w:hAnsi="Aptos" w:cstheme="minorHAnsi"/>
                <w:b/>
                <w:bCs/>
                <w:sz w:val="20"/>
                <w:szCs w:val="20"/>
              </w:rPr>
              <w:t>1,349</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6F56DC26" w14:textId="336B9440" w:rsidR="000D3D43" w:rsidRPr="00A70AB3" w:rsidRDefault="00A70AB3" w:rsidP="00A70AB3">
            <w:pPr>
              <w:pStyle w:val="ListParagraph"/>
              <w:spacing w:after="0" w:line="240" w:lineRule="auto"/>
              <w:ind w:left="220" w:hanging="110"/>
              <w:jc w:val="center"/>
              <w:rPr>
                <w:rFonts w:ascii="Aptos" w:hAnsi="Aptos" w:cstheme="minorHAnsi"/>
                <w:b/>
                <w:bCs/>
                <w:sz w:val="20"/>
                <w:szCs w:val="20"/>
              </w:rPr>
            </w:pPr>
            <w:r w:rsidRPr="00A70AB3">
              <w:rPr>
                <w:rFonts w:ascii="Aptos" w:hAnsi="Aptos" w:cstheme="minorHAnsi"/>
                <w:b/>
                <w:bCs/>
                <w:sz w:val="20"/>
                <w:szCs w:val="20"/>
              </w:rPr>
              <w:t>2,824</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72489995" w14:textId="719534C7" w:rsidR="000D3D43" w:rsidRPr="00A70AB3" w:rsidRDefault="00A70AB3" w:rsidP="00A70AB3">
            <w:pPr>
              <w:pStyle w:val="ListParagraph"/>
              <w:spacing w:after="0" w:line="240" w:lineRule="auto"/>
              <w:ind w:left="90" w:firstLine="20"/>
              <w:jc w:val="center"/>
              <w:rPr>
                <w:rFonts w:ascii="Aptos" w:hAnsi="Aptos" w:cstheme="minorHAnsi"/>
                <w:b/>
                <w:bCs/>
                <w:sz w:val="20"/>
                <w:szCs w:val="20"/>
              </w:rPr>
            </w:pPr>
            <w:r w:rsidRPr="00A70AB3">
              <w:rPr>
                <w:rFonts w:ascii="Aptos" w:hAnsi="Aptos" w:cstheme="minorHAnsi"/>
                <w:b/>
                <w:bCs/>
                <w:sz w:val="20"/>
                <w:szCs w:val="20"/>
              </w:rPr>
              <w:t>3,922</w:t>
            </w:r>
          </w:p>
        </w:tc>
      </w:tr>
    </w:tbl>
    <w:p w14:paraId="68694179" w14:textId="77777777" w:rsidR="000D3D43" w:rsidRPr="00406E19" w:rsidRDefault="000D3D43" w:rsidP="000D3D43">
      <w:pPr>
        <w:pStyle w:val="ListParagraph"/>
        <w:rPr>
          <w:rFonts w:ascii="Aptos" w:hAnsi="Aptos" w:cstheme="minorHAnsi"/>
          <w:color w:val="4472C4" w:themeColor="accent1"/>
          <w:sz w:val="20"/>
          <w:szCs w:val="20"/>
        </w:rPr>
      </w:pPr>
    </w:p>
    <w:p w14:paraId="75F8EE3E" w14:textId="79508F4F" w:rsidR="00BC6042" w:rsidRPr="001028B5" w:rsidRDefault="0026167E" w:rsidP="001028B5">
      <w:pPr>
        <w:pStyle w:val="ListParagraph"/>
        <w:numPr>
          <w:ilvl w:val="1"/>
          <w:numId w:val="27"/>
        </w:numPr>
        <w:rPr>
          <w:rFonts w:ascii="Aptos" w:hAnsi="Aptos" w:cstheme="minorHAnsi"/>
        </w:rPr>
      </w:pPr>
      <w:r w:rsidRPr="001028B5">
        <w:rPr>
          <w:rFonts w:ascii="Aptos" w:hAnsi="Aptos" w:cstheme="minorHAnsi"/>
        </w:rPr>
        <w:t xml:space="preserve">Provide a breakdown of projected volume (Table 5: Projected Volume) by upper endoscopy and lower endoscopy. </w:t>
      </w:r>
    </w:p>
    <w:tbl>
      <w:tblPr>
        <w:tblStyle w:val="TableGrid"/>
        <w:tblW w:w="8550" w:type="dxa"/>
        <w:tblInd w:w="715" w:type="dxa"/>
        <w:tblLayout w:type="fixed"/>
        <w:tblLook w:val="04A0" w:firstRow="1" w:lastRow="0" w:firstColumn="1" w:lastColumn="0" w:noHBand="0" w:noVBand="1"/>
      </w:tblPr>
      <w:tblGrid>
        <w:gridCol w:w="2880"/>
        <w:gridCol w:w="1085"/>
        <w:gridCol w:w="1170"/>
        <w:gridCol w:w="1170"/>
        <w:gridCol w:w="1170"/>
        <w:gridCol w:w="1075"/>
      </w:tblGrid>
      <w:tr w:rsidR="000D3D43" w:rsidRPr="00406E19" w14:paraId="0A56B9E4" w14:textId="77777777" w:rsidTr="00FC603C">
        <w:trPr>
          <w:cantSplit/>
          <w:trHeight w:val="271"/>
          <w:tblHeader/>
        </w:trPr>
        <w:tc>
          <w:tcPr>
            <w:tcW w:w="2880" w:type="dxa"/>
          </w:tcPr>
          <w:p w14:paraId="35A267F2" w14:textId="77777777" w:rsidR="00406E19" w:rsidRPr="00406E19" w:rsidRDefault="000D3D43" w:rsidP="00C76FB6">
            <w:pPr>
              <w:pStyle w:val="BodyText2"/>
              <w:spacing w:after="0" w:line="240" w:lineRule="auto"/>
              <w:rPr>
                <w:rFonts w:ascii="Aptos" w:hAnsi="Aptos"/>
                <w:b/>
                <w:sz w:val="20"/>
                <w:szCs w:val="20"/>
              </w:rPr>
            </w:pPr>
            <w:r w:rsidRPr="00406E19">
              <w:rPr>
                <w:rFonts w:ascii="Aptos" w:hAnsi="Aptos"/>
                <w:b/>
                <w:sz w:val="20"/>
                <w:szCs w:val="20"/>
              </w:rPr>
              <w:t xml:space="preserve">Narrative Table 5: </w:t>
            </w:r>
          </w:p>
          <w:p w14:paraId="45E58EC4" w14:textId="228A7B21" w:rsidR="000D3D43" w:rsidRPr="00406E19" w:rsidRDefault="000D3D43" w:rsidP="00C76FB6">
            <w:pPr>
              <w:pStyle w:val="BodyText2"/>
              <w:spacing w:after="0" w:line="240" w:lineRule="auto"/>
              <w:rPr>
                <w:rFonts w:ascii="Aptos" w:hAnsi="Aptos" w:cstheme="majorHAnsi"/>
                <w:b/>
                <w:bCs/>
                <w:sz w:val="20"/>
                <w:szCs w:val="20"/>
              </w:rPr>
            </w:pPr>
            <w:r w:rsidRPr="00406E19">
              <w:rPr>
                <w:rFonts w:ascii="Aptos" w:hAnsi="Aptos"/>
                <w:b/>
                <w:sz w:val="20"/>
                <w:szCs w:val="20"/>
              </w:rPr>
              <w:t xml:space="preserve">Projected Volume </w:t>
            </w:r>
          </w:p>
        </w:tc>
        <w:tc>
          <w:tcPr>
            <w:tcW w:w="1085" w:type="dxa"/>
          </w:tcPr>
          <w:p w14:paraId="12A2BCFD" w14:textId="77777777" w:rsidR="000D3D43" w:rsidRPr="00406E19" w:rsidRDefault="000D3D43" w:rsidP="00C76FB6">
            <w:pPr>
              <w:pStyle w:val="BodyText2"/>
              <w:spacing w:after="0" w:line="240" w:lineRule="auto"/>
              <w:jc w:val="center"/>
              <w:rPr>
                <w:rFonts w:ascii="Aptos" w:hAnsi="Aptos"/>
                <w:b/>
                <w:sz w:val="20"/>
                <w:szCs w:val="20"/>
              </w:rPr>
            </w:pPr>
            <w:r w:rsidRPr="00406E19">
              <w:rPr>
                <w:rFonts w:ascii="Aptos" w:hAnsi="Aptos"/>
                <w:b/>
                <w:sz w:val="20"/>
                <w:szCs w:val="20"/>
              </w:rPr>
              <w:t>2027</w:t>
            </w:r>
          </w:p>
        </w:tc>
        <w:tc>
          <w:tcPr>
            <w:tcW w:w="1170" w:type="dxa"/>
          </w:tcPr>
          <w:p w14:paraId="0838E9D7" w14:textId="77777777" w:rsidR="000D3D43" w:rsidRPr="00406E19" w:rsidRDefault="000D3D43" w:rsidP="00C76FB6">
            <w:pPr>
              <w:pStyle w:val="BodyText2"/>
              <w:spacing w:after="0" w:line="240" w:lineRule="auto"/>
              <w:jc w:val="center"/>
              <w:rPr>
                <w:rFonts w:ascii="Aptos" w:hAnsi="Aptos"/>
                <w:b/>
                <w:sz w:val="20"/>
                <w:szCs w:val="20"/>
              </w:rPr>
            </w:pPr>
            <w:r w:rsidRPr="00406E19">
              <w:rPr>
                <w:rFonts w:ascii="Aptos" w:hAnsi="Aptos"/>
                <w:b/>
                <w:sz w:val="20"/>
                <w:szCs w:val="20"/>
              </w:rPr>
              <w:t>2028</w:t>
            </w:r>
          </w:p>
        </w:tc>
        <w:tc>
          <w:tcPr>
            <w:tcW w:w="1170" w:type="dxa"/>
          </w:tcPr>
          <w:p w14:paraId="0A6F8BDD" w14:textId="77777777" w:rsidR="000D3D43" w:rsidRPr="00406E19" w:rsidRDefault="000D3D43" w:rsidP="00C76FB6">
            <w:pPr>
              <w:pStyle w:val="BodyText2"/>
              <w:spacing w:after="0" w:line="240" w:lineRule="auto"/>
              <w:jc w:val="center"/>
              <w:rPr>
                <w:rFonts w:ascii="Aptos" w:hAnsi="Aptos"/>
                <w:b/>
                <w:sz w:val="20"/>
                <w:szCs w:val="20"/>
              </w:rPr>
            </w:pPr>
            <w:r w:rsidRPr="00406E19">
              <w:rPr>
                <w:rFonts w:ascii="Aptos" w:hAnsi="Aptos"/>
                <w:b/>
                <w:sz w:val="20"/>
                <w:szCs w:val="20"/>
              </w:rPr>
              <w:t>2029</w:t>
            </w:r>
          </w:p>
        </w:tc>
        <w:tc>
          <w:tcPr>
            <w:tcW w:w="1170" w:type="dxa"/>
          </w:tcPr>
          <w:p w14:paraId="74555DF2" w14:textId="77777777" w:rsidR="000D3D43" w:rsidRPr="00406E19" w:rsidRDefault="000D3D43" w:rsidP="00C76FB6">
            <w:pPr>
              <w:pStyle w:val="BodyText2"/>
              <w:spacing w:after="0" w:line="240" w:lineRule="auto"/>
              <w:jc w:val="center"/>
              <w:rPr>
                <w:rFonts w:ascii="Aptos" w:hAnsi="Aptos"/>
                <w:b/>
                <w:sz w:val="20"/>
                <w:szCs w:val="20"/>
              </w:rPr>
            </w:pPr>
            <w:r w:rsidRPr="00406E19">
              <w:rPr>
                <w:rFonts w:ascii="Aptos" w:hAnsi="Aptos"/>
                <w:b/>
                <w:sz w:val="20"/>
                <w:szCs w:val="20"/>
              </w:rPr>
              <w:t>2030</w:t>
            </w:r>
          </w:p>
        </w:tc>
        <w:tc>
          <w:tcPr>
            <w:tcW w:w="1075" w:type="dxa"/>
          </w:tcPr>
          <w:p w14:paraId="0A0203C1" w14:textId="77777777" w:rsidR="000D3D43" w:rsidRPr="00406E19" w:rsidRDefault="000D3D43" w:rsidP="00C76FB6">
            <w:pPr>
              <w:pStyle w:val="BodyText2"/>
              <w:spacing w:after="0" w:line="240" w:lineRule="auto"/>
              <w:jc w:val="center"/>
              <w:rPr>
                <w:rFonts w:ascii="Aptos" w:hAnsi="Aptos"/>
                <w:b/>
                <w:sz w:val="20"/>
                <w:szCs w:val="20"/>
              </w:rPr>
            </w:pPr>
            <w:r w:rsidRPr="00406E19">
              <w:rPr>
                <w:rFonts w:ascii="Aptos" w:hAnsi="Aptos"/>
                <w:b/>
                <w:sz w:val="20"/>
                <w:szCs w:val="20"/>
              </w:rPr>
              <w:t>2031</w:t>
            </w:r>
          </w:p>
        </w:tc>
      </w:tr>
      <w:tr w:rsidR="000D3D43" w:rsidRPr="00406E19" w14:paraId="44DDE34D" w14:textId="77777777" w:rsidTr="00FC603C">
        <w:trPr>
          <w:cantSplit/>
          <w:trHeight w:val="271"/>
        </w:trPr>
        <w:tc>
          <w:tcPr>
            <w:tcW w:w="2880" w:type="dxa"/>
          </w:tcPr>
          <w:p w14:paraId="3C260AD6" w14:textId="77777777" w:rsidR="000D3D43" w:rsidRPr="00406E19" w:rsidRDefault="000D3D43" w:rsidP="00C76FB6">
            <w:pPr>
              <w:pStyle w:val="BodyText2"/>
              <w:spacing w:after="0" w:line="240" w:lineRule="auto"/>
              <w:rPr>
                <w:rFonts w:ascii="Aptos" w:hAnsi="Aptos" w:cstheme="majorHAnsi"/>
                <w:sz w:val="20"/>
                <w:szCs w:val="20"/>
              </w:rPr>
            </w:pPr>
            <w:r w:rsidRPr="00406E19">
              <w:rPr>
                <w:rFonts w:ascii="Aptos" w:hAnsi="Aptos"/>
                <w:sz w:val="20"/>
                <w:szCs w:val="20"/>
              </w:rPr>
              <w:t xml:space="preserve">Total Cases </w:t>
            </w:r>
          </w:p>
        </w:tc>
        <w:tc>
          <w:tcPr>
            <w:tcW w:w="1085" w:type="dxa"/>
          </w:tcPr>
          <w:p w14:paraId="1A7A97A0" w14:textId="77777777" w:rsidR="000D3D43" w:rsidRPr="00406E19" w:rsidRDefault="000D3D43" w:rsidP="00C76FB6">
            <w:pPr>
              <w:pStyle w:val="BodyText2"/>
              <w:spacing w:after="0" w:line="240" w:lineRule="auto"/>
              <w:jc w:val="center"/>
              <w:rPr>
                <w:rFonts w:ascii="Aptos" w:hAnsi="Aptos" w:cstheme="majorHAnsi"/>
                <w:sz w:val="20"/>
                <w:szCs w:val="20"/>
              </w:rPr>
            </w:pPr>
            <w:r w:rsidRPr="00406E19">
              <w:rPr>
                <w:rFonts w:ascii="Aptos" w:hAnsi="Aptos" w:cstheme="majorHAnsi"/>
                <w:sz w:val="20"/>
                <w:szCs w:val="20"/>
              </w:rPr>
              <w:t>5,564</w:t>
            </w:r>
          </w:p>
        </w:tc>
        <w:tc>
          <w:tcPr>
            <w:tcW w:w="1170" w:type="dxa"/>
          </w:tcPr>
          <w:p w14:paraId="6C178D78" w14:textId="77777777" w:rsidR="000D3D43" w:rsidRPr="00406E19" w:rsidRDefault="000D3D43" w:rsidP="00C76FB6">
            <w:pPr>
              <w:pStyle w:val="BodyText2"/>
              <w:spacing w:after="0" w:line="240" w:lineRule="auto"/>
              <w:jc w:val="center"/>
              <w:rPr>
                <w:rFonts w:ascii="Aptos" w:hAnsi="Aptos" w:cstheme="majorHAnsi"/>
                <w:sz w:val="20"/>
                <w:szCs w:val="20"/>
              </w:rPr>
            </w:pPr>
            <w:r w:rsidRPr="00406E19">
              <w:rPr>
                <w:rFonts w:ascii="Aptos" w:hAnsi="Aptos" w:cstheme="majorHAnsi"/>
                <w:sz w:val="20"/>
                <w:szCs w:val="20"/>
              </w:rPr>
              <w:t>6,564</w:t>
            </w:r>
          </w:p>
        </w:tc>
        <w:tc>
          <w:tcPr>
            <w:tcW w:w="1170" w:type="dxa"/>
          </w:tcPr>
          <w:p w14:paraId="5E9B2536" w14:textId="77777777" w:rsidR="000D3D43" w:rsidRPr="00406E19" w:rsidRDefault="000D3D43" w:rsidP="00C76FB6">
            <w:pPr>
              <w:pStyle w:val="BodyText2"/>
              <w:spacing w:after="0" w:line="240" w:lineRule="auto"/>
              <w:jc w:val="center"/>
              <w:rPr>
                <w:rFonts w:ascii="Aptos" w:hAnsi="Aptos" w:cstheme="majorHAnsi"/>
                <w:sz w:val="20"/>
                <w:szCs w:val="20"/>
              </w:rPr>
            </w:pPr>
            <w:r w:rsidRPr="00406E19">
              <w:rPr>
                <w:rFonts w:ascii="Aptos" w:hAnsi="Aptos" w:cstheme="majorHAnsi"/>
                <w:sz w:val="20"/>
                <w:szCs w:val="20"/>
              </w:rPr>
              <w:t>7,564</w:t>
            </w:r>
          </w:p>
        </w:tc>
        <w:tc>
          <w:tcPr>
            <w:tcW w:w="1170" w:type="dxa"/>
          </w:tcPr>
          <w:p w14:paraId="00EF62C3" w14:textId="77777777" w:rsidR="000D3D43" w:rsidRPr="00406E19" w:rsidRDefault="000D3D43" w:rsidP="00C76FB6">
            <w:pPr>
              <w:pStyle w:val="BodyText2"/>
              <w:spacing w:after="0" w:line="240" w:lineRule="auto"/>
              <w:jc w:val="center"/>
              <w:rPr>
                <w:rFonts w:ascii="Aptos" w:hAnsi="Aptos" w:cstheme="majorHAnsi"/>
                <w:sz w:val="20"/>
                <w:szCs w:val="20"/>
              </w:rPr>
            </w:pPr>
            <w:r w:rsidRPr="00406E19">
              <w:rPr>
                <w:rFonts w:ascii="Aptos" w:hAnsi="Aptos" w:cstheme="majorHAnsi"/>
                <w:sz w:val="20"/>
                <w:szCs w:val="20"/>
              </w:rPr>
              <w:t>8,564</w:t>
            </w:r>
          </w:p>
        </w:tc>
        <w:tc>
          <w:tcPr>
            <w:tcW w:w="1075" w:type="dxa"/>
          </w:tcPr>
          <w:p w14:paraId="7AAC73A8" w14:textId="77777777" w:rsidR="000D3D43" w:rsidRPr="00406E19" w:rsidRDefault="000D3D43" w:rsidP="00C76FB6">
            <w:pPr>
              <w:pStyle w:val="BodyText2"/>
              <w:spacing w:after="0" w:line="240" w:lineRule="auto"/>
              <w:jc w:val="center"/>
              <w:rPr>
                <w:rFonts w:ascii="Aptos" w:hAnsi="Aptos" w:cstheme="majorHAnsi"/>
                <w:sz w:val="20"/>
                <w:szCs w:val="20"/>
              </w:rPr>
            </w:pPr>
            <w:r w:rsidRPr="00406E19">
              <w:rPr>
                <w:rFonts w:ascii="Aptos" w:hAnsi="Aptos" w:cstheme="majorHAnsi"/>
                <w:sz w:val="20"/>
                <w:szCs w:val="20"/>
              </w:rPr>
              <w:t>9,314</w:t>
            </w:r>
          </w:p>
        </w:tc>
      </w:tr>
      <w:tr w:rsidR="001028B5" w:rsidRPr="00406E19" w14:paraId="5D1D86FB" w14:textId="77777777" w:rsidTr="00FC603C">
        <w:trPr>
          <w:cantSplit/>
          <w:trHeight w:val="271"/>
        </w:trPr>
        <w:tc>
          <w:tcPr>
            <w:tcW w:w="2880" w:type="dxa"/>
          </w:tcPr>
          <w:p w14:paraId="6E184B88" w14:textId="17DEEC0E" w:rsidR="001028B5" w:rsidRPr="001028B5" w:rsidRDefault="001028B5" w:rsidP="001028B5">
            <w:pPr>
              <w:pStyle w:val="BodyText2"/>
              <w:spacing w:after="0" w:line="240" w:lineRule="auto"/>
              <w:jc w:val="right"/>
              <w:rPr>
                <w:rFonts w:ascii="Aptos" w:hAnsi="Aptos"/>
                <w:b/>
                <w:bCs/>
                <w:sz w:val="20"/>
                <w:szCs w:val="20"/>
              </w:rPr>
            </w:pPr>
            <w:r w:rsidRPr="001028B5">
              <w:rPr>
                <w:rFonts w:ascii="Aptos" w:hAnsi="Aptos" w:cstheme="minorHAnsi"/>
                <w:b/>
                <w:bCs/>
                <w:sz w:val="20"/>
                <w:szCs w:val="20"/>
              </w:rPr>
              <w:t>Upper</w:t>
            </w:r>
          </w:p>
        </w:tc>
        <w:tc>
          <w:tcPr>
            <w:tcW w:w="1085" w:type="dxa"/>
            <w:vAlign w:val="center"/>
          </w:tcPr>
          <w:p w14:paraId="3516A076" w14:textId="7C34645B"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1,169</w:t>
            </w:r>
          </w:p>
        </w:tc>
        <w:tc>
          <w:tcPr>
            <w:tcW w:w="1170" w:type="dxa"/>
            <w:vAlign w:val="center"/>
          </w:tcPr>
          <w:p w14:paraId="401692AD" w14:textId="3828C8DD"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1,378</w:t>
            </w:r>
          </w:p>
        </w:tc>
        <w:tc>
          <w:tcPr>
            <w:tcW w:w="1170" w:type="dxa"/>
            <w:vAlign w:val="center"/>
          </w:tcPr>
          <w:p w14:paraId="3D05DF73" w14:textId="358A5392"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1,589</w:t>
            </w:r>
          </w:p>
        </w:tc>
        <w:tc>
          <w:tcPr>
            <w:tcW w:w="1170" w:type="dxa"/>
            <w:vAlign w:val="center"/>
          </w:tcPr>
          <w:p w14:paraId="255A0822" w14:textId="3078F262"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1,798</w:t>
            </w:r>
          </w:p>
        </w:tc>
        <w:tc>
          <w:tcPr>
            <w:tcW w:w="1075" w:type="dxa"/>
            <w:vAlign w:val="center"/>
          </w:tcPr>
          <w:p w14:paraId="09F6D387" w14:textId="6F45E80D"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1,956</w:t>
            </w:r>
          </w:p>
        </w:tc>
      </w:tr>
      <w:tr w:rsidR="001028B5" w:rsidRPr="00406E19" w14:paraId="4C20713C" w14:textId="77777777" w:rsidTr="00FC603C">
        <w:trPr>
          <w:cantSplit/>
          <w:trHeight w:val="271"/>
        </w:trPr>
        <w:tc>
          <w:tcPr>
            <w:tcW w:w="2880" w:type="dxa"/>
          </w:tcPr>
          <w:p w14:paraId="50D03A14" w14:textId="5E129BBE" w:rsidR="001028B5" w:rsidRPr="001028B5" w:rsidRDefault="001028B5" w:rsidP="001028B5">
            <w:pPr>
              <w:pStyle w:val="BodyText2"/>
              <w:spacing w:after="0" w:line="240" w:lineRule="auto"/>
              <w:jc w:val="right"/>
              <w:rPr>
                <w:rFonts w:ascii="Aptos" w:hAnsi="Aptos"/>
                <w:b/>
                <w:bCs/>
                <w:sz w:val="20"/>
                <w:szCs w:val="20"/>
              </w:rPr>
            </w:pPr>
            <w:r w:rsidRPr="001028B5">
              <w:rPr>
                <w:rFonts w:ascii="Aptos" w:hAnsi="Aptos" w:cstheme="minorHAnsi"/>
                <w:b/>
                <w:bCs/>
                <w:sz w:val="20"/>
                <w:szCs w:val="20"/>
              </w:rPr>
              <w:t>Lower</w:t>
            </w:r>
          </w:p>
        </w:tc>
        <w:tc>
          <w:tcPr>
            <w:tcW w:w="1085" w:type="dxa"/>
            <w:vAlign w:val="center"/>
          </w:tcPr>
          <w:p w14:paraId="5F50E482" w14:textId="38CF7231"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4,395</w:t>
            </w:r>
          </w:p>
        </w:tc>
        <w:tc>
          <w:tcPr>
            <w:tcW w:w="1170" w:type="dxa"/>
            <w:vAlign w:val="center"/>
          </w:tcPr>
          <w:p w14:paraId="3D5B47DD" w14:textId="3F6FE3E6"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5,186</w:t>
            </w:r>
          </w:p>
        </w:tc>
        <w:tc>
          <w:tcPr>
            <w:tcW w:w="1170" w:type="dxa"/>
            <w:vAlign w:val="center"/>
          </w:tcPr>
          <w:p w14:paraId="71E0ADB1" w14:textId="47AE7D45"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5,975</w:t>
            </w:r>
          </w:p>
        </w:tc>
        <w:tc>
          <w:tcPr>
            <w:tcW w:w="1170" w:type="dxa"/>
            <w:vAlign w:val="center"/>
          </w:tcPr>
          <w:p w14:paraId="53745948" w14:textId="3F86DC27"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6,766</w:t>
            </w:r>
          </w:p>
        </w:tc>
        <w:tc>
          <w:tcPr>
            <w:tcW w:w="1075" w:type="dxa"/>
            <w:vAlign w:val="center"/>
          </w:tcPr>
          <w:p w14:paraId="31921445" w14:textId="4E27D22A" w:rsidR="001028B5" w:rsidRPr="001028B5" w:rsidRDefault="001028B5" w:rsidP="001028B5">
            <w:pPr>
              <w:pStyle w:val="BodyText2"/>
              <w:spacing w:after="0" w:line="240" w:lineRule="auto"/>
              <w:jc w:val="center"/>
              <w:rPr>
                <w:rFonts w:ascii="Aptos" w:hAnsi="Aptos" w:cstheme="majorHAnsi"/>
                <w:b/>
                <w:bCs/>
                <w:sz w:val="20"/>
                <w:szCs w:val="20"/>
              </w:rPr>
            </w:pPr>
            <w:r w:rsidRPr="001028B5">
              <w:rPr>
                <w:rFonts w:ascii="Aptos" w:hAnsi="Aptos"/>
                <w:b/>
                <w:bCs/>
                <w:sz w:val="20"/>
                <w:szCs w:val="20"/>
              </w:rPr>
              <w:t>7,358</w:t>
            </w:r>
          </w:p>
        </w:tc>
      </w:tr>
    </w:tbl>
    <w:p w14:paraId="4F428498" w14:textId="77777777" w:rsidR="000D3D43" w:rsidRPr="00466128" w:rsidRDefault="000D3D43" w:rsidP="00BC6042">
      <w:pPr>
        <w:pStyle w:val="ListParagraph"/>
        <w:ind w:left="1440"/>
        <w:rPr>
          <w:rFonts w:ascii="Aptos" w:hAnsi="Aptos" w:cstheme="minorHAnsi"/>
        </w:rPr>
      </w:pPr>
    </w:p>
    <w:p w14:paraId="2D363BD1" w14:textId="77777777" w:rsidR="0026167E" w:rsidRPr="00466128" w:rsidRDefault="0026167E" w:rsidP="0026167E">
      <w:pPr>
        <w:pStyle w:val="ListParagraph"/>
        <w:numPr>
          <w:ilvl w:val="0"/>
          <w:numId w:val="27"/>
        </w:numPr>
        <w:rPr>
          <w:rFonts w:ascii="Aptos" w:hAnsi="Aptos" w:cstheme="minorHAnsi"/>
        </w:rPr>
      </w:pPr>
      <w:r w:rsidRPr="00466128">
        <w:rPr>
          <w:rFonts w:ascii="Aptos" w:hAnsi="Aptos" w:cstheme="minorHAnsi"/>
        </w:rPr>
        <w:t>The application states that per population projections, 3,900 residents from the Center’s top 5 towns will be screened every year in compliance with guidelines. (pg. 21).</w:t>
      </w:r>
    </w:p>
    <w:p w14:paraId="791C7B79" w14:textId="333C14D7" w:rsidR="007D1427" w:rsidRPr="00807358" w:rsidRDefault="0026167E"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 xml:space="preserve">Please explain how the Applicant determined 3,900 residents would be screened every year. </w:t>
      </w:r>
    </w:p>
    <w:p w14:paraId="79548FB9" w14:textId="3AB07CAF" w:rsidR="007D1427" w:rsidRPr="00466128" w:rsidRDefault="007D1427" w:rsidP="00B77987">
      <w:pPr>
        <w:pStyle w:val="ListParagraph"/>
        <w:ind w:left="1440"/>
        <w:jc w:val="both"/>
        <w:rPr>
          <w:rFonts w:ascii="Aptos" w:hAnsi="Aptos" w:cstheme="minorHAnsi"/>
          <w:b/>
          <w:bCs/>
        </w:rPr>
      </w:pPr>
      <w:r w:rsidRPr="00466128">
        <w:rPr>
          <w:rFonts w:ascii="Aptos" w:hAnsi="Aptos" w:cstheme="minorHAnsi"/>
          <w:b/>
          <w:bCs/>
        </w:rPr>
        <w:t>The 45-74 age cohort in the Center’s top five towns are expected to have a population of 39,000 by 2030. The screening guidance for all residents in that age range is at least once every ten years.</w:t>
      </w:r>
      <w:r w:rsidR="00CC7321">
        <w:rPr>
          <w:rStyle w:val="FootnoteReference"/>
          <w:rFonts w:ascii="Aptos" w:hAnsi="Aptos" w:cstheme="minorHAnsi"/>
          <w:b/>
          <w:bCs/>
        </w:rPr>
        <w:footnoteReference w:id="8"/>
      </w:r>
      <w:r w:rsidRPr="00466128">
        <w:rPr>
          <w:rFonts w:ascii="Aptos" w:hAnsi="Aptos" w:cstheme="minorHAnsi"/>
          <w:b/>
          <w:bCs/>
        </w:rPr>
        <w:t xml:space="preserve"> Therefore, a minimum of 3,900 residents </w:t>
      </w:r>
      <w:r w:rsidRPr="00466128">
        <w:rPr>
          <w:rFonts w:ascii="Aptos" w:hAnsi="Aptos" w:cstheme="minorHAnsi"/>
          <w:b/>
          <w:bCs/>
        </w:rPr>
        <w:lastRenderedPageBreak/>
        <w:t xml:space="preserve">will require CRC screening each year. Residents with a higher risk of CRC will require more frequent screening. </w:t>
      </w:r>
      <w:r w:rsidR="00B77987">
        <w:rPr>
          <w:rFonts w:ascii="Aptos" w:hAnsi="Aptos" w:cstheme="minorHAnsi"/>
          <w:b/>
          <w:bCs/>
        </w:rPr>
        <w:t xml:space="preserve">This number also does not account for residents referred for diagnostic colonoscopy due to presenting symptoms. </w:t>
      </w:r>
    </w:p>
    <w:p w14:paraId="16CF41F9" w14:textId="77777777" w:rsidR="0026167E" w:rsidRPr="00466128" w:rsidRDefault="0026167E" w:rsidP="0026167E">
      <w:pPr>
        <w:pStyle w:val="ListParagraph"/>
        <w:rPr>
          <w:rFonts w:ascii="Aptos" w:hAnsi="Aptos" w:cstheme="minorHAnsi"/>
        </w:rPr>
      </w:pPr>
    </w:p>
    <w:p w14:paraId="2822AA00" w14:textId="77777777" w:rsidR="0026167E" w:rsidRPr="00466128" w:rsidRDefault="0026167E" w:rsidP="0026167E">
      <w:pPr>
        <w:pStyle w:val="ListParagraph"/>
        <w:numPr>
          <w:ilvl w:val="0"/>
          <w:numId w:val="27"/>
        </w:numPr>
        <w:rPr>
          <w:rFonts w:ascii="Aptos" w:hAnsi="Aptos" w:cstheme="minorHAnsi"/>
        </w:rPr>
      </w:pPr>
      <w:r w:rsidRPr="00466128">
        <w:rPr>
          <w:rFonts w:ascii="Aptos" w:hAnsi="Aptos" w:cstheme="minorHAnsi"/>
        </w:rPr>
        <w:t xml:space="preserve">The Applicant expects </w:t>
      </w:r>
      <w:proofErr w:type="gramStart"/>
      <w:r w:rsidRPr="00466128">
        <w:rPr>
          <w:rFonts w:ascii="Aptos" w:hAnsi="Aptos" w:cstheme="minorHAnsi"/>
        </w:rPr>
        <w:t>new</w:t>
      </w:r>
      <w:proofErr w:type="gramEnd"/>
      <w:r w:rsidRPr="00466128">
        <w:rPr>
          <w:rFonts w:ascii="Aptos" w:hAnsi="Aptos" w:cstheme="minorHAnsi"/>
        </w:rPr>
        <w:t xml:space="preserve"> volume to come </w:t>
      </w:r>
      <w:proofErr w:type="gramStart"/>
      <w:r w:rsidRPr="00466128">
        <w:rPr>
          <w:rFonts w:ascii="Aptos" w:hAnsi="Aptos" w:cstheme="minorHAnsi"/>
        </w:rPr>
        <w:t>as a result of</w:t>
      </w:r>
      <w:proofErr w:type="gramEnd"/>
      <w:r w:rsidRPr="00466128">
        <w:rPr>
          <w:rFonts w:ascii="Aptos" w:hAnsi="Aptos" w:cstheme="minorHAnsi"/>
        </w:rPr>
        <w:t xml:space="preserve"> the closure of NVMC and from its clinical affiliation with Atrius Health. </w:t>
      </w:r>
    </w:p>
    <w:p w14:paraId="77466549" w14:textId="4D31B07A" w:rsidR="007D001D" w:rsidRPr="00466128" w:rsidRDefault="0026167E" w:rsidP="007D001D">
      <w:pPr>
        <w:pStyle w:val="ListParagraph"/>
        <w:numPr>
          <w:ilvl w:val="1"/>
          <w:numId w:val="27"/>
        </w:numPr>
        <w:rPr>
          <w:rFonts w:ascii="Aptos" w:hAnsi="Aptos" w:cstheme="minorHAnsi"/>
        </w:rPr>
      </w:pPr>
      <w:r w:rsidRPr="00466128">
        <w:rPr>
          <w:rFonts w:ascii="Aptos" w:hAnsi="Aptos" w:cstheme="minorHAnsi"/>
        </w:rPr>
        <w:t xml:space="preserve">Explain Emerson Hospital’s clinical affiliation/referral relationship with Atrius Health as it relates to endoscopy services.  </w:t>
      </w:r>
    </w:p>
    <w:p w14:paraId="57F63B30" w14:textId="7848A406" w:rsidR="009A3FFE" w:rsidRPr="00106635" w:rsidRDefault="007D001D" w:rsidP="00106635">
      <w:pPr>
        <w:spacing w:after="120"/>
        <w:ind w:left="1440"/>
        <w:jc w:val="both"/>
        <w:rPr>
          <w:rFonts w:ascii="Aptos" w:hAnsi="Aptos"/>
          <w:b/>
          <w:bCs/>
          <w:strike/>
        </w:rPr>
      </w:pPr>
      <w:r w:rsidRPr="00106635">
        <w:rPr>
          <w:rFonts w:ascii="Aptos" w:hAnsi="Aptos" w:cstheme="minorHAnsi"/>
          <w:b/>
          <w:bCs/>
        </w:rPr>
        <w:t xml:space="preserve">As described on </w:t>
      </w:r>
      <w:proofErr w:type="gramStart"/>
      <w:r w:rsidRPr="00106635">
        <w:rPr>
          <w:rFonts w:ascii="Aptos" w:hAnsi="Aptos" w:cstheme="minorHAnsi"/>
          <w:b/>
          <w:bCs/>
        </w:rPr>
        <w:t>the page</w:t>
      </w:r>
      <w:proofErr w:type="gramEnd"/>
      <w:r w:rsidRPr="00106635">
        <w:rPr>
          <w:rFonts w:ascii="Aptos" w:hAnsi="Aptos" w:cstheme="minorHAnsi"/>
          <w:b/>
          <w:bCs/>
        </w:rPr>
        <w:t xml:space="preserve"> 4 of Appendix 2, </w:t>
      </w:r>
      <w:r w:rsidRPr="00106635">
        <w:rPr>
          <w:rFonts w:ascii="Aptos" w:hAnsi="Aptos"/>
          <w:b/>
          <w:bCs/>
        </w:rPr>
        <w:t xml:space="preserve">Emerson Hospital and Atrius Health are parties to an affiliation agreement. Because of the relationship between the Center and Emerson Health, the Center provides access to preventative and diagnostic endoscopy for patients of Atrius Health’s primary care providers and gastroenterologists. This affiliation results in </w:t>
      </w:r>
      <w:r w:rsidR="005453F3" w:rsidRPr="00106635">
        <w:rPr>
          <w:rFonts w:ascii="Aptos" w:hAnsi="Aptos"/>
          <w:b/>
          <w:bCs/>
        </w:rPr>
        <w:t xml:space="preserve">the referral of </w:t>
      </w:r>
      <w:r w:rsidRPr="00106635">
        <w:rPr>
          <w:rFonts w:ascii="Aptos" w:hAnsi="Aptos"/>
          <w:b/>
          <w:bCs/>
        </w:rPr>
        <w:t xml:space="preserve">approximately 45 cases per month </w:t>
      </w:r>
      <w:r w:rsidR="005453F3" w:rsidRPr="00106635">
        <w:rPr>
          <w:rFonts w:ascii="Aptos" w:hAnsi="Aptos"/>
          <w:b/>
          <w:bCs/>
        </w:rPr>
        <w:t xml:space="preserve">to </w:t>
      </w:r>
      <w:r w:rsidRPr="00106635">
        <w:rPr>
          <w:rFonts w:ascii="Aptos" w:hAnsi="Aptos"/>
          <w:b/>
          <w:bCs/>
        </w:rPr>
        <w:t xml:space="preserve">the Center. </w:t>
      </w:r>
      <w:r w:rsidR="005453F3" w:rsidRPr="00106635">
        <w:rPr>
          <w:rFonts w:ascii="Aptos" w:hAnsi="Aptos"/>
          <w:b/>
          <w:bCs/>
        </w:rPr>
        <w:t>Beginning in late 2025</w:t>
      </w:r>
      <w:r w:rsidRPr="00106635">
        <w:rPr>
          <w:rFonts w:ascii="Aptos" w:hAnsi="Aptos"/>
          <w:b/>
          <w:bCs/>
        </w:rPr>
        <w:t xml:space="preserve">, this rate is expected to grow to approximately 75 cases per month and increase steadily in future years. </w:t>
      </w:r>
      <w:r w:rsidRPr="00106635">
        <w:rPr>
          <w:rFonts w:ascii="Aptos" w:hAnsi="Aptos"/>
          <w:b/>
          <w:bCs/>
          <w:strike/>
        </w:rPr>
        <w:t xml:space="preserve"> </w:t>
      </w:r>
    </w:p>
    <w:p w14:paraId="3531786C" w14:textId="0AC8A434" w:rsidR="00466128" w:rsidRPr="00807358" w:rsidRDefault="0026167E" w:rsidP="00807358">
      <w:pPr>
        <w:pStyle w:val="ListParagraph"/>
        <w:numPr>
          <w:ilvl w:val="1"/>
          <w:numId w:val="27"/>
        </w:numPr>
        <w:spacing w:after="120"/>
        <w:contextualSpacing w:val="0"/>
        <w:rPr>
          <w:rFonts w:ascii="Aptos" w:hAnsi="Aptos" w:cstheme="minorHAnsi"/>
        </w:rPr>
      </w:pPr>
      <w:bookmarkStart w:id="1" w:name="_Hlk201226321"/>
      <w:r w:rsidRPr="000D1251">
        <w:rPr>
          <w:rFonts w:ascii="Aptos" w:hAnsi="Aptos" w:cstheme="minorHAnsi"/>
        </w:rPr>
        <w:t>How much of the</w:t>
      </w:r>
      <w:r w:rsidR="001348C0" w:rsidRPr="000D1251">
        <w:rPr>
          <w:rFonts w:ascii="Aptos" w:hAnsi="Aptos" w:cstheme="minorHAnsi"/>
        </w:rPr>
        <w:t xml:space="preserve"> Center’s</w:t>
      </w:r>
      <w:r w:rsidRPr="000D1251">
        <w:rPr>
          <w:rFonts w:ascii="Aptos" w:hAnsi="Aptos" w:cstheme="minorHAnsi"/>
        </w:rPr>
        <w:t xml:space="preserve"> projected volume will come from the closure of NVMC, separately how much will come from referrals from Atrius Health</w:t>
      </w:r>
      <w:r w:rsidR="00774549" w:rsidRPr="000D1251">
        <w:rPr>
          <w:rFonts w:ascii="Aptos" w:hAnsi="Aptos" w:cstheme="minorHAnsi"/>
        </w:rPr>
        <w:t xml:space="preserve"> referrals</w:t>
      </w:r>
      <w:r w:rsidRPr="000D1251">
        <w:rPr>
          <w:rFonts w:ascii="Aptos" w:hAnsi="Aptos" w:cstheme="minorHAnsi"/>
        </w:rPr>
        <w:t xml:space="preserve">? </w:t>
      </w:r>
    </w:p>
    <w:p w14:paraId="51EFB9C6" w14:textId="32B18782" w:rsidR="000D1251" w:rsidRPr="00867A44" w:rsidRDefault="000D1251" w:rsidP="00867A44">
      <w:pPr>
        <w:pStyle w:val="ListParagraph"/>
        <w:spacing w:after="120" w:line="240" w:lineRule="auto"/>
        <w:ind w:left="1440"/>
        <w:contextualSpacing w:val="0"/>
        <w:rPr>
          <w:rFonts w:ascii="Aptos" w:hAnsi="Aptos" w:cstheme="minorHAnsi"/>
          <w:b/>
          <w:bCs/>
        </w:rPr>
      </w:pPr>
      <w:r>
        <w:rPr>
          <w:rFonts w:ascii="Aptos" w:hAnsi="Aptos" w:cstheme="minorHAnsi"/>
          <w:b/>
          <w:bCs/>
        </w:rPr>
        <w:t>The Applicant anticipates approximately</w:t>
      </w:r>
      <w:r w:rsidR="00261855">
        <w:rPr>
          <w:rFonts w:ascii="Aptos" w:hAnsi="Aptos" w:cstheme="minorHAnsi"/>
          <w:b/>
          <w:bCs/>
        </w:rPr>
        <w:t xml:space="preserve"> 500 – 1,000 </w:t>
      </w:r>
      <w:r>
        <w:rPr>
          <w:rFonts w:ascii="Aptos" w:hAnsi="Aptos" w:cstheme="minorHAnsi"/>
          <w:b/>
          <w:bCs/>
        </w:rPr>
        <w:t xml:space="preserve">cases will come from the closure of NVMC.  </w:t>
      </w:r>
      <w:bookmarkEnd w:id="1"/>
    </w:p>
    <w:p w14:paraId="016AC85B" w14:textId="3F789F37" w:rsidR="00C61A05" w:rsidRDefault="00FA57AC" w:rsidP="000D1251">
      <w:pPr>
        <w:pStyle w:val="ListParagraph"/>
        <w:ind w:left="1440"/>
        <w:rPr>
          <w:rFonts w:ascii="Aptos" w:hAnsi="Aptos" w:cstheme="minorHAnsi"/>
          <w:b/>
          <w:bCs/>
        </w:rPr>
      </w:pPr>
      <w:r w:rsidRPr="000D1251">
        <w:rPr>
          <w:rFonts w:ascii="Aptos" w:hAnsi="Aptos" w:cstheme="minorHAnsi"/>
          <w:b/>
          <w:bCs/>
        </w:rPr>
        <w:t xml:space="preserve">Approximately 2,000 referrals are expected from Atrius, based on requests for OR block time. </w:t>
      </w:r>
    </w:p>
    <w:p w14:paraId="15EA6C63" w14:textId="77777777" w:rsidR="000D1251" w:rsidRPr="000D1251" w:rsidRDefault="000D1251" w:rsidP="000D1251">
      <w:pPr>
        <w:pStyle w:val="ListParagraph"/>
        <w:ind w:left="1440"/>
        <w:rPr>
          <w:rFonts w:ascii="Aptos" w:hAnsi="Aptos" w:cstheme="minorHAnsi"/>
          <w:b/>
          <w:bCs/>
        </w:rPr>
      </w:pPr>
    </w:p>
    <w:p w14:paraId="50BE6BA7" w14:textId="77777777" w:rsidR="00200E76" w:rsidRPr="00466128" w:rsidRDefault="00C61A05" w:rsidP="00C61A05">
      <w:pPr>
        <w:pStyle w:val="ListParagraph"/>
        <w:numPr>
          <w:ilvl w:val="0"/>
          <w:numId w:val="27"/>
        </w:numPr>
        <w:rPr>
          <w:rFonts w:ascii="Aptos" w:hAnsi="Aptos" w:cstheme="minorHAnsi"/>
        </w:rPr>
      </w:pPr>
      <w:r w:rsidRPr="00466128">
        <w:rPr>
          <w:rFonts w:ascii="Aptos" w:hAnsi="Aptos" w:cstheme="minorHAnsi"/>
        </w:rPr>
        <w:t xml:space="preserve">The Change </w:t>
      </w:r>
      <w:proofErr w:type="gramStart"/>
      <w:r w:rsidRPr="00466128">
        <w:rPr>
          <w:rFonts w:ascii="Aptos" w:hAnsi="Aptos" w:cstheme="minorHAnsi"/>
        </w:rPr>
        <w:t>In</w:t>
      </w:r>
      <w:proofErr w:type="gramEnd"/>
      <w:r w:rsidRPr="00466128">
        <w:rPr>
          <w:rFonts w:ascii="Aptos" w:hAnsi="Aptos" w:cstheme="minorHAnsi"/>
        </w:rPr>
        <w:t xml:space="preserve"> Service Form indicates that the Proposed Project will include 6 “Pre/Post Operative beds”. </w:t>
      </w:r>
    </w:p>
    <w:p w14:paraId="1238333B" w14:textId="23B030B4" w:rsidR="001353D6" w:rsidRPr="00867A44" w:rsidRDefault="00C61A05"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Are the pre</w:t>
      </w:r>
      <w:r w:rsidR="00200E76" w:rsidRPr="00867A44">
        <w:rPr>
          <w:rFonts w:ascii="Aptos" w:hAnsi="Aptos" w:cstheme="minorHAnsi"/>
        </w:rPr>
        <w:t>/</w:t>
      </w:r>
      <w:r w:rsidRPr="00867A44">
        <w:rPr>
          <w:rFonts w:ascii="Aptos" w:hAnsi="Aptos" w:cstheme="minorHAnsi"/>
        </w:rPr>
        <w:t>post op beds going to be used interchangeably?</w:t>
      </w:r>
    </w:p>
    <w:p w14:paraId="155D0857" w14:textId="4558FABF" w:rsidR="001353D6" w:rsidRPr="00867A44" w:rsidRDefault="001353D6" w:rsidP="00807358">
      <w:pPr>
        <w:pStyle w:val="ListParagraph"/>
        <w:spacing w:after="120"/>
        <w:ind w:left="1440"/>
        <w:contextualSpacing w:val="0"/>
        <w:rPr>
          <w:rFonts w:ascii="Aptos" w:hAnsi="Aptos" w:cstheme="minorHAnsi"/>
          <w:b/>
          <w:bCs/>
        </w:rPr>
      </w:pPr>
      <w:r w:rsidRPr="00867A44">
        <w:rPr>
          <w:rFonts w:ascii="Aptos" w:hAnsi="Aptos" w:cstheme="minorHAnsi"/>
          <w:b/>
          <w:bCs/>
        </w:rPr>
        <w:t>Please note the Change in Service Form indicates the Proposed Project will include three (3) pre/post operative care bays.</w:t>
      </w:r>
    </w:p>
    <w:p w14:paraId="3943AD48" w14:textId="3D86FF41" w:rsidR="002D7BFC" w:rsidRPr="00867A44" w:rsidRDefault="001353D6" w:rsidP="00867A44">
      <w:pPr>
        <w:pStyle w:val="ListParagraph"/>
        <w:spacing w:after="120"/>
        <w:ind w:left="1440"/>
        <w:contextualSpacing w:val="0"/>
        <w:rPr>
          <w:rFonts w:ascii="Aptos" w:hAnsi="Aptos" w:cstheme="minorHAnsi"/>
          <w:b/>
          <w:bCs/>
        </w:rPr>
      </w:pPr>
      <w:r w:rsidRPr="00867A44">
        <w:rPr>
          <w:rFonts w:ascii="Aptos" w:hAnsi="Aptos" w:cstheme="minorHAnsi"/>
          <w:b/>
          <w:bCs/>
        </w:rPr>
        <w:t xml:space="preserve">Yes, these bays are used interchangeably for pre-operative and post-operative care. </w:t>
      </w:r>
    </w:p>
    <w:p w14:paraId="79026693" w14:textId="77777777" w:rsidR="00867A44" w:rsidRPr="00867A44" w:rsidRDefault="002D7BFC" w:rsidP="00867A44">
      <w:pPr>
        <w:pStyle w:val="ListParagraph"/>
        <w:numPr>
          <w:ilvl w:val="0"/>
          <w:numId w:val="27"/>
        </w:numPr>
        <w:rPr>
          <w:rFonts w:ascii="Aptos" w:hAnsi="Aptos" w:cstheme="minorHAnsi"/>
        </w:rPr>
      </w:pPr>
      <w:bookmarkStart w:id="2" w:name="_Hlk201840266"/>
      <w:r w:rsidRPr="00867A44">
        <w:rPr>
          <w:rFonts w:ascii="Aptos" w:hAnsi="Aptos" w:cstheme="minorHAnsi"/>
        </w:rPr>
        <w:t>How many physicians are currently on staff</w:t>
      </w:r>
      <w:r w:rsidR="001348C0" w:rsidRPr="00867A44">
        <w:rPr>
          <w:rFonts w:ascii="Aptos" w:hAnsi="Aptos" w:cstheme="minorHAnsi"/>
        </w:rPr>
        <w:t xml:space="preserve"> at the Center</w:t>
      </w:r>
      <w:r w:rsidRPr="00867A44">
        <w:rPr>
          <w:rFonts w:ascii="Aptos" w:hAnsi="Aptos" w:cstheme="minorHAnsi"/>
        </w:rPr>
        <w:t xml:space="preserve">? </w:t>
      </w:r>
    </w:p>
    <w:p w14:paraId="3B62B6AD" w14:textId="11A817CD" w:rsidR="00867A44" w:rsidRPr="00867A44" w:rsidRDefault="00867A44" w:rsidP="00867A44">
      <w:pPr>
        <w:pStyle w:val="ListParagraph"/>
        <w:spacing w:after="120" w:line="240" w:lineRule="auto"/>
        <w:contextualSpacing w:val="0"/>
        <w:rPr>
          <w:rFonts w:ascii="Aptos" w:hAnsi="Aptos" w:cstheme="minorHAnsi"/>
          <w:b/>
          <w:bCs/>
        </w:rPr>
      </w:pPr>
      <w:r w:rsidRPr="00867A44">
        <w:rPr>
          <w:rFonts w:ascii="Aptos" w:hAnsi="Aptos"/>
          <w:b/>
          <w:bCs/>
        </w:rPr>
        <w:t>There are currently eight (8) physicians with privileges at the Center.</w:t>
      </w:r>
    </w:p>
    <w:p w14:paraId="5BDB99BF" w14:textId="12D1AAC5" w:rsidR="002D7BFC" w:rsidRPr="00867A44" w:rsidRDefault="002D7BFC" w:rsidP="002D7BFC">
      <w:pPr>
        <w:pStyle w:val="ListParagraph"/>
        <w:numPr>
          <w:ilvl w:val="1"/>
          <w:numId w:val="27"/>
        </w:numPr>
        <w:rPr>
          <w:rFonts w:ascii="Aptos" w:hAnsi="Aptos" w:cstheme="minorHAnsi"/>
        </w:rPr>
      </w:pPr>
      <w:r w:rsidRPr="00867A44">
        <w:rPr>
          <w:rFonts w:ascii="Aptos" w:hAnsi="Aptos" w:cstheme="minorHAnsi"/>
        </w:rPr>
        <w:t xml:space="preserve">Are additional staff needed to support </w:t>
      </w:r>
      <w:r w:rsidR="003F5831" w:rsidRPr="00867A44">
        <w:rPr>
          <w:rFonts w:ascii="Aptos" w:hAnsi="Aptos" w:cstheme="minorHAnsi"/>
        </w:rPr>
        <w:t xml:space="preserve">the proposed </w:t>
      </w:r>
      <w:r w:rsidRPr="00867A44">
        <w:rPr>
          <w:rFonts w:ascii="Aptos" w:hAnsi="Aptos" w:cstheme="minorHAnsi"/>
        </w:rPr>
        <w:t xml:space="preserve">increase in procedure rooms and pre/post op beds? </w:t>
      </w:r>
    </w:p>
    <w:p w14:paraId="439BED33" w14:textId="09AD27C0" w:rsidR="00B164E8" w:rsidRDefault="00B164E8" w:rsidP="00B164E8">
      <w:pPr>
        <w:ind w:left="1440"/>
        <w:rPr>
          <w:rFonts w:ascii="Aptos" w:hAnsi="Aptos" w:cstheme="minorHAnsi"/>
          <w:b/>
          <w:bCs/>
        </w:rPr>
      </w:pPr>
      <w:r w:rsidRPr="00466128">
        <w:rPr>
          <w:rFonts w:ascii="Aptos" w:hAnsi="Aptos" w:cstheme="minorHAnsi"/>
          <w:b/>
          <w:bCs/>
        </w:rPr>
        <w:t xml:space="preserve">With the additional procedure room, two (2) Registered Nurses and 1.5 Endoscopy Techs will be needed. </w:t>
      </w:r>
    </w:p>
    <w:p w14:paraId="0F77B4ED" w14:textId="10D848F2" w:rsidR="00867A44" w:rsidRPr="00466128" w:rsidRDefault="00867A44" w:rsidP="00867A44">
      <w:pPr>
        <w:ind w:left="1440"/>
        <w:jc w:val="both"/>
        <w:rPr>
          <w:rFonts w:ascii="Aptos" w:hAnsi="Aptos" w:cstheme="minorHAnsi"/>
          <w:b/>
          <w:bCs/>
        </w:rPr>
      </w:pPr>
      <w:r>
        <w:rPr>
          <w:rFonts w:ascii="Aptos" w:hAnsi="Aptos" w:cstheme="minorHAnsi"/>
          <w:b/>
          <w:bCs/>
        </w:rPr>
        <w:t>With respect to physicians, t</w:t>
      </w:r>
      <w:r w:rsidRPr="00867A44">
        <w:rPr>
          <w:rFonts w:ascii="Aptos" w:hAnsi="Aptos" w:cstheme="minorHAnsi"/>
          <w:b/>
          <w:bCs/>
        </w:rPr>
        <w:t xml:space="preserve">he Center </w:t>
      </w:r>
      <w:r w:rsidR="00106635">
        <w:rPr>
          <w:rFonts w:ascii="Aptos" w:hAnsi="Aptos" w:cstheme="minorHAnsi"/>
          <w:b/>
          <w:bCs/>
        </w:rPr>
        <w:t>doesn’t hire or employ</w:t>
      </w:r>
      <w:r w:rsidRPr="00867A44">
        <w:rPr>
          <w:rFonts w:ascii="Aptos" w:hAnsi="Aptos" w:cstheme="minorHAnsi"/>
          <w:b/>
          <w:bCs/>
        </w:rPr>
        <w:t xml:space="preserve"> physicians</w:t>
      </w:r>
      <w:r w:rsidR="00106635">
        <w:rPr>
          <w:rFonts w:ascii="Aptos" w:hAnsi="Aptos" w:cstheme="minorHAnsi"/>
          <w:b/>
          <w:bCs/>
        </w:rPr>
        <w:t>. Rather, it provides procedural block time to physicians with privileges</w:t>
      </w:r>
      <w:r w:rsidRPr="00867A44">
        <w:rPr>
          <w:rFonts w:ascii="Aptos" w:hAnsi="Aptos" w:cstheme="minorHAnsi"/>
          <w:b/>
          <w:bCs/>
        </w:rPr>
        <w:t xml:space="preserve">. </w:t>
      </w:r>
      <w:r w:rsidR="00106635">
        <w:rPr>
          <w:rFonts w:ascii="Aptos" w:hAnsi="Aptos" w:cstheme="minorHAnsi"/>
          <w:b/>
          <w:bCs/>
        </w:rPr>
        <w:t>Recently the GI</w:t>
      </w:r>
      <w:r>
        <w:rPr>
          <w:rFonts w:ascii="Aptos" w:hAnsi="Aptos" w:cstheme="minorHAnsi"/>
          <w:b/>
          <w:bCs/>
        </w:rPr>
        <w:t xml:space="preserve"> practices that are affiliated with the Center have</w:t>
      </w:r>
      <w:r w:rsidRPr="00867A44">
        <w:rPr>
          <w:rFonts w:ascii="Aptos" w:hAnsi="Aptos" w:cstheme="minorHAnsi"/>
          <w:b/>
          <w:bCs/>
        </w:rPr>
        <w:t xml:space="preserve"> hir</w:t>
      </w:r>
      <w:r>
        <w:rPr>
          <w:rFonts w:ascii="Aptos" w:hAnsi="Aptos" w:cstheme="minorHAnsi"/>
          <w:b/>
          <w:bCs/>
        </w:rPr>
        <w:t>ed</w:t>
      </w:r>
      <w:r w:rsidRPr="00867A44">
        <w:rPr>
          <w:rFonts w:ascii="Aptos" w:hAnsi="Aptos" w:cstheme="minorHAnsi"/>
          <w:b/>
          <w:bCs/>
        </w:rPr>
        <w:t xml:space="preserve"> physicians</w:t>
      </w:r>
      <w:r>
        <w:rPr>
          <w:rFonts w:ascii="Aptos" w:hAnsi="Aptos" w:cstheme="minorHAnsi"/>
          <w:b/>
          <w:bCs/>
        </w:rPr>
        <w:t xml:space="preserve"> who </w:t>
      </w:r>
      <w:r w:rsidR="00106635">
        <w:rPr>
          <w:rFonts w:ascii="Aptos" w:hAnsi="Aptos" w:cstheme="minorHAnsi"/>
          <w:b/>
          <w:bCs/>
        </w:rPr>
        <w:t>have requested</w:t>
      </w:r>
      <w:r>
        <w:rPr>
          <w:rFonts w:ascii="Aptos" w:hAnsi="Aptos" w:cstheme="minorHAnsi"/>
          <w:b/>
          <w:bCs/>
        </w:rPr>
        <w:t xml:space="preserve"> OR time for their patients. </w:t>
      </w:r>
      <w:r w:rsidR="00106635">
        <w:rPr>
          <w:rFonts w:ascii="Aptos" w:hAnsi="Aptos" w:cstheme="minorHAnsi"/>
          <w:b/>
          <w:bCs/>
        </w:rPr>
        <w:t>A</w:t>
      </w:r>
      <w:r w:rsidRPr="00867A44">
        <w:rPr>
          <w:rFonts w:ascii="Aptos" w:hAnsi="Aptos" w:cstheme="minorHAnsi"/>
          <w:b/>
          <w:bCs/>
        </w:rPr>
        <w:t xml:space="preserve"> total of three providers have been hired – two by Emerson</w:t>
      </w:r>
      <w:r>
        <w:rPr>
          <w:rFonts w:ascii="Aptos" w:hAnsi="Aptos" w:cstheme="minorHAnsi"/>
          <w:b/>
          <w:bCs/>
        </w:rPr>
        <w:t xml:space="preserve"> Health’s </w:t>
      </w:r>
      <w:r w:rsidR="00106635">
        <w:rPr>
          <w:rFonts w:ascii="Aptos" w:hAnsi="Aptos" w:cstheme="minorHAnsi"/>
          <w:b/>
          <w:bCs/>
        </w:rPr>
        <w:t>GI</w:t>
      </w:r>
      <w:r>
        <w:rPr>
          <w:rFonts w:ascii="Aptos" w:hAnsi="Aptos" w:cstheme="minorHAnsi"/>
          <w:b/>
          <w:bCs/>
        </w:rPr>
        <w:t xml:space="preserve"> group</w:t>
      </w:r>
      <w:r w:rsidRPr="00867A44">
        <w:rPr>
          <w:rFonts w:ascii="Aptos" w:hAnsi="Aptos" w:cstheme="minorHAnsi"/>
          <w:b/>
          <w:bCs/>
        </w:rPr>
        <w:t xml:space="preserve"> and one by Atrius. </w:t>
      </w:r>
      <w:r w:rsidR="00106635">
        <w:rPr>
          <w:rFonts w:ascii="Aptos" w:hAnsi="Aptos" w:cstheme="minorHAnsi"/>
          <w:b/>
          <w:bCs/>
        </w:rPr>
        <w:t xml:space="preserve">Given current </w:t>
      </w:r>
      <w:r w:rsidR="00106635">
        <w:rPr>
          <w:rFonts w:ascii="Aptos" w:hAnsi="Aptos" w:cstheme="minorHAnsi"/>
          <w:b/>
          <w:bCs/>
        </w:rPr>
        <w:lastRenderedPageBreak/>
        <w:t xml:space="preserve">utilization, the Center does not have available block time to accommodate these requests, thus contributing to a backlog of cases. </w:t>
      </w:r>
    </w:p>
    <w:bookmarkEnd w:id="2"/>
    <w:p w14:paraId="12A625AE" w14:textId="3A908AB4" w:rsidR="002D7BFC" w:rsidRPr="00466128" w:rsidRDefault="002D7BFC" w:rsidP="002D7BFC">
      <w:pPr>
        <w:pStyle w:val="ListParagraph"/>
        <w:numPr>
          <w:ilvl w:val="1"/>
          <w:numId w:val="27"/>
        </w:numPr>
        <w:rPr>
          <w:rFonts w:ascii="Aptos" w:hAnsi="Aptos" w:cstheme="minorHAnsi"/>
        </w:rPr>
      </w:pPr>
      <w:r w:rsidRPr="00466128">
        <w:rPr>
          <w:rFonts w:ascii="Aptos" w:hAnsi="Aptos" w:cstheme="minorHAnsi"/>
        </w:rPr>
        <w:t xml:space="preserve">If so, where will new </w:t>
      </w:r>
      <w:r w:rsidR="005C4EA9" w:rsidRPr="00466128">
        <w:rPr>
          <w:rFonts w:ascii="Aptos" w:hAnsi="Aptos" w:cstheme="minorHAnsi"/>
        </w:rPr>
        <w:t xml:space="preserve">staff </w:t>
      </w:r>
      <w:r w:rsidRPr="00466128">
        <w:rPr>
          <w:rFonts w:ascii="Aptos" w:hAnsi="Aptos" w:cstheme="minorHAnsi"/>
        </w:rPr>
        <w:t>come from?</w:t>
      </w:r>
    </w:p>
    <w:p w14:paraId="4A923B72" w14:textId="305E8D3C" w:rsidR="00B164E8" w:rsidRPr="00466128" w:rsidRDefault="00B164E8" w:rsidP="00867A44">
      <w:pPr>
        <w:pStyle w:val="ListParagraph"/>
        <w:ind w:left="1440"/>
        <w:jc w:val="both"/>
        <w:rPr>
          <w:rFonts w:ascii="Aptos" w:hAnsi="Aptos" w:cstheme="minorHAnsi"/>
          <w:b/>
          <w:bCs/>
        </w:rPr>
      </w:pPr>
      <w:r w:rsidRPr="00466128">
        <w:rPr>
          <w:rFonts w:ascii="Aptos" w:hAnsi="Aptos" w:cstheme="minorHAnsi"/>
          <w:b/>
          <w:bCs/>
        </w:rPr>
        <w:t>The Center will recruit for these new positions through job postings on</w:t>
      </w:r>
      <w:r w:rsidR="007D1427" w:rsidRPr="00466128">
        <w:rPr>
          <w:rFonts w:ascii="Aptos" w:hAnsi="Aptos" w:cstheme="minorHAnsi"/>
          <w:b/>
          <w:bCs/>
        </w:rPr>
        <w:t xml:space="preserve"> its internal websites (</w:t>
      </w:r>
      <w:r w:rsidRPr="00466128">
        <w:rPr>
          <w:rFonts w:ascii="Aptos" w:hAnsi="Aptos" w:cstheme="minorHAnsi"/>
          <w:b/>
          <w:bCs/>
        </w:rPr>
        <w:t>SCA Surgery and Emerson Health</w:t>
      </w:r>
      <w:r w:rsidR="007D1427" w:rsidRPr="00466128">
        <w:rPr>
          <w:rFonts w:ascii="Aptos" w:hAnsi="Aptos" w:cstheme="minorHAnsi"/>
          <w:b/>
          <w:bCs/>
        </w:rPr>
        <w:t xml:space="preserve">) </w:t>
      </w:r>
      <w:r w:rsidR="00705D20" w:rsidRPr="00466128">
        <w:rPr>
          <w:rFonts w:ascii="Aptos" w:hAnsi="Aptos" w:cstheme="minorHAnsi"/>
          <w:b/>
          <w:bCs/>
        </w:rPr>
        <w:t xml:space="preserve">and external </w:t>
      </w:r>
      <w:r w:rsidRPr="00466128">
        <w:rPr>
          <w:rFonts w:ascii="Aptos" w:hAnsi="Aptos" w:cstheme="minorHAnsi"/>
          <w:b/>
          <w:bCs/>
        </w:rPr>
        <w:t xml:space="preserve">job boards </w:t>
      </w:r>
      <w:r w:rsidR="00705D20" w:rsidRPr="00466128">
        <w:rPr>
          <w:rFonts w:ascii="Aptos" w:hAnsi="Aptos" w:cstheme="minorHAnsi"/>
          <w:b/>
          <w:bCs/>
        </w:rPr>
        <w:t xml:space="preserve">such as Indeed. </w:t>
      </w:r>
    </w:p>
    <w:p w14:paraId="3C4A19A2" w14:textId="73921B11" w:rsidR="00332060" w:rsidRPr="009A3FFE" w:rsidRDefault="00BC0A97" w:rsidP="00A3256A">
      <w:pPr>
        <w:rPr>
          <w:rFonts w:ascii="Aptos" w:hAnsi="Aptos" w:cstheme="minorHAnsi"/>
          <w:u w:val="single"/>
        </w:rPr>
      </w:pPr>
      <w:r w:rsidRPr="009A3FFE">
        <w:rPr>
          <w:rFonts w:ascii="Aptos" w:hAnsi="Aptos" w:cstheme="minorHAnsi"/>
          <w:u w:val="single"/>
        </w:rPr>
        <w:t>F</w:t>
      </w:r>
      <w:r w:rsidR="00332060" w:rsidRPr="009A3FFE">
        <w:rPr>
          <w:rFonts w:ascii="Aptos" w:hAnsi="Aptos" w:cstheme="minorHAnsi"/>
          <w:u w:val="single"/>
        </w:rPr>
        <w:t xml:space="preserve">actor 1b: Public Health Value </w:t>
      </w:r>
    </w:p>
    <w:p w14:paraId="1750E57C" w14:textId="71C0BF6E" w:rsidR="00A3256A" w:rsidRPr="000D1251" w:rsidRDefault="00A3256A" w:rsidP="00332060">
      <w:pPr>
        <w:pStyle w:val="ListParagraph"/>
        <w:numPr>
          <w:ilvl w:val="0"/>
          <w:numId w:val="27"/>
        </w:numPr>
        <w:rPr>
          <w:rFonts w:ascii="Aptos" w:hAnsi="Aptos" w:cstheme="minorHAnsi"/>
        </w:rPr>
      </w:pPr>
      <w:r w:rsidRPr="000D1251">
        <w:rPr>
          <w:rFonts w:ascii="Aptos" w:hAnsi="Aptos" w:cstheme="minorHAnsi"/>
        </w:rPr>
        <w:t xml:space="preserve">Table 3: </w:t>
      </w:r>
      <w:proofErr w:type="gramStart"/>
      <w:r w:rsidRPr="000D1251">
        <w:rPr>
          <w:rFonts w:ascii="Aptos" w:hAnsi="Aptos" w:cstheme="minorHAnsi"/>
        </w:rPr>
        <w:t>Patient Panel Payer mix,</w:t>
      </w:r>
      <w:proofErr w:type="gramEnd"/>
      <w:r w:rsidRPr="000D1251">
        <w:rPr>
          <w:rFonts w:ascii="Aptos" w:hAnsi="Aptos" w:cstheme="minorHAnsi"/>
        </w:rPr>
        <w:t xml:space="preserve"> shows a decrease in the Applicant’s Medicaid percentage in its payer mix since 2022, and 0% Medicaid percentage in 2023. </w:t>
      </w:r>
    </w:p>
    <w:p w14:paraId="234EB50E" w14:textId="2C5CA498" w:rsidR="000451DE" w:rsidRPr="00807358" w:rsidRDefault="00025D1B" w:rsidP="00807358">
      <w:pPr>
        <w:pStyle w:val="ListParagraph"/>
        <w:numPr>
          <w:ilvl w:val="1"/>
          <w:numId w:val="27"/>
        </w:numPr>
        <w:spacing w:after="120"/>
        <w:contextualSpacing w:val="0"/>
        <w:rPr>
          <w:rFonts w:ascii="Aptos" w:hAnsi="Aptos" w:cstheme="minorHAnsi"/>
        </w:rPr>
      </w:pPr>
      <w:r w:rsidRPr="000D1251">
        <w:rPr>
          <w:rFonts w:ascii="Aptos" w:hAnsi="Aptos" w:cstheme="minorHAnsi"/>
        </w:rPr>
        <w:t>Explain the reason for the decrease in the Medicaid percentage</w:t>
      </w:r>
      <w:r w:rsidR="000043A5" w:rsidRPr="000D1251">
        <w:rPr>
          <w:rFonts w:ascii="Aptos" w:hAnsi="Aptos" w:cstheme="minorHAnsi"/>
        </w:rPr>
        <w:t xml:space="preserve"> in the Applicant’s payer-mix</w:t>
      </w:r>
      <w:r w:rsidR="000A4B26" w:rsidRPr="000D1251">
        <w:rPr>
          <w:rFonts w:ascii="Aptos" w:hAnsi="Aptos" w:cstheme="minorHAnsi"/>
        </w:rPr>
        <w:t xml:space="preserve"> since 2022</w:t>
      </w:r>
      <w:r w:rsidR="000043A5" w:rsidRPr="000D1251">
        <w:rPr>
          <w:rFonts w:ascii="Aptos" w:hAnsi="Aptos" w:cstheme="minorHAnsi"/>
        </w:rPr>
        <w:t>, alongside concurrent increases in the Commercial percentage.</w:t>
      </w:r>
    </w:p>
    <w:p w14:paraId="022E77E4" w14:textId="66D50E80" w:rsidR="000451DE" w:rsidRPr="000D1251" w:rsidRDefault="000451DE" w:rsidP="00FF5614">
      <w:pPr>
        <w:pStyle w:val="ListParagraph"/>
        <w:ind w:left="1440"/>
        <w:jc w:val="both"/>
        <w:rPr>
          <w:rFonts w:ascii="Aptos" w:hAnsi="Aptos" w:cstheme="minorHAnsi"/>
          <w:b/>
          <w:bCs/>
        </w:rPr>
      </w:pPr>
      <w:r w:rsidRPr="000D1251">
        <w:rPr>
          <w:rFonts w:ascii="Aptos" w:hAnsi="Aptos" w:cstheme="minorHAnsi"/>
          <w:b/>
          <w:bCs/>
        </w:rPr>
        <w:t xml:space="preserve">The largest driver of this shift has been the recent change </w:t>
      </w:r>
      <w:r w:rsidR="000C693E" w:rsidRPr="000D1251">
        <w:rPr>
          <w:rFonts w:ascii="Aptos" w:hAnsi="Aptos" w:cstheme="minorHAnsi"/>
          <w:b/>
          <w:bCs/>
        </w:rPr>
        <w:t>in</w:t>
      </w:r>
      <w:r w:rsidRPr="000D1251">
        <w:rPr>
          <w:rFonts w:ascii="Aptos" w:hAnsi="Aptos" w:cstheme="minorHAnsi"/>
          <w:b/>
          <w:bCs/>
        </w:rPr>
        <w:t xml:space="preserve"> screening guidelines which reduced the recommended age for screening colonoscopy from 50 to 45</w:t>
      </w:r>
      <w:r w:rsidR="000D1251" w:rsidRPr="000D1251">
        <w:rPr>
          <w:rFonts w:ascii="Aptos" w:hAnsi="Aptos" w:cstheme="minorHAnsi"/>
          <w:b/>
          <w:bCs/>
        </w:rPr>
        <w:t xml:space="preserve">, which lead to a significant increase in the percentage of patients aged 18-49 in 2024 compared to 2022.  </w:t>
      </w:r>
      <w:r w:rsidR="00CC7321">
        <w:rPr>
          <w:rFonts w:ascii="Aptos" w:hAnsi="Aptos" w:cstheme="minorHAnsi"/>
          <w:b/>
          <w:bCs/>
        </w:rPr>
        <w:t xml:space="preserve">Given that </w:t>
      </w:r>
      <w:proofErr w:type="gramStart"/>
      <w:r w:rsidR="00CC7321">
        <w:rPr>
          <w:rFonts w:ascii="Aptos" w:hAnsi="Aptos" w:cstheme="minorHAnsi"/>
          <w:b/>
          <w:bCs/>
        </w:rPr>
        <w:t>the majority of</w:t>
      </w:r>
      <w:proofErr w:type="gramEnd"/>
      <w:r w:rsidR="00CC7321">
        <w:rPr>
          <w:rFonts w:ascii="Aptos" w:hAnsi="Aptos" w:cstheme="minorHAnsi"/>
          <w:b/>
          <w:bCs/>
        </w:rPr>
        <w:t xml:space="preserve"> patients in this age group have commercial insurance, there was an increase in commercial payer mix and a corresponding decrease among other payers. As noted in the response to #2, the Medicaid percentage did drop in </w:t>
      </w:r>
      <w:r w:rsidR="00BA32A5">
        <w:rPr>
          <w:rFonts w:ascii="Aptos" w:hAnsi="Aptos" w:cstheme="minorHAnsi"/>
          <w:b/>
          <w:bCs/>
        </w:rPr>
        <w:t>2024 but</w:t>
      </w:r>
      <w:r w:rsidR="00CC7321">
        <w:rPr>
          <w:rFonts w:ascii="Aptos" w:hAnsi="Aptos" w:cstheme="minorHAnsi"/>
          <w:b/>
          <w:bCs/>
        </w:rPr>
        <w:t xml:space="preserve"> was incorrectly noted in the application and was in fact 1.9% for the year. </w:t>
      </w:r>
    </w:p>
    <w:p w14:paraId="05499114" w14:textId="77777777" w:rsidR="00FA57AC" w:rsidRPr="00466128" w:rsidRDefault="00FA57AC" w:rsidP="00FA57AC">
      <w:pPr>
        <w:pStyle w:val="ListParagraph"/>
        <w:rPr>
          <w:rFonts w:ascii="Aptos" w:hAnsi="Aptos" w:cstheme="minorHAnsi"/>
        </w:rPr>
      </w:pPr>
    </w:p>
    <w:p w14:paraId="0DA65AA4" w14:textId="0F9DD453" w:rsidR="00FA57AC" w:rsidRPr="00807358" w:rsidRDefault="00025D1B" w:rsidP="00807358">
      <w:pPr>
        <w:pStyle w:val="ListParagraph"/>
        <w:numPr>
          <w:ilvl w:val="1"/>
          <w:numId w:val="27"/>
        </w:numPr>
        <w:spacing w:after="120"/>
        <w:contextualSpacing w:val="0"/>
        <w:rPr>
          <w:rFonts w:ascii="Aptos" w:hAnsi="Aptos" w:cstheme="minorHAnsi"/>
        </w:rPr>
      </w:pPr>
      <w:r w:rsidRPr="00466128">
        <w:rPr>
          <w:rFonts w:ascii="Aptos" w:hAnsi="Aptos" w:cstheme="minorHAnsi"/>
        </w:rPr>
        <w:t xml:space="preserve">Describe </w:t>
      </w:r>
      <w:r w:rsidR="003F5831" w:rsidRPr="00466128">
        <w:rPr>
          <w:rFonts w:ascii="Aptos" w:hAnsi="Aptos" w:cstheme="minorHAnsi"/>
        </w:rPr>
        <w:t>any</w:t>
      </w:r>
      <w:r w:rsidRPr="00466128">
        <w:rPr>
          <w:rFonts w:ascii="Aptos" w:hAnsi="Aptos" w:cstheme="minorHAnsi"/>
        </w:rPr>
        <w:t xml:space="preserve"> initiatives that Applicant is using to increase MassHealth in its payer mix, and the results of such efforts. </w:t>
      </w:r>
    </w:p>
    <w:p w14:paraId="2ED35884" w14:textId="66458E81" w:rsidR="00FA57AC" w:rsidRPr="00FA57AC" w:rsidRDefault="000D1251" w:rsidP="00FF5614">
      <w:pPr>
        <w:pStyle w:val="ListParagraph"/>
        <w:ind w:left="1440"/>
        <w:jc w:val="both"/>
        <w:rPr>
          <w:rFonts w:ascii="Aptos" w:hAnsi="Aptos" w:cstheme="minorHAnsi"/>
          <w:b/>
          <w:bCs/>
        </w:rPr>
      </w:pPr>
      <w:r>
        <w:rPr>
          <w:rFonts w:ascii="Aptos" w:hAnsi="Aptos" w:cstheme="minorHAnsi"/>
          <w:b/>
          <w:bCs/>
        </w:rPr>
        <w:t>To increase the number of MassHealth patients served at the Center, th</w:t>
      </w:r>
      <w:r w:rsidR="00FA57AC">
        <w:rPr>
          <w:rFonts w:ascii="Aptos" w:hAnsi="Aptos" w:cstheme="minorHAnsi"/>
          <w:b/>
          <w:bCs/>
        </w:rPr>
        <w:t xml:space="preserve">e </w:t>
      </w:r>
      <w:r>
        <w:rPr>
          <w:rFonts w:ascii="Aptos" w:hAnsi="Aptos" w:cstheme="minorHAnsi"/>
          <w:b/>
          <w:bCs/>
        </w:rPr>
        <w:t xml:space="preserve">Applicant </w:t>
      </w:r>
      <w:r w:rsidR="00FA57AC">
        <w:rPr>
          <w:rFonts w:ascii="Aptos" w:hAnsi="Aptos" w:cstheme="minorHAnsi"/>
          <w:b/>
          <w:bCs/>
        </w:rPr>
        <w:t>is currently planning to implement an open access referral system which would allow patients to call the Center directly to request an appointment</w:t>
      </w:r>
      <w:r w:rsidR="00941336">
        <w:rPr>
          <w:rFonts w:ascii="Aptos" w:hAnsi="Aptos" w:cstheme="minorHAnsi"/>
          <w:b/>
          <w:bCs/>
        </w:rPr>
        <w:t xml:space="preserve"> without a GI referral</w:t>
      </w:r>
      <w:r w:rsidR="00FA57AC">
        <w:rPr>
          <w:rFonts w:ascii="Aptos" w:hAnsi="Aptos" w:cstheme="minorHAnsi"/>
          <w:b/>
          <w:bCs/>
        </w:rPr>
        <w:t xml:space="preserve">. Patients will be screened for certain criteria </w:t>
      </w:r>
      <w:r w:rsidR="005453F3">
        <w:rPr>
          <w:rFonts w:ascii="Aptos" w:hAnsi="Aptos" w:cstheme="minorHAnsi"/>
          <w:b/>
          <w:bCs/>
        </w:rPr>
        <w:t>to</w:t>
      </w:r>
      <w:r w:rsidR="00FA57AC">
        <w:rPr>
          <w:rFonts w:ascii="Aptos" w:hAnsi="Aptos" w:cstheme="minorHAnsi"/>
          <w:b/>
          <w:bCs/>
        </w:rPr>
        <w:t xml:space="preserve"> determine which patients are eligible for a colonoscopy without a physician referral. </w:t>
      </w:r>
    </w:p>
    <w:p w14:paraId="41AB943B" w14:textId="77777777" w:rsidR="00FA57AC" w:rsidRPr="00466128" w:rsidRDefault="00FA57AC" w:rsidP="00FA57AC">
      <w:pPr>
        <w:pStyle w:val="ListParagraph"/>
        <w:ind w:left="1440"/>
        <w:rPr>
          <w:rFonts w:ascii="Aptos" w:hAnsi="Aptos" w:cstheme="minorHAnsi"/>
        </w:rPr>
      </w:pPr>
    </w:p>
    <w:p w14:paraId="1134B92C" w14:textId="32A59F9A" w:rsidR="00025D1B" w:rsidRPr="00466128" w:rsidRDefault="00025D1B" w:rsidP="00332060">
      <w:pPr>
        <w:pStyle w:val="ListParagraph"/>
        <w:numPr>
          <w:ilvl w:val="1"/>
          <w:numId w:val="27"/>
        </w:numPr>
        <w:rPr>
          <w:rFonts w:ascii="Aptos" w:hAnsi="Aptos" w:cstheme="minorHAnsi"/>
        </w:rPr>
      </w:pPr>
      <w:r w:rsidRPr="00466128">
        <w:rPr>
          <w:rFonts w:ascii="Aptos" w:hAnsi="Aptos" w:cstheme="minorHAnsi"/>
        </w:rPr>
        <w:t xml:space="preserve">Do all providers at the </w:t>
      </w:r>
      <w:r w:rsidR="005C577D" w:rsidRPr="00466128">
        <w:rPr>
          <w:rFonts w:ascii="Aptos" w:hAnsi="Aptos" w:cstheme="minorHAnsi"/>
        </w:rPr>
        <w:t>Center</w:t>
      </w:r>
      <w:r w:rsidRPr="00466128">
        <w:rPr>
          <w:rFonts w:ascii="Aptos" w:hAnsi="Aptos" w:cstheme="minorHAnsi"/>
        </w:rPr>
        <w:t xml:space="preserve"> accept Mass</w:t>
      </w:r>
      <w:r w:rsidR="0071227F" w:rsidRPr="00466128">
        <w:rPr>
          <w:rFonts w:ascii="Aptos" w:hAnsi="Aptos" w:cstheme="minorHAnsi"/>
        </w:rPr>
        <w:t>H</w:t>
      </w:r>
      <w:r w:rsidRPr="00466128">
        <w:rPr>
          <w:rFonts w:ascii="Aptos" w:hAnsi="Aptos" w:cstheme="minorHAnsi"/>
        </w:rPr>
        <w:t>ealth?</w:t>
      </w:r>
      <w:r w:rsidR="00CA0107" w:rsidRPr="00466128">
        <w:rPr>
          <w:rFonts w:ascii="Aptos" w:hAnsi="Aptos" w:cstheme="minorHAnsi"/>
        </w:rPr>
        <w:t xml:space="preserve"> </w:t>
      </w:r>
      <w:r w:rsidR="00CA0107" w:rsidRPr="00466128">
        <w:rPr>
          <w:rFonts w:ascii="Aptos" w:hAnsi="Aptos" w:cstheme="minorHAnsi"/>
          <w:b/>
          <w:bCs/>
        </w:rPr>
        <w:t>Yes</w:t>
      </w:r>
    </w:p>
    <w:p w14:paraId="605D4F60" w14:textId="77777777" w:rsidR="00E405DF" w:rsidRPr="00466128" w:rsidRDefault="00E405DF" w:rsidP="00E405DF">
      <w:pPr>
        <w:pStyle w:val="ListParagraph"/>
        <w:rPr>
          <w:rFonts w:ascii="Aptos" w:hAnsi="Aptos" w:cstheme="minorHAnsi"/>
        </w:rPr>
      </w:pPr>
    </w:p>
    <w:p w14:paraId="56D90B32" w14:textId="4CEE9A36" w:rsidR="008764FF" w:rsidRPr="00466128" w:rsidRDefault="005F1E17" w:rsidP="00332060">
      <w:pPr>
        <w:pStyle w:val="ListParagraph"/>
        <w:numPr>
          <w:ilvl w:val="0"/>
          <w:numId w:val="27"/>
        </w:numPr>
        <w:rPr>
          <w:rFonts w:ascii="Aptos" w:hAnsi="Aptos" w:cstheme="minorHAnsi"/>
        </w:rPr>
      </w:pPr>
      <w:r w:rsidRPr="00466128">
        <w:rPr>
          <w:rFonts w:ascii="Aptos" w:hAnsi="Aptos" w:cstheme="minorHAnsi"/>
        </w:rPr>
        <w:t xml:space="preserve">Please provide the following information concerning the Applicant’s </w:t>
      </w:r>
      <w:r w:rsidR="008764FF" w:rsidRPr="00466128">
        <w:rPr>
          <w:rFonts w:ascii="Aptos" w:hAnsi="Aptos" w:cstheme="minorHAnsi"/>
        </w:rPr>
        <w:t>Interpreter services</w:t>
      </w:r>
      <w:r w:rsidRPr="00466128">
        <w:rPr>
          <w:rFonts w:ascii="Aptos" w:hAnsi="Aptos" w:cstheme="minorHAnsi"/>
        </w:rPr>
        <w:t>:</w:t>
      </w:r>
    </w:p>
    <w:p w14:paraId="4B3E3EED" w14:textId="7B44CF0C" w:rsidR="008764FF" w:rsidRPr="00466128" w:rsidRDefault="008764FF" w:rsidP="00332060">
      <w:pPr>
        <w:pStyle w:val="ListParagraph"/>
        <w:numPr>
          <w:ilvl w:val="1"/>
          <w:numId w:val="27"/>
        </w:numPr>
        <w:rPr>
          <w:rFonts w:ascii="Aptos" w:hAnsi="Aptos" w:cstheme="minorHAnsi"/>
        </w:rPr>
      </w:pPr>
      <w:r w:rsidRPr="00466128">
        <w:rPr>
          <w:rFonts w:ascii="Aptos" w:hAnsi="Aptos" w:cstheme="minorHAnsi"/>
        </w:rPr>
        <w:t>Languages covered</w:t>
      </w:r>
      <w:r w:rsidR="00DD080C" w:rsidRPr="00466128">
        <w:rPr>
          <w:rFonts w:ascii="Aptos" w:hAnsi="Aptos" w:cstheme="minorHAnsi"/>
        </w:rPr>
        <w:t xml:space="preserve">: </w:t>
      </w:r>
      <w:r w:rsidR="00DD080C" w:rsidRPr="00466128">
        <w:rPr>
          <w:rFonts w:ascii="Aptos" w:hAnsi="Aptos" w:cstheme="minorHAnsi"/>
          <w:b/>
          <w:bCs/>
        </w:rPr>
        <w:t>All languages</w:t>
      </w:r>
      <w:r w:rsidR="00CA0107" w:rsidRPr="00466128">
        <w:rPr>
          <w:rFonts w:ascii="Aptos" w:hAnsi="Aptos" w:cstheme="minorHAnsi"/>
          <w:b/>
          <w:bCs/>
        </w:rPr>
        <w:t xml:space="preserve"> are available</w:t>
      </w:r>
      <w:r w:rsidR="00DD080C" w:rsidRPr="00466128">
        <w:rPr>
          <w:rFonts w:ascii="Aptos" w:hAnsi="Aptos" w:cstheme="minorHAnsi"/>
          <w:b/>
          <w:bCs/>
        </w:rPr>
        <w:t xml:space="preserve"> through </w:t>
      </w:r>
      <w:proofErr w:type="spellStart"/>
      <w:r w:rsidR="00DD080C" w:rsidRPr="00466128">
        <w:rPr>
          <w:rFonts w:ascii="Aptos" w:hAnsi="Aptos" w:cstheme="minorHAnsi"/>
          <w:b/>
          <w:bCs/>
        </w:rPr>
        <w:t>LanguageLine</w:t>
      </w:r>
      <w:proofErr w:type="spellEnd"/>
      <w:r w:rsidR="00CA0107" w:rsidRPr="00466128">
        <w:rPr>
          <w:rFonts w:ascii="Aptos" w:hAnsi="Aptos" w:cstheme="minorHAnsi"/>
        </w:rPr>
        <w:t>.</w:t>
      </w:r>
    </w:p>
    <w:p w14:paraId="5DB3298A" w14:textId="553C6A0D" w:rsidR="008764FF" w:rsidRPr="00466128" w:rsidRDefault="008764FF" w:rsidP="00332060">
      <w:pPr>
        <w:pStyle w:val="ListParagraph"/>
        <w:numPr>
          <w:ilvl w:val="1"/>
          <w:numId w:val="27"/>
        </w:numPr>
        <w:rPr>
          <w:rFonts w:ascii="Aptos" w:hAnsi="Aptos" w:cstheme="minorHAnsi"/>
        </w:rPr>
      </w:pPr>
      <w:r w:rsidRPr="00466128">
        <w:rPr>
          <w:rFonts w:ascii="Aptos" w:hAnsi="Aptos" w:cstheme="minorHAnsi"/>
        </w:rPr>
        <w:t>Number of requests in 2024</w:t>
      </w:r>
      <w:r w:rsidR="00DD080C" w:rsidRPr="00466128">
        <w:rPr>
          <w:rFonts w:ascii="Aptos" w:hAnsi="Aptos" w:cstheme="minorHAnsi"/>
        </w:rPr>
        <w:t xml:space="preserve">: </w:t>
      </w:r>
      <w:r w:rsidR="00DD080C" w:rsidRPr="00466128">
        <w:rPr>
          <w:rFonts w:ascii="Aptos" w:hAnsi="Aptos" w:cstheme="minorHAnsi"/>
          <w:b/>
          <w:bCs/>
        </w:rPr>
        <w:t>4</w:t>
      </w:r>
      <w:r w:rsidR="00D7534E">
        <w:rPr>
          <w:rFonts w:ascii="Aptos" w:hAnsi="Aptos" w:cstheme="minorHAnsi"/>
          <w:b/>
          <w:bCs/>
        </w:rPr>
        <w:t>4</w:t>
      </w:r>
    </w:p>
    <w:p w14:paraId="26105264" w14:textId="2EDF277D" w:rsidR="008764FF" w:rsidRPr="00466128" w:rsidRDefault="008764FF" w:rsidP="00332060">
      <w:pPr>
        <w:pStyle w:val="ListParagraph"/>
        <w:numPr>
          <w:ilvl w:val="1"/>
          <w:numId w:val="27"/>
        </w:numPr>
        <w:rPr>
          <w:rFonts w:ascii="Aptos" w:hAnsi="Aptos" w:cstheme="minorHAnsi"/>
        </w:rPr>
      </w:pPr>
      <w:r w:rsidRPr="00466128">
        <w:rPr>
          <w:rFonts w:ascii="Aptos" w:hAnsi="Aptos" w:cstheme="minorHAnsi"/>
        </w:rPr>
        <w:t>Top languages requested</w:t>
      </w:r>
      <w:r w:rsidR="00DD080C" w:rsidRPr="00466128">
        <w:rPr>
          <w:rFonts w:ascii="Aptos" w:hAnsi="Aptos" w:cstheme="minorHAnsi"/>
        </w:rPr>
        <w:t xml:space="preserve">: </w:t>
      </w:r>
      <w:r w:rsidR="004D1D74" w:rsidRPr="00466128">
        <w:rPr>
          <w:rFonts w:ascii="Aptos" w:hAnsi="Aptos" w:cstheme="minorHAnsi"/>
          <w:b/>
          <w:bCs/>
        </w:rPr>
        <w:t>Mandarin, Spanish, Portuguese, Korean, Haitian Creole</w:t>
      </w:r>
      <w:r w:rsidR="004D1D74" w:rsidRPr="00466128">
        <w:rPr>
          <w:rFonts w:ascii="Aptos" w:hAnsi="Aptos" w:cstheme="minorHAnsi"/>
        </w:rPr>
        <w:t xml:space="preserve"> </w:t>
      </w:r>
    </w:p>
    <w:p w14:paraId="4013F4A2" w14:textId="77777777" w:rsidR="00332060" w:rsidRPr="00466128" w:rsidRDefault="00332060" w:rsidP="00332060">
      <w:pPr>
        <w:pStyle w:val="ListParagraph"/>
        <w:ind w:left="1440"/>
        <w:rPr>
          <w:rFonts w:ascii="Aptos" w:hAnsi="Aptos" w:cstheme="minorHAnsi"/>
        </w:rPr>
      </w:pPr>
    </w:p>
    <w:p w14:paraId="0D0E996B" w14:textId="14D47BA2" w:rsidR="00332060" w:rsidRDefault="00332060" w:rsidP="00332060">
      <w:pPr>
        <w:pStyle w:val="ListParagraph"/>
        <w:numPr>
          <w:ilvl w:val="0"/>
          <w:numId w:val="27"/>
        </w:numPr>
        <w:rPr>
          <w:rFonts w:ascii="Aptos" w:hAnsi="Aptos" w:cstheme="minorHAnsi"/>
        </w:rPr>
      </w:pPr>
      <w:r w:rsidRPr="00466128">
        <w:rPr>
          <w:rFonts w:ascii="Aptos" w:hAnsi="Aptos" w:cstheme="minorHAnsi"/>
        </w:rPr>
        <w:t>Given that the Center does not currently collect race/ethnicity data, and has</w:t>
      </w:r>
      <w:r w:rsidR="00687DF5" w:rsidRPr="00466128">
        <w:rPr>
          <w:rFonts w:ascii="Aptos" w:hAnsi="Aptos" w:cstheme="minorHAnsi"/>
        </w:rPr>
        <w:t xml:space="preserve"> a</w:t>
      </w:r>
      <w:r w:rsidRPr="00466128">
        <w:rPr>
          <w:rFonts w:ascii="Aptos" w:hAnsi="Aptos" w:cstheme="minorHAnsi"/>
        </w:rPr>
        <w:t xml:space="preserve"> low percentage of  patients insured through Medicaid, what efforts does the </w:t>
      </w:r>
      <w:r w:rsidR="00687DF5" w:rsidRPr="00466128">
        <w:rPr>
          <w:rFonts w:ascii="Aptos" w:hAnsi="Aptos" w:cstheme="minorHAnsi"/>
        </w:rPr>
        <w:t>Center</w:t>
      </w:r>
      <w:r w:rsidRPr="00466128">
        <w:rPr>
          <w:rFonts w:ascii="Aptos" w:hAnsi="Aptos" w:cstheme="minorHAnsi"/>
        </w:rPr>
        <w:t xml:space="preserve"> plan to implement for the goal of Health Equity, beyond </w:t>
      </w:r>
      <w:proofErr w:type="spellStart"/>
      <w:r w:rsidRPr="00466128">
        <w:rPr>
          <w:rFonts w:ascii="Aptos" w:hAnsi="Aptos" w:cstheme="minorHAnsi"/>
        </w:rPr>
        <w:t>SDoH</w:t>
      </w:r>
      <w:proofErr w:type="spellEnd"/>
      <w:r w:rsidRPr="00466128">
        <w:rPr>
          <w:rFonts w:ascii="Aptos" w:hAnsi="Aptos" w:cstheme="minorHAnsi"/>
        </w:rPr>
        <w:t xml:space="preserve"> screenings, staff training and language translation services</w:t>
      </w:r>
      <w:r w:rsidR="005C712B" w:rsidRPr="00466128">
        <w:rPr>
          <w:rFonts w:ascii="Aptos" w:hAnsi="Aptos" w:cstheme="minorHAnsi"/>
        </w:rPr>
        <w:t>?</w:t>
      </w:r>
    </w:p>
    <w:p w14:paraId="1906B0FA" w14:textId="77777777" w:rsidR="00EE55E8" w:rsidRDefault="00EE55E8" w:rsidP="00EE55E8">
      <w:pPr>
        <w:pStyle w:val="ListParagraph"/>
        <w:rPr>
          <w:rFonts w:ascii="Aptos" w:hAnsi="Aptos" w:cstheme="minorHAnsi"/>
        </w:rPr>
      </w:pPr>
    </w:p>
    <w:p w14:paraId="709DA72D" w14:textId="477571A2" w:rsidR="00807358" w:rsidRPr="00807358" w:rsidRDefault="00807358" w:rsidP="00807358">
      <w:pPr>
        <w:pStyle w:val="ListParagraph"/>
        <w:spacing w:after="120"/>
        <w:contextualSpacing w:val="0"/>
        <w:rPr>
          <w:rFonts w:ascii="Aptos" w:hAnsi="Aptos" w:cstheme="minorHAnsi"/>
          <w:b/>
          <w:bCs/>
        </w:rPr>
      </w:pPr>
      <w:r>
        <w:rPr>
          <w:rFonts w:ascii="Aptos" w:hAnsi="Aptos" w:cstheme="minorHAnsi"/>
          <w:b/>
          <w:bCs/>
        </w:rPr>
        <w:lastRenderedPageBreak/>
        <w:t>As described in #18(b), the Applicant is seeking to improve health equity through easie</w:t>
      </w:r>
      <w:r w:rsidR="00EE55E8">
        <w:rPr>
          <w:rFonts w:ascii="Aptos" w:hAnsi="Aptos" w:cstheme="minorHAnsi"/>
          <w:b/>
          <w:bCs/>
        </w:rPr>
        <w:t>r</w:t>
      </w:r>
      <w:r>
        <w:rPr>
          <w:rFonts w:ascii="Aptos" w:hAnsi="Aptos" w:cstheme="minorHAnsi"/>
          <w:b/>
          <w:bCs/>
        </w:rPr>
        <w:t xml:space="preserve"> access to endoscopy by implementing an open access self-referral system. This process will remove barriers to care, in turn improving access to cancer screening. </w:t>
      </w:r>
    </w:p>
    <w:p w14:paraId="42302C3B" w14:textId="77777777" w:rsidR="00CE0E16" w:rsidRPr="00466128" w:rsidRDefault="00CE0E16" w:rsidP="00CE0E16">
      <w:pPr>
        <w:pStyle w:val="ListParagraph"/>
        <w:rPr>
          <w:rFonts w:ascii="Aptos" w:hAnsi="Aptos" w:cstheme="minorHAnsi"/>
        </w:rPr>
      </w:pPr>
    </w:p>
    <w:p w14:paraId="0133F4E3" w14:textId="27CFAF2C" w:rsidR="00CE58FA" w:rsidRPr="0004024A" w:rsidRDefault="00CE58FA" w:rsidP="00CE58FA">
      <w:pPr>
        <w:pStyle w:val="ListParagraph"/>
        <w:numPr>
          <w:ilvl w:val="0"/>
          <w:numId w:val="27"/>
        </w:numPr>
        <w:rPr>
          <w:rFonts w:ascii="Aptos" w:hAnsi="Aptos" w:cstheme="minorHAnsi"/>
        </w:rPr>
      </w:pPr>
      <w:r w:rsidRPr="0004024A">
        <w:rPr>
          <w:rFonts w:ascii="Aptos" w:hAnsi="Aptos" w:cstheme="minorHAnsi"/>
        </w:rPr>
        <w:t>The Applicant states that it is part of a national quality program</w:t>
      </w:r>
      <w:r w:rsidR="00CE0E16" w:rsidRPr="0004024A">
        <w:rPr>
          <w:rFonts w:ascii="Aptos" w:hAnsi="Aptos" w:cstheme="minorHAnsi"/>
        </w:rPr>
        <w:t>.</w:t>
      </w:r>
    </w:p>
    <w:p w14:paraId="01256EAD" w14:textId="47DC9780" w:rsidR="0004024A" w:rsidRPr="0004024A" w:rsidRDefault="00CE0E16" w:rsidP="0004024A">
      <w:pPr>
        <w:pStyle w:val="ListParagraph"/>
        <w:numPr>
          <w:ilvl w:val="1"/>
          <w:numId w:val="27"/>
        </w:numPr>
        <w:spacing w:after="120"/>
        <w:contextualSpacing w:val="0"/>
        <w:rPr>
          <w:rFonts w:ascii="Aptos" w:hAnsi="Aptos" w:cstheme="minorHAnsi"/>
        </w:rPr>
      </w:pPr>
      <w:r w:rsidRPr="0004024A">
        <w:rPr>
          <w:rFonts w:ascii="Aptos" w:hAnsi="Aptos" w:cstheme="minorHAnsi"/>
        </w:rPr>
        <w:t xml:space="preserve">What is the name of the national quality program, and what measures does the Applicant track as part of its participation in the quality program? </w:t>
      </w:r>
    </w:p>
    <w:p w14:paraId="75DC62A8" w14:textId="761C66B5" w:rsidR="00CE0E16" w:rsidRPr="003A51E4" w:rsidRDefault="0004024A" w:rsidP="0004024A">
      <w:pPr>
        <w:pStyle w:val="ListParagraph"/>
        <w:ind w:left="1440"/>
        <w:rPr>
          <w:rFonts w:ascii="Aptos" w:hAnsi="Aptos" w:cstheme="minorHAnsi"/>
          <w:b/>
          <w:bCs/>
        </w:rPr>
      </w:pPr>
      <w:r w:rsidRPr="0004024A">
        <w:rPr>
          <w:rFonts w:ascii="Aptos" w:hAnsi="Aptos" w:cstheme="minorHAnsi"/>
          <w:b/>
          <w:bCs/>
        </w:rPr>
        <w:t xml:space="preserve">The Center submits Adenoma Detection Rate data to </w:t>
      </w:r>
      <w:r w:rsidR="00EC7E97" w:rsidRPr="0004024A">
        <w:rPr>
          <w:rFonts w:ascii="Aptos" w:hAnsi="Aptos" w:cstheme="minorHAnsi"/>
          <w:b/>
          <w:bCs/>
        </w:rPr>
        <w:t>GI</w:t>
      </w:r>
      <w:r w:rsidR="00266C6A" w:rsidRPr="0004024A">
        <w:rPr>
          <w:rFonts w:ascii="Aptos" w:hAnsi="Aptos" w:cstheme="minorHAnsi"/>
          <w:b/>
          <w:bCs/>
        </w:rPr>
        <w:t>QuIC</w:t>
      </w:r>
      <w:r w:rsidRPr="0004024A">
        <w:rPr>
          <w:rFonts w:ascii="Aptos" w:hAnsi="Aptos" w:cstheme="minorHAnsi"/>
          <w:b/>
          <w:bCs/>
        </w:rPr>
        <w:t xml:space="preserve"> for national </w:t>
      </w:r>
      <w:r w:rsidRPr="003A51E4">
        <w:rPr>
          <w:rFonts w:ascii="Aptos" w:hAnsi="Aptos" w:cstheme="minorHAnsi"/>
          <w:b/>
          <w:bCs/>
        </w:rPr>
        <w:t xml:space="preserve">benchmarking. </w:t>
      </w:r>
      <w:r w:rsidR="00D7534E" w:rsidRPr="003A51E4">
        <w:rPr>
          <w:rFonts w:ascii="Aptos" w:hAnsi="Aptos" w:cstheme="minorHAnsi"/>
          <w:b/>
          <w:bCs/>
        </w:rPr>
        <w:t>The Center also reports the following metrics as part of the CMS ASCQR (Ambulatory Surgical Center Quality Reporting) Program</w:t>
      </w:r>
      <w:r w:rsidR="00AC324A" w:rsidRPr="003A51E4">
        <w:rPr>
          <w:rFonts w:ascii="Aptos" w:hAnsi="Aptos" w:cstheme="minorHAnsi"/>
          <w:b/>
          <w:bCs/>
        </w:rPr>
        <w:t>:</w:t>
      </w:r>
    </w:p>
    <w:p w14:paraId="39DF2E6D" w14:textId="7725CD91"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ASC-1 – Patient burn</w:t>
      </w:r>
    </w:p>
    <w:p w14:paraId="15614383" w14:textId="0532DEB7"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ASC-2 – Patient fall</w:t>
      </w:r>
    </w:p>
    <w:p w14:paraId="58265F67" w14:textId="322108F4"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ASC-3 – Wrong site, wrong side, wrong patient, wrong procedure, wrong implant</w:t>
      </w:r>
    </w:p>
    <w:p w14:paraId="5C826C00" w14:textId="08C15921"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ASC-4 – All-cause hospital transfer/admission</w:t>
      </w:r>
    </w:p>
    <w:p w14:paraId="465AA7B6" w14:textId="173879FF"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ASC-9 – Appropriate follow-up interval for normal colonoscopy in average risk patients</w:t>
      </w:r>
    </w:p>
    <w:p w14:paraId="66E324E1" w14:textId="5B0E0003"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ASC-15 – Outpatient and Ambulatory Surgery Consumer Assessment of Healthcare Providers and Systems (OAS-CAHPS) (as of 1/1/25, as this measure was previously voluntary)</w:t>
      </w:r>
    </w:p>
    <w:p w14:paraId="78B734D4" w14:textId="609F89EA" w:rsidR="00AC324A" w:rsidRPr="003A51E4" w:rsidRDefault="00AC324A" w:rsidP="009A3FFE">
      <w:pPr>
        <w:pStyle w:val="ListParagraph"/>
        <w:numPr>
          <w:ilvl w:val="0"/>
          <w:numId w:val="32"/>
        </w:numPr>
        <w:rPr>
          <w:rFonts w:ascii="Aptos" w:hAnsi="Aptos" w:cstheme="minorHAnsi"/>
          <w:b/>
          <w:bCs/>
        </w:rPr>
      </w:pPr>
      <w:r w:rsidRPr="003A51E4">
        <w:rPr>
          <w:rFonts w:ascii="Aptos" w:hAnsi="Aptos" w:cstheme="minorHAnsi"/>
          <w:b/>
          <w:bCs/>
        </w:rPr>
        <w:t>ASC-20 – COVID-19 vaccination coverage among healthcare personnel</w:t>
      </w:r>
    </w:p>
    <w:p w14:paraId="126DAA06" w14:textId="59A5427D" w:rsidR="00332060" w:rsidRPr="009A3FFE" w:rsidRDefault="00332060" w:rsidP="00332060">
      <w:pPr>
        <w:rPr>
          <w:rFonts w:ascii="Aptos" w:hAnsi="Aptos" w:cstheme="minorHAnsi"/>
          <w:u w:val="single"/>
        </w:rPr>
      </w:pPr>
      <w:r w:rsidRPr="009A3FFE">
        <w:rPr>
          <w:rFonts w:ascii="Aptos" w:hAnsi="Aptos" w:cstheme="minorHAnsi"/>
          <w:u w:val="single"/>
        </w:rPr>
        <w:t>Factor 1c: Care Coordination</w:t>
      </w:r>
    </w:p>
    <w:p w14:paraId="1ED1D7C4" w14:textId="04712179" w:rsidR="004B4FD5" w:rsidRPr="0004024A" w:rsidRDefault="00332060" w:rsidP="0004024A">
      <w:pPr>
        <w:pStyle w:val="ListParagraph"/>
        <w:numPr>
          <w:ilvl w:val="0"/>
          <w:numId w:val="27"/>
        </w:numPr>
        <w:spacing w:after="120"/>
        <w:contextualSpacing w:val="0"/>
        <w:rPr>
          <w:rFonts w:ascii="Aptos" w:hAnsi="Aptos" w:cstheme="minorHAnsi"/>
        </w:rPr>
      </w:pPr>
      <w:r w:rsidRPr="00466128">
        <w:rPr>
          <w:rFonts w:ascii="Aptos" w:hAnsi="Aptos" w:cstheme="minorHAnsi"/>
        </w:rPr>
        <w:t xml:space="preserve">Please describe </w:t>
      </w:r>
      <w:r w:rsidR="0061472D" w:rsidRPr="00466128">
        <w:rPr>
          <w:rFonts w:ascii="Aptos" w:hAnsi="Aptos" w:cstheme="minorHAnsi"/>
        </w:rPr>
        <w:t xml:space="preserve">how </w:t>
      </w:r>
      <w:r w:rsidR="00434DC2" w:rsidRPr="00466128">
        <w:rPr>
          <w:rFonts w:ascii="Aptos" w:hAnsi="Aptos" w:cstheme="minorHAnsi"/>
        </w:rPr>
        <w:t xml:space="preserve">electronic </w:t>
      </w:r>
      <w:r w:rsidR="000B753F" w:rsidRPr="00466128">
        <w:rPr>
          <w:rFonts w:ascii="Aptos" w:hAnsi="Aptos" w:cstheme="minorHAnsi"/>
        </w:rPr>
        <w:t>medical record</w:t>
      </w:r>
      <w:r w:rsidR="0061472D" w:rsidRPr="00466128">
        <w:rPr>
          <w:rFonts w:ascii="Aptos" w:hAnsi="Aptos" w:cstheme="minorHAnsi"/>
        </w:rPr>
        <w:t>s are shared</w:t>
      </w:r>
      <w:r w:rsidRPr="00466128">
        <w:rPr>
          <w:rFonts w:ascii="Aptos" w:hAnsi="Aptos" w:cstheme="minorHAnsi"/>
        </w:rPr>
        <w:t>, including processes for sharing patient records with primary care providers and specialists, and coordination of follow-up care.</w:t>
      </w:r>
    </w:p>
    <w:p w14:paraId="2CA21BED" w14:textId="1C8CC084" w:rsidR="00435C52" w:rsidRPr="0004024A" w:rsidRDefault="000451DE" w:rsidP="0004024A">
      <w:pPr>
        <w:pStyle w:val="ListParagraph"/>
        <w:spacing w:after="120"/>
        <w:contextualSpacing w:val="0"/>
        <w:rPr>
          <w:rFonts w:ascii="Aptos" w:hAnsi="Aptos" w:cstheme="minorHAnsi"/>
          <w:b/>
          <w:bCs/>
        </w:rPr>
      </w:pPr>
      <w:r>
        <w:rPr>
          <w:rFonts w:ascii="Aptos" w:hAnsi="Aptos" w:cstheme="minorHAnsi"/>
          <w:b/>
          <w:bCs/>
        </w:rPr>
        <w:t xml:space="preserve">Procedure notes are shared directly by the operating physician with the primary care provider via Epic. </w:t>
      </w:r>
      <w:r w:rsidR="00C406A6">
        <w:rPr>
          <w:rFonts w:ascii="Aptos" w:hAnsi="Aptos" w:cstheme="minorHAnsi"/>
          <w:b/>
          <w:bCs/>
        </w:rPr>
        <w:t xml:space="preserve">All follow-up care is managed and coordinated by the physicians and their care teams. </w:t>
      </w:r>
    </w:p>
    <w:p w14:paraId="33EC6323" w14:textId="065CE1AF" w:rsidR="00177DB5" w:rsidRPr="0004024A" w:rsidRDefault="00435C52" w:rsidP="0004024A">
      <w:pPr>
        <w:pStyle w:val="ListParagraph"/>
        <w:numPr>
          <w:ilvl w:val="0"/>
          <w:numId w:val="27"/>
        </w:numPr>
        <w:spacing w:after="120"/>
        <w:contextualSpacing w:val="0"/>
        <w:rPr>
          <w:rFonts w:ascii="Aptos" w:hAnsi="Aptos" w:cstheme="minorHAnsi"/>
        </w:rPr>
      </w:pPr>
      <w:r w:rsidRPr="00466128">
        <w:rPr>
          <w:rFonts w:ascii="Aptos" w:hAnsi="Aptos" w:cstheme="minorHAnsi"/>
        </w:rPr>
        <w:t>Describe protocols in place in case of an emergency, including the plan for transferring patients who need emergency medical care from the ASC to a hospital.</w:t>
      </w:r>
    </w:p>
    <w:p w14:paraId="2616F483" w14:textId="610D3F34" w:rsidR="003671CE" w:rsidRPr="009A3FFE" w:rsidRDefault="00EC7E97" w:rsidP="009A3FFE">
      <w:pPr>
        <w:pStyle w:val="ListParagraph"/>
        <w:spacing w:after="120"/>
        <w:contextualSpacing w:val="0"/>
        <w:rPr>
          <w:rFonts w:ascii="Aptos" w:hAnsi="Aptos" w:cstheme="minorHAnsi"/>
          <w:b/>
          <w:bCs/>
        </w:rPr>
      </w:pPr>
      <w:r w:rsidRPr="00466128">
        <w:rPr>
          <w:rFonts w:ascii="Aptos" w:hAnsi="Aptos" w:cstheme="minorHAnsi"/>
          <w:b/>
          <w:bCs/>
        </w:rPr>
        <w:t>The Center maintains a transfer agreement with Emerson Hospital</w:t>
      </w:r>
      <w:r w:rsidR="00177DB5">
        <w:rPr>
          <w:rFonts w:ascii="Aptos" w:hAnsi="Aptos" w:cstheme="minorHAnsi"/>
          <w:b/>
          <w:bCs/>
        </w:rPr>
        <w:t>, which is located 1.2 miles away</w:t>
      </w:r>
      <w:r w:rsidRPr="00466128">
        <w:rPr>
          <w:rFonts w:ascii="Aptos" w:hAnsi="Aptos" w:cstheme="minorHAnsi"/>
          <w:b/>
          <w:bCs/>
        </w:rPr>
        <w:t xml:space="preserve">. In the case of an emergency, 9-1-1 </w:t>
      </w:r>
      <w:r w:rsidR="00C438BC" w:rsidRPr="00466128">
        <w:rPr>
          <w:rFonts w:ascii="Aptos" w:hAnsi="Aptos" w:cstheme="minorHAnsi"/>
          <w:b/>
          <w:bCs/>
        </w:rPr>
        <w:t xml:space="preserve">is called and </w:t>
      </w:r>
      <w:r w:rsidRPr="00466128">
        <w:rPr>
          <w:rFonts w:ascii="Aptos" w:hAnsi="Aptos" w:cstheme="minorHAnsi"/>
          <w:b/>
          <w:bCs/>
        </w:rPr>
        <w:t xml:space="preserve">emergency services are requested. </w:t>
      </w:r>
    </w:p>
    <w:p w14:paraId="53D9BA7F" w14:textId="614A7BE2" w:rsidR="00332060" w:rsidRPr="009A3FFE" w:rsidRDefault="00332060" w:rsidP="00332060">
      <w:pPr>
        <w:rPr>
          <w:rFonts w:ascii="Aptos" w:hAnsi="Aptos" w:cstheme="minorHAnsi"/>
          <w:u w:val="single"/>
        </w:rPr>
      </w:pPr>
      <w:r w:rsidRPr="009A3FFE">
        <w:rPr>
          <w:rFonts w:ascii="Aptos" w:hAnsi="Aptos" w:cstheme="minorHAnsi"/>
          <w:u w:val="single"/>
        </w:rPr>
        <w:t>Factor 1e: Community Engagement</w:t>
      </w:r>
    </w:p>
    <w:p w14:paraId="00B6D78B" w14:textId="5F21A22C" w:rsidR="00BB251B" w:rsidRPr="00466128" w:rsidRDefault="00C61A05" w:rsidP="00BC0A97">
      <w:pPr>
        <w:pStyle w:val="ListParagraph"/>
        <w:numPr>
          <w:ilvl w:val="0"/>
          <w:numId w:val="27"/>
        </w:numPr>
        <w:rPr>
          <w:rFonts w:ascii="Aptos" w:hAnsi="Aptos" w:cstheme="minorHAnsi"/>
        </w:rPr>
      </w:pPr>
      <w:r w:rsidRPr="00466128">
        <w:rPr>
          <w:rFonts w:ascii="Aptos" w:hAnsi="Aptos" w:cstheme="minorHAnsi"/>
        </w:rPr>
        <w:t>Did the Applicant receive a</w:t>
      </w:r>
      <w:r w:rsidR="00BB251B" w:rsidRPr="00466128">
        <w:rPr>
          <w:rFonts w:ascii="Aptos" w:hAnsi="Aptos" w:cstheme="minorHAnsi"/>
        </w:rPr>
        <w:t xml:space="preserve">ny feedback </w:t>
      </w:r>
      <w:proofErr w:type="gramStart"/>
      <w:r w:rsidRPr="00466128">
        <w:rPr>
          <w:rFonts w:ascii="Aptos" w:hAnsi="Aptos" w:cstheme="minorHAnsi"/>
        </w:rPr>
        <w:t>as a result of</w:t>
      </w:r>
      <w:proofErr w:type="gramEnd"/>
      <w:r w:rsidRPr="00466128">
        <w:rPr>
          <w:rFonts w:ascii="Aptos" w:hAnsi="Aptos" w:cstheme="minorHAnsi"/>
        </w:rPr>
        <w:t xml:space="preserve"> </w:t>
      </w:r>
      <w:r w:rsidR="00BB251B" w:rsidRPr="00466128">
        <w:rPr>
          <w:rFonts w:ascii="Aptos" w:hAnsi="Aptos" w:cstheme="minorHAnsi"/>
        </w:rPr>
        <w:t>posting flyers</w:t>
      </w:r>
      <w:r w:rsidRPr="00466128">
        <w:rPr>
          <w:rFonts w:ascii="Aptos" w:hAnsi="Aptos" w:cstheme="minorHAnsi"/>
        </w:rPr>
        <w:t xml:space="preserve"> about the Proposed Project</w:t>
      </w:r>
      <w:r w:rsidR="00F31C3A" w:rsidRPr="00466128">
        <w:rPr>
          <w:rFonts w:ascii="Aptos" w:hAnsi="Aptos" w:cstheme="minorHAnsi"/>
        </w:rPr>
        <w:t>?</w:t>
      </w:r>
    </w:p>
    <w:p w14:paraId="5C29BFBC" w14:textId="0174E1A4" w:rsidR="0004024A" w:rsidRPr="0004024A" w:rsidRDefault="00BB251B" w:rsidP="0004024A">
      <w:pPr>
        <w:pStyle w:val="ListParagraph"/>
        <w:numPr>
          <w:ilvl w:val="1"/>
          <w:numId w:val="27"/>
        </w:numPr>
        <w:spacing w:after="120"/>
        <w:contextualSpacing w:val="0"/>
        <w:rPr>
          <w:rFonts w:ascii="Aptos" w:hAnsi="Aptos" w:cstheme="minorHAnsi"/>
        </w:rPr>
      </w:pPr>
      <w:r w:rsidRPr="00466128">
        <w:rPr>
          <w:rFonts w:ascii="Aptos" w:hAnsi="Aptos" w:cstheme="minorHAnsi"/>
        </w:rPr>
        <w:t>If so, how m</w:t>
      </w:r>
      <w:r w:rsidR="00C61A05" w:rsidRPr="00466128">
        <w:rPr>
          <w:rFonts w:ascii="Aptos" w:hAnsi="Aptos" w:cstheme="minorHAnsi"/>
        </w:rPr>
        <w:t>uch</w:t>
      </w:r>
      <w:r w:rsidRPr="00466128">
        <w:rPr>
          <w:rFonts w:ascii="Aptos" w:hAnsi="Aptos" w:cstheme="minorHAnsi"/>
        </w:rPr>
        <w:t xml:space="preserve"> and what was the feedback received</w:t>
      </w:r>
      <w:r w:rsidR="00C61A05" w:rsidRPr="00466128">
        <w:rPr>
          <w:rFonts w:ascii="Aptos" w:hAnsi="Aptos" w:cstheme="minorHAnsi"/>
        </w:rPr>
        <w:t>?</w:t>
      </w:r>
      <w:r w:rsidRPr="00466128">
        <w:rPr>
          <w:rFonts w:ascii="Aptos" w:hAnsi="Aptos" w:cstheme="minorHAnsi"/>
        </w:rPr>
        <w:t xml:space="preserve"> </w:t>
      </w:r>
    </w:p>
    <w:p w14:paraId="4A3DB169" w14:textId="5EC239A1" w:rsidR="00EC7E97" w:rsidRPr="00466128" w:rsidRDefault="00EC7E97" w:rsidP="00EC7E97">
      <w:pPr>
        <w:pStyle w:val="ListParagraph"/>
        <w:ind w:left="1440"/>
        <w:rPr>
          <w:rFonts w:ascii="Aptos" w:hAnsi="Aptos" w:cstheme="minorHAnsi"/>
          <w:b/>
          <w:bCs/>
        </w:rPr>
      </w:pPr>
      <w:r w:rsidRPr="00466128">
        <w:rPr>
          <w:rFonts w:ascii="Aptos" w:hAnsi="Aptos" w:cstheme="minorHAnsi"/>
          <w:b/>
          <w:bCs/>
        </w:rPr>
        <w:t xml:space="preserve">No feedback was received </w:t>
      </w:r>
      <w:proofErr w:type="gramStart"/>
      <w:r w:rsidRPr="00466128">
        <w:rPr>
          <w:rFonts w:ascii="Aptos" w:hAnsi="Aptos" w:cstheme="minorHAnsi"/>
          <w:b/>
          <w:bCs/>
        </w:rPr>
        <w:t>as a result of</w:t>
      </w:r>
      <w:proofErr w:type="gramEnd"/>
      <w:r w:rsidRPr="00466128">
        <w:rPr>
          <w:rFonts w:ascii="Aptos" w:hAnsi="Aptos" w:cstheme="minorHAnsi"/>
          <w:b/>
          <w:bCs/>
        </w:rPr>
        <w:t xml:space="preserve"> the Center’s patient education materials. </w:t>
      </w:r>
      <w:r w:rsidR="00AD2FC9" w:rsidRPr="00466128">
        <w:rPr>
          <w:rFonts w:ascii="Aptos" w:hAnsi="Aptos" w:cstheme="minorHAnsi"/>
          <w:b/>
          <w:bCs/>
        </w:rPr>
        <w:t xml:space="preserve">Please note flyers remain posted around the Center. </w:t>
      </w:r>
    </w:p>
    <w:p w14:paraId="6A982AE4" w14:textId="77777777" w:rsidR="000F0F66" w:rsidRPr="00466128" w:rsidRDefault="000F0F66" w:rsidP="000F0F66">
      <w:pPr>
        <w:pStyle w:val="ListParagraph"/>
        <w:ind w:left="1440"/>
        <w:rPr>
          <w:rFonts w:ascii="Aptos" w:hAnsi="Aptos" w:cstheme="minorHAnsi"/>
        </w:rPr>
      </w:pPr>
    </w:p>
    <w:p w14:paraId="71AD5DC4" w14:textId="6921984C" w:rsidR="00A67CCF" w:rsidRPr="00466128" w:rsidRDefault="007D1DE6" w:rsidP="007D1DE6">
      <w:pPr>
        <w:pStyle w:val="ListParagraph"/>
        <w:numPr>
          <w:ilvl w:val="0"/>
          <w:numId w:val="27"/>
        </w:numPr>
        <w:rPr>
          <w:rFonts w:ascii="Aptos" w:hAnsi="Aptos" w:cstheme="minorHAnsi"/>
        </w:rPr>
      </w:pPr>
      <w:r w:rsidRPr="00466128">
        <w:rPr>
          <w:rFonts w:ascii="Aptos" w:hAnsi="Aptos" w:cstheme="minorHAnsi"/>
        </w:rPr>
        <w:t xml:space="preserve">How many PFAC members </w:t>
      </w:r>
      <w:proofErr w:type="gramStart"/>
      <w:r w:rsidRPr="00466128">
        <w:rPr>
          <w:rFonts w:ascii="Aptos" w:hAnsi="Aptos" w:cstheme="minorHAnsi"/>
        </w:rPr>
        <w:t>were in attendance at</w:t>
      </w:r>
      <w:proofErr w:type="gramEnd"/>
      <w:r w:rsidRPr="00466128">
        <w:rPr>
          <w:rFonts w:ascii="Aptos" w:hAnsi="Aptos" w:cstheme="minorHAnsi"/>
        </w:rPr>
        <w:t xml:space="preserve"> the November 21</w:t>
      </w:r>
      <w:r w:rsidRPr="00466128">
        <w:rPr>
          <w:rFonts w:ascii="Aptos" w:hAnsi="Aptos" w:cstheme="minorHAnsi"/>
          <w:vertAlign w:val="superscript"/>
        </w:rPr>
        <w:t>st</w:t>
      </w:r>
      <w:r w:rsidRPr="00466128">
        <w:rPr>
          <w:rFonts w:ascii="Aptos" w:hAnsi="Aptos" w:cstheme="minorHAnsi"/>
        </w:rPr>
        <w:t xml:space="preserve"> meeting?</w:t>
      </w:r>
    </w:p>
    <w:p w14:paraId="684BFE02" w14:textId="21A400E8" w:rsidR="008C7624" w:rsidRPr="000451DE" w:rsidRDefault="000451DE" w:rsidP="000451DE">
      <w:pPr>
        <w:ind w:left="1440"/>
        <w:rPr>
          <w:rFonts w:ascii="Aptos" w:hAnsi="Aptos" w:cstheme="minorHAnsi"/>
          <w:b/>
          <w:bCs/>
        </w:rPr>
      </w:pPr>
      <w:r>
        <w:rPr>
          <w:rFonts w:ascii="Aptos" w:hAnsi="Aptos" w:cstheme="minorHAnsi"/>
          <w:b/>
          <w:bCs/>
        </w:rPr>
        <w:lastRenderedPageBreak/>
        <w:t xml:space="preserve">15 attendees, including </w:t>
      </w:r>
      <w:r w:rsidR="00807358">
        <w:rPr>
          <w:rFonts w:ascii="Aptos" w:hAnsi="Aptos" w:cstheme="minorHAnsi"/>
          <w:b/>
          <w:bCs/>
        </w:rPr>
        <w:t xml:space="preserve">13 PFAC members and </w:t>
      </w:r>
      <w:r>
        <w:rPr>
          <w:rFonts w:ascii="Aptos" w:hAnsi="Aptos" w:cstheme="minorHAnsi"/>
          <w:b/>
          <w:bCs/>
        </w:rPr>
        <w:t xml:space="preserve">two (2) staff members. </w:t>
      </w:r>
    </w:p>
    <w:p w14:paraId="4F21F0F6" w14:textId="465C71BC" w:rsidR="007D1DE6" w:rsidRPr="009A3FFE" w:rsidRDefault="00547C33" w:rsidP="00547C33">
      <w:pPr>
        <w:rPr>
          <w:rFonts w:ascii="Aptos" w:hAnsi="Aptos" w:cstheme="minorHAnsi"/>
          <w:u w:val="single"/>
        </w:rPr>
      </w:pPr>
      <w:r w:rsidRPr="009A3FFE">
        <w:rPr>
          <w:rFonts w:ascii="Aptos" w:hAnsi="Aptos" w:cstheme="minorHAnsi"/>
          <w:u w:val="single"/>
        </w:rPr>
        <w:t xml:space="preserve">Factor 1f: </w:t>
      </w:r>
      <w:r w:rsidR="006203C9" w:rsidRPr="009A3FFE">
        <w:rPr>
          <w:rFonts w:ascii="Aptos" w:hAnsi="Aptos" w:cstheme="minorHAnsi"/>
          <w:u w:val="single"/>
        </w:rPr>
        <w:t>Competition</w:t>
      </w:r>
    </w:p>
    <w:p w14:paraId="7E8F7E59" w14:textId="14CF7480" w:rsidR="004B4FD5" w:rsidRPr="009A3FFE" w:rsidRDefault="006203C9" w:rsidP="009A3FFE">
      <w:pPr>
        <w:pStyle w:val="ListParagraph"/>
        <w:numPr>
          <w:ilvl w:val="0"/>
          <w:numId w:val="27"/>
        </w:numPr>
        <w:rPr>
          <w:rFonts w:ascii="Aptos" w:hAnsi="Aptos" w:cstheme="minorHAnsi"/>
        </w:rPr>
      </w:pPr>
      <w:r w:rsidRPr="00466128">
        <w:rPr>
          <w:rFonts w:ascii="Aptos" w:hAnsi="Aptos" w:cstheme="minorHAnsi"/>
        </w:rPr>
        <w:t xml:space="preserve">The Applicant provided Procedure Costs in ASC vs. HOPD for 2024. Please provide the same data for 2025, if available. </w:t>
      </w:r>
    </w:p>
    <w:tbl>
      <w:tblPr>
        <w:tblStyle w:val="TableGrid"/>
        <w:tblW w:w="9895" w:type="dxa"/>
        <w:tblLook w:val="04A0" w:firstRow="1" w:lastRow="0" w:firstColumn="1" w:lastColumn="0" w:noHBand="0" w:noVBand="1"/>
      </w:tblPr>
      <w:tblGrid>
        <w:gridCol w:w="2965"/>
        <w:gridCol w:w="1530"/>
        <w:gridCol w:w="1530"/>
        <w:gridCol w:w="1710"/>
        <w:gridCol w:w="2160"/>
      </w:tblGrid>
      <w:tr w:rsidR="00466128" w:rsidRPr="00466128" w14:paraId="0BC48BDF" w14:textId="683F1337" w:rsidTr="00FC603C">
        <w:trPr>
          <w:cantSplit/>
          <w:tblHeader/>
        </w:trPr>
        <w:tc>
          <w:tcPr>
            <w:tcW w:w="2965" w:type="dxa"/>
            <w:shd w:val="clear" w:color="auto" w:fill="E7E6E6" w:themeFill="background2"/>
          </w:tcPr>
          <w:p w14:paraId="61EF1E2E" w14:textId="00A7BB85" w:rsidR="00EC7E97" w:rsidRPr="00406E19" w:rsidRDefault="00406E19" w:rsidP="00406E19">
            <w:pPr>
              <w:pStyle w:val="BodyText"/>
              <w:widowControl/>
              <w:spacing w:after="120"/>
              <w:rPr>
                <w:rFonts w:ascii="Aptos" w:hAnsi="Aptos" w:cs="Times New Roman"/>
                <w:b/>
                <w:bCs/>
                <w:kern w:val="2"/>
              </w:rPr>
            </w:pPr>
            <w:r w:rsidRPr="00406E19">
              <w:rPr>
                <w:rFonts w:ascii="Aptos" w:hAnsi="Aptos" w:cs="Times New Roman"/>
                <w:b/>
                <w:bCs/>
                <w:kern w:val="2"/>
              </w:rPr>
              <w:t>Narrative Table 6: Procedure Cost in ASC Versus HOPD</w:t>
            </w:r>
            <w:r w:rsidRPr="00406E19">
              <w:rPr>
                <w:rStyle w:val="FootnoteReference"/>
                <w:rFonts w:ascii="Aptos" w:hAnsi="Aptos" w:cs="Times New Roman"/>
                <w:b/>
                <w:bCs/>
                <w:kern w:val="2"/>
              </w:rPr>
              <w:footnoteReference w:id="9"/>
            </w:r>
          </w:p>
        </w:tc>
        <w:tc>
          <w:tcPr>
            <w:tcW w:w="1530" w:type="dxa"/>
            <w:shd w:val="clear" w:color="auto" w:fill="E7E6E6" w:themeFill="background2"/>
          </w:tcPr>
          <w:p w14:paraId="53C71E90" w14:textId="77777777" w:rsidR="00AD2FC9" w:rsidRPr="00406E19" w:rsidRDefault="00AD2FC9" w:rsidP="00946807">
            <w:pPr>
              <w:pStyle w:val="BodyText"/>
              <w:widowControl/>
              <w:rPr>
                <w:rFonts w:ascii="Aptos" w:eastAsia="Times New Roman" w:hAnsi="Aptos"/>
                <w:b/>
                <w:bCs/>
              </w:rPr>
            </w:pPr>
            <w:r w:rsidRPr="00406E19">
              <w:rPr>
                <w:rFonts w:ascii="Aptos" w:eastAsia="Times New Roman" w:hAnsi="Aptos"/>
                <w:b/>
                <w:bCs/>
              </w:rPr>
              <w:t xml:space="preserve">2025 </w:t>
            </w:r>
          </w:p>
          <w:p w14:paraId="2D65C2AC" w14:textId="21AF0E5F" w:rsidR="00EC7E97" w:rsidRPr="00406E19" w:rsidRDefault="00EC7E97" w:rsidP="00946807">
            <w:pPr>
              <w:pStyle w:val="BodyText"/>
              <w:widowControl/>
              <w:rPr>
                <w:rFonts w:ascii="Aptos" w:hAnsi="Aptos" w:cs="Times New Roman"/>
                <w:b/>
                <w:bCs/>
                <w:kern w:val="2"/>
              </w:rPr>
            </w:pPr>
            <w:r w:rsidRPr="00406E19">
              <w:rPr>
                <w:rFonts w:ascii="Aptos" w:eastAsia="Times New Roman" w:hAnsi="Aptos"/>
                <w:b/>
                <w:bCs/>
              </w:rPr>
              <w:t>ASC Cost</w:t>
            </w:r>
          </w:p>
        </w:tc>
        <w:tc>
          <w:tcPr>
            <w:tcW w:w="1530" w:type="dxa"/>
            <w:shd w:val="clear" w:color="auto" w:fill="E7E6E6" w:themeFill="background2"/>
          </w:tcPr>
          <w:p w14:paraId="56D41824" w14:textId="77777777" w:rsidR="00AD2FC9" w:rsidRPr="00406E19" w:rsidRDefault="00AD2FC9" w:rsidP="00946807">
            <w:pPr>
              <w:pStyle w:val="BodyText"/>
              <w:widowControl/>
              <w:rPr>
                <w:rFonts w:ascii="Aptos" w:eastAsia="Times New Roman" w:hAnsi="Aptos"/>
                <w:b/>
                <w:bCs/>
              </w:rPr>
            </w:pPr>
            <w:r w:rsidRPr="00406E19">
              <w:rPr>
                <w:rFonts w:ascii="Aptos" w:eastAsia="Times New Roman" w:hAnsi="Aptos"/>
                <w:b/>
                <w:bCs/>
              </w:rPr>
              <w:t xml:space="preserve">2025 </w:t>
            </w:r>
          </w:p>
          <w:p w14:paraId="33EA12E8" w14:textId="664742A1" w:rsidR="00EC7E97" w:rsidRPr="00406E19" w:rsidRDefault="00EC7E97" w:rsidP="00946807">
            <w:pPr>
              <w:pStyle w:val="BodyText"/>
              <w:widowControl/>
              <w:rPr>
                <w:rFonts w:ascii="Aptos" w:hAnsi="Aptos" w:cs="Times New Roman"/>
                <w:b/>
                <w:bCs/>
                <w:kern w:val="2"/>
              </w:rPr>
            </w:pPr>
            <w:r w:rsidRPr="00406E19">
              <w:rPr>
                <w:rFonts w:ascii="Aptos" w:eastAsia="Times New Roman" w:hAnsi="Aptos"/>
                <w:b/>
                <w:bCs/>
              </w:rPr>
              <w:t>HOPD Cost</w:t>
            </w:r>
          </w:p>
        </w:tc>
        <w:tc>
          <w:tcPr>
            <w:tcW w:w="1710" w:type="dxa"/>
            <w:shd w:val="clear" w:color="auto" w:fill="E7E6E6" w:themeFill="background2"/>
          </w:tcPr>
          <w:p w14:paraId="3F7EB5A8" w14:textId="77777777" w:rsidR="00AD2FC9" w:rsidRPr="00406E19" w:rsidRDefault="00AD2FC9" w:rsidP="00946807">
            <w:pPr>
              <w:pStyle w:val="BodyText"/>
              <w:widowControl/>
              <w:rPr>
                <w:rFonts w:ascii="Aptos" w:eastAsia="Times New Roman" w:hAnsi="Aptos"/>
                <w:b/>
                <w:bCs/>
              </w:rPr>
            </w:pPr>
            <w:r w:rsidRPr="00406E19">
              <w:rPr>
                <w:rFonts w:ascii="Aptos" w:eastAsia="Times New Roman" w:hAnsi="Aptos"/>
                <w:b/>
                <w:bCs/>
              </w:rPr>
              <w:t xml:space="preserve">2025 </w:t>
            </w:r>
          </w:p>
          <w:p w14:paraId="35E420A1" w14:textId="18EC622A" w:rsidR="00EC7E97" w:rsidRPr="00406E19" w:rsidRDefault="00EC7E97" w:rsidP="00946807">
            <w:pPr>
              <w:pStyle w:val="BodyText"/>
              <w:widowControl/>
              <w:rPr>
                <w:rFonts w:ascii="Aptos" w:hAnsi="Aptos" w:cs="Times New Roman"/>
                <w:b/>
                <w:bCs/>
                <w:kern w:val="2"/>
              </w:rPr>
            </w:pPr>
            <w:r w:rsidRPr="00406E19">
              <w:rPr>
                <w:rFonts w:ascii="Aptos" w:eastAsia="Times New Roman" w:hAnsi="Aptos"/>
                <w:b/>
                <w:bCs/>
              </w:rPr>
              <w:t>ASC Savings</w:t>
            </w:r>
          </w:p>
        </w:tc>
        <w:tc>
          <w:tcPr>
            <w:tcW w:w="2160" w:type="dxa"/>
            <w:shd w:val="clear" w:color="auto" w:fill="E7E6E6" w:themeFill="background2"/>
          </w:tcPr>
          <w:p w14:paraId="2A271F6F" w14:textId="77777777" w:rsidR="00AD2FC9" w:rsidRPr="00406E19" w:rsidRDefault="00AD2FC9" w:rsidP="00946807">
            <w:pPr>
              <w:pStyle w:val="BodyText"/>
              <w:widowControl/>
              <w:rPr>
                <w:rFonts w:ascii="Aptos" w:eastAsia="Times New Roman" w:hAnsi="Aptos"/>
                <w:b/>
                <w:bCs/>
              </w:rPr>
            </w:pPr>
            <w:r w:rsidRPr="00406E19">
              <w:rPr>
                <w:rFonts w:ascii="Aptos" w:eastAsia="Times New Roman" w:hAnsi="Aptos"/>
                <w:b/>
                <w:bCs/>
              </w:rPr>
              <w:t xml:space="preserve">ASC Savings </w:t>
            </w:r>
          </w:p>
          <w:p w14:paraId="56D10A0F" w14:textId="13471CC3" w:rsidR="00EC7E97" w:rsidRPr="00406E19" w:rsidRDefault="00EC7E97" w:rsidP="00946807">
            <w:pPr>
              <w:pStyle w:val="BodyText"/>
              <w:widowControl/>
              <w:rPr>
                <w:rFonts w:ascii="Aptos" w:eastAsia="Times New Roman" w:hAnsi="Aptos"/>
                <w:b/>
                <w:bCs/>
              </w:rPr>
            </w:pPr>
            <w:r w:rsidRPr="00406E19">
              <w:rPr>
                <w:rFonts w:ascii="Aptos" w:eastAsia="Times New Roman" w:hAnsi="Aptos"/>
                <w:b/>
                <w:bCs/>
              </w:rPr>
              <w:t>Change from 2024</w:t>
            </w:r>
          </w:p>
        </w:tc>
      </w:tr>
      <w:tr w:rsidR="00466128" w:rsidRPr="00466128" w14:paraId="47B413D4" w14:textId="2C7BBC90" w:rsidTr="00FC603C">
        <w:trPr>
          <w:cantSplit/>
        </w:trPr>
        <w:tc>
          <w:tcPr>
            <w:tcW w:w="2965" w:type="dxa"/>
          </w:tcPr>
          <w:p w14:paraId="0E369327" w14:textId="20EC5EE4"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Colonoscopy</w:t>
            </w:r>
          </w:p>
        </w:tc>
        <w:tc>
          <w:tcPr>
            <w:tcW w:w="1530" w:type="dxa"/>
          </w:tcPr>
          <w:p w14:paraId="5EB7E7ED" w14:textId="270112D8"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$666</w:t>
            </w:r>
          </w:p>
        </w:tc>
        <w:tc>
          <w:tcPr>
            <w:tcW w:w="1530" w:type="dxa"/>
          </w:tcPr>
          <w:p w14:paraId="5049681B" w14:textId="6F3C9CEA"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$1,088</w:t>
            </w:r>
          </w:p>
        </w:tc>
        <w:tc>
          <w:tcPr>
            <w:tcW w:w="1710" w:type="dxa"/>
            <w:vAlign w:val="center"/>
          </w:tcPr>
          <w:p w14:paraId="2B2BBB10" w14:textId="7C8784DF" w:rsidR="00AD2FC9" w:rsidRPr="00406E19" w:rsidRDefault="00AD2FC9" w:rsidP="00AD2FC9">
            <w:pPr>
              <w:pStyle w:val="BodyText"/>
              <w:widowControl/>
              <w:rPr>
                <w:rFonts w:ascii="Aptos" w:hAnsi="Aptos" w:cs="Times New Roman"/>
                <w:b/>
                <w:bCs/>
                <w:kern w:val="2"/>
              </w:rPr>
            </w:pPr>
            <w:r w:rsidRPr="00406E19">
              <w:rPr>
                <w:rFonts w:ascii="Aptos" w:hAnsi="Aptos"/>
                <w:b/>
                <w:bCs/>
              </w:rPr>
              <w:t>39%</w:t>
            </w:r>
          </w:p>
        </w:tc>
        <w:tc>
          <w:tcPr>
            <w:tcW w:w="2160" w:type="dxa"/>
            <w:vAlign w:val="bottom"/>
          </w:tcPr>
          <w:p w14:paraId="21FDB55C" w14:textId="67ADF991" w:rsidR="00AD2FC9" w:rsidRPr="00406E19" w:rsidRDefault="00AD2FC9" w:rsidP="00AD2FC9">
            <w:pPr>
              <w:pStyle w:val="BodyText"/>
              <w:widowControl/>
              <w:rPr>
                <w:rFonts w:ascii="Aptos" w:eastAsia="Times New Roman" w:hAnsi="Aptos"/>
                <w:b/>
                <w:bCs/>
              </w:rPr>
            </w:pPr>
            <w:r w:rsidRPr="00406E19">
              <w:rPr>
                <w:rFonts w:ascii="Aptos Narrow" w:hAnsi="Aptos Narrow"/>
                <w:b/>
                <w:bCs/>
              </w:rPr>
              <w:t>+</w:t>
            </w:r>
            <w:r w:rsidR="000451DE" w:rsidRPr="00406E19">
              <w:rPr>
                <w:rFonts w:ascii="Aptos Narrow" w:hAnsi="Aptos Narrow"/>
                <w:b/>
                <w:bCs/>
              </w:rPr>
              <w:t>1 point</w:t>
            </w:r>
          </w:p>
        </w:tc>
      </w:tr>
      <w:tr w:rsidR="00466128" w:rsidRPr="00466128" w14:paraId="6EEE391A" w14:textId="1D23441E" w:rsidTr="00FC603C">
        <w:trPr>
          <w:cantSplit/>
        </w:trPr>
        <w:tc>
          <w:tcPr>
            <w:tcW w:w="2965" w:type="dxa"/>
          </w:tcPr>
          <w:p w14:paraId="62697CA3" w14:textId="678A49D5"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Colonoscopy with biopsy</w:t>
            </w:r>
          </w:p>
        </w:tc>
        <w:tc>
          <w:tcPr>
            <w:tcW w:w="1530" w:type="dxa"/>
          </w:tcPr>
          <w:p w14:paraId="03DF6424" w14:textId="3F3F56F5"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$824</w:t>
            </w:r>
          </w:p>
        </w:tc>
        <w:tc>
          <w:tcPr>
            <w:tcW w:w="1530" w:type="dxa"/>
          </w:tcPr>
          <w:p w14:paraId="2C117446" w14:textId="7BF7C207"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$1,371</w:t>
            </w:r>
          </w:p>
        </w:tc>
        <w:tc>
          <w:tcPr>
            <w:tcW w:w="1710" w:type="dxa"/>
            <w:vAlign w:val="center"/>
          </w:tcPr>
          <w:p w14:paraId="34A667F0" w14:textId="2EEADB6E" w:rsidR="00AD2FC9" w:rsidRPr="00406E19" w:rsidRDefault="00AD2FC9" w:rsidP="00AD2FC9">
            <w:pPr>
              <w:pStyle w:val="BodyText"/>
              <w:widowControl/>
              <w:rPr>
                <w:rFonts w:ascii="Aptos" w:hAnsi="Aptos" w:cs="Times New Roman"/>
                <w:b/>
                <w:bCs/>
                <w:kern w:val="2"/>
              </w:rPr>
            </w:pPr>
            <w:r w:rsidRPr="00406E19">
              <w:rPr>
                <w:rFonts w:ascii="Aptos" w:hAnsi="Aptos"/>
                <w:b/>
                <w:bCs/>
              </w:rPr>
              <w:t>40%</w:t>
            </w:r>
          </w:p>
        </w:tc>
        <w:tc>
          <w:tcPr>
            <w:tcW w:w="2160" w:type="dxa"/>
            <w:vAlign w:val="bottom"/>
          </w:tcPr>
          <w:p w14:paraId="6CF9077D" w14:textId="6CA7FEBB" w:rsidR="00AD2FC9" w:rsidRPr="00406E19" w:rsidRDefault="00AD2FC9" w:rsidP="00AD2FC9">
            <w:pPr>
              <w:pStyle w:val="BodyText"/>
              <w:widowControl/>
              <w:rPr>
                <w:rFonts w:ascii="Aptos" w:eastAsia="Times New Roman" w:hAnsi="Aptos"/>
                <w:b/>
                <w:bCs/>
              </w:rPr>
            </w:pPr>
            <w:r w:rsidRPr="00406E19">
              <w:rPr>
                <w:rFonts w:ascii="Aptos Narrow" w:hAnsi="Aptos Narrow"/>
                <w:b/>
                <w:bCs/>
              </w:rPr>
              <w:t>+1</w:t>
            </w:r>
            <w:r w:rsidR="000451DE" w:rsidRPr="00406E19">
              <w:rPr>
                <w:rFonts w:ascii="Aptos Narrow" w:hAnsi="Aptos Narrow"/>
                <w:b/>
                <w:bCs/>
              </w:rPr>
              <w:t xml:space="preserve"> point</w:t>
            </w:r>
          </w:p>
        </w:tc>
      </w:tr>
      <w:tr w:rsidR="00466128" w:rsidRPr="00466128" w14:paraId="137E8A28" w14:textId="28A14963" w:rsidTr="00FC603C">
        <w:trPr>
          <w:cantSplit/>
        </w:trPr>
        <w:tc>
          <w:tcPr>
            <w:tcW w:w="2965" w:type="dxa"/>
          </w:tcPr>
          <w:p w14:paraId="44118F42" w14:textId="43AE5317"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Endoscopy</w:t>
            </w:r>
          </w:p>
        </w:tc>
        <w:tc>
          <w:tcPr>
            <w:tcW w:w="1530" w:type="dxa"/>
          </w:tcPr>
          <w:p w14:paraId="70B1B7B5" w14:textId="11B682B5"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$1,001</w:t>
            </w:r>
          </w:p>
        </w:tc>
        <w:tc>
          <w:tcPr>
            <w:tcW w:w="1530" w:type="dxa"/>
          </w:tcPr>
          <w:p w14:paraId="6CE187B2" w14:textId="21C12788"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$2,033</w:t>
            </w:r>
          </w:p>
        </w:tc>
        <w:tc>
          <w:tcPr>
            <w:tcW w:w="1710" w:type="dxa"/>
            <w:vAlign w:val="center"/>
          </w:tcPr>
          <w:p w14:paraId="231FBC10" w14:textId="6E2A6248" w:rsidR="00AD2FC9" w:rsidRPr="00406E19" w:rsidRDefault="00AD2FC9" w:rsidP="00AD2FC9">
            <w:pPr>
              <w:pStyle w:val="BodyText"/>
              <w:widowControl/>
              <w:rPr>
                <w:rFonts w:ascii="Aptos" w:hAnsi="Aptos" w:cs="Times New Roman"/>
                <w:b/>
                <w:bCs/>
                <w:kern w:val="2"/>
              </w:rPr>
            </w:pPr>
            <w:r w:rsidRPr="00406E19">
              <w:rPr>
                <w:rFonts w:ascii="Aptos" w:hAnsi="Aptos"/>
                <w:b/>
                <w:bCs/>
              </w:rPr>
              <w:t>51%</w:t>
            </w:r>
          </w:p>
        </w:tc>
        <w:tc>
          <w:tcPr>
            <w:tcW w:w="2160" w:type="dxa"/>
            <w:vAlign w:val="bottom"/>
          </w:tcPr>
          <w:p w14:paraId="4E8921EC" w14:textId="757DD340" w:rsidR="00AD2FC9" w:rsidRPr="00406E19" w:rsidRDefault="00AD2FC9" w:rsidP="00AD2FC9">
            <w:pPr>
              <w:pStyle w:val="BodyText"/>
              <w:widowControl/>
              <w:rPr>
                <w:rFonts w:ascii="Aptos" w:eastAsia="Times New Roman" w:hAnsi="Aptos"/>
                <w:b/>
                <w:bCs/>
              </w:rPr>
            </w:pPr>
            <w:r w:rsidRPr="00406E19">
              <w:rPr>
                <w:rFonts w:ascii="Aptos Narrow" w:hAnsi="Aptos Narrow"/>
                <w:b/>
                <w:bCs/>
              </w:rPr>
              <w:t>+1</w:t>
            </w:r>
            <w:r w:rsidR="000451DE" w:rsidRPr="00406E19">
              <w:rPr>
                <w:rFonts w:ascii="Aptos Narrow" w:hAnsi="Aptos Narrow"/>
                <w:b/>
                <w:bCs/>
              </w:rPr>
              <w:t xml:space="preserve"> point</w:t>
            </w:r>
          </w:p>
        </w:tc>
      </w:tr>
      <w:tr w:rsidR="00466128" w:rsidRPr="00466128" w14:paraId="70DD125F" w14:textId="7DE73518" w:rsidTr="00FC603C">
        <w:trPr>
          <w:cantSplit/>
        </w:trPr>
        <w:tc>
          <w:tcPr>
            <w:tcW w:w="2965" w:type="dxa"/>
          </w:tcPr>
          <w:p w14:paraId="7886D9EC" w14:textId="028B8CED"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Endoscopy with biopsy</w:t>
            </w:r>
          </w:p>
        </w:tc>
        <w:tc>
          <w:tcPr>
            <w:tcW w:w="1530" w:type="dxa"/>
          </w:tcPr>
          <w:p w14:paraId="6863382E" w14:textId="3EAA2362"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$1,016</w:t>
            </w:r>
          </w:p>
        </w:tc>
        <w:tc>
          <w:tcPr>
            <w:tcW w:w="1530" w:type="dxa"/>
          </w:tcPr>
          <w:p w14:paraId="416F29E2" w14:textId="201C44CB"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$2,048</w:t>
            </w:r>
          </w:p>
        </w:tc>
        <w:tc>
          <w:tcPr>
            <w:tcW w:w="1710" w:type="dxa"/>
            <w:vAlign w:val="center"/>
          </w:tcPr>
          <w:p w14:paraId="60A68F87" w14:textId="5F0EEC1E" w:rsidR="00AD2FC9" w:rsidRPr="00406E19" w:rsidRDefault="00AD2FC9" w:rsidP="00AD2FC9">
            <w:pPr>
              <w:pStyle w:val="BodyText"/>
              <w:widowControl/>
              <w:rPr>
                <w:rFonts w:ascii="Aptos" w:hAnsi="Aptos" w:cs="Times New Roman"/>
                <w:b/>
                <w:bCs/>
                <w:kern w:val="2"/>
              </w:rPr>
            </w:pPr>
            <w:r w:rsidRPr="00406E19">
              <w:rPr>
                <w:rFonts w:ascii="Aptos" w:hAnsi="Aptos"/>
                <w:b/>
                <w:bCs/>
              </w:rPr>
              <w:t>50%</w:t>
            </w:r>
          </w:p>
        </w:tc>
        <w:tc>
          <w:tcPr>
            <w:tcW w:w="2160" w:type="dxa"/>
            <w:vAlign w:val="bottom"/>
          </w:tcPr>
          <w:p w14:paraId="29ECDC2C" w14:textId="6712D340" w:rsidR="00AD2FC9" w:rsidRPr="00406E19" w:rsidRDefault="00AD2FC9" w:rsidP="00AD2FC9">
            <w:pPr>
              <w:pStyle w:val="BodyText"/>
              <w:widowControl/>
              <w:rPr>
                <w:rFonts w:ascii="Aptos" w:eastAsia="Times New Roman" w:hAnsi="Aptos"/>
                <w:b/>
                <w:bCs/>
              </w:rPr>
            </w:pPr>
            <w:r w:rsidRPr="00406E19">
              <w:rPr>
                <w:rFonts w:ascii="Aptos Narrow" w:hAnsi="Aptos Narrow"/>
                <w:b/>
                <w:bCs/>
              </w:rPr>
              <w:t xml:space="preserve">NC </w:t>
            </w:r>
          </w:p>
        </w:tc>
      </w:tr>
      <w:tr w:rsidR="00466128" w:rsidRPr="00466128" w14:paraId="762DDA6D" w14:textId="7EC74099" w:rsidTr="00FC603C">
        <w:trPr>
          <w:cantSplit/>
        </w:trPr>
        <w:tc>
          <w:tcPr>
            <w:tcW w:w="2965" w:type="dxa"/>
          </w:tcPr>
          <w:p w14:paraId="6C16A8AA" w14:textId="6FF0EE26"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EGD</w:t>
            </w:r>
          </w:p>
        </w:tc>
        <w:tc>
          <w:tcPr>
            <w:tcW w:w="1530" w:type="dxa"/>
          </w:tcPr>
          <w:p w14:paraId="3C51802A" w14:textId="08ED1B59"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$621</w:t>
            </w:r>
          </w:p>
        </w:tc>
        <w:tc>
          <w:tcPr>
            <w:tcW w:w="1530" w:type="dxa"/>
          </w:tcPr>
          <w:p w14:paraId="1DAE8F38" w14:textId="0B3EDC68"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$1,055</w:t>
            </w:r>
          </w:p>
        </w:tc>
        <w:tc>
          <w:tcPr>
            <w:tcW w:w="1710" w:type="dxa"/>
            <w:vAlign w:val="center"/>
          </w:tcPr>
          <w:p w14:paraId="4CB92784" w14:textId="4067D217" w:rsidR="00AD2FC9" w:rsidRPr="00406E19" w:rsidRDefault="00AD2FC9" w:rsidP="00AD2FC9">
            <w:pPr>
              <w:pStyle w:val="BodyText"/>
              <w:widowControl/>
              <w:rPr>
                <w:rFonts w:ascii="Aptos" w:hAnsi="Aptos" w:cs="Times New Roman"/>
                <w:b/>
                <w:bCs/>
                <w:kern w:val="2"/>
              </w:rPr>
            </w:pPr>
            <w:r w:rsidRPr="00406E19">
              <w:rPr>
                <w:rFonts w:ascii="Aptos" w:hAnsi="Aptos"/>
                <w:b/>
                <w:bCs/>
              </w:rPr>
              <w:t>41%</w:t>
            </w:r>
          </w:p>
        </w:tc>
        <w:tc>
          <w:tcPr>
            <w:tcW w:w="2160" w:type="dxa"/>
            <w:vAlign w:val="bottom"/>
          </w:tcPr>
          <w:p w14:paraId="3D062BC3" w14:textId="60CECCA5" w:rsidR="00AD2FC9" w:rsidRPr="00406E19" w:rsidRDefault="00AD2FC9" w:rsidP="00AD2FC9">
            <w:pPr>
              <w:pStyle w:val="BodyText"/>
              <w:widowControl/>
              <w:rPr>
                <w:rFonts w:ascii="Aptos" w:eastAsia="Times New Roman" w:hAnsi="Aptos"/>
                <w:b/>
                <w:bCs/>
              </w:rPr>
            </w:pPr>
            <w:r w:rsidRPr="00406E19">
              <w:rPr>
                <w:rFonts w:ascii="Aptos Narrow" w:hAnsi="Aptos Narrow"/>
                <w:b/>
                <w:bCs/>
              </w:rPr>
              <w:t>+</w:t>
            </w:r>
            <w:r w:rsidR="000451DE" w:rsidRPr="00406E19">
              <w:rPr>
                <w:rFonts w:ascii="Aptos Narrow" w:hAnsi="Aptos Narrow"/>
                <w:b/>
                <w:bCs/>
              </w:rPr>
              <w:t>1 point</w:t>
            </w:r>
          </w:p>
        </w:tc>
      </w:tr>
      <w:tr w:rsidR="00466128" w:rsidRPr="00466128" w14:paraId="1DD531EA" w14:textId="30C9AD2F" w:rsidTr="00FC603C">
        <w:trPr>
          <w:cantSplit/>
        </w:trPr>
        <w:tc>
          <w:tcPr>
            <w:tcW w:w="2965" w:type="dxa"/>
          </w:tcPr>
          <w:p w14:paraId="582181E1" w14:textId="2CB53961"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EGD with biopsy</w:t>
            </w:r>
          </w:p>
        </w:tc>
        <w:tc>
          <w:tcPr>
            <w:tcW w:w="1530" w:type="dxa"/>
          </w:tcPr>
          <w:p w14:paraId="18807F5D" w14:textId="3F66FA68"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$635</w:t>
            </w:r>
          </w:p>
        </w:tc>
        <w:tc>
          <w:tcPr>
            <w:tcW w:w="1530" w:type="dxa"/>
          </w:tcPr>
          <w:p w14:paraId="14A2D879" w14:textId="6CA13C26"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$1,069</w:t>
            </w:r>
          </w:p>
        </w:tc>
        <w:tc>
          <w:tcPr>
            <w:tcW w:w="1710" w:type="dxa"/>
            <w:vAlign w:val="center"/>
          </w:tcPr>
          <w:p w14:paraId="46574A96" w14:textId="3E072E2B" w:rsidR="00AD2FC9" w:rsidRPr="00406E19" w:rsidRDefault="00AD2FC9" w:rsidP="00AD2FC9">
            <w:pPr>
              <w:pStyle w:val="BodyText"/>
              <w:widowControl/>
              <w:rPr>
                <w:rFonts w:ascii="Aptos" w:hAnsi="Aptos" w:cs="Times New Roman"/>
                <w:b/>
                <w:bCs/>
                <w:kern w:val="2"/>
              </w:rPr>
            </w:pPr>
            <w:r w:rsidRPr="00406E19">
              <w:rPr>
                <w:rFonts w:ascii="Aptos" w:hAnsi="Aptos"/>
                <w:b/>
                <w:bCs/>
              </w:rPr>
              <w:t>41%</w:t>
            </w:r>
          </w:p>
        </w:tc>
        <w:tc>
          <w:tcPr>
            <w:tcW w:w="2160" w:type="dxa"/>
            <w:vAlign w:val="bottom"/>
          </w:tcPr>
          <w:p w14:paraId="4405B9A4" w14:textId="19249590" w:rsidR="00AD2FC9" w:rsidRPr="00406E19" w:rsidRDefault="00AD2FC9" w:rsidP="00AD2FC9">
            <w:pPr>
              <w:pStyle w:val="BodyText"/>
              <w:widowControl/>
              <w:rPr>
                <w:rFonts w:ascii="Aptos" w:eastAsia="Times New Roman" w:hAnsi="Aptos"/>
                <w:b/>
                <w:bCs/>
              </w:rPr>
            </w:pPr>
            <w:r w:rsidRPr="00406E19">
              <w:rPr>
                <w:rFonts w:ascii="Aptos Narrow" w:hAnsi="Aptos Narrow"/>
                <w:b/>
                <w:bCs/>
              </w:rPr>
              <w:t>+2</w:t>
            </w:r>
            <w:r w:rsidR="000451DE" w:rsidRPr="00406E19">
              <w:rPr>
                <w:rFonts w:ascii="Aptos Narrow" w:hAnsi="Aptos Narrow"/>
                <w:b/>
                <w:bCs/>
              </w:rPr>
              <w:t xml:space="preserve"> points</w:t>
            </w:r>
          </w:p>
        </w:tc>
      </w:tr>
      <w:tr w:rsidR="00466128" w:rsidRPr="00466128" w14:paraId="62DD2229" w14:textId="2AAFB30E" w:rsidTr="00FC603C">
        <w:trPr>
          <w:cantSplit/>
        </w:trPr>
        <w:tc>
          <w:tcPr>
            <w:tcW w:w="2965" w:type="dxa"/>
          </w:tcPr>
          <w:p w14:paraId="16E8942F" w14:textId="09E4BCC7"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Sigmoidoscopy</w:t>
            </w:r>
          </w:p>
        </w:tc>
        <w:tc>
          <w:tcPr>
            <w:tcW w:w="1530" w:type="dxa"/>
          </w:tcPr>
          <w:p w14:paraId="73898F0F" w14:textId="272AE5ED"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$203</w:t>
            </w:r>
          </w:p>
        </w:tc>
        <w:tc>
          <w:tcPr>
            <w:tcW w:w="1530" w:type="dxa"/>
          </w:tcPr>
          <w:p w14:paraId="7F42374B" w14:textId="33C38173"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$966</w:t>
            </w:r>
          </w:p>
        </w:tc>
        <w:tc>
          <w:tcPr>
            <w:tcW w:w="1710" w:type="dxa"/>
            <w:vAlign w:val="center"/>
          </w:tcPr>
          <w:p w14:paraId="2A503A66" w14:textId="1FF5E7E3" w:rsidR="00AD2FC9" w:rsidRPr="00406E19" w:rsidRDefault="00AD2FC9" w:rsidP="00AD2FC9">
            <w:pPr>
              <w:pStyle w:val="BodyText"/>
              <w:widowControl/>
              <w:rPr>
                <w:rFonts w:ascii="Aptos" w:hAnsi="Aptos" w:cs="Times New Roman"/>
                <w:b/>
                <w:bCs/>
                <w:kern w:val="2"/>
              </w:rPr>
            </w:pPr>
            <w:r w:rsidRPr="00406E19">
              <w:rPr>
                <w:rFonts w:ascii="Aptos" w:hAnsi="Aptos"/>
                <w:b/>
                <w:bCs/>
              </w:rPr>
              <w:t>79%</w:t>
            </w:r>
          </w:p>
        </w:tc>
        <w:tc>
          <w:tcPr>
            <w:tcW w:w="2160" w:type="dxa"/>
            <w:vAlign w:val="bottom"/>
          </w:tcPr>
          <w:p w14:paraId="3174D7D5" w14:textId="6D65B70B" w:rsidR="00AD2FC9" w:rsidRPr="00406E19" w:rsidRDefault="00AD2FC9" w:rsidP="00AD2FC9">
            <w:pPr>
              <w:pStyle w:val="BodyText"/>
              <w:widowControl/>
              <w:rPr>
                <w:rFonts w:ascii="Aptos" w:eastAsia="Times New Roman" w:hAnsi="Aptos"/>
                <w:b/>
                <w:bCs/>
              </w:rPr>
            </w:pPr>
            <w:r w:rsidRPr="00406E19">
              <w:rPr>
                <w:rFonts w:ascii="Aptos Narrow" w:hAnsi="Aptos Narrow"/>
                <w:b/>
                <w:bCs/>
              </w:rPr>
              <w:t>+1</w:t>
            </w:r>
            <w:r w:rsidR="000451DE" w:rsidRPr="00406E19">
              <w:rPr>
                <w:rFonts w:ascii="Aptos Narrow" w:hAnsi="Aptos Narrow"/>
                <w:b/>
                <w:bCs/>
              </w:rPr>
              <w:t xml:space="preserve"> point</w:t>
            </w:r>
          </w:p>
        </w:tc>
      </w:tr>
      <w:tr w:rsidR="00466128" w:rsidRPr="00466128" w14:paraId="3BC6C266" w14:textId="6A88E59C" w:rsidTr="00FC603C">
        <w:trPr>
          <w:cantSplit/>
        </w:trPr>
        <w:tc>
          <w:tcPr>
            <w:tcW w:w="2965" w:type="dxa"/>
          </w:tcPr>
          <w:p w14:paraId="58746732" w14:textId="5ED221DD"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Sigmoidoscopy with biopsy</w:t>
            </w:r>
          </w:p>
        </w:tc>
        <w:tc>
          <w:tcPr>
            <w:tcW w:w="1530" w:type="dxa"/>
          </w:tcPr>
          <w:p w14:paraId="04A7BD03" w14:textId="3E6A0216"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$559</w:t>
            </w:r>
          </w:p>
        </w:tc>
        <w:tc>
          <w:tcPr>
            <w:tcW w:w="1530" w:type="dxa"/>
          </w:tcPr>
          <w:p w14:paraId="320AD962" w14:textId="03DEE7ED" w:rsidR="00AD2FC9" w:rsidRPr="00406E19" w:rsidRDefault="00AD2FC9" w:rsidP="00AD2FC9">
            <w:pPr>
              <w:pStyle w:val="BodyText"/>
              <w:widowControl/>
              <w:rPr>
                <w:rFonts w:ascii="Aptos" w:hAnsi="Aptos" w:cs="Times New Roman"/>
                <w:b/>
                <w:bCs/>
                <w:kern w:val="2"/>
              </w:rPr>
            </w:pPr>
            <w:r w:rsidRPr="00406E19">
              <w:rPr>
                <w:rFonts w:ascii="Aptos" w:eastAsia="Times New Roman" w:hAnsi="Aptos"/>
                <w:b/>
                <w:bCs/>
              </w:rPr>
              <w:t>$981</w:t>
            </w:r>
          </w:p>
        </w:tc>
        <w:tc>
          <w:tcPr>
            <w:tcW w:w="1710" w:type="dxa"/>
            <w:vAlign w:val="center"/>
          </w:tcPr>
          <w:p w14:paraId="65424E67" w14:textId="6A4962AE" w:rsidR="00AD2FC9" w:rsidRPr="00406E19" w:rsidRDefault="00AD2FC9" w:rsidP="00AD2FC9">
            <w:pPr>
              <w:pStyle w:val="BodyText"/>
              <w:widowControl/>
              <w:rPr>
                <w:rFonts w:ascii="Aptos" w:hAnsi="Aptos" w:cs="Times New Roman"/>
                <w:b/>
                <w:bCs/>
                <w:kern w:val="2"/>
              </w:rPr>
            </w:pPr>
            <w:r w:rsidRPr="00406E19">
              <w:rPr>
                <w:rFonts w:ascii="Aptos" w:hAnsi="Aptos"/>
                <w:b/>
                <w:bCs/>
              </w:rPr>
              <w:t>43%</w:t>
            </w:r>
          </w:p>
        </w:tc>
        <w:tc>
          <w:tcPr>
            <w:tcW w:w="2160" w:type="dxa"/>
            <w:vAlign w:val="bottom"/>
          </w:tcPr>
          <w:p w14:paraId="20DD8CB5" w14:textId="01AE00CA" w:rsidR="00AD2FC9" w:rsidRPr="00406E19" w:rsidRDefault="00AD2FC9" w:rsidP="00AD2FC9">
            <w:pPr>
              <w:pStyle w:val="BodyText"/>
              <w:widowControl/>
              <w:rPr>
                <w:rFonts w:ascii="Aptos" w:eastAsia="Times New Roman" w:hAnsi="Aptos"/>
                <w:b/>
                <w:bCs/>
              </w:rPr>
            </w:pPr>
            <w:r w:rsidRPr="00406E19">
              <w:rPr>
                <w:rFonts w:ascii="Aptos Narrow" w:hAnsi="Aptos Narrow"/>
                <w:b/>
                <w:bCs/>
              </w:rPr>
              <w:t>+1</w:t>
            </w:r>
            <w:r w:rsidR="000451DE" w:rsidRPr="00406E19">
              <w:rPr>
                <w:rFonts w:ascii="Aptos Narrow" w:hAnsi="Aptos Narrow"/>
                <w:b/>
                <w:bCs/>
              </w:rPr>
              <w:t xml:space="preserve"> point</w:t>
            </w:r>
          </w:p>
        </w:tc>
      </w:tr>
    </w:tbl>
    <w:p w14:paraId="7A796623" w14:textId="77777777" w:rsidR="004B4FD5" w:rsidRDefault="004B4FD5" w:rsidP="00003AA5">
      <w:pPr>
        <w:pStyle w:val="ListParagraph"/>
        <w:rPr>
          <w:rFonts w:ascii="Aptos" w:hAnsi="Aptos" w:cstheme="minorHAnsi"/>
        </w:rPr>
      </w:pPr>
    </w:p>
    <w:p w14:paraId="5302ABD9" w14:textId="30ACA0D2" w:rsidR="00332060" w:rsidRPr="009A3FFE" w:rsidRDefault="00332060" w:rsidP="00332060">
      <w:pPr>
        <w:rPr>
          <w:rFonts w:ascii="Aptos" w:hAnsi="Aptos" w:cstheme="minorHAnsi"/>
          <w:u w:val="single"/>
        </w:rPr>
      </w:pPr>
      <w:r w:rsidRPr="009A3FFE">
        <w:rPr>
          <w:rFonts w:ascii="Aptos" w:hAnsi="Aptos" w:cstheme="minorHAnsi"/>
          <w:u w:val="single"/>
        </w:rPr>
        <w:t xml:space="preserve">Factor 2: Delivery System Transformation </w:t>
      </w:r>
    </w:p>
    <w:p w14:paraId="614F5555" w14:textId="52940FC7" w:rsidR="00B767F4" w:rsidRPr="00466128" w:rsidRDefault="00B767F4" w:rsidP="00B767F4">
      <w:pPr>
        <w:pStyle w:val="ListParagraph"/>
        <w:numPr>
          <w:ilvl w:val="0"/>
          <w:numId w:val="27"/>
        </w:numPr>
        <w:rPr>
          <w:rFonts w:ascii="Aptos" w:hAnsi="Aptos" w:cstheme="minorHAnsi"/>
        </w:rPr>
      </w:pPr>
      <w:r w:rsidRPr="00466128">
        <w:rPr>
          <w:rFonts w:ascii="Aptos" w:hAnsi="Aptos" w:cstheme="minorHAnsi"/>
        </w:rPr>
        <w:t xml:space="preserve">Does </w:t>
      </w:r>
      <w:r w:rsidR="001348C0" w:rsidRPr="00466128">
        <w:rPr>
          <w:rFonts w:ascii="Aptos" w:hAnsi="Aptos" w:cstheme="minorHAnsi"/>
        </w:rPr>
        <w:t>the Center</w:t>
      </w:r>
      <w:r w:rsidRPr="00466128">
        <w:rPr>
          <w:rFonts w:ascii="Aptos" w:hAnsi="Aptos" w:cstheme="minorHAnsi"/>
        </w:rPr>
        <w:t xml:space="preserve"> have a process in place to screen patients for </w:t>
      </w:r>
      <w:proofErr w:type="spellStart"/>
      <w:r w:rsidRPr="00466128">
        <w:rPr>
          <w:rFonts w:ascii="Aptos" w:hAnsi="Aptos" w:cstheme="minorHAnsi"/>
        </w:rPr>
        <w:t>SDoH</w:t>
      </w:r>
      <w:proofErr w:type="spellEnd"/>
      <w:r w:rsidRPr="00466128">
        <w:rPr>
          <w:rFonts w:ascii="Aptos" w:hAnsi="Aptos" w:cstheme="minorHAnsi"/>
        </w:rPr>
        <w:t xml:space="preserve"> needs? </w:t>
      </w:r>
    </w:p>
    <w:p w14:paraId="6927EE62" w14:textId="138E7756" w:rsidR="00EC64CD" w:rsidRPr="00466128" w:rsidRDefault="00B767F4" w:rsidP="00770ECE">
      <w:pPr>
        <w:pStyle w:val="ListParagraph"/>
        <w:numPr>
          <w:ilvl w:val="1"/>
          <w:numId w:val="27"/>
        </w:numPr>
        <w:rPr>
          <w:rFonts w:ascii="Aptos" w:hAnsi="Aptos" w:cstheme="minorHAnsi"/>
        </w:rPr>
      </w:pPr>
      <w:r w:rsidRPr="00466128">
        <w:rPr>
          <w:rFonts w:ascii="Aptos" w:hAnsi="Aptos" w:cstheme="minorHAnsi"/>
        </w:rPr>
        <w:t xml:space="preserve">If so, please describe the screening process including screening domains screened for. </w:t>
      </w:r>
    </w:p>
    <w:p w14:paraId="48E5E9B1" w14:textId="1CE207E4" w:rsidR="0047612A" w:rsidRPr="00466128" w:rsidRDefault="0047612A" w:rsidP="0047612A">
      <w:pPr>
        <w:pStyle w:val="BodyText"/>
        <w:widowControl/>
        <w:spacing w:after="120"/>
        <w:ind w:left="1440"/>
        <w:jc w:val="both"/>
        <w:rPr>
          <w:rFonts w:ascii="Aptos" w:hAnsi="Aptos" w:cs="Times New Roman"/>
          <w:b/>
          <w:bCs/>
          <w:kern w:val="2"/>
          <w:sz w:val="22"/>
          <w:szCs w:val="22"/>
        </w:rPr>
      </w:pPr>
      <w:r w:rsidRPr="00466128">
        <w:rPr>
          <w:rFonts w:ascii="Aptos" w:hAnsi="Aptos" w:cstheme="minorHAnsi"/>
          <w:b/>
          <w:bCs/>
          <w:sz w:val="22"/>
          <w:szCs w:val="22"/>
        </w:rPr>
        <w:t xml:space="preserve">The Center does not have a formal process to screen patients for </w:t>
      </w:r>
      <w:proofErr w:type="spellStart"/>
      <w:r w:rsidRPr="00466128">
        <w:rPr>
          <w:rFonts w:ascii="Aptos" w:hAnsi="Aptos" w:cstheme="minorHAnsi"/>
          <w:b/>
          <w:bCs/>
          <w:sz w:val="22"/>
          <w:szCs w:val="22"/>
        </w:rPr>
        <w:t>SDoH</w:t>
      </w:r>
      <w:proofErr w:type="spellEnd"/>
      <w:r w:rsidRPr="00466128">
        <w:rPr>
          <w:rFonts w:ascii="Aptos" w:hAnsi="Aptos" w:cstheme="minorHAnsi"/>
          <w:b/>
          <w:bCs/>
          <w:sz w:val="22"/>
          <w:szCs w:val="22"/>
        </w:rPr>
        <w:t xml:space="preserve"> needs. Patients are screened for transportation to ensure each patient has a safe ride home from their procedure. As discussed in section F2.c., if a need is identified, Center staff will </w:t>
      </w:r>
      <w:r w:rsidRPr="00466128">
        <w:rPr>
          <w:rFonts w:ascii="Aptos" w:hAnsi="Aptos" w:cs="Times New Roman"/>
          <w:b/>
          <w:bCs/>
          <w:kern w:val="2"/>
          <w:sz w:val="22"/>
          <w:szCs w:val="22"/>
        </w:rPr>
        <w:t>provide the patient with referral resources and update the medical record so that the patient’s primary care provider is aware of the need for follow-up.</w:t>
      </w:r>
    </w:p>
    <w:p w14:paraId="1BE25BF8" w14:textId="3742F8C7" w:rsidR="0047612A" w:rsidRPr="00466128" w:rsidRDefault="0047612A" w:rsidP="0047612A">
      <w:pPr>
        <w:pStyle w:val="ListParagraph"/>
        <w:ind w:left="1440"/>
        <w:rPr>
          <w:rFonts w:cstheme="minorHAnsi"/>
          <w:b/>
          <w:bCs/>
        </w:rPr>
      </w:pPr>
    </w:p>
    <w:sectPr w:rsidR="0047612A" w:rsidRPr="00466128" w:rsidSect="00C0457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126C" w14:textId="77777777" w:rsidR="007D542B" w:rsidRDefault="007D542B" w:rsidP="00E45D1C">
      <w:pPr>
        <w:spacing w:after="0" w:line="240" w:lineRule="auto"/>
      </w:pPr>
      <w:r>
        <w:separator/>
      </w:r>
    </w:p>
  </w:endnote>
  <w:endnote w:type="continuationSeparator" w:id="0">
    <w:p w14:paraId="0C3ABD8C" w14:textId="77777777" w:rsidR="007D542B" w:rsidRDefault="007D542B" w:rsidP="00E45D1C">
      <w:pPr>
        <w:spacing w:after="0" w:line="240" w:lineRule="auto"/>
      </w:pPr>
      <w:r>
        <w:continuationSeparator/>
      </w:r>
    </w:p>
  </w:endnote>
  <w:endnote w:type="continuationNotice" w:id="1">
    <w:p w14:paraId="73C26E07" w14:textId="77777777" w:rsidR="007D542B" w:rsidRDefault="007D5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E6E7" w14:textId="0713443A" w:rsidR="007A0615" w:rsidRPr="00292073" w:rsidRDefault="007A0615" w:rsidP="0029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B150" w14:textId="4162D1B1" w:rsidR="007A0615" w:rsidRPr="00292073" w:rsidRDefault="007A0615" w:rsidP="0029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1669" w14:textId="77777777" w:rsidR="007D542B" w:rsidRDefault="007D542B" w:rsidP="00E45D1C">
      <w:pPr>
        <w:spacing w:after="0" w:line="240" w:lineRule="auto"/>
      </w:pPr>
      <w:r>
        <w:separator/>
      </w:r>
    </w:p>
  </w:footnote>
  <w:footnote w:type="continuationSeparator" w:id="0">
    <w:p w14:paraId="72920BBC" w14:textId="77777777" w:rsidR="007D542B" w:rsidRDefault="007D542B" w:rsidP="00E45D1C">
      <w:pPr>
        <w:spacing w:after="0" w:line="240" w:lineRule="auto"/>
      </w:pPr>
      <w:r>
        <w:continuationSeparator/>
      </w:r>
    </w:p>
  </w:footnote>
  <w:footnote w:type="continuationNotice" w:id="1">
    <w:p w14:paraId="10B46745" w14:textId="77777777" w:rsidR="007D542B" w:rsidRDefault="007D542B">
      <w:pPr>
        <w:spacing w:after="0" w:line="240" w:lineRule="auto"/>
      </w:pPr>
    </w:p>
  </w:footnote>
  <w:footnote w:id="2">
    <w:p w14:paraId="628A42AE" w14:textId="122D361A" w:rsidR="00DD0E66" w:rsidRDefault="00DD0E66">
      <w:pPr>
        <w:pStyle w:val="FootnoteText"/>
      </w:pPr>
      <w:r>
        <w:rPr>
          <w:rStyle w:val="FootnoteReference"/>
        </w:rPr>
        <w:footnoteRef/>
      </w:r>
      <w:r>
        <w:t xml:space="preserve"> </w:t>
      </w:r>
      <w:hyperlink r:id="rId1" w:history="1">
        <w:r w:rsidR="00782D74" w:rsidRPr="00B71DD9">
          <w:rPr>
            <w:rStyle w:val="Hyperlink"/>
          </w:rPr>
          <w:t>https://www.mass.gov/doc/emerson-endoscopy-and-digestive-health-center-responses-to-don-questions/download</w:t>
        </w:r>
      </w:hyperlink>
      <w:r w:rsidR="00782D74">
        <w:t xml:space="preserve"> </w:t>
      </w:r>
    </w:p>
  </w:footnote>
  <w:footnote w:id="3">
    <w:p w14:paraId="1592424A" w14:textId="6C84B8C0" w:rsidR="00CC7321" w:rsidRDefault="00CC7321">
      <w:pPr>
        <w:pStyle w:val="FootnoteText"/>
      </w:pPr>
      <w:r>
        <w:rPr>
          <w:rStyle w:val="FootnoteReference"/>
        </w:rPr>
        <w:footnoteRef/>
      </w:r>
      <w:r>
        <w:t xml:space="preserve"> Parentheses used to denote projected figures. </w:t>
      </w:r>
    </w:p>
  </w:footnote>
  <w:footnote w:id="4">
    <w:p w14:paraId="09291550" w14:textId="4C6BAD38" w:rsidR="009704F9" w:rsidRDefault="009704F9">
      <w:pPr>
        <w:pStyle w:val="FootnoteText"/>
      </w:pPr>
      <w:r>
        <w:rPr>
          <w:rStyle w:val="FootnoteReference"/>
        </w:rPr>
        <w:footnoteRef/>
      </w:r>
      <w:r>
        <w:t xml:space="preserve"> The Center opened in April 2022. </w:t>
      </w:r>
    </w:p>
  </w:footnote>
  <w:footnote w:id="5">
    <w:p w14:paraId="600EC834" w14:textId="70917832" w:rsidR="00BB28C2" w:rsidRDefault="00BB28C2">
      <w:pPr>
        <w:pStyle w:val="FootnoteText"/>
      </w:pPr>
      <w:r>
        <w:rPr>
          <w:rStyle w:val="FootnoteReference"/>
        </w:rPr>
        <w:footnoteRef/>
      </w:r>
      <w:r>
        <w:t xml:space="preserve"> </w:t>
      </w:r>
      <w:r w:rsidR="009704F9">
        <w:t xml:space="preserve">Annualized volume/capacity is based on April and May cases to account for low volume in earlier months due to a provider’s leave of absence.    </w:t>
      </w:r>
    </w:p>
  </w:footnote>
  <w:footnote w:id="6">
    <w:p w14:paraId="68436704" w14:textId="38262796" w:rsidR="006C26A3" w:rsidRPr="00496B4F" w:rsidRDefault="006C26A3" w:rsidP="006C26A3">
      <w:pPr>
        <w:pStyle w:val="FootnoteText"/>
        <w:rPr>
          <w:sz w:val="16"/>
          <w:szCs w:val="16"/>
        </w:rPr>
      </w:pPr>
      <w:r w:rsidRPr="00496B4F">
        <w:rPr>
          <w:rStyle w:val="FootnoteReference"/>
          <w:sz w:val="16"/>
          <w:szCs w:val="16"/>
        </w:rPr>
        <w:footnoteRef/>
      </w:r>
      <w:r w:rsidRPr="00496B4F">
        <w:rPr>
          <w:sz w:val="16"/>
          <w:szCs w:val="16"/>
        </w:rPr>
        <w:t xml:space="preserve"> </w:t>
      </w:r>
      <w:r w:rsidRPr="00422482">
        <w:rPr>
          <w:rFonts w:ascii="Aptos" w:hAnsi="Aptos"/>
          <w:sz w:val="16"/>
          <w:szCs w:val="16"/>
        </w:rPr>
        <w:t>T. R. Levin</w:t>
      </w:r>
      <w:r w:rsidRPr="00FC603C">
        <w:rPr>
          <w:rFonts w:ascii="Aptos" w:hAnsi="Aptos"/>
          <w:color w:val="000000" w:themeColor="text1"/>
          <w:sz w:val="16"/>
          <w:szCs w:val="16"/>
        </w:rPr>
        <w:t xml:space="preserve">, </w:t>
      </w:r>
      <w:hyperlink r:id="rId2" w:history="1">
        <w:r w:rsidRPr="00FC603C">
          <w:rPr>
            <w:rStyle w:val="Hyperlink"/>
            <w:rFonts w:ascii="Aptos" w:hAnsi="Aptos"/>
            <w:i/>
            <w:iCs/>
            <w:color w:val="000000" w:themeColor="text1"/>
            <w:sz w:val="16"/>
            <w:szCs w:val="16"/>
            <w:u w:val="none"/>
          </w:rPr>
          <w:t>Effects of Organized Colorectal Cancer Screening on Cancer Incidence and Mortality in a Large Community-Based Population</w:t>
        </w:r>
      </w:hyperlink>
      <w:r w:rsidRPr="00FC603C">
        <w:rPr>
          <w:rFonts w:ascii="Aptos" w:hAnsi="Aptos"/>
          <w:color w:val="000000" w:themeColor="text1"/>
          <w:sz w:val="16"/>
          <w:szCs w:val="16"/>
        </w:rPr>
        <w:t xml:space="preserve">, </w:t>
      </w:r>
      <w:hyperlink r:id="rId3" w:history="1">
        <w:r w:rsidRPr="00422482">
          <w:rPr>
            <w:rStyle w:val="Hyperlink"/>
            <w:rFonts w:ascii="Aptos" w:hAnsi="Aptos"/>
            <w:sz w:val="16"/>
            <w:szCs w:val="16"/>
          </w:rPr>
          <w:t>https://doi.org/10.1053/j.gastro.2018.07.017</w:t>
        </w:r>
      </w:hyperlink>
      <w:r w:rsidRPr="00422482">
        <w:rPr>
          <w:rFonts w:ascii="Aptos" w:hAnsi="Aptos"/>
          <w:sz w:val="16"/>
          <w:szCs w:val="16"/>
        </w:rPr>
        <w:t xml:space="preserve"> (last visited January 15, 2025).</w:t>
      </w:r>
      <w:r w:rsidRPr="00496B4F">
        <w:rPr>
          <w:sz w:val="16"/>
          <w:szCs w:val="16"/>
        </w:rPr>
        <w:t xml:space="preserve"> </w:t>
      </w:r>
    </w:p>
  </w:footnote>
  <w:footnote w:id="7">
    <w:p w14:paraId="34E20AF0" w14:textId="03DADDF7" w:rsidR="006D61AE" w:rsidRPr="00941336" w:rsidRDefault="006D61AE">
      <w:pPr>
        <w:pStyle w:val="FootnoteText"/>
        <w:rPr>
          <w:sz w:val="16"/>
          <w:szCs w:val="16"/>
        </w:rPr>
      </w:pPr>
      <w:r w:rsidRPr="00941336">
        <w:rPr>
          <w:rStyle w:val="FootnoteReference"/>
          <w:sz w:val="16"/>
          <w:szCs w:val="16"/>
        </w:rPr>
        <w:footnoteRef/>
      </w:r>
      <w:r w:rsidRPr="00941336">
        <w:rPr>
          <w:sz w:val="16"/>
          <w:szCs w:val="16"/>
        </w:rPr>
        <w:t xml:space="preserve"> </w:t>
      </w:r>
      <w:hyperlink r:id="rId4" w:history="1">
        <w:r w:rsidR="00941336" w:rsidRPr="00FC603C">
          <w:rPr>
            <w:rStyle w:val="Hyperlink"/>
            <w:i/>
            <w:iCs/>
            <w:color w:val="000000" w:themeColor="text1"/>
            <w:sz w:val="16"/>
            <w:szCs w:val="16"/>
            <w:u w:val="none"/>
          </w:rPr>
          <w:t>Can Cancers in Young Adults Be Prevented?</w:t>
        </w:r>
        <w:r w:rsidR="00941336" w:rsidRPr="00FC603C">
          <w:rPr>
            <w:rStyle w:val="Hyperlink"/>
            <w:color w:val="000000" w:themeColor="text1"/>
            <w:sz w:val="16"/>
            <w:szCs w:val="16"/>
            <w:u w:val="none"/>
          </w:rPr>
          <w:t>,</w:t>
        </w:r>
      </w:hyperlink>
      <w:r w:rsidR="00941336" w:rsidRPr="00FC603C">
        <w:rPr>
          <w:color w:val="000000" w:themeColor="text1"/>
          <w:sz w:val="16"/>
          <w:szCs w:val="16"/>
        </w:rPr>
        <w:t xml:space="preserve"> AMERICAN </w:t>
      </w:r>
      <w:r w:rsidR="00941336" w:rsidRPr="00941336">
        <w:rPr>
          <w:sz w:val="16"/>
          <w:szCs w:val="16"/>
        </w:rPr>
        <w:t xml:space="preserve">CANCER SOCIETY, </w:t>
      </w:r>
      <w:hyperlink r:id="rId5" w:history="1">
        <w:r w:rsidR="00941336" w:rsidRPr="00941336">
          <w:rPr>
            <w:rStyle w:val="Hyperlink"/>
            <w:sz w:val="16"/>
            <w:szCs w:val="16"/>
          </w:rPr>
          <w:t>https://www.cancer.org/cancer/types/cancer-in-young-adults/prevention.html</w:t>
        </w:r>
      </w:hyperlink>
      <w:r w:rsidR="00941336" w:rsidRPr="00941336">
        <w:rPr>
          <w:sz w:val="16"/>
          <w:szCs w:val="16"/>
        </w:rPr>
        <w:t> (last visited June 20, 2025).</w:t>
      </w:r>
    </w:p>
  </w:footnote>
  <w:footnote w:id="8">
    <w:p w14:paraId="1FAC24CF" w14:textId="32F8B984" w:rsidR="00CC7321" w:rsidRDefault="00CC7321">
      <w:pPr>
        <w:pStyle w:val="FootnoteText"/>
      </w:pPr>
      <w:r>
        <w:rPr>
          <w:rStyle w:val="FootnoteReference"/>
        </w:rPr>
        <w:footnoteRef/>
      </w:r>
      <w:r>
        <w:t xml:space="preserve"> </w:t>
      </w:r>
      <w:hyperlink r:id="rId6" w:history="1">
        <w:r w:rsidR="00941336" w:rsidRPr="00FC603C">
          <w:rPr>
            <w:rStyle w:val="Hyperlink"/>
            <w:i/>
            <w:iCs/>
            <w:color w:val="000000" w:themeColor="text1"/>
            <w:sz w:val="16"/>
            <w:szCs w:val="16"/>
            <w:u w:val="none"/>
          </w:rPr>
          <w:t>American Cancer Society Guideline for Colorectal Cancer Screening</w:t>
        </w:r>
      </w:hyperlink>
      <w:r w:rsidR="00941336" w:rsidRPr="00FC603C">
        <w:rPr>
          <w:i/>
          <w:iCs/>
          <w:color w:val="000000" w:themeColor="text1"/>
          <w:sz w:val="16"/>
          <w:szCs w:val="16"/>
        </w:rPr>
        <w:t>,</w:t>
      </w:r>
      <w:r w:rsidR="00941336" w:rsidRPr="00FC603C">
        <w:rPr>
          <w:color w:val="000000" w:themeColor="text1"/>
          <w:sz w:val="16"/>
          <w:szCs w:val="16"/>
        </w:rPr>
        <w:t xml:space="preserve"> AMERICAN </w:t>
      </w:r>
      <w:r w:rsidR="00941336" w:rsidRPr="00941336">
        <w:rPr>
          <w:sz w:val="16"/>
          <w:szCs w:val="16"/>
        </w:rPr>
        <w:t>CANCER</w:t>
      </w:r>
      <w:r w:rsidR="00941336">
        <w:rPr>
          <w:sz w:val="16"/>
          <w:szCs w:val="16"/>
        </w:rPr>
        <w:t xml:space="preserve"> </w:t>
      </w:r>
      <w:r w:rsidR="00941336" w:rsidRPr="00941336">
        <w:rPr>
          <w:sz w:val="16"/>
          <w:szCs w:val="16"/>
        </w:rPr>
        <w:t>SOCIETY</w:t>
      </w:r>
      <w:r w:rsidR="00941336">
        <w:rPr>
          <w:sz w:val="16"/>
          <w:szCs w:val="16"/>
        </w:rPr>
        <w:t xml:space="preserve"> </w:t>
      </w:r>
      <w:r w:rsidR="00941336" w:rsidRPr="00941336">
        <w:rPr>
          <w:sz w:val="16"/>
          <w:szCs w:val="16"/>
        </w:rPr>
        <w:t>,</w:t>
      </w:r>
      <w:r w:rsidR="00941336">
        <w:rPr>
          <w:sz w:val="16"/>
          <w:szCs w:val="16"/>
        </w:rPr>
        <w:t xml:space="preserve">  </w:t>
      </w:r>
      <w:hyperlink r:id="rId7" w:history="1">
        <w:r w:rsidR="00941336" w:rsidRPr="0059730C">
          <w:rPr>
            <w:rStyle w:val="Hyperlink"/>
            <w:sz w:val="16"/>
            <w:szCs w:val="16"/>
          </w:rPr>
          <w:t> https://www.cancer.org/cancer/types/colon-rectal-cancer/detection-diagnosis-staging/acs-recommendations.html</w:t>
        </w:r>
      </w:hyperlink>
      <w:r w:rsidR="00941336" w:rsidRPr="00941336">
        <w:rPr>
          <w:sz w:val="16"/>
          <w:szCs w:val="16"/>
        </w:rPr>
        <w:t> (last visited June 20, 2025).</w:t>
      </w:r>
    </w:p>
  </w:footnote>
  <w:footnote w:id="9">
    <w:p w14:paraId="67C89667" w14:textId="77777777" w:rsidR="00406E19" w:rsidRDefault="00406E19" w:rsidP="00406E19">
      <w:pPr>
        <w:pStyle w:val="FootnoteText"/>
      </w:pPr>
      <w:r w:rsidRPr="00537E91">
        <w:rPr>
          <w:rStyle w:val="FootnoteReference"/>
          <w:rFonts w:ascii="Aptos" w:hAnsi="Aptos"/>
          <w:sz w:val="16"/>
          <w:szCs w:val="16"/>
        </w:rPr>
        <w:footnoteRef/>
      </w:r>
      <w:r w:rsidRPr="00537E91">
        <w:rPr>
          <w:rFonts w:ascii="Aptos" w:hAnsi="Aptos"/>
          <w:sz w:val="16"/>
          <w:szCs w:val="16"/>
        </w:rPr>
        <w:t xml:space="preserve"> </w:t>
      </w:r>
      <w:r w:rsidRPr="00946807">
        <w:rPr>
          <w:rFonts w:ascii="Aptos" w:hAnsi="Aptos"/>
          <w:sz w:val="16"/>
          <w:szCs w:val="16"/>
        </w:rPr>
        <w:t>Total cost data based on Medicare’s 2025 payments and copayments rates as reviewed on June 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704FCF9F" w:rsidR="00101DAD" w:rsidRDefault="00FC603C">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975" w14:textId="40DCEBFD" w:rsidR="00ED1D5D" w:rsidRDefault="000703C3" w:rsidP="00B371F2">
    <w:pPr>
      <w:pStyle w:val="Header"/>
      <w:jc w:val="center"/>
      <w:rPr>
        <w:b/>
        <w:bCs/>
        <w:sz w:val="28"/>
        <w:szCs w:val="28"/>
      </w:rPr>
    </w:pPr>
    <w:r>
      <w:rPr>
        <w:b/>
        <w:bCs/>
        <w:sz w:val="28"/>
        <w:szCs w:val="28"/>
      </w:rPr>
      <w:t>Emerson Endoscopy &amp; Digestive Health Center</w:t>
    </w:r>
  </w:p>
  <w:p w14:paraId="49E1965E" w14:textId="0BE04C94" w:rsidR="00856033" w:rsidRPr="00092585" w:rsidRDefault="00856033" w:rsidP="00B371F2">
    <w:pPr>
      <w:pStyle w:val="Header"/>
      <w:jc w:val="center"/>
      <w:rPr>
        <w:b/>
        <w:bCs/>
        <w:sz w:val="28"/>
        <w:szCs w:val="28"/>
      </w:rPr>
    </w:pPr>
    <w:proofErr w:type="spellStart"/>
    <w:r>
      <w:rPr>
        <w:b/>
        <w:bCs/>
        <w:sz w:val="28"/>
        <w:szCs w:val="28"/>
      </w:rPr>
      <w:t>DoN</w:t>
    </w:r>
    <w:proofErr w:type="spellEnd"/>
    <w:r>
      <w:rPr>
        <w:b/>
        <w:bCs/>
        <w:sz w:val="28"/>
        <w:szCs w:val="28"/>
      </w:rPr>
      <w:t xml:space="preserve"> #</w:t>
    </w:r>
    <w:r w:rsidR="007C7AEE">
      <w:rPr>
        <w:b/>
        <w:bCs/>
        <w:sz w:val="28"/>
        <w:szCs w:val="28"/>
      </w:rPr>
      <w:t>EDHC-25021711-AS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2F75" w14:textId="77777777" w:rsidR="007A0615" w:rsidRDefault="007A0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7792F"/>
    <w:multiLevelType w:val="hybridMultilevel"/>
    <w:tmpl w:val="A016F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A60AD3"/>
    <w:multiLevelType w:val="multilevel"/>
    <w:tmpl w:val="03784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4"/>
  </w:num>
  <w:num w:numId="2" w16cid:durableId="449669609">
    <w:abstractNumId w:val="6"/>
  </w:num>
  <w:num w:numId="3" w16cid:durableId="1632975170">
    <w:abstractNumId w:val="23"/>
  </w:num>
  <w:num w:numId="4" w16cid:durableId="1183977095">
    <w:abstractNumId w:val="30"/>
  </w:num>
  <w:num w:numId="5" w16cid:durableId="1230916997">
    <w:abstractNumId w:val="25"/>
  </w:num>
  <w:num w:numId="6" w16cid:durableId="464589505">
    <w:abstractNumId w:val="28"/>
  </w:num>
  <w:num w:numId="7" w16cid:durableId="98215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1"/>
  </w:num>
  <w:num w:numId="9" w16cid:durableId="1477533355">
    <w:abstractNumId w:val="2"/>
  </w:num>
  <w:num w:numId="10" w16cid:durableId="1828202636">
    <w:abstractNumId w:val="12"/>
  </w:num>
  <w:num w:numId="11" w16cid:durableId="1769345806">
    <w:abstractNumId w:val="1"/>
  </w:num>
  <w:num w:numId="12" w16cid:durableId="1426415847">
    <w:abstractNumId w:val="22"/>
  </w:num>
  <w:num w:numId="13" w16cid:durableId="1549880134">
    <w:abstractNumId w:val="14"/>
  </w:num>
  <w:num w:numId="14" w16cid:durableId="2131704504">
    <w:abstractNumId w:val="18"/>
  </w:num>
  <w:num w:numId="15" w16cid:durableId="1853495620">
    <w:abstractNumId w:val="3"/>
  </w:num>
  <w:num w:numId="16" w16cid:durableId="941954089">
    <w:abstractNumId w:val="15"/>
  </w:num>
  <w:num w:numId="17" w16cid:durableId="1650279753">
    <w:abstractNumId w:val="10"/>
  </w:num>
  <w:num w:numId="18" w16cid:durableId="1988584985">
    <w:abstractNumId w:val="19"/>
  </w:num>
  <w:num w:numId="19" w16cid:durableId="535700289">
    <w:abstractNumId w:val="27"/>
  </w:num>
  <w:num w:numId="20" w16cid:durableId="461190725">
    <w:abstractNumId w:val="13"/>
  </w:num>
  <w:num w:numId="21" w16cid:durableId="1317417397">
    <w:abstractNumId w:val="5"/>
  </w:num>
  <w:num w:numId="22" w16cid:durableId="2038381733">
    <w:abstractNumId w:val="8"/>
  </w:num>
  <w:num w:numId="23" w16cid:durableId="1769961476">
    <w:abstractNumId w:val="5"/>
  </w:num>
  <w:num w:numId="24" w16cid:durableId="975526697">
    <w:abstractNumId w:val="11"/>
  </w:num>
  <w:num w:numId="25" w16cid:durableId="1724527157">
    <w:abstractNumId w:val="4"/>
  </w:num>
  <w:num w:numId="26" w16cid:durableId="1825075340">
    <w:abstractNumId w:val="7"/>
  </w:num>
  <w:num w:numId="27" w16cid:durableId="1062371025">
    <w:abstractNumId w:val="0"/>
  </w:num>
  <w:num w:numId="28" w16cid:durableId="319892756">
    <w:abstractNumId w:val="9"/>
  </w:num>
  <w:num w:numId="29" w16cid:durableId="1980500724">
    <w:abstractNumId w:val="26"/>
  </w:num>
  <w:num w:numId="30" w16cid:durableId="1571192574">
    <w:abstractNumId w:val="20"/>
  </w:num>
  <w:num w:numId="31" w16cid:durableId="2111119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9286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3CE"/>
    <w:rsid w:val="00003AA5"/>
    <w:rsid w:val="000043A5"/>
    <w:rsid w:val="00005616"/>
    <w:rsid w:val="00006750"/>
    <w:rsid w:val="000115B7"/>
    <w:rsid w:val="00011E91"/>
    <w:rsid w:val="00015AB6"/>
    <w:rsid w:val="0001602B"/>
    <w:rsid w:val="0001718E"/>
    <w:rsid w:val="000201A4"/>
    <w:rsid w:val="000204BD"/>
    <w:rsid w:val="00020571"/>
    <w:rsid w:val="00021E16"/>
    <w:rsid w:val="0002247D"/>
    <w:rsid w:val="00023287"/>
    <w:rsid w:val="0002367C"/>
    <w:rsid w:val="000246A5"/>
    <w:rsid w:val="00025270"/>
    <w:rsid w:val="00025D1B"/>
    <w:rsid w:val="00026890"/>
    <w:rsid w:val="000305E0"/>
    <w:rsid w:val="00030EF5"/>
    <w:rsid w:val="00033CB3"/>
    <w:rsid w:val="00034D04"/>
    <w:rsid w:val="00037DBC"/>
    <w:rsid w:val="0004024A"/>
    <w:rsid w:val="00042007"/>
    <w:rsid w:val="0004417D"/>
    <w:rsid w:val="000441F8"/>
    <w:rsid w:val="000451DE"/>
    <w:rsid w:val="000471D4"/>
    <w:rsid w:val="00047E6B"/>
    <w:rsid w:val="0005118D"/>
    <w:rsid w:val="00055D9B"/>
    <w:rsid w:val="00057914"/>
    <w:rsid w:val="00057BAA"/>
    <w:rsid w:val="00062F8C"/>
    <w:rsid w:val="00062FC0"/>
    <w:rsid w:val="000631D6"/>
    <w:rsid w:val="00064CD2"/>
    <w:rsid w:val="00065A3D"/>
    <w:rsid w:val="000703C3"/>
    <w:rsid w:val="00071A62"/>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33BD"/>
    <w:rsid w:val="000A3493"/>
    <w:rsid w:val="000A4B26"/>
    <w:rsid w:val="000A4C12"/>
    <w:rsid w:val="000A6E13"/>
    <w:rsid w:val="000A7C7B"/>
    <w:rsid w:val="000B0210"/>
    <w:rsid w:val="000B0EA5"/>
    <w:rsid w:val="000B205E"/>
    <w:rsid w:val="000B33AC"/>
    <w:rsid w:val="000B4C1D"/>
    <w:rsid w:val="000B753F"/>
    <w:rsid w:val="000C0238"/>
    <w:rsid w:val="000C0FF4"/>
    <w:rsid w:val="000C3B64"/>
    <w:rsid w:val="000C4F63"/>
    <w:rsid w:val="000C693E"/>
    <w:rsid w:val="000C7403"/>
    <w:rsid w:val="000D1251"/>
    <w:rsid w:val="000D3D43"/>
    <w:rsid w:val="000D568B"/>
    <w:rsid w:val="000E1A2B"/>
    <w:rsid w:val="000E3F88"/>
    <w:rsid w:val="000E7B9E"/>
    <w:rsid w:val="000E7BB1"/>
    <w:rsid w:val="000F0F66"/>
    <w:rsid w:val="000F1308"/>
    <w:rsid w:val="000F4352"/>
    <w:rsid w:val="000F76B5"/>
    <w:rsid w:val="00101DAD"/>
    <w:rsid w:val="001028B5"/>
    <w:rsid w:val="001036A2"/>
    <w:rsid w:val="00104021"/>
    <w:rsid w:val="00106635"/>
    <w:rsid w:val="00106F8B"/>
    <w:rsid w:val="00107578"/>
    <w:rsid w:val="0011132B"/>
    <w:rsid w:val="001119A9"/>
    <w:rsid w:val="00114641"/>
    <w:rsid w:val="001147F0"/>
    <w:rsid w:val="00117D7A"/>
    <w:rsid w:val="00120B70"/>
    <w:rsid w:val="0012138E"/>
    <w:rsid w:val="001215CE"/>
    <w:rsid w:val="00121E3F"/>
    <w:rsid w:val="00122AC1"/>
    <w:rsid w:val="00124E01"/>
    <w:rsid w:val="00130034"/>
    <w:rsid w:val="00130C46"/>
    <w:rsid w:val="00131E01"/>
    <w:rsid w:val="001321E8"/>
    <w:rsid w:val="001348C0"/>
    <w:rsid w:val="001353D6"/>
    <w:rsid w:val="00137228"/>
    <w:rsid w:val="001418CE"/>
    <w:rsid w:val="001439D9"/>
    <w:rsid w:val="00144AAB"/>
    <w:rsid w:val="0014570F"/>
    <w:rsid w:val="001470B4"/>
    <w:rsid w:val="00150334"/>
    <w:rsid w:val="001514FF"/>
    <w:rsid w:val="001526EC"/>
    <w:rsid w:val="00152B76"/>
    <w:rsid w:val="001542DA"/>
    <w:rsid w:val="00154DFC"/>
    <w:rsid w:val="001561A4"/>
    <w:rsid w:val="00157D38"/>
    <w:rsid w:val="00161633"/>
    <w:rsid w:val="001637F8"/>
    <w:rsid w:val="00163C19"/>
    <w:rsid w:val="001649EA"/>
    <w:rsid w:val="00164C8A"/>
    <w:rsid w:val="0016653F"/>
    <w:rsid w:val="001665EA"/>
    <w:rsid w:val="00170092"/>
    <w:rsid w:val="00170BF0"/>
    <w:rsid w:val="00172258"/>
    <w:rsid w:val="001745F4"/>
    <w:rsid w:val="00175714"/>
    <w:rsid w:val="00177DB5"/>
    <w:rsid w:val="00183328"/>
    <w:rsid w:val="001840D3"/>
    <w:rsid w:val="0018422C"/>
    <w:rsid w:val="00185E42"/>
    <w:rsid w:val="00187159"/>
    <w:rsid w:val="001873ED"/>
    <w:rsid w:val="00190CC4"/>
    <w:rsid w:val="001912C7"/>
    <w:rsid w:val="00193038"/>
    <w:rsid w:val="00193B1B"/>
    <w:rsid w:val="0019409A"/>
    <w:rsid w:val="0019518B"/>
    <w:rsid w:val="0019751B"/>
    <w:rsid w:val="0019763E"/>
    <w:rsid w:val="001A0238"/>
    <w:rsid w:val="001A32EA"/>
    <w:rsid w:val="001A338F"/>
    <w:rsid w:val="001B28D2"/>
    <w:rsid w:val="001B4571"/>
    <w:rsid w:val="001B4F20"/>
    <w:rsid w:val="001B524B"/>
    <w:rsid w:val="001C05B6"/>
    <w:rsid w:val="001C4126"/>
    <w:rsid w:val="001C4B4A"/>
    <w:rsid w:val="001C58CB"/>
    <w:rsid w:val="001C5A2D"/>
    <w:rsid w:val="001C6825"/>
    <w:rsid w:val="001C692A"/>
    <w:rsid w:val="001D14BE"/>
    <w:rsid w:val="001D22EE"/>
    <w:rsid w:val="001D3878"/>
    <w:rsid w:val="001D42BE"/>
    <w:rsid w:val="001D4B13"/>
    <w:rsid w:val="001D5A09"/>
    <w:rsid w:val="001D6557"/>
    <w:rsid w:val="001D6F95"/>
    <w:rsid w:val="001D775B"/>
    <w:rsid w:val="001D7789"/>
    <w:rsid w:val="001E39D5"/>
    <w:rsid w:val="001E4287"/>
    <w:rsid w:val="001E739B"/>
    <w:rsid w:val="001E7FB4"/>
    <w:rsid w:val="001F1181"/>
    <w:rsid w:val="001F1A68"/>
    <w:rsid w:val="001F1E8A"/>
    <w:rsid w:val="001F1F84"/>
    <w:rsid w:val="001F798F"/>
    <w:rsid w:val="00200E76"/>
    <w:rsid w:val="0020210C"/>
    <w:rsid w:val="00203870"/>
    <w:rsid w:val="002059BD"/>
    <w:rsid w:val="002059E0"/>
    <w:rsid w:val="00207205"/>
    <w:rsid w:val="002076B6"/>
    <w:rsid w:val="00210EBE"/>
    <w:rsid w:val="0021156F"/>
    <w:rsid w:val="00215F63"/>
    <w:rsid w:val="00216515"/>
    <w:rsid w:val="002179EC"/>
    <w:rsid w:val="00220612"/>
    <w:rsid w:val="00220874"/>
    <w:rsid w:val="002215BB"/>
    <w:rsid w:val="00221DD3"/>
    <w:rsid w:val="0022759C"/>
    <w:rsid w:val="0023173B"/>
    <w:rsid w:val="002318C5"/>
    <w:rsid w:val="00234610"/>
    <w:rsid w:val="0023702D"/>
    <w:rsid w:val="00237494"/>
    <w:rsid w:val="00237D71"/>
    <w:rsid w:val="00245ECA"/>
    <w:rsid w:val="002468A2"/>
    <w:rsid w:val="00247513"/>
    <w:rsid w:val="00250A27"/>
    <w:rsid w:val="00251C67"/>
    <w:rsid w:val="002538FB"/>
    <w:rsid w:val="00253A90"/>
    <w:rsid w:val="002549E8"/>
    <w:rsid w:val="0025668D"/>
    <w:rsid w:val="0025743D"/>
    <w:rsid w:val="00257E6B"/>
    <w:rsid w:val="002600A8"/>
    <w:rsid w:val="0026167E"/>
    <w:rsid w:val="00261855"/>
    <w:rsid w:val="0026193A"/>
    <w:rsid w:val="00264904"/>
    <w:rsid w:val="00265104"/>
    <w:rsid w:val="002652EE"/>
    <w:rsid w:val="00266C6A"/>
    <w:rsid w:val="00267062"/>
    <w:rsid w:val="002711C8"/>
    <w:rsid w:val="00272D23"/>
    <w:rsid w:val="0028035A"/>
    <w:rsid w:val="0028203A"/>
    <w:rsid w:val="00282E35"/>
    <w:rsid w:val="002842EA"/>
    <w:rsid w:val="00284BF5"/>
    <w:rsid w:val="00290185"/>
    <w:rsid w:val="00291B41"/>
    <w:rsid w:val="0029201E"/>
    <w:rsid w:val="00292073"/>
    <w:rsid w:val="0029547F"/>
    <w:rsid w:val="002957A3"/>
    <w:rsid w:val="0029685E"/>
    <w:rsid w:val="00296A97"/>
    <w:rsid w:val="002A1CEE"/>
    <w:rsid w:val="002A3B81"/>
    <w:rsid w:val="002A48E5"/>
    <w:rsid w:val="002A49B1"/>
    <w:rsid w:val="002A554F"/>
    <w:rsid w:val="002A7141"/>
    <w:rsid w:val="002B0B0C"/>
    <w:rsid w:val="002B20FF"/>
    <w:rsid w:val="002B4509"/>
    <w:rsid w:val="002B4626"/>
    <w:rsid w:val="002B79D0"/>
    <w:rsid w:val="002C0853"/>
    <w:rsid w:val="002C0F9E"/>
    <w:rsid w:val="002C2587"/>
    <w:rsid w:val="002C4CDD"/>
    <w:rsid w:val="002C6757"/>
    <w:rsid w:val="002D05D8"/>
    <w:rsid w:val="002D3A78"/>
    <w:rsid w:val="002D3C8E"/>
    <w:rsid w:val="002D40AC"/>
    <w:rsid w:val="002D496E"/>
    <w:rsid w:val="002D7BFC"/>
    <w:rsid w:val="002E1DF0"/>
    <w:rsid w:val="002E2029"/>
    <w:rsid w:val="002F04D1"/>
    <w:rsid w:val="002F1A9F"/>
    <w:rsid w:val="002F40F6"/>
    <w:rsid w:val="002F4542"/>
    <w:rsid w:val="002F4573"/>
    <w:rsid w:val="002F4F3C"/>
    <w:rsid w:val="002F5E31"/>
    <w:rsid w:val="003054CD"/>
    <w:rsid w:val="00305770"/>
    <w:rsid w:val="003065B2"/>
    <w:rsid w:val="00306967"/>
    <w:rsid w:val="00311F78"/>
    <w:rsid w:val="00312975"/>
    <w:rsid w:val="0031310D"/>
    <w:rsid w:val="00313D95"/>
    <w:rsid w:val="00313E62"/>
    <w:rsid w:val="0031511B"/>
    <w:rsid w:val="00316EC3"/>
    <w:rsid w:val="00317099"/>
    <w:rsid w:val="003237E9"/>
    <w:rsid w:val="003250DC"/>
    <w:rsid w:val="00330446"/>
    <w:rsid w:val="00332060"/>
    <w:rsid w:val="0033289B"/>
    <w:rsid w:val="0033773E"/>
    <w:rsid w:val="0034188E"/>
    <w:rsid w:val="00342413"/>
    <w:rsid w:val="003435C8"/>
    <w:rsid w:val="003538AF"/>
    <w:rsid w:val="00360E9D"/>
    <w:rsid w:val="0036169E"/>
    <w:rsid w:val="003662A0"/>
    <w:rsid w:val="003671CE"/>
    <w:rsid w:val="00372069"/>
    <w:rsid w:val="003724CF"/>
    <w:rsid w:val="00372914"/>
    <w:rsid w:val="0037508A"/>
    <w:rsid w:val="0037562D"/>
    <w:rsid w:val="003779B3"/>
    <w:rsid w:val="003802D2"/>
    <w:rsid w:val="00381C32"/>
    <w:rsid w:val="003842C5"/>
    <w:rsid w:val="00386473"/>
    <w:rsid w:val="003872A8"/>
    <w:rsid w:val="003878E1"/>
    <w:rsid w:val="00387BB6"/>
    <w:rsid w:val="003949CE"/>
    <w:rsid w:val="003A0FFD"/>
    <w:rsid w:val="003A1DF2"/>
    <w:rsid w:val="003A1F93"/>
    <w:rsid w:val="003A2DC1"/>
    <w:rsid w:val="003A39A4"/>
    <w:rsid w:val="003A42C0"/>
    <w:rsid w:val="003A51E4"/>
    <w:rsid w:val="003A5DE9"/>
    <w:rsid w:val="003A5F00"/>
    <w:rsid w:val="003A62B4"/>
    <w:rsid w:val="003A6733"/>
    <w:rsid w:val="003A6DEB"/>
    <w:rsid w:val="003B0E66"/>
    <w:rsid w:val="003B22DA"/>
    <w:rsid w:val="003B472F"/>
    <w:rsid w:val="003B4A51"/>
    <w:rsid w:val="003C34BC"/>
    <w:rsid w:val="003C3960"/>
    <w:rsid w:val="003C64F4"/>
    <w:rsid w:val="003D057A"/>
    <w:rsid w:val="003D0850"/>
    <w:rsid w:val="003D1D4E"/>
    <w:rsid w:val="003D2987"/>
    <w:rsid w:val="003D3903"/>
    <w:rsid w:val="003D49A8"/>
    <w:rsid w:val="003D56C4"/>
    <w:rsid w:val="003D6D46"/>
    <w:rsid w:val="003D78E0"/>
    <w:rsid w:val="003E1923"/>
    <w:rsid w:val="003E2018"/>
    <w:rsid w:val="003E29F6"/>
    <w:rsid w:val="003E561D"/>
    <w:rsid w:val="003E5CE2"/>
    <w:rsid w:val="003E5DAD"/>
    <w:rsid w:val="003E77B9"/>
    <w:rsid w:val="003F052A"/>
    <w:rsid w:val="003F2940"/>
    <w:rsid w:val="003F3FD9"/>
    <w:rsid w:val="003F5831"/>
    <w:rsid w:val="003F722F"/>
    <w:rsid w:val="00400B33"/>
    <w:rsid w:val="00404016"/>
    <w:rsid w:val="00405764"/>
    <w:rsid w:val="00406E19"/>
    <w:rsid w:val="0040735A"/>
    <w:rsid w:val="00407A93"/>
    <w:rsid w:val="004111B0"/>
    <w:rsid w:val="00411981"/>
    <w:rsid w:val="004123DB"/>
    <w:rsid w:val="00412848"/>
    <w:rsid w:val="00412E37"/>
    <w:rsid w:val="00414582"/>
    <w:rsid w:val="00414903"/>
    <w:rsid w:val="00416671"/>
    <w:rsid w:val="00416A5C"/>
    <w:rsid w:val="004171A9"/>
    <w:rsid w:val="00420EE4"/>
    <w:rsid w:val="004216D3"/>
    <w:rsid w:val="00422B3E"/>
    <w:rsid w:val="0042381E"/>
    <w:rsid w:val="004309CD"/>
    <w:rsid w:val="00430D4A"/>
    <w:rsid w:val="00431FF9"/>
    <w:rsid w:val="00432AEC"/>
    <w:rsid w:val="004340C2"/>
    <w:rsid w:val="00434DC2"/>
    <w:rsid w:val="00435BD1"/>
    <w:rsid w:val="00435C52"/>
    <w:rsid w:val="004367E9"/>
    <w:rsid w:val="004372D5"/>
    <w:rsid w:val="00437907"/>
    <w:rsid w:val="00441B9C"/>
    <w:rsid w:val="00442E58"/>
    <w:rsid w:val="00444549"/>
    <w:rsid w:val="00446451"/>
    <w:rsid w:val="004464D7"/>
    <w:rsid w:val="00452A64"/>
    <w:rsid w:val="00453A6F"/>
    <w:rsid w:val="00454856"/>
    <w:rsid w:val="0045541D"/>
    <w:rsid w:val="00457ABD"/>
    <w:rsid w:val="00460508"/>
    <w:rsid w:val="004605D8"/>
    <w:rsid w:val="00460A29"/>
    <w:rsid w:val="00466128"/>
    <w:rsid w:val="00467022"/>
    <w:rsid w:val="004703F6"/>
    <w:rsid w:val="0047061C"/>
    <w:rsid w:val="00471E4D"/>
    <w:rsid w:val="004722DA"/>
    <w:rsid w:val="0047239E"/>
    <w:rsid w:val="00472621"/>
    <w:rsid w:val="0047404C"/>
    <w:rsid w:val="0047612A"/>
    <w:rsid w:val="00482A3A"/>
    <w:rsid w:val="004859DC"/>
    <w:rsid w:val="00487F71"/>
    <w:rsid w:val="00491C09"/>
    <w:rsid w:val="00492CE8"/>
    <w:rsid w:val="004938AD"/>
    <w:rsid w:val="0049644D"/>
    <w:rsid w:val="004A206E"/>
    <w:rsid w:val="004A3DDB"/>
    <w:rsid w:val="004A6DA9"/>
    <w:rsid w:val="004A6DDB"/>
    <w:rsid w:val="004A743E"/>
    <w:rsid w:val="004A76F7"/>
    <w:rsid w:val="004A7AC3"/>
    <w:rsid w:val="004A7CF2"/>
    <w:rsid w:val="004B35D9"/>
    <w:rsid w:val="004B4C63"/>
    <w:rsid w:val="004B4FD5"/>
    <w:rsid w:val="004B53ED"/>
    <w:rsid w:val="004B5D2E"/>
    <w:rsid w:val="004B616C"/>
    <w:rsid w:val="004C19E2"/>
    <w:rsid w:val="004C3E58"/>
    <w:rsid w:val="004C40EF"/>
    <w:rsid w:val="004C5FF3"/>
    <w:rsid w:val="004C6954"/>
    <w:rsid w:val="004D1D74"/>
    <w:rsid w:val="004D4F2A"/>
    <w:rsid w:val="004D5803"/>
    <w:rsid w:val="004D597E"/>
    <w:rsid w:val="004E0B9F"/>
    <w:rsid w:val="004E0F87"/>
    <w:rsid w:val="004E2285"/>
    <w:rsid w:val="004E3CEE"/>
    <w:rsid w:val="004E4515"/>
    <w:rsid w:val="004E4580"/>
    <w:rsid w:val="004E5C9E"/>
    <w:rsid w:val="004E6F4B"/>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4EE4"/>
    <w:rsid w:val="0050594A"/>
    <w:rsid w:val="005125ED"/>
    <w:rsid w:val="005162D4"/>
    <w:rsid w:val="00516E5B"/>
    <w:rsid w:val="00521A21"/>
    <w:rsid w:val="00522EFA"/>
    <w:rsid w:val="00530092"/>
    <w:rsid w:val="005320CC"/>
    <w:rsid w:val="005335A2"/>
    <w:rsid w:val="00533F7E"/>
    <w:rsid w:val="005365BC"/>
    <w:rsid w:val="00540B34"/>
    <w:rsid w:val="005453F3"/>
    <w:rsid w:val="00545E14"/>
    <w:rsid w:val="005462CF"/>
    <w:rsid w:val="00547298"/>
    <w:rsid w:val="00547C33"/>
    <w:rsid w:val="00550CD0"/>
    <w:rsid w:val="00551EFD"/>
    <w:rsid w:val="0055317A"/>
    <w:rsid w:val="00556043"/>
    <w:rsid w:val="005565A0"/>
    <w:rsid w:val="00562B15"/>
    <w:rsid w:val="00563A52"/>
    <w:rsid w:val="00565661"/>
    <w:rsid w:val="005660A2"/>
    <w:rsid w:val="00566392"/>
    <w:rsid w:val="005672AD"/>
    <w:rsid w:val="00567E03"/>
    <w:rsid w:val="00567EAE"/>
    <w:rsid w:val="00571DB5"/>
    <w:rsid w:val="005723FC"/>
    <w:rsid w:val="005756F8"/>
    <w:rsid w:val="0057795A"/>
    <w:rsid w:val="00580403"/>
    <w:rsid w:val="0058133A"/>
    <w:rsid w:val="00583DDA"/>
    <w:rsid w:val="00592633"/>
    <w:rsid w:val="00593BD5"/>
    <w:rsid w:val="00593D09"/>
    <w:rsid w:val="00595DC3"/>
    <w:rsid w:val="00596B62"/>
    <w:rsid w:val="00597C1C"/>
    <w:rsid w:val="005A09EA"/>
    <w:rsid w:val="005A2195"/>
    <w:rsid w:val="005A5B88"/>
    <w:rsid w:val="005A67B9"/>
    <w:rsid w:val="005B2002"/>
    <w:rsid w:val="005B3EED"/>
    <w:rsid w:val="005B41AC"/>
    <w:rsid w:val="005B5F2F"/>
    <w:rsid w:val="005C0AF5"/>
    <w:rsid w:val="005C13BE"/>
    <w:rsid w:val="005C2AE2"/>
    <w:rsid w:val="005C361E"/>
    <w:rsid w:val="005C415C"/>
    <w:rsid w:val="005C4EA9"/>
    <w:rsid w:val="005C50BA"/>
    <w:rsid w:val="005C577D"/>
    <w:rsid w:val="005C6635"/>
    <w:rsid w:val="005C712B"/>
    <w:rsid w:val="005C772F"/>
    <w:rsid w:val="005D0ED5"/>
    <w:rsid w:val="005D1437"/>
    <w:rsid w:val="005D2E26"/>
    <w:rsid w:val="005D3014"/>
    <w:rsid w:val="005D36FE"/>
    <w:rsid w:val="005D6560"/>
    <w:rsid w:val="005D6895"/>
    <w:rsid w:val="005D7AC8"/>
    <w:rsid w:val="005E1E6E"/>
    <w:rsid w:val="005E2B35"/>
    <w:rsid w:val="005E2DD7"/>
    <w:rsid w:val="005E3294"/>
    <w:rsid w:val="005E5080"/>
    <w:rsid w:val="005E5577"/>
    <w:rsid w:val="005E784A"/>
    <w:rsid w:val="005F1E17"/>
    <w:rsid w:val="005F2CC0"/>
    <w:rsid w:val="005F2FEB"/>
    <w:rsid w:val="005F3A24"/>
    <w:rsid w:val="005F3ECC"/>
    <w:rsid w:val="005F48D7"/>
    <w:rsid w:val="0060093A"/>
    <w:rsid w:val="00601093"/>
    <w:rsid w:val="00601540"/>
    <w:rsid w:val="00604B74"/>
    <w:rsid w:val="00606EE8"/>
    <w:rsid w:val="0060745D"/>
    <w:rsid w:val="00610861"/>
    <w:rsid w:val="00611A51"/>
    <w:rsid w:val="006124F9"/>
    <w:rsid w:val="00613CDD"/>
    <w:rsid w:val="0061472D"/>
    <w:rsid w:val="006155C9"/>
    <w:rsid w:val="006174A7"/>
    <w:rsid w:val="00620026"/>
    <w:rsid w:val="006203C9"/>
    <w:rsid w:val="00620EB6"/>
    <w:rsid w:val="006231EE"/>
    <w:rsid w:val="00626439"/>
    <w:rsid w:val="00627715"/>
    <w:rsid w:val="00631B65"/>
    <w:rsid w:val="006345D0"/>
    <w:rsid w:val="00637B05"/>
    <w:rsid w:val="00637DC3"/>
    <w:rsid w:val="006414D7"/>
    <w:rsid w:val="006414FA"/>
    <w:rsid w:val="0064412C"/>
    <w:rsid w:val="00645A9F"/>
    <w:rsid w:val="0064691A"/>
    <w:rsid w:val="0064794B"/>
    <w:rsid w:val="006515CF"/>
    <w:rsid w:val="00651B37"/>
    <w:rsid w:val="00651E60"/>
    <w:rsid w:val="00656842"/>
    <w:rsid w:val="006570E4"/>
    <w:rsid w:val="00665920"/>
    <w:rsid w:val="0066604A"/>
    <w:rsid w:val="0066746F"/>
    <w:rsid w:val="00671633"/>
    <w:rsid w:val="00671A4C"/>
    <w:rsid w:val="00676C6C"/>
    <w:rsid w:val="006813D8"/>
    <w:rsid w:val="00682421"/>
    <w:rsid w:val="006832D4"/>
    <w:rsid w:val="00685792"/>
    <w:rsid w:val="006878B8"/>
    <w:rsid w:val="0068795C"/>
    <w:rsid w:val="00687DF5"/>
    <w:rsid w:val="006900CC"/>
    <w:rsid w:val="006911C3"/>
    <w:rsid w:val="006979BE"/>
    <w:rsid w:val="006A0B44"/>
    <w:rsid w:val="006A0E12"/>
    <w:rsid w:val="006A15F2"/>
    <w:rsid w:val="006A2082"/>
    <w:rsid w:val="006A2C18"/>
    <w:rsid w:val="006A4298"/>
    <w:rsid w:val="006A6499"/>
    <w:rsid w:val="006A680C"/>
    <w:rsid w:val="006B063E"/>
    <w:rsid w:val="006B28E2"/>
    <w:rsid w:val="006B7D5A"/>
    <w:rsid w:val="006C18E2"/>
    <w:rsid w:val="006C1C43"/>
    <w:rsid w:val="006C26A3"/>
    <w:rsid w:val="006C427A"/>
    <w:rsid w:val="006C44F3"/>
    <w:rsid w:val="006C5DC0"/>
    <w:rsid w:val="006C6604"/>
    <w:rsid w:val="006C6F27"/>
    <w:rsid w:val="006D06AC"/>
    <w:rsid w:val="006D2806"/>
    <w:rsid w:val="006D5FA5"/>
    <w:rsid w:val="006D61AE"/>
    <w:rsid w:val="006D61EB"/>
    <w:rsid w:val="006D67BA"/>
    <w:rsid w:val="006D67C1"/>
    <w:rsid w:val="006D6EFC"/>
    <w:rsid w:val="006D7B04"/>
    <w:rsid w:val="006E49A5"/>
    <w:rsid w:val="006F0FDE"/>
    <w:rsid w:val="006F272F"/>
    <w:rsid w:val="006F508A"/>
    <w:rsid w:val="00700759"/>
    <w:rsid w:val="00702AC9"/>
    <w:rsid w:val="00702D67"/>
    <w:rsid w:val="0070429A"/>
    <w:rsid w:val="00704AF2"/>
    <w:rsid w:val="00705D20"/>
    <w:rsid w:val="00705F72"/>
    <w:rsid w:val="00706C9D"/>
    <w:rsid w:val="007073E9"/>
    <w:rsid w:val="007077C0"/>
    <w:rsid w:val="00710539"/>
    <w:rsid w:val="00710684"/>
    <w:rsid w:val="007111FF"/>
    <w:rsid w:val="007117A4"/>
    <w:rsid w:val="0071227F"/>
    <w:rsid w:val="00714363"/>
    <w:rsid w:val="0071442D"/>
    <w:rsid w:val="007163BC"/>
    <w:rsid w:val="007204F8"/>
    <w:rsid w:val="007214CD"/>
    <w:rsid w:val="0072181F"/>
    <w:rsid w:val="00722009"/>
    <w:rsid w:val="0072258B"/>
    <w:rsid w:val="007227E7"/>
    <w:rsid w:val="007231BB"/>
    <w:rsid w:val="00723C74"/>
    <w:rsid w:val="007245D3"/>
    <w:rsid w:val="007312C2"/>
    <w:rsid w:val="0073551C"/>
    <w:rsid w:val="007370BC"/>
    <w:rsid w:val="0073766B"/>
    <w:rsid w:val="00742C46"/>
    <w:rsid w:val="00743517"/>
    <w:rsid w:val="007469D8"/>
    <w:rsid w:val="007503CE"/>
    <w:rsid w:val="00752C1B"/>
    <w:rsid w:val="007531A0"/>
    <w:rsid w:val="00754A13"/>
    <w:rsid w:val="007629DA"/>
    <w:rsid w:val="00762C24"/>
    <w:rsid w:val="007641EC"/>
    <w:rsid w:val="0076651E"/>
    <w:rsid w:val="00766B15"/>
    <w:rsid w:val="00767DB8"/>
    <w:rsid w:val="00770D89"/>
    <w:rsid w:val="00770ECE"/>
    <w:rsid w:val="007741F5"/>
    <w:rsid w:val="00774549"/>
    <w:rsid w:val="00777966"/>
    <w:rsid w:val="007808E9"/>
    <w:rsid w:val="00781702"/>
    <w:rsid w:val="00782D74"/>
    <w:rsid w:val="00786222"/>
    <w:rsid w:val="0078781C"/>
    <w:rsid w:val="00790371"/>
    <w:rsid w:val="00791931"/>
    <w:rsid w:val="00791D0F"/>
    <w:rsid w:val="00792DFA"/>
    <w:rsid w:val="007933C8"/>
    <w:rsid w:val="00793566"/>
    <w:rsid w:val="00796150"/>
    <w:rsid w:val="007A0615"/>
    <w:rsid w:val="007A1963"/>
    <w:rsid w:val="007A19B2"/>
    <w:rsid w:val="007A6756"/>
    <w:rsid w:val="007B1AF4"/>
    <w:rsid w:val="007B48AC"/>
    <w:rsid w:val="007B7107"/>
    <w:rsid w:val="007C1208"/>
    <w:rsid w:val="007C1CAE"/>
    <w:rsid w:val="007C2A52"/>
    <w:rsid w:val="007C31A5"/>
    <w:rsid w:val="007C392B"/>
    <w:rsid w:val="007C4499"/>
    <w:rsid w:val="007C7AEE"/>
    <w:rsid w:val="007D001D"/>
    <w:rsid w:val="007D0C4C"/>
    <w:rsid w:val="007D0F53"/>
    <w:rsid w:val="007D1427"/>
    <w:rsid w:val="007D14E2"/>
    <w:rsid w:val="007D1DE6"/>
    <w:rsid w:val="007D309E"/>
    <w:rsid w:val="007D399B"/>
    <w:rsid w:val="007D4FB8"/>
    <w:rsid w:val="007D542B"/>
    <w:rsid w:val="007D6F84"/>
    <w:rsid w:val="007D716F"/>
    <w:rsid w:val="007E03DC"/>
    <w:rsid w:val="007E515A"/>
    <w:rsid w:val="007F18F5"/>
    <w:rsid w:val="007F25A0"/>
    <w:rsid w:val="007F539B"/>
    <w:rsid w:val="007F5758"/>
    <w:rsid w:val="007F7113"/>
    <w:rsid w:val="00800525"/>
    <w:rsid w:val="00805000"/>
    <w:rsid w:val="00806316"/>
    <w:rsid w:val="00807358"/>
    <w:rsid w:val="00814BA2"/>
    <w:rsid w:val="00816BF8"/>
    <w:rsid w:val="0081758A"/>
    <w:rsid w:val="00817A7B"/>
    <w:rsid w:val="00820E1A"/>
    <w:rsid w:val="008233CC"/>
    <w:rsid w:val="008249B3"/>
    <w:rsid w:val="00826C1D"/>
    <w:rsid w:val="00832477"/>
    <w:rsid w:val="008325CF"/>
    <w:rsid w:val="00832690"/>
    <w:rsid w:val="008343FE"/>
    <w:rsid w:val="0084044F"/>
    <w:rsid w:val="008411DB"/>
    <w:rsid w:val="00841D3E"/>
    <w:rsid w:val="00842A12"/>
    <w:rsid w:val="008441D2"/>
    <w:rsid w:val="00844887"/>
    <w:rsid w:val="00853808"/>
    <w:rsid w:val="008547AC"/>
    <w:rsid w:val="008558AA"/>
    <w:rsid w:val="00856033"/>
    <w:rsid w:val="00856C65"/>
    <w:rsid w:val="008628D0"/>
    <w:rsid w:val="008636E7"/>
    <w:rsid w:val="00863DED"/>
    <w:rsid w:val="00865A56"/>
    <w:rsid w:val="00867A44"/>
    <w:rsid w:val="00870B9C"/>
    <w:rsid w:val="00872985"/>
    <w:rsid w:val="00872E44"/>
    <w:rsid w:val="0087532E"/>
    <w:rsid w:val="008764FF"/>
    <w:rsid w:val="00876B13"/>
    <w:rsid w:val="00880B05"/>
    <w:rsid w:val="008816DE"/>
    <w:rsid w:val="00884889"/>
    <w:rsid w:val="0088529C"/>
    <w:rsid w:val="008858B5"/>
    <w:rsid w:val="0088594F"/>
    <w:rsid w:val="00890411"/>
    <w:rsid w:val="008A4AAE"/>
    <w:rsid w:val="008A4D39"/>
    <w:rsid w:val="008A5D59"/>
    <w:rsid w:val="008A6940"/>
    <w:rsid w:val="008B0020"/>
    <w:rsid w:val="008B02DF"/>
    <w:rsid w:val="008B19DE"/>
    <w:rsid w:val="008B4A42"/>
    <w:rsid w:val="008B762F"/>
    <w:rsid w:val="008C13D3"/>
    <w:rsid w:val="008C1BC1"/>
    <w:rsid w:val="008C1D6D"/>
    <w:rsid w:val="008C48B4"/>
    <w:rsid w:val="008C4A85"/>
    <w:rsid w:val="008C6549"/>
    <w:rsid w:val="008C7624"/>
    <w:rsid w:val="008D45BB"/>
    <w:rsid w:val="008D4DCA"/>
    <w:rsid w:val="008D648C"/>
    <w:rsid w:val="008E63C4"/>
    <w:rsid w:val="008E653F"/>
    <w:rsid w:val="008E6545"/>
    <w:rsid w:val="008F1E32"/>
    <w:rsid w:val="008F1EB6"/>
    <w:rsid w:val="008F4EC3"/>
    <w:rsid w:val="008F5195"/>
    <w:rsid w:val="008F5A1B"/>
    <w:rsid w:val="008F6DF2"/>
    <w:rsid w:val="0090315D"/>
    <w:rsid w:val="00903338"/>
    <w:rsid w:val="0090431E"/>
    <w:rsid w:val="009050B0"/>
    <w:rsid w:val="009070E4"/>
    <w:rsid w:val="00910CA6"/>
    <w:rsid w:val="00917ED9"/>
    <w:rsid w:val="009235C2"/>
    <w:rsid w:val="00924725"/>
    <w:rsid w:val="00925EA0"/>
    <w:rsid w:val="00926EC5"/>
    <w:rsid w:val="009317C0"/>
    <w:rsid w:val="00931F5D"/>
    <w:rsid w:val="00932435"/>
    <w:rsid w:val="0093360D"/>
    <w:rsid w:val="00935A39"/>
    <w:rsid w:val="00935F5B"/>
    <w:rsid w:val="00941336"/>
    <w:rsid w:val="00942A8A"/>
    <w:rsid w:val="00945170"/>
    <w:rsid w:val="00946807"/>
    <w:rsid w:val="00950571"/>
    <w:rsid w:val="00950B02"/>
    <w:rsid w:val="0095274A"/>
    <w:rsid w:val="00953121"/>
    <w:rsid w:val="00953DAA"/>
    <w:rsid w:val="009565C2"/>
    <w:rsid w:val="00956827"/>
    <w:rsid w:val="00956A3F"/>
    <w:rsid w:val="00957375"/>
    <w:rsid w:val="0096109A"/>
    <w:rsid w:val="009648F0"/>
    <w:rsid w:val="00964F5E"/>
    <w:rsid w:val="00964F91"/>
    <w:rsid w:val="00965110"/>
    <w:rsid w:val="0096675D"/>
    <w:rsid w:val="00967B5B"/>
    <w:rsid w:val="009704F9"/>
    <w:rsid w:val="00971489"/>
    <w:rsid w:val="009717FD"/>
    <w:rsid w:val="00972FFF"/>
    <w:rsid w:val="009748E0"/>
    <w:rsid w:val="00975185"/>
    <w:rsid w:val="0097558A"/>
    <w:rsid w:val="009764DF"/>
    <w:rsid w:val="00985C39"/>
    <w:rsid w:val="00987943"/>
    <w:rsid w:val="00991C78"/>
    <w:rsid w:val="009925F8"/>
    <w:rsid w:val="00992C15"/>
    <w:rsid w:val="009961E1"/>
    <w:rsid w:val="009964C9"/>
    <w:rsid w:val="00996619"/>
    <w:rsid w:val="00997CD2"/>
    <w:rsid w:val="009A107B"/>
    <w:rsid w:val="009A236F"/>
    <w:rsid w:val="009A305D"/>
    <w:rsid w:val="009A306A"/>
    <w:rsid w:val="009A36D7"/>
    <w:rsid w:val="009A3EB1"/>
    <w:rsid w:val="009A3FFE"/>
    <w:rsid w:val="009A49D5"/>
    <w:rsid w:val="009A4DCE"/>
    <w:rsid w:val="009B0CBF"/>
    <w:rsid w:val="009B3AD9"/>
    <w:rsid w:val="009B3D14"/>
    <w:rsid w:val="009B3FB7"/>
    <w:rsid w:val="009B766D"/>
    <w:rsid w:val="009B7DDC"/>
    <w:rsid w:val="009B7F1F"/>
    <w:rsid w:val="009C1049"/>
    <w:rsid w:val="009C157F"/>
    <w:rsid w:val="009C49C8"/>
    <w:rsid w:val="009C5BE2"/>
    <w:rsid w:val="009C6AC2"/>
    <w:rsid w:val="009C774C"/>
    <w:rsid w:val="009D23CF"/>
    <w:rsid w:val="009D2693"/>
    <w:rsid w:val="009D4D27"/>
    <w:rsid w:val="009D5819"/>
    <w:rsid w:val="009D7430"/>
    <w:rsid w:val="009D7FE4"/>
    <w:rsid w:val="009E092D"/>
    <w:rsid w:val="009E1518"/>
    <w:rsid w:val="009E351A"/>
    <w:rsid w:val="009E4464"/>
    <w:rsid w:val="009E70CA"/>
    <w:rsid w:val="009E7B07"/>
    <w:rsid w:val="009F057B"/>
    <w:rsid w:val="009F14A8"/>
    <w:rsid w:val="009F1D51"/>
    <w:rsid w:val="009F4FDA"/>
    <w:rsid w:val="009F6AC5"/>
    <w:rsid w:val="009F7F1E"/>
    <w:rsid w:val="00A003CF"/>
    <w:rsid w:val="00A005EA"/>
    <w:rsid w:val="00A032FE"/>
    <w:rsid w:val="00A03630"/>
    <w:rsid w:val="00A0414A"/>
    <w:rsid w:val="00A059C1"/>
    <w:rsid w:val="00A10811"/>
    <w:rsid w:val="00A124AD"/>
    <w:rsid w:val="00A12D89"/>
    <w:rsid w:val="00A13A35"/>
    <w:rsid w:val="00A159F2"/>
    <w:rsid w:val="00A15D95"/>
    <w:rsid w:val="00A16131"/>
    <w:rsid w:val="00A169F5"/>
    <w:rsid w:val="00A171D2"/>
    <w:rsid w:val="00A20622"/>
    <w:rsid w:val="00A2150D"/>
    <w:rsid w:val="00A2358F"/>
    <w:rsid w:val="00A27739"/>
    <w:rsid w:val="00A27C53"/>
    <w:rsid w:val="00A30B85"/>
    <w:rsid w:val="00A321CE"/>
    <w:rsid w:val="00A3256A"/>
    <w:rsid w:val="00A3290D"/>
    <w:rsid w:val="00A34468"/>
    <w:rsid w:val="00A40530"/>
    <w:rsid w:val="00A41C5A"/>
    <w:rsid w:val="00A44EA2"/>
    <w:rsid w:val="00A4648C"/>
    <w:rsid w:val="00A47E94"/>
    <w:rsid w:val="00A5271A"/>
    <w:rsid w:val="00A55F6E"/>
    <w:rsid w:val="00A56887"/>
    <w:rsid w:val="00A648BD"/>
    <w:rsid w:val="00A64B08"/>
    <w:rsid w:val="00A67BBD"/>
    <w:rsid w:val="00A67CCF"/>
    <w:rsid w:val="00A700BA"/>
    <w:rsid w:val="00A70AB3"/>
    <w:rsid w:val="00A70E69"/>
    <w:rsid w:val="00A725EF"/>
    <w:rsid w:val="00A75E59"/>
    <w:rsid w:val="00A760C1"/>
    <w:rsid w:val="00A766C3"/>
    <w:rsid w:val="00A80A95"/>
    <w:rsid w:val="00A81D30"/>
    <w:rsid w:val="00A82237"/>
    <w:rsid w:val="00A83D76"/>
    <w:rsid w:val="00A92066"/>
    <w:rsid w:val="00A97891"/>
    <w:rsid w:val="00AA0B69"/>
    <w:rsid w:val="00AB117F"/>
    <w:rsid w:val="00AB235E"/>
    <w:rsid w:val="00AB50EA"/>
    <w:rsid w:val="00AB5C56"/>
    <w:rsid w:val="00AB6659"/>
    <w:rsid w:val="00AC08DF"/>
    <w:rsid w:val="00AC1764"/>
    <w:rsid w:val="00AC324A"/>
    <w:rsid w:val="00AC66B9"/>
    <w:rsid w:val="00AC6DC0"/>
    <w:rsid w:val="00AD0749"/>
    <w:rsid w:val="00AD0C34"/>
    <w:rsid w:val="00AD13BC"/>
    <w:rsid w:val="00AD18E4"/>
    <w:rsid w:val="00AD2FC9"/>
    <w:rsid w:val="00AD47D4"/>
    <w:rsid w:val="00AD4C61"/>
    <w:rsid w:val="00AD51E7"/>
    <w:rsid w:val="00AE07E6"/>
    <w:rsid w:val="00AE2B02"/>
    <w:rsid w:val="00AE633D"/>
    <w:rsid w:val="00AF2121"/>
    <w:rsid w:val="00AF2D10"/>
    <w:rsid w:val="00AF4A4A"/>
    <w:rsid w:val="00AF56C8"/>
    <w:rsid w:val="00AF5D07"/>
    <w:rsid w:val="00B00290"/>
    <w:rsid w:val="00B03B4E"/>
    <w:rsid w:val="00B06C7D"/>
    <w:rsid w:val="00B14989"/>
    <w:rsid w:val="00B15223"/>
    <w:rsid w:val="00B164E8"/>
    <w:rsid w:val="00B17E81"/>
    <w:rsid w:val="00B25870"/>
    <w:rsid w:val="00B35BDB"/>
    <w:rsid w:val="00B36903"/>
    <w:rsid w:val="00B371F2"/>
    <w:rsid w:val="00B41866"/>
    <w:rsid w:val="00B4368C"/>
    <w:rsid w:val="00B44DFC"/>
    <w:rsid w:val="00B46497"/>
    <w:rsid w:val="00B513A7"/>
    <w:rsid w:val="00B54D93"/>
    <w:rsid w:val="00B55440"/>
    <w:rsid w:val="00B60C82"/>
    <w:rsid w:val="00B60F75"/>
    <w:rsid w:val="00B61620"/>
    <w:rsid w:val="00B62348"/>
    <w:rsid w:val="00B62AA8"/>
    <w:rsid w:val="00B62B8B"/>
    <w:rsid w:val="00B6535D"/>
    <w:rsid w:val="00B6792D"/>
    <w:rsid w:val="00B70864"/>
    <w:rsid w:val="00B71821"/>
    <w:rsid w:val="00B74C9C"/>
    <w:rsid w:val="00B74C9D"/>
    <w:rsid w:val="00B74F20"/>
    <w:rsid w:val="00B76741"/>
    <w:rsid w:val="00B767F4"/>
    <w:rsid w:val="00B77987"/>
    <w:rsid w:val="00B82AD4"/>
    <w:rsid w:val="00B845CB"/>
    <w:rsid w:val="00B845E2"/>
    <w:rsid w:val="00B861CC"/>
    <w:rsid w:val="00B90FBA"/>
    <w:rsid w:val="00B917E5"/>
    <w:rsid w:val="00B94B0C"/>
    <w:rsid w:val="00B97089"/>
    <w:rsid w:val="00B9779C"/>
    <w:rsid w:val="00B97E48"/>
    <w:rsid w:val="00BA08DC"/>
    <w:rsid w:val="00BA1744"/>
    <w:rsid w:val="00BA32A5"/>
    <w:rsid w:val="00BA556E"/>
    <w:rsid w:val="00BA5E8C"/>
    <w:rsid w:val="00BA69C8"/>
    <w:rsid w:val="00BA6BEA"/>
    <w:rsid w:val="00BA73E7"/>
    <w:rsid w:val="00BB1EDC"/>
    <w:rsid w:val="00BB251B"/>
    <w:rsid w:val="00BB28C2"/>
    <w:rsid w:val="00BB2A76"/>
    <w:rsid w:val="00BB2D03"/>
    <w:rsid w:val="00BB3397"/>
    <w:rsid w:val="00BB52C7"/>
    <w:rsid w:val="00BB76E3"/>
    <w:rsid w:val="00BC0160"/>
    <w:rsid w:val="00BC0A97"/>
    <w:rsid w:val="00BC1907"/>
    <w:rsid w:val="00BC40AF"/>
    <w:rsid w:val="00BC491E"/>
    <w:rsid w:val="00BC6042"/>
    <w:rsid w:val="00BC605A"/>
    <w:rsid w:val="00BC6BB6"/>
    <w:rsid w:val="00BC78C3"/>
    <w:rsid w:val="00BD0495"/>
    <w:rsid w:val="00BD0DF8"/>
    <w:rsid w:val="00BD5574"/>
    <w:rsid w:val="00BD57B0"/>
    <w:rsid w:val="00BD62A5"/>
    <w:rsid w:val="00BD6601"/>
    <w:rsid w:val="00BE2412"/>
    <w:rsid w:val="00BE2759"/>
    <w:rsid w:val="00BE44A0"/>
    <w:rsid w:val="00BE533B"/>
    <w:rsid w:val="00BE5F77"/>
    <w:rsid w:val="00BE723C"/>
    <w:rsid w:val="00BE7404"/>
    <w:rsid w:val="00BE7935"/>
    <w:rsid w:val="00BF0140"/>
    <w:rsid w:val="00BF0541"/>
    <w:rsid w:val="00BF1098"/>
    <w:rsid w:val="00BF1270"/>
    <w:rsid w:val="00BF4723"/>
    <w:rsid w:val="00BF6977"/>
    <w:rsid w:val="00BF6C9E"/>
    <w:rsid w:val="00BF7597"/>
    <w:rsid w:val="00C00195"/>
    <w:rsid w:val="00C01F2B"/>
    <w:rsid w:val="00C02728"/>
    <w:rsid w:val="00C03143"/>
    <w:rsid w:val="00C04577"/>
    <w:rsid w:val="00C04986"/>
    <w:rsid w:val="00C067EA"/>
    <w:rsid w:val="00C077DA"/>
    <w:rsid w:val="00C10FE9"/>
    <w:rsid w:val="00C1401B"/>
    <w:rsid w:val="00C1425D"/>
    <w:rsid w:val="00C16875"/>
    <w:rsid w:val="00C17ADD"/>
    <w:rsid w:val="00C20650"/>
    <w:rsid w:val="00C22980"/>
    <w:rsid w:val="00C31A10"/>
    <w:rsid w:val="00C34108"/>
    <w:rsid w:val="00C36BC2"/>
    <w:rsid w:val="00C37224"/>
    <w:rsid w:val="00C37B96"/>
    <w:rsid w:val="00C406A6"/>
    <w:rsid w:val="00C4294C"/>
    <w:rsid w:val="00C4348D"/>
    <w:rsid w:val="00C438BC"/>
    <w:rsid w:val="00C44CC2"/>
    <w:rsid w:val="00C452E9"/>
    <w:rsid w:val="00C5137E"/>
    <w:rsid w:val="00C54CC7"/>
    <w:rsid w:val="00C61A05"/>
    <w:rsid w:val="00C620A0"/>
    <w:rsid w:val="00C62870"/>
    <w:rsid w:val="00C62DA2"/>
    <w:rsid w:val="00C63FF9"/>
    <w:rsid w:val="00C66024"/>
    <w:rsid w:val="00C6610D"/>
    <w:rsid w:val="00C6622C"/>
    <w:rsid w:val="00C668F3"/>
    <w:rsid w:val="00C66F5E"/>
    <w:rsid w:val="00C67427"/>
    <w:rsid w:val="00C675A0"/>
    <w:rsid w:val="00C7092D"/>
    <w:rsid w:val="00C7161C"/>
    <w:rsid w:val="00C74D28"/>
    <w:rsid w:val="00C77F12"/>
    <w:rsid w:val="00C80667"/>
    <w:rsid w:val="00C81D4B"/>
    <w:rsid w:val="00C828C4"/>
    <w:rsid w:val="00C829BD"/>
    <w:rsid w:val="00C8546B"/>
    <w:rsid w:val="00C86D34"/>
    <w:rsid w:val="00C925C4"/>
    <w:rsid w:val="00C933BA"/>
    <w:rsid w:val="00C97C94"/>
    <w:rsid w:val="00CA0107"/>
    <w:rsid w:val="00CA1C1B"/>
    <w:rsid w:val="00CA36EF"/>
    <w:rsid w:val="00CA3E60"/>
    <w:rsid w:val="00CA4ABB"/>
    <w:rsid w:val="00CA68C1"/>
    <w:rsid w:val="00CB3CD6"/>
    <w:rsid w:val="00CB5FD7"/>
    <w:rsid w:val="00CB64A6"/>
    <w:rsid w:val="00CB77EB"/>
    <w:rsid w:val="00CC1784"/>
    <w:rsid w:val="00CC1E0F"/>
    <w:rsid w:val="00CC47F4"/>
    <w:rsid w:val="00CC4822"/>
    <w:rsid w:val="00CC4F1C"/>
    <w:rsid w:val="00CC50AB"/>
    <w:rsid w:val="00CC7321"/>
    <w:rsid w:val="00CD7788"/>
    <w:rsid w:val="00CD7BAE"/>
    <w:rsid w:val="00CE0E16"/>
    <w:rsid w:val="00CE0F2A"/>
    <w:rsid w:val="00CE32B2"/>
    <w:rsid w:val="00CE38D9"/>
    <w:rsid w:val="00CE58FA"/>
    <w:rsid w:val="00CE5DCB"/>
    <w:rsid w:val="00CF0D93"/>
    <w:rsid w:val="00CF1E16"/>
    <w:rsid w:val="00CF310E"/>
    <w:rsid w:val="00CF4088"/>
    <w:rsid w:val="00CF63B3"/>
    <w:rsid w:val="00CF6CE6"/>
    <w:rsid w:val="00CF7C97"/>
    <w:rsid w:val="00D02182"/>
    <w:rsid w:val="00D05D9F"/>
    <w:rsid w:val="00D06A2B"/>
    <w:rsid w:val="00D07FD7"/>
    <w:rsid w:val="00D105C6"/>
    <w:rsid w:val="00D12E94"/>
    <w:rsid w:val="00D1364E"/>
    <w:rsid w:val="00D1436A"/>
    <w:rsid w:val="00D20720"/>
    <w:rsid w:val="00D2129E"/>
    <w:rsid w:val="00D22872"/>
    <w:rsid w:val="00D26B57"/>
    <w:rsid w:val="00D27A7C"/>
    <w:rsid w:val="00D3063B"/>
    <w:rsid w:val="00D308A3"/>
    <w:rsid w:val="00D31558"/>
    <w:rsid w:val="00D33CA5"/>
    <w:rsid w:val="00D34822"/>
    <w:rsid w:val="00D35A68"/>
    <w:rsid w:val="00D35BFE"/>
    <w:rsid w:val="00D365D5"/>
    <w:rsid w:val="00D41C77"/>
    <w:rsid w:val="00D42185"/>
    <w:rsid w:val="00D42BB5"/>
    <w:rsid w:val="00D42CC4"/>
    <w:rsid w:val="00D43E9B"/>
    <w:rsid w:val="00D45CF3"/>
    <w:rsid w:val="00D461CC"/>
    <w:rsid w:val="00D47F6A"/>
    <w:rsid w:val="00D50B19"/>
    <w:rsid w:val="00D5322E"/>
    <w:rsid w:val="00D5329D"/>
    <w:rsid w:val="00D5504B"/>
    <w:rsid w:val="00D551E8"/>
    <w:rsid w:val="00D555A2"/>
    <w:rsid w:val="00D55E02"/>
    <w:rsid w:val="00D57DA9"/>
    <w:rsid w:val="00D609DF"/>
    <w:rsid w:val="00D63837"/>
    <w:rsid w:val="00D63CB7"/>
    <w:rsid w:val="00D66B98"/>
    <w:rsid w:val="00D67E1C"/>
    <w:rsid w:val="00D722DC"/>
    <w:rsid w:val="00D7534E"/>
    <w:rsid w:val="00D81F53"/>
    <w:rsid w:val="00D82539"/>
    <w:rsid w:val="00D848CD"/>
    <w:rsid w:val="00D92955"/>
    <w:rsid w:val="00D93B6A"/>
    <w:rsid w:val="00D949B3"/>
    <w:rsid w:val="00D94F5E"/>
    <w:rsid w:val="00D95865"/>
    <w:rsid w:val="00DA0180"/>
    <w:rsid w:val="00DA0274"/>
    <w:rsid w:val="00DA1F3A"/>
    <w:rsid w:val="00DA2F76"/>
    <w:rsid w:val="00DA3673"/>
    <w:rsid w:val="00DA763B"/>
    <w:rsid w:val="00DB023D"/>
    <w:rsid w:val="00DB1027"/>
    <w:rsid w:val="00DB1D96"/>
    <w:rsid w:val="00DB2779"/>
    <w:rsid w:val="00DB33F9"/>
    <w:rsid w:val="00DB5C66"/>
    <w:rsid w:val="00DC02B9"/>
    <w:rsid w:val="00DC099C"/>
    <w:rsid w:val="00DC33EB"/>
    <w:rsid w:val="00DC356D"/>
    <w:rsid w:val="00DC3594"/>
    <w:rsid w:val="00DC3FF1"/>
    <w:rsid w:val="00DC591D"/>
    <w:rsid w:val="00DD080C"/>
    <w:rsid w:val="00DD0E66"/>
    <w:rsid w:val="00DD129B"/>
    <w:rsid w:val="00DD1E79"/>
    <w:rsid w:val="00DD69D7"/>
    <w:rsid w:val="00DD7C1A"/>
    <w:rsid w:val="00DD7EC0"/>
    <w:rsid w:val="00DE273B"/>
    <w:rsid w:val="00DE4555"/>
    <w:rsid w:val="00DE5271"/>
    <w:rsid w:val="00DE5B3F"/>
    <w:rsid w:val="00DE6EF5"/>
    <w:rsid w:val="00DE7F77"/>
    <w:rsid w:val="00DF1384"/>
    <w:rsid w:val="00DF23A5"/>
    <w:rsid w:val="00DF382D"/>
    <w:rsid w:val="00DF46ED"/>
    <w:rsid w:val="00DF69BB"/>
    <w:rsid w:val="00E05118"/>
    <w:rsid w:val="00E0532C"/>
    <w:rsid w:val="00E06F11"/>
    <w:rsid w:val="00E07092"/>
    <w:rsid w:val="00E076EE"/>
    <w:rsid w:val="00E12D29"/>
    <w:rsid w:val="00E13803"/>
    <w:rsid w:val="00E14513"/>
    <w:rsid w:val="00E161B2"/>
    <w:rsid w:val="00E16714"/>
    <w:rsid w:val="00E20641"/>
    <w:rsid w:val="00E21686"/>
    <w:rsid w:val="00E226C4"/>
    <w:rsid w:val="00E23559"/>
    <w:rsid w:val="00E30B76"/>
    <w:rsid w:val="00E30F62"/>
    <w:rsid w:val="00E3107B"/>
    <w:rsid w:val="00E316DB"/>
    <w:rsid w:val="00E31E04"/>
    <w:rsid w:val="00E320DD"/>
    <w:rsid w:val="00E322E2"/>
    <w:rsid w:val="00E3248B"/>
    <w:rsid w:val="00E34270"/>
    <w:rsid w:val="00E35518"/>
    <w:rsid w:val="00E37A64"/>
    <w:rsid w:val="00E405DF"/>
    <w:rsid w:val="00E411A8"/>
    <w:rsid w:val="00E42F6C"/>
    <w:rsid w:val="00E45906"/>
    <w:rsid w:val="00E45D1C"/>
    <w:rsid w:val="00E46C32"/>
    <w:rsid w:val="00E47912"/>
    <w:rsid w:val="00E507AA"/>
    <w:rsid w:val="00E52965"/>
    <w:rsid w:val="00E64CA8"/>
    <w:rsid w:val="00E66473"/>
    <w:rsid w:val="00E67788"/>
    <w:rsid w:val="00E679FC"/>
    <w:rsid w:val="00E70E72"/>
    <w:rsid w:val="00E71C35"/>
    <w:rsid w:val="00E724A1"/>
    <w:rsid w:val="00E74AA6"/>
    <w:rsid w:val="00E75E62"/>
    <w:rsid w:val="00E767D9"/>
    <w:rsid w:val="00E80B56"/>
    <w:rsid w:val="00E83374"/>
    <w:rsid w:val="00E83F58"/>
    <w:rsid w:val="00E87852"/>
    <w:rsid w:val="00E87B6A"/>
    <w:rsid w:val="00E901E8"/>
    <w:rsid w:val="00E92687"/>
    <w:rsid w:val="00E92FF3"/>
    <w:rsid w:val="00E94536"/>
    <w:rsid w:val="00E951A6"/>
    <w:rsid w:val="00E957E5"/>
    <w:rsid w:val="00E96526"/>
    <w:rsid w:val="00E96B35"/>
    <w:rsid w:val="00E970FF"/>
    <w:rsid w:val="00EA46D1"/>
    <w:rsid w:val="00EA739F"/>
    <w:rsid w:val="00EB1208"/>
    <w:rsid w:val="00EB426A"/>
    <w:rsid w:val="00EB48B9"/>
    <w:rsid w:val="00EC36BE"/>
    <w:rsid w:val="00EC3700"/>
    <w:rsid w:val="00EC64CD"/>
    <w:rsid w:val="00EC7968"/>
    <w:rsid w:val="00EC7E97"/>
    <w:rsid w:val="00ED063D"/>
    <w:rsid w:val="00ED0C5D"/>
    <w:rsid w:val="00ED1D5D"/>
    <w:rsid w:val="00ED3214"/>
    <w:rsid w:val="00ED5169"/>
    <w:rsid w:val="00ED5446"/>
    <w:rsid w:val="00ED612B"/>
    <w:rsid w:val="00ED671D"/>
    <w:rsid w:val="00ED7726"/>
    <w:rsid w:val="00EE2200"/>
    <w:rsid w:val="00EE2326"/>
    <w:rsid w:val="00EE3C2D"/>
    <w:rsid w:val="00EE550C"/>
    <w:rsid w:val="00EE55E8"/>
    <w:rsid w:val="00EE6DD8"/>
    <w:rsid w:val="00EE744F"/>
    <w:rsid w:val="00EF24AB"/>
    <w:rsid w:val="00EF4A86"/>
    <w:rsid w:val="00EF4B35"/>
    <w:rsid w:val="00EF5B9C"/>
    <w:rsid w:val="00EF6C77"/>
    <w:rsid w:val="00F009BC"/>
    <w:rsid w:val="00F10AA4"/>
    <w:rsid w:val="00F11338"/>
    <w:rsid w:val="00F1179E"/>
    <w:rsid w:val="00F12400"/>
    <w:rsid w:val="00F132D2"/>
    <w:rsid w:val="00F1358D"/>
    <w:rsid w:val="00F14B36"/>
    <w:rsid w:val="00F1598A"/>
    <w:rsid w:val="00F2571A"/>
    <w:rsid w:val="00F30C35"/>
    <w:rsid w:val="00F31732"/>
    <w:rsid w:val="00F31C3A"/>
    <w:rsid w:val="00F32F98"/>
    <w:rsid w:val="00F33BC0"/>
    <w:rsid w:val="00F359E2"/>
    <w:rsid w:val="00F370B8"/>
    <w:rsid w:val="00F37496"/>
    <w:rsid w:val="00F40703"/>
    <w:rsid w:val="00F45C80"/>
    <w:rsid w:val="00F4688B"/>
    <w:rsid w:val="00F46FA8"/>
    <w:rsid w:val="00F4700E"/>
    <w:rsid w:val="00F47956"/>
    <w:rsid w:val="00F57E75"/>
    <w:rsid w:val="00F6091C"/>
    <w:rsid w:val="00F62A12"/>
    <w:rsid w:val="00F70CC0"/>
    <w:rsid w:val="00F7158B"/>
    <w:rsid w:val="00F71A35"/>
    <w:rsid w:val="00F77D62"/>
    <w:rsid w:val="00F801D9"/>
    <w:rsid w:val="00F81BF6"/>
    <w:rsid w:val="00F8350F"/>
    <w:rsid w:val="00F84F51"/>
    <w:rsid w:val="00F9419E"/>
    <w:rsid w:val="00F94FAE"/>
    <w:rsid w:val="00F9581E"/>
    <w:rsid w:val="00F95D48"/>
    <w:rsid w:val="00FA0E87"/>
    <w:rsid w:val="00FA1EDA"/>
    <w:rsid w:val="00FA2882"/>
    <w:rsid w:val="00FA40A9"/>
    <w:rsid w:val="00FA53AF"/>
    <w:rsid w:val="00FA57AC"/>
    <w:rsid w:val="00FA7461"/>
    <w:rsid w:val="00FA7A7A"/>
    <w:rsid w:val="00FB0A84"/>
    <w:rsid w:val="00FC3EBF"/>
    <w:rsid w:val="00FC45B9"/>
    <w:rsid w:val="00FC603C"/>
    <w:rsid w:val="00FC610F"/>
    <w:rsid w:val="00FC67D7"/>
    <w:rsid w:val="00FC7B85"/>
    <w:rsid w:val="00FC7F89"/>
    <w:rsid w:val="00FD110B"/>
    <w:rsid w:val="00FD1F16"/>
    <w:rsid w:val="00FD25A9"/>
    <w:rsid w:val="00FD2660"/>
    <w:rsid w:val="00FD73C9"/>
    <w:rsid w:val="00FE02CA"/>
    <w:rsid w:val="00FE0CCE"/>
    <w:rsid w:val="00FE1525"/>
    <w:rsid w:val="00FE1D24"/>
    <w:rsid w:val="00FE245E"/>
    <w:rsid w:val="00FE431E"/>
    <w:rsid w:val="00FE5678"/>
    <w:rsid w:val="00FE6398"/>
    <w:rsid w:val="00FF5614"/>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1705A718-AB80-4A5D-B34F-BF236C75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DocID">
    <w:name w:val="DocID"/>
    <w:basedOn w:val="Normal"/>
    <w:qFormat/>
    <w:rsid w:val="007A0615"/>
    <w:pPr>
      <w:suppressAutoHyphens/>
      <w:spacing w:after="0" w:line="240" w:lineRule="auto"/>
    </w:pPr>
    <w:rPr>
      <w:rFonts w:ascii="Times New Roman" w:eastAsia="Times New Roman" w:hAnsi="Times New Roman" w:cs="Times New Roman"/>
      <w:sz w:val="16"/>
      <w:szCs w:val="16"/>
    </w:rPr>
  </w:style>
  <w:style w:type="table" w:styleId="GridTable4-Accent5">
    <w:name w:val="Grid Table 4 Accent 5"/>
    <w:basedOn w:val="TableNormal"/>
    <w:uiPriority w:val="49"/>
    <w:rsid w:val="001353D6"/>
    <w:pPr>
      <w:spacing w:after="0" w:line="240" w:lineRule="auto"/>
    </w:pPr>
    <w:rPr>
      <w:rFonts w:eastAsia="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0D3D43"/>
    <w:pPr>
      <w:suppressAutoHyphens/>
      <w:spacing w:after="120" w:line="480" w:lineRule="auto"/>
    </w:pPr>
    <w:rPr>
      <w:rFonts w:ascii="Times New Roman" w:eastAsia="Times New Roman" w:hAnsi="Times New Roman" w:cs="Times New Roman"/>
      <w:kern w:val="2"/>
      <w:sz w:val="24"/>
      <w:szCs w:val="24"/>
      <w14:ligatures w14:val="standardContextual"/>
    </w:rPr>
  </w:style>
  <w:style w:type="character" w:customStyle="1" w:styleId="BodyText2Char">
    <w:name w:val="Body Text 2 Char"/>
    <w:basedOn w:val="DefaultParagraphFont"/>
    <w:link w:val="BodyText2"/>
    <w:uiPriority w:val="99"/>
    <w:semiHidden/>
    <w:rsid w:val="000D3D43"/>
    <w:rPr>
      <w:rFonts w:ascii="Times New Roman" w:eastAsia="Times New Roman" w:hAnsi="Times New Roman" w:cs="Times New Roman"/>
      <w:kern w:val="2"/>
      <w:sz w:val="24"/>
      <w:szCs w:val="24"/>
      <w14:ligatures w14:val="standardContextual"/>
    </w:rPr>
  </w:style>
  <w:style w:type="paragraph" w:styleId="NormalWeb">
    <w:name w:val="Normal (Web)"/>
    <w:basedOn w:val="Normal"/>
    <w:uiPriority w:val="99"/>
    <w:semiHidden/>
    <w:unhideWhenUsed/>
    <w:rsid w:val="001028B5"/>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43916780">
      <w:bodyDiv w:val="1"/>
      <w:marLeft w:val="0"/>
      <w:marRight w:val="0"/>
      <w:marTop w:val="0"/>
      <w:marBottom w:val="0"/>
      <w:divBdr>
        <w:top w:val="none" w:sz="0" w:space="0" w:color="auto"/>
        <w:left w:val="none" w:sz="0" w:space="0" w:color="auto"/>
        <w:bottom w:val="none" w:sz="0" w:space="0" w:color="auto"/>
        <w:right w:val="none" w:sz="0" w:space="0" w:color="auto"/>
      </w:divBdr>
    </w:div>
    <w:div w:id="49887480">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10250049">
      <w:bodyDiv w:val="1"/>
      <w:marLeft w:val="0"/>
      <w:marRight w:val="0"/>
      <w:marTop w:val="0"/>
      <w:marBottom w:val="0"/>
      <w:divBdr>
        <w:top w:val="none" w:sz="0" w:space="0" w:color="auto"/>
        <w:left w:val="none" w:sz="0" w:space="0" w:color="auto"/>
        <w:bottom w:val="none" w:sz="0" w:space="0" w:color="auto"/>
        <w:right w:val="none" w:sz="0" w:space="0" w:color="auto"/>
      </w:divBdr>
    </w:div>
    <w:div w:id="254435423">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485783023">
      <w:bodyDiv w:val="1"/>
      <w:marLeft w:val="0"/>
      <w:marRight w:val="0"/>
      <w:marTop w:val="0"/>
      <w:marBottom w:val="0"/>
      <w:divBdr>
        <w:top w:val="none" w:sz="0" w:space="0" w:color="auto"/>
        <w:left w:val="none" w:sz="0" w:space="0" w:color="auto"/>
        <w:bottom w:val="none" w:sz="0" w:space="0" w:color="auto"/>
        <w:right w:val="none" w:sz="0" w:space="0" w:color="auto"/>
      </w:divBdr>
    </w:div>
    <w:div w:id="557327365">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4168893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02053371">
      <w:bodyDiv w:val="1"/>
      <w:marLeft w:val="0"/>
      <w:marRight w:val="0"/>
      <w:marTop w:val="0"/>
      <w:marBottom w:val="0"/>
      <w:divBdr>
        <w:top w:val="none" w:sz="0" w:space="0" w:color="auto"/>
        <w:left w:val="none" w:sz="0" w:space="0" w:color="auto"/>
        <w:bottom w:val="none" w:sz="0" w:space="0" w:color="auto"/>
        <w:right w:val="none" w:sz="0" w:space="0" w:color="auto"/>
      </w:divBdr>
    </w:div>
    <w:div w:id="1005281802">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089741944">
      <w:bodyDiv w:val="1"/>
      <w:marLeft w:val="0"/>
      <w:marRight w:val="0"/>
      <w:marTop w:val="0"/>
      <w:marBottom w:val="0"/>
      <w:divBdr>
        <w:top w:val="none" w:sz="0" w:space="0" w:color="auto"/>
        <w:left w:val="none" w:sz="0" w:space="0" w:color="auto"/>
        <w:bottom w:val="none" w:sz="0" w:space="0" w:color="auto"/>
        <w:right w:val="none" w:sz="0" w:space="0" w:color="auto"/>
      </w:divBdr>
    </w:div>
    <w:div w:id="1144783148">
      <w:bodyDiv w:val="1"/>
      <w:marLeft w:val="0"/>
      <w:marRight w:val="0"/>
      <w:marTop w:val="0"/>
      <w:marBottom w:val="0"/>
      <w:divBdr>
        <w:top w:val="none" w:sz="0" w:space="0" w:color="auto"/>
        <w:left w:val="none" w:sz="0" w:space="0" w:color="auto"/>
        <w:bottom w:val="none" w:sz="0" w:space="0" w:color="auto"/>
        <w:right w:val="none" w:sz="0" w:space="0" w:color="auto"/>
      </w:divBdr>
    </w:div>
    <w:div w:id="1195192553">
      <w:bodyDiv w:val="1"/>
      <w:marLeft w:val="0"/>
      <w:marRight w:val="0"/>
      <w:marTop w:val="0"/>
      <w:marBottom w:val="0"/>
      <w:divBdr>
        <w:top w:val="none" w:sz="0" w:space="0" w:color="auto"/>
        <w:left w:val="none" w:sz="0" w:space="0" w:color="auto"/>
        <w:bottom w:val="none" w:sz="0" w:space="0" w:color="auto"/>
        <w:right w:val="none" w:sz="0" w:space="0" w:color="auto"/>
      </w:divBdr>
    </w:div>
    <w:div w:id="1244298902">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439060574">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698198289">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0114287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853646409">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53/j.gastro.2018.07.017" TargetMode="External"/><Relationship Id="rId7" Type="http://schemas.openxmlformats.org/officeDocument/2006/relationships/hyperlink" Target="file:///C:\Users\KCiolfi\AppData\Roaming\ndOfficeEcho\VAULT-K7SHLGL\&#160;https:\www.cancer.org\cancer\types\colon-rectal-cancer\detection-diagnosis-staging\acs-recommendations.html" TargetMode="External"/><Relationship Id="rId2" Type="http://schemas.openxmlformats.org/officeDocument/2006/relationships/hyperlink" Target="https://doi.org/10.1053/j.gastro.2018.07.017" TargetMode="External"/><Relationship Id="rId1" Type="http://schemas.openxmlformats.org/officeDocument/2006/relationships/hyperlink" Target="https://www.mass.gov/doc/emerson-endoscopy-and-digestive-health-center-responses-to-don-questions/download" TargetMode="External"/><Relationship Id="rId6" Type="http://schemas.openxmlformats.org/officeDocument/2006/relationships/hyperlink" Target="https://www.cancer.org/cancer/types/colon-rectal-cancer/detection-diagnosis-staging/acs-recommendations.html" TargetMode="External"/><Relationship Id="rId5" Type="http://schemas.openxmlformats.org/officeDocument/2006/relationships/hyperlink" Target="https://www.cancer.org/cancer/types/cancer-in-young-adults/prevention.html" TargetMode="External"/><Relationship Id="rId4" Type="http://schemas.openxmlformats.org/officeDocument/2006/relationships/hyperlink" Target="https://www.cancer.org/cancer/types/cancer-in-young-adults/prev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2818</Words>
  <Characters>16064</Characters>
  <Application>Microsoft Office Word</Application>
  <DocSecurity>0</DocSecurity>
  <Lines>133</Lines>
  <Paragraphs>37</Paragraphs>
  <ScaleCrop>false</ScaleCrop>
  <Company>Commonwealth of Massachusetts</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5</cp:revision>
  <cp:lastPrinted>1900-01-01T06:00:00Z</cp:lastPrinted>
  <dcterms:created xsi:type="dcterms:W3CDTF">1900-01-01T06:00:00Z</dcterms:created>
  <dcterms:modified xsi:type="dcterms:W3CDTF">2025-07-18T14:00:00Z</dcterms:modified>
</cp:coreProperties>
</file>