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6858" w14:textId="77777777" w:rsidR="0014527C" w:rsidRPr="000B7CC2" w:rsidRDefault="0014527C" w:rsidP="0014527C">
      <w:pPr>
        <w:jc w:val="center"/>
        <w:rPr>
          <w:b/>
          <w:bCs/>
        </w:rPr>
      </w:pPr>
      <w:r w:rsidRPr="000B7CC2">
        <w:rPr>
          <w:b/>
          <w:bCs/>
        </w:rPr>
        <w:t>APPLICANT QUESTIONS 1</w:t>
      </w:r>
    </w:p>
    <w:p w14:paraId="34D8CAC4" w14:textId="77777777" w:rsidR="0014527C" w:rsidRPr="000B7CC2" w:rsidRDefault="0014527C" w:rsidP="0014527C">
      <w:pPr>
        <w:jc w:val="center"/>
        <w:rPr>
          <w:rFonts w:cstheme="minorHAnsi"/>
        </w:rPr>
      </w:pPr>
      <w:r w:rsidRPr="000B7CC2">
        <w:rPr>
          <w:rFonts w:cstheme="minorHAnsi"/>
          <w:i/>
          <w:iCs/>
        </w:rPr>
        <w:t xml:space="preserve">Responses should be sent to </w:t>
      </w:r>
      <w:proofErr w:type="spellStart"/>
      <w:r w:rsidRPr="000B7CC2">
        <w:rPr>
          <w:rFonts w:cstheme="minorHAnsi"/>
          <w:i/>
          <w:iCs/>
        </w:rPr>
        <w:t>DoN</w:t>
      </w:r>
      <w:proofErr w:type="spellEnd"/>
      <w:r w:rsidRPr="000B7CC2">
        <w:rPr>
          <w:rFonts w:cstheme="minorHAnsi"/>
          <w:i/>
          <w:iCs/>
        </w:rPr>
        <w:t xml:space="preserve"> staff at </w:t>
      </w:r>
      <w:hyperlink r:id="rId12" w:history="1">
        <w:r w:rsidRPr="000B7CC2">
          <w:rPr>
            <w:rStyle w:val="Hyperlink"/>
            <w:rFonts w:cstheme="minorHAnsi"/>
          </w:rPr>
          <w:t>DPH.DON@mass.gov</w:t>
        </w:r>
      </w:hyperlink>
    </w:p>
    <w:tbl>
      <w:tblPr>
        <w:tblStyle w:val="TableGrid"/>
        <w:tblW w:w="0" w:type="auto"/>
        <w:jc w:val="center"/>
        <w:tblLook w:val="04A0" w:firstRow="1" w:lastRow="0" w:firstColumn="1" w:lastColumn="0" w:noHBand="0" w:noVBand="1"/>
      </w:tblPr>
      <w:tblGrid>
        <w:gridCol w:w="9350"/>
      </w:tblGrid>
      <w:tr w:rsidR="0014527C" w:rsidRPr="000B7CC2" w14:paraId="33F6E109" w14:textId="77777777" w:rsidTr="00824B1F">
        <w:trPr>
          <w:jc w:val="center"/>
        </w:trPr>
        <w:tc>
          <w:tcPr>
            <w:tcW w:w="9350" w:type="dxa"/>
          </w:tcPr>
          <w:p w14:paraId="7BE79006" w14:textId="77777777" w:rsidR="0014527C" w:rsidRPr="000B7CC2" w:rsidRDefault="0014527C" w:rsidP="00824B1F">
            <w:pPr>
              <w:rPr>
                <w:rFonts w:cstheme="minorHAnsi"/>
                <w:bCs/>
              </w:rPr>
            </w:pPr>
            <w:proofErr w:type="gramStart"/>
            <w:r w:rsidRPr="000B7CC2">
              <w:rPr>
                <w:rFonts w:cstheme="minorHAnsi"/>
                <w:bCs/>
              </w:rPr>
              <w:t>While</w:t>
            </w:r>
            <w:proofErr w:type="gramEnd"/>
            <w:r w:rsidRPr="000B7CC2">
              <w:rPr>
                <w:rFonts w:cstheme="minorHAnsi"/>
                <w:bCs/>
              </w:rPr>
              <w:t xml:space="preserve"> you may submit each answer as available, please </w:t>
            </w:r>
          </w:p>
          <w:p w14:paraId="7D8D39AD" w14:textId="77777777" w:rsidR="0014527C" w:rsidRPr="000B7CC2" w:rsidRDefault="0014527C" w:rsidP="00824B1F">
            <w:pPr>
              <w:pStyle w:val="ListParagraph"/>
              <w:numPr>
                <w:ilvl w:val="0"/>
                <w:numId w:val="1"/>
              </w:numPr>
              <w:rPr>
                <w:rFonts w:cstheme="minorHAnsi"/>
                <w:bCs/>
              </w:rPr>
            </w:pPr>
            <w:r w:rsidRPr="000B7CC2">
              <w:rPr>
                <w:rFonts w:cstheme="minorHAnsi"/>
                <w:bCs/>
              </w:rPr>
              <w:t xml:space="preserve">List question number and question for each answer you provide </w:t>
            </w:r>
          </w:p>
          <w:p w14:paraId="2DEA99A9" w14:textId="77777777" w:rsidR="0014527C" w:rsidRPr="000B7CC2" w:rsidRDefault="0014527C" w:rsidP="00824B1F">
            <w:pPr>
              <w:pStyle w:val="ListParagraph"/>
              <w:numPr>
                <w:ilvl w:val="0"/>
                <w:numId w:val="1"/>
              </w:numPr>
              <w:rPr>
                <w:rFonts w:cstheme="minorHAnsi"/>
                <w:bCs/>
              </w:rPr>
            </w:pPr>
            <w:r w:rsidRPr="000B7CC2">
              <w:rPr>
                <w:rFonts w:cstheme="minorHAnsi"/>
                <w:bCs/>
              </w:rPr>
              <w:t xml:space="preserve">Submit responses as a separate word document, using the above application title and number as a running header and page numbers in the footer </w:t>
            </w:r>
          </w:p>
          <w:p w14:paraId="1C15ACF5" w14:textId="77777777" w:rsidR="0014527C" w:rsidRPr="000B7CC2" w:rsidRDefault="0014527C" w:rsidP="00824B1F">
            <w:pPr>
              <w:pStyle w:val="ListParagraph"/>
              <w:numPr>
                <w:ilvl w:val="0"/>
                <w:numId w:val="1"/>
              </w:numPr>
              <w:rPr>
                <w:rFonts w:cstheme="minorHAnsi"/>
                <w:bCs/>
              </w:rPr>
            </w:pPr>
            <w:r w:rsidRPr="000B7CC2">
              <w:rPr>
                <w:rFonts w:cstheme="minorHAnsi"/>
                <w:bCs/>
              </w:rPr>
              <w:t xml:space="preserve">We accept answers on a rolling </w:t>
            </w:r>
            <w:proofErr w:type="gramStart"/>
            <w:r w:rsidRPr="000B7CC2">
              <w:rPr>
                <w:rFonts w:cstheme="minorHAnsi"/>
                <w:bCs/>
              </w:rPr>
              <w:t>basis</w:t>
            </w:r>
            <w:proofErr w:type="gramEnd"/>
            <w:r w:rsidRPr="000B7CC2">
              <w:rPr>
                <w:rFonts w:cstheme="minorHAnsi"/>
                <w:bCs/>
              </w:rPr>
              <w:t xml:space="preserve"> however, when providing the answer to the final question, submit all questions and answers in order in one final document.</w:t>
            </w:r>
          </w:p>
          <w:p w14:paraId="0698EE33" w14:textId="77777777" w:rsidR="0014527C" w:rsidRPr="000B7CC2" w:rsidRDefault="0014527C" w:rsidP="00824B1F">
            <w:pPr>
              <w:pStyle w:val="ListParagraph"/>
              <w:numPr>
                <w:ilvl w:val="0"/>
                <w:numId w:val="1"/>
              </w:numPr>
              <w:rPr>
                <w:rFonts w:cstheme="minorHAnsi"/>
                <w:b/>
              </w:rPr>
            </w:pPr>
            <w:r w:rsidRPr="000B7CC2">
              <w:rPr>
                <w:rFonts w:cstheme="minorHAnsi"/>
                <w:bCs/>
              </w:rPr>
              <w:t xml:space="preserve">Submit responses in WORD or EXCEL; only use PDF’s if </w:t>
            </w:r>
            <w:proofErr w:type="gramStart"/>
            <w:r w:rsidRPr="000B7CC2">
              <w:rPr>
                <w:rFonts w:cstheme="minorHAnsi"/>
                <w:bCs/>
              </w:rPr>
              <w:t>absolutely necessary</w:t>
            </w:r>
            <w:proofErr w:type="gramEnd"/>
            <w:r w:rsidRPr="000B7CC2">
              <w:rPr>
                <w:rFonts w:cstheme="minorHAnsi"/>
                <w:bCs/>
              </w:rPr>
              <w:t xml:space="preserve">. </w:t>
            </w:r>
            <w:r w:rsidRPr="000B7CC2">
              <w:rPr>
                <w:rFonts w:cstheme="minorHAnsi"/>
                <w:b/>
              </w:rPr>
              <w:t>Whenever possible, include a table in data format (NOT pdf or picture) with the response.</w:t>
            </w:r>
          </w:p>
        </w:tc>
      </w:tr>
    </w:tbl>
    <w:p w14:paraId="2123ED30" w14:textId="77777777" w:rsidR="0014527C" w:rsidRPr="000B7CC2" w:rsidRDefault="0014527C" w:rsidP="0014527C"/>
    <w:p w14:paraId="7A4F18E2" w14:textId="77777777" w:rsidR="0014527C" w:rsidRPr="000B7CC2" w:rsidRDefault="0014527C" w:rsidP="004B525C">
      <w:pPr>
        <w:spacing w:after="0" w:line="240" w:lineRule="auto"/>
      </w:pPr>
      <w:proofErr w:type="gramStart"/>
      <w:r w:rsidRPr="000B7CC2">
        <w:t>In order for</w:t>
      </w:r>
      <w:proofErr w:type="gramEnd"/>
      <w:r w:rsidRPr="000B7CC2">
        <w:t xml:space="preserve"> us to review this project in a timely manner, please provide the responses by </w:t>
      </w:r>
      <w:r w:rsidRPr="000B7CC2">
        <w:rPr>
          <w:b/>
          <w:bCs/>
        </w:rPr>
        <w:t>May 21, 2025</w:t>
      </w:r>
      <w:r w:rsidRPr="000B7CC2">
        <w:t>.</w:t>
      </w:r>
    </w:p>
    <w:p w14:paraId="477A9D1F" w14:textId="77777777" w:rsidR="0014527C" w:rsidRPr="000B7CC2" w:rsidRDefault="0014527C" w:rsidP="004B525C">
      <w:pPr>
        <w:spacing w:after="0" w:line="240" w:lineRule="auto"/>
        <w:rPr>
          <w:rStyle w:val="cf01"/>
          <w:rFonts w:asciiTheme="minorHAnsi" w:hAnsiTheme="minorHAnsi" w:cstheme="minorHAnsi"/>
          <w:sz w:val="24"/>
          <w:szCs w:val="24"/>
        </w:rPr>
      </w:pPr>
    </w:p>
    <w:p w14:paraId="45EA9464" w14:textId="77777777" w:rsidR="0014527C" w:rsidRPr="0064684A" w:rsidRDefault="0014527C" w:rsidP="0064684A">
      <w:pPr>
        <w:pStyle w:val="Heading1"/>
      </w:pPr>
      <w:r w:rsidRPr="0064684A">
        <w:t xml:space="preserve">Proposed Project </w:t>
      </w:r>
    </w:p>
    <w:p w14:paraId="534B89E8" w14:textId="2C8B9B71" w:rsidR="0014527C" w:rsidRPr="00E93FD0" w:rsidRDefault="0014527C" w:rsidP="004B525C">
      <w:pPr>
        <w:pStyle w:val="ListParagraph"/>
        <w:numPr>
          <w:ilvl w:val="0"/>
          <w:numId w:val="2"/>
        </w:numPr>
        <w:spacing w:after="0" w:line="240" w:lineRule="auto"/>
        <w:rPr>
          <w:rFonts w:cstheme="minorHAnsi"/>
          <w:sz w:val="24"/>
          <w:szCs w:val="24"/>
        </w:rPr>
      </w:pPr>
      <w:r w:rsidRPr="00E93FD0">
        <w:rPr>
          <w:rFonts w:cstheme="minorHAnsi"/>
          <w:b/>
          <w:bCs/>
          <w:sz w:val="24"/>
          <w:szCs w:val="24"/>
        </w:rPr>
        <w:t xml:space="preserve">Please provide details on the experience that the partners in the newly formed entity Everest Hospital have in the </w:t>
      </w:r>
      <w:proofErr w:type="gramStart"/>
      <w:r w:rsidRPr="00E93FD0">
        <w:rPr>
          <w:rFonts w:cstheme="minorHAnsi"/>
          <w:b/>
          <w:bCs/>
          <w:sz w:val="24"/>
          <w:szCs w:val="24"/>
        </w:rPr>
        <w:t>Long Term</w:t>
      </w:r>
      <w:proofErr w:type="gramEnd"/>
      <w:r w:rsidRPr="00E93FD0">
        <w:rPr>
          <w:rFonts w:cstheme="minorHAnsi"/>
          <w:b/>
          <w:bCs/>
          <w:sz w:val="24"/>
          <w:szCs w:val="24"/>
        </w:rPr>
        <w:t xml:space="preserve"> Care Hospital industry.</w:t>
      </w:r>
      <w:r w:rsidRPr="00E93FD0">
        <w:rPr>
          <w:rFonts w:cstheme="minorHAnsi"/>
          <w:sz w:val="24"/>
          <w:szCs w:val="24"/>
        </w:rPr>
        <w:t xml:space="preserve">  </w:t>
      </w:r>
      <w:r w:rsidRPr="00E93FD0">
        <w:rPr>
          <w:rFonts w:cstheme="minorHAnsi"/>
          <w:sz w:val="24"/>
          <w:szCs w:val="24"/>
        </w:rPr>
        <w:br/>
      </w:r>
      <w:r w:rsidRPr="00E93FD0">
        <w:rPr>
          <w:rFonts w:cstheme="minorHAnsi"/>
          <w:sz w:val="12"/>
          <w:szCs w:val="12"/>
        </w:rPr>
        <w:br/>
      </w:r>
      <w:r w:rsidRPr="00E93FD0">
        <w:rPr>
          <w:rFonts w:cstheme="minorHAnsi"/>
          <w:sz w:val="24"/>
          <w:szCs w:val="24"/>
          <w:u w:val="single"/>
        </w:rPr>
        <w:t>Response</w:t>
      </w:r>
      <w:proofErr w:type="gramStart"/>
      <w:r w:rsidRPr="00E93FD0">
        <w:rPr>
          <w:rFonts w:cstheme="minorHAnsi"/>
          <w:sz w:val="24"/>
          <w:szCs w:val="24"/>
        </w:rPr>
        <w:t>:  As</w:t>
      </w:r>
      <w:proofErr w:type="gramEnd"/>
      <w:r w:rsidRPr="00E93FD0">
        <w:rPr>
          <w:rFonts w:cstheme="minorHAnsi"/>
          <w:sz w:val="24"/>
          <w:szCs w:val="24"/>
        </w:rPr>
        <w:t xml:space="preserve"> noted in the </w:t>
      </w:r>
      <w:proofErr w:type="spellStart"/>
      <w:r w:rsidRPr="00E93FD0">
        <w:rPr>
          <w:rFonts w:cstheme="minorHAnsi"/>
          <w:sz w:val="24"/>
          <w:szCs w:val="24"/>
        </w:rPr>
        <w:t>DoN</w:t>
      </w:r>
      <w:proofErr w:type="spellEnd"/>
      <w:r w:rsidRPr="00E93FD0">
        <w:rPr>
          <w:rFonts w:cstheme="minorHAnsi"/>
          <w:sz w:val="24"/>
          <w:szCs w:val="24"/>
        </w:rPr>
        <w:t xml:space="preserve"> application, the partners in the newly formed entity Everest Hospital have vast expertise in long-term care (i.e. skilled nursing) which they plan to leverage with this proposed transaction that includes the acquisition of both the Hospital, a </w:t>
      </w:r>
      <w:proofErr w:type="gramStart"/>
      <w:r w:rsidRPr="00E93FD0">
        <w:rPr>
          <w:rFonts w:cstheme="minorHAnsi"/>
          <w:sz w:val="24"/>
          <w:szCs w:val="24"/>
        </w:rPr>
        <w:t>long term</w:t>
      </w:r>
      <w:proofErr w:type="gramEnd"/>
      <w:r w:rsidRPr="00E93FD0">
        <w:rPr>
          <w:rFonts w:cstheme="minorHAnsi"/>
          <w:sz w:val="24"/>
          <w:szCs w:val="24"/>
        </w:rPr>
        <w:t xml:space="preserve"> care hospital (LTCH) and a SNF.  As the Applicant will further highlight in these responses, one primary goal of the proposed transaction is to </w:t>
      </w:r>
      <w:r w:rsidR="00A52ABD" w:rsidRPr="00E93FD0">
        <w:rPr>
          <w:rFonts w:cstheme="minorHAnsi"/>
          <w:sz w:val="24"/>
          <w:szCs w:val="24"/>
        </w:rPr>
        <w:t>increase</w:t>
      </w:r>
      <w:r w:rsidRPr="00E93FD0">
        <w:rPr>
          <w:rFonts w:cstheme="minorHAnsi"/>
          <w:sz w:val="24"/>
          <w:szCs w:val="24"/>
        </w:rPr>
        <w:t xml:space="preserve"> throughput from the acute hospitals to the LTCH and then to the SNF.  The Applicant’s experience in long-term care can be easily translated into the long-term care hospital industry as there are many commonalities.  For example, they serve a similar payor mix, they each have patients with long lengths of stay, and they have the same core goals to address chronic medical needs, prevent hospital readmissions and work on discharging </w:t>
      </w:r>
      <w:proofErr w:type="gramStart"/>
      <w:r w:rsidRPr="00E93FD0">
        <w:rPr>
          <w:rFonts w:cstheme="minorHAnsi"/>
          <w:sz w:val="24"/>
          <w:szCs w:val="24"/>
        </w:rPr>
        <w:t>patients</w:t>
      </w:r>
      <w:proofErr w:type="gramEnd"/>
      <w:r w:rsidRPr="00E93FD0">
        <w:rPr>
          <w:rFonts w:cstheme="minorHAnsi"/>
          <w:sz w:val="24"/>
          <w:szCs w:val="24"/>
        </w:rPr>
        <w:t xml:space="preserve"> home.   </w:t>
      </w:r>
    </w:p>
    <w:p w14:paraId="13F6715C" w14:textId="77777777" w:rsidR="0014527C" w:rsidRPr="00E93FD0" w:rsidRDefault="0014527C" w:rsidP="004B525C">
      <w:pPr>
        <w:pStyle w:val="ListParagraph"/>
        <w:spacing w:after="0" w:line="240" w:lineRule="auto"/>
        <w:rPr>
          <w:rFonts w:cstheme="minorHAnsi"/>
          <w:sz w:val="12"/>
          <w:szCs w:val="12"/>
        </w:rPr>
      </w:pPr>
    </w:p>
    <w:p w14:paraId="7067955C" w14:textId="20689134" w:rsidR="0014527C" w:rsidRPr="00E93FD0" w:rsidRDefault="0014527C" w:rsidP="004B525C">
      <w:pPr>
        <w:pStyle w:val="ListParagraph"/>
        <w:spacing w:after="0" w:line="240" w:lineRule="auto"/>
        <w:rPr>
          <w:rFonts w:cstheme="minorHAnsi"/>
          <w:sz w:val="24"/>
          <w:szCs w:val="24"/>
        </w:rPr>
      </w:pPr>
      <w:bookmarkStart w:id="0" w:name="_Hlk198710732"/>
      <w:r w:rsidRPr="00E93FD0">
        <w:rPr>
          <w:rFonts w:cstheme="minorHAnsi"/>
          <w:sz w:val="24"/>
          <w:szCs w:val="24"/>
        </w:rPr>
        <w:t xml:space="preserve">The two principals of Everest Hospital are Mr. Klein and Mr. Danzinger. Mr. Klein is a practicing health care practitioner and has more than 20 years of experience as an owner of skilled nursing facilities, which has provided him with valuable insight and experience on the practicalities of delivering quality patient care. Mr. Danzinger </w:t>
      </w:r>
      <w:r w:rsidR="00A90996" w:rsidRPr="00E93FD0">
        <w:rPr>
          <w:rFonts w:cstheme="minorHAnsi"/>
          <w:sz w:val="24"/>
          <w:szCs w:val="24"/>
        </w:rPr>
        <w:t>is an experienced</w:t>
      </w:r>
      <w:r w:rsidRPr="00E93FD0">
        <w:rPr>
          <w:rFonts w:cstheme="minorHAnsi"/>
          <w:sz w:val="24"/>
          <w:szCs w:val="24"/>
        </w:rPr>
        <w:t xml:space="preserve"> nursing home administrator</w:t>
      </w:r>
      <w:r w:rsidR="00A90996" w:rsidRPr="00E93FD0">
        <w:rPr>
          <w:rFonts w:cstheme="minorHAnsi"/>
          <w:sz w:val="24"/>
          <w:szCs w:val="24"/>
        </w:rPr>
        <w:t xml:space="preserve">, </w:t>
      </w:r>
      <w:r w:rsidR="00965FCC" w:rsidRPr="00E93FD0">
        <w:rPr>
          <w:rFonts w:cstheme="minorHAnsi"/>
          <w:sz w:val="24"/>
          <w:szCs w:val="24"/>
        </w:rPr>
        <w:t>operating</w:t>
      </w:r>
      <w:r w:rsidR="00A90996" w:rsidRPr="00E93FD0">
        <w:rPr>
          <w:rFonts w:cstheme="minorHAnsi"/>
          <w:sz w:val="24"/>
          <w:szCs w:val="24"/>
        </w:rPr>
        <w:t xml:space="preserve"> multiple post-acute facilities, including skilled nursing, assisted living, and independent living facilities</w:t>
      </w:r>
      <w:r w:rsidRPr="00E93FD0">
        <w:rPr>
          <w:rFonts w:cstheme="minorHAnsi"/>
          <w:sz w:val="24"/>
          <w:szCs w:val="24"/>
        </w:rPr>
        <w:t xml:space="preserve">, and is well-versed in the types of services and needs that apply to </w:t>
      </w:r>
      <w:r w:rsidR="00A90996" w:rsidRPr="00E93FD0">
        <w:rPr>
          <w:rFonts w:cstheme="minorHAnsi"/>
          <w:sz w:val="24"/>
          <w:szCs w:val="24"/>
        </w:rPr>
        <w:t>each</w:t>
      </w:r>
      <w:r w:rsidRPr="00E93FD0">
        <w:rPr>
          <w:rFonts w:cstheme="minorHAnsi"/>
          <w:sz w:val="24"/>
          <w:szCs w:val="24"/>
        </w:rPr>
        <w:t xml:space="preserve">. Together, these partners have the necessary leadership experience to address the major </w:t>
      </w:r>
      <w:r w:rsidR="002F29CD" w:rsidRPr="00E93FD0">
        <w:rPr>
          <w:rFonts w:cstheme="minorHAnsi"/>
          <w:sz w:val="24"/>
          <w:szCs w:val="24"/>
        </w:rPr>
        <w:t xml:space="preserve">operational </w:t>
      </w:r>
      <w:r w:rsidRPr="00E93FD0">
        <w:rPr>
          <w:rFonts w:cstheme="minorHAnsi"/>
          <w:sz w:val="24"/>
          <w:szCs w:val="24"/>
        </w:rPr>
        <w:t xml:space="preserve">functions that are required for any health care facility, including </w:t>
      </w:r>
      <w:r w:rsidR="00A52ABD" w:rsidRPr="00E93FD0">
        <w:rPr>
          <w:rFonts w:cstheme="minorHAnsi"/>
          <w:sz w:val="24"/>
          <w:szCs w:val="24"/>
        </w:rPr>
        <w:t>LTCHs</w:t>
      </w:r>
      <w:r w:rsidRPr="00E93FD0">
        <w:rPr>
          <w:rFonts w:cstheme="minorHAnsi"/>
          <w:sz w:val="24"/>
          <w:szCs w:val="24"/>
        </w:rPr>
        <w:t xml:space="preserve">, such as patient satisfaction, quality of care, case management and care coordination, goal setting, cost-effectiveness, and health equity. This team understands that the clinical aspects of care fall under purview of the clinicians; </w:t>
      </w:r>
      <w:proofErr w:type="gramStart"/>
      <w:r w:rsidRPr="00E93FD0">
        <w:rPr>
          <w:rFonts w:cstheme="minorHAnsi"/>
          <w:sz w:val="24"/>
          <w:szCs w:val="24"/>
        </w:rPr>
        <w:t>therefore</w:t>
      </w:r>
      <w:proofErr w:type="gramEnd"/>
      <w:r w:rsidRPr="00E93FD0">
        <w:rPr>
          <w:rFonts w:cstheme="minorHAnsi"/>
          <w:sz w:val="24"/>
          <w:szCs w:val="24"/>
        </w:rPr>
        <w:t xml:space="preserve"> its focus is to bring forth its management experience from the long-term care space – which is, in some ways, more highly regulated than LTCHs.     </w:t>
      </w:r>
    </w:p>
    <w:bookmarkEnd w:id="0"/>
    <w:p w14:paraId="50D9DA70" w14:textId="77777777" w:rsidR="0014527C" w:rsidRPr="00E93FD0" w:rsidRDefault="0014527C" w:rsidP="004B525C">
      <w:pPr>
        <w:pStyle w:val="ListParagraph"/>
        <w:spacing w:after="0" w:line="240" w:lineRule="auto"/>
        <w:rPr>
          <w:rFonts w:cstheme="minorHAnsi"/>
          <w:sz w:val="24"/>
          <w:szCs w:val="24"/>
        </w:rPr>
      </w:pPr>
    </w:p>
    <w:p w14:paraId="509DE9CE" w14:textId="77777777" w:rsidR="0014527C" w:rsidRPr="00E93FD0" w:rsidRDefault="0014527C" w:rsidP="004B525C">
      <w:pPr>
        <w:pStyle w:val="ListParagraph"/>
        <w:spacing w:after="0" w:line="240" w:lineRule="auto"/>
        <w:rPr>
          <w:rFonts w:cstheme="minorHAnsi"/>
          <w:sz w:val="24"/>
          <w:szCs w:val="24"/>
        </w:rPr>
      </w:pPr>
    </w:p>
    <w:p w14:paraId="551F6BFC" w14:textId="77777777" w:rsidR="0014527C" w:rsidRPr="00E93FD0" w:rsidRDefault="0014527C" w:rsidP="004B525C">
      <w:pPr>
        <w:pStyle w:val="ListParagraph"/>
        <w:spacing w:after="0" w:line="240" w:lineRule="auto"/>
        <w:rPr>
          <w:rFonts w:cstheme="minorHAnsi"/>
          <w:sz w:val="24"/>
          <w:szCs w:val="24"/>
        </w:rPr>
      </w:pPr>
    </w:p>
    <w:p w14:paraId="317E8ED2" w14:textId="77777777" w:rsidR="0014527C" w:rsidRPr="00E93FD0" w:rsidRDefault="0014527C" w:rsidP="004B525C">
      <w:pPr>
        <w:pStyle w:val="ListParagraph"/>
        <w:spacing w:after="0" w:line="240" w:lineRule="auto"/>
        <w:rPr>
          <w:rFonts w:cstheme="minorHAnsi"/>
          <w:sz w:val="24"/>
          <w:szCs w:val="24"/>
        </w:rPr>
      </w:pPr>
    </w:p>
    <w:p w14:paraId="0FA023C9" w14:textId="77777777" w:rsidR="0014527C" w:rsidRPr="00E93FD0" w:rsidRDefault="0014527C" w:rsidP="004B525C">
      <w:pPr>
        <w:pStyle w:val="ListParagraph"/>
        <w:numPr>
          <w:ilvl w:val="0"/>
          <w:numId w:val="2"/>
        </w:numPr>
        <w:spacing w:after="0" w:line="240" w:lineRule="auto"/>
        <w:rPr>
          <w:rFonts w:cstheme="minorHAnsi"/>
          <w:b/>
          <w:bCs/>
          <w:sz w:val="24"/>
          <w:szCs w:val="24"/>
        </w:rPr>
      </w:pPr>
      <w:r w:rsidRPr="00E93FD0">
        <w:rPr>
          <w:rFonts w:cstheme="minorHAnsi"/>
          <w:b/>
          <w:bCs/>
          <w:sz w:val="24"/>
          <w:szCs w:val="24"/>
        </w:rPr>
        <w:lastRenderedPageBreak/>
        <w:t xml:space="preserve">The Narrative notes that </w:t>
      </w:r>
      <w:proofErr w:type="spellStart"/>
      <w:r w:rsidRPr="00E93FD0">
        <w:rPr>
          <w:rFonts w:cs="Times New Roman"/>
          <w:b/>
          <w:bCs/>
          <w:sz w:val="24"/>
          <w:szCs w:val="24"/>
        </w:rPr>
        <w:t>Vibra</w:t>
      </w:r>
      <w:proofErr w:type="spellEnd"/>
      <w:r w:rsidRPr="00E93FD0">
        <w:rPr>
          <w:rFonts w:cs="Times New Roman"/>
          <w:b/>
          <w:bCs/>
          <w:sz w:val="24"/>
          <w:szCs w:val="24"/>
        </w:rPr>
        <w:t xml:space="preserve"> Hospital of Western Massachusetts, LLC is under the parent organization, </w:t>
      </w:r>
      <w:proofErr w:type="spellStart"/>
      <w:r w:rsidRPr="00E93FD0">
        <w:rPr>
          <w:rFonts w:cs="Times New Roman"/>
          <w:b/>
          <w:bCs/>
          <w:sz w:val="24"/>
          <w:szCs w:val="24"/>
        </w:rPr>
        <w:t>Vibra</w:t>
      </w:r>
      <w:proofErr w:type="spellEnd"/>
      <w:r w:rsidRPr="00E93FD0">
        <w:rPr>
          <w:rFonts w:cs="Times New Roman"/>
          <w:b/>
          <w:bCs/>
          <w:sz w:val="24"/>
          <w:szCs w:val="24"/>
        </w:rPr>
        <w:t xml:space="preserve"> Healthcare II, LLC. </w:t>
      </w:r>
    </w:p>
    <w:p w14:paraId="0D898381" w14:textId="137CB2CD" w:rsidR="0014527C" w:rsidRPr="00E93FD0" w:rsidRDefault="0014527C" w:rsidP="004B525C">
      <w:pPr>
        <w:pStyle w:val="ListParagraph"/>
        <w:numPr>
          <w:ilvl w:val="1"/>
          <w:numId w:val="2"/>
        </w:numPr>
        <w:spacing w:after="0" w:line="240" w:lineRule="auto"/>
        <w:rPr>
          <w:rFonts w:cstheme="minorHAnsi"/>
          <w:sz w:val="24"/>
          <w:szCs w:val="24"/>
        </w:rPr>
      </w:pPr>
      <w:r w:rsidRPr="00E93FD0">
        <w:rPr>
          <w:rFonts w:cs="Times New Roman"/>
          <w:b/>
          <w:bCs/>
          <w:sz w:val="24"/>
          <w:szCs w:val="24"/>
        </w:rPr>
        <w:t xml:space="preserve">Please provide a brief description of any other facilities that fall under the </w:t>
      </w:r>
      <w:proofErr w:type="spellStart"/>
      <w:r w:rsidRPr="00E93FD0">
        <w:rPr>
          <w:rFonts w:cs="Times New Roman"/>
          <w:b/>
          <w:bCs/>
          <w:sz w:val="24"/>
          <w:szCs w:val="24"/>
        </w:rPr>
        <w:t>Vibra</w:t>
      </w:r>
      <w:proofErr w:type="spellEnd"/>
      <w:r w:rsidRPr="00E93FD0">
        <w:rPr>
          <w:rFonts w:cs="Times New Roman"/>
          <w:b/>
          <w:bCs/>
          <w:sz w:val="24"/>
          <w:szCs w:val="24"/>
        </w:rPr>
        <w:t xml:space="preserve"> Healthcare II parent organization.</w:t>
      </w:r>
      <w:r w:rsidR="00070586" w:rsidRPr="00E93FD0">
        <w:rPr>
          <w:rFonts w:cs="Times New Roman"/>
          <w:sz w:val="24"/>
          <w:szCs w:val="24"/>
        </w:rPr>
        <w:br/>
      </w:r>
      <w:r w:rsidR="00070586" w:rsidRPr="00E93FD0">
        <w:rPr>
          <w:rFonts w:cs="Times New Roman"/>
          <w:sz w:val="12"/>
          <w:szCs w:val="12"/>
        </w:rPr>
        <w:br/>
      </w:r>
      <w:r w:rsidR="00070586" w:rsidRPr="00E93FD0">
        <w:rPr>
          <w:rFonts w:cs="Times New Roman"/>
          <w:sz w:val="24"/>
          <w:szCs w:val="24"/>
          <w:u w:val="single"/>
        </w:rPr>
        <w:t>Response</w:t>
      </w:r>
      <w:proofErr w:type="gramStart"/>
      <w:r w:rsidR="00070586" w:rsidRPr="00E93FD0">
        <w:rPr>
          <w:rFonts w:cs="Times New Roman"/>
          <w:sz w:val="24"/>
          <w:szCs w:val="24"/>
        </w:rPr>
        <w:t>:  In</w:t>
      </w:r>
      <w:proofErr w:type="gramEnd"/>
      <w:r w:rsidR="00070586" w:rsidRPr="00E93FD0">
        <w:rPr>
          <w:rFonts w:cs="Times New Roman"/>
          <w:sz w:val="24"/>
          <w:szCs w:val="24"/>
        </w:rPr>
        <w:t xml:space="preserve"> addition to </w:t>
      </w:r>
      <w:proofErr w:type="spellStart"/>
      <w:r w:rsidR="00070586" w:rsidRPr="00E93FD0">
        <w:rPr>
          <w:rFonts w:cs="Times New Roman"/>
          <w:sz w:val="24"/>
          <w:szCs w:val="24"/>
        </w:rPr>
        <w:t>Vibra</w:t>
      </w:r>
      <w:proofErr w:type="spellEnd"/>
      <w:r w:rsidR="00070586" w:rsidRPr="00E93FD0">
        <w:rPr>
          <w:rFonts w:cs="Times New Roman"/>
          <w:sz w:val="24"/>
          <w:szCs w:val="24"/>
        </w:rPr>
        <w:t xml:space="preserve"> Hospital of Western Massachusetts, </w:t>
      </w:r>
      <w:proofErr w:type="spellStart"/>
      <w:r w:rsidR="00070586" w:rsidRPr="00E93FD0">
        <w:rPr>
          <w:rFonts w:cs="Times New Roman"/>
          <w:sz w:val="24"/>
          <w:szCs w:val="24"/>
        </w:rPr>
        <w:t>Vibra</w:t>
      </w:r>
      <w:proofErr w:type="spellEnd"/>
      <w:r w:rsidR="00070586" w:rsidRPr="00E93FD0">
        <w:rPr>
          <w:rFonts w:cs="Times New Roman"/>
          <w:sz w:val="24"/>
          <w:szCs w:val="24"/>
        </w:rPr>
        <w:t xml:space="preserve"> Healthcare II, LLC’s subsidiaries operate four (4) long term care hospitals located in California, Idaho and North Dakota.  See attached organizational chart.</w:t>
      </w:r>
    </w:p>
    <w:p w14:paraId="37B53E40" w14:textId="77777777" w:rsidR="00070586" w:rsidRPr="00E93FD0" w:rsidRDefault="00070586" w:rsidP="004B525C">
      <w:pPr>
        <w:pStyle w:val="ListParagraph"/>
        <w:spacing w:after="0" w:line="240" w:lineRule="auto"/>
        <w:ind w:left="1440"/>
        <w:rPr>
          <w:rFonts w:cstheme="minorHAnsi"/>
          <w:sz w:val="12"/>
          <w:szCs w:val="12"/>
        </w:rPr>
      </w:pPr>
    </w:p>
    <w:p w14:paraId="6F86A927" w14:textId="4047D3E1" w:rsidR="0014527C" w:rsidRPr="00E93FD0" w:rsidRDefault="0014527C" w:rsidP="004B525C">
      <w:pPr>
        <w:pStyle w:val="ListParagraph"/>
        <w:numPr>
          <w:ilvl w:val="0"/>
          <w:numId w:val="2"/>
        </w:numPr>
        <w:spacing w:after="0" w:line="240" w:lineRule="auto"/>
        <w:rPr>
          <w:rFonts w:cstheme="minorHAnsi"/>
          <w:sz w:val="24"/>
          <w:szCs w:val="24"/>
        </w:rPr>
      </w:pPr>
      <w:r w:rsidRPr="00E93FD0">
        <w:rPr>
          <w:rFonts w:cstheme="minorHAnsi"/>
          <w:b/>
          <w:bCs/>
          <w:sz w:val="24"/>
          <w:szCs w:val="24"/>
        </w:rPr>
        <w:t xml:space="preserve">How long has </w:t>
      </w:r>
      <w:proofErr w:type="spellStart"/>
      <w:r w:rsidRPr="00E93FD0">
        <w:rPr>
          <w:rFonts w:cstheme="minorHAnsi"/>
          <w:b/>
          <w:bCs/>
          <w:sz w:val="24"/>
          <w:szCs w:val="24"/>
        </w:rPr>
        <w:t>Vibra</w:t>
      </w:r>
      <w:proofErr w:type="spellEnd"/>
      <w:r w:rsidRPr="00E93FD0">
        <w:rPr>
          <w:rFonts w:cstheme="minorHAnsi"/>
          <w:b/>
          <w:bCs/>
          <w:sz w:val="24"/>
          <w:szCs w:val="24"/>
        </w:rPr>
        <w:t xml:space="preserve"> Hospital of Western Massachusetts, LLC been in operation?</w:t>
      </w:r>
      <w:r w:rsidR="00070586" w:rsidRPr="00E93FD0">
        <w:rPr>
          <w:rFonts w:cstheme="minorHAnsi"/>
          <w:sz w:val="24"/>
          <w:szCs w:val="24"/>
        </w:rPr>
        <w:br/>
      </w:r>
      <w:r w:rsidR="00070586" w:rsidRPr="00E93FD0">
        <w:rPr>
          <w:rFonts w:cstheme="minorHAnsi"/>
          <w:sz w:val="12"/>
          <w:szCs w:val="12"/>
        </w:rPr>
        <w:br/>
      </w:r>
      <w:r w:rsidR="00070586" w:rsidRPr="00E93FD0">
        <w:rPr>
          <w:rFonts w:cstheme="minorHAnsi"/>
          <w:sz w:val="24"/>
          <w:szCs w:val="24"/>
          <w:u w:val="single"/>
        </w:rPr>
        <w:t>Response</w:t>
      </w:r>
      <w:proofErr w:type="gramStart"/>
      <w:r w:rsidR="00070586" w:rsidRPr="00E93FD0">
        <w:rPr>
          <w:rFonts w:cstheme="minorHAnsi"/>
          <w:sz w:val="24"/>
          <w:szCs w:val="24"/>
        </w:rPr>
        <w:t xml:space="preserve">:  </w:t>
      </w:r>
      <w:proofErr w:type="spellStart"/>
      <w:r w:rsidR="00070586" w:rsidRPr="00E93FD0">
        <w:rPr>
          <w:rFonts w:cstheme="minorHAnsi"/>
          <w:sz w:val="24"/>
          <w:szCs w:val="24"/>
        </w:rPr>
        <w:t>Vibra</w:t>
      </w:r>
      <w:proofErr w:type="spellEnd"/>
      <w:proofErr w:type="gramEnd"/>
      <w:r w:rsidR="00070586" w:rsidRPr="00E93FD0">
        <w:rPr>
          <w:rFonts w:cstheme="minorHAnsi"/>
          <w:sz w:val="24"/>
          <w:szCs w:val="24"/>
        </w:rPr>
        <w:t xml:space="preserve"> Hospital of Western Massachusetts, LLC has operated the </w:t>
      </w:r>
      <w:r w:rsidR="002F29CD" w:rsidRPr="00E93FD0">
        <w:rPr>
          <w:rFonts w:cstheme="minorHAnsi"/>
          <w:sz w:val="24"/>
          <w:szCs w:val="24"/>
        </w:rPr>
        <w:t>H</w:t>
      </w:r>
      <w:r w:rsidR="00070586" w:rsidRPr="00E93FD0">
        <w:rPr>
          <w:rFonts w:cstheme="minorHAnsi"/>
          <w:sz w:val="24"/>
          <w:szCs w:val="24"/>
        </w:rPr>
        <w:t>ospital since September 1, 2013.</w:t>
      </w:r>
    </w:p>
    <w:p w14:paraId="1C142D57" w14:textId="77777777" w:rsidR="0014527C" w:rsidRPr="00E93FD0" w:rsidRDefault="0014527C" w:rsidP="004B525C">
      <w:pPr>
        <w:pStyle w:val="ListParagraph"/>
        <w:spacing w:after="0" w:line="240" w:lineRule="auto"/>
        <w:rPr>
          <w:rFonts w:cstheme="minorHAnsi"/>
          <w:sz w:val="12"/>
          <w:szCs w:val="12"/>
        </w:rPr>
      </w:pPr>
    </w:p>
    <w:p w14:paraId="63434DE5" w14:textId="77777777" w:rsidR="004D018D" w:rsidRPr="00E93FD0" w:rsidRDefault="0014527C" w:rsidP="004D018D">
      <w:pPr>
        <w:pStyle w:val="ListParagraph"/>
        <w:numPr>
          <w:ilvl w:val="0"/>
          <w:numId w:val="2"/>
        </w:numPr>
        <w:spacing w:after="0" w:line="240" w:lineRule="auto"/>
        <w:rPr>
          <w:rFonts w:cstheme="minorHAnsi"/>
          <w:sz w:val="12"/>
          <w:szCs w:val="12"/>
        </w:rPr>
      </w:pPr>
      <w:r w:rsidRPr="00E93FD0">
        <w:rPr>
          <w:rFonts w:cstheme="minorHAnsi"/>
          <w:b/>
          <w:bCs/>
          <w:sz w:val="24"/>
          <w:szCs w:val="24"/>
        </w:rPr>
        <w:t xml:space="preserve">What changes does the Applicant anticipate to current staffing levels </w:t>
      </w:r>
      <w:proofErr w:type="gramStart"/>
      <w:r w:rsidRPr="00E93FD0">
        <w:rPr>
          <w:rFonts w:cstheme="minorHAnsi"/>
          <w:b/>
          <w:bCs/>
          <w:sz w:val="24"/>
          <w:szCs w:val="24"/>
        </w:rPr>
        <w:t>as a result of</w:t>
      </w:r>
      <w:proofErr w:type="gramEnd"/>
      <w:r w:rsidRPr="00E93FD0">
        <w:rPr>
          <w:rFonts w:cstheme="minorHAnsi"/>
          <w:b/>
          <w:bCs/>
          <w:sz w:val="24"/>
          <w:szCs w:val="24"/>
        </w:rPr>
        <w:t xml:space="preserve"> the Proposed Project?</w:t>
      </w:r>
      <w:r w:rsidRPr="00E93FD0">
        <w:rPr>
          <w:rFonts w:cstheme="minorHAnsi"/>
          <w:sz w:val="24"/>
          <w:szCs w:val="24"/>
        </w:rPr>
        <w:br/>
      </w:r>
      <w:r w:rsidRPr="00E93FD0">
        <w:rPr>
          <w:rFonts w:cstheme="minorHAnsi"/>
          <w:sz w:val="12"/>
          <w:szCs w:val="12"/>
        </w:rPr>
        <w:br/>
      </w:r>
      <w:r w:rsidRPr="00E93FD0">
        <w:rPr>
          <w:rFonts w:cstheme="minorHAnsi"/>
          <w:sz w:val="24"/>
          <w:szCs w:val="24"/>
          <w:u w:val="single"/>
        </w:rPr>
        <w:t>Response</w:t>
      </w:r>
      <w:proofErr w:type="gramStart"/>
      <w:r w:rsidRPr="00E93FD0">
        <w:rPr>
          <w:rFonts w:cstheme="minorHAnsi"/>
          <w:sz w:val="24"/>
          <w:szCs w:val="24"/>
        </w:rPr>
        <w:t>:  The</w:t>
      </w:r>
      <w:proofErr w:type="gramEnd"/>
      <w:r w:rsidRPr="00E93FD0">
        <w:rPr>
          <w:rFonts w:cstheme="minorHAnsi"/>
          <w:sz w:val="24"/>
          <w:szCs w:val="24"/>
        </w:rPr>
        <w:t xml:space="preserve"> LTCH is currently staffed to census and patient acuity.  The Applicant will continue to staff accordingly. The current operator, however, uses travel staff, a practice which the Applicant will be moving away from.   The Applicant intends to invest in staff through recruitment, hiring, and retention practices. </w:t>
      </w:r>
    </w:p>
    <w:p w14:paraId="28102754" w14:textId="77777777" w:rsidR="004D018D" w:rsidRPr="00E93FD0" w:rsidRDefault="004D018D" w:rsidP="004D018D">
      <w:pPr>
        <w:pStyle w:val="ListParagraph"/>
        <w:rPr>
          <w:rFonts w:cstheme="minorHAnsi"/>
          <w:sz w:val="12"/>
          <w:szCs w:val="12"/>
        </w:rPr>
      </w:pPr>
    </w:p>
    <w:p w14:paraId="490F3ABB" w14:textId="2CAC263A" w:rsidR="0014527C" w:rsidRPr="00E93FD0" w:rsidRDefault="0014527C" w:rsidP="004D018D">
      <w:pPr>
        <w:pStyle w:val="ListParagraph"/>
        <w:numPr>
          <w:ilvl w:val="1"/>
          <w:numId w:val="2"/>
        </w:numPr>
        <w:spacing w:after="0" w:line="240" w:lineRule="auto"/>
        <w:rPr>
          <w:rFonts w:cstheme="minorHAnsi"/>
          <w:sz w:val="12"/>
          <w:szCs w:val="12"/>
        </w:rPr>
      </w:pPr>
      <w:r w:rsidRPr="00E93FD0">
        <w:rPr>
          <w:rFonts w:cstheme="minorHAnsi"/>
          <w:b/>
          <w:bCs/>
          <w:sz w:val="24"/>
          <w:szCs w:val="24"/>
        </w:rPr>
        <w:t>If the Applicant intends to hire additional staff, please provide details on how they will attract talent.</w:t>
      </w:r>
      <w:r w:rsidRPr="00E93FD0">
        <w:rPr>
          <w:rFonts w:cstheme="minorHAnsi"/>
          <w:sz w:val="24"/>
          <w:szCs w:val="24"/>
        </w:rPr>
        <w:t xml:space="preserve"> </w:t>
      </w:r>
      <w:r w:rsidRPr="00E93FD0">
        <w:rPr>
          <w:rFonts w:cstheme="minorHAnsi"/>
          <w:sz w:val="24"/>
          <w:szCs w:val="24"/>
        </w:rPr>
        <w:br/>
      </w:r>
      <w:r w:rsidRPr="00E93FD0">
        <w:rPr>
          <w:rFonts w:cstheme="minorHAnsi"/>
          <w:sz w:val="12"/>
          <w:szCs w:val="12"/>
          <w:u w:val="single"/>
        </w:rPr>
        <w:br/>
      </w:r>
      <w:r w:rsidRPr="00E93FD0">
        <w:rPr>
          <w:rFonts w:cstheme="minorHAnsi"/>
          <w:sz w:val="24"/>
          <w:szCs w:val="24"/>
          <w:u w:val="single"/>
        </w:rPr>
        <w:t>Response</w:t>
      </w:r>
      <w:proofErr w:type="gramStart"/>
      <w:r w:rsidRPr="00E93FD0">
        <w:rPr>
          <w:rFonts w:cstheme="minorHAnsi"/>
          <w:sz w:val="24"/>
          <w:szCs w:val="24"/>
        </w:rPr>
        <w:t>:  After</w:t>
      </w:r>
      <w:proofErr w:type="gramEnd"/>
      <w:r w:rsidRPr="00E93FD0">
        <w:rPr>
          <w:rFonts w:cstheme="minorHAnsi"/>
          <w:sz w:val="24"/>
          <w:szCs w:val="24"/>
        </w:rPr>
        <w:t xml:space="preserve"> the proposed transaction, </w:t>
      </w:r>
      <w:r w:rsidR="002F29CD" w:rsidRPr="00E93FD0">
        <w:rPr>
          <w:rFonts w:cstheme="minorHAnsi"/>
          <w:sz w:val="24"/>
          <w:szCs w:val="24"/>
        </w:rPr>
        <w:t>key priorities of</w:t>
      </w:r>
      <w:r w:rsidRPr="00E93FD0">
        <w:rPr>
          <w:rFonts w:cstheme="minorHAnsi"/>
          <w:sz w:val="24"/>
          <w:szCs w:val="24"/>
        </w:rPr>
        <w:t xml:space="preserve"> the Applicant</w:t>
      </w:r>
      <w:r w:rsidR="00A90996" w:rsidRPr="00E93FD0">
        <w:rPr>
          <w:rFonts w:cstheme="minorHAnsi"/>
          <w:sz w:val="24"/>
          <w:szCs w:val="24"/>
        </w:rPr>
        <w:t xml:space="preserve"> </w:t>
      </w:r>
      <w:r w:rsidR="00A52ABD" w:rsidRPr="00E93FD0">
        <w:rPr>
          <w:rFonts w:cstheme="minorHAnsi"/>
          <w:sz w:val="24"/>
          <w:szCs w:val="24"/>
        </w:rPr>
        <w:t>are</w:t>
      </w:r>
      <w:r w:rsidRPr="00E93FD0">
        <w:rPr>
          <w:rFonts w:cstheme="minorHAnsi"/>
          <w:sz w:val="24"/>
          <w:szCs w:val="24"/>
        </w:rPr>
        <w:t xml:space="preserve"> to understand the Hospital’s personnel needs, enhance the Hospital’s existing human resources infrastructure and utilize other marketing techniques to boost recruitment and hiring, and implement a long-term worker retention strategy emphasizing a personal approach by Hospital leadership. First, to understand the existing staffing needs, Applicant plans to survey current staff, </w:t>
      </w:r>
      <w:r w:rsidR="00A52ABD" w:rsidRPr="00E93FD0">
        <w:rPr>
          <w:rFonts w:cstheme="minorHAnsi"/>
          <w:sz w:val="24"/>
          <w:szCs w:val="24"/>
        </w:rPr>
        <w:t>establish an onsite presence</w:t>
      </w:r>
      <w:r w:rsidRPr="00E93FD0">
        <w:rPr>
          <w:rFonts w:cstheme="minorHAnsi"/>
          <w:sz w:val="24"/>
          <w:szCs w:val="24"/>
        </w:rPr>
        <w:t xml:space="preserve">, and have regular and ongoing discussions with the Director of Nursing. Based on the feedback received, Applicant will develop a plan to address these needs. For example, Applicant plans to utilize recruitment software that connects providers to potential candidates and will strengthen its relationships with local clinical training programs, both of which are sources of potential hires who can also develop into longstanding employees. </w:t>
      </w:r>
      <w:proofErr w:type="gramStart"/>
      <w:r w:rsidRPr="00E93FD0">
        <w:rPr>
          <w:rFonts w:cstheme="minorHAnsi"/>
          <w:sz w:val="24"/>
          <w:szCs w:val="24"/>
        </w:rPr>
        <w:t>Applicant</w:t>
      </w:r>
      <w:proofErr w:type="gramEnd"/>
      <w:r w:rsidRPr="00E93FD0">
        <w:rPr>
          <w:rFonts w:cstheme="minorHAnsi"/>
          <w:sz w:val="24"/>
          <w:szCs w:val="24"/>
        </w:rPr>
        <w:t xml:space="preserve"> will also utilize standard marketing approaches including signing and referral incentives, as well as use of social media. </w:t>
      </w:r>
      <w:proofErr w:type="gramStart"/>
      <w:r w:rsidRPr="00E93FD0">
        <w:rPr>
          <w:rFonts w:cstheme="minorHAnsi"/>
          <w:sz w:val="24"/>
          <w:szCs w:val="24"/>
        </w:rPr>
        <w:t>Applicant</w:t>
      </w:r>
      <w:proofErr w:type="gramEnd"/>
      <w:r w:rsidRPr="00E93FD0">
        <w:rPr>
          <w:rFonts w:cstheme="minorHAnsi"/>
          <w:sz w:val="24"/>
          <w:szCs w:val="24"/>
        </w:rPr>
        <w:t xml:space="preserve"> understands that maintaining staff requires investment in employee satisfaction and management that goes beyond recruitment and hiring. Therefore, Applicant is committed to creating a culture where leadership is readily available</w:t>
      </w:r>
      <w:r w:rsidR="00A52ABD" w:rsidRPr="00E93FD0">
        <w:rPr>
          <w:rFonts w:cstheme="minorHAnsi"/>
          <w:sz w:val="24"/>
          <w:szCs w:val="24"/>
        </w:rPr>
        <w:t xml:space="preserve"> </w:t>
      </w:r>
      <w:proofErr w:type="gramStart"/>
      <w:r w:rsidR="00A52ABD" w:rsidRPr="00E93FD0">
        <w:rPr>
          <w:rFonts w:cstheme="minorHAnsi"/>
          <w:sz w:val="24"/>
          <w:szCs w:val="24"/>
        </w:rPr>
        <w:t>and on the premises</w:t>
      </w:r>
      <w:proofErr w:type="gramEnd"/>
      <w:r w:rsidRPr="00E93FD0">
        <w:rPr>
          <w:rFonts w:cstheme="minorHAnsi"/>
          <w:sz w:val="24"/>
          <w:szCs w:val="24"/>
        </w:rPr>
        <w:t xml:space="preserve"> to quickly step in when staffing or personnel issues arise.</w:t>
      </w:r>
    </w:p>
    <w:p w14:paraId="5122DA6F" w14:textId="77777777" w:rsidR="000C6A86" w:rsidRPr="00E93FD0" w:rsidRDefault="000C6A86" w:rsidP="004B525C">
      <w:pPr>
        <w:spacing w:after="0" w:line="240" w:lineRule="auto"/>
        <w:rPr>
          <w:rFonts w:cstheme="minorHAnsi"/>
          <w:b/>
          <w:bCs/>
          <w:sz w:val="12"/>
          <w:szCs w:val="12"/>
        </w:rPr>
      </w:pPr>
    </w:p>
    <w:p w14:paraId="5EA4A8A8" w14:textId="77777777" w:rsidR="000C6A86" w:rsidRPr="00E93FD0" w:rsidRDefault="000C6A86" w:rsidP="004B525C">
      <w:pPr>
        <w:spacing w:after="0" w:line="240" w:lineRule="auto"/>
        <w:rPr>
          <w:rFonts w:cstheme="minorHAnsi"/>
          <w:b/>
          <w:bCs/>
          <w:sz w:val="12"/>
          <w:szCs w:val="12"/>
        </w:rPr>
      </w:pPr>
    </w:p>
    <w:p w14:paraId="55156877" w14:textId="77777777" w:rsidR="000C6A86" w:rsidRPr="00E93FD0" w:rsidRDefault="000C6A86" w:rsidP="004B525C">
      <w:pPr>
        <w:spacing w:after="0" w:line="240" w:lineRule="auto"/>
        <w:rPr>
          <w:rFonts w:cstheme="minorHAnsi"/>
          <w:b/>
          <w:bCs/>
          <w:sz w:val="12"/>
          <w:szCs w:val="12"/>
        </w:rPr>
      </w:pPr>
    </w:p>
    <w:p w14:paraId="39AB5DD8" w14:textId="77777777" w:rsidR="000C6A86" w:rsidRPr="00E93FD0" w:rsidRDefault="000C6A86" w:rsidP="004B525C">
      <w:pPr>
        <w:spacing w:after="0" w:line="240" w:lineRule="auto"/>
        <w:rPr>
          <w:rFonts w:cstheme="minorHAnsi"/>
          <w:b/>
          <w:bCs/>
          <w:sz w:val="12"/>
          <w:szCs w:val="12"/>
        </w:rPr>
      </w:pPr>
    </w:p>
    <w:p w14:paraId="609D7344" w14:textId="77777777" w:rsidR="000C6A86" w:rsidRPr="00E93FD0" w:rsidRDefault="000C6A86" w:rsidP="004B525C">
      <w:pPr>
        <w:spacing w:after="0" w:line="240" w:lineRule="auto"/>
        <w:rPr>
          <w:rFonts w:cstheme="minorHAnsi"/>
          <w:b/>
          <w:bCs/>
          <w:sz w:val="12"/>
          <w:szCs w:val="12"/>
        </w:rPr>
      </w:pPr>
    </w:p>
    <w:p w14:paraId="443D9646" w14:textId="77777777" w:rsidR="000C6A86" w:rsidRPr="00E93FD0" w:rsidRDefault="000C6A86" w:rsidP="004B525C">
      <w:pPr>
        <w:spacing w:after="0" w:line="240" w:lineRule="auto"/>
        <w:rPr>
          <w:rFonts w:cstheme="minorHAnsi"/>
          <w:b/>
          <w:bCs/>
          <w:sz w:val="12"/>
          <w:szCs w:val="12"/>
        </w:rPr>
      </w:pPr>
    </w:p>
    <w:p w14:paraId="5D166672" w14:textId="77777777" w:rsidR="000C6A86" w:rsidRPr="00E93FD0" w:rsidRDefault="000C6A86" w:rsidP="004B525C">
      <w:pPr>
        <w:spacing w:after="0" w:line="240" w:lineRule="auto"/>
        <w:rPr>
          <w:rFonts w:cstheme="minorHAnsi"/>
          <w:b/>
          <w:bCs/>
          <w:sz w:val="12"/>
          <w:szCs w:val="12"/>
        </w:rPr>
      </w:pPr>
    </w:p>
    <w:p w14:paraId="2522C0F0" w14:textId="77777777" w:rsidR="000C6A86" w:rsidRPr="00E93FD0" w:rsidRDefault="000C6A86" w:rsidP="004B525C">
      <w:pPr>
        <w:spacing w:after="0" w:line="240" w:lineRule="auto"/>
        <w:rPr>
          <w:rFonts w:cstheme="minorHAnsi"/>
          <w:b/>
          <w:bCs/>
          <w:sz w:val="12"/>
          <w:szCs w:val="12"/>
        </w:rPr>
      </w:pPr>
    </w:p>
    <w:p w14:paraId="452A0CA7" w14:textId="77777777" w:rsidR="000C6A86" w:rsidRPr="00E93FD0" w:rsidRDefault="000C6A86" w:rsidP="004B525C">
      <w:pPr>
        <w:spacing w:after="0" w:line="240" w:lineRule="auto"/>
        <w:rPr>
          <w:rFonts w:cstheme="minorHAnsi"/>
          <w:b/>
          <w:bCs/>
          <w:sz w:val="12"/>
          <w:szCs w:val="12"/>
        </w:rPr>
      </w:pPr>
    </w:p>
    <w:p w14:paraId="65FC0223" w14:textId="77777777" w:rsidR="000C6A86" w:rsidRPr="00E93FD0" w:rsidRDefault="000C6A86" w:rsidP="004B525C">
      <w:pPr>
        <w:spacing w:after="0" w:line="240" w:lineRule="auto"/>
        <w:rPr>
          <w:rFonts w:cstheme="minorHAnsi"/>
          <w:b/>
          <w:bCs/>
          <w:sz w:val="12"/>
          <w:szCs w:val="12"/>
        </w:rPr>
      </w:pPr>
    </w:p>
    <w:p w14:paraId="6DC3E97E" w14:textId="77777777" w:rsidR="0014527C" w:rsidRPr="00E93FD0" w:rsidRDefault="0014527C" w:rsidP="0064684A">
      <w:pPr>
        <w:pStyle w:val="Heading1"/>
      </w:pPr>
      <w:r w:rsidRPr="00E93FD0">
        <w:lastRenderedPageBreak/>
        <w:t xml:space="preserve">1ai: Patient Panel </w:t>
      </w:r>
    </w:p>
    <w:p w14:paraId="0FE17359" w14:textId="77777777" w:rsidR="0014527C" w:rsidRPr="00E93FD0" w:rsidRDefault="0014527C" w:rsidP="004B525C">
      <w:pPr>
        <w:spacing w:after="0" w:line="240" w:lineRule="auto"/>
        <w:rPr>
          <w:rFonts w:cstheme="minorHAnsi"/>
          <w:sz w:val="12"/>
          <w:szCs w:val="12"/>
        </w:rPr>
      </w:pPr>
    </w:p>
    <w:p w14:paraId="5712D873" w14:textId="66DAF7A6" w:rsidR="0014527C" w:rsidRPr="00E93FD0" w:rsidRDefault="0014527C" w:rsidP="004B525C">
      <w:pPr>
        <w:pStyle w:val="ListParagraph"/>
        <w:numPr>
          <w:ilvl w:val="0"/>
          <w:numId w:val="2"/>
        </w:numPr>
        <w:spacing w:after="0" w:line="240" w:lineRule="auto"/>
        <w:rPr>
          <w:rFonts w:cstheme="minorHAnsi"/>
          <w:sz w:val="12"/>
          <w:szCs w:val="12"/>
        </w:rPr>
      </w:pPr>
      <w:r w:rsidRPr="00E93FD0">
        <w:rPr>
          <w:rFonts w:cstheme="minorHAnsi"/>
          <w:b/>
          <w:bCs/>
          <w:sz w:val="24"/>
          <w:szCs w:val="24"/>
        </w:rPr>
        <w:t xml:space="preserve">Based on the Unique Patient data provided in Exhibit 2A, </w:t>
      </w:r>
      <w:proofErr w:type="spellStart"/>
      <w:r w:rsidRPr="00E93FD0">
        <w:rPr>
          <w:rFonts w:cstheme="minorHAnsi"/>
          <w:b/>
          <w:bCs/>
          <w:sz w:val="24"/>
          <w:szCs w:val="24"/>
        </w:rPr>
        <w:t>Vibra’s</w:t>
      </w:r>
      <w:proofErr w:type="spellEnd"/>
      <w:r w:rsidRPr="00E93FD0">
        <w:rPr>
          <w:rFonts w:cstheme="minorHAnsi"/>
          <w:b/>
          <w:bCs/>
          <w:sz w:val="24"/>
          <w:szCs w:val="24"/>
        </w:rPr>
        <w:t xml:space="preserve"> unique patient count has been in decline since FY2020. Please provide an explanation for the decline.</w:t>
      </w:r>
      <w:r w:rsidR="00070586" w:rsidRPr="00E93FD0">
        <w:rPr>
          <w:rFonts w:cstheme="minorHAnsi"/>
          <w:sz w:val="24"/>
          <w:szCs w:val="24"/>
        </w:rPr>
        <w:br/>
      </w:r>
      <w:r w:rsidR="00070586" w:rsidRPr="00E93FD0">
        <w:rPr>
          <w:rFonts w:cstheme="minorHAnsi"/>
          <w:sz w:val="12"/>
          <w:szCs w:val="12"/>
        </w:rPr>
        <w:br/>
      </w:r>
      <w:r w:rsidR="006274A0" w:rsidRPr="00E93FD0">
        <w:rPr>
          <w:rFonts w:cstheme="minorHAnsi"/>
          <w:sz w:val="24"/>
          <w:szCs w:val="24"/>
        </w:rPr>
        <w:t>Response</w:t>
      </w:r>
      <w:proofErr w:type="gramStart"/>
      <w:r w:rsidR="006274A0" w:rsidRPr="00E93FD0">
        <w:rPr>
          <w:rFonts w:cstheme="minorHAnsi"/>
          <w:sz w:val="24"/>
          <w:szCs w:val="24"/>
        </w:rPr>
        <w:t>:  The</w:t>
      </w:r>
      <w:proofErr w:type="gramEnd"/>
      <w:r w:rsidR="006274A0" w:rsidRPr="00E93FD0">
        <w:rPr>
          <w:rFonts w:cstheme="minorHAnsi"/>
          <w:sz w:val="24"/>
          <w:szCs w:val="24"/>
        </w:rPr>
        <w:t xml:space="preserve"> patient volume decline in FY 2024 was unusual for the </w:t>
      </w:r>
      <w:proofErr w:type="gramStart"/>
      <w:r w:rsidR="006274A0" w:rsidRPr="00E93FD0">
        <w:rPr>
          <w:rFonts w:cstheme="minorHAnsi"/>
          <w:sz w:val="24"/>
          <w:szCs w:val="24"/>
        </w:rPr>
        <w:t>Hospital, and</w:t>
      </w:r>
      <w:proofErr w:type="gramEnd"/>
      <w:r w:rsidR="006274A0" w:rsidRPr="00E93FD0">
        <w:rPr>
          <w:rFonts w:cstheme="minorHAnsi"/>
          <w:sz w:val="24"/>
          <w:szCs w:val="24"/>
        </w:rPr>
        <w:t xml:space="preserve"> was due to </w:t>
      </w:r>
      <w:proofErr w:type="gramStart"/>
      <w:r w:rsidR="006274A0" w:rsidRPr="00E93FD0">
        <w:rPr>
          <w:rFonts w:cstheme="minorHAnsi"/>
          <w:sz w:val="24"/>
          <w:szCs w:val="24"/>
        </w:rPr>
        <w:t>a number of</w:t>
      </w:r>
      <w:proofErr w:type="gramEnd"/>
      <w:r w:rsidR="006274A0" w:rsidRPr="00E93FD0">
        <w:rPr>
          <w:rFonts w:cstheme="minorHAnsi"/>
          <w:sz w:val="24"/>
          <w:szCs w:val="24"/>
        </w:rPr>
        <w:t xml:space="preserve"> issues including staffing issues and the termination of dialysis service provider who exited the business.  For FY 2025, the patient volume is projected to be over 240 based on current volumes.  In addition, the Hospital will have </w:t>
      </w:r>
      <w:proofErr w:type="gramStart"/>
      <w:r w:rsidR="006274A0" w:rsidRPr="00E93FD0">
        <w:rPr>
          <w:rFonts w:cstheme="minorHAnsi"/>
          <w:sz w:val="24"/>
          <w:szCs w:val="24"/>
        </w:rPr>
        <w:t>dialysis</w:t>
      </w:r>
      <w:proofErr w:type="gramEnd"/>
      <w:r w:rsidR="006274A0" w:rsidRPr="00E93FD0">
        <w:rPr>
          <w:rFonts w:cstheme="minorHAnsi"/>
          <w:sz w:val="24"/>
          <w:szCs w:val="24"/>
        </w:rPr>
        <w:t xml:space="preserve"> service shortly which will increase the patient volume.</w:t>
      </w:r>
      <w:r w:rsidR="00070586" w:rsidRPr="00E93FD0">
        <w:rPr>
          <w:rFonts w:cstheme="minorHAnsi"/>
          <w:sz w:val="24"/>
          <w:szCs w:val="24"/>
        </w:rPr>
        <w:br/>
      </w:r>
    </w:p>
    <w:p w14:paraId="090699AF" w14:textId="795B89AC" w:rsidR="0014527C" w:rsidRPr="00E93FD0" w:rsidRDefault="0014527C" w:rsidP="004B525C">
      <w:pPr>
        <w:pStyle w:val="ListParagraph"/>
        <w:numPr>
          <w:ilvl w:val="0"/>
          <w:numId w:val="2"/>
        </w:numPr>
        <w:spacing w:after="0" w:line="240" w:lineRule="auto"/>
        <w:rPr>
          <w:rFonts w:cstheme="minorHAnsi"/>
          <w:sz w:val="12"/>
          <w:szCs w:val="12"/>
        </w:rPr>
      </w:pPr>
      <w:r w:rsidRPr="00E93FD0">
        <w:rPr>
          <w:rFonts w:cstheme="minorHAnsi"/>
          <w:b/>
          <w:bCs/>
          <w:sz w:val="24"/>
          <w:szCs w:val="24"/>
        </w:rPr>
        <w:t>Can the Applicant provide any insight on why the percentage of male patients is significantly higher than female patients?</w:t>
      </w:r>
      <w:r w:rsidR="00070586" w:rsidRPr="00E93FD0">
        <w:rPr>
          <w:rFonts w:cstheme="minorHAnsi"/>
          <w:sz w:val="24"/>
          <w:szCs w:val="24"/>
        </w:rPr>
        <w:br/>
      </w:r>
      <w:r w:rsidR="00070586" w:rsidRPr="00E93FD0">
        <w:rPr>
          <w:rFonts w:cstheme="minorHAnsi"/>
          <w:sz w:val="12"/>
          <w:szCs w:val="12"/>
        </w:rPr>
        <w:br/>
      </w:r>
      <w:r w:rsidR="00070586" w:rsidRPr="00E93FD0">
        <w:rPr>
          <w:rFonts w:cstheme="minorHAnsi"/>
          <w:sz w:val="24"/>
          <w:szCs w:val="24"/>
          <w:u w:val="single"/>
        </w:rPr>
        <w:t>Response</w:t>
      </w:r>
      <w:r w:rsidR="00070586" w:rsidRPr="00E93FD0">
        <w:rPr>
          <w:rFonts w:cstheme="minorHAnsi"/>
          <w:sz w:val="24"/>
          <w:szCs w:val="24"/>
        </w:rPr>
        <w:t xml:space="preserve">:  </w:t>
      </w:r>
      <w:r w:rsidR="00A110B8" w:rsidRPr="00E93FD0">
        <w:rPr>
          <w:rFonts w:cstheme="minorHAnsi"/>
          <w:sz w:val="24"/>
          <w:szCs w:val="24"/>
        </w:rPr>
        <w:t xml:space="preserve">The </w:t>
      </w:r>
      <w:r w:rsidR="006274A0" w:rsidRPr="00E93FD0">
        <w:rPr>
          <w:rFonts w:cstheme="minorHAnsi"/>
          <w:sz w:val="24"/>
          <w:szCs w:val="24"/>
        </w:rPr>
        <w:t>patient volume</w:t>
      </w:r>
      <w:r w:rsidR="00A110B8" w:rsidRPr="00E93FD0">
        <w:rPr>
          <w:rFonts w:cstheme="minorHAnsi"/>
          <w:sz w:val="24"/>
          <w:szCs w:val="24"/>
        </w:rPr>
        <w:t xml:space="preserve"> </w:t>
      </w:r>
      <w:r w:rsidR="006274A0" w:rsidRPr="00E93FD0">
        <w:rPr>
          <w:rFonts w:cstheme="minorHAnsi"/>
          <w:sz w:val="24"/>
          <w:szCs w:val="24"/>
        </w:rPr>
        <w:t>is proportionate to the split</w:t>
      </w:r>
      <w:r w:rsidR="00A110B8" w:rsidRPr="00E93FD0">
        <w:rPr>
          <w:rFonts w:cstheme="minorHAnsi"/>
          <w:sz w:val="24"/>
          <w:szCs w:val="24"/>
        </w:rPr>
        <w:t xml:space="preserve"> between male and female referrals to the Hospital</w:t>
      </w:r>
      <w:r w:rsidR="006274A0" w:rsidRPr="00E93FD0">
        <w:rPr>
          <w:rFonts w:cstheme="minorHAnsi"/>
          <w:sz w:val="24"/>
          <w:szCs w:val="24"/>
        </w:rPr>
        <w:t>.</w:t>
      </w:r>
      <w:r w:rsidR="00A110B8" w:rsidRPr="00E93FD0">
        <w:rPr>
          <w:rFonts w:cstheme="minorHAnsi"/>
          <w:sz w:val="24"/>
          <w:szCs w:val="24"/>
        </w:rPr>
        <w:t xml:space="preserve"> Overall, t</w:t>
      </w:r>
      <w:r w:rsidR="00070586" w:rsidRPr="00E93FD0">
        <w:rPr>
          <w:rFonts w:cstheme="minorHAnsi"/>
          <w:sz w:val="24"/>
          <w:szCs w:val="24"/>
        </w:rPr>
        <w:t xml:space="preserve">he percentage of male admissions versus female admissions was within 5% of the percentages of males versus </w:t>
      </w:r>
      <w:proofErr w:type="gramStart"/>
      <w:r w:rsidR="00070586" w:rsidRPr="00E93FD0">
        <w:rPr>
          <w:rFonts w:cstheme="minorHAnsi"/>
          <w:sz w:val="24"/>
          <w:szCs w:val="24"/>
        </w:rPr>
        <w:t>females</w:t>
      </w:r>
      <w:proofErr w:type="gramEnd"/>
      <w:r w:rsidR="00070586" w:rsidRPr="00E93FD0">
        <w:rPr>
          <w:rFonts w:cstheme="minorHAnsi"/>
          <w:sz w:val="24"/>
          <w:szCs w:val="24"/>
        </w:rPr>
        <w:t xml:space="preserve"> referrals.</w:t>
      </w:r>
      <w:r w:rsidR="00070586" w:rsidRPr="00E93FD0">
        <w:rPr>
          <w:rFonts w:cstheme="minorHAnsi"/>
          <w:sz w:val="24"/>
          <w:szCs w:val="24"/>
        </w:rPr>
        <w:br/>
      </w:r>
    </w:p>
    <w:p w14:paraId="5D42833F" w14:textId="77777777" w:rsidR="0014527C" w:rsidRPr="00E93FD0" w:rsidRDefault="0014527C" w:rsidP="004B525C">
      <w:pPr>
        <w:pStyle w:val="ListParagraph"/>
        <w:numPr>
          <w:ilvl w:val="0"/>
          <w:numId w:val="2"/>
        </w:numPr>
        <w:spacing w:after="0" w:line="240" w:lineRule="auto"/>
        <w:rPr>
          <w:rFonts w:cstheme="minorHAnsi"/>
          <w:b/>
          <w:bCs/>
          <w:sz w:val="24"/>
          <w:szCs w:val="24"/>
        </w:rPr>
      </w:pPr>
      <w:r w:rsidRPr="00E93FD0">
        <w:rPr>
          <w:rFonts w:cstheme="minorHAnsi"/>
          <w:b/>
          <w:bCs/>
          <w:sz w:val="24"/>
          <w:szCs w:val="24"/>
        </w:rPr>
        <w:t>In Exhibit 2A, Tables 3 and 4 (Patient Origin, Race &amp; Ethnicity), specifically for year 2024, please combine like categories (such as, “out of state patients”), footnoting what comprises each category, to reduce the number of categories with the “&lt;11” designation. (One “&lt;11” category per table would be acceptable).</w:t>
      </w:r>
    </w:p>
    <w:p w14:paraId="32FBD75A" w14:textId="4F37F64C" w:rsidR="00965FCC" w:rsidRPr="00E93FD0" w:rsidRDefault="00965FCC" w:rsidP="00926F8E">
      <w:pPr>
        <w:pStyle w:val="ListParagraph"/>
        <w:spacing w:after="0" w:line="240" w:lineRule="auto"/>
        <w:rPr>
          <w:rFonts w:cstheme="minorHAnsi"/>
          <w:sz w:val="12"/>
          <w:szCs w:val="12"/>
        </w:rPr>
      </w:pPr>
      <w:r w:rsidRPr="00E93FD0">
        <w:rPr>
          <w:rFonts w:cstheme="minorHAnsi"/>
          <w:sz w:val="12"/>
          <w:szCs w:val="12"/>
        </w:rPr>
        <w:br/>
      </w:r>
      <w:r w:rsidRPr="00E93FD0">
        <w:rPr>
          <w:rFonts w:cstheme="minorHAnsi"/>
          <w:sz w:val="24"/>
          <w:szCs w:val="24"/>
          <w:u w:val="single"/>
        </w:rPr>
        <w:t>Response</w:t>
      </w:r>
      <w:proofErr w:type="gramStart"/>
      <w:r w:rsidRPr="00E93FD0">
        <w:rPr>
          <w:rFonts w:cstheme="minorHAnsi"/>
          <w:sz w:val="24"/>
          <w:szCs w:val="24"/>
        </w:rPr>
        <w:t>:  Please</w:t>
      </w:r>
      <w:proofErr w:type="gramEnd"/>
      <w:r w:rsidRPr="00E93FD0">
        <w:rPr>
          <w:rFonts w:cstheme="minorHAnsi"/>
          <w:sz w:val="24"/>
          <w:szCs w:val="24"/>
        </w:rPr>
        <w:t xml:space="preserve"> see the attached table at the end of this document.</w:t>
      </w:r>
      <w:r w:rsidRPr="00E93FD0">
        <w:rPr>
          <w:rFonts w:cstheme="minorHAnsi"/>
          <w:sz w:val="24"/>
          <w:szCs w:val="24"/>
        </w:rPr>
        <w:br/>
      </w:r>
    </w:p>
    <w:p w14:paraId="5BB1FC53" w14:textId="47675802" w:rsidR="0014527C" w:rsidRPr="00E93FD0" w:rsidRDefault="0014527C" w:rsidP="004B525C">
      <w:pPr>
        <w:pStyle w:val="ListParagraph"/>
        <w:numPr>
          <w:ilvl w:val="0"/>
          <w:numId w:val="2"/>
        </w:numPr>
        <w:spacing w:after="0" w:line="240" w:lineRule="auto"/>
        <w:rPr>
          <w:rFonts w:cstheme="minorHAnsi"/>
          <w:sz w:val="24"/>
          <w:szCs w:val="24"/>
        </w:rPr>
      </w:pPr>
      <w:r w:rsidRPr="00E93FD0">
        <w:rPr>
          <w:rFonts w:cstheme="minorHAnsi"/>
          <w:b/>
          <w:bCs/>
          <w:sz w:val="24"/>
          <w:szCs w:val="24"/>
        </w:rPr>
        <w:t>In exhibit 2A, table 5 of the narrative, the total number of patients for the Payer Mix for FY2024 (204 patients) does not equal the total number of patients listed in table 1 (207 patients). Please correct the table as necessary so that the numbers align or provide an explanation for why they do not match.</w:t>
      </w:r>
      <w:r w:rsidR="00070586" w:rsidRPr="00E93FD0">
        <w:rPr>
          <w:rFonts w:cstheme="minorHAnsi"/>
          <w:sz w:val="24"/>
          <w:szCs w:val="24"/>
        </w:rPr>
        <w:br/>
      </w:r>
      <w:r w:rsidR="00070586" w:rsidRPr="00E93FD0">
        <w:rPr>
          <w:rFonts w:cstheme="minorHAnsi"/>
          <w:sz w:val="12"/>
          <w:szCs w:val="12"/>
        </w:rPr>
        <w:br/>
      </w:r>
      <w:r w:rsidR="00070586" w:rsidRPr="00E93FD0">
        <w:rPr>
          <w:rFonts w:cstheme="minorHAnsi"/>
          <w:sz w:val="24"/>
          <w:szCs w:val="24"/>
          <w:u w:val="single"/>
        </w:rPr>
        <w:t>Response</w:t>
      </w:r>
      <w:proofErr w:type="gramStart"/>
      <w:r w:rsidR="00070586" w:rsidRPr="00E93FD0">
        <w:rPr>
          <w:rFonts w:cstheme="minorHAnsi"/>
          <w:sz w:val="24"/>
          <w:szCs w:val="24"/>
        </w:rPr>
        <w:t xml:space="preserve">:  </w:t>
      </w:r>
      <w:r w:rsidR="006274A0" w:rsidRPr="00E93FD0">
        <w:rPr>
          <w:rFonts w:cstheme="minorHAnsi"/>
          <w:sz w:val="24"/>
          <w:szCs w:val="24"/>
        </w:rPr>
        <w:t>The</w:t>
      </w:r>
      <w:proofErr w:type="gramEnd"/>
      <w:r w:rsidR="006274A0" w:rsidRPr="00E93FD0">
        <w:rPr>
          <w:rFonts w:cstheme="minorHAnsi"/>
          <w:sz w:val="24"/>
          <w:szCs w:val="24"/>
        </w:rPr>
        <w:t xml:space="preserve"> tables have been </w:t>
      </w:r>
      <w:proofErr w:type="gramStart"/>
      <w:r w:rsidR="006274A0" w:rsidRPr="00E93FD0">
        <w:rPr>
          <w:rFonts w:cstheme="minorHAnsi"/>
          <w:sz w:val="24"/>
          <w:szCs w:val="24"/>
        </w:rPr>
        <w:t>corrected</w:t>
      </w:r>
      <w:proofErr w:type="gramEnd"/>
      <w:r w:rsidR="006274A0" w:rsidRPr="00E93FD0">
        <w:rPr>
          <w:rFonts w:cstheme="minorHAnsi"/>
          <w:sz w:val="24"/>
          <w:szCs w:val="24"/>
        </w:rPr>
        <w:t xml:space="preserve"> and it was an administrative error in inputting the data on the tables.  </w:t>
      </w:r>
    </w:p>
    <w:p w14:paraId="5629E055" w14:textId="77777777" w:rsidR="0014527C" w:rsidRPr="00E93FD0" w:rsidRDefault="0014527C" w:rsidP="004B525C">
      <w:pPr>
        <w:pStyle w:val="ListParagraph"/>
        <w:spacing w:after="0" w:line="240" w:lineRule="auto"/>
        <w:rPr>
          <w:rStyle w:val="cf01"/>
          <w:rFonts w:asciiTheme="minorHAnsi" w:hAnsiTheme="minorHAnsi" w:cstheme="minorHAnsi"/>
          <w:sz w:val="12"/>
          <w:szCs w:val="12"/>
        </w:rPr>
      </w:pPr>
    </w:p>
    <w:p w14:paraId="1F8FF11A" w14:textId="77777777" w:rsidR="0014527C" w:rsidRPr="00E93FD0" w:rsidRDefault="0014527C" w:rsidP="0064684A">
      <w:pPr>
        <w:pStyle w:val="Heading1"/>
      </w:pPr>
      <w:r w:rsidRPr="00E93FD0">
        <w:t>Factor 1aii: Patient Panel Need</w:t>
      </w:r>
    </w:p>
    <w:p w14:paraId="70212C36" w14:textId="367BFCD7" w:rsidR="0014527C" w:rsidRPr="00E93FD0" w:rsidRDefault="0014527C" w:rsidP="004B525C">
      <w:pPr>
        <w:pStyle w:val="ListParagraph"/>
        <w:numPr>
          <w:ilvl w:val="0"/>
          <w:numId w:val="2"/>
        </w:numPr>
        <w:spacing w:before="240" w:after="0" w:line="240" w:lineRule="auto"/>
        <w:rPr>
          <w:rFonts w:cstheme="minorHAnsi"/>
          <w:b/>
          <w:bCs/>
          <w:sz w:val="24"/>
          <w:szCs w:val="24"/>
        </w:rPr>
      </w:pPr>
      <w:r w:rsidRPr="00E93FD0">
        <w:rPr>
          <w:rFonts w:cstheme="minorHAnsi"/>
          <w:b/>
          <w:bCs/>
          <w:sz w:val="24"/>
          <w:szCs w:val="24"/>
        </w:rPr>
        <w:t xml:space="preserve">The Narrative (p 4) notes that “The Hospital is invaluable to ensuring that the residents of Central and Western Massachusetts have access to long-term hospital services so that the acute care hospitals in the region can appropriately discharge patients in need of chronic hospital level care to the appropriate level and free up acute care beds for more acute care needs,” and further notes that “The closure of </w:t>
      </w:r>
      <w:proofErr w:type="spellStart"/>
      <w:r w:rsidRPr="00E93FD0">
        <w:rPr>
          <w:rFonts w:cstheme="minorHAnsi"/>
          <w:b/>
          <w:bCs/>
          <w:sz w:val="24"/>
          <w:szCs w:val="24"/>
        </w:rPr>
        <w:t>Vibra</w:t>
      </w:r>
      <w:proofErr w:type="spellEnd"/>
      <w:r w:rsidRPr="00E93FD0">
        <w:rPr>
          <w:rFonts w:cstheme="minorHAnsi"/>
          <w:b/>
          <w:bCs/>
          <w:sz w:val="24"/>
          <w:szCs w:val="24"/>
        </w:rPr>
        <w:t xml:space="preserve"> Hospital of Western Massachusetts in Springfield on August 17, 2023 threatens to widen already existing gaps in patients’ access to post-acute chronic care services.”</w:t>
      </w:r>
      <w:r w:rsidR="006274A0" w:rsidRPr="00E93FD0">
        <w:rPr>
          <w:rFonts w:cstheme="minorHAnsi"/>
          <w:b/>
          <w:bCs/>
          <w:sz w:val="24"/>
          <w:szCs w:val="24"/>
        </w:rPr>
        <w:br/>
      </w:r>
    </w:p>
    <w:p w14:paraId="43AA158B" w14:textId="0C5EC932" w:rsidR="0014527C" w:rsidRPr="00E93FD0" w:rsidRDefault="0014527C" w:rsidP="004B525C">
      <w:pPr>
        <w:pStyle w:val="ListParagraph"/>
        <w:numPr>
          <w:ilvl w:val="1"/>
          <w:numId w:val="2"/>
        </w:numPr>
        <w:spacing w:before="240" w:after="0" w:line="240" w:lineRule="auto"/>
        <w:rPr>
          <w:rFonts w:cstheme="minorHAnsi"/>
          <w:sz w:val="12"/>
          <w:szCs w:val="12"/>
        </w:rPr>
      </w:pPr>
      <w:r w:rsidRPr="00E93FD0">
        <w:rPr>
          <w:rFonts w:cstheme="minorHAnsi"/>
          <w:b/>
          <w:bCs/>
          <w:sz w:val="24"/>
          <w:szCs w:val="24"/>
        </w:rPr>
        <w:t>Would the Hospital be at risk of closure without the Proposed Project?</w:t>
      </w:r>
      <w:r w:rsidR="00070586" w:rsidRPr="00E93FD0">
        <w:rPr>
          <w:rFonts w:cstheme="minorHAnsi"/>
          <w:sz w:val="24"/>
          <w:szCs w:val="24"/>
        </w:rPr>
        <w:br/>
      </w:r>
      <w:r w:rsidR="00070586" w:rsidRPr="00E93FD0">
        <w:rPr>
          <w:rFonts w:cstheme="minorHAnsi"/>
          <w:sz w:val="12"/>
          <w:szCs w:val="12"/>
        </w:rPr>
        <w:br/>
      </w:r>
      <w:r w:rsidR="00070586" w:rsidRPr="00E93FD0">
        <w:rPr>
          <w:rFonts w:cstheme="minorHAnsi"/>
          <w:sz w:val="24"/>
          <w:szCs w:val="24"/>
          <w:u w:val="single"/>
        </w:rPr>
        <w:t>Response</w:t>
      </w:r>
      <w:proofErr w:type="gramStart"/>
      <w:r w:rsidR="00070586" w:rsidRPr="00E93FD0">
        <w:rPr>
          <w:rFonts w:cstheme="minorHAnsi"/>
          <w:sz w:val="24"/>
          <w:szCs w:val="24"/>
        </w:rPr>
        <w:t xml:space="preserve">:  </w:t>
      </w:r>
      <w:proofErr w:type="spellStart"/>
      <w:r w:rsidR="00070586" w:rsidRPr="00E93FD0">
        <w:rPr>
          <w:rFonts w:cstheme="minorHAnsi"/>
          <w:sz w:val="24"/>
          <w:szCs w:val="24"/>
        </w:rPr>
        <w:t>Vibra</w:t>
      </w:r>
      <w:proofErr w:type="spellEnd"/>
      <w:proofErr w:type="gramEnd"/>
      <w:r w:rsidR="00070586" w:rsidRPr="00E93FD0">
        <w:rPr>
          <w:rFonts w:cstheme="minorHAnsi"/>
          <w:sz w:val="24"/>
          <w:szCs w:val="24"/>
        </w:rPr>
        <w:t xml:space="preserve"> would </w:t>
      </w:r>
      <w:r w:rsidR="004D206A" w:rsidRPr="00E93FD0">
        <w:rPr>
          <w:rFonts w:cstheme="minorHAnsi"/>
          <w:sz w:val="24"/>
          <w:szCs w:val="24"/>
        </w:rPr>
        <w:t xml:space="preserve">continue to operate the Hospital without the Proposed Project; however, </w:t>
      </w:r>
      <w:proofErr w:type="gramStart"/>
      <w:r w:rsidR="004D206A" w:rsidRPr="00E93FD0">
        <w:rPr>
          <w:rFonts w:cstheme="minorHAnsi"/>
          <w:sz w:val="24"/>
          <w:szCs w:val="24"/>
        </w:rPr>
        <w:t xml:space="preserve">the </w:t>
      </w:r>
      <w:r w:rsidR="004B525C" w:rsidRPr="00E93FD0">
        <w:rPr>
          <w:rFonts w:cstheme="minorHAnsi"/>
          <w:sz w:val="24"/>
          <w:szCs w:val="24"/>
        </w:rPr>
        <w:t>SNF</w:t>
      </w:r>
      <w:proofErr w:type="gramEnd"/>
      <w:r w:rsidR="004D206A" w:rsidRPr="00E93FD0">
        <w:rPr>
          <w:rFonts w:cstheme="minorHAnsi"/>
          <w:sz w:val="24"/>
          <w:szCs w:val="24"/>
        </w:rPr>
        <w:t xml:space="preserve">, which </w:t>
      </w:r>
      <w:r w:rsidR="004B525C" w:rsidRPr="00E93FD0">
        <w:rPr>
          <w:rFonts w:cstheme="minorHAnsi"/>
          <w:sz w:val="24"/>
          <w:szCs w:val="24"/>
        </w:rPr>
        <w:t xml:space="preserve">is on the same campus and is owned by </w:t>
      </w:r>
      <w:proofErr w:type="spellStart"/>
      <w:r w:rsidR="004B525C" w:rsidRPr="00E93FD0">
        <w:rPr>
          <w:rFonts w:cstheme="minorHAnsi"/>
          <w:sz w:val="24"/>
          <w:szCs w:val="24"/>
        </w:rPr>
        <w:t>Vibra</w:t>
      </w:r>
      <w:proofErr w:type="spellEnd"/>
      <w:r w:rsidR="004D206A" w:rsidRPr="00E93FD0">
        <w:rPr>
          <w:rFonts w:cstheme="minorHAnsi"/>
          <w:sz w:val="24"/>
          <w:szCs w:val="24"/>
        </w:rPr>
        <w:t xml:space="preserve">, likely would have been at risk for closure if </w:t>
      </w:r>
      <w:proofErr w:type="spellStart"/>
      <w:r w:rsidR="004D206A" w:rsidRPr="00E93FD0">
        <w:rPr>
          <w:rFonts w:cstheme="minorHAnsi"/>
          <w:sz w:val="24"/>
          <w:szCs w:val="24"/>
        </w:rPr>
        <w:t>Vibra</w:t>
      </w:r>
      <w:proofErr w:type="spellEnd"/>
      <w:r w:rsidR="004D206A" w:rsidRPr="00E93FD0">
        <w:rPr>
          <w:rFonts w:cstheme="minorHAnsi"/>
          <w:sz w:val="24"/>
          <w:szCs w:val="24"/>
        </w:rPr>
        <w:t xml:space="preserve"> had been unable to find a buyer.</w:t>
      </w:r>
      <w:r w:rsidR="00070586" w:rsidRPr="00E93FD0">
        <w:rPr>
          <w:rFonts w:cstheme="minorHAnsi"/>
          <w:sz w:val="24"/>
          <w:szCs w:val="24"/>
        </w:rPr>
        <w:br/>
      </w:r>
    </w:p>
    <w:p w14:paraId="3F1ADD91" w14:textId="6961130C" w:rsidR="000C6A86" w:rsidRPr="00E93FD0" w:rsidRDefault="0014527C" w:rsidP="00672D80">
      <w:pPr>
        <w:pStyle w:val="ListParagraph"/>
        <w:numPr>
          <w:ilvl w:val="1"/>
          <w:numId w:val="2"/>
        </w:numPr>
        <w:spacing w:before="240" w:after="0" w:line="240" w:lineRule="auto"/>
        <w:rPr>
          <w:rFonts w:cstheme="minorHAnsi"/>
          <w:sz w:val="12"/>
          <w:szCs w:val="12"/>
        </w:rPr>
      </w:pPr>
      <w:r w:rsidRPr="00E93FD0">
        <w:rPr>
          <w:rFonts w:cstheme="minorHAnsi"/>
          <w:b/>
          <w:bCs/>
          <w:sz w:val="24"/>
          <w:szCs w:val="24"/>
        </w:rPr>
        <w:lastRenderedPageBreak/>
        <w:t xml:space="preserve">What has prompted </w:t>
      </w:r>
      <w:proofErr w:type="spellStart"/>
      <w:r w:rsidRPr="00E93FD0">
        <w:rPr>
          <w:rFonts w:cstheme="minorHAnsi"/>
          <w:b/>
          <w:bCs/>
          <w:sz w:val="24"/>
          <w:szCs w:val="24"/>
        </w:rPr>
        <w:t>Vibra</w:t>
      </w:r>
      <w:proofErr w:type="spellEnd"/>
      <w:r w:rsidRPr="00E93FD0">
        <w:rPr>
          <w:rFonts w:cstheme="minorHAnsi"/>
          <w:b/>
          <w:bCs/>
          <w:sz w:val="24"/>
          <w:szCs w:val="24"/>
        </w:rPr>
        <w:t xml:space="preserve"> to want to sell?</w:t>
      </w:r>
      <w:r w:rsidR="004D206A" w:rsidRPr="00E93FD0">
        <w:rPr>
          <w:rFonts w:cstheme="minorHAnsi"/>
          <w:sz w:val="24"/>
          <w:szCs w:val="24"/>
        </w:rPr>
        <w:br/>
      </w:r>
      <w:r w:rsidR="004D206A" w:rsidRPr="00E93FD0">
        <w:rPr>
          <w:rFonts w:cstheme="minorHAnsi"/>
          <w:sz w:val="12"/>
          <w:szCs w:val="12"/>
        </w:rPr>
        <w:br/>
      </w:r>
      <w:r w:rsidR="004D206A" w:rsidRPr="00E93FD0">
        <w:rPr>
          <w:rFonts w:cstheme="minorHAnsi"/>
          <w:sz w:val="24"/>
          <w:szCs w:val="24"/>
          <w:u w:val="single"/>
        </w:rPr>
        <w:t>Response</w:t>
      </w:r>
      <w:proofErr w:type="gramStart"/>
      <w:r w:rsidR="004D206A" w:rsidRPr="00E93FD0">
        <w:rPr>
          <w:rFonts w:cstheme="minorHAnsi"/>
          <w:sz w:val="24"/>
          <w:szCs w:val="24"/>
        </w:rPr>
        <w:t xml:space="preserve">:  </w:t>
      </w:r>
      <w:proofErr w:type="spellStart"/>
      <w:r w:rsidR="004D206A" w:rsidRPr="00E93FD0">
        <w:rPr>
          <w:rFonts w:cstheme="minorHAnsi"/>
          <w:sz w:val="24"/>
          <w:szCs w:val="24"/>
        </w:rPr>
        <w:t>Vibra</w:t>
      </w:r>
      <w:proofErr w:type="spellEnd"/>
      <w:proofErr w:type="gramEnd"/>
      <w:r w:rsidR="004D206A" w:rsidRPr="00E93FD0">
        <w:rPr>
          <w:rFonts w:cstheme="minorHAnsi"/>
          <w:sz w:val="24"/>
          <w:szCs w:val="24"/>
        </w:rPr>
        <w:t xml:space="preserve"> was initially </w:t>
      </w:r>
      <w:r w:rsidR="006274A0" w:rsidRPr="00E93FD0">
        <w:rPr>
          <w:rFonts w:cstheme="minorHAnsi"/>
          <w:sz w:val="24"/>
          <w:szCs w:val="24"/>
        </w:rPr>
        <w:t>marketing the SNF</w:t>
      </w:r>
      <w:r w:rsidR="004D206A" w:rsidRPr="00E93FD0">
        <w:rPr>
          <w:rFonts w:cstheme="minorHAnsi"/>
          <w:sz w:val="24"/>
          <w:szCs w:val="24"/>
        </w:rPr>
        <w:t xml:space="preserve">. After Applicant expressed interest in acquiring the Hospital as well, </w:t>
      </w:r>
      <w:proofErr w:type="spellStart"/>
      <w:r w:rsidR="004D206A" w:rsidRPr="00E93FD0">
        <w:rPr>
          <w:rFonts w:cstheme="minorHAnsi"/>
          <w:sz w:val="24"/>
          <w:szCs w:val="24"/>
        </w:rPr>
        <w:t>Vibra</w:t>
      </w:r>
      <w:proofErr w:type="spellEnd"/>
      <w:r w:rsidR="004D206A" w:rsidRPr="00E93FD0">
        <w:rPr>
          <w:rFonts w:cstheme="minorHAnsi"/>
          <w:sz w:val="24"/>
          <w:szCs w:val="24"/>
        </w:rPr>
        <w:t xml:space="preserve"> agreed to</w:t>
      </w:r>
      <w:r w:rsidR="006274A0" w:rsidRPr="00E93FD0">
        <w:rPr>
          <w:rFonts w:cstheme="minorHAnsi"/>
          <w:sz w:val="24"/>
          <w:szCs w:val="24"/>
        </w:rPr>
        <w:t xml:space="preserve"> proceed with the sale of</w:t>
      </w:r>
      <w:r w:rsidR="004D206A" w:rsidRPr="00E93FD0">
        <w:rPr>
          <w:rFonts w:cstheme="minorHAnsi"/>
          <w:sz w:val="24"/>
          <w:szCs w:val="24"/>
        </w:rPr>
        <w:t xml:space="preserve"> both facilities.</w:t>
      </w:r>
      <w:r w:rsidR="006274A0" w:rsidRPr="00E93FD0">
        <w:rPr>
          <w:rFonts w:cstheme="minorHAnsi"/>
          <w:sz w:val="24"/>
          <w:szCs w:val="24"/>
        </w:rPr>
        <w:t xml:space="preserve"> In addition, the sale transaction as includes the real estate on which the Hospital and SNF are located.</w:t>
      </w:r>
      <w:r w:rsidR="004D206A" w:rsidRPr="00E93FD0">
        <w:rPr>
          <w:rFonts w:cstheme="minorHAnsi"/>
          <w:sz w:val="24"/>
          <w:szCs w:val="24"/>
        </w:rPr>
        <w:br/>
      </w:r>
    </w:p>
    <w:p w14:paraId="530769FB" w14:textId="584FC538" w:rsidR="0014527C" w:rsidRPr="00E93FD0" w:rsidRDefault="0014527C" w:rsidP="004B525C">
      <w:pPr>
        <w:pStyle w:val="ListParagraph"/>
        <w:numPr>
          <w:ilvl w:val="1"/>
          <w:numId w:val="2"/>
        </w:numPr>
        <w:spacing w:before="240" w:after="0" w:line="240" w:lineRule="auto"/>
        <w:rPr>
          <w:rFonts w:cstheme="minorHAnsi"/>
          <w:sz w:val="12"/>
          <w:szCs w:val="12"/>
        </w:rPr>
      </w:pPr>
      <w:r w:rsidRPr="00E93FD0">
        <w:rPr>
          <w:rFonts w:cstheme="minorHAnsi"/>
          <w:b/>
          <w:bCs/>
          <w:sz w:val="24"/>
          <w:szCs w:val="24"/>
        </w:rPr>
        <w:t>Please provide data on the volume of intake referrals from each acute care hospital from FY2020-FY2024.</w:t>
      </w:r>
      <w:r w:rsidR="00070586" w:rsidRPr="00E93FD0">
        <w:rPr>
          <w:rFonts w:cstheme="minorHAnsi"/>
          <w:sz w:val="24"/>
          <w:szCs w:val="24"/>
        </w:rPr>
        <w:br/>
      </w:r>
      <w:r w:rsidR="00070586" w:rsidRPr="00E93FD0">
        <w:rPr>
          <w:rFonts w:cstheme="minorHAnsi"/>
          <w:sz w:val="12"/>
          <w:szCs w:val="12"/>
        </w:rPr>
        <w:br/>
      </w:r>
      <w:r w:rsidR="00070586" w:rsidRPr="00E93FD0">
        <w:rPr>
          <w:rFonts w:cstheme="minorHAnsi"/>
          <w:sz w:val="24"/>
          <w:szCs w:val="24"/>
          <w:u w:val="single"/>
        </w:rPr>
        <w:t>Response</w:t>
      </w:r>
      <w:proofErr w:type="gramStart"/>
      <w:r w:rsidR="00070586" w:rsidRPr="00E93FD0">
        <w:rPr>
          <w:rFonts w:cstheme="minorHAnsi"/>
          <w:sz w:val="24"/>
          <w:szCs w:val="24"/>
        </w:rPr>
        <w:t xml:space="preserve">:  </w:t>
      </w:r>
      <w:r w:rsidR="006274A0" w:rsidRPr="00E93FD0">
        <w:rPr>
          <w:rFonts w:cstheme="minorHAnsi"/>
          <w:sz w:val="24"/>
          <w:szCs w:val="24"/>
        </w:rPr>
        <w:t>Please</w:t>
      </w:r>
      <w:proofErr w:type="gramEnd"/>
      <w:r w:rsidR="006274A0" w:rsidRPr="00E93FD0">
        <w:rPr>
          <w:rFonts w:cstheme="minorHAnsi"/>
          <w:sz w:val="24"/>
          <w:szCs w:val="24"/>
        </w:rPr>
        <w:t xml:space="preserve"> see the </w:t>
      </w:r>
      <w:r w:rsidR="000B7CC2" w:rsidRPr="00E93FD0">
        <w:rPr>
          <w:rFonts w:cstheme="minorHAnsi"/>
          <w:sz w:val="24"/>
          <w:szCs w:val="24"/>
        </w:rPr>
        <w:t>table attached at the end of this document</w:t>
      </w:r>
      <w:r w:rsidR="006274A0" w:rsidRPr="00E93FD0">
        <w:rPr>
          <w:rFonts w:cstheme="minorHAnsi"/>
          <w:sz w:val="24"/>
          <w:szCs w:val="24"/>
        </w:rPr>
        <w:t>.</w:t>
      </w:r>
      <w:r w:rsidR="00070586" w:rsidRPr="00E93FD0">
        <w:rPr>
          <w:rFonts w:cstheme="minorHAnsi"/>
          <w:sz w:val="24"/>
          <w:szCs w:val="24"/>
        </w:rPr>
        <w:br/>
      </w:r>
    </w:p>
    <w:p w14:paraId="0DB27EE9" w14:textId="24E8F213" w:rsidR="00477020" w:rsidRPr="00E93FD0" w:rsidRDefault="0014527C" w:rsidP="00477020">
      <w:pPr>
        <w:pStyle w:val="ListParagraph"/>
        <w:numPr>
          <w:ilvl w:val="1"/>
          <w:numId w:val="2"/>
        </w:numPr>
        <w:spacing w:before="240" w:after="0" w:line="240" w:lineRule="auto"/>
        <w:rPr>
          <w:rFonts w:cstheme="minorHAnsi"/>
          <w:sz w:val="24"/>
          <w:szCs w:val="24"/>
        </w:rPr>
      </w:pPr>
      <w:r w:rsidRPr="00E93FD0">
        <w:rPr>
          <w:rFonts w:cstheme="minorHAnsi"/>
          <w:b/>
          <w:bCs/>
          <w:sz w:val="24"/>
          <w:szCs w:val="24"/>
        </w:rPr>
        <w:t>Please provide data demonstrating the “gaps in patient access to post-acute chronic care services” noted above.</w:t>
      </w:r>
      <w:r w:rsidR="004D206A" w:rsidRPr="00E93FD0">
        <w:rPr>
          <w:rFonts w:cstheme="minorHAnsi"/>
          <w:sz w:val="24"/>
          <w:szCs w:val="24"/>
        </w:rPr>
        <w:br/>
      </w:r>
      <w:r w:rsidR="004D206A" w:rsidRPr="00E93FD0">
        <w:rPr>
          <w:rFonts w:cstheme="minorHAnsi"/>
          <w:sz w:val="12"/>
          <w:szCs w:val="12"/>
        </w:rPr>
        <w:br/>
      </w:r>
      <w:r w:rsidR="004D206A" w:rsidRPr="00E93FD0">
        <w:rPr>
          <w:rFonts w:cstheme="minorHAnsi"/>
          <w:sz w:val="24"/>
          <w:szCs w:val="24"/>
          <w:u w:val="single"/>
        </w:rPr>
        <w:t>Response</w:t>
      </w:r>
      <w:r w:rsidR="004D206A" w:rsidRPr="00E93FD0">
        <w:rPr>
          <w:rFonts w:cstheme="minorHAnsi"/>
          <w:sz w:val="24"/>
          <w:szCs w:val="24"/>
        </w:rPr>
        <w:t xml:space="preserve">:  </w:t>
      </w:r>
      <w:r w:rsidR="00B0473A" w:rsidRPr="00E93FD0">
        <w:rPr>
          <w:rFonts w:cstheme="minorHAnsi"/>
          <w:sz w:val="24"/>
          <w:szCs w:val="24"/>
        </w:rPr>
        <w:t>This statement</w:t>
      </w:r>
      <w:r w:rsidR="004D206A" w:rsidRPr="00E93FD0">
        <w:rPr>
          <w:rFonts w:cstheme="minorHAnsi"/>
          <w:sz w:val="24"/>
          <w:szCs w:val="24"/>
        </w:rPr>
        <w:t xml:space="preserve"> r</w:t>
      </w:r>
      <w:r w:rsidR="00B0473A" w:rsidRPr="00E93FD0">
        <w:rPr>
          <w:rFonts w:cstheme="minorHAnsi"/>
          <w:sz w:val="24"/>
          <w:szCs w:val="24"/>
        </w:rPr>
        <w:t>efers to patients in Massachusetts acute care hospitals awaiting discharge to LTCH or Inpatient Rehabilitation Facility</w:t>
      </w:r>
      <w:r w:rsidR="00F337D8" w:rsidRPr="00E93FD0">
        <w:rPr>
          <w:rFonts w:cstheme="minorHAnsi"/>
          <w:sz w:val="24"/>
          <w:szCs w:val="24"/>
        </w:rPr>
        <w:t xml:space="preserve"> (IRF)</w:t>
      </w:r>
      <w:r w:rsidR="00B0473A" w:rsidRPr="00E93FD0">
        <w:rPr>
          <w:rFonts w:cstheme="minorHAnsi"/>
          <w:sz w:val="24"/>
          <w:szCs w:val="24"/>
        </w:rPr>
        <w:t xml:space="preserve"> settings. This was described with more detail in Section F</w:t>
      </w:r>
      <w:proofErr w:type="gramStart"/>
      <w:r w:rsidR="00B0473A" w:rsidRPr="00E93FD0">
        <w:rPr>
          <w:rFonts w:cstheme="minorHAnsi"/>
          <w:sz w:val="24"/>
          <w:szCs w:val="24"/>
        </w:rPr>
        <w:t>1.b.i.</w:t>
      </w:r>
      <w:proofErr w:type="gramEnd"/>
      <w:r w:rsidR="00B0473A" w:rsidRPr="00E93FD0">
        <w:rPr>
          <w:rFonts w:cstheme="minorHAnsi"/>
          <w:sz w:val="24"/>
          <w:szCs w:val="24"/>
        </w:rPr>
        <w:t xml:space="preserve"> of the Application narrative, though the patient backlog data has since been updated by the Massachusetts Health &amp; Hospital Association: As of February 2025, </w:t>
      </w:r>
      <w:r w:rsidR="00CE57F5" w:rsidRPr="00E93FD0">
        <w:rPr>
          <w:rFonts w:cstheme="minorHAnsi"/>
          <w:sz w:val="24"/>
          <w:szCs w:val="24"/>
        </w:rPr>
        <w:t>312</w:t>
      </w:r>
      <w:r w:rsidR="00B0473A" w:rsidRPr="00E93FD0">
        <w:rPr>
          <w:rFonts w:cstheme="minorHAnsi"/>
          <w:sz w:val="24"/>
          <w:szCs w:val="24"/>
        </w:rPr>
        <w:t xml:space="preserve"> patients across </w:t>
      </w:r>
      <w:r w:rsidR="00CE57F5" w:rsidRPr="00E93FD0">
        <w:rPr>
          <w:rFonts w:cstheme="minorHAnsi"/>
          <w:sz w:val="24"/>
          <w:szCs w:val="24"/>
        </w:rPr>
        <w:t>45</w:t>
      </w:r>
      <w:r w:rsidR="00B0473A" w:rsidRPr="00E93FD0">
        <w:rPr>
          <w:rFonts w:cstheme="minorHAnsi"/>
          <w:sz w:val="24"/>
          <w:szCs w:val="24"/>
        </w:rPr>
        <w:t xml:space="preserve"> Massachusetts acute care hospitals, comprising 14.</w:t>
      </w:r>
      <w:r w:rsidR="00CE57F5" w:rsidRPr="00E93FD0">
        <w:rPr>
          <w:rFonts w:cstheme="minorHAnsi"/>
          <w:sz w:val="24"/>
          <w:szCs w:val="24"/>
        </w:rPr>
        <w:t>2</w:t>
      </w:r>
      <w:r w:rsidR="00B0473A" w:rsidRPr="00E93FD0">
        <w:rPr>
          <w:rFonts w:cstheme="minorHAnsi"/>
          <w:sz w:val="24"/>
          <w:szCs w:val="24"/>
        </w:rPr>
        <w:t>% of all reported patients, awaited discharge to LTCH or IRF settings. Of those patients awaiting discharge to an LTCH or IRF, 40% were waiting for more than thirty (30) days</w:t>
      </w:r>
      <w:r w:rsidR="00CE57F5" w:rsidRPr="00E93FD0">
        <w:rPr>
          <w:rFonts w:cstheme="minorHAnsi"/>
          <w:sz w:val="24"/>
          <w:szCs w:val="24"/>
        </w:rPr>
        <w:t>.</w:t>
      </w:r>
    </w:p>
    <w:p w14:paraId="47A53906" w14:textId="77777777" w:rsidR="00477020" w:rsidRPr="00E93FD0" w:rsidRDefault="00477020" w:rsidP="00477020">
      <w:pPr>
        <w:pStyle w:val="ListParagraph"/>
        <w:spacing w:before="240" w:after="0" w:line="240" w:lineRule="auto"/>
        <w:ind w:left="1440"/>
        <w:rPr>
          <w:rFonts w:cstheme="minorHAnsi"/>
          <w:sz w:val="12"/>
          <w:szCs w:val="12"/>
        </w:rPr>
      </w:pPr>
    </w:p>
    <w:p w14:paraId="3BE817A9" w14:textId="2F2B2ACA" w:rsidR="00477020" w:rsidRPr="00E93FD0" w:rsidRDefault="00477020" w:rsidP="00477020">
      <w:pPr>
        <w:pStyle w:val="ListParagraph"/>
        <w:spacing w:before="240" w:after="0" w:line="240" w:lineRule="auto"/>
        <w:ind w:left="1440"/>
        <w:rPr>
          <w:rFonts w:cstheme="minorHAnsi"/>
          <w:sz w:val="24"/>
          <w:szCs w:val="24"/>
        </w:rPr>
      </w:pPr>
      <w:r w:rsidRPr="00E93FD0">
        <w:rPr>
          <w:rFonts w:cstheme="minorHAnsi"/>
          <w:sz w:val="24"/>
          <w:szCs w:val="24"/>
        </w:rPr>
        <w:t xml:space="preserve">The following chart </w:t>
      </w:r>
      <w:r w:rsidR="00E93FD0">
        <w:rPr>
          <w:rFonts w:cstheme="minorHAnsi"/>
          <w:sz w:val="24"/>
          <w:szCs w:val="24"/>
        </w:rPr>
        <w:t xml:space="preserve">(next page) </w:t>
      </w:r>
      <w:r w:rsidRPr="00E93FD0">
        <w:rPr>
          <w:rFonts w:cstheme="minorHAnsi"/>
          <w:sz w:val="24"/>
          <w:szCs w:val="24"/>
        </w:rPr>
        <w:t>illustrates</w:t>
      </w:r>
      <w:r w:rsidR="00C46975" w:rsidRPr="00E93FD0">
        <w:rPr>
          <w:rFonts w:cstheme="minorHAnsi"/>
          <w:sz w:val="24"/>
          <w:szCs w:val="24"/>
        </w:rPr>
        <w:t xml:space="preserve"> (i) the monthly number of acute care patients in the Commonwealth who are awaiting discharge to LTCH settings, and (ii) the percentage of patients awaiting discharge to LTCHs with respect to all patients awaiting discharge to post-acute settings, as reported by MHA.</w:t>
      </w:r>
      <w:r w:rsidR="00C46975" w:rsidRPr="00E93FD0">
        <w:rPr>
          <w:rStyle w:val="FootnoteReference"/>
          <w:rFonts w:cstheme="minorHAnsi"/>
          <w:sz w:val="24"/>
          <w:szCs w:val="24"/>
        </w:rPr>
        <w:footnoteReference w:id="2"/>
      </w:r>
      <w:r w:rsidR="00C46975" w:rsidRPr="00E93FD0">
        <w:rPr>
          <w:rFonts w:cstheme="minorHAnsi"/>
          <w:sz w:val="24"/>
          <w:szCs w:val="24"/>
        </w:rPr>
        <w:t xml:space="preserve"> Note that since MHA began separately tracking LTCH throughput data in April 2023, the number of patients awaiting discharge to LTCHs have trended upward over time, suggesting that the need for LTCH services exist, but patients have not been able to receive such services.</w:t>
      </w:r>
    </w:p>
    <w:p w14:paraId="5E79B74C" w14:textId="6CA87565" w:rsidR="0014527C" w:rsidRPr="00E93FD0" w:rsidRDefault="00F921BB" w:rsidP="00477020">
      <w:pPr>
        <w:pStyle w:val="ListParagraph"/>
        <w:spacing w:before="240" w:after="0" w:line="240" w:lineRule="auto"/>
        <w:ind w:left="0"/>
        <w:jc w:val="center"/>
        <w:rPr>
          <w:rFonts w:cstheme="minorHAnsi"/>
          <w:sz w:val="24"/>
          <w:szCs w:val="24"/>
        </w:rPr>
      </w:pPr>
      <w:r w:rsidRPr="00E93FD0">
        <w:rPr>
          <w:rFonts w:cstheme="minorHAnsi"/>
          <w:sz w:val="24"/>
          <w:szCs w:val="24"/>
        </w:rPr>
        <w:lastRenderedPageBreak/>
        <w:br/>
      </w:r>
      <w:r w:rsidR="00477020" w:rsidRPr="00E93FD0">
        <w:rPr>
          <w:noProof/>
        </w:rPr>
        <w:drawing>
          <wp:inline distT="0" distB="0" distL="0" distR="0" wp14:anchorId="15AC91B0" wp14:editId="746E606E">
            <wp:extent cx="6134100" cy="3762375"/>
            <wp:effectExtent l="0" t="0" r="0" b="9525"/>
            <wp:docPr id="852144553" name="Chart 1" descr="Line graph showing Acute Care patients awaiting discharge to LTCH">
              <a:extLst xmlns:a="http://schemas.openxmlformats.org/drawingml/2006/main">
                <a:ext uri="{FF2B5EF4-FFF2-40B4-BE49-F238E27FC236}">
                  <a16:creationId xmlns:a16="http://schemas.microsoft.com/office/drawing/2014/main" id="{27936718-733E-150C-46FF-741D21FBE6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4D206A" w:rsidRPr="00E93FD0">
        <w:rPr>
          <w:rFonts w:cstheme="minorHAnsi"/>
          <w:sz w:val="24"/>
          <w:szCs w:val="24"/>
        </w:rPr>
        <w:br/>
      </w:r>
    </w:p>
    <w:p w14:paraId="7E79B4C6" w14:textId="3DF44C1C" w:rsidR="0014527C" w:rsidRPr="00E93FD0" w:rsidRDefault="0014527C" w:rsidP="004B525C">
      <w:pPr>
        <w:pStyle w:val="ListParagraph"/>
        <w:numPr>
          <w:ilvl w:val="1"/>
          <w:numId w:val="2"/>
        </w:numPr>
        <w:spacing w:before="240" w:after="0" w:line="240" w:lineRule="auto"/>
        <w:rPr>
          <w:rFonts w:cstheme="minorHAnsi"/>
          <w:sz w:val="24"/>
          <w:szCs w:val="24"/>
        </w:rPr>
      </w:pPr>
      <w:r w:rsidRPr="00E93FD0">
        <w:rPr>
          <w:rFonts w:cstheme="minorHAnsi"/>
          <w:b/>
          <w:bCs/>
          <w:sz w:val="24"/>
          <w:szCs w:val="24"/>
        </w:rPr>
        <w:t xml:space="preserve">What other LTC hospitals are in the primary service area? </w:t>
      </w:r>
      <w:r w:rsidRPr="00E93FD0">
        <w:rPr>
          <w:rFonts w:cstheme="minorHAnsi"/>
          <w:sz w:val="24"/>
          <w:szCs w:val="24"/>
        </w:rPr>
        <w:br/>
      </w:r>
      <w:r w:rsidRPr="00E93FD0">
        <w:rPr>
          <w:rFonts w:cstheme="minorHAnsi"/>
          <w:sz w:val="12"/>
          <w:szCs w:val="12"/>
          <w:u w:val="single"/>
        </w:rPr>
        <w:br/>
      </w:r>
      <w:r w:rsidRPr="00E93FD0">
        <w:rPr>
          <w:rFonts w:cstheme="minorHAnsi"/>
          <w:sz w:val="24"/>
          <w:szCs w:val="24"/>
          <w:u w:val="single"/>
        </w:rPr>
        <w:t>Response</w:t>
      </w:r>
      <w:proofErr w:type="gramStart"/>
      <w:r w:rsidRPr="00E93FD0">
        <w:rPr>
          <w:rFonts w:cstheme="minorHAnsi"/>
          <w:sz w:val="24"/>
          <w:szCs w:val="24"/>
        </w:rPr>
        <w:t>:  The</w:t>
      </w:r>
      <w:proofErr w:type="gramEnd"/>
      <w:r w:rsidRPr="00E93FD0">
        <w:rPr>
          <w:rFonts w:cstheme="minorHAnsi"/>
          <w:sz w:val="24"/>
          <w:szCs w:val="24"/>
        </w:rPr>
        <w:t xml:space="preserve"> closest LTCH is Whittier Rehabilitation Hospital in Westborough. However, it should be noted that the Hospital, like the other LTCHs in Massachusetts, serves the entire Commonwealth.  This is evidenced by the patient origin data included with the Application. </w:t>
      </w:r>
      <w:r w:rsidRPr="00E93FD0">
        <w:rPr>
          <w:rFonts w:cstheme="minorHAnsi"/>
          <w:sz w:val="24"/>
          <w:szCs w:val="24"/>
          <w:u w:val="single"/>
        </w:rPr>
        <w:t>See</w:t>
      </w:r>
      <w:r w:rsidRPr="00E93FD0">
        <w:rPr>
          <w:rFonts w:cstheme="minorHAnsi"/>
          <w:sz w:val="24"/>
          <w:szCs w:val="24"/>
        </w:rPr>
        <w:t xml:space="preserve"> Exhibit 2A, Chart 3.  This is an industry standard practice that the Applicant is committed to continuing and is especially important </w:t>
      </w:r>
      <w:proofErr w:type="gramStart"/>
      <w:r w:rsidRPr="00E93FD0">
        <w:rPr>
          <w:rFonts w:cstheme="minorHAnsi"/>
          <w:sz w:val="24"/>
          <w:szCs w:val="24"/>
        </w:rPr>
        <w:t>in light of</w:t>
      </w:r>
      <w:proofErr w:type="gramEnd"/>
      <w:r w:rsidRPr="00E93FD0">
        <w:rPr>
          <w:rFonts w:cstheme="minorHAnsi"/>
          <w:sz w:val="24"/>
          <w:szCs w:val="24"/>
        </w:rPr>
        <w:t xml:space="preserve"> recent LTCH closures (e.g. </w:t>
      </w:r>
      <w:proofErr w:type="spellStart"/>
      <w:r w:rsidRPr="00E93FD0">
        <w:rPr>
          <w:rFonts w:cstheme="minorHAnsi"/>
          <w:sz w:val="24"/>
          <w:szCs w:val="24"/>
        </w:rPr>
        <w:t>Vibra</w:t>
      </w:r>
      <w:proofErr w:type="spellEnd"/>
      <w:r w:rsidRPr="00E93FD0">
        <w:rPr>
          <w:rFonts w:cstheme="minorHAnsi"/>
          <w:sz w:val="24"/>
          <w:szCs w:val="24"/>
        </w:rPr>
        <w:t xml:space="preserve"> Springfield and New England Sinai), which will help ensure patient access to LTCH services.</w:t>
      </w:r>
    </w:p>
    <w:p w14:paraId="1E190BCA" w14:textId="77777777" w:rsidR="0014527C" w:rsidRPr="00E93FD0" w:rsidRDefault="0014527C" w:rsidP="004B525C">
      <w:pPr>
        <w:pStyle w:val="ListParagraph"/>
        <w:spacing w:before="240" w:after="0" w:line="240" w:lineRule="auto"/>
        <w:ind w:left="1440"/>
        <w:rPr>
          <w:rFonts w:cstheme="minorHAnsi"/>
          <w:sz w:val="12"/>
          <w:szCs w:val="12"/>
        </w:rPr>
      </w:pPr>
      <w:r w:rsidRPr="00E93FD0">
        <w:rPr>
          <w:rFonts w:cstheme="minorHAnsi"/>
          <w:i/>
          <w:iCs/>
          <w:sz w:val="24"/>
          <w:szCs w:val="24"/>
        </w:rPr>
        <w:t xml:space="preserve"> </w:t>
      </w:r>
    </w:p>
    <w:p w14:paraId="41E60199" w14:textId="77777777" w:rsidR="0014527C" w:rsidRPr="00E93FD0" w:rsidRDefault="0014527C" w:rsidP="004B525C">
      <w:pPr>
        <w:pStyle w:val="ListParagraph"/>
        <w:numPr>
          <w:ilvl w:val="1"/>
          <w:numId w:val="2"/>
        </w:numPr>
        <w:spacing w:before="240" w:after="0" w:line="240" w:lineRule="auto"/>
        <w:rPr>
          <w:rFonts w:cstheme="minorHAnsi"/>
          <w:sz w:val="24"/>
          <w:szCs w:val="24"/>
        </w:rPr>
      </w:pPr>
      <w:r w:rsidRPr="00E93FD0">
        <w:rPr>
          <w:rFonts w:cstheme="minorHAnsi"/>
          <w:b/>
          <w:bCs/>
          <w:sz w:val="24"/>
          <w:szCs w:val="24"/>
        </w:rPr>
        <w:t xml:space="preserve">What is the average drive time </w:t>
      </w:r>
      <w:proofErr w:type="gramStart"/>
      <w:r w:rsidRPr="00E93FD0">
        <w:rPr>
          <w:rFonts w:cstheme="minorHAnsi"/>
          <w:b/>
          <w:bCs/>
          <w:sz w:val="24"/>
          <w:szCs w:val="24"/>
        </w:rPr>
        <w:t>to</w:t>
      </w:r>
      <w:proofErr w:type="gramEnd"/>
      <w:r w:rsidRPr="00E93FD0">
        <w:rPr>
          <w:rFonts w:cstheme="minorHAnsi"/>
          <w:b/>
          <w:bCs/>
          <w:sz w:val="24"/>
          <w:szCs w:val="24"/>
        </w:rPr>
        <w:t xml:space="preserve"> each of these other LTC options from Leicester?</w:t>
      </w:r>
      <w:r w:rsidRPr="00E93FD0">
        <w:rPr>
          <w:rFonts w:cstheme="minorHAnsi"/>
          <w:sz w:val="24"/>
          <w:szCs w:val="24"/>
        </w:rPr>
        <w:br/>
      </w:r>
      <w:r w:rsidRPr="00E93FD0">
        <w:rPr>
          <w:rFonts w:cstheme="minorHAnsi"/>
          <w:sz w:val="12"/>
          <w:szCs w:val="12"/>
        </w:rPr>
        <w:br/>
      </w:r>
      <w:r w:rsidRPr="00E93FD0">
        <w:rPr>
          <w:rFonts w:cstheme="minorHAnsi"/>
          <w:sz w:val="24"/>
          <w:szCs w:val="24"/>
          <w:u w:val="single"/>
        </w:rPr>
        <w:t>Response</w:t>
      </w:r>
      <w:proofErr w:type="gramStart"/>
      <w:r w:rsidRPr="00E93FD0">
        <w:rPr>
          <w:rFonts w:cstheme="minorHAnsi"/>
          <w:sz w:val="24"/>
          <w:szCs w:val="24"/>
        </w:rPr>
        <w:t>:  According</w:t>
      </w:r>
      <w:proofErr w:type="gramEnd"/>
      <w:r w:rsidRPr="00E93FD0">
        <w:rPr>
          <w:rFonts w:cstheme="minorHAnsi"/>
          <w:sz w:val="24"/>
          <w:szCs w:val="24"/>
        </w:rPr>
        <w:t xml:space="preserve"> to Google Maps, the average drive time between Whittier and the Hospital is between 30-40 minutes with the usual traffic and 30-50 minutes during rush hour.</w:t>
      </w:r>
    </w:p>
    <w:p w14:paraId="2FD833C8" w14:textId="77777777" w:rsidR="0014527C" w:rsidRPr="00E93FD0" w:rsidRDefault="0014527C" w:rsidP="004B525C">
      <w:pPr>
        <w:pStyle w:val="ListParagraph"/>
        <w:spacing w:before="240" w:after="0" w:line="240" w:lineRule="auto"/>
        <w:ind w:left="1440"/>
        <w:rPr>
          <w:rFonts w:cstheme="minorHAnsi"/>
          <w:sz w:val="12"/>
          <w:szCs w:val="12"/>
        </w:rPr>
      </w:pPr>
    </w:p>
    <w:p w14:paraId="2E2E6474" w14:textId="77777777" w:rsidR="000B7CC2" w:rsidRPr="00E93FD0" w:rsidRDefault="0014527C" w:rsidP="000B7CC2">
      <w:pPr>
        <w:pStyle w:val="ListParagraph"/>
        <w:numPr>
          <w:ilvl w:val="0"/>
          <w:numId w:val="2"/>
        </w:numPr>
        <w:spacing w:before="240" w:after="0" w:line="240" w:lineRule="auto"/>
        <w:rPr>
          <w:rFonts w:cstheme="minorHAnsi"/>
          <w:sz w:val="12"/>
          <w:szCs w:val="12"/>
        </w:rPr>
      </w:pPr>
      <w:r w:rsidRPr="00E93FD0">
        <w:rPr>
          <w:rFonts w:cstheme="minorHAnsi"/>
          <w:b/>
          <w:bCs/>
          <w:sz w:val="24"/>
          <w:szCs w:val="24"/>
        </w:rPr>
        <w:t>Page 5 of the Narrative states, “</w:t>
      </w:r>
      <w:r w:rsidRPr="00E93FD0">
        <w:rPr>
          <w:rFonts w:cs="Times New Roman"/>
          <w:b/>
          <w:bCs/>
          <w:sz w:val="24"/>
          <w:szCs w:val="24"/>
        </w:rPr>
        <w:t>The majority of the patients awaiting discharge to an LTCH are in the Central Region and can be served by the Hospital.” Given that the Hospital currently already serves the patients in this region, explain how the transfer of ownership will improve the throughput for the acute care hospitals.</w:t>
      </w:r>
      <w:r w:rsidR="006274A0" w:rsidRPr="00E93FD0">
        <w:rPr>
          <w:rFonts w:cs="Times New Roman"/>
          <w:sz w:val="24"/>
          <w:szCs w:val="24"/>
        </w:rPr>
        <w:br/>
      </w:r>
      <w:r w:rsidR="006274A0" w:rsidRPr="00E93FD0">
        <w:rPr>
          <w:rFonts w:cs="Times New Roman"/>
          <w:sz w:val="12"/>
          <w:szCs w:val="12"/>
        </w:rPr>
        <w:br/>
      </w:r>
      <w:r w:rsidR="006274A0" w:rsidRPr="00E93FD0">
        <w:rPr>
          <w:rFonts w:cstheme="minorHAnsi"/>
          <w:sz w:val="24"/>
          <w:szCs w:val="24"/>
          <w:u w:val="single"/>
        </w:rPr>
        <w:t>Response</w:t>
      </w:r>
      <w:proofErr w:type="gramStart"/>
      <w:r w:rsidR="006274A0" w:rsidRPr="00E93FD0">
        <w:rPr>
          <w:rFonts w:cstheme="minorHAnsi"/>
          <w:sz w:val="24"/>
          <w:szCs w:val="24"/>
        </w:rPr>
        <w:t>:  As</w:t>
      </w:r>
      <w:proofErr w:type="gramEnd"/>
      <w:r w:rsidR="006274A0" w:rsidRPr="00E93FD0">
        <w:rPr>
          <w:rFonts w:cstheme="minorHAnsi"/>
          <w:sz w:val="24"/>
          <w:szCs w:val="24"/>
        </w:rPr>
        <w:t xml:space="preserve"> noted above, the lack of staffing and inability to admit dialysis patients has limited patient admissions.  The staffing issue is being </w:t>
      </w:r>
      <w:proofErr w:type="gramStart"/>
      <w:r w:rsidR="006274A0" w:rsidRPr="00E93FD0">
        <w:rPr>
          <w:rFonts w:cstheme="minorHAnsi"/>
          <w:sz w:val="24"/>
          <w:szCs w:val="24"/>
        </w:rPr>
        <w:t>resolved</w:t>
      </w:r>
      <w:proofErr w:type="gramEnd"/>
      <w:r w:rsidR="006274A0" w:rsidRPr="00E93FD0">
        <w:rPr>
          <w:rFonts w:cstheme="minorHAnsi"/>
          <w:sz w:val="24"/>
          <w:szCs w:val="24"/>
        </w:rPr>
        <w:t xml:space="preserve"> and the Hospital will be able to admit dialysis patients since it is finalizing approvals for providing such dialysis service in-house.</w:t>
      </w:r>
    </w:p>
    <w:p w14:paraId="1063AD43" w14:textId="6B995424" w:rsidR="0014527C" w:rsidRPr="00E93FD0" w:rsidRDefault="0014527C" w:rsidP="000B7CC2">
      <w:pPr>
        <w:pStyle w:val="ListParagraph"/>
        <w:numPr>
          <w:ilvl w:val="0"/>
          <w:numId w:val="2"/>
        </w:numPr>
        <w:spacing w:before="240" w:after="0" w:line="240" w:lineRule="auto"/>
        <w:rPr>
          <w:rFonts w:cstheme="minorHAnsi"/>
          <w:sz w:val="12"/>
          <w:szCs w:val="12"/>
        </w:rPr>
      </w:pPr>
      <w:r w:rsidRPr="00E93FD0">
        <w:rPr>
          <w:rFonts w:cstheme="minorHAnsi"/>
          <w:b/>
          <w:bCs/>
          <w:sz w:val="24"/>
          <w:szCs w:val="24"/>
        </w:rPr>
        <w:lastRenderedPageBreak/>
        <w:t>While the Narrative details the benefits of LTCH’s in general, please provide any details (not covered in the preceding questions) on why the Transfer of Ownership is a need for the Patient Panel.</w:t>
      </w:r>
      <w:r w:rsidR="00926F8E" w:rsidRPr="00E93FD0">
        <w:rPr>
          <w:rFonts w:cstheme="minorHAnsi"/>
          <w:sz w:val="24"/>
          <w:szCs w:val="24"/>
        </w:rPr>
        <w:br/>
      </w:r>
      <w:r w:rsidR="00926F8E" w:rsidRPr="00E93FD0">
        <w:rPr>
          <w:rFonts w:cstheme="minorHAnsi"/>
          <w:sz w:val="12"/>
          <w:szCs w:val="12"/>
        </w:rPr>
        <w:br/>
      </w:r>
      <w:r w:rsidR="00926F8E" w:rsidRPr="00E93FD0">
        <w:rPr>
          <w:rFonts w:cstheme="minorHAnsi"/>
          <w:sz w:val="24"/>
          <w:szCs w:val="24"/>
          <w:u w:val="single"/>
        </w:rPr>
        <w:t>Response</w:t>
      </w:r>
      <w:proofErr w:type="gramStart"/>
      <w:r w:rsidR="00926F8E" w:rsidRPr="00E93FD0">
        <w:rPr>
          <w:rFonts w:cstheme="minorHAnsi"/>
          <w:sz w:val="24"/>
          <w:szCs w:val="24"/>
        </w:rPr>
        <w:t xml:space="preserve">:  </w:t>
      </w:r>
      <w:r w:rsidR="005102F0" w:rsidRPr="00E93FD0">
        <w:rPr>
          <w:rFonts w:cstheme="minorHAnsi"/>
          <w:sz w:val="24"/>
          <w:szCs w:val="24"/>
        </w:rPr>
        <w:t>As</w:t>
      </w:r>
      <w:proofErr w:type="gramEnd"/>
      <w:r w:rsidR="005102F0" w:rsidRPr="00E93FD0">
        <w:rPr>
          <w:rFonts w:cstheme="minorHAnsi"/>
          <w:sz w:val="24"/>
          <w:szCs w:val="24"/>
        </w:rPr>
        <w:t xml:space="preserve"> a result of the </w:t>
      </w:r>
      <w:r w:rsidR="0051032C">
        <w:rPr>
          <w:rFonts w:cstheme="minorHAnsi"/>
          <w:sz w:val="24"/>
          <w:szCs w:val="24"/>
        </w:rPr>
        <w:t>proposed transaction</w:t>
      </w:r>
      <w:r w:rsidR="005102F0" w:rsidRPr="00E93FD0">
        <w:rPr>
          <w:rFonts w:cstheme="minorHAnsi"/>
          <w:sz w:val="24"/>
          <w:szCs w:val="24"/>
        </w:rPr>
        <w:t xml:space="preserve">, a related party to the Applicant will own the real property which houses the Hospital and SNF. This will remove the current real estate </w:t>
      </w:r>
      <w:proofErr w:type="spellStart"/>
      <w:r w:rsidR="005102F0" w:rsidRPr="00E93FD0">
        <w:rPr>
          <w:rFonts w:cstheme="minorHAnsi"/>
          <w:sz w:val="24"/>
          <w:szCs w:val="24"/>
        </w:rPr>
        <w:t>owner</w:t>
      </w:r>
      <w:proofErr w:type="spellEnd"/>
      <w:r w:rsidR="005102F0" w:rsidRPr="00E93FD0">
        <w:rPr>
          <w:rFonts w:cstheme="minorHAnsi"/>
          <w:sz w:val="24"/>
          <w:szCs w:val="24"/>
        </w:rPr>
        <w:t xml:space="preserve"> (Medical Properties Trust)</w:t>
      </w:r>
      <w:r w:rsidR="001324C2" w:rsidRPr="00E93FD0">
        <w:rPr>
          <w:rFonts w:cstheme="minorHAnsi"/>
          <w:sz w:val="24"/>
          <w:szCs w:val="24"/>
        </w:rPr>
        <w:t xml:space="preserve"> </w:t>
      </w:r>
      <w:r w:rsidR="005102F0" w:rsidRPr="00E93FD0">
        <w:rPr>
          <w:rFonts w:cstheme="minorHAnsi"/>
          <w:sz w:val="24"/>
          <w:szCs w:val="24"/>
        </w:rPr>
        <w:t>and bring both the Hospital and the real estate under the control of the principals of Everest</w:t>
      </w:r>
      <w:r w:rsidR="00481B31" w:rsidRPr="00E93FD0">
        <w:rPr>
          <w:rFonts w:cstheme="minorHAnsi"/>
          <w:sz w:val="24"/>
          <w:szCs w:val="24"/>
        </w:rPr>
        <w:t xml:space="preserve">. </w:t>
      </w:r>
      <w:r w:rsidR="0008281D" w:rsidRPr="00E93FD0">
        <w:rPr>
          <w:rFonts w:cstheme="minorHAnsi"/>
          <w:sz w:val="24"/>
          <w:szCs w:val="24"/>
        </w:rPr>
        <w:t>By r</w:t>
      </w:r>
      <w:r w:rsidR="00481B31" w:rsidRPr="00E93FD0">
        <w:rPr>
          <w:rFonts w:cstheme="minorHAnsi"/>
          <w:sz w:val="24"/>
          <w:szCs w:val="24"/>
        </w:rPr>
        <w:t>emoving the sale-leaseback structure</w:t>
      </w:r>
      <w:r w:rsidR="0008281D" w:rsidRPr="00E93FD0">
        <w:rPr>
          <w:rFonts w:cstheme="minorHAnsi"/>
          <w:sz w:val="24"/>
          <w:szCs w:val="24"/>
        </w:rPr>
        <w:t xml:space="preserve"> in favor of an </w:t>
      </w:r>
      <w:r w:rsidR="0051032C">
        <w:rPr>
          <w:rFonts w:cstheme="minorHAnsi"/>
          <w:sz w:val="24"/>
          <w:szCs w:val="24"/>
        </w:rPr>
        <w:t>operator owned real estate</w:t>
      </w:r>
      <w:r w:rsidR="0008281D" w:rsidRPr="00E93FD0">
        <w:rPr>
          <w:rFonts w:cstheme="minorHAnsi"/>
          <w:sz w:val="24"/>
          <w:szCs w:val="24"/>
        </w:rPr>
        <w:t xml:space="preserve"> structure</w:t>
      </w:r>
      <w:r w:rsidR="00481B31" w:rsidRPr="00E93FD0">
        <w:rPr>
          <w:rFonts w:cstheme="minorHAnsi"/>
          <w:sz w:val="24"/>
          <w:szCs w:val="24"/>
        </w:rPr>
        <w:t xml:space="preserve">, Applicant aims to remove the financial uncertainty that is often associated with REITs and bring financial stability to the Hospital. </w:t>
      </w:r>
      <w:r w:rsidR="0008281D" w:rsidRPr="00E93FD0">
        <w:rPr>
          <w:rFonts w:cstheme="minorHAnsi"/>
          <w:sz w:val="24"/>
          <w:szCs w:val="24"/>
        </w:rPr>
        <w:t xml:space="preserve">As </w:t>
      </w:r>
      <w:proofErr w:type="gramStart"/>
      <w:r w:rsidR="0008281D" w:rsidRPr="00E93FD0">
        <w:rPr>
          <w:rFonts w:cstheme="minorHAnsi"/>
          <w:sz w:val="24"/>
          <w:szCs w:val="24"/>
        </w:rPr>
        <w:t>described further</w:t>
      </w:r>
      <w:proofErr w:type="gramEnd"/>
      <w:r w:rsidR="0008281D" w:rsidRPr="00E93FD0">
        <w:rPr>
          <w:rFonts w:cstheme="minorHAnsi"/>
          <w:sz w:val="24"/>
          <w:szCs w:val="24"/>
        </w:rPr>
        <w:t xml:space="preserve"> below, Applicant anticipates that this financial stability will enable Applicant to pursue opportunities to improve patient access and delivery of care.</w:t>
      </w:r>
    </w:p>
    <w:p w14:paraId="5AFA8B46" w14:textId="77777777" w:rsidR="0014527C" w:rsidRPr="00E93FD0" w:rsidRDefault="0014527C" w:rsidP="004B525C">
      <w:pPr>
        <w:spacing w:after="0" w:line="240" w:lineRule="auto"/>
        <w:ind w:left="360"/>
        <w:rPr>
          <w:rFonts w:cstheme="minorHAnsi"/>
          <w:b/>
          <w:bCs/>
          <w:sz w:val="12"/>
          <w:szCs w:val="12"/>
        </w:rPr>
      </w:pPr>
    </w:p>
    <w:p w14:paraId="0A8090D0" w14:textId="77777777" w:rsidR="0014527C" w:rsidRPr="00E93FD0" w:rsidRDefault="0014527C" w:rsidP="004B525C">
      <w:pPr>
        <w:spacing w:after="0" w:line="240" w:lineRule="auto"/>
        <w:ind w:left="360"/>
        <w:rPr>
          <w:rFonts w:cstheme="minorHAnsi"/>
          <w:sz w:val="24"/>
          <w:szCs w:val="24"/>
        </w:rPr>
      </w:pPr>
      <w:r w:rsidRPr="00E93FD0">
        <w:rPr>
          <w:rFonts w:cstheme="minorHAnsi"/>
          <w:b/>
          <w:bCs/>
        </w:rPr>
        <w:t xml:space="preserve">Factor 1bi: Public Health Value </w:t>
      </w:r>
    </w:p>
    <w:p w14:paraId="01403676" w14:textId="5D6F5D29" w:rsidR="0014527C" w:rsidRPr="00E93FD0" w:rsidRDefault="0014527C" w:rsidP="004B525C">
      <w:pPr>
        <w:pStyle w:val="ListParagraph"/>
        <w:numPr>
          <w:ilvl w:val="0"/>
          <w:numId w:val="2"/>
        </w:numPr>
        <w:spacing w:after="0" w:line="240" w:lineRule="auto"/>
        <w:rPr>
          <w:rFonts w:cstheme="minorHAnsi"/>
          <w:sz w:val="24"/>
          <w:szCs w:val="24"/>
        </w:rPr>
      </w:pPr>
      <w:r w:rsidRPr="00E93FD0">
        <w:rPr>
          <w:rFonts w:cstheme="minorHAnsi"/>
          <w:b/>
          <w:bCs/>
          <w:sz w:val="24"/>
          <w:szCs w:val="24"/>
        </w:rPr>
        <w:t xml:space="preserve">What improvements to patient access and/or patient experience does the Applicant expect </w:t>
      </w:r>
      <w:proofErr w:type="gramStart"/>
      <w:r w:rsidRPr="00E93FD0">
        <w:rPr>
          <w:rFonts w:cstheme="minorHAnsi"/>
          <w:b/>
          <w:bCs/>
          <w:sz w:val="24"/>
          <w:szCs w:val="24"/>
        </w:rPr>
        <w:t>as a result of</w:t>
      </w:r>
      <w:proofErr w:type="gramEnd"/>
      <w:r w:rsidRPr="00E93FD0">
        <w:rPr>
          <w:rFonts w:cstheme="minorHAnsi"/>
          <w:b/>
          <w:bCs/>
          <w:sz w:val="24"/>
          <w:szCs w:val="24"/>
        </w:rPr>
        <w:t xml:space="preserve"> the project?</w:t>
      </w:r>
      <w:r w:rsidRPr="00E93FD0">
        <w:rPr>
          <w:rFonts w:cstheme="minorHAnsi"/>
          <w:sz w:val="24"/>
          <w:szCs w:val="24"/>
        </w:rPr>
        <w:t xml:space="preserve"> </w:t>
      </w:r>
      <w:r w:rsidRPr="00E93FD0">
        <w:rPr>
          <w:rFonts w:cstheme="minorHAnsi"/>
          <w:sz w:val="24"/>
          <w:szCs w:val="24"/>
        </w:rPr>
        <w:br/>
      </w:r>
      <w:r w:rsidRPr="00E93FD0">
        <w:rPr>
          <w:rFonts w:cstheme="minorHAnsi"/>
          <w:sz w:val="12"/>
          <w:szCs w:val="12"/>
          <w:u w:val="single"/>
        </w:rPr>
        <w:br/>
      </w:r>
      <w:r w:rsidRPr="00E93FD0">
        <w:rPr>
          <w:rFonts w:cstheme="minorHAnsi"/>
          <w:sz w:val="24"/>
          <w:szCs w:val="24"/>
          <w:u w:val="single"/>
        </w:rPr>
        <w:t>Response</w:t>
      </w:r>
      <w:r w:rsidRPr="00E93FD0">
        <w:rPr>
          <w:rFonts w:cstheme="minorHAnsi"/>
          <w:sz w:val="24"/>
          <w:szCs w:val="24"/>
        </w:rPr>
        <w:t xml:space="preserve">:    The Applicant plans to make </w:t>
      </w:r>
      <w:proofErr w:type="gramStart"/>
      <w:r w:rsidRPr="00E93FD0">
        <w:rPr>
          <w:rFonts w:cstheme="minorHAnsi"/>
          <w:sz w:val="24"/>
          <w:szCs w:val="24"/>
        </w:rPr>
        <w:t>a number of</w:t>
      </w:r>
      <w:proofErr w:type="gramEnd"/>
      <w:r w:rsidRPr="00E93FD0">
        <w:rPr>
          <w:rFonts w:cstheme="minorHAnsi"/>
          <w:sz w:val="24"/>
          <w:szCs w:val="24"/>
        </w:rPr>
        <w:t xml:space="preserve"> improvements to patient access and/or the patient experience as a part of the project.    </w:t>
      </w:r>
    </w:p>
    <w:p w14:paraId="1775F781" w14:textId="77777777" w:rsidR="0014527C" w:rsidRPr="00E93FD0" w:rsidRDefault="0014527C" w:rsidP="004B525C">
      <w:pPr>
        <w:pStyle w:val="ListParagraph"/>
        <w:spacing w:after="0" w:line="240" w:lineRule="auto"/>
        <w:rPr>
          <w:rFonts w:cstheme="minorHAnsi"/>
          <w:sz w:val="12"/>
          <w:szCs w:val="12"/>
        </w:rPr>
      </w:pPr>
    </w:p>
    <w:p w14:paraId="23A4D0E7" w14:textId="752364C4" w:rsidR="0014527C" w:rsidRPr="00E93FD0" w:rsidRDefault="0014527C" w:rsidP="004B525C">
      <w:pPr>
        <w:pStyle w:val="ListParagraph"/>
        <w:spacing w:after="0" w:line="240" w:lineRule="auto"/>
        <w:rPr>
          <w:rFonts w:cstheme="minorHAnsi"/>
          <w:sz w:val="24"/>
          <w:szCs w:val="24"/>
        </w:rPr>
      </w:pPr>
      <w:r w:rsidRPr="00E93FD0">
        <w:rPr>
          <w:rFonts w:cstheme="minorHAnsi"/>
          <w:sz w:val="24"/>
          <w:szCs w:val="24"/>
        </w:rPr>
        <w:t xml:space="preserve">The Applicant intends to make two immediate changes.  First, </w:t>
      </w:r>
      <w:proofErr w:type="spellStart"/>
      <w:r w:rsidRPr="00E93FD0">
        <w:rPr>
          <w:rFonts w:cstheme="minorHAnsi"/>
          <w:sz w:val="24"/>
          <w:szCs w:val="24"/>
        </w:rPr>
        <w:t>Vibra</w:t>
      </w:r>
      <w:proofErr w:type="spellEnd"/>
      <w:r w:rsidRPr="00E93FD0">
        <w:rPr>
          <w:rFonts w:cstheme="minorHAnsi"/>
          <w:sz w:val="24"/>
          <w:szCs w:val="24"/>
        </w:rPr>
        <w:t xml:space="preserve"> has a centralized referral/intake system and other shared back-office resources that serve both the Hospital and their primary LTCH location in Fall River.  The two facilities are also more than 75 miles from each other in different locations in the Commonwealth</w:t>
      </w:r>
      <w:r w:rsidR="00CE0902" w:rsidRPr="00E93FD0">
        <w:rPr>
          <w:rFonts w:cstheme="minorHAnsi"/>
          <w:sz w:val="24"/>
          <w:szCs w:val="24"/>
        </w:rPr>
        <w:t>,</w:t>
      </w:r>
      <w:r w:rsidRPr="00E93FD0">
        <w:rPr>
          <w:rFonts w:cstheme="minorHAnsi"/>
          <w:sz w:val="24"/>
          <w:szCs w:val="24"/>
        </w:rPr>
        <w:t xml:space="preserve"> serving different acute care hospital partners.   Uncoupling these systems and creating a referral/intake</w:t>
      </w:r>
      <w:r w:rsidR="00CE0902" w:rsidRPr="00E93FD0">
        <w:rPr>
          <w:rFonts w:cstheme="minorHAnsi"/>
          <w:sz w:val="24"/>
          <w:szCs w:val="24"/>
        </w:rPr>
        <w:t xml:space="preserve"> process</w:t>
      </w:r>
      <w:r w:rsidRPr="00E93FD0">
        <w:rPr>
          <w:rFonts w:cstheme="minorHAnsi"/>
          <w:sz w:val="24"/>
          <w:szCs w:val="24"/>
        </w:rPr>
        <w:t xml:space="preserve"> that is specific to the Hospital should </w:t>
      </w:r>
      <w:r w:rsidR="001D6865" w:rsidRPr="00E93FD0">
        <w:rPr>
          <w:rFonts w:cstheme="minorHAnsi"/>
          <w:sz w:val="24"/>
          <w:szCs w:val="24"/>
        </w:rPr>
        <w:t xml:space="preserve">positively </w:t>
      </w:r>
      <w:r w:rsidRPr="00E93FD0">
        <w:rPr>
          <w:rFonts w:cstheme="minorHAnsi"/>
          <w:sz w:val="24"/>
          <w:szCs w:val="24"/>
        </w:rPr>
        <w:t>impact</w:t>
      </w:r>
      <w:r w:rsidR="00CE0902" w:rsidRPr="00E93FD0">
        <w:rPr>
          <w:rFonts w:cstheme="minorHAnsi"/>
          <w:sz w:val="24"/>
          <w:szCs w:val="24"/>
        </w:rPr>
        <w:t xml:space="preserve"> </w:t>
      </w:r>
      <w:r w:rsidRPr="00E93FD0">
        <w:rPr>
          <w:rFonts w:cstheme="minorHAnsi"/>
          <w:sz w:val="24"/>
          <w:szCs w:val="24"/>
        </w:rPr>
        <w:t>patient access</w:t>
      </w:r>
      <w:r w:rsidR="001D6865" w:rsidRPr="00E93FD0">
        <w:rPr>
          <w:rFonts w:cstheme="minorHAnsi"/>
          <w:sz w:val="24"/>
          <w:szCs w:val="24"/>
        </w:rPr>
        <w:t xml:space="preserve"> in Central and Western Massachusetts</w:t>
      </w:r>
      <w:r w:rsidRPr="00E93FD0">
        <w:rPr>
          <w:rFonts w:cstheme="minorHAnsi"/>
          <w:sz w:val="24"/>
          <w:szCs w:val="24"/>
        </w:rPr>
        <w:t xml:space="preserve"> and help with throughput. Consolidating operations under </w:t>
      </w:r>
      <w:proofErr w:type="gramStart"/>
      <w:r w:rsidRPr="00E93FD0">
        <w:rPr>
          <w:rFonts w:cstheme="minorHAnsi"/>
          <w:sz w:val="24"/>
          <w:szCs w:val="24"/>
        </w:rPr>
        <w:t>Applicant</w:t>
      </w:r>
      <w:proofErr w:type="gramEnd"/>
      <w:r w:rsidRPr="00E93FD0">
        <w:rPr>
          <w:rFonts w:cstheme="minorHAnsi"/>
          <w:sz w:val="24"/>
          <w:szCs w:val="24"/>
        </w:rPr>
        <w:t xml:space="preserve"> will also result in more resources directly invested </w:t>
      </w:r>
      <w:proofErr w:type="gramStart"/>
      <w:r w:rsidRPr="00E93FD0">
        <w:rPr>
          <w:rFonts w:cstheme="minorHAnsi"/>
          <w:sz w:val="24"/>
          <w:szCs w:val="24"/>
        </w:rPr>
        <w:t>to promote</w:t>
      </w:r>
      <w:proofErr w:type="gramEnd"/>
      <w:r w:rsidRPr="00E93FD0">
        <w:rPr>
          <w:rFonts w:cstheme="minorHAnsi"/>
          <w:sz w:val="24"/>
          <w:szCs w:val="24"/>
        </w:rPr>
        <w:t xml:space="preserve"> the Hospital and </w:t>
      </w:r>
      <w:proofErr w:type="gramStart"/>
      <w:r w:rsidRPr="00E93FD0">
        <w:rPr>
          <w:rFonts w:cstheme="minorHAnsi"/>
          <w:sz w:val="24"/>
          <w:szCs w:val="24"/>
        </w:rPr>
        <w:t>invest</w:t>
      </w:r>
      <w:proofErr w:type="gramEnd"/>
      <w:r w:rsidRPr="00E93FD0">
        <w:rPr>
          <w:rFonts w:cstheme="minorHAnsi"/>
          <w:sz w:val="24"/>
          <w:szCs w:val="24"/>
        </w:rPr>
        <w:t xml:space="preserve"> in enhanced patient programming.  Second, Applicant’s leadership intends to have a regular and ongoing presence at the Hospital.  This will provide patients and families as well as staff with more direct access to leadership and in turn should increase patient satisfaction.  </w:t>
      </w:r>
    </w:p>
    <w:p w14:paraId="04EF0660" w14:textId="77777777" w:rsidR="0014527C" w:rsidRPr="00E93FD0" w:rsidRDefault="0014527C" w:rsidP="004B525C">
      <w:pPr>
        <w:pStyle w:val="ListParagraph"/>
        <w:spacing w:after="0" w:line="240" w:lineRule="auto"/>
        <w:rPr>
          <w:rFonts w:cstheme="minorHAnsi"/>
          <w:sz w:val="12"/>
          <w:szCs w:val="12"/>
        </w:rPr>
      </w:pPr>
    </w:p>
    <w:p w14:paraId="60D4418A" w14:textId="4979B2DC" w:rsidR="0014527C" w:rsidRPr="00E93FD0" w:rsidRDefault="0014527C" w:rsidP="004B525C">
      <w:pPr>
        <w:pStyle w:val="ListParagraph"/>
        <w:spacing w:after="0" w:line="240" w:lineRule="auto"/>
        <w:rPr>
          <w:rFonts w:cstheme="minorHAnsi"/>
          <w:sz w:val="24"/>
          <w:szCs w:val="24"/>
        </w:rPr>
      </w:pPr>
      <w:r w:rsidRPr="00E93FD0">
        <w:rPr>
          <w:rFonts w:cstheme="minorHAnsi"/>
          <w:sz w:val="24"/>
          <w:szCs w:val="24"/>
        </w:rPr>
        <w:t>In addition,</w:t>
      </w:r>
      <w:r w:rsidR="00CE0902" w:rsidRPr="00E93FD0">
        <w:rPr>
          <w:rFonts w:cstheme="minorHAnsi"/>
          <w:sz w:val="24"/>
          <w:szCs w:val="24"/>
        </w:rPr>
        <w:t xml:space="preserve"> although it serves a patient panel from a broad geographic area, as noted above,</w:t>
      </w:r>
      <w:r w:rsidRPr="00E93FD0">
        <w:rPr>
          <w:rFonts w:cstheme="minorHAnsi"/>
          <w:sz w:val="24"/>
          <w:szCs w:val="24"/>
        </w:rPr>
        <w:t xml:space="preserve"> the Hospital is in a rural area with limited public transportation access;</w:t>
      </w:r>
      <w:r w:rsidR="00CE0902" w:rsidRPr="00E93FD0">
        <w:rPr>
          <w:rFonts w:cstheme="minorHAnsi"/>
          <w:sz w:val="24"/>
          <w:szCs w:val="24"/>
        </w:rPr>
        <w:t xml:space="preserve"> therefore</w:t>
      </w:r>
      <w:r w:rsidRPr="00E93FD0">
        <w:rPr>
          <w:rFonts w:cstheme="minorHAnsi"/>
          <w:sz w:val="24"/>
          <w:szCs w:val="24"/>
        </w:rPr>
        <w:t xml:space="preserve">, the Applicant plans to further explore and implement transportation services programs for eligible patients and their families with access challenges.   This includes connecting with local hotels to develop potential discounts so that families and friends can be local while their loved ones are in the Hospital.   The Applicant also plans to explore transportation vouchers. </w:t>
      </w:r>
    </w:p>
    <w:p w14:paraId="2CCA26AD" w14:textId="77777777" w:rsidR="0014527C" w:rsidRPr="00E93FD0" w:rsidRDefault="0014527C" w:rsidP="004B525C">
      <w:pPr>
        <w:pStyle w:val="ListParagraph"/>
        <w:spacing w:after="0" w:line="240" w:lineRule="auto"/>
        <w:rPr>
          <w:rFonts w:cstheme="minorHAnsi"/>
          <w:sz w:val="12"/>
          <w:szCs w:val="12"/>
        </w:rPr>
      </w:pPr>
    </w:p>
    <w:p w14:paraId="623A91B0" w14:textId="77777777" w:rsidR="0014527C" w:rsidRPr="00E93FD0" w:rsidRDefault="0014527C" w:rsidP="004B525C">
      <w:pPr>
        <w:pStyle w:val="ListParagraph"/>
        <w:numPr>
          <w:ilvl w:val="0"/>
          <w:numId w:val="2"/>
        </w:numPr>
        <w:spacing w:after="0" w:line="240" w:lineRule="auto"/>
        <w:rPr>
          <w:rFonts w:cstheme="minorHAnsi"/>
          <w:b/>
          <w:bCs/>
          <w:sz w:val="24"/>
          <w:szCs w:val="24"/>
        </w:rPr>
      </w:pPr>
      <w:r w:rsidRPr="00E93FD0">
        <w:rPr>
          <w:rFonts w:cstheme="minorHAnsi"/>
          <w:b/>
          <w:bCs/>
          <w:sz w:val="24"/>
          <w:szCs w:val="24"/>
        </w:rPr>
        <w:t>Please describe how the collection of race and ethnicity data will be used to promote health equity for the Patient Panel.</w:t>
      </w:r>
    </w:p>
    <w:p w14:paraId="7BF3FAC7" w14:textId="5CCF7730" w:rsidR="0014527C" w:rsidRPr="00E93FD0" w:rsidRDefault="0014527C" w:rsidP="004B525C">
      <w:pPr>
        <w:pStyle w:val="ListParagraph"/>
        <w:spacing w:after="0" w:line="240" w:lineRule="auto"/>
        <w:ind w:left="1080"/>
        <w:rPr>
          <w:rFonts w:cstheme="minorHAnsi"/>
          <w:sz w:val="24"/>
          <w:szCs w:val="24"/>
        </w:rPr>
      </w:pPr>
      <w:r w:rsidRPr="00E93FD0">
        <w:rPr>
          <w:rFonts w:cstheme="minorHAnsi"/>
          <w:sz w:val="12"/>
          <w:szCs w:val="12"/>
        </w:rPr>
        <w:br/>
      </w:r>
      <w:r w:rsidRPr="00E93FD0">
        <w:rPr>
          <w:rFonts w:cstheme="minorHAnsi"/>
          <w:sz w:val="24"/>
          <w:szCs w:val="24"/>
          <w:u w:val="single"/>
        </w:rPr>
        <w:t>Response</w:t>
      </w:r>
      <w:r w:rsidRPr="00E93FD0">
        <w:rPr>
          <w:rFonts w:cstheme="minorHAnsi"/>
          <w:sz w:val="24"/>
          <w:szCs w:val="24"/>
        </w:rPr>
        <w:t xml:space="preserve">:  The Applicant intends to collect race and ethnicity data as part of its admission process.  The Applicant has already experienced the benefits of providing Culturally and Linguistically Appropriate Services in the nursing home setting – for instance, implementing appropriate translation programs and enhanced care coordination programs to accommodate specific cultural needs. Through these experiences, Applicant understands </w:t>
      </w:r>
      <w:r w:rsidRPr="00E93FD0">
        <w:rPr>
          <w:rFonts w:cstheme="minorHAnsi"/>
          <w:sz w:val="24"/>
          <w:szCs w:val="24"/>
        </w:rPr>
        <w:lastRenderedPageBreak/>
        <w:t xml:space="preserve">the importance of data-driven programming to ensure that it is meeting the needs of its patients.  For this reason, Applicant intends to not only fulfill its general non-discrimination obligations under </w:t>
      </w:r>
      <w:proofErr w:type="gramStart"/>
      <w:r w:rsidRPr="00E93FD0">
        <w:rPr>
          <w:rFonts w:cstheme="minorHAnsi"/>
          <w:sz w:val="24"/>
          <w:szCs w:val="24"/>
        </w:rPr>
        <w:t>law, but</w:t>
      </w:r>
      <w:proofErr w:type="gramEnd"/>
      <w:r w:rsidRPr="00E93FD0">
        <w:rPr>
          <w:rFonts w:cstheme="minorHAnsi"/>
          <w:sz w:val="24"/>
          <w:szCs w:val="24"/>
        </w:rPr>
        <w:t xml:space="preserve"> will leverage this data to tailor programming patient panel needs.  </w:t>
      </w:r>
    </w:p>
    <w:p w14:paraId="59E8AF6F" w14:textId="77777777" w:rsidR="0014527C" w:rsidRPr="00E93FD0" w:rsidRDefault="0014527C" w:rsidP="004B525C">
      <w:pPr>
        <w:pStyle w:val="ListParagraph"/>
        <w:spacing w:after="0" w:line="240" w:lineRule="auto"/>
        <w:ind w:left="1080"/>
        <w:rPr>
          <w:rFonts w:cstheme="minorHAnsi"/>
          <w:sz w:val="12"/>
          <w:szCs w:val="12"/>
        </w:rPr>
      </w:pPr>
    </w:p>
    <w:p w14:paraId="4E9F1B00" w14:textId="77777777" w:rsidR="0014527C" w:rsidRPr="00E93FD0" w:rsidRDefault="0014527C" w:rsidP="004B525C">
      <w:pPr>
        <w:pStyle w:val="ListParagraph"/>
        <w:numPr>
          <w:ilvl w:val="0"/>
          <w:numId w:val="2"/>
        </w:numPr>
        <w:spacing w:after="0" w:line="240" w:lineRule="auto"/>
        <w:rPr>
          <w:rFonts w:cstheme="minorHAnsi"/>
          <w:b/>
          <w:bCs/>
          <w:sz w:val="24"/>
          <w:szCs w:val="24"/>
        </w:rPr>
      </w:pPr>
      <w:r w:rsidRPr="00E93FD0">
        <w:rPr>
          <w:rFonts w:cstheme="minorHAnsi"/>
          <w:b/>
          <w:bCs/>
          <w:sz w:val="24"/>
          <w:szCs w:val="24"/>
        </w:rPr>
        <w:t>Narrative page 6 states, “The Applicant anticipates that the Proposed Project will improve health outcomes and quality of life through its standardized clinical practices, disease specific programs and best practices.”</w:t>
      </w:r>
    </w:p>
    <w:p w14:paraId="580F42FF" w14:textId="77777777" w:rsidR="004B525C" w:rsidRPr="00E93FD0" w:rsidRDefault="004B525C" w:rsidP="004B525C">
      <w:pPr>
        <w:pStyle w:val="ListParagraph"/>
        <w:spacing w:after="0" w:line="240" w:lineRule="auto"/>
        <w:rPr>
          <w:rFonts w:cstheme="minorHAnsi"/>
          <w:b/>
          <w:bCs/>
          <w:sz w:val="12"/>
          <w:szCs w:val="12"/>
        </w:rPr>
      </w:pPr>
    </w:p>
    <w:p w14:paraId="48DBBB7F" w14:textId="45C13E49" w:rsidR="0014527C" w:rsidRPr="00E93FD0" w:rsidRDefault="0014527C" w:rsidP="004B525C">
      <w:pPr>
        <w:pStyle w:val="ListParagraph"/>
        <w:numPr>
          <w:ilvl w:val="1"/>
          <w:numId w:val="2"/>
        </w:numPr>
        <w:autoSpaceDE w:val="0"/>
        <w:autoSpaceDN w:val="0"/>
        <w:adjustRightInd w:val="0"/>
        <w:spacing w:after="0" w:line="240" w:lineRule="auto"/>
        <w:rPr>
          <w:rFonts w:cs="Times New Roman"/>
          <w:sz w:val="12"/>
          <w:szCs w:val="12"/>
        </w:rPr>
      </w:pPr>
      <w:r w:rsidRPr="00E93FD0">
        <w:rPr>
          <w:rFonts w:cs="Times New Roman"/>
          <w:b/>
          <w:bCs/>
          <w:sz w:val="24"/>
          <w:szCs w:val="24"/>
        </w:rPr>
        <w:t>Please describe the clinical practices, disease specific programs, and best practices referenced.</w:t>
      </w:r>
      <w:r w:rsidRPr="00E93FD0">
        <w:rPr>
          <w:rFonts w:cs="Times New Roman"/>
          <w:sz w:val="24"/>
          <w:szCs w:val="24"/>
        </w:rPr>
        <w:t xml:space="preserve"> </w:t>
      </w:r>
      <w:r w:rsidRPr="00E93FD0">
        <w:rPr>
          <w:rFonts w:cs="Times New Roman"/>
          <w:sz w:val="24"/>
          <w:szCs w:val="24"/>
        </w:rPr>
        <w:br/>
      </w:r>
      <w:r w:rsidR="004B525C" w:rsidRPr="00E93FD0">
        <w:rPr>
          <w:rFonts w:cs="Times New Roman"/>
          <w:sz w:val="12"/>
          <w:szCs w:val="12"/>
          <w:u w:val="single"/>
        </w:rPr>
        <w:br/>
      </w:r>
      <w:r w:rsidR="005B29D3" w:rsidRPr="00E93FD0">
        <w:rPr>
          <w:rFonts w:cs="Times New Roman"/>
          <w:sz w:val="24"/>
          <w:szCs w:val="24"/>
          <w:u w:val="single"/>
        </w:rPr>
        <w:t>Response</w:t>
      </w:r>
      <w:r w:rsidR="005B29D3" w:rsidRPr="00E93FD0">
        <w:rPr>
          <w:rFonts w:cs="Times New Roman"/>
          <w:sz w:val="24"/>
          <w:szCs w:val="24"/>
        </w:rPr>
        <w:t xml:space="preserve">:  </w:t>
      </w:r>
      <w:r w:rsidR="009C2AA2" w:rsidRPr="00E93FD0">
        <w:rPr>
          <w:rFonts w:cs="Times New Roman"/>
          <w:sz w:val="24"/>
          <w:szCs w:val="24"/>
        </w:rPr>
        <w:t>Applicant intends to focus on maintain</w:t>
      </w:r>
      <w:r w:rsidR="005B29D3" w:rsidRPr="00E93FD0">
        <w:rPr>
          <w:rFonts w:cs="Times New Roman"/>
          <w:sz w:val="24"/>
          <w:szCs w:val="24"/>
        </w:rPr>
        <w:t>ing</w:t>
      </w:r>
      <w:r w:rsidR="009C2AA2" w:rsidRPr="00E93FD0">
        <w:rPr>
          <w:rFonts w:cs="Times New Roman"/>
          <w:sz w:val="24"/>
          <w:szCs w:val="24"/>
        </w:rPr>
        <w:t xml:space="preserve"> and, where appropriate, improving the Hospital’s LTCH Quality Reporting Program measures which are reported to CMS. </w:t>
      </w:r>
      <w:r w:rsidR="005B29D3" w:rsidRPr="00E93FD0">
        <w:rPr>
          <w:rFonts w:cs="Times New Roman"/>
          <w:sz w:val="24"/>
          <w:szCs w:val="24"/>
        </w:rPr>
        <w:t>To this end</w:t>
      </w:r>
      <w:r w:rsidR="009C2AA2" w:rsidRPr="00E93FD0">
        <w:rPr>
          <w:rFonts w:cs="Times New Roman"/>
          <w:sz w:val="24"/>
          <w:szCs w:val="24"/>
        </w:rPr>
        <w:t xml:space="preserve">, Applicant will work with both administrative and clinical staff so that both teams understand the cost and clinical implications of their </w:t>
      </w:r>
      <w:r w:rsidR="005B29D3" w:rsidRPr="00E93FD0">
        <w:rPr>
          <w:rFonts w:cs="Times New Roman"/>
          <w:sz w:val="24"/>
          <w:szCs w:val="24"/>
        </w:rPr>
        <w:t>respective functions; however, as mentioned above, Applicant intends to</w:t>
      </w:r>
      <w:r w:rsidR="009C2AA2" w:rsidRPr="00E93FD0">
        <w:rPr>
          <w:rFonts w:cs="Times New Roman"/>
          <w:sz w:val="24"/>
          <w:szCs w:val="24"/>
        </w:rPr>
        <w:t xml:space="preserve"> support</w:t>
      </w:r>
      <w:r w:rsidR="005B29D3" w:rsidRPr="00E93FD0">
        <w:rPr>
          <w:rFonts w:cs="Times New Roman"/>
          <w:sz w:val="24"/>
          <w:szCs w:val="24"/>
        </w:rPr>
        <w:t>, not instruct,</w:t>
      </w:r>
      <w:r w:rsidR="009C2AA2" w:rsidRPr="00E93FD0">
        <w:rPr>
          <w:rFonts w:cs="Times New Roman"/>
          <w:sz w:val="24"/>
          <w:szCs w:val="24"/>
        </w:rPr>
        <w:t xml:space="preserve"> the clinical staff</w:t>
      </w:r>
      <w:r w:rsidR="005B29D3" w:rsidRPr="00E93FD0">
        <w:rPr>
          <w:rFonts w:cs="Times New Roman"/>
          <w:sz w:val="24"/>
          <w:szCs w:val="24"/>
        </w:rPr>
        <w:t xml:space="preserve"> on implementing clinical and best practices and programming,</w:t>
      </w:r>
      <w:r w:rsidR="009C2AA2" w:rsidRPr="00E93FD0">
        <w:rPr>
          <w:rFonts w:cs="Times New Roman"/>
          <w:sz w:val="24"/>
          <w:szCs w:val="24"/>
        </w:rPr>
        <w:t xml:space="preserve"> so that </w:t>
      </w:r>
      <w:r w:rsidR="005B29D3" w:rsidRPr="00E93FD0">
        <w:rPr>
          <w:rFonts w:cs="Times New Roman"/>
          <w:sz w:val="24"/>
          <w:szCs w:val="24"/>
        </w:rPr>
        <w:t>their focus is on delivering quality care</w:t>
      </w:r>
      <w:r w:rsidR="009C2AA2" w:rsidRPr="00E93FD0">
        <w:rPr>
          <w:rFonts w:cs="Times New Roman"/>
          <w:sz w:val="24"/>
          <w:szCs w:val="24"/>
        </w:rPr>
        <w:t>.</w:t>
      </w:r>
      <w:r w:rsidR="005B29D3" w:rsidRPr="00E93FD0">
        <w:rPr>
          <w:rFonts w:cs="Times New Roman"/>
          <w:sz w:val="24"/>
          <w:szCs w:val="24"/>
        </w:rPr>
        <w:t xml:space="preserve"> This collaborative culture will extend beyond the Hospital. </w:t>
      </w:r>
      <w:proofErr w:type="gramStart"/>
      <w:r w:rsidR="005B29D3" w:rsidRPr="00E93FD0">
        <w:rPr>
          <w:rFonts w:cs="Times New Roman"/>
          <w:sz w:val="24"/>
          <w:szCs w:val="24"/>
        </w:rPr>
        <w:t>Applicant aims</w:t>
      </w:r>
      <w:proofErr w:type="gramEnd"/>
      <w:r w:rsidR="005B29D3" w:rsidRPr="00E93FD0">
        <w:rPr>
          <w:rFonts w:cs="Times New Roman"/>
          <w:sz w:val="24"/>
          <w:szCs w:val="24"/>
        </w:rPr>
        <w:t xml:space="preserve"> to create enhanced cohesion between the Hospital and the SNF, so that both facilities communicate more frequently and work in tandem to coordinate care, thereby avoiding the tendency to work in silos, despite both residing on the same campus. </w:t>
      </w:r>
      <w:r w:rsidR="009C2AA2" w:rsidRPr="00E93FD0">
        <w:rPr>
          <w:rFonts w:cs="Times New Roman"/>
          <w:sz w:val="24"/>
          <w:szCs w:val="24"/>
        </w:rPr>
        <w:t xml:space="preserve"> </w:t>
      </w:r>
      <w:r w:rsidRPr="00E93FD0">
        <w:rPr>
          <w:rFonts w:cs="Times New Roman"/>
          <w:sz w:val="24"/>
          <w:szCs w:val="24"/>
        </w:rPr>
        <w:br/>
      </w:r>
    </w:p>
    <w:p w14:paraId="30B4D194" w14:textId="22F05C12" w:rsidR="0014527C" w:rsidRPr="00E93FD0" w:rsidRDefault="0014527C" w:rsidP="004B525C">
      <w:pPr>
        <w:pStyle w:val="ListParagraph"/>
        <w:numPr>
          <w:ilvl w:val="1"/>
          <w:numId w:val="2"/>
        </w:numPr>
        <w:autoSpaceDE w:val="0"/>
        <w:autoSpaceDN w:val="0"/>
        <w:adjustRightInd w:val="0"/>
        <w:spacing w:after="0" w:line="240" w:lineRule="auto"/>
        <w:jc w:val="both"/>
        <w:rPr>
          <w:rFonts w:cs="Times New Roman"/>
          <w:sz w:val="24"/>
          <w:szCs w:val="24"/>
        </w:rPr>
      </w:pPr>
      <w:r w:rsidRPr="00E93FD0">
        <w:rPr>
          <w:rFonts w:cs="Times New Roman"/>
          <w:b/>
          <w:bCs/>
          <w:sz w:val="24"/>
          <w:szCs w:val="24"/>
        </w:rPr>
        <w:t xml:space="preserve">How will the practices described be different or an improvement </w:t>
      </w:r>
      <w:proofErr w:type="gramStart"/>
      <w:r w:rsidRPr="00E93FD0">
        <w:rPr>
          <w:rFonts w:cs="Times New Roman"/>
          <w:b/>
          <w:bCs/>
          <w:sz w:val="24"/>
          <w:szCs w:val="24"/>
        </w:rPr>
        <w:t>on</w:t>
      </w:r>
      <w:proofErr w:type="gramEnd"/>
      <w:r w:rsidRPr="00E93FD0">
        <w:rPr>
          <w:rFonts w:cs="Times New Roman"/>
          <w:b/>
          <w:bCs/>
          <w:sz w:val="24"/>
          <w:szCs w:val="24"/>
        </w:rPr>
        <w:t xml:space="preserve"> what is already in place?</w:t>
      </w:r>
      <w:r w:rsidRPr="00E93FD0">
        <w:rPr>
          <w:rFonts w:cs="Times New Roman"/>
          <w:sz w:val="24"/>
          <w:szCs w:val="24"/>
        </w:rPr>
        <w:t xml:space="preserve"> </w:t>
      </w:r>
      <w:r w:rsidR="005B29D3" w:rsidRPr="00E93FD0">
        <w:rPr>
          <w:rFonts w:cs="Times New Roman"/>
          <w:sz w:val="24"/>
          <w:szCs w:val="24"/>
        </w:rPr>
        <w:br/>
      </w:r>
      <w:r w:rsidR="004B525C" w:rsidRPr="00E93FD0">
        <w:rPr>
          <w:rFonts w:cs="Times New Roman"/>
          <w:sz w:val="12"/>
          <w:szCs w:val="12"/>
        </w:rPr>
        <w:br/>
      </w:r>
      <w:r w:rsidR="005B29D3" w:rsidRPr="00E93FD0">
        <w:rPr>
          <w:rFonts w:cs="Times New Roman"/>
          <w:sz w:val="24"/>
          <w:szCs w:val="24"/>
          <w:u w:val="single"/>
        </w:rPr>
        <w:t>Response</w:t>
      </w:r>
      <w:r w:rsidR="005B29D3" w:rsidRPr="00E93FD0">
        <w:rPr>
          <w:rFonts w:cs="Times New Roman"/>
          <w:sz w:val="24"/>
          <w:szCs w:val="24"/>
        </w:rPr>
        <w:t xml:space="preserve">:  Applicant’s long term care expertise will bring forth a renewed focus on integrating the </w:t>
      </w:r>
      <w:r w:rsidR="00AB51A6" w:rsidRPr="00E93FD0">
        <w:rPr>
          <w:rFonts w:cs="Times New Roman"/>
          <w:sz w:val="24"/>
          <w:szCs w:val="24"/>
        </w:rPr>
        <w:t xml:space="preserve">Hospital and SNF operations so that the campus will </w:t>
      </w:r>
      <w:proofErr w:type="gramStart"/>
      <w:r w:rsidR="00AB51A6" w:rsidRPr="00E93FD0">
        <w:rPr>
          <w:rFonts w:cs="Times New Roman"/>
          <w:sz w:val="24"/>
          <w:szCs w:val="24"/>
        </w:rPr>
        <w:t>function as a whole</w:t>
      </w:r>
      <w:proofErr w:type="gramEnd"/>
      <w:r w:rsidR="00AB51A6" w:rsidRPr="00E93FD0">
        <w:rPr>
          <w:rFonts w:cs="Times New Roman"/>
          <w:sz w:val="24"/>
          <w:szCs w:val="24"/>
        </w:rPr>
        <w:t xml:space="preserve">. Rather than </w:t>
      </w:r>
      <w:proofErr w:type="gramStart"/>
      <w:r w:rsidR="00AB51A6" w:rsidRPr="00E93FD0">
        <w:rPr>
          <w:rFonts w:cs="Times New Roman"/>
          <w:sz w:val="24"/>
          <w:szCs w:val="24"/>
        </w:rPr>
        <w:t>two</w:t>
      </w:r>
      <w:proofErr w:type="gramEnd"/>
      <w:r w:rsidR="00AB51A6" w:rsidRPr="00E93FD0">
        <w:rPr>
          <w:rFonts w:cs="Times New Roman"/>
          <w:sz w:val="24"/>
          <w:szCs w:val="24"/>
        </w:rPr>
        <w:t xml:space="preserve"> facilities coexisting on the same campus, Applicant envisions both facilities working closely together, exchanging ideas and expertise, so that patients have access to the benefits of both and can transition their care within the same system with fewer delays.</w:t>
      </w:r>
    </w:p>
    <w:p w14:paraId="4C0248C0" w14:textId="77777777" w:rsidR="00926F8E" w:rsidRPr="00E93FD0" w:rsidRDefault="00926F8E" w:rsidP="00926F8E">
      <w:pPr>
        <w:pStyle w:val="ListParagraph"/>
        <w:autoSpaceDE w:val="0"/>
        <w:autoSpaceDN w:val="0"/>
        <w:adjustRightInd w:val="0"/>
        <w:spacing w:after="0" w:line="240" w:lineRule="auto"/>
        <w:ind w:left="1440"/>
        <w:jc w:val="both"/>
        <w:rPr>
          <w:rFonts w:cs="Times New Roman"/>
          <w:sz w:val="12"/>
          <w:szCs w:val="12"/>
        </w:rPr>
      </w:pPr>
    </w:p>
    <w:p w14:paraId="23D8D776" w14:textId="77777777" w:rsidR="0014527C" w:rsidRPr="00E93FD0" w:rsidRDefault="0014527C" w:rsidP="0064684A">
      <w:pPr>
        <w:pStyle w:val="Heading1"/>
      </w:pPr>
      <w:r w:rsidRPr="00E93FD0">
        <w:t>Competition</w:t>
      </w:r>
    </w:p>
    <w:p w14:paraId="10F4916E" w14:textId="77777777" w:rsidR="004B525C" w:rsidRPr="00E93FD0" w:rsidRDefault="004B525C" w:rsidP="004B525C">
      <w:pPr>
        <w:spacing w:after="0" w:line="240" w:lineRule="auto"/>
        <w:rPr>
          <w:rFonts w:cstheme="minorHAnsi"/>
          <w:b/>
          <w:bCs/>
          <w:sz w:val="12"/>
          <w:szCs w:val="12"/>
        </w:rPr>
      </w:pPr>
    </w:p>
    <w:p w14:paraId="50CE824A" w14:textId="77777777" w:rsidR="0014527C" w:rsidRPr="00E93FD0" w:rsidRDefault="0014527C" w:rsidP="004B525C">
      <w:pPr>
        <w:pStyle w:val="ListParagraph"/>
        <w:numPr>
          <w:ilvl w:val="0"/>
          <w:numId w:val="2"/>
        </w:numPr>
        <w:spacing w:after="0" w:line="240" w:lineRule="auto"/>
        <w:rPr>
          <w:rFonts w:cs="Times New Roman"/>
          <w:b/>
          <w:bCs/>
          <w:szCs w:val="24"/>
        </w:rPr>
      </w:pPr>
      <w:r w:rsidRPr="00E93FD0">
        <w:rPr>
          <w:rFonts w:cs="Times New Roman"/>
          <w:b/>
          <w:bCs/>
          <w:szCs w:val="24"/>
        </w:rPr>
        <w:t xml:space="preserve">On page 4 of the Narrative, the Applicant states that it “anticipates that the Proposed Project will either have a net neutral impact or reduce the Hospital’s total medical expenses (TME).” </w:t>
      </w:r>
    </w:p>
    <w:p w14:paraId="63704886" w14:textId="6AE7E233" w:rsidR="000B7CC2" w:rsidRPr="00E93FD0" w:rsidRDefault="0014527C" w:rsidP="00E93FD0">
      <w:pPr>
        <w:pStyle w:val="ListParagraph"/>
        <w:numPr>
          <w:ilvl w:val="1"/>
          <w:numId w:val="2"/>
        </w:numPr>
        <w:spacing w:after="0" w:line="240" w:lineRule="auto"/>
        <w:rPr>
          <w:rFonts w:cs="Times New Roman"/>
          <w:sz w:val="24"/>
          <w:szCs w:val="28"/>
        </w:rPr>
      </w:pPr>
      <w:r w:rsidRPr="00E93FD0">
        <w:rPr>
          <w:rFonts w:cs="Times New Roman"/>
          <w:b/>
          <w:bCs/>
          <w:szCs w:val="24"/>
        </w:rPr>
        <w:t>Please explain how the Applicant anticipates the Proposed Project might reduce the Hospital’s TME.</w:t>
      </w:r>
      <w:r w:rsidRPr="00E93FD0">
        <w:rPr>
          <w:rFonts w:cs="Times New Roman"/>
          <w:szCs w:val="24"/>
        </w:rPr>
        <w:t xml:space="preserve"> </w:t>
      </w:r>
      <w:r w:rsidRPr="00E93FD0">
        <w:rPr>
          <w:rFonts w:cs="Times New Roman"/>
          <w:szCs w:val="24"/>
        </w:rPr>
        <w:br/>
      </w:r>
      <w:r w:rsidR="004B525C" w:rsidRPr="00E93FD0">
        <w:rPr>
          <w:rFonts w:cs="Times New Roman"/>
          <w:sz w:val="12"/>
          <w:szCs w:val="12"/>
          <w:u w:val="single"/>
        </w:rPr>
        <w:br/>
      </w:r>
      <w:r w:rsidRPr="00E93FD0">
        <w:rPr>
          <w:rFonts w:cs="Times New Roman"/>
          <w:sz w:val="24"/>
          <w:szCs w:val="28"/>
          <w:u w:val="single"/>
        </w:rPr>
        <w:t>Response</w:t>
      </w:r>
      <w:proofErr w:type="gramStart"/>
      <w:r w:rsidRPr="00E93FD0">
        <w:rPr>
          <w:rFonts w:cs="Times New Roman"/>
          <w:sz w:val="24"/>
          <w:szCs w:val="28"/>
        </w:rPr>
        <w:t>:  Applicant</w:t>
      </w:r>
      <w:proofErr w:type="gramEnd"/>
      <w:r w:rsidRPr="00E93FD0">
        <w:rPr>
          <w:rFonts w:cs="Times New Roman"/>
          <w:sz w:val="24"/>
          <w:szCs w:val="28"/>
        </w:rPr>
        <w:t xml:space="preserve"> aims to harness any operational efficiencies that are created through the Hospital’s shared campus with the Meadows (the </w:t>
      </w:r>
      <w:r w:rsidR="00CE0902" w:rsidRPr="00E93FD0">
        <w:rPr>
          <w:rFonts w:cs="Times New Roman"/>
          <w:sz w:val="24"/>
          <w:szCs w:val="28"/>
        </w:rPr>
        <w:t>SNF</w:t>
      </w:r>
      <w:r w:rsidRPr="00E93FD0">
        <w:rPr>
          <w:rFonts w:cs="Times New Roman"/>
          <w:sz w:val="24"/>
          <w:szCs w:val="28"/>
        </w:rPr>
        <w:t xml:space="preserve"> that Applicant is also acquiring from </w:t>
      </w:r>
      <w:proofErr w:type="spellStart"/>
      <w:r w:rsidRPr="00E93FD0">
        <w:rPr>
          <w:rFonts w:cs="Times New Roman"/>
          <w:sz w:val="24"/>
          <w:szCs w:val="28"/>
        </w:rPr>
        <w:t>Vibra</w:t>
      </w:r>
      <w:proofErr w:type="spellEnd"/>
      <w:r w:rsidRPr="00E93FD0">
        <w:rPr>
          <w:rFonts w:cs="Times New Roman"/>
          <w:sz w:val="24"/>
          <w:szCs w:val="28"/>
        </w:rPr>
        <w:t xml:space="preserve"> under this transaction). Such efficiencies may include bulk purchasing and shared contracting services, which Applicant anticipates will result in cost savings to the Hospital. Though Applicant does not plan to make significant changes to the Hospital’s clinical operations, it will discontinue the use of the </w:t>
      </w:r>
      <w:proofErr w:type="spellStart"/>
      <w:r w:rsidRPr="00E93FD0">
        <w:rPr>
          <w:rFonts w:cs="Times New Roman"/>
          <w:sz w:val="24"/>
          <w:szCs w:val="28"/>
        </w:rPr>
        <w:t>Vibra</w:t>
      </w:r>
      <w:proofErr w:type="spellEnd"/>
      <w:r w:rsidRPr="00E93FD0">
        <w:rPr>
          <w:rFonts w:cs="Times New Roman"/>
          <w:sz w:val="24"/>
          <w:szCs w:val="28"/>
        </w:rPr>
        <w:t xml:space="preserve"> Travels program, which is </w:t>
      </w:r>
      <w:proofErr w:type="spellStart"/>
      <w:r w:rsidRPr="00E93FD0">
        <w:rPr>
          <w:rFonts w:cs="Times New Roman"/>
          <w:sz w:val="24"/>
          <w:szCs w:val="28"/>
        </w:rPr>
        <w:t>Vibra’s</w:t>
      </w:r>
      <w:proofErr w:type="spellEnd"/>
      <w:r w:rsidRPr="00E93FD0">
        <w:rPr>
          <w:rFonts w:cs="Times New Roman"/>
          <w:sz w:val="24"/>
          <w:szCs w:val="28"/>
        </w:rPr>
        <w:t xml:space="preserve"> </w:t>
      </w:r>
      <w:r w:rsidR="001D6865" w:rsidRPr="00E93FD0">
        <w:rPr>
          <w:rFonts w:cs="Times New Roman"/>
          <w:sz w:val="24"/>
          <w:szCs w:val="28"/>
        </w:rPr>
        <w:t xml:space="preserve">travel </w:t>
      </w:r>
      <w:r w:rsidRPr="00E93FD0">
        <w:rPr>
          <w:rFonts w:cs="Times New Roman"/>
          <w:sz w:val="24"/>
          <w:szCs w:val="28"/>
        </w:rPr>
        <w:t xml:space="preserve">staffing agency, and will no longer use </w:t>
      </w:r>
      <w:proofErr w:type="spellStart"/>
      <w:r w:rsidRPr="00E93FD0">
        <w:rPr>
          <w:rFonts w:cs="Times New Roman"/>
          <w:sz w:val="24"/>
          <w:szCs w:val="28"/>
        </w:rPr>
        <w:t>Vibra’s</w:t>
      </w:r>
      <w:proofErr w:type="spellEnd"/>
      <w:r w:rsidRPr="00E93FD0">
        <w:rPr>
          <w:rFonts w:cs="Times New Roman"/>
          <w:sz w:val="24"/>
          <w:szCs w:val="28"/>
        </w:rPr>
        <w:t xml:space="preserve"> </w:t>
      </w:r>
      <w:r w:rsidR="001D6865" w:rsidRPr="00E93FD0">
        <w:rPr>
          <w:rFonts w:cs="Times New Roman"/>
          <w:sz w:val="24"/>
          <w:szCs w:val="28"/>
        </w:rPr>
        <w:t xml:space="preserve">corporate or </w:t>
      </w:r>
      <w:r w:rsidRPr="00E93FD0">
        <w:rPr>
          <w:rFonts w:cs="Times New Roman"/>
          <w:sz w:val="24"/>
          <w:szCs w:val="28"/>
        </w:rPr>
        <w:t xml:space="preserve">administrative functions. Applicant anticipates that this will significantly lower the </w:t>
      </w:r>
      <w:r w:rsidRPr="00E93FD0">
        <w:rPr>
          <w:rFonts w:cs="Times New Roman"/>
          <w:sz w:val="24"/>
          <w:szCs w:val="28"/>
        </w:rPr>
        <w:lastRenderedPageBreak/>
        <w:t xml:space="preserve">fees associated with staffing and encourage some </w:t>
      </w:r>
      <w:proofErr w:type="spellStart"/>
      <w:r w:rsidRPr="00E93FD0">
        <w:rPr>
          <w:rFonts w:cs="Times New Roman"/>
          <w:sz w:val="24"/>
          <w:szCs w:val="28"/>
        </w:rPr>
        <w:t>Vibra</w:t>
      </w:r>
      <w:proofErr w:type="spellEnd"/>
      <w:r w:rsidRPr="00E93FD0">
        <w:rPr>
          <w:rFonts w:cs="Times New Roman"/>
          <w:sz w:val="24"/>
          <w:szCs w:val="28"/>
        </w:rPr>
        <w:t xml:space="preserve"> Travels staff to join the Hospital as employees. Furthermore, it will significantly reduce the corporate overhead charge. </w:t>
      </w:r>
    </w:p>
    <w:p w14:paraId="2878E11A" w14:textId="77777777" w:rsidR="00A110B8" w:rsidRPr="00E93FD0" w:rsidRDefault="00A110B8" w:rsidP="00A110B8">
      <w:pPr>
        <w:pStyle w:val="ListParagraph"/>
        <w:spacing w:after="0" w:line="240" w:lineRule="auto"/>
        <w:ind w:left="1440"/>
        <w:rPr>
          <w:rFonts w:cs="Times New Roman"/>
          <w:sz w:val="12"/>
          <w:szCs w:val="12"/>
        </w:rPr>
      </w:pPr>
    </w:p>
    <w:p w14:paraId="762BAC36" w14:textId="416DFD66" w:rsidR="00A110B8" w:rsidRPr="00E93FD0" w:rsidRDefault="00A110B8" w:rsidP="004E16B6">
      <w:pPr>
        <w:pStyle w:val="Heading1"/>
        <w:rPr>
          <w:rFonts w:cs="Times New Roman"/>
          <w:sz w:val="24"/>
          <w:szCs w:val="28"/>
        </w:rPr>
      </w:pPr>
      <w:r w:rsidRPr="00E93FD0">
        <w:t>Factor 2a: Cost Containment</w:t>
      </w:r>
    </w:p>
    <w:p w14:paraId="69F39A29" w14:textId="77777777" w:rsidR="00A110B8" w:rsidRPr="00E93FD0" w:rsidRDefault="00A110B8" w:rsidP="00A110B8">
      <w:pPr>
        <w:pStyle w:val="ListParagraph"/>
        <w:spacing w:after="0" w:line="240" w:lineRule="auto"/>
        <w:ind w:left="1440"/>
        <w:rPr>
          <w:rFonts w:cs="Times New Roman"/>
          <w:sz w:val="12"/>
          <w:szCs w:val="12"/>
        </w:rPr>
      </w:pPr>
    </w:p>
    <w:p w14:paraId="705752E3" w14:textId="6284F1D6" w:rsidR="00766E4C" w:rsidRPr="00E93FD0" w:rsidRDefault="0014527C" w:rsidP="00A110B8">
      <w:pPr>
        <w:pStyle w:val="ListParagraph"/>
        <w:numPr>
          <w:ilvl w:val="0"/>
          <w:numId w:val="2"/>
        </w:numPr>
        <w:spacing w:after="0" w:line="240" w:lineRule="auto"/>
        <w:rPr>
          <w:rFonts w:cs="Times New Roman"/>
          <w:sz w:val="24"/>
          <w:szCs w:val="28"/>
        </w:rPr>
      </w:pPr>
      <w:r w:rsidRPr="00E93FD0">
        <w:rPr>
          <w:rFonts w:cstheme="minorHAnsi"/>
          <w:b/>
          <w:bCs/>
          <w:sz w:val="24"/>
          <w:szCs w:val="24"/>
        </w:rPr>
        <w:t>Please provide a detailed explanation (with cited reference) to explain why timely placement at an LTCH helps to contain the cost of patient care.</w:t>
      </w:r>
      <w:r w:rsidRPr="00E93FD0">
        <w:rPr>
          <w:rFonts w:cstheme="minorHAnsi"/>
          <w:sz w:val="24"/>
          <w:szCs w:val="24"/>
        </w:rPr>
        <w:t xml:space="preserve"> </w:t>
      </w:r>
      <w:r w:rsidR="004B525C" w:rsidRPr="00E93FD0">
        <w:rPr>
          <w:rFonts w:cstheme="minorHAnsi"/>
          <w:sz w:val="24"/>
          <w:szCs w:val="24"/>
        </w:rPr>
        <w:br/>
      </w:r>
      <w:r w:rsidR="004B525C" w:rsidRPr="00E93FD0">
        <w:rPr>
          <w:rFonts w:cstheme="minorHAnsi"/>
          <w:sz w:val="12"/>
          <w:szCs w:val="12"/>
        </w:rPr>
        <w:br/>
      </w:r>
      <w:r w:rsidR="004B525C" w:rsidRPr="00E93FD0">
        <w:rPr>
          <w:rFonts w:cstheme="minorHAnsi"/>
          <w:sz w:val="24"/>
          <w:szCs w:val="24"/>
          <w:u w:val="single"/>
        </w:rPr>
        <w:t>Response</w:t>
      </w:r>
      <w:r w:rsidR="004B525C" w:rsidRPr="00E93FD0">
        <w:rPr>
          <w:rFonts w:cstheme="minorHAnsi"/>
          <w:sz w:val="24"/>
          <w:szCs w:val="24"/>
        </w:rPr>
        <w:t xml:space="preserve">:  </w:t>
      </w:r>
      <w:r w:rsidR="00CF3C30" w:rsidRPr="00E93FD0">
        <w:rPr>
          <w:rFonts w:cstheme="minorHAnsi"/>
          <w:sz w:val="24"/>
          <w:szCs w:val="24"/>
        </w:rPr>
        <w:t xml:space="preserve">A 2021 study examining Medicare claims data from 2014-2015 found that, on the whole, patients who </w:t>
      </w:r>
      <w:r w:rsidR="00FA313D" w:rsidRPr="00E93FD0">
        <w:rPr>
          <w:rFonts w:cstheme="minorHAnsi"/>
          <w:sz w:val="24"/>
          <w:szCs w:val="24"/>
        </w:rPr>
        <w:t xml:space="preserve">were intubated </w:t>
      </w:r>
      <w:r w:rsidR="00CF3C30" w:rsidRPr="00E93FD0">
        <w:rPr>
          <w:rFonts w:cstheme="minorHAnsi"/>
          <w:sz w:val="24"/>
          <w:szCs w:val="24"/>
        </w:rPr>
        <w:t>at an acute care hospital and were discharged to an LTCH to wean off the ventilator were more likely to be weaned when discharged earlier to the LTCH.</w:t>
      </w:r>
      <w:r w:rsidR="004D0C77" w:rsidRPr="00E93FD0">
        <w:rPr>
          <w:rStyle w:val="FootnoteReference"/>
          <w:rFonts w:cstheme="minorHAnsi"/>
          <w:sz w:val="24"/>
          <w:szCs w:val="24"/>
        </w:rPr>
        <w:footnoteReference w:id="3"/>
      </w:r>
      <w:r w:rsidR="00CF3C30" w:rsidRPr="00E93FD0">
        <w:rPr>
          <w:rFonts w:cstheme="minorHAnsi"/>
          <w:sz w:val="24"/>
          <w:szCs w:val="24"/>
        </w:rPr>
        <w:t xml:space="preserve"> </w:t>
      </w:r>
      <w:r w:rsidR="004D0C77" w:rsidRPr="00E93FD0">
        <w:rPr>
          <w:rFonts w:cstheme="minorHAnsi"/>
          <w:sz w:val="24"/>
          <w:szCs w:val="24"/>
        </w:rPr>
        <w:t>The study showed that each additional day spent in an acute care setting after intubation</w:t>
      </w:r>
      <w:r w:rsidR="00CF3C30" w:rsidRPr="00E93FD0">
        <w:rPr>
          <w:rFonts w:cstheme="minorHAnsi"/>
          <w:sz w:val="24"/>
          <w:szCs w:val="24"/>
        </w:rPr>
        <w:t xml:space="preserve"> </w:t>
      </w:r>
      <w:r w:rsidR="004D0C77" w:rsidRPr="00E93FD0">
        <w:rPr>
          <w:rFonts w:cstheme="minorHAnsi"/>
          <w:sz w:val="24"/>
          <w:szCs w:val="24"/>
        </w:rPr>
        <w:t>reduced the odds of weaning in an LTCH by 11.6%.</w:t>
      </w:r>
      <w:r w:rsidR="00FA313D" w:rsidRPr="00E93FD0">
        <w:rPr>
          <w:rFonts w:cstheme="minorHAnsi"/>
          <w:sz w:val="24"/>
          <w:szCs w:val="24"/>
        </w:rPr>
        <w:t xml:space="preserve"> The study explains that not all ventilated patients will benefit from an LTCH stay; however, for those</w:t>
      </w:r>
      <w:r w:rsidR="00766E4C" w:rsidRPr="00E93FD0">
        <w:rPr>
          <w:rFonts w:cstheme="minorHAnsi"/>
          <w:sz w:val="24"/>
          <w:szCs w:val="24"/>
        </w:rPr>
        <w:t xml:space="preserve"> critically ill</w:t>
      </w:r>
      <w:r w:rsidR="00FA313D" w:rsidRPr="00E93FD0">
        <w:rPr>
          <w:rFonts w:cstheme="minorHAnsi"/>
          <w:sz w:val="24"/>
          <w:szCs w:val="24"/>
        </w:rPr>
        <w:t xml:space="preserve"> patients who will, timely transition to an LTCH is not only beneficial to the individual, but to the hospital system as a whole</w:t>
      </w:r>
      <w:r w:rsidR="00AA2655" w:rsidRPr="00E93FD0">
        <w:rPr>
          <w:rFonts w:cstheme="minorHAnsi"/>
          <w:sz w:val="24"/>
          <w:szCs w:val="24"/>
        </w:rPr>
        <w:t>: A</w:t>
      </w:r>
      <w:r w:rsidR="00766E4C" w:rsidRPr="00E93FD0">
        <w:rPr>
          <w:rFonts w:cstheme="minorHAnsi"/>
          <w:sz w:val="24"/>
          <w:szCs w:val="24"/>
        </w:rPr>
        <w:t xml:space="preserve">s </w:t>
      </w:r>
      <w:r w:rsidR="00FA313D" w:rsidRPr="00E93FD0">
        <w:rPr>
          <w:rFonts w:cstheme="minorHAnsi"/>
          <w:sz w:val="24"/>
          <w:szCs w:val="24"/>
        </w:rPr>
        <w:t>was described in the Application</w:t>
      </w:r>
      <w:r w:rsidR="00AA2655" w:rsidRPr="00E93FD0">
        <w:rPr>
          <w:rFonts w:cstheme="minorHAnsi"/>
          <w:sz w:val="24"/>
          <w:szCs w:val="24"/>
        </w:rPr>
        <w:t>,</w:t>
      </w:r>
      <w:r w:rsidR="00FA313D" w:rsidRPr="00E93FD0">
        <w:rPr>
          <w:rFonts w:cstheme="minorHAnsi"/>
          <w:sz w:val="24"/>
          <w:szCs w:val="24"/>
        </w:rPr>
        <w:t xml:space="preserve"> LTCHs may be able to help with hospital throughput issues and improve patient </w:t>
      </w:r>
      <w:r w:rsidR="00766E4C" w:rsidRPr="00E93FD0">
        <w:rPr>
          <w:rFonts w:cstheme="minorHAnsi"/>
          <w:sz w:val="24"/>
          <w:szCs w:val="24"/>
        </w:rPr>
        <w:t xml:space="preserve">ventilation </w:t>
      </w:r>
      <w:r w:rsidR="00FA313D" w:rsidRPr="00E93FD0">
        <w:rPr>
          <w:rFonts w:cstheme="minorHAnsi"/>
          <w:sz w:val="24"/>
          <w:szCs w:val="24"/>
        </w:rPr>
        <w:t xml:space="preserve">outcomes by </w:t>
      </w:r>
      <w:r w:rsidR="00AA2655" w:rsidRPr="00E93FD0">
        <w:rPr>
          <w:rFonts w:cstheme="minorHAnsi"/>
          <w:sz w:val="24"/>
          <w:szCs w:val="24"/>
        </w:rPr>
        <w:t>enabling patients to transition from an acute care setting to an LTCH where they can receive</w:t>
      </w:r>
      <w:r w:rsidR="00FA313D" w:rsidRPr="00E93FD0">
        <w:rPr>
          <w:rFonts w:cstheme="minorHAnsi"/>
          <w:sz w:val="24"/>
          <w:szCs w:val="24"/>
        </w:rPr>
        <w:t xml:space="preserve"> </w:t>
      </w:r>
      <w:r w:rsidR="00AA2655" w:rsidRPr="00E93FD0">
        <w:rPr>
          <w:rFonts w:cstheme="minorHAnsi"/>
          <w:sz w:val="24"/>
          <w:szCs w:val="24"/>
        </w:rPr>
        <w:t xml:space="preserve">appropriate </w:t>
      </w:r>
      <w:r w:rsidR="00FA313D" w:rsidRPr="00E93FD0">
        <w:rPr>
          <w:rFonts w:cstheme="minorHAnsi"/>
          <w:sz w:val="24"/>
          <w:szCs w:val="24"/>
        </w:rPr>
        <w:t>specialized care such as weaning protocols and rehabilitation</w:t>
      </w:r>
      <w:r w:rsidR="00766E4C" w:rsidRPr="00E93FD0">
        <w:rPr>
          <w:rFonts w:cstheme="minorHAnsi"/>
          <w:sz w:val="24"/>
          <w:szCs w:val="24"/>
        </w:rPr>
        <w:t xml:space="preserve">, </w:t>
      </w:r>
      <w:r w:rsidR="00AA2655" w:rsidRPr="00E93FD0">
        <w:rPr>
          <w:rFonts w:cstheme="minorHAnsi"/>
          <w:sz w:val="24"/>
          <w:szCs w:val="24"/>
        </w:rPr>
        <w:t xml:space="preserve">and thereby </w:t>
      </w:r>
      <w:r w:rsidR="00766E4C" w:rsidRPr="00E93FD0">
        <w:rPr>
          <w:rFonts w:cstheme="minorHAnsi"/>
          <w:sz w:val="24"/>
          <w:szCs w:val="24"/>
        </w:rPr>
        <w:t>lowering the rates of hospital readmissions, which the Commonwealth has already identified as an area of cost concern</w:t>
      </w:r>
      <w:r w:rsidR="00FA313D" w:rsidRPr="00E93FD0">
        <w:rPr>
          <w:rFonts w:cstheme="minorHAnsi"/>
          <w:sz w:val="24"/>
          <w:szCs w:val="24"/>
        </w:rPr>
        <w:t>.</w:t>
      </w:r>
      <w:r w:rsidR="00766E4C" w:rsidRPr="00E93FD0">
        <w:rPr>
          <w:rStyle w:val="FootnoteReference"/>
          <w:rFonts w:cstheme="minorHAnsi"/>
          <w:sz w:val="24"/>
          <w:szCs w:val="24"/>
        </w:rPr>
        <w:footnoteReference w:id="4"/>
      </w:r>
      <w:r w:rsidR="00766E4C" w:rsidRPr="00E93FD0">
        <w:rPr>
          <w:rFonts w:cstheme="minorHAnsi"/>
          <w:sz w:val="24"/>
          <w:szCs w:val="24"/>
        </w:rPr>
        <w:t xml:space="preserve">  </w:t>
      </w:r>
    </w:p>
    <w:p w14:paraId="58D7C237" w14:textId="77777777" w:rsidR="00766E4C" w:rsidRPr="00E93FD0" w:rsidRDefault="00766E4C" w:rsidP="004B525C">
      <w:pPr>
        <w:pStyle w:val="ListParagraph"/>
        <w:spacing w:after="0" w:line="240" w:lineRule="auto"/>
        <w:rPr>
          <w:rFonts w:cstheme="minorHAnsi"/>
          <w:sz w:val="12"/>
          <w:szCs w:val="12"/>
        </w:rPr>
      </w:pPr>
    </w:p>
    <w:p w14:paraId="041EAAB5" w14:textId="6B290A6D" w:rsidR="00FA313D" w:rsidRPr="00E93FD0" w:rsidRDefault="00ED35D6" w:rsidP="004B525C">
      <w:pPr>
        <w:pStyle w:val="ListParagraph"/>
        <w:spacing w:after="0" w:line="240" w:lineRule="auto"/>
        <w:rPr>
          <w:rFonts w:cstheme="minorHAnsi"/>
          <w:sz w:val="24"/>
          <w:szCs w:val="24"/>
          <w:highlight w:val="green"/>
        </w:rPr>
      </w:pPr>
      <w:r w:rsidRPr="00E93FD0">
        <w:rPr>
          <w:rFonts w:cstheme="minorHAnsi"/>
          <w:sz w:val="24"/>
          <w:szCs w:val="24"/>
        </w:rPr>
        <w:t>The</w:t>
      </w:r>
      <w:r w:rsidR="004D0C77" w:rsidRPr="00E93FD0">
        <w:rPr>
          <w:rFonts w:cstheme="minorHAnsi"/>
          <w:sz w:val="24"/>
          <w:szCs w:val="24"/>
        </w:rPr>
        <w:t xml:space="preserve"> financial implications of prolonged ventilation in an acute care setting has been widely reported: </w:t>
      </w:r>
      <w:r w:rsidR="00E86DE0" w:rsidRPr="00E93FD0">
        <w:rPr>
          <w:rFonts w:cstheme="minorHAnsi"/>
          <w:sz w:val="24"/>
          <w:szCs w:val="24"/>
        </w:rPr>
        <w:t>In its online provider training materials, t</w:t>
      </w:r>
      <w:r w:rsidR="004D0C77" w:rsidRPr="00E93FD0">
        <w:rPr>
          <w:rFonts w:cstheme="minorHAnsi"/>
          <w:sz w:val="24"/>
          <w:szCs w:val="24"/>
        </w:rPr>
        <w:t>he Agency for Healthcare Research and Quality cites to research studies showing that each day that a patient spends on a ventilator</w:t>
      </w:r>
      <w:r w:rsidR="00C333BD" w:rsidRPr="00E93FD0">
        <w:rPr>
          <w:rFonts w:cstheme="minorHAnsi"/>
          <w:sz w:val="24"/>
          <w:szCs w:val="24"/>
        </w:rPr>
        <w:t xml:space="preserve"> in an acute care setting</w:t>
      </w:r>
      <w:r w:rsidR="004D0C77" w:rsidRPr="00E93FD0">
        <w:rPr>
          <w:rFonts w:cstheme="minorHAnsi"/>
          <w:sz w:val="24"/>
          <w:szCs w:val="24"/>
        </w:rPr>
        <w:t xml:space="preserve"> costs an average of $2,300 per day</w:t>
      </w:r>
      <w:r w:rsidR="00C333BD" w:rsidRPr="00E93FD0">
        <w:rPr>
          <w:rFonts w:cstheme="minorHAnsi"/>
          <w:sz w:val="24"/>
          <w:szCs w:val="24"/>
        </w:rPr>
        <w:t>, rising to $3,900 after the fourth day.</w:t>
      </w:r>
      <w:r w:rsidR="00C333BD" w:rsidRPr="00E93FD0">
        <w:rPr>
          <w:rStyle w:val="FootnoteReference"/>
          <w:rFonts w:cstheme="minorHAnsi"/>
          <w:sz w:val="24"/>
          <w:szCs w:val="24"/>
        </w:rPr>
        <w:footnoteReference w:id="5"/>
      </w:r>
      <w:r w:rsidR="004D0C77" w:rsidRPr="00E93FD0">
        <w:rPr>
          <w:rFonts w:cstheme="minorHAnsi"/>
          <w:sz w:val="24"/>
          <w:szCs w:val="24"/>
        </w:rPr>
        <w:t xml:space="preserve"> </w:t>
      </w:r>
      <w:r w:rsidRPr="00E93FD0">
        <w:rPr>
          <w:rFonts w:cstheme="minorHAnsi"/>
          <w:sz w:val="24"/>
          <w:szCs w:val="24"/>
        </w:rPr>
        <w:t>These are savings that this project aims to accomplish.</w:t>
      </w:r>
    </w:p>
    <w:p w14:paraId="04BFDF4D" w14:textId="77777777" w:rsidR="0014527C" w:rsidRPr="00E93FD0" w:rsidRDefault="0014527C" w:rsidP="004B525C">
      <w:pPr>
        <w:spacing w:after="0" w:line="240" w:lineRule="auto"/>
        <w:rPr>
          <w:rFonts w:cstheme="minorHAnsi"/>
          <w:b/>
          <w:bCs/>
          <w:sz w:val="12"/>
          <w:szCs w:val="12"/>
        </w:rPr>
      </w:pPr>
    </w:p>
    <w:p w14:paraId="4FE65008" w14:textId="77777777" w:rsidR="0014527C" w:rsidRPr="00E93FD0" w:rsidRDefault="0014527C" w:rsidP="004E16B6">
      <w:pPr>
        <w:pStyle w:val="Heading1"/>
      </w:pPr>
      <w:r w:rsidRPr="00E93FD0">
        <w:t>Factor 2c: System Delivery Transformation</w:t>
      </w:r>
    </w:p>
    <w:p w14:paraId="0000B6FD" w14:textId="795132B3" w:rsidR="00AB51A6" w:rsidRPr="00E93FD0" w:rsidRDefault="0014527C" w:rsidP="004B525C">
      <w:pPr>
        <w:pStyle w:val="ListParagraph"/>
        <w:numPr>
          <w:ilvl w:val="0"/>
          <w:numId w:val="2"/>
        </w:numPr>
        <w:spacing w:after="0" w:line="240" w:lineRule="auto"/>
        <w:rPr>
          <w:rFonts w:cstheme="minorHAnsi"/>
          <w:b/>
          <w:bCs/>
          <w:sz w:val="24"/>
          <w:szCs w:val="24"/>
        </w:rPr>
      </w:pPr>
      <w:r w:rsidRPr="00E93FD0">
        <w:rPr>
          <w:rFonts w:cstheme="minorHAnsi"/>
          <w:b/>
          <w:bCs/>
          <w:sz w:val="24"/>
          <w:szCs w:val="24"/>
        </w:rPr>
        <w:t xml:space="preserve">Please provide examples of any new practices that will be incorporated into the system delivery </w:t>
      </w:r>
      <w:proofErr w:type="gramStart"/>
      <w:r w:rsidRPr="00E93FD0">
        <w:rPr>
          <w:rFonts w:cstheme="minorHAnsi"/>
          <w:b/>
          <w:bCs/>
          <w:sz w:val="24"/>
          <w:szCs w:val="24"/>
        </w:rPr>
        <w:t>as a result of</w:t>
      </w:r>
      <w:proofErr w:type="gramEnd"/>
      <w:r w:rsidRPr="00E93FD0">
        <w:rPr>
          <w:rFonts w:cstheme="minorHAnsi"/>
          <w:b/>
          <w:bCs/>
          <w:sz w:val="24"/>
          <w:szCs w:val="24"/>
        </w:rPr>
        <w:t xml:space="preserve"> the Proposed Project. (</w:t>
      </w:r>
      <w:r w:rsidRPr="00E93FD0">
        <w:rPr>
          <w:rFonts w:cs="Times New Roman"/>
          <w:b/>
          <w:bCs/>
          <w:sz w:val="24"/>
          <w:szCs w:val="24"/>
        </w:rPr>
        <w:t>Assessments, linkages to social services organizations, incorporation of social determinants of health into care planning, etc.)</w:t>
      </w:r>
    </w:p>
    <w:p w14:paraId="5199328C" w14:textId="03BC5FF2" w:rsidR="0014527C" w:rsidRPr="00E93FD0" w:rsidRDefault="00462971" w:rsidP="004B525C">
      <w:pPr>
        <w:pStyle w:val="ListParagraph"/>
        <w:spacing w:after="0" w:line="240" w:lineRule="auto"/>
        <w:rPr>
          <w:rFonts w:cstheme="minorHAnsi"/>
          <w:sz w:val="24"/>
          <w:szCs w:val="24"/>
        </w:rPr>
      </w:pPr>
      <w:r w:rsidRPr="00E93FD0">
        <w:rPr>
          <w:rFonts w:cs="Times New Roman"/>
          <w:sz w:val="12"/>
          <w:szCs w:val="12"/>
          <w:u w:val="single"/>
        </w:rPr>
        <w:br/>
      </w:r>
      <w:r w:rsidR="00AB51A6" w:rsidRPr="00E93FD0">
        <w:rPr>
          <w:rFonts w:cs="Times New Roman"/>
          <w:sz w:val="24"/>
          <w:szCs w:val="24"/>
          <w:u w:val="single"/>
        </w:rPr>
        <w:t>Response</w:t>
      </w:r>
      <w:proofErr w:type="gramStart"/>
      <w:r w:rsidR="00AB51A6" w:rsidRPr="00E93FD0">
        <w:rPr>
          <w:rFonts w:cs="Times New Roman"/>
          <w:sz w:val="24"/>
          <w:szCs w:val="24"/>
        </w:rPr>
        <w:t>:  As</w:t>
      </w:r>
      <w:proofErr w:type="gramEnd"/>
      <w:r w:rsidR="00AB51A6" w:rsidRPr="00E93FD0">
        <w:rPr>
          <w:rFonts w:cs="Times New Roman"/>
          <w:sz w:val="24"/>
          <w:szCs w:val="24"/>
        </w:rPr>
        <w:t xml:space="preserve"> described in the Application, </w:t>
      </w:r>
      <w:proofErr w:type="gramStart"/>
      <w:r w:rsidR="00AB51A6" w:rsidRPr="00E93FD0">
        <w:rPr>
          <w:rFonts w:cs="Times New Roman"/>
          <w:sz w:val="24"/>
          <w:szCs w:val="24"/>
        </w:rPr>
        <w:t>Applicant</w:t>
      </w:r>
      <w:proofErr w:type="gramEnd"/>
      <w:r w:rsidR="00AB51A6" w:rsidRPr="00E93FD0">
        <w:rPr>
          <w:rFonts w:cs="Times New Roman"/>
          <w:sz w:val="24"/>
          <w:szCs w:val="24"/>
        </w:rPr>
        <w:t xml:space="preserve"> intends to explore opportunities to expand </w:t>
      </w:r>
      <w:r w:rsidR="00E21FB9">
        <w:rPr>
          <w:rFonts w:cs="Times New Roman"/>
          <w:sz w:val="24"/>
          <w:szCs w:val="24"/>
        </w:rPr>
        <w:t xml:space="preserve">and enhance </w:t>
      </w:r>
      <w:r w:rsidR="00AB51A6" w:rsidRPr="00E93FD0">
        <w:rPr>
          <w:rFonts w:cs="Times New Roman"/>
          <w:sz w:val="24"/>
          <w:szCs w:val="24"/>
        </w:rPr>
        <w:t>the Hospital’s under-utilized services, including dialysis services. Additionally, Applicant aims to increase clinical acuity in both the Hospital and the SNF so that</w:t>
      </w:r>
      <w:r w:rsidRPr="00E93FD0">
        <w:rPr>
          <w:rFonts w:cs="Times New Roman"/>
          <w:sz w:val="24"/>
          <w:szCs w:val="24"/>
        </w:rPr>
        <w:t xml:space="preserve"> both facilities have the resources and personnel to accept higher acuity patients. This will support one of the project’s key objectives of this project: to improve hospital throughput throughout the Commonwealth. </w:t>
      </w:r>
    </w:p>
    <w:p w14:paraId="78D08005" w14:textId="77777777" w:rsidR="0014527C" w:rsidRPr="00E93FD0" w:rsidRDefault="0014527C" w:rsidP="004B525C">
      <w:pPr>
        <w:tabs>
          <w:tab w:val="left" w:pos="1440"/>
        </w:tabs>
        <w:autoSpaceDE w:val="0"/>
        <w:autoSpaceDN w:val="0"/>
        <w:adjustRightInd w:val="0"/>
        <w:spacing w:after="0" w:line="240" w:lineRule="auto"/>
        <w:ind w:firstLine="720"/>
        <w:rPr>
          <w:rFonts w:cstheme="minorHAnsi"/>
          <w:sz w:val="12"/>
          <w:szCs w:val="12"/>
          <w:highlight w:val="yellow"/>
        </w:rPr>
      </w:pPr>
    </w:p>
    <w:p w14:paraId="71CC2E55" w14:textId="77777777" w:rsidR="0014527C" w:rsidRPr="00E93FD0" w:rsidRDefault="0014527C" w:rsidP="004E16B6">
      <w:pPr>
        <w:pStyle w:val="Heading1"/>
      </w:pPr>
      <w:r w:rsidRPr="00E93FD0">
        <w:t>Factor 4: Demonstration Of Sufficient Funds Independent CPA Analysis</w:t>
      </w:r>
    </w:p>
    <w:p w14:paraId="5E29607B" w14:textId="77777777" w:rsidR="004B525C" w:rsidRPr="00E93FD0" w:rsidRDefault="004B525C" w:rsidP="004B525C">
      <w:pPr>
        <w:spacing w:after="0" w:line="240" w:lineRule="auto"/>
        <w:rPr>
          <w:rFonts w:cstheme="minorHAnsi"/>
          <w:b/>
          <w:bCs/>
          <w:sz w:val="12"/>
          <w:szCs w:val="12"/>
        </w:rPr>
      </w:pPr>
    </w:p>
    <w:p w14:paraId="411A7016" w14:textId="77777777" w:rsidR="0014527C" w:rsidRPr="00E93FD0" w:rsidRDefault="0014527C" w:rsidP="004B525C">
      <w:pPr>
        <w:pStyle w:val="ListParagraph"/>
        <w:numPr>
          <w:ilvl w:val="0"/>
          <w:numId w:val="2"/>
        </w:numPr>
        <w:spacing w:after="0" w:line="240" w:lineRule="auto"/>
        <w:rPr>
          <w:rFonts w:cstheme="minorHAnsi"/>
          <w:b/>
          <w:bCs/>
          <w:sz w:val="24"/>
          <w:szCs w:val="24"/>
        </w:rPr>
      </w:pPr>
      <w:r w:rsidRPr="00E93FD0">
        <w:rPr>
          <w:rFonts w:cstheme="minorHAnsi"/>
          <w:b/>
          <w:bCs/>
          <w:sz w:val="24"/>
          <w:szCs w:val="24"/>
        </w:rPr>
        <w:t>To what does the Applicant attribute the steep increase in expenses from 2025 to 2026 on page 7 of the CPA Report?</w:t>
      </w:r>
    </w:p>
    <w:p w14:paraId="2E4AC38D" w14:textId="77777777" w:rsidR="0014527C" w:rsidRPr="00E93FD0" w:rsidRDefault="0014527C" w:rsidP="004B525C">
      <w:pPr>
        <w:pStyle w:val="ListParagraph"/>
        <w:spacing w:after="0" w:line="240" w:lineRule="auto"/>
        <w:rPr>
          <w:rFonts w:cs="Times New Roman"/>
          <w:sz w:val="12"/>
          <w:szCs w:val="12"/>
          <w:u w:val="single"/>
        </w:rPr>
      </w:pPr>
    </w:p>
    <w:p w14:paraId="053CBD9C" w14:textId="77777777" w:rsidR="0014527C" w:rsidRPr="00E93FD0" w:rsidRDefault="0014527C" w:rsidP="004B525C">
      <w:pPr>
        <w:pStyle w:val="ListParagraph"/>
        <w:spacing w:after="0" w:line="240" w:lineRule="auto"/>
        <w:rPr>
          <w:rFonts w:cs="Times New Roman"/>
          <w:sz w:val="24"/>
          <w:szCs w:val="28"/>
        </w:rPr>
      </w:pPr>
      <w:r w:rsidRPr="00E93FD0">
        <w:rPr>
          <w:rFonts w:cs="Times New Roman"/>
          <w:sz w:val="24"/>
          <w:szCs w:val="28"/>
          <w:u w:val="single"/>
        </w:rPr>
        <w:t>Response</w:t>
      </w:r>
      <w:proofErr w:type="gramStart"/>
      <w:r w:rsidRPr="00E93FD0">
        <w:rPr>
          <w:rFonts w:cs="Times New Roman"/>
          <w:sz w:val="24"/>
          <w:szCs w:val="28"/>
        </w:rPr>
        <w:t>:  On</w:t>
      </w:r>
      <w:proofErr w:type="gramEnd"/>
      <w:r w:rsidRPr="00E93FD0">
        <w:rPr>
          <w:rFonts w:cs="Times New Roman"/>
          <w:sz w:val="24"/>
          <w:szCs w:val="28"/>
        </w:rPr>
        <w:t xml:space="preserve"> page 3 of the CPA Report, occupancy increases from 64.45% in year 1 to 89.09 in year 2. The expense increase is tied to this occupancy increase as there are </w:t>
      </w:r>
      <w:proofErr w:type="gramStart"/>
      <w:r w:rsidRPr="00E93FD0">
        <w:rPr>
          <w:rFonts w:cs="Times New Roman"/>
          <w:sz w:val="24"/>
          <w:szCs w:val="28"/>
        </w:rPr>
        <w:t>a number of</w:t>
      </w:r>
      <w:proofErr w:type="gramEnd"/>
      <w:r w:rsidRPr="00E93FD0">
        <w:rPr>
          <w:rFonts w:cs="Times New Roman"/>
          <w:sz w:val="24"/>
          <w:szCs w:val="28"/>
        </w:rPr>
        <w:t xml:space="preserve"> expenses which are variable based on occupancy (i.e. patient nursing staffing which is based on hours of nursing care per patient day). Applicant believes that the current occupancy levels are not sufficient to normalize operations at a sustainable level; </w:t>
      </w:r>
      <w:proofErr w:type="gramStart"/>
      <w:r w:rsidRPr="00E93FD0">
        <w:rPr>
          <w:rFonts w:cs="Times New Roman"/>
          <w:sz w:val="24"/>
          <w:szCs w:val="28"/>
        </w:rPr>
        <w:t>therefore</w:t>
      </w:r>
      <w:proofErr w:type="gramEnd"/>
      <w:r w:rsidRPr="00E93FD0">
        <w:rPr>
          <w:rFonts w:cs="Times New Roman"/>
          <w:sz w:val="24"/>
          <w:szCs w:val="28"/>
        </w:rPr>
        <w:t xml:space="preserve"> Applicant expects to implement several operational changes, including staffing, workflow, and marketing/outreach changes that will significantly increase occupancy levels.</w:t>
      </w:r>
    </w:p>
    <w:p w14:paraId="0642C4CB" w14:textId="77777777" w:rsidR="0014527C" w:rsidRPr="00E93FD0" w:rsidRDefault="0014527C" w:rsidP="004B525C">
      <w:pPr>
        <w:spacing w:after="0" w:line="240" w:lineRule="auto"/>
        <w:rPr>
          <w:rFonts w:cstheme="minorHAnsi"/>
          <w:sz w:val="12"/>
          <w:szCs w:val="12"/>
        </w:rPr>
      </w:pPr>
    </w:p>
    <w:p w14:paraId="4A845F49" w14:textId="77777777" w:rsidR="0014527C" w:rsidRPr="00E93FD0" w:rsidRDefault="0014527C" w:rsidP="004B525C">
      <w:pPr>
        <w:pStyle w:val="ListParagraph"/>
        <w:numPr>
          <w:ilvl w:val="0"/>
          <w:numId w:val="2"/>
        </w:numPr>
        <w:spacing w:after="0" w:line="240" w:lineRule="auto"/>
        <w:rPr>
          <w:rFonts w:cstheme="minorHAnsi"/>
          <w:b/>
          <w:bCs/>
          <w:sz w:val="24"/>
          <w:szCs w:val="24"/>
        </w:rPr>
      </w:pPr>
      <w:r w:rsidRPr="00E93FD0">
        <w:rPr>
          <w:rFonts w:cstheme="minorHAnsi"/>
          <w:b/>
          <w:bCs/>
          <w:sz w:val="24"/>
          <w:szCs w:val="24"/>
        </w:rPr>
        <w:t>Please define “triple Net” from page 7 of the CPA Report.</w:t>
      </w:r>
    </w:p>
    <w:p w14:paraId="53484E8E" w14:textId="77777777" w:rsidR="0014527C" w:rsidRPr="00E93FD0" w:rsidRDefault="0014527C" w:rsidP="004B525C">
      <w:pPr>
        <w:pStyle w:val="ListParagraph"/>
        <w:spacing w:after="0" w:line="240" w:lineRule="auto"/>
        <w:rPr>
          <w:rFonts w:cstheme="minorHAnsi"/>
          <w:sz w:val="12"/>
          <w:szCs w:val="12"/>
        </w:rPr>
      </w:pPr>
    </w:p>
    <w:p w14:paraId="17FA9207" w14:textId="77777777" w:rsidR="0014527C" w:rsidRPr="00E93FD0" w:rsidRDefault="0014527C" w:rsidP="004B525C">
      <w:pPr>
        <w:pStyle w:val="ListParagraph"/>
        <w:spacing w:after="0" w:line="240" w:lineRule="auto"/>
        <w:rPr>
          <w:rFonts w:cs="Times New Roman"/>
          <w:sz w:val="24"/>
          <w:szCs w:val="28"/>
        </w:rPr>
      </w:pPr>
      <w:r w:rsidRPr="00E93FD0">
        <w:rPr>
          <w:rFonts w:cs="Times New Roman"/>
          <w:sz w:val="24"/>
          <w:szCs w:val="28"/>
          <w:u w:val="single"/>
        </w:rPr>
        <w:t>Response</w:t>
      </w:r>
      <w:proofErr w:type="gramStart"/>
      <w:r w:rsidRPr="00E93FD0">
        <w:rPr>
          <w:rFonts w:cs="Times New Roman"/>
          <w:sz w:val="24"/>
          <w:szCs w:val="28"/>
        </w:rPr>
        <w:t>:  Triple</w:t>
      </w:r>
      <w:proofErr w:type="gramEnd"/>
      <w:r w:rsidRPr="00E93FD0">
        <w:rPr>
          <w:rFonts w:cs="Times New Roman"/>
          <w:sz w:val="24"/>
          <w:szCs w:val="28"/>
        </w:rPr>
        <w:t xml:space="preserve"> net is a real estate term which means the tenant is responsible for items such as real estate taxes, property insurance, repairs, maintenance, and escrows. These “Triple net” expenses are included in our financial projections. Triple net lease agreements are very common in healthcare entities.</w:t>
      </w:r>
    </w:p>
    <w:p w14:paraId="02C0D45D" w14:textId="77777777" w:rsidR="0014527C" w:rsidRPr="00E93FD0" w:rsidRDefault="0014527C" w:rsidP="004B525C">
      <w:pPr>
        <w:pStyle w:val="ListParagraph"/>
        <w:spacing w:after="0" w:line="240" w:lineRule="auto"/>
        <w:rPr>
          <w:rFonts w:cstheme="minorHAnsi"/>
          <w:sz w:val="12"/>
          <w:szCs w:val="12"/>
        </w:rPr>
      </w:pPr>
    </w:p>
    <w:p w14:paraId="3A9FA1A4" w14:textId="77777777" w:rsidR="0014527C" w:rsidRPr="00E93FD0" w:rsidRDefault="0014527C" w:rsidP="004B525C">
      <w:pPr>
        <w:pStyle w:val="ListParagraph"/>
        <w:numPr>
          <w:ilvl w:val="0"/>
          <w:numId w:val="2"/>
        </w:numPr>
        <w:spacing w:after="0" w:line="240" w:lineRule="auto"/>
        <w:rPr>
          <w:rFonts w:cstheme="minorHAnsi"/>
          <w:b/>
          <w:bCs/>
          <w:sz w:val="24"/>
          <w:szCs w:val="24"/>
        </w:rPr>
      </w:pPr>
      <w:r w:rsidRPr="00E93FD0">
        <w:rPr>
          <w:rFonts w:cstheme="minorHAnsi"/>
          <w:b/>
          <w:bCs/>
          <w:sz w:val="24"/>
          <w:szCs w:val="24"/>
        </w:rPr>
        <w:t xml:space="preserve">Please explain the increase in rent noted in </w:t>
      </w:r>
      <w:proofErr w:type="gramStart"/>
      <w:r w:rsidRPr="00E93FD0">
        <w:rPr>
          <w:rFonts w:cstheme="minorHAnsi"/>
          <w:b/>
          <w:bCs/>
          <w:sz w:val="24"/>
          <w:szCs w:val="24"/>
        </w:rPr>
        <w:t>years</w:t>
      </w:r>
      <w:proofErr w:type="gramEnd"/>
      <w:r w:rsidRPr="00E93FD0">
        <w:rPr>
          <w:rFonts w:cstheme="minorHAnsi"/>
          <w:b/>
          <w:bCs/>
          <w:sz w:val="24"/>
          <w:szCs w:val="24"/>
        </w:rPr>
        <w:t xml:space="preserve"> 2028 and 2029. (Page 8 CPA Report)</w:t>
      </w:r>
    </w:p>
    <w:p w14:paraId="1908F0B7" w14:textId="77777777" w:rsidR="0014527C" w:rsidRPr="00E93FD0" w:rsidRDefault="0014527C" w:rsidP="004B525C">
      <w:pPr>
        <w:pStyle w:val="ListParagraph"/>
        <w:spacing w:after="0" w:line="240" w:lineRule="auto"/>
        <w:rPr>
          <w:rFonts w:cs="Times New Roman"/>
          <w:sz w:val="12"/>
          <w:szCs w:val="12"/>
          <w:u w:val="single"/>
        </w:rPr>
      </w:pPr>
    </w:p>
    <w:p w14:paraId="070768B0" w14:textId="77777777" w:rsidR="0014527C" w:rsidRPr="00E93FD0" w:rsidRDefault="0014527C" w:rsidP="004B525C">
      <w:pPr>
        <w:pStyle w:val="ListParagraph"/>
        <w:spacing w:after="0" w:line="240" w:lineRule="auto"/>
        <w:rPr>
          <w:rFonts w:cs="Times New Roman"/>
          <w:sz w:val="24"/>
          <w:szCs w:val="28"/>
        </w:rPr>
      </w:pPr>
      <w:r w:rsidRPr="00E93FD0">
        <w:rPr>
          <w:rFonts w:cs="Times New Roman"/>
          <w:sz w:val="24"/>
          <w:szCs w:val="28"/>
          <w:u w:val="single"/>
        </w:rPr>
        <w:t>Response</w:t>
      </w:r>
      <w:proofErr w:type="gramStart"/>
      <w:r w:rsidRPr="00E93FD0">
        <w:rPr>
          <w:rFonts w:cs="Times New Roman"/>
          <w:sz w:val="24"/>
          <w:szCs w:val="28"/>
        </w:rPr>
        <w:t>:  Years</w:t>
      </w:r>
      <w:proofErr w:type="gramEnd"/>
      <w:r w:rsidRPr="00E93FD0">
        <w:rPr>
          <w:rFonts w:cs="Times New Roman"/>
          <w:sz w:val="24"/>
          <w:szCs w:val="28"/>
        </w:rPr>
        <w:t xml:space="preserve"> 4 and 5 include a small annual increase tied to inflation. This was projected to ensure compliance with the Applicant’s 1.35 Debt Service Coverage Ratio. </w:t>
      </w:r>
    </w:p>
    <w:p w14:paraId="4247D100" w14:textId="65B3BFA4" w:rsidR="00D41F8F" w:rsidRPr="00E93FD0" w:rsidRDefault="00D41F8F">
      <w:r w:rsidRPr="00E93FD0">
        <w:br w:type="page"/>
      </w:r>
    </w:p>
    <w:p w14:paraId="16633AE6" w14:textId="77777777" w:rsidR="00D41F8F" w:rsidRPr="00E93FD0" w:rsidRDefault="00D41F8F" w:rsidP="0014527C">
      <w:pPr>
        <w:sectPr w:rsidR="00D41F8F" w:rsidRPr="00E93FD0" w:rsidSect="00AB098F">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docGrid w:linePitch="360"/>
        </w:sectPr>
      </w:pPr>
    </w:p>
    <w:p w14:paraId="3BCBD97C" w14:textId="77777777" w:rsidR="0014527C" w:rsidRPr="00E93FD0" w:rsidRDefault="0014527C" w:rsidP="0014527C"/>
    <w:p w14:paraId="04C3A3DD" w14:textId="49C4483A" w:rsidR="00E6141C" w:rsidRPr="00E93FD0" w:rsidRDefault="00E6141C" w:rsidP="0014527C">
      <w:pPr>
        <w:rPr>
          <w:b/>
          <w:bCs/>
          <w:sz w:val="24"/>
          <w:szCs w:val="24"/>
        </w:rPr>
      </w:pPr>
      <w:r w:rsidRPr="00E93FD0">
        <w:rPr>
          <w:b/>
          <w:bCs/>
          <w:sz w:val="24"/>
          <w:szCs w:val="24"/>
        </w:rPr>
        <w:t>Supplemental response to Question 2.a.</w:t>
      </w:r>
    </w:p>
    <w:p w14:paraId="3324CAE7" w14:textId="1259BFB4" w:rsidR="00E6141C" w:rsidRPr="00E93FD0" w:rsidRDefault="00E6141C" w:rsidP="0014527C">
      <w:pPr>
        <w:rPr>
          <w:b/>
          <w:bCs/>
          <w:sz w:val="24"/>
          <w:szCs w:val="24"/>
        </w:rPr>
      </w:pPr>
      <w:r w:rsidRPr="00E93FD0">
        <w:rPr>
          <w:b/>
          <w:bCs/>
          <w:sz w:val="24"/>
          <w:szCs w:val="24"/>
        </w:rPr>
        <w:t>As of 4/22/2025</w:t>
      </w:r>
    </w:p>
    <w:p w14:paraId="12902976" w14:textId="77777777" w:rsidR="00E6141C" w:rsidRPr="00E93FD0" w:rsidRDefault="00E6141C" w:rsidP="0014527C"/>
    <w:p w14:paraId="41EC28F7" w14:textId="0E2710E5" w:rsidR="00D41F8F" w:rsidRPr="00E93FD0" w:rsidRDefault="00D41F8F" w:rsidP="0014527C">
      <w:r w:rsidRPr="00E93FD0">
        <w:rPr>
          <w:noProof/>
        </w:rPr>
        <w:drawing>
          <wp:inline distT="0" distB="0" distL="0" distR="0" wp14:anchorId="7C5FFD80" wp14:editId="77B881BF">
            <wp:extent cx="7800975" cy="3810000"/>
            <wp:effectExtent l="0" t="0" r="9525" b="0"/>
            <wp:docPr id="870016097" name="Picture 26" descr="Corporate Organization chart for Vibra Healt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16097" name="Picture 26" descr="Corporate Organization chart for Vibra Healthca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00975" cy="3810000"/>
                    </a:xfrm>
                    <a:prstGeom prst="rect">
                      <a:avLst/>
                    </a:prstGeom>
                    <a:noFill/>
                    <a:ln>
                      <a:noFill/>
                    </a:ln>
                  </pic:spPr>
                </pic:pic>
              </a:graphicData>
            </a:graphic>
          </wp:inline>
        </w:drawing>
      </w:r>
    </w:p>
    <w:p w14:paraId="4E3026DF" w14:textId="77777777" w:rsidR="00D41F8F" w:rsidRPr="00E93FD0" w:rsidRDefault="00D41F8F" w:rsidP="0014527C"/>
    <w:p w14:paraId="689B54B4" w14:textId="4D1A70BD" w:rsidR="00965FCC" w:rsidRPr="00E93FD0" w:rsidRDefault="00965FCC">
      <w:r w:rsidRPr="00E93FD0">
        <w:br w:type="page"/>
      </w:r>
    </w:p>
    <w:p w14:paraId="2FAD9C8F" w14:textId="77777777" w:rsidR="00965FCC" w:rsidRPr="00E93FD0" w:rsidRDefault="00965FCC" w:rsidP="0014527C">
      <w:pPr>
        <w:sectPr w:rsidR="00965FCC" w:rsidRPr="00E93FD0" w:rsidSect="00AB098F">
          <w:pgSz w:w="15840" w:h="12240" w:orient="landscape"/>
          <w:pgMar w:top="1080" w:right="1440" w:bottom="1080" w:left="1440" w:header="720" w:footer="720" w:gutter="0"/>
          <w:cols w:space="720"/>
          <w:docGrid w:linePitch="360"/>
        </w:sectPr>
      </w:pPr>
    </w:p>
    <w:p w14:paraId="59DFE1C3" w14:textId="0FC87A14" w:rsidR="00965FCC" w:rsidRPr="00E93FD0" w:rsidRDefault="00965FCC" w:rsidP="00490853">
      <w:pPr>
        <w:spacing w:after="0"/>
        <w:rPr>
          <w:b/>
          <w:bCs/>
          <w:sz w:val="24"/>
          <w:szCs w:val="24"/>
        </w:rPr>
      </w:pPr>
      <w:r w:rsidRPr="00E93FD0">
        <w:rPr>
          <w:b/>
          <w:bCs/>
          <w:sz w:val="24"/>
          <w:szCs w:val="24"/>
        </w:rPr>
        <w:lastRenderedPageBreak/>
        <w:t>Response to Question 7:</w:t>
      </w:r>
    </w:p>
    <w:p w14:paraId="13EA5E9A" w14:textId="77777777" w:rsidR="00926F8E" w:rsidRPr="00E93FD0" w:rsidRDefault="00926F8E" w:rsidP="00490853">
      <w:pPr>
        <w:spacing w:after="0"/>
        <w:rPr>
          <w:b/>
          <w:bCs/>
          <w:sz w:val="12"/>
          <w:szCs w:val="12"/>
        </w:rPr>
      </w:pPr>
    </w:p>
    <w:p w14:paraId="24AF0FA5" w14:textId="77777777" w:rsidR="00DA57B0" w:rsidRPr="00E93FD0" w:rsidRDefault="00DA57B0" w:rsidP="00DA57B0">
      <w:pPr>
        <w:pStyle w:val="ListParagraph"/>
        <w:numPr>
          <w:ilvl w:val="0"/>
          <w:numId w:val="4"/>
        </w:numPr>
        <w:spacing w:after="0" w:line="240" w:lineRule="auto"/>
        <w:rPr>
          <w:rFonts w:ascii="Times New Roman" w:hAnsi="Times New Roman" w:cs="Times New Roman"/>
          <w:b/>
          <w:bCs/>
          <w:sz w:val="24"/>
          <w:szCs w:val="24"/>
        </w:rPr>
      </w:pPr>
      <w:r w:rsidRPr="00E93FD0">
        <w:rPr>
          <w:rFonts w:ascii="Times New Roman" w:hAnsi="Times New Roman" w:cs="Times New Roman"/>
          <w:b/>
          <w:bCs/>
          <w:sz w:val="24"/>
          <w:szCs w:val="24"/>
        </w:rPr>
        <w:t>Patient Volume and Gender (collected at discharge)</w:t>
      </w:r>
    </w:p>
    <w:p w14:paraId="6AF7E8BB" w14:textId="77777777" w:rsidR="00DA57B0" w:rsidRPr="00E93FD0" w:rsidRDefault="00DA57B0" w:rsidP="00490853">
      <w:pPr>
        <w:pStyle w:val="ListParagraph"/>
        <w:spacing w:after="0"/>
        <w:rPr>
          <w:rFonts w:ascii="Times New Roman" w:hAnsi="Times New Roman" w:cs="Times New Roman"/>
          <w:sz w:val="12"/>
          <w:szCs w:val="12"/>
        </w:rPr>
      </w:pPr>
    </w:p>
    <w:tbl>
      <w:tblPr>
        <w:tblW w:w="7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90"/>
        <w:gridCol w:w="1021"/>
        <w:gridCol w:w="1485"/>
      </w:tblGrid>
      <w:tr w:rsidR="00E93FD0" w:rsidRPr="00E93FD0" w14:paraId="09029EF6" w14:textId="77777777" w:rsidTr="0085386B">
        <w:trPr>
          <w:cantSplit/>
          <w:trHeight w:val="371"/>
          <w:tblHeader/>
        </w:trPr>
        <w:tc>
          <w:tcPr>
            <w:tcW w:w="2835" w:type="dxa"/>
            <w:shd w:val="clear" w:color="auto" w:fill="D5DCE4" w:themeFill="text2" w:themeFillTint="33"/>
            <w:noWrap/>
            <w:vAlign w:val="center"/>
            <w:hideMark/>
          </w:tcPr>
          <w:p w14:paraId="43A84C30" w14:textId="77777777" w:rsidR="00DA57B0" w:rsidRPr="00E93FD0" w:rsidRDefault="00DA57B0" w:rsidP="00490853">
            <w:pPr>
              <w:tabs>
                <w:tab w:val="left" w:pos="1426"/>
              </w:tabs>
              <w:spacing w:after="0" w:line="240" w:lineRule="auto"/>
              <w:jc w:val="center"/>
              <w:rPr>
                <w:rFonts w:eastAsia="Times New Roman" w:cs="Times New Roman"/>
                <w:b/>
                <w:bCs/>
                <w:szCs w:val="24"/>
              </w:rPr>
            </w:pPr>
            <w:r w:rsidRPr="00E93FD0">
              <w:rPr>
                <w:rFonts w:eastAsia="Times New Roman" w:cs="Times New Roman"/>
                <w:b/>
                <w:bCs/>
                <w:szCs w:val="24"/>
              </w:rPr>
              <w:t>Years (CY)</w:t>
            </w:r>
          </w:p>
        </w:tc>
        <w:tc>
          <w:tcPr>
            <w:tcW w:w="1890" w:type="dxa"/>
            <w:shd w:val="clear" w:color="auto" w:fill="D5DCE4" w:themeFill="text2" w:themeFillTint="33"/>
            <w:noWrap/>
            <w:vAlign w:val="center"/>
            <w:hideMark/>
          </w:tcPr>
          <w:p w14:paraId="2A7FA9D3" w14:textId="77777777" w:rsidR="00DA57B0" w:rsidRPr="00E93FD0" w:rsidRDefault="00DA57B0" w:rsidP="00490853">
            <w:pPr>
              <w:tabs>
                <w:tab w:val="left" w:pos="1426"/>
              </w:tabs>
              <w:spacing w:after="0" w:line="240" w:lineRule="auto"/>
              <w:jc w:val="center"/>
              <w:rPr>
                <w:rFonts w:eastAsia="Times New Roman" w:cs="Times New Roman"/>
                <w:b/>
                <w:bCs/>
                <w:szCs w:val="24"/>
              </w:rPr>
            </w:pPr>
            <w:r w:rsidRPr="00E93FD0">
              <w:rPr>
                <w:rFonts w:eastAsia="Times New Roman" w:cs="Times New Roman"/>
                <w:b/>
                <w:bCs/>
                <w:szCs w:val="24"/>
              </w:rPr>
              <w:t>Female</w:t>
            </w:r>
          </w:p>
        </w:tc>
        <w:tc>
          <w:tcPr>
            <w:tcW w:w="1021" w:type="dxa"/>
            <w:shd w:val="clear" w:color="auto" w:fill="D5DCE4" w:themeFill="text2" w:themeFillTint="33"/>
            <w:noWrap/>
            <w:vAlign w:val="center"/>
            <w:hideMark/>
          </w:tcPr>
          <w:p w14:paraId="7EA2DC10" w14:textId="77777777" w:rsidR="00DA57B0" w:rsidRPr="00E93FD0" w:rsidRDefault="00DA57B0" w:rsidP="00490853">
            <w:pPr>
              <w:tabs>
                <w:tab w:val="left" w:pos="1426"/>
              </w:tabs>
              <w:spacing w:after="0" w:line="240" w:lineRule="auto"/>
              <w:jc w:val="center"/>
              <w:rPr>
                <w:rFonts w:eastAsia="Times New Roman" w:cs="Times New Roman"/>
                <w:b/>
                <w:bCs/>
                <w:szCs w:val="24"/>
              </w:rPr>
            </w:pPr>
            <w:r w:rsidRPr="00E93FD0">
              <w:rPr>
                <w:rFonts w:eastAsia="Times New Roman" w:cs="Times New Roman"/>
                <w:b/>
                <w:bCs/>
                <w:szCs w:val="24"/>
              </w:rPr>
              <w:t>Male</w:t>
            </w:r>
          </w:p>
        </w:tc>
        <w:tc>
          <w:tcPr>
            <w:tcW w:w="1485" w:type="dxa"/>
            <w:shd w:val="clear" w:color="auto" w:fill="D5DCE4" w:themeFill="text2" w:themeFillTint="33"/>
            <w:noWrap/>
            <w:vAlign w:val="center"/>
            <w:hideMark/>
          </w:tcPr>
          <w:p w14:paraId="48E15EE7" w14:textId="01D29A5E" w:rsidR="00DA57B0" w:rsidRPr="00E93FD0" w:rsidRDefault="00DA57B0" w:rsidP="00490853">
            <w:pPr>
              <w:tabs>
                <w:tab w:val="left" w:pos="1426"/>
              </w:tabs>
              <w:spacing w:after="0" w:line="240" w:lineRule="auto"/>
              <w:jc w:val="center"/>
              <w:rPr>
                <w:rFonts w:eastAsia="Times New Roman" w:cs="Times New Roman"/>
                <w:b/>
                <w:bCs/>
                <w:szCs w:val="24"/>
              </w:rPr>
            </w:pPr>
            <w:r w:rsidRPr="00E93FD0">
              <w:rPr>
                <w:rFonts w:eastAsia="Times New Roman" w:cs="Times New Roman"/>
                <w:b/>
                <w:bCs/>
                <w:szCs w:val="24"/>
              </w:rPr>
              <w:t>Total</w:t>
            </w:r>
          </w:p>
        </w:tc>
      </w:tr>
      <w:tr w:rsidR="00E93FD0" w:rsidRPr="00E93FD0" w14:paraId="22E2A81D" w14:textId="77777777" w:rsidTr="0085386B">
        <w:trPr>
          <w:cantSplit/>
          <w:trHeight w:val="371"/>
        </w:trPr>
        <w:tc>
          <w:tcPr>
            <w:tcW w:w="2835" w:type="dxa"/>
            <w:shd w:val="clear" w:color="auto" w:fill="auto"/>
            <w:noWrap/>
            <w:vAlign w:val="center"/>
            <w:hideMark/>
          </w:tcPr>
          <w:p w14:paraId="4498EB14" w14:textId="77777777" w:rsidR="00DA57B0" w:rsidRPr="00E93FD0" w:rsidRDefault="00DA57B0" w:rsidP="00490853">
            <w:pPr>
              <w:tabs>
                <w:tab w:val="left" w:pos="1426"/>
              </w:tabs>
              <w:spacing w:after="0" w:line="240" w:lineRule="auto"/>
              <w:ind w:firstLineChars="100" w:firstLine="220"/>
              <w:jc w:val="center"/>
              <w:rPr>
                <w:rFonts w:eastAsia="Times New Roman" w:cs="Times New Roman"/>
                <w:szCs w:val="24"/>
              </w:rPr>
            </w:pPr>
            <w:r w:rsidRPr="00E93FD0">
              <w:rPr>
                <w:rFonts w:eastAsia="Times New Roman" w:cs="Times New Roman"/>
                <w:szCs w:val="24"/>
              </w:rPr>
              <w:t>2020</w:t>
            </w:r>
          </w:p>
        </w:tc>
        <w:tc>
          <w:tcPr>
            <w:tcW w:w="1890" w:type="dxa"/>
            <w:shd w:val="clear" w:color="auto" w:fill="auto"/>
            <w:noWrap/>
            <w:vAlign w:val="center"/>
            <w:hideMark/>
          </w:tcPr>
          <w:p w14:paraId="397F4272" w14:textId="77777777" w:rsidR="00DA57B0" w:rsidRPr="00E93FD0" w:rsidRDefault="00DA57B0" w:rsidP="00490853">
            <w:pPr>
              <w:tabs>
                <w:tab w:val="left" w:pos="1426"/>
              </w:tabs>
              <w:spacing w:after="0" w:line="240" w:lineRule="auto"/>
              <w:jc w:val="center"/>
              <w:rPr>
                <w:rFonts w:eastAsia="Times New Roman" w:cs="Times New Roman"/>
                <w:szCs w:val="24"/>
              </w:rPr>
            </w:pPr>
            <w:r w:rsidRPr="00E93FD0">
              <w:rPr>
                <w:rFonts w:eastAsia="Times New Roman" w:cs="Times New Roman"/>
                <w:szCs w:val="24"/>
              </w:rPr>
              <w:t>144</w:t>
            </w:r>
          </w:p>
        </w:tc>
        <w:tc>
          <w:tcPr>
            <w:tcW w:w="1021" w:type="dxa"/>
            <w:shd w:val="clear" w:color="auto" w:fill="auto"/>
            <w:noWrap/>
            <w:vAlign w:val="center"/>
            <w:hideMark/>
          </w:tcPr>
          <w:p w14:paraId="6224E3A2" w14:textId="77777777" w:rsidR="00DA57B0" w:rsidRPr="00E93FD0" w:rsidRDefault="00DA57B0" w:rsidP="00490853">
            <w:pPr>
              <w:tabs>
                <w:tab w:val="left" w:pos="1426"/>
              </w:tabs>
              <w:spacing w:after="0" w:line="240" w:lineRule="auto"/>
              <w:jc w:val="center"/>
              <w:rPr>
                <w:rFonts w:eastAsia="Times New Roman" w:cs="Times New Roman"/>
                <w:szCs w:val="24"/>
              </w:rPr>
            </w:pPr>
            <w:r w:rsidRPr="00E93FD0">
              <w:rPr>
                <w:rFonts w:eastAsia="Times New Roman" w:cs="Times New Roman"/>
                <w:szCs w:val="24"/>
              </w:rPr>
              <w:t>194</w:t>
            </w:r>
          </w:p>
        </w:tc>
        <w:tc>
          <w:tcPr>
            <w:tcW w:w="1485" w:type="dxa"/>
            <w:shd w:val="clear" w:color="auto" w:fill="D5DCE4" w:themeFill="text2" w:themeFillTint="33"/>
            <w:noWrap/>
            <w:vAlign w:val="center"/>
            <w:hideMark/>
          </w:tcPr>
          <w:p w14:paraId="3C3D9DFC" w14:textId="77777777" w:rsidR="00DA57B0" w:rsidRPr="00E93FD0" w:rsidRDefault="00DA57B0" w:rsidP="00490853">
            <w:pPr>
              <w:tabs>
                <w:tab w:val="left" w:pos="1426"/>
              </w:tabs>
              <w:spacing w:after="0" w:line="240" w:lineRule="auto"/>
              <w:jc w:val="center"/>
              <w:rPr>
                <w:rFonts w:eastAsia="Times New Roman" w:cs="Times New Roman"/>
                <w:b/>
                <w:szCs w:val="24"/>
              </w:rPr>
            </w:pPr>
            <w:r w:rsidRPr="00E93FD0">
              <w:rPr>
                <w:rFonts w:eastAsia="Times New Roman" w:cs="Times New Roman"/>
                <w:b/>
                <w:szCs w:val="24"/>
              </w:rPr>
              <w:t>338</w:t>
            </w:r>
          </w:p>
        </w:tc>
      </w:tr>
      <w:tr w:rsidR="00E93FD0" w:rsidRPr="00E93FD0" w14:paraId="56DAB581" w14:textId="77777777" w:rsidTr="0085386B">
        <w:trPr>
          <w:cantSplit/>
          <w:trHeight w:val="371"/>
        </w:trPr>
        <w:tc>
          <w:tcPr>
            <w:tcW w:w="2835" w:type="dxa"/>
            <w:shd w:val="clear" w:color="auto" w:fill="auto"/>
            <w:noWrap/>
            <w:vAlign w:val="center"/>
            <w:hideMark/>
          </w:tcPr>
          <w:p w14:paraId="6C5812A9" w14:textId="77777777" w:rsidR="00DA57B0" w:rsidRPr="00E93FD0" w:rsidRDefault="00DA57B0" w:rsidP="00490853">
            <w:pPr>
              <w:tabs>
                <w:tab w:val="left" w:pos="1426"/>
              </w:tabs>
              <w:spacing w:after="0" w:line="240" w:lineRule="auto"/>
              <w:ind w:firstLineChars="100" w:firstLine="220"/>
              <w:jc w:val="center"/>
              <w:rPr>
                <w:rFonts w:eastAsia="Times New Roman" w:cs="Times New Roman"/>
                <w:szCs w:val="24"/>
              </w:rPr>
            </w:pPr>
            <w:r w:rsidRPr="00E93FD0">
              <w:rPr>
                <w:rFonts w:eastAsia="Times New Roman" w:cs="Times New Roman"/>
                <w:szCs w:val="24"/>
              </w:rPr>
              <w:t>2021</w:t>
            </w:r>
          </w:p>
        </w:tc>
        <w:tc>
          <w:tcPr>
            <w:tcW w:w="1890" w:type="dxa"/>
            <w:shd w:val="clear" w:color="auto" w:fill="auto"/>
            <w:noWrap/>
            <w:vAlign w:val="center"/>
            <w:hideMark/>
          </w:tcPr>
          <w:p w14:paraId="09D0CB18" w14:textId="77777777" w:rsidR="00DA57B0" w:rsidRPr="00E93FD0" w:rsidRDefault="00DA57B0" w:rsidP="00490853">
            <w:pPr>
              <w:tabs>
                <w:tab w:val="left" w:pos="1426"/>
              </w:tabs>
              <w:spacing w:after="0" w:line="240" w:lineRule="auto"/>
              <w:jc w:val="center"/>
              <w:rPr>
                <w:rFonts w:eastAsia="Times New Roman" w:cs="Times New Roman"/>
                <w:szCs w:val="24"/>
              </w:rPr>
            </w:pPr>
            <w:r w:rsidRPr="00E93FD0">
              <w:rPr>
                <w:rFonts w:eastAsia="Times New Roman" w:cs="Times New Roman"/>
                <w:szCs w:val="24"/>
              </w:rPr>
              <w:t>131</w:t>
            </w:r>
          </w:p>
        </w:tc>
        <w:tc>
          <w:tcPr>
            <w:tcW w:w="1021" w:type="dxa"/>
            <w:shd w:val="clear" w:color="auto" w:fill="auto"/>
            <w:noWrap/>
            <w:vAlign w:val="center"/>
            <w:hideMark/>
          </w:tcPr>
          <w:p w14:paraId="2A0C0833" w14:textId="77777777" w:rsidR="00DA57B0" w:rsidRPr="00E93FD0" w:rsidRDefault="00DA57B0" w:rsidP="00490853">
            <w:pPr>
              <w:tabs>
                <w:tab w:val="left" w:pos="1426"/>
              </w:tabs>
              <w:spacing w:after="0" w:line="240" w:lineRule="auto"/>
              <w:jc w:val="center"/>
              <w:rPr>
                <w:rFonts w:eastAsia="Times New Roman" w:cs="Times New Roman"/>
                <w:szCs w:val="24"/>
              </w:rPr>
            </w:pPr>
            <w:r w:rsidRPr="00E93FD0">
              <w:rPr>
                <w:rFonts w:eastAsia="Times New Roman" w:cs="Times New Roman"/>
                <w:szCs w:val="24"/>
              </w:rPr>
              <w:t>166</w:t>
            </w:r>
          </w:p>
        </w:tc>
        <w:tc>
          <w:tcPr>
            <w:tcW w:w="1485" w:type="dxa"/>
            <w:shd w:val="clear" w:color="auto" w:fill="D5DCE4" w:themeFill="text2" w:themeFillTint="33"/>
            <w:noWrap/>
            <w:vAlign w:val="center"/>
            <w:hideMark/>
          </w:tcPr>
          <w:p w14:paraId="2AA35403" w14:textId="77777777" w:rsidR="00DA57B0" w:rsidRPr="00E93FD0" w:rsidRDefault="00DA57B0" w:rsidP="00490853">
            <w:pPr>
              <w:tabs>
                <w:tab w:val="left" w:pos="1426"/>
              </w:tabs>
              <w:spacing w:after="0" w:line="240" w:lineRule="auto"/>
              <w:jc w:val="center"/>
              <w:rPr>
                <w:rFonts w:eastAsia="Times New Roman" w:cs="Times New Roman"/>
                <w:b/>
                <w:szCs w:val="24"/>
              </w:rPr>
            </w:pPr>
            <w:r w:rsidRPr="00E93FD0">
              <w:rPr>
                <w:rFonts w:eastAsia="Times New Roman" w:cs="Times New Roman"/>
                <w:b/>
                <w:szCs w:val="24"/>
              </w:rPr>
              <w:t>297</w:t>
            </w:r>
          </w:p>
        </w:tc>
      </w:tr>
      <w:tr w:rsidR="00E93FD0" w:rsidRPr="00E93FD0" w14:paraId="64F44153" w14:textId="77777777" w:rsidTr="0085386B">
        <w:trPr>
          <w:cantSplit/>
          <w:trHeight w:val="371"/>
        </w:trPr>
        <w:tc>
          <w:tcPr>
            <w:tcW w:w="2835" w:type="dxa"/>
            <w:shd w:val="clear" w:color="auto" w:fill="auto"/>
            <w:noWrap/>
            <w:vAlign w:val="center"/>
            <w:hideMark/>
          </w:tcPr>
          <w:p w14:paraId="1F71FB78" w14:textId="77777777" w:rsidR="00DA57B0" w:rsidRPr="00E93FD0" w:rsidRDefault="00DA57B0" w:rsidP="00490853">
            <w:pPr>
              <w:tabs>
                <w:tab w:val="left" w:pos="1426"/>
              </w:tabs>
              <w:spacing w:after="0" w:line="240" w:lineRule="auto"/>
              <w:ind w:firstLineChars="100" w:firstLine="220"/>
              <w:jc w:val="center"/>
              <w:rPr>
                <w:rFonts w:eastAsia="Times New Roman" w:cs="Times New Roman"/>
                <w:szCs w:val="24"/>
              </w:rPr>
            </w:pPr>
            <w:r w:rsidRPr="00E93FD0">
              <w:rPr>
                <w:rFonts w:eastAsia="Times New Roman" w:cs="Times New Roman"/>
                <w:szCs w:val="24"/>
              </w:rPr>
              <w:t>2022</w:t>
            </w:r>
          </w:p>
        </w:tc>
        <w:tc>
          <w:tcPr>
            <w:tcW w:w="1890" w:type="dxa"/>
            <w:shd w:val="clear" w:color="auto" w:fill="auto"/>
            <w:noWrap/>
            <w:vAlign w:val="center"/>
            <w:hideMark/>
          </w:tcPr>
          <w:p w14:paraId="72C8E9C1" w14:textId="77777777" w:rsidR="00DA57B0" w:rsidRPr="00E93FD0" w:rsidRDefault="00DA57B0" w:rsidP="00490853">
            <w:pPr>
              <w:tabs>
                <w:tab w:val="left" w:pos="1426"/>
              </w:tabs>
              <w:spacing w:after="0" w:line="240" w:lineRule="auto"/>
              <w:jc w:val="center"/>
              <w:rPr>
                <w:rFonts w:eastAsia="Times New Roman" w:cs="Times New Roman"/>
                <w:szCs w:val="24"/>
              </w:rPr>
            </w:pPr>
            <w:r w:rsidRPr="00E93FD0">
              <w:rPr>
                <w:rFonts w:eastAsia="Times New Roman" w:cs="Times New Roman"/>
                <w:szCs w:val="24"/>
              </w:rPr>
              <w:t>117</w:t>
            </w:r>
          </w:p>
        </w:tc>
        <w:tc>
          <w:tcPr>
            <w:tcW w:w="1021" w:type="dxa"/>
            <w:shd w:val="clear" w:color="auto" w:fill="auto"/>
            <w:noWrap/>
            <w:vAlign w:val="center"/>
            <w:hideMark/>
          </w:tcPr>
          <w:p w14:paraId="20BC960A" w14:textId="77777777" w:rsidR="00DA57B0" w:rsidRPr="00E93FD0" w:rsidRDefault="00DA57B0" w:rsidP="00490853">
            <w:pPr>
              <w:tabs>
                <w:tab w:val="left" w:pos="1426"/>
              </w:tabs>
              <w:spacing w:after="0" w:line="240" w:lineRule="auto"/>
              <w:jc w:val="center"/>
              <w:rPr>
                <w:rFonts w:eastAsia="Times New Roman" w:cs="Times New Roman"/>
                <w:szCs w:val="24"/>
              </w:rPr>
            </w:pPr>
            <w:r w:rsidRPr="00E93FD0">
              <w:rPr>
                <w:rFonts w:eastAsia="Times New Roman" w:cs="Times New Roman"/>
                <w:szCs w:val="24"/>
              </w:rPr>
              <w:t>175</w:t>
            </w:r>
          </w:p>
        </w:tc>
        <w:tc>
          <w:tcPr>
            <w:tcW w:w="1485" w:type="dxa"/>
            <w:shd w:val="clear" w:color="auto" w:fill="D5DCE4" w:themeFill="text2" w:themeFillTint="33"/>
            <w:noWrap/>
            <w:vAlign w:val="center"/>
            <w:hideMark/>
          </w:tcPr>
          <w:p w14:paraId="7DD4BA19" w14:textId="77777777" w:rsidR="00DA57B0" w:rsidRPr="00E93FD0" w:rsidRDefault="00DA57B0" w:rsidP="00490853">
            <w:pPr>
              <w:tabs>
                <w:tab w:val="left" w:pos="1426"/>
              </w:tabs>
              <w:spacing w:after="0" w:line="240" w:lineRule="auto"/>
              <w:jc w:val="center"/>
              <w:rPr>
                <w:rFonts w:eastAsia="Times New Roman" w:cs="Times New Roman"/>
                <w:b/>
                <w:szCs w:val="24"/>
              </w:rPr>
            </w:pPr>
            <w:r w:rsidRPr="00E93FD0">
              <w:rPr>
                <w:rFonts w:eastAsia="Times New Roman" w:cs="Times New Roman"/>
                <w:b/>
                <w:szCs w:val="24"/>
              </w:rPr>
              <w:t>292</w:t>
            </w:r>
          </w:p>
        </w:tc>
      </w:tr>
      <w:tr w:rsidR="00E93FD0" w:rsidRPr="00E93FD0" w14:paraId="5806D540" w14:textId="77777777" w:rsidTr="0085386B">
        <w:trPr>
          <w:cantSplit/>
          <w:trHeight w:val="371"/>
        </w:trPr>
        <w:tc>
          <w:tcPr>
            <w:tcW w:w="2835" w:type="dxa"/>
            <w:shd w:val="clear" w:color="auto" w:fill="auto"/>
            <w:noWrap/>
            <w:vAlign w:val="center"/>
          </w:tcPr>
          <w:p w14:paraId="097AEAE4" w14:textId="77777777" w:rsidR="00DA57B0" w:rsidRPr="00E93FD0" w:rsidRDefault="00DA57B0" w:rsidP="00490853">
            <w:pPr>
              <w:tabs>
                <w:tab w:val="left" w:pos="1426"/>
              </w:tabs>
              <w:spacing w:after="0" w:line="240" w:lineRule="auto"/>
              <w:ind w:firstLineChars="100" w:firstLine="220"/>
              <w:jc w:val="center"/>
              <w:rPr>
                <w:rFonts w:eastAsia="Times New Roman" w:cs="Times New Roman"/>
                <w:szCs w:val="24"/>
              </w:rPr>
            </w:pPr>
            <w:r w:rsidRPr="00E93FD0">
              <w:rPr>
                <w:rFonts w:eastAsia="Times New Roman" w:cs="Times New Roman"/>
                <w:szCs w:val="24"/>
              </w:rPr>
              <w:t>2023</w:t>
            </w:r>
          </w:p>
        </w:tc>
        <w:tc>
          <w:tcPr>
            <w:tcW w:w="1890" w:type="dxa"/>
            <w:shd w:val="clear" w:color="auto" w:fill="auto"/>
            <w:noWrap/>
            <w:vAlign w:val="center"/>
          </w:tcPr>
          <w:p w14:paraId="4B91E938" w14:textId="77777777" w:rsidR="00DA57B0" w:rsidRPr="00E93FD0" w:rsidRDefault="00DA57B0" w:rsidP="00490853">
            <w:pPr>
              <w:tabs>
                <w:tab w:val="left" w:pos="1426"/>
              </w:tabs>
              <w:spacing w:after="0" w:line="240" w:lineRule="auto"/>
              <w:jc w:val="center"/>
              <w:rPr>
                <w:rFonts w:eastAsia="Times New Roman" w:cs="Times New Roman"/>
                <w:szCs w:val="24"/>
              </w:rPr>
            </w:pPr>
            <w:r w:rsidRPr="00E93FD0">
              <w:rPr>
                <w:rFonts w:eastAsia="Times New Roman" w:cs="Times New Roman"/>
                <w:szCs w:val="24"/>
              </w:rPr>
              <w:t>87</w:t>
            </w:r>
          </w:p>
        </w:tc>
        <w:tc>
          <w:tcPr>
            <w:tcW w:w="1021" w:type="dxa"/>
            <w:shd w:val="clear" w:color="auto" w:fill="auto"/>
            <w:noWrap/>
            <w:vAlign w:val="center"/>
          </w:tcPr>
          <w:p w14:paraId="37ACF29E" w14:textId="77777777" w:rsidR="00DA57B0" w:rsidRPr="00E93FD0" w:rsidRDefault="00DA57B0" w:rsidP="00490853">
            <w:pPr>
              <w:tabs>
                <w:tab w:val="left" w:pos="1426"/>
              </w:tabs>
              <w:spacing w:after="0" w:line="240" w:lineRule="auto"/>
              <w:jc w:val="center"/>
              <w:rPr>
                <w:rFonts w:eastAsia="Times New Roman" w:cs="Times New Roman"/>
                <w:szCs w:val="24"/>
              </w:rPr>
            </w:pPr>
            <w:r w:rsidRPr="00E93FD0">
              <w:rPr>
                <w:rFonts w:eastAsia="Times New Roman" w:cs="Times New Roman"/>
                <w:szCs w:val="24"/>
              </w:rPr>
              <w:t>157</w:t>
            </w:r>
          </w:p>
        </w:tc>
        <w:tc>
          <w:tcPr>
            <w:tcW w:w="1485" w:type="dxa"/>
            <w:shd w:val="clear" w:color="auto" w:fill="D5DCE4" w:themeFill="text2" w:themeFillTint="33"/>
            <w:noWrap/>
            <w:vAlign w:val="center"/>
          </w:tcPr>
          <w:p w14:paraId="00E4791C" w14:textId="77777777" w:rsidR="00DA57B0" w:rsidRPr="00E93FD0" w:rsidRDefault="00DA57B0" w:rsidP="00490853">
            <w:pPr>
              <w:tabs>
                <w:tab w:val="left" w:pos="1426"/>
              </w:tabs>
              <w:spacing w:after="0" w:line="240" w:lineRule="auto"/>
              <w:jc w:val="center"/>
              <w:rPr>
                <w:rFonts w:eastAsia="Times New Roman" w:cs="Times New Roman"/>
                <w:b/>
                <w:szCs w:val="24"/>
              </w:rPr>
            </w:pPr>
            <w:r w:rsidRPr="00E93FD0">
              <w:rPr>
                <w:rFonts w:eastAsia="Times New Roman" w:cs="Times New Roman"/>
                <w:b/>
                <w:szCs w:val="24"/>
              </w:rPr>
              <w:t>244</w:t>
            </w:r>
          </w:p>
        </w:tc>
      </w:tr>
      <w:tr w:rsidR="00E93FD0" w:rsidRPr="00E93FD0" w14:paraId="42F36672" w14:textId="77777777" w:rsidTr="0085386B">
        <w:trPr>
          <w:cantSplit/>
          <w:trHeight w:val="371"/>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FED4B" w14:textId="77777777" w:rsidR="00DA57B0" w:rsidRPr="00E93FD0" w:rsidRDefault="00DA57B0" w:rsidP="00490853">
            <w:pPr>
              <w:tabs>
                <w:tab w:val="left" w:pos="1426"/>
              </w:tabs>
              <w:spacing w:after="0" w:line="240" w:lineRule="auto"/>
              <w:ind w:firstLineChars="100" w:firstLine="220"/>
              <w:jc w:val="center"/>
              <w:rPr>
                <w:rFonts w:eastAsia="Times New Roman" w:cs="Times New Roman"/>
                <w:szCs w:val="24"/>
              </w:rPr>
            </w:pPr>
            <w:r w:rsidRPr="00E93FD0">
              <w:rPr>
                <w:rFonts w:eastAsia="Times New Roman" w:cs="Times New Roman"/>
                <w:szCs w:val="24"/>
              </w:rPr>
              <w:t>2024</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F0A8B" w14:textId="77777777" w:rsidR="00DA57B0" w:rsidRPr="00E93FD0" w:rsidRDefault="00DA57B0" w:rsidP="00490853">
            <w:pPr>
              <w:tabs>
                <w:tab w:val="left" w:pos="1426"/>
              </w:tabs>
              <w:spacing w:after="0" w:line="240" w:lineRule="auto"/>
              <w:jc w:val="center"/>
              <w:rPr>
                <w:rFonts w:eastAsia="Times New Roman" w:cs="Times New Roman"/>
                <w:szCs w:val="24"/>
              </w:rPr>
            </w:pPr>
            <w:r w:rsidRPr="00E93FD0">
              <w:rPr>
                <w:rFonts w:eastAsia="Times New Roman" w:cs="Times New Roman"/>
                <w:szCs w:val="24"/>
              </w:rPr>
              <w:t>75</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46E74" w14:textId="77777777" w:rsidR="00DA57B0" w:rsidRPr="00E93FD0" w:rsidRDefault="00DA57B0" w:rsidP="00490853">
            <w:pPr>
              <w:tabs>
                <w:tab w:val="left" w:pos="1426"/>
              </w:tabs>
              <w:spacing w:after="0" w:line="240" w:lineRule="auto"/>
              <w:jc w:val="center"/>
              <w:rPr>
                <w:rFonts w:eastAsia="Times New Roman" w:cs="Times New Roman"/>
                <w:szCs w:val="24"/>
              </w:rPr>
            </w:pPr>
            <w:r w:rsidRPr="00E93FD0">
              <w:rPr>
                <w:rFonts w:eastAsia="Times New Roman" w:cs="Times New Roman"/>
                <w:szCs w:val="24"/>
              </w:rPr>
              <w:t>132</w:t>
            </w:r>
          </w:p>
        </w:tc>
        <w:tc>
          <w:tcPr>
            <w:tcW w:w="1485"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027E50EE" w14:textId="77777777" w:rsidR="00DA57B0" w:rsidRPr="00E93FD0" w:rsidRDefault="00DA57B0" w:rsidP="00490853">
            <w:pPr>
              <w:tabs>
                <w:tab w:val="left" w:pos="1426"/>
              </w:tabs>
              <w:spacing w:after="0" w:line="240" w:lineRule="auto"/>
              <w:jc w:val="center"/>
              <w:rPr>
                <w:rFonts w:eastAsia="Times New Roman" w:cs="Times New Roman"/>
                <w:b/>
                <w:szCs w:val="24"/>
              </w:rPr>
            </w:pPr>
            <w:r w:rsidRPr="00E93FD0">
              <w:rPr>
                <w:rFonts w:eastAsia="Times New Roman" w:cs="Times New Roman"/>
                <w:b/>
                <w:szCs w:val="24"/>
              </w:rPr>
              <w:t>204</w:t>
            </w:r>
          </w:p>
        </w:tc>
      </w:tr>
    </w:tbl>
    <w:p w14:paraId="0EADEECC" w14:textId="77777777" w:rsidR="00DA57B0" w:rsidRPr="00E93FD0" w:rsidRDefault="00DA57B0" w:rsidP="00DA57B0">
      <w:pPr>
        <w:pStyle w:val="ListParagraph"/>
        <w:rPr>
          <w:rFonts w:ascii="Times New Roman" w:hAnsi="Times New Roman" w:cs="Times New Roman"/>
          <w:b/>
          <w:sz w:val="12"/>
          <w:szCs w:val="12"/>
        </w:rPr>
      </w:pPr>
    </w:p>
    <w:p w14:paraId="41AEC840" w14:textId="77777777" w:rsidR="00DA57B0" w:rsidRPr="00E93FD0" w:rsidRDefault="00DA57B0" w:rsidP="00DA57B0">
      <w:pPr>
        <w:pStyle w:val="ListParagraph"/>
        <w:numPr>
          <w:ilvl w:val="0"/>
          <w:numId w:val="4"/>
        </w:numPr>
        <w:spacing w:after="0" w:line="240" w:lineRule="auto"/>
        <w:rPr>
          <w:rFonts w:ascii="Times New Roman" w:hAnsi="Times New Roman" w:cs="Times New Roman"/>
          <w:b/>
          <w:bCs/>
          <w:sz w:val="24"/>
          <w:szCs w:val="24"/>
        </w:rPr>
      </w:pPr>
      <w:r w:rsidRPr="00E93FD0">
        <w:rPr>
          <w:rFonts w:ascii="Times New Roman" w:hAnsi="Times New Roman" w:cs="Times New Roman"/>
          <w:b/>
          <w:bCs/>
          <w:sz w:val="24"/>
          <w:szCs w:val="24"/>
        </w:rPr>
        <w:t>Age (collected at discharge)</w:t>
      </w:r>
    </w:p>
    <w:p w14:paraId="6945054E" w14:textId="77777777" w:rsidR="00DA57B0" w:rsidRPr="00E93FD0" w:rsidRDefault="00DA57B0" w:rsidP="00490853">
      <w:pPr>
        <w:pStyle w:val="ListParagraph"/>
        <w:spacing w:after="0"/>
        <w:rPr>
          <w:rFonts w:ascii="Times New Roman" w:hAnsi="Times New Roman" w:cs="Times New Roman"/>
          <w:sz w:val="12"/>
          <w:szCs w:val="12"/>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578"/>
        <w:gridCol w:w="1578"/>
        <w:gridCol w:w="1578"/>
        <w:gridCol w:w="1578"/>
        <w:gridCol w:w="1578"/>
      </w:tblGrid>
      <w:tr w:rsidR="00E93FD0" w:rsidRPr="00E93FD0" w14:paraId="21AF0198" w14:textId="77777777" w:rsidTr="0085386B">
        <w:trPr>
          <w:cantSplit/>
          <w:trHeight w:hRule="exact" w:val="403"/>
          <w:tblHeader/>
        </w:trPr>
        <w:tc>
          <w:tcPr>
            <w:tcW w:w="1576" w:type="dxa"/>
            <w:shd w:val="clear" w:color="auto" w:fill="D5DCE4" w:themeFill="text2" w:themeFillTint="33"/>
            <w:noWrap/>
            <w:vAlign w:val="center"/>
            <w:hideMark/>
          </w:tcPr>
          <w:p w14:paraId="17E97B2C" w14:textId="77777777" w:rsidR="00DA57B0" w:rsidRPr="00E93FD0" w:rsidRDefault="00DA57B0" w:rsidP="00490853">
            <w:pPr>
              <w:spacing w:after="0" w:line="240" w:lineRule="auto"/>
              <w:rPr>
                <w:rFonts w:eastAsia="Times New Roman" w:cs="Times New Roman"/>
                <w:b/>
                <w:bCs/>
                <w:szCs w:val="24"/>
              </w:rPr>
            </w:pPr>
            <w:r w:rsidRPr="00E93FD0">
              <w:rPr>
                <w:rFonts w:eastAsia="Times New Roman" w:cs="Times New Roman"/>
                <w:b/>
                <w:bCs/>
                <w:szCs w:val="24"/>
              </w:rPr>
              <w:t>Years (CY)</w:t>
            </w:r>
          </w:p>
        </w:tc>
        <w:tc>
          <w:tcPr>
            <w:tcW w:w="1578" w:type="dxa"/>
            <w:shd w:val="clear" w:color="auto" w:fill="D5DCE4" w:themeFill="text2" w:themeFillTint="33"/>
            <w:noWrap/>
            <w:vAlign w:val="center"/>
          </w:tcPr>
          <w:p w14:paraId="732707CB" w14:textId="77777777" w:rsidR="00DA57B0" w:rsidRPr="00E93FD0" w:rsidRDefault="00DA57B0" w:rsidP="00490853">
            <w:pPr>
              <w:spacing w:after="0" w:line="240" w:lineRule="auto"/>
              <w:jc w:val="center"/>
              <w:rPr>
                <w:rFonts w:eastAsia="Times New Roman" w:cs="Times New Roman"/>
                <w:b/>
                <w:bCs/>
                <w:szCs w:val="24"/>
              </w:rPr>
            </w:pPr>
            <w:r w:rsidRPr="00E93FD0">
              <w:rPr>
                <w:rFonts w:eastAsia="Times New Roman" w:cs="Times New Roman"/>
                <w:b/>
                <w:bCs/>
                <w:szCs w:val="24"/>
              </w:rPr>
              <w:t>2020</w:t>
            </w:r>
          </w:p>
        </w:tc>
        <w:tc>
          <w:tcPr>
            <w:tcW w:w="1578" w:type="dxa"/>
            <w:shd w:val="clear" w:color="auto" w:fill="D5DCE4" w:themeFill="text2" w:themeFillTint="33"/>
            <w:noWrap/>
            <w:vAlign w:val="center"/>
          </w:tcPr>
          <w:p w14:paraId="3B62FB85" w14:textId="77777777" w:rsidR="00DA57B0" w:rsidRPr="00E93FD0" w:rsidRDefault="00DA57B0" w:rsidP="00490853">
            <w:pPr>
              <w:spacing w:after="0" w:line="240" w:lineRule="auto"/>
              <w:jc w:val="center"/>
              <w:rPr>
                <w:rFonts w:eastAsia="Times New Roman" w:cs="Times New Roman"/>
                <w:b/>
                <w:bCs/>
                <w:szCs w:val="24"/>
              </w:rPr>
            </w:pPr>
            <w:r w:rsidRPr="00E93FD0">
              <w:rPr>
                <w:rFonts w:eastAsia="Times New Roman" w:cs="Times New Roman"/>
                <w:b/>
                <w:bCs/>
                <w:szCs w:val="24"/>
              </w:rPr>
              <w:t>2021</w:t>
            </w:r>
          </w:p>
        </w:tc>
        <w:tc>
          <w:tcPr>
            <w:tcW w:w="1578" w:type="dxa"/>
            <w:shd w:val="clear" w:color="auto" w:fill="D5DCE4" w:themeFill="text2" w:themeFillTint="33"/>
            <w:vAlign w:val="center"/>
          </w:tcPr>
          <w:p w14:paraId="5F57F20F" w14:textId="77777777" w:rsidR="00DA57B0" w:rsidRPr="00E93FD0" w:rsidRDefault="00DA57B0" w:rsidP="00490853">
            <w:pPr>
              <w:spacing w:after="0" w:line="240" w:lineRule="auto"/>
              <w:jc w:val="center"/>
              <w:rPr>
                <w:rFonts w:eastAsia="Times New Roman" w:cs="Times New Roman"/>
                <w:b/>
                <w:bCs/>
                <w:szCs w:val="24"/>
              </w:rPr>
            </w:pPr>
            <w:r w:rsidRPr="00E93FD0">
              <w:rPr>
                <w:rFonts w:eastAsia="Times New Roman" w:cs="Times New Roman"/>
                <w:b/>
                <w:bCs/>
                <w:szCs w:val="24"/>
              </w:rPr>
              <w:t>2022</w:t>
            </w:r>
          </w:p>
        </w:tc>
        <w:tc>
          <w:tcPr>
            <w:tcW w:w="1578" w:type="dxa"/>
            <w:shd w:val="clear" w:color="auto" w:fill="D5DCE4" w:themeFill="text2" w:themeFillTint="33"/>
            <w:vAlign w:val="center"/>
          </w:tcPr>
          <w:p w14:paraId="4BEE13FF" w14:textId="77777777" w:rsidR="00DA57B0" w:rsidRPr="00E93FD0" w:rsidRDefault="00DA57B0" w:rsidP="00490853">
            <w:pPr>
              <w:spacing w:after="0" w:line="240" w:lineRule="auto"/>
              <w:jc w:val="center"/>
              <w:rPr>
                <w:rFonts w:eastAsia="Times New Roman" w:cs="Times New Roman"/>
                <w:b/>
                <w:bCs/>
                <w:szCs w:val="24"/>
              </w:rPr>
            </w:pPr>
            <w:r w:rsidRPr="00E93FD0">
              <w:rPr>
                <w:rFonts w:eastAsia="Times New Roman" w:cs="Times New Roman"/>
                <w:b/>
                <w:bCs/>
                <w:szCs w:val="24"/>
              </w:rPr>
              <w:t>2023</w:t>
            </w:r>
          </w:p>
        </w:tc>
        <w:tc>
          <w:tcPr>
            <w:tcW w:w="1578" w:type="dxa"/>
            <w:shd w:val="clear" w:color="auto" w:fill="D5DCE4" w:themeFill="text2" w:themeFillTint="33"/>
            <w:vAlign w:val="center"/>
          </w:tcPr>
          <w:p w14:paraId="078202B8" w14:textId="77777777" w:rsidR="00DA57B0" w:rsidRPr="00E93FD0" w:rsidRDefault="00DA57B0" w:rsidP="00490853">
            <w:pPr>
              <w:spacing w:after="0" w:line="240" w:lineRule="auto"/>
              <w:jc w:val="center"/>
              <w:rPr>
                <w:rFonts w:eastAsia="Times New Roman" w:cs="Times New Roman"/>
                <w:b/>
                <w:bCs/>
                <w:szCs w:val="24"/>
              </w:rPr>
            </w:pPr>
            <w:r w:rsidRPr="00E93FD0">
              <w:rPr>
                <w:rFonts w:eastAsia="Times New Roman" w:cs="Times New Roman"/>
                <w:b/>
                <w:bCs/>
                <w:szCs w:val="24"/>
              </w:rPr>
              <w:t>2024</w:t>
            </w:r>
          </w:p>
        </w:tc>
      </w:tr>
      <w:tr w:rsidR="00E93FD0" w:rsidRPr="00E93FD0" w14:paraId="6E0C6A8E" w14:textId="77777777" w:rsidTr="0085386B">
        <w:trPr>
          <w:cantSplit/>
          <w:trHeight w:hRule="exact" w:val="403"/>
        </w:trPr>
        <w:tc>
          <w:tcPr>
            <w:tcW w:w="1576" w:type="dxa"/>
            <w:shd w:val="clear" w:color="auto" w:fill="auto"/>
            <w:noWrap/>
            <w:vAlign w:val="center"/>
          </w:tcPr>
          <w:p w14:paraId="51DCF943" w14:textId="77777777" w:rsidR="00DA57B0" w:rsidRPr="00E93FD0" w:rsidRDefault="00DA57B0" w:rsidP="00490853">
            <w:pPr>
              <w:spacing w:after="0" w:line="240" w:lineRule="auto"/>
              <w:rPr>
                <w:rFonts w:eastAsia="Times New Roman" w:cs="Times New Roman"/>
                <w:b/>
                <w:bCs/>
                <w:szCs w:val="24"/>
              </w:rPr>
            </w:pPr>
            <w:r w:rsidRPr="00E93FD0">
              <w:rPr>
                <w:rFonts w:eastAsia="Times New Roman" w:cs="Times New Roman"/>
                <w:b/>
                <w:bCs/>
                <w:szCs w:val="24"/>
              </w:rPr>
              <w:t>0 to 17</w:t>
            </w:r>
          </w:p>
        </w:tc>
        <w:tc>
          <w:tcPr>
            <w:tcW w:w="1578" w:type="dxa"/>
            <w:shd w:val="clear" w:color="auto" w:fill="auto"/>
            <w:noWrap/>
            <w:vAlign w:val="center"/>
          </w:tcPr>
          <w:p w14:paraId="25535F66" w14:textId="77777777" w:rsidR="00DA57B0" w:rsidRPr="00E93FD0" w:rsidRDefault="00DA57B0" w:rsidP="00490853">
            <w:pPr>
              <w:spacing w:after="0" w:line="240" w:lineRule="auto"/>
              <w:jc w:val="center"/>
              <w:rPr>
                <w:rFonts w:eastAsia="Times New Roman" w:cs="Times New Roman"/>
                <w:bCs/>
                <w:szCs w:val="24"/>
              </w:rPr>
            </w:pPr>
            <w:r w:rsidRPr="00E93FD0">
              <w:rPr>
                <w:rFonts w:eastAsia="Times New Roman" w:cs="Times New Roman"/>
                <w:bCs/>
                <w:szCs w:val="24"/>
              </w:rPr>
              <w:t>&lt;11</w:t>
            </w:r>
          </w:p>
        </w:tc>
        <w:tc>
          <w:tcPr>
            <w:tcW w:w="1578" w:type="dxa"/>
            <w:shd w:val="clear" w:color="auto" w:fill="auto"/>
            <w:noWrap/>
            <w:vAlign w:val="center"/>
          </w:tcPr>
          <w:p w14:paraId="0A7FA0A7" w14:textId="77777777" w:rsidR="00DA57B0" w:rsidRPr="00E93FD0" w:rsidRDefault="00DA57B0" w:rsidP="00490853">
            <w:pPr>
              <w:spacing w:after="0" w:line="240" w:lineRule="auto"/>
              <w:jc w:val="center"/>
              <w:rPr>
                <w:rFonts w:eastAsia="Times New Roman" w:cs="Times New Roman"/>
                <w:bCs/>
                <w:szCs w:val="24"/>
              </w:rPr>
            </w:pPr>
            <w:r w:rsidRPr="00E93FD0">
              <w:rPr>
                <w:rFonts w:eastAsia="Times New Roman" w:cs="Times New Roman"/>
                <w:bCs/>
                <w:szCs w:val="24"/>
              </w:rPr>
              <w:t>&lt;11</w:t>
            </w:r>
          </w:p>
        </w:tc>
        <w:tc>
          <w:tcPr>
            <w:tcW w:w="1578" w:type="dxa"/>
            <w:vAlign w:val="center"/>
          </w:tcPr>
          <w:p w14:paraId="5D42DCEA" w14:textId="77777777" w:rsidR="00DA57B0" w:rsidRPr="00E93FD0" w:rsidRDefault="00DA57B0" w:rsidP="00490853">
            <w:pPr>
              <w:spacing w:after="0" w:line="240" w:lineRule="auto"/>
              <w:jc w:val="center"/>
              <w:rPr>
                <w:rFonts w:eastAsia="Times New Roman" w:cs="Times New Roman"/>
                <w:bCs/>
                <w:szCs w:val="24"/>
              </w:rPr>
            </w:pPr>
            <w:r w:rsidRPr="00E93FD0">
              <w:rPr>
                <w:rFonts w:eastAsia="Times New Roman" w:cs="Times New Roman"/>
                <w:bCs/>
                <w:szCs w:val="24"/>
              </w:rPr>
              <w:t>&lt;11</w:t>
            </w:r>
          </w:p>
        </w:tc>
        <w:tc>
          <w:tcPr>
            <w:tcW w:w="1578" w:type="dxa"/>
            <w:vAlign w:val="center"/>
          </w:tcPr>
          <w:p w14:paraId="6921EA53" w14:textId="77777777" w:rsidR="00DA57B0" w:rsidRPr="00E93FD0" w:rsidRDefault="00DA57B0" w:rsidP="00490853">
            <w:pPr>
              <w:spacing w:after="0" w:line="240" w:lineRule="auto"/>
              <w:jc w:val="center"/>
              <w:rPr>
                <w:rFonts w:eastAsia="Times New Roman" w:cs="Times New Roman"/>
                <w:bCs/>
                <w:szCs w:val="24"/>
              </w:rPr>
            </w:pPr>
            <w:r w:rsidRPr="00E93FD0">
              <w:rPr>
                <w:rFonts w:eastAsia="Times New Roman" w:cs="Times New Roman"/>
                <w:bCs/>
                <w:szCs w:val="24"/>
              </w:rPr>
              <w:t>&lt;11</w:t>
            </w:r>
          </w:p>
        </w:tc>
        <w:tc>
          <w:tcPr>
            <w:tcW w:w="1578" w:type="dxa"/>
            <w:vAlign w:val="center"/>
          </w:tcPr>
          <w:p w14:paraId="656EFDD3" w14:textId="77777777" w:rsidR="00DA57B0" w:rsidRPr="00E93FD0" w:rsidRDefault="00DA57B0" w:rsidP="00490853">
            <w:pPr>
              <w:spacing w:after="0" w:line="240" w:lineRule="auto"/>
              <w:jc w:val="center"/>
              <w:rPr>
                <w:rFonts w:eastAsia="Times New Roman" w:cs="Times New Roman"/>
                <w:bCs/>
                <w:szCs w:val="24"/>
              </w:rPr>
            </w:pPr>
            <w:r w:rsidRPr="00E93FD0">
              <w:rPr>
                <w:rFonts w:cs="Times New Roman"/>
                <w:szCs w:val="24"/>
              </w:rPr>
              <w:t>&lt;11</w:t>
            </w:r>
          </w:p>
        </w:tc>
      </w:tr>
      <w:tr w:rsidR="00E93FD0" w:rsidRPr="00E93FD0" w14:paraId="0AE0A5AC" w14:textId="77777777" w:rsidTr="0085386B">
        <w:trPr>
          <w:cantSplit/>
          <w:trHeight w:hRule="exact" w:val="403"/>
        </w:trPr>
        <w:tc>
          <w:tcPr>
            <w:tcW w:w="1576" w:type="dxa"/>
            <w:shd w:val="clear" w:color="auto" w:fill="auto"/>
            <w:noWrap/>
            <w:vAlign w:val="center"/>
          </w:tcPr>
          <w:p w14:paraId="6D60C0CB" w14:textId="77777777" w:rsidR="00DA57B0" w:rsidRPr="00E93FD0" w:rsidRDefault="00DA57B0" w:rsidP="00490853">
            <w:pPr>
              <w:spacing w:after="0" w:line="240" w:lineRule="auto"/>
              <w:rPr>
                <w:rFonts w:eastAsia="Times New Roman" w:cs="Times New Roman"/>
                <w:b/>
                <w:bCs/>
                <w:szCs w:val="24"/>
              </w:rPr>
            </w:pPr>
            <w:r w:rsidRPr="00E93FD0">
              <w:rPr>
                <w:rFonts w:eastAsia="Times New Roman" w:cs="Times New Roman"/>
                <w:b/>
                <w:bCs/>
                <w:szCs w:val="24"/>
              </w:rPr>
              <w:t>18 to 64</w:t>
            </w:r>
          </w:p>
        </w:tc>
        <w:tc>
          <w:tcPr>
            <w:tcW w:w="1578" w:type="dxa"/>
            <w:shd w:val="clear" w:color="auto" w:fill="auto"/>
            <w:noWrap/>
            <w:vAlign w:val="center"/>
          </w:tcPr>
          <w:p w14:paraId="33D12BA6" w14:textId="77777777" w:rsidR="00DA57B0" w:rsidRPr="00E93FD0" w:rsidRDefault="00DA57B0" w:rsidP="00490853">
            <w:pPr>
              <w:spacing w:after="0" w:line="240" w:lineRule="auto"/>
              <w:jc w:val="center"/>
              <w:rPr>
                <w:rFonts w:eastAsia="Times New Roman" w:cs="Times New Roman"/>
                <w:szCs w:val="24"/>
              </w:rPr>
            </w:pPr>
            <w:r w:rsidRPr="00E93FD0">
              <w:rPr>
                <w:rFonts w:eastAsia="Times New Roman" w:cs="Times New Roman"/>
                <w:szCs w:val="24"/>
              </w:rPr>
              <w:t>194</w:t>
            </w:r>
          </w:p>
        </w:tc>
        <w:tc>
          <w:tcPr>
            <w:tcW w:w="1578" w:type="dxa"/>
            <w:shd w:val="clear" w:color="auto" w:fill="auto"/>
            <w:noWrap/>
            <w:vAlign w:val="center"/>
          </w:tcPr>
          <w:p w14:paraId="7A845B8A" w14:textId="77777777" w:rsidR="00DA57B0" w:rsidRPr="00E93FD0" w:rsidRDefault="00DA57B0" w:rsidP="00490853">
            <w:pPr>
              <w:spacing w:after="0" w:line="240" w:lineRule="auto"/>
              <w:jc w:val="center"/>
              <w:rPr>
                <w:rFonts w:eastAsia="Times New Roman" w:cs="Times New Roman"/>
                <w:szCs w:val="24"/>
              </w:rPr>
            </w:pPr>
            <w:r w:rsidRPr="00E93FD0">
              <w:rPr>
                <w:rFonts w:eastAsia="Times New Roman" w:cs="Times New Roman"/>
                <w:szCs w:val="24"/>
              </w:rPr>
              <w:t>156</w:t>
            </w:r>
          </w:p>
        </w:tc>
        <w:tc>
          <w:tcPr>
            <w:tcW w:w="1578" w:type="dxa"/>
            <w:vAlign w:val="center"/>
          </w:tcPr>
          <w:p w14:paraId="42B8ADFA" w14:textId="77777777" w:rsidR="00DA57B0" w:rsidRPr="00E93FD0" w:rsidRDefault="00DA57B0" w:rsidP="00490853">
            <w:pPr>
              <w:spacing w:after="0" w:line="240" w:lineRule="auto"/>
              <w:jc w:val="center"/>
              <w:rPr>
                <w:rFonts w:eastAsia="Times New Roman" w:cs="Times New Roman"/>
                <w:szCs w:val="24"/>
              </w:rPr>
            </w:pPr>
            <w:r w:rsidRPr="00E93FD0">
              <w:rPr>
                <w:rFonts w:eastAsia="Times New Roman" w:cs="Times New Roman"/>
                <w:szCs w:val="24"/>
              </w:rPr>
              <w:t>160</w:t>
            </w:r>
          </w:p>
        </w:tc>
        <w:tc>
          <w:tcPr>
            <w:tcW w:w="1578" w:type="dxa"/>
            <w:vAlign w:val="center"/>
          </w:tcPr>
          <w:p w14:paraId="41F71893" w14:textId="77777777" w:rsidR="00DA57B0" w:rsidRPr="00E93FD0" w:rsidRDefault="00DA57B0" w:rsidP="00490853">
            <w:pPr>
              <w:spacing w:after="0" w:line="240" w:lineRule="auto"/>
              <w:jc w:val="center"/>
              <w:rPr>
                <w:rFonts w:eastAsia="Times New Roman" w:cs="Times New Roman"/>
                <w:szCs w:val="24"/>
              </w:rPr>
            </w:pPr>
            <w:r w:rsidRPr="00E93FD0">
              <w:rPr>
                <w:rFonts w:eastAsia="Times New Roman" w:cs="Times New Roman"/>
                <w:szCs w:val="24"/>
              </w:rPr>
              <w:t>119</w:t>
            </w:r>
          </w:p>
        </w:tc>
        <w:tc>
          <w:tcPr>
            <w:tcW w:w="1578" w:type="dxa"/>
            <w:vAlign w:val="center"/>
          </w:tcPr>
          <w:p w14:paraId="4606B87E" w14:textId="77777777" w:rsidR="00DA57B0" w:rsidRPr="00E93FD0" w:rsidRDefault="00DA57B0" w:rsidP="00490853">
            <w:pPr>
              <w:spacing w:after="0" w:line="240" w:lineRule="auto"/>
              <w:jc w:val="center"/>
              <w:rPr>
                <w:rFonts w:eastAsia="Times New Roman" w:cs="Times New Roman"/>
                <w:szCs w:val="24"/>
              </w:rPr>
            </w:pPr>
            <w:r w:rsidRPr="00E93FD0">
              <w:rPr>
                <w:rFonts w:eastAsia="Times New Roman" w:cs="Times New Roman"/>
                <w:szCs w:val="24"/>
              </w:rPr>
              <w:t>120</w:t>
            </w:r>
          </w:p>
        </w:tc>
      </w:tr>
      <w:tr w:rsidR="00E93FD0" w:rsidRPr="00E93FD0" w14:paraId="05DD6771" w14:textId="77777777" w:rsidTr="0085386B">
        <w:trPr>
          <w:cantSplit/>
          <w:trHeight w:hRule="exact" w:val="403"/>
        </w:trPr>
        <w:tc>
          <w:tcPr>
            <w:tcW w:w="1576" w:type="dxa"/>
            <w:shd w:val="clear" w:color="auto" w:fill="auto"/>
            <w:noWrap/>
            <w:vAlign w:val="center"/>
          </w:tcPr>
          <w:p w14:paraId="6740808A" w14:textId="77777777" w:rsidR="00DA57B0" w:rsidRPr="00E93FD0" w:rsidRDefault="00DA57B0" w:rsidP="00490853">
            <w:pPr>
              <w:spacing w:after="0" w:line="240" w:lineRule="auto"/>
              <w:rPr>
                <w:rFonts w:eastAsia="Times New Roman" w:cs="Times New Roman"/>
                <w:b/>
                <w:bCs/>
                <w:szCs w:val="24"/>
              </w:rPr>
            </w:pPr>
            <w:r w:rsidRPr="00E93FD0">
              <w:rPr>
                <w:rFonts w:eastAsia="Times New Roman" w:cs="Times New Roman"/>
                <w:b/>
                <w:bCs/>
                <w:szCs w:val="24"/>
              </w:rPr>
              <w:t>65+</w:t>
            </w:r>
          </w:p>
        </w:tc>
        <w:tc>
          <w:tcPr>
            <w:tcW w:w="1578" w:type="dxa"/>
            <w:shd w:val="clear" w:color="auto" w:fill="auto"/>
            <w:noWrap/>
            <w:vAlign w:val="center"/>
          </w:tcPr>
          <w:p w14:paraId="30900BCB" w14:textId="77777777" w:rsidR="00DA57B0" w:rsidRPr="00E93FD0" w:rsidRDefault="00DA57B0" w:rsidP="00490853">
            <w:pPr>
              <w:spacing w:after="0" w:line="240" w:lineRule="auto"/>
              <w:jc w:val="center"/>
              <w:rPr>
                <w:rFonts w:eastAsia="Times New Roman" w:cs="Times New Roman"/>
                <w:szCs w:val="24"/>
              </w:rPr>
            </w:pPr>
            <w:r w:rsidRPr="00E93FD0">
              <w:rPr>
                <w:rFonts w:eastAsia="Times New Roman" w:cs="Times New Roman"/>
                <w:szCs w:val="24"/>
              </w:rPr>
              <w:t>144</w:t>
            </w:r>
          </w:p>
        </w:tc>
        <w:tc>
          <w:tcPr>
            <w:tcW w:w="1578" w:type="dxa"/>
            <w:shd w:val="clear" w:color="auto" w:fill="auto"/>
            <w:noWrap/>
            <w:vAlign w:val="center"/>
          </w:tcPr>
          <w:p w14:paraId="21214689" w14:textId="77777777" w:rsidR="00DA57B0" w:rsidRPr="00E93FD0" w:rsidRDefault="00DA57B0" w:rsidP="00490853">
            <w:pPr>
              <w:spacing w:after="0" w:line="240" w:lineRule="auto"/>
              <w:jc w:val="center"/>
              <w:rPr>
                <w:rFonts w:eastAsia="Times New Roman" w:cs="Times New Roman"/>
                <w:szCs w:val="24"/>
              </w:rPr>
            </w:pPr>
            <w:r w:rsidRPr="00E93FD0">
              <w:rPr>
                <w:rFonts w:eastAsia="Times New Roman" w:cs="Times New Roman"/>
                <w:szCs w:val="24"/>
              </w:rPr>
              <w:t>141</w:t>
            </w:r>
          </w:p>
        </w:tc>
        <w:tc>
          <w:tcPr>
            <w:tcW w:w="1578" w:type="dxa"/>
            <w:vAlign w:val="center"/>
          </w:tcPr>
          <w:p w14:paraId="149BBCCE" w14:textId="77777777" w:rsidR="00DA57B0" w:rsidRPr="00E93FD0" w:rsidRDefault="00DA57B0" w:rsidP="00490853">
            <w:pPr>
              <w:spacing w:after="0" w:line="240" w:lineRule="auto"/>
              <w:jc w:val="center"/>
              <w:rPr>
                <w:rFonts w:eastAsia="Times New Roman" w:cs="Times New Roman"/>
                <w:szCs w:val="24"/>
              </w:rPr>
            </w:pPr>
            <w:r w:rsidRPr="00E93FD0">
              <w:rPr>
                <w:rFonts w:eastAsia="Times New Roman" w:cs="Times New Roman"/>
                <w:szCs w:val="24"/>
              </w:rPr>
              <w:t>132</w:t>
            </w:r>
          </w:p>
        </w:tc>
        <w:tc>
          <w:tcPr>
            <w:tcW w:w="1578" w:type="dxa"/>
            <w:vAlign w:val="center"/>
          </w:tcPr>
          <w:p w14:paraId="35A6E5CE" w14:textId="77777777" w:rsidR="00DA57B0" w:rsidRPr="00E93FD0" w:rsidRDefault="00DA57B0" w:rsidP="00490853">
            <w:pPr>
              <w:spacing w:after="0" w:line="240" w:lineRule="auto"/>
              <w:jc w:val="center"/>
              <w:rPr>
                <w:rFonts w:eastAsia="Times New Roman" w:cs="Times New Roman"/>
                <w:szCs w:val="24"/>
              </w:rPr>
            </w:pPr>
            <w:r w:rsidRPr="00E93FD0">
              <w:rPr>
                <w:rFonts w:eastAsia="Times New Roman" w:cs="Times New Roman"/>
                <w:szCs w:val="24"/>
              </w:rPr>
              <w:t>125</w:t>
            </w:r>
          </w:p>
        </w:tc>
        <w:tc>
          <w:tcPr>
            <w:tcW w:w="1578" w:type="dxa"/>
            <w:vAlign w:val="center"/>
          </w:tcPr>
          <w:p w14:paraId="292B86C1" w14:textId="77777777" w:rsidR="00DA57B0" w:rsidRPr="00E93FD0" w:rsidRDefault="00DA57B0" w:rsidP="00490853">
            <w:pPr>
              <w:spacing w:after="0" w:line="240" w:lineRule="auto"/>
              <w:jc w:val="center"/>
              <w:rPr>
                <w:rFonts w:eastAsia="Times New Roman" w:cs="Times New Roman"/>
                <w:szCs w:val="24"/>
              </w:rPr>
            </w:pPr>
            <w:r w:rsidRPr="00E93FD0">
              <w:rPr>
                <w:rFonts w:eastAsia="Times New Roman" w:cs="Times New Roman"/>
                <w:szCs w:val="24"/>
              </w:rPr>
              <w:t>84</w:t>
            </w:r>
          </w:p>
        </w:tc>
      </w:tr>
      <w:tr w:rsidR="00E93FD0" w:rsidRPr="00E93FD0" w14:paraId="6F666861" w14:textId="77777777" w:rsidTr="0085386B">
        <w:trPr>
          <w:cantSplit/>
          <w:trHeight w:hRule="exact" w:val="403"/>
        </w:trPr>
        <w:tc>
          <w:tcPr>
            <w:tcW w:w="1576" w:type="dxa"/>
            <w:shd w:val="clear" w:color="auto" w:fill="D5DCE4" w:themeFill="text2" w:themeFillTint="33"/>
            <w:noWrap/>
            <w:vAlign w:val="center"/>
          </w:tcPr>
          <w:p w14:paraId="19D61EEA" w14:textId="77777777" w:rsidR="00DA57B0" w:rsidRPr="00E93FD0" w:rsidRDefault="00DA57B0" w:rsidP="00490853">
            <w:pPr>
              <w:spacing w:after="0" w:line="240" w:lineRule="auto"/>
              <w:rPr>
                <w:rFonts w:eastAsia="Times New Roman" w:cs="Times New Roman"/>
                <w:b/>
                <w:bCs/>
                <w:szCs w:val="24"/>
              </w:rPr>
            </w:pPr>
            <w:r w:rsidRPr="00E93FD0">
              <w:rPr>
                <w:rFonts w:eastAsia="Times New Roman" w:cs="Times New Roman"/>
                <w:b/>
                <w:bCs/>
                <w:szCs w:val="24"/>
              </w:rPr>
              <w:t>Grand Total</w:t>
            </w:r>
          </w:p>
        </w:tc>
        <w:tc>
          <w:tcPr>
            <w:tcW w:w="1578" w:type="dxa"/>
            <w:shd w:val="clear" w:color="auto" w:fill="D5DCE4" w:themeFill="text2" w:themeFillTint="33"/>
            <w:noWrap/>
            <w:vAlign w:val="center"/>
          </w:tcPr>
          <w:p w14:paraId="466CA7B6" w14:textId="77777777" w:rsidR="00DA57B0" w:rsidRPr="00E93FD0" w:rsidRDefault="00DA57B0" w:rsidP="00490853">
            <w:pPr>
              <w:spacing w:after="0" w:line="240" w:lineRule="auto"/>
              <w:jc w:val="center"/>
              <w:rPr>
                <w:rFonts w:eastAsia="Times New Roman" w:cs="Times New Roman"/>
                <w:b/>
                <w:szCs w:val="24"/>
              </w:rPr>
            </w:pPr>
            <w:r w:rsidRPr="00E93FD0">
              <w:rPr>
                <w:rFonts w:eastAsia="Times New Roman" w:cs="Times New Roman"/>
                <w:b/>
                <w:szCs w:val="24"/>
              </w:rPr>
              <w:t>338</w:t>
            </w:r>
          </w:p>
        </w:tc>
        <w:tc>
          <w:tcPr>
            <w:tcW w:w="1578" w:type="dxa"/>
            <w:shd w:val="clear" w:color="auto" w:fill="D5DCE4" w:themeFill="text2" w:themeFillTint="33"/>
            <w:noWrap/>
            <w:vAlign w:val="center"/>
          </w:tcPr>
          <w:p w14:paraId="516ACD81" w14:textId="77777777" w:rsidR="00DA57B0" w:rsidRPr="00E93FD0" w:rsidRDefault="00DA57B0" w:rsidP="00490853">
            <w:pPr>
              <w:spacing w:after="0" w:line="240" w:lineRule="auto"/>
              <w:jc w:val="center"/>
              <w:rPr>
                <w:rFonts w:eastAsia="Times New Roman" w:cs="Times New Roman"/>
                <w:b/>
                <w:szCs w:val="24"/>
              </w:rPr>
            </w:pPr>
            <w:r w:rsidRPr="00E93FD0">
              <w:rPr>
                <w:rFonts w:eastAsia="Times New Roman" w:cs="Times New Roman"/>
                <w:b/>
                <w:szCs w:val="24"/>
              </w:rPr>
              <w:t>297</w:t>
            </w:r>
          </w:p>
        </w:tc>
        <w:tc>
          <w:tcPr>
            <w:tcW w:w="1578" w:type="dxa"/>
            <w:shd w:val="clear" w:color="auto" w:fill="D5DCE4" w:themeFill="text2" w:themeFillTint="33"/>
            <w:vAlign w:val="center"/>
          </w:tcPr>
          <w:p w14:paraId="095AA648" w14:textId="77777777" w:rsidR="00DA57B0" w:rsidRPr="00E93FD0" w:rsidRDefault="00DA57B0" w:rsidP="00490853">
            <w:pPr>
              <w:spacing w:after="0" w:line="240" w:lineRule="auto"/>
              <w:jc w:val="center"/>
              <w:rPr>
                <w:rFonts w:eastAsia="Times New Roman" w:cs="Times New Roman"/>
                <w:b/>
                <w:szCs w:val="24"/>
              </w:rPr>
            </w:pPr>
            <w:r w:rsidRPr="00E93FD0">
              <w:rPr>
                <w:rFonts w:eastAsia="Times New Roman" w:cs="Times New Roman"/>
                <w:b/>
                <w:szCs w:val="24"/>
              </w:rPr>
              <w:t>292</w:t>
            </w:r>
          </w:p>
        </w:tc>
        <w:tc>
          <w:tcPr>
            <w:tcW w:w="1578" w:type="dxa"/>
            <w:shd w:val="clear" w:color="auto" w:fill="D5DCE4" w:themeFill="text2" w:themeFillTint="33"/>
            <w:vAlign w:val="center"/>
          </w:tcPr>
          <w:p w14:paraId="75A9D884" w14:textId="77777777" w:rsidR="00DA57B0" w:rsidRPr="00E93FD0" w:rsidRDefault="00DA57B0" w:rsidP="00490853">
            <w:pPr>
              <w:spacing w:after="0" w:line="240" w:lineRule="auto"/>
              <w:jc w:val="center"/>
              <w:rPr>
                <w:rFonts w:eastAsia="Times New Roman" w:cs="Times New Roman"/>
                <w:b/>
                <w:szCs w:val="24"/>
              </w:rPr>
            </w:pPr>
            <w:r w:rsidRPr="00E93FD0">
              <w:rPr>
                <w:rFonts w:eastAsia="Times New Roman" w:cs="Times New Roman"/>
                <w:b/>
                <w:szCs w:val="24"/>
              </w:rPr>
              <w:t>244</w:t>
            </w:r>
          </w:p>
        </w:tc>
        <w:tc>
          <w:tcPr>
            <w:tcW w:w="1578" w:type="dxa"/>
            <w:shd w:val="clear" w:color="auto" w:fill="D5DCE4" w:themeFill="text2" w:themeFillTint="33"/>
            <w:vAlign w:val="center"/>
          </w:tcPr>
          <w:p w14:paraId="42A92E6A" w14:textId="77777777" w:rsidR="00DA57B0" w:rsidRPr="00E93FD0" w:rsidRDefault="00DA57B0" w:rsidP="00490853">
            <w:pPr>
              <w:spacing w:after="0" w:line="240" w:lineRule="auto"/>
              <w:jc w:val="center"/>
              <w:rPr>
                <w:rFonts w:eastAsia="Times New Roman" w:cs="Times New Roman"/>
                <w:b/>
                <w:szCs w:val="24"/>
              </w:rPr>
            </w:pPr>
            <w:r w:rsidRPr="00E93FD0">
              <w:rPr>
                <w:rFonts w:eastAsia="Times New Roman" w:cs="Times New Roman"/>
                <w:b/>
                <w:szCs w:val="24"/>
              </w:rPr>
              <w:t>204</w:t>
            </w:r>
          </w:p>
        </w:tc>
      </w:tr>
    </w:tbl>
    <w:p w14:paraId="37EB700D" w14:textId="77777777" w:rsidR="00DA57B0" w:rsidRPr="00E93FD0" w:rsidRDefault="00DA57B0" w:rsidP="00490853">
      <w:pPr>
        <w:spacing w:after="0"/>
        <w:rPr>
          <w:sz w:val="12"/>
          <w:szCs w:val="12"/>
        </w:rPr>
      </w:pPr>
    </w:p>
    <w:p w14:paraId="7DF67630" w14:textId="77777777" w:rsidR="00965FCC" w:rsidRPr="00E93FD0" w:rsidRDefault="00965FCC" w:rsidP="00965FCC">
      <w:pPr>
        <w:pStyle w:val="ListParagraph"/>
        <w:numPr>
          <w:ilvl w:val="0"/>
          <w:numId w:val="5"/>
        </w:numPr>
        <w:spacing w:after="0" w:line="240" w:lineRule="auto"/>
        <w:rPr>
          <w:rFonts w:ascii="Times New Roman" w:hAnsi="Times New Roman" w:cs="Times New Roman"/>
          <w:b/>
          <w:bCs/>
          <w:sz w:val="24"/>
          <w:szCs w:val="24"/>
        </w:rPr>
      </w:pPr>
      <w:r w:rsidRPr="00E93FD0">
        <w:rPr>
          <w:rFonts w:ascii="Times New Roman" w:hAnsi="Times New Roman" w:cs="Times New Roman"/>
          <w:b/>
          <w:bCs/>
          <w:sz w:val="24"/>
          <w:szCs w:val="24"/>
        </w:rPr>
        <w:t>Patient Origin</w:t>
      </w:r>
    </w:p>
    <w:p w14:paraId="7320FFE7" w14:textId="77777777" w:rsidR="00965FCC" w:rsidRPr="00E93FD0" w:rsidRDefault="00965FCC" w:rsidP="00490853">
      <w:pPr>
        <w:pStyle w:val="ListParagraph"/>
        <w:spacing w:after="0"/>
        <w:rPr>
          <w:rFonts w:ascii="Times New Roman" w:hAnsi="Times New Roman" w:cs="Times New Roman"/>
          <w:sz w:val="12"/>
          <w:szCs w:val="12"/>
        </w:rPr>
      </w:pPr>
    </w:p>
    <w:tbl>
      <w:tblPr>
        <w:tblStyle w:val="ListTable3-Accent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91"/>
        <w:gridCol w:w="1625"/>
        <w:gridCol w:w="1624"/>
        <w:gridCol w:w="1542"/>
        <w:gridCol w:w="1348"/>
        <w:gridCol w:w="1230"/>
      </w:tblGrid>
      <w:tr w:rsidR="00E93FD0" w:rsidRPr="00E93FD0" w14:paraId="46193B11" w14:textId="77777777" w:rsidTr="0085386B">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991" w:type="dxa"/>
            <w:shd w:val="clear" w:color="auto" w:fill="8EAADB" w:themeFill="accent1" w:themeFillTint="99"/>
          </w:tcPr>
          <w:p w14:paraId="5406337C" w14:textId="77777777" w:rsidR="00965FCC" w:rsidRPr="00E93FD0" w:rsidRDefault="00965FCC" w:rsidP="003F500D">
            <w:pPr>
              <w:rPr>
                <w:rFonts w:asciiTheme="minorHAnsi" w:hAnsiTheme="minorHAnsi" w:cstheme="minorHAnsi"/>
                <w:color w:val="auto"/>
                <w:szCs w:val="24"/>
              </w:rPr>
            </w:pPr>
            <w:r w:rsidRPr="00E93FD0">
              <w:rPr>
                <w:rFonts w:asciiTheme="minorHAnsi" w:hAnsiTheme="minorHAnsi" w:cstheme="minorHAnsi"/>
                <w:color w:val="auto"/>
                <w:szCs w:val="24"/>
              </w:rPr>
              <w:t>County</w:t>
            </w:r>
          </w:p>
        </w:tc>
        <w:tc>
          <w:tcPr>
            <w:tcW w:w="1625" w:type="dxa"/>
            <w:shd w:val="clear" w:color="auto" w:fill="8EAADB" w:themeFill="accent1" w:themeFillTint="99"/>
          </w:tcPr>
          <w:p w14:paraId="0CF1EB8D" w14:textId="77777777" w:rsidR="00965FCC" w:rsidRPr="00E93FD0" w:rsidRDefault="00965FCC" w:rsidP="003F500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Cs w:val="24"/>
              </w:rPr>
            </w:pPr>
            <w:r w:rsidRPr="00E93FD0">
              <w:rPr>
                <w:rFonts w:asciiTheme="minorHAnsi" w:hAnsiTheme="minorHAnsi" w:cstheme="minorHAnsi"/>
                <w:color w:val="auto"/>
                <w:szCs w:val="24"/>
              </w:rPr>
              <w:t>2020</w:t>
            </w:r>
          </w:p>
        </w:tc>
        <w:tc>
          <w:tcPr>
            <w:tcW w:w="1624" w:type="dxa"/>
            <w:shd w:val="clear" w:color="auto" w:fill="8EAADB" w:themeFill="accent1" w:themeFillTint="99"/>
          </w:tcPr>
          <w:p w14:paraId="37E628FC" w14:textId="77777777" w:rsidR="00965FCC" w:rsidRPr="00E93FD0" w:rsidRDefault="00965FCC" w:rsidP="003F500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Cs w:val="24"/>
              </w:rPr>
            </w:pPr>
            <w:r w:rsidRPr="00E93FD0">
              <w:rPr>
                <w:rFonts w:asciiTheme="minorHAnsi" w:hAnsiTheme="minorHAnsi" w:cstheme="minorHAnsi"/>
                <w:color w:val="auto"/>
                <w:szCs w:val="24"/>
              </w:rPr>
              <w:t>2021</w:t>
            </w:r>
          </w:p>
        </w:tc>
        <w:tc>
          <w:tcPr>
            <w:tcW w:w="1542" w:type="dxa"/>
            <w:shd w:val="clear" w:color="auto" w:fill="8EAADB" w:themeFill="accent1" w:themeFillTint="99"/>
          </w:tcPr>
          <w:p w14:paraId="13BF1E32" w14:textId="77777777" w:rsidR="00965FCC" w:rsidRPr="00E93FD0" w:rsidRDefault="00965FCC" w:rsidP="003F500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Cs w:val="24"/>
              </w:rPr>
            </w:pPr>
            <w:r w:rsidRPr="00E93FD0">
              <w:rPr>
                <w:rFonts w:asciiTheme="minorHAnsi" w:hAnsiTheme="minorHAnsi" w:cstheme="minorHAnsi"/>
                <w:color w:val="auto"/>
                <w:szCs w:val="24"/>
              </w:rPr>
              <w:t>2022</w:t>
            </w:r>
          </w:p>
        </w:tc>
        <w:tc>
          <w:tcPr>
            <w:tcW w:w="1348" w:type="dxa"/>
            <w:shd w:val="clear" w:color="auto" w:fill="8EAADB" w:themeFill="accent1" w:themeFillTint="99"/>
          </w:tcPr>
          <w:p w14:paraId="25F6250E" w14:textId="77777777" w:rsidR="00965FCC" w:rsidRPr="00E93FD0" w:rsidRDefault="00965FCC" w:rsidP="003F500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Cs w:val="24"/>
              </w:rPr>
            </w:pPr>
            <w:r w:rsidRPr="00E93FD0">
              <w:rPr>
                <w:rFonts w:asciiTheme="minorHAnsi" w:hAnsiTheme="minorHAnsi" w:cstheme="minorHAnsi"/>
                <w:color w:val="auto"/>
                <w:szCs w:val="24"/>
              </w:rPr>
              <w:t>2023</w:t>
            </w:r>
          </w:p>
        </w:tc>
        <w:tc>
          <w:tcPr>
            <w:tcW w:w="1230" w:type="dxa"/>
            <w:shd w:val="clear" w:color="auto" w:fill="8EAADB" w:themeFill="accent1" w:themeFillTint="99"/>
          </w:tcPr>
          <w:p w14:paraId="6EF84919" w14:textId="77777777" w:rsidR="00965FCC" w:rsidRPr="00E93FD0" w:rsidRDefault="00965FCC" w:rsidP="003F500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Cs w:val="24"/>
              </w:rPr>
            </w:pPr>
            <w:r w:rsidRPr="00E93FD0">
              <w:rPr>
                <w:rFonts w:asciiTheme="minorHAnsi" w:hAnsiTheme="minorHAnsi" w:cstheme="minorHAnsi"/>
                <w:color w:val="auto"/>
                <w:szCs w:val="24"/>
              </w:rPr>
              <w:t>2024</w:t>
            </w:r>
          </w:p>
        </w:tc>
      </w:tr>
      <w:tr w:rsidR="00E93FD0" w:rsidRPr="00E93FD0" w14:paraId="2B0D3901" w14:textId="77777777" w:rsidTr="008538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91" w:type="dxa"/>
          </w:tcPr>
          <w:p w14:paraId="50FBE619" w14:textId="77777777" w:rsidR="00965FCC" w:rsidRPr="00E93FD0" w:rsidRDefault="00965FCC" w:rsidP="003F500D">
            <w:pPr>
              <w:rPr>
                <w:rFonts w:asciiTheme="minorHAnsi" w:hAnsiTheme="minorHAnsi" w:cstheme="minorHAnsi"/>
                <w:b w:val="0"/>
                <w:bCs w:val="0"/>
              </w:rPr>
            </w:pPr>
            <w:r w:rsidRPr="00E93FD0">
              <w:rPr>
                <w:rFonts w:asciiTheme="minorHAnsi" w:hAnsiTheme="minorHAnsi" w:cstheme="minorHAnsi"/>
              </w:rPr>
              <w:t>Worcester, MA</w:t>
            </w:r>
          </w:p>
        </w:tc>
        <w:tc>
          <w:tcPr>
            <w:tcW w:w="1625" w:type="dxa"/>
          </w:tcPr>
          <w:p w14:paraId="6AB72EA3"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177</w:t>
            </w:r>
          </w:p>
        </w:tc>
        <w:tc>
          <w:tcPr>
            <w:tcW w:w="1624" w:type="dxa"/>
          </w:tcPr>
          <w:p w14:paraId="10851017"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145</w:t>
            </w:r>
          </w:p>
        </w:tc>
        <w:tc>
          <w:tcPr>
            <w:tcW w:w="1542" w:type="dxa"/>
          </w:tcPr>
          <w:p w14:paraId="5BC6F2E8"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155</w:t>
            </w:r>
          </w:p>
        </w:tc>
        <w:tc>
          <w:tcPr>
            <w:tcW w:w="1348" w:type="dxa"/>
          </w:tcPr>
          <w:p w14:paraId="7A61A317"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141</w:t>
            </w:r>
          </w:p>
        </w:tc>
        <w:tc>
          <w:tcPr>
            <w:tcW w:w="1230" w:type="dxa"/>
          </w:tcPr>
          <w:p w14:paraId="0EBAB061"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90</w:t>
            </w:r>
          </w:p>
        </w:tc>
      </w:tr>
      <w:tr w:rsidR="00E93FD0" w:rsidRPr="00E93FD0" w14:paraId="3361D88D" w14:textId="77777777" w:rsidTr="0085386B">
        <w:trPr>
          <w:cantSplit/>
        </w:trPr>
        <w:tc>
          <w:tcPr>
            <w:cnfStyle w:val="001000000000" w:firstRow="0" w:lastRow="0" w:firstColumn="1" w:lastColumn="0" w:oddVBand="0" w:evenVBand="0" w:oddHBand="0" w:evenHBand="0" w:firstRowFirstColumn="0" w:firstRowLastColumn="0" w:lastRowFirstColumn="0" w:lastRowLastColumn="0"/>
            <w:tcW w:w="1991" w:type="dxa"/>
          </w:tcPr>
          <w:p w14:paraId="3550A4F2" w14:textId="77777777" w:rsidR="00965FCC" w:rsidRPr="00E93FD0" w:rsidRDefault="00965FCC" w:rsidP="003F500D">
            <w:pPr>
              <w:rPr>
                <w:rFonts w:asciiTheme="minorHAnsi" w:hAnsiTheme="minorHAnsi" w:cstheme="minorHAnsi"/>
                <w:b w:val="0"/>
                <w:bCs w:val="0"/>
              </w:rPr>
            </w:pPr>
            <w:r w:rsidRPr="00E93FD0">
              <w:rPr>
                <w:rFonts w:asciiTheme="minorHAnsi" w:hAnsiTheme="minorHAnsi" w:cstheme="minorHAnsi"/>
              </w:rPr>
              <w:t>Hampden, MA</w:t>
            </w:r>
          </w:p>
        </w:tc>
        <w:tc>
          <w:tcPr>
            <w:tcW w:w="1625" w:type="dxa"/>
          </w:tcPr>
          <w:p w14:paraId="71D499A0"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74</w:t>
            </w:r>
          </w:p>
        </w:tc>
        <w:tc>
          <w:tcPr>
            <w:tcW w:w="1624" w:type="dxa"/>
          </w:tcPr>
          <w:p w14:paraId="0416746F"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52</w:t>
            </w:r>
          </w:p>
        </w:tc>
        <w:tc>
          <w:tcPr>
            <w:tcW w:w="1542" w:type="dxa"/>
          </w:tcPr>
          <w:p w14:paraId="6C7D699D"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70</w:t>
            </w:r>
          </w:p>
        </w:tc>
        <w:tc>
          <w:tcPr>
            <w:tcW w:w="1348" w:type="dxa"/>
          </w:tcPr>
          <w:p w14:paraId="22499B15"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56</w:t>
            </w:r>
          </w:p>
        </w:tc>
        <w:tc>
          <w:tcPr>
            <w:tcW w:w="1230" w:type="dxa"/>
          </w:tcPr>
          <w:p w14:paraId="7CCF2F98"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63</w:t>
            </w:r>
          </w:p>
        </w:tc>
      </w:tr>
      <w:tr w:rsidR="00E93FD0" w:rsidRPr="00E93FD0" w14:paraId="6702E95D" w14:textId="77777777" w:rsidTr="008538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91" w:type="dxa"/>
          </w:tcPr>
          <w:p w14:paraId="4BBD564A" w14:textId="77777777" w:rsidR="00965FCC" w:rsidRPr="00E93FD0" w:rsidRDefault="00965FCC" w:rsidP="003F500D">
            <w:pPr>
              <w:rPr>
                <w:rFonts w:asciiTheme="minorHAnsi" w:hAnsiTheme="minorHAnsi" w:cstheme="minorHAnsi"/>
                <w:b w:val="0"/>
                <w:bCs w:val="0"/>
              </w:rPr>
            </w:pPr>
            <w:r w:rsidRPr="00E93FD0">
              <w:rPr>
                <w:rFonts w:asciiTheme="minorHAnsi" w:hAnsiTheme="minorHAnsi" w:cstheme="minorHAnsi"/>
              </w:rPr>
              <w:t>Middlesex, MA</w:t>
            </w:r>
          </w:p>
        </w:tc>
        <w:tc>
          <w:tcPr>
            <w:tcW w:w="1625" w:type="dxa"/>
          </w:tcPr>
          <w:p w14:paraId="39A43025"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44</w:t>
            </w:r>
          </w:p>
        </w:tc>
        <w:tc>
          <w:tcPr>
            <w:tcW w:w="1624" w:type="dxa"/>
          </w:tcPr>
          <w:p w14:paraId="6AD7DE6B"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32</w:t>
            </w:r>
          </w:p>
        </w:tc>
        <w:tc>
          <w:tcPr>
            <w:tcW w:w="1542" w:type="dxa"/>
          </w:tcPr>
          <w:p w14:paraId="767CAD0C"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28</w:t>
            </w:r>
          </w:p>
        </w:tc>
        <w:tc>
          <w:tcPr>
            <w:tcW w:w="1348" w:type="dxa"/>
          </w:tcPr>
          <w:p w14:paraId="2807A111"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19</w:t>
            </w:r>
          </w:p>
        </w:tc>
        <w:tc>
          <w:tcPr>
            <w:tcW w:w="1230" w:type="dxa"/>
          </w:tcPr>
          <w:p w14:paraId="47BADED2"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16</w:t>
            </w:r>
          </w:p>
        </w:tc>
      </w:tr>
      <w:tr w:rsidR="00E93FD0" w:rsidRPr="00E93FD0" w14:paraId="4E338522" w14:textId="77777777" w:rsidTr="0085386B">
        <w:trPr>
          <w:cantSplit/>
        </w:trPr>
        <w:tc>
          <w:tcPr>
            <w:cnfStyle w:val="001000000000" w:firstRow="0" w:lastRow="0" w:firstColumn="1" w:lastColumn="0" w:oddVBand="0" w:evenVBand="0" w:oddHBand="0" w:evenHBand="0" w:firstRowFirstColumn="0" w:firstRowLastColumn="0" w:lastRowFirstColumn="0" w:lastRowLastColumn="0"/>
            <w:tcW w:w="1991" w:type="dxa"/>
          </w:tcPr>
          <w:p w14:paraId="75BF9522" w14:textId="77777777" w:rsidR="00965FCC" w:rsidRPr="00E93FD0" w:rsidRDefault="00965FCC" w:rsidP="003F500D">
            <w:pPr>
              <w:rPr>
                <w:rFonts w:asciiTheme="minorHAnsi" w:hAnsiTheme="minorHAnsi" w:cstheme="minorHAnsi"/>
                <w:b w:val="0"/>
                <w:bCs w:val="0"/>
              </w:rPr>
            </w:pPr>
            <w:r w:rsidRPr="00E93FD0">
              <w:rPr>
                <w:rFonts w:asciiTheme="minorHAnsi" w:hAnsiTheme="minorHAnsi" w:cstheme="minorHAnsi"/>
              </w:rPr>
              <w:t>Hampshire, MA</w:t>
            </w:r>
          </w:p>
        </w:tc>
        <w:tc>
          <w:tcPr>
            <w:tcW w:w="1625" w:type="dxa"/>
          </w:tcPr>
          <w:p w14:paraId="51C93F53"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20</w:t>
            </w:r>
          </w:p>
        </w:tc>
        <w:tc>
          <w:tcPr>
            <w:tcW w:w="1624" w:type="dxa"/>
          </w:tcPr>
          <w:p w14:paraId="308F244D"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14</w:t>
            </w:r>
          </w:p>
        </w:tc>
        <w:tc>
          <w:tcPr>
            <w:tcW w:w="1542" w:type="dxa"/>
          </w:tcPr>
          <w:p w14:paraId="7E706CF2"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348" w:type="dxa"/>
          </w:tcPr>
          <w:p w14:paraId="3A106AFD"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230" w:type="dxa"/>
          </w:tcPr>
          <w:p w14:paraId="22E5351E"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r>
      <w:tr w:rsidR="00E93FD0" w:rsidRPr="00E93FD0" w14:paraId="32465B0F" w14:textId="77777777" w:rsidTr="008538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91" w:type="dxa"/>
          </w:tcPr>
          <w:p w14:paraId="29873CE6" w14:textId="77777777" w:rsidR="00965FCC" w:rsidRPr="00E93FD0" w:rsidRDefault="00965FCC" w:rsidP="003F500D">
            <w:pPr>
              <w:rPr>
                <w:rFonts w:asciiTheme="minorHAnsi" w:hAnsiTheme="minorHAnsi" w:cstheme="minorHAnsi"/>
                <w:b w:val="0"/>
                <w:bCs w:val="0"/>
              </w:rPr>
            </w:pPr>
            <w:r w:rsidRPr="00E93FD0">
              <w:rPr>
                <w:rFonts w:asciiTheme="minorHAnsi" w:hAnsiTheme="minorHAnsi" w:cstheme="minorHAnsi"/>
              </w:rPr>
              <w:t>Franklin, MA</w:t>
            </w:r>
          </w:p>
        </w:tc>
        <w:tc>
          <w:tcPr>
            <w:tcW w:w="1625" w:type="dxa"/>
          </w:tcPr>
          <w:p w14:paraId="44380B56"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624" w:type="dxa"/>
          </w:tcPr>
          <w:p w14:paraId="3517BC88"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542" w:type="dxa"/>
          </w:tcPr>
          <w:p w14:paraId="6AA88286"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348" w:type="dxa"/>
          </w:tcPr>
          <w:p w14:paraId="5DA435B4"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230" w:type="dxa"/>
          </w:tcPr>
          <w:p w14:paraId="7FAD3139"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r>
      <w:tr w:rsidR="00E93FD0" w:rsidRPr="00E93FD0" w14:paraId="4349B9A6" w14:textId="77777777" w:rsidTr="0085386B">
        <w:trPr>
          <w:cantSplit/>
        </w:trPr>
        <w:tc>
          <w:tcPr>
            <w:cnfStyle w:val="001000000000" w:firstRow="0" w:lastRow="0" w:firstColumn="1" w:lastColumn="0" w:oddVBand="0" w:evenVBand="0" w:oddHBand="0" w:evenHBand="0" w:firstRowFirstColumn="0" w:firstRowLastColumn="0" w:lastRowFirstColumn="0" w:lastRowLastColumn="0"/>
            <w:tcW w:w="1991" w:type="dxa"/>
          </w:tcPr>
          <w:p w14:paraId="502011F5" w14:textId="77777777" w:rsidR="00965FCC" w:rsidRPr="00E93FD0" w:rsidRDefault="00965FCC" w:rsidP="003F500D">
            <w:pPr>
              <w:rPr>
                <w:rFonts w:asciiTheme="minorHAnsi" w:hAnsiTheme="minorHAnsi" w:cstheme="minorHAnsi"/>
                <w:b w:val="0"/>
                <w:bCs w:val="0"/>
              </w:rPr>
            </w:pPr>
            <w:r w:rsidRPr="00E93FD0">
              <w:rPr>
                <w:rFonts w:asciiTheme="minorHAnsi" w:hAnsiTheme="minorHAnsi" w:cstheme="minorHAnsi"/>
              </w:rPr>
              <w:t>Essex, MA</w:t>
            </w:r>
          </w:p>
        </w:tc>
        <w:tc>
          <w:tcPr>
            <w:tcW w:w="1625" w:type="dxa"/>
          </w:tcPr>
          <w:p w14:paraId="795DD717"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11</w:t>
            </w:r>
          </w:p>
        </w:tc>
        <w:tc>
          <w:tcPr>
            <w:tcW w:w="1624" w:type="dxa"/>
          </w:tcPr>
          <w:p w14:paraId="20118D8F"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11</w:t>
            </w:r>
          </w:p>
        </w:tc>
        <w:tc>
          <w:tcPr>
            <w:tcW w:w="1542" w:type="dxa"/>
          </w:tcPr>
          <w:p w14:paraId="5C7078B2"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348" w:type="dxa"/>
          </w:tcPr>
          <w:p w14:paraId="61D32505"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230" w:type="dxa"/>
          </w:tcPr>
          <w:p w14:paraId="7C402148"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r>
      <w:tr w:rsidR="00E93FD0" w:rsidRPr="00E93FD0" w14:paraId="728FFDC3" w14:textId="77777777" w:rsidTr="008538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91" w:type="dxa"/>
          </w:tcPr>
          <w:p w14:paraId="7E63DDC2" w14:textId="77777777" w:rsidR="00965FCC" w:rsidRPr="00E93FD0" w:rsidRDefault="00965FCC" w:rsidP="003F500D">
            <w:pPr>
              <w:rPr>
                <w:rFonts w:asciiTheme="minorHAnsi" w:hAnsiTheme="minorHAnsi" w:cstheme="minorHAnsi"/>
                <w:b w:val="0"/>
                <w:bCs w:val="0"/>
              </w:rPr>
            </w:pPr>
            <w:r w:rsidRPr="00E93FD0">
              <w:rPr>
                <w:rFonts w:asciiTheme="minorHAnsi" w:hAnsiTheme="minorHAnsi" w:cstheme="minorHAnsi"/>
              </w:rPr>
              <w:t>Berkshire, MA</w:t>
            </w:r>
          </w:p>
        </w:tc>
        <w:tc>
          <w:tcPr>
            <w:tcW w:w="1625" w:type="dxa"/>
          </w:tcPr>
          <w:p w14:paraId="583F4E1E"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624" w:type="dxa"/>
          </w:tcPr>
          <w:p w14:paraId="0FA4AB72"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542" w:type="dxa"/>
          </w:tcPr>
          <w:p w14:paraId="3B51E006"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348" w:type="dxa"/>
          </w:tcPr>
          <w:p w14:paraId="4F0C1514"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230" w:type="dxa"/>
          </w:tcPr>
          <w:p w14:paraId="1D91845F"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r>
      <w:tr w:rsidR="00E93FD0" w:rsidRPr="00E93FD0" w14:paraId="1875D786" w14:textId="77777777" w:rsidTr="0085386B">
        <w:trPr>
          <w:cantSplit/>
        </w:trPr>
        <w:tc>
          <w:tcPr>
            <w:cnfStyle w:val="001000000000" w:firstRow="0" w:lastRow="0" w:firstColumn="1" w:lastColumn="0" w:oddVBand="0" w:evenVBand="0" w:oddHBand="0" w:evenHBand="0" w:firstRowFirstColumn="0" w:firstRowLastColumn="0" w:lastRowFirstColumn="0" w:lastRowLastColumn="0"/>
            <w:tcW w:w="1991" w:type="dxa"/>
          </w:tcPr>
          <w:p w14:paraId="19070619" w14:textId="77777777" w:rsidR="00965FCC" w:rsidRPr="00E93FD0" w:rsidRDefault="00965FCC" w:rsidP="003F500D">
            <w:pPr>
              <w:rPr>
                <w:rFonts w:asciiTheme="minorHAnsi" w:hAnsiTheme="minorHAnsi" w:cstheme="minorHAnsi"/>
                <w:b w:val="0"/>
                <w:bCs w:val="0"/>
              </w:rPr>
            </w:pPr>
            <w:r w:rsidRPr="00E93FD0">
              <w:rPr>
                <w:rFonts w:asciiTheme="minorHAnsi" w:hAnsiTheme="minorHAnsi" w:cstheme="minorHAnsi"/>
              </w:rPr>
              <w:t>Norfolk, MA</w:t>
            </w:r>
          </w:p>
        </w:tc>
        <w:tc>
          <w:tcPr>
            <w:tcW w:w="1625" w:type="dxa"/>
          </w:tcPr>
          <w:p w14:paraId="3D81A20F"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624" w:type="dxa"/>
          </w:tcPr>
          <w:p w14:paraId="3132DD09"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542" w:type="dxa"/>
          </w:tcPr>
          <w:p w14:paraId="075675F8"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348" w:type="dxa"/>
          </w:tcPr>
          <w:p w14:paraId="1AF85A73"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230" w:type="dxa"/>
          </w:tcPr>
          <w:p w14:paraId="44B2BFD3"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r>
      <w:tr w:rsidR="00E93FD0" w:rsidRPr="00E93FD0" w14:paraId="20649406" w14:textId="77777777" w:rsidTr="008538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91" w:type="dxa"/>
          </w:tcPr>
          <w:p w14:paraId="7BD9E94C" w14:textId="77777777" w:rsidR="00965FCC" w:rsidRPr="00E93FD0" w:rsidRDefault="00965FCC" w:rsidP="003F500D">
            <w:pPr>
              <w:rPr>
                <w:rFonts w:asciiTheme="minorHAnsi" w:hAnsiTheme="minorHAnsi" w:cstheme="minorHAnsi"/>
                <w:b w:val="0"/>
                <w:bCs w:val="0"/>
              </w:rPr>
            </w:pPr>
            <w:r w:rsidRPr="00E93FD0">
              <w:rPr>
                <w:rFonts w:asciiTheme="minorHAnsi" w:hAnsiTheme="minorHAnsi" w:cstheme="minorHAnsi"/>
              </w:rPr>
              <w:t>Suffolk, MA</w:t>
            </w:r>
          </w:p>
        </w:tc>
        <w:tc>
          <w:tcPr>
            <w:tcW w:w="1625" w:type="dxa"/>
          </w:tcPr>
          <w:p w14:paraId="71D7FC98"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624" w:type="dxa"/>
          </w:tcPr>
          <w:p w14:paraId="06025A51"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542" w:type="dxa"/>
          </w:tcPr>
          <w:p w14:paraId="234F9C16"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348" w:type="dxa"/>
          </w:tcPr>
          <w:p w14:paraId="4023B67C"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230" w:type="dxa"/>
          </w:tcPr>
          <w:p w14:paraId="351C7941" w14:textId="77777777" w:rsidR="00965FCC" w:rsidRPr="00E93FD0" w:rsidRDefault="00965FCC" w:rsidP="003F50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93FD0" w:rsidRPr="00E93FD0" w14:paraId="74B6B827" w14:textId="77777777" w:rsidTr="0085386B">
        <w:trPr>
          <w:cantSplit/>
        </w:trPr>
        <w:tc>
          <w:tcPr>
            <w:cnfStyle w:val="001000000000" w:firstRow="0" w:lastRow="0" w:firstColumn="1" w:lastColumn="0" w:oddVBand="0" w:evenVBand="0" w:oddHBand="0" w:evenHBand="0" w:firstRowFirstColumn="0" w:firstRowLastColumn="0" w:lastRowFirstColumn="0" w:lastRowLastColumn="0"/>
            <w:tcW w:w="1991" w:type="dxa"/>
          </w:tcPr>
          <w:p w14:paraId="4D8F62C0" w14:textId="77777777" w:rsidR="00965FCC" w:rsidRPr="00E93FD0" w:rsidRDefault="00965FCC" w:rsidP="003F500D">
            <w:pPr>
              <w:rPr>
                <w:rFonts w:asciiTheme="minorHAnsi" w:hAnsiTheme="minorHAnsi" w:cstheme="minorHAnsi"/>
                <w:b w:val="0"/>
                <w:bCs w:val="0"/>
              </w:rPr>
            </w:pPr>
            <w:r w:rsidRPr="00E93FD0">
              <w:rPr>
                <w:rFonts w:asciiTheme="minorHAnsi" w:hAnsiTheme="minorHAnsi" w:cstheme="minorHAnsi"/>
              </w:rPr>
              <w:t>Bristol, MA</w:t>
            </w:r>
          </w:p>
        </w:tc>
        <w:tc>
          <w:tcPr>
            <w:tcW w:w="1625" w:type="dxa"/>
          </w:tcPr>
          <w:p w14:paraId="10CC3EEA"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624" w:type="dxa"/>
          </w:tcPr>
          <w:p w14:paraId="06963E59"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542" w:type="dxa"/>
          </w:tcPr>
          <w:p w14:paraId="4CE29DAB"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348" w:type="dxa"/>
          </w:tcPr>
          <w:p w14:paraId="2CC791F3"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230" w:type="dxa"/>
          </w:tcPr>
          <w:p w14:paraId="7F36CF2C" w14:textId="77777777" w:rsidR="00965FCC" w:rsidRPr="00E93FD0" w:rsidRDefault="00965FCC" w:rsidP="003F50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r>
      <w:tr w:rsidR="00E93FD0" w:rsidRPr="00E93FD0" w14:paraId="544E5E1E" w14:textId="77777777" w:rsidTr="008538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91" w:type="dxa"/>
          </w:tcPr>
          <w:p w14:paraId="449C33FC" w14:textId="0DE16CD1" w:rsidR="00F90D1F" w:rsidRPr="00E93FD0" w:rsidRDefault="00F90D1F" w:rsidP="00F90D1F">
            <w:pPr>
              <w:rPr>
                <w:rFonts w:cstheme="minorHAnsi"/>
              </w:rPr>
            </w:pPr>
            <w:r w:rsidRPr="00E93FD0">
              <w:rPr>
                <w:rFonts w:asciiTheme="minorHAnsi" w:hAnsiTheme="minorHAnsi" w:cstheme="minorHAnsi"/>
              </w:rPr>
              <w:t>Plymouth, MA</w:t>
            </w:r>
          </w:p>
        </w:tc>
        <w:tc>
          <w:tcPr>
            <w:tcW w:w="1625" w:type="dxa"/>
          </w:tcPr>
          <w:p w14:paraId="37832E6D" w14:textId="1C184F7E" w:rsidR="00F90D1F" w:rsidRPr="00E93FD0" w:rsidRDefault="00F90D1F" w:rsidP="00F90D1F">
            <w:pPr>
              <w:cnfStyle w:val="000000100000" w:firstRow="0" w:lastRow="0" w:firstColumn="0" w:lastColumn="0" w:oddVBand="0" w:evenVBand="0" w:oddHBand="1" w:evenHBand="0" w:firstRowFirstColumn="0" w:firstRowLastColumn="0" w:lastRowFirstColumn="0" w:lastRowLastColumn="0"/>
              <w:rPr>
                <w:rFonts w:cstheme="minorHAnsi"/>
              </w:rPr>
            </w:pPr>
            <w:r w:rsidRPr="00E93FD0">
              <w:rPr>
                <w:rFonts w:asciiTheme="minorHAnsi" w:hAnsiTheme="minorHAnsi" w:cstheme="minorHAnsi"/>
              </w:rPr>
              <w:t>&lt;11</w:t>
            </w:r>
          </w:p>
        </w:tc>
        <w:tc>
          <w:tcPr>
            <w:tcW w:w="1624" w:type="dxa"/>
          </w:tcPr>
          <w:p w14:paraId="3E98EA4F" w14:textId="6BAE45C6" w:rsidR="00F90D1F" w:rsidRPr="00E93FD0" w:rsidRDefault="00F90D1F" w:rsidP="00F90D1F">
            <w:pPr>
              <w:cnfStyle w:val="000000100000" w:firstRow="0" w:lastRow="0" w:firstColumn="0" w:lastColumn="0" w:oddVBand="0" w:evenVBand="0" w:oddHBand="1" w:evenHBand="0" w:firstRowFirstColumn="0" w:firstRowLastColumn="0" w:lastRowFirstColumn="0" w:lastRowLastColumn="0"/>
              <w:rPr>
                <w:rFonts w:cstheme="minorHAnsi"/>
              </w:rPr>
            </w:pPr>
            <w:r w:rsidRPr="00E93FD0">
              <w:rPr>
                <w:rFonts w:asciiTheme="minorHAnsi" w:hAnsiTheme="minorHAnsi" w:cstheme="minorHAnsi"/>
              </w:rPr>
              <w:t>&lt;11</w:t>
            </w:r>
          </w:p>
        </w:tc>
        <w:tc>
          <w:tcPr>
            <w:tcW w:w="1542" w:type="dxa"/>
          </w:tcPr>
          <w:p w14:paraId="0B61A2F5" w14:textId="17B7B531" w:rsidR="00F90D1F" w:rsidRPr="00E93FD0" w:rsidRDefault="00F90D1F" w:rsidP="00F90D1F">
            <w:pPr>
              <w:cnfStyle w:val="000000100000" w:firstRow="0" w:lastRow="0" w:firstColumn="0" w:lastColumn="0" w:oddVBand="0" w:evenVBand="0" w:oddHBand="1" w:evenHBand="0" w:firstRowFirstColumn="0" w:firstRowLastColumn="0" w:lastRowFirstColumn="0" w:lastRowLastColumn="0"/>
              <w:rPr>
                <w:rFonts w:cstheme="minorHAnsi"/>
              </w:rPr>
            </w:pPr>
            <w:r w:rsidRPr="00E93FD0">
              <w:rPr>
                <w:rFonts w:asciiTheme="minorHAnsi" w:hAnsiTheme="minorHAnsi" w:cstheme="minorHAnsi"/>
              </w:rPr>
              <w:t>&lt;11</w:t>
            </w:r>
          </w:p>
        </w:tc>
        <w:tc>
          <w:tcPr>
            <w:tcW w:w="1348" w:type="dxa"/>
          </w:tcPr>
          <w:p w14:paraId="3BB544B4" w14:textId="7DAEE0CE" w:rsidR="00F90D1F" w:rsidRPr="00E93FD0" w:rsidRDefault="00F90D1F" w:rsidP="00F90D1F">
            <w:pPr>
              <w:cnfStyle w:val="000000100000" w:firstRow="0" w:lastRow="0" w:firstColumn="0" w:lastColumn="0" w:oddVBand="0" w:evenVBand="0" w:oddHBand="1" w:evenHBand="0" w:firstRowFirstColumn="0" w:firstRowLastColumn="0" w:lastRowFirstColumn="0" w:lastRowLastColumn="0"/>
              <w:rPr>
                <w:rFonts w:cstheme="minorHAnsi"/>
              </w:rPr>
            </w:pPr>
            <w:r w:rsidRPr="00E93FD0">
              <w:rPr>
                <w:rFonts w:asciiTheme="minorHAnsi" w:hAnsiTheme="minorHAnsi" w:cstheme="minorHAnsi"/>
              </w:rPr>
              <w:t>&lt;11</w:t>
            </w:r>
          </w:p>
        </w:tc>
        <w:tc>
          <w:tcPr>
            <w:tcW w:w="1230" w:type="dxa"/>
          </w:tcPr>
          <w:p w14:paraId="341993F8" w14:textId="38F32E08" w:rsidR="00F90D1F" w:rsidRPr="00E93FD0" w:rsidRDefault="00F90D1F" w:rsidP="00F90D1F">
            <w:pPr>
              <w:cnfStyle w:val="000000100000" w:firstRow="0" w:lastRow="0" w:firstColumn="0" w:lastColumn="0" w:oddVBand="0" w:evenVBand="0" w:oddHBand="1" w:evenHBand="0" w:firstRowFirstColumn="0" w:firstRowLastColumn="0" w:lastRowFirstColumn="0" w:lastRowLastColumn="0"/>
              <w:rPr>
                <w:rFonts w:cstheme="minorHAnsi"/>
              </w:rPr>
            </w:pPr>
            <w:r w:rsidRPr="00E93FD0">
              <w:rPr>
                <w:rFonts w:asciiTheme="minorHAnsi" w:hAnsiTheme="minorHAnsi" w:cstheme="minorHAnsi"/>
              </w:rPr>
              <w:t>&lt;11</w:t>
            </w:r>
          </w:p>
        </w:tc>
      </w:tr>
      <w:tr w:rsidR="00E93FD0" w:rsidRPr="00E93FD0" w14:paraId="56307D04" w14:textId="77777777" w:rsidTr="0085386B">
        <w:trPr>
          <w:cantSplit/>
        </w:trPr>
        <w:tc>
          <w:tcPr>
            <w:cnfStyle w:val="001000000000" w:firstRow="0" w:lastRow="0" w:firstColumn="1" w:lastColumn="0" w:oddVBand="0" w:evenVBand="0" w:oddHBand="0" w:evenHBand="0" w:firstRowFirstColumn="0" w:firstRowLastColumn="0" w:lastRowFirstColumn="0" w:lastRowLastColumn="0"/>
            <w:tcW w:w="1991" w:type="dxa"/>
          </w:tcPr>
          <w:p w14:paraId="7E5387F8" w14:textId="48AE2152" w:rsidR="00F90D1F" w:rsidRPr="00E93FD0" w:rsidRDefault="00F90D1F" w:rsidP="00F90D1F">
            <w:pPr>
              <w:rPr>
                <w:rFonts w:asciiTheme="minorHAnsi" w:hAnsiTheme="minorHAnsi" w:cstheme="minorHAnsi"/>
              </w:rPr>
            </w:pPr>
            <w:r w:rsidRPr="00E93FD0">
              <w:rPr>
                <w:rFonts w:asciiTheme="minorHAnsi" w:hAnsiTheme="minorHAnsi" w:cstheme="minorHAnsi"/>
              </w:rPr>
              <w:t>Barnstable, MA</w:t>
            </w:r>
          </w:p>
        </w:tc>
        <w:tc>
          <w:tcPr>
            <w:tcW w:w="1625" w:type="dxa"/>
          </w:tcPr>
          <w:p w14:paraId="65943153" w14:textId="5B41123E" w:rsidR="00F90D1F" w:rsidRPr="00E93FD0" w:rsidRDefault="00F90D1F" w:rsidP="00F90D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624" w:type="dxa"/>
          </w:tcPr>
          <w:p w14:paraId="01351D4A" w14:textId="6A65AAFD" w:rsidR="00F90D1F" w:rsidRPr="00E93FD0" w:rsidRDefault="00F90D1F" w:rsidP="00F90D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542" w:type="dxa"/>
          </w:tcPr>
          <w:p w14:paraId="6DB15514" w14:textId="595D9D47" w:rsidR="00F90D1F" w:rsidRPr="00E93FD0" w:rsidRDefault="00F90D1F" w:rsidP="00F90D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348" w:type="dxa"/>
          </w:tcPr>
          <w:p w14:paraId="4719DF1F" w14:textId="77777777" w:rsidR="00F90D1F" w:rsidRPr="00E93FD0" w:rsidRDefault="00F90D1F" w:rsidP="00F90D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30" w:type="dxa"/>
          </w:tcPr>
          <w:p w14:paraId="46917B35" w14:textId="77677FCF" w:rsidR="00F90D1F" w:rsidRPr="00E93FD0" w:rsidRDefault="00F90D1F" w:rsidP="00F90D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r>
      <w:tr w:rsidR="00E93FD0" w:rsidRPr="00E93FD0" w14:paraId="09C067D2" w14:textId="77777777" w:rsidTr="008538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91" w:type="dxa"/>
          </w:tcPr>
          <w:p w14:paraId="45DB3A86" w14:textId="51E79FAA" w:rsidR="00F90D1F" w:rsidRPr="00E93FD0" w:rsidRDefault="00F90D1F" w:rsidP="00F90D1F">
            <w:pPr>
              <w:rPr>
                <w:rFonts w:asciiTheme="minorHAnsi" w:hAnsiTheme="minorHAnsi" w:cstheme="minorHAnsi"/>
              </w:rPr>
            </w:pPr>
            <w:r w:rsidRPr="00E93FD0">
              <w:rPr>
                <w:rFonts w:asciiTheme="minorHAnsi" w:hAnsiTheme="minorHAnsi" w:cstheme="minorHAnsi"/>
              </w:rPr>
              <w:t>Out of State</w:t>
            </w:r>
          </w:p>
        </w:tc>
        <w:tc>
          <w:tcPr>
            <w:tcW w:w="1625" w:type="dxa"/>
          </w:tcPr>
          <w:p w14:paraId="0660FF2D" w14:textId="14BE46DA" w:rsidR="00F90D1F" w:rsidRPr="00E93FD0" w:rsidRDefault="00F90D1F" w:rsidP="003131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16</w:t>
            </w:r>
            <w:r w:rsidRPr="00E93FD0">
              <w:rPr>
                <w:rStyle w:val="FootnoteReference"/>
                <w:rFonts w:asciiTheme="minorHAnsi" w:hAnsiTheme="minorHAnsi" w:cstheme="minorHAnsi"/>
              </w:rPr>
              <w:footnoteReference w:id="6"/>
            </w:r>
          </w:p>
        </w:tc>
        <w:tc>
          <w:tcPr>
            <w:tcW w:w="1624" w:type="dxa"/>
          </w:tcPr>
          <w:p w14:paraId="522A0251" w14:textId="5CB0777F" w:rsidR="00F90D1F" w:rsidRPr="00E93FD0" w:rsidRDefault="00F90D1F" w:rsidP="003131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23</w:t>
            </w:r>
            <w:r w:rsidRPr="00E93FD0">
              <w:rPr>
                <w:rStyle w:val="FootnoteReference"/>
                <w:rFonts w:asciiTheme="minorHAnsi" w:hAnsiTheme="minorHAnsi" w:cstheme="minorHAnsi"/>
              </w:rPr>
              <w:footnoteReference w:id="7"/>
            </w:r>
          </w:p>
        </w:tc>
        <w:tc>
          <w:tcPr>
            <w:tcW w:w="1542" w:type="dxa"/>
          </w:tcPr>
          <w:p w14:paraId="30A7B445" w14:textId="676698D6" w:rsidR="00F90D1F" w:rsidRPr="00E93FD0" w:rsidRDefault="00DA57B0" w:rsidP="003131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r w:rsidR="00F90D1F" w:rsidRPr="00E93FD0">
              <w:rPr>
                <w:rStyle w:val="FootnoteReference"/>
                <w:rFonts w:asciiTheme="minorHAnsi" w:hAnsiTheme="minorHAnsi" w:cstheme="minorHAnsi"/>
              </w:rPr>
              <w:footnoteReference w:id="8"/>
            </w:r>
          </w:p>
        </w:tc>
        <w:tc>
          <w:tcPr>
            <w:tcW w:w="1348" w:type="dxa"/>
          </w:tcPr>
          <w:p w14:paraId="2CBB828D" w14:textId="77777777" w:rsidR="00F90D1F" w:rsidRPr="00E93FD0" w:rsidRDefault="00F90D1F" w:rsidP="00F9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30" w:type="dxa"/>
          </w:tcPr>
          <w:p w14:paraId="308C19A4" w14:textId="77777777" w:rsidR="00F90D1F" w:rsidRPr="00E93FD0" w:rsidRDefault="00F90D1F" w:rsidP="00F9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93FD0" w:rsidRPr="00E93FD0" w14:paraId="119127DC" w14:textId="77777777" w:rsidTr="0085386B">
        <w:trPr>
          <w:cantSplit/>
          <w:trHeight w:val="70"/>
        </w:trPr>
        <w:tc>
          <w:tcPr>
            <w:cnfStyle w:val="001000000000" w:firstRow="0" w:lastRow="0" w:firstColumn="1" w:lastColumn="0" w:oddVBand="0" w:evenVBand="0" w:oddHBand="0" w:evenHBand="0" w:firstRowFirstColumn="0" w:firstRowLastColumn="0" w:lastRowFirstColumn="0" w:lastRowLastColumn="0"/>
            <w:tcW w:w="1991" w:type="dxa"/>
          </w:tcPr>
          <w:p w14:paraId="28CEB64E" w14:textId="77777777" w:rsidR="00F90D1F" w:rsidRPr="00E93FD0" w:rsidRDefault="00F90D1F" w:rsidP="00F90D1F">
            <w:pPr>
              <w:rPr>
                <w:rFonts w:asciiTheme="minorHAnsi" w:hAnsiTheme="minorHAnsi" w:cstheme="minorHAnsi"/>
                <w:b w:val="0"/>
                <w:bCs w:val="0"/>
              </w:rPr>
            </w:pPr>
            <w:r w:rsidRPr="00E93FD0">
              <w:rPr>
                <w:rFonts w:asciiTheme="minorHAnsi" w:hAnsiTheme="minorHAnsi" w:cstheme="minorHAnsi"/>
              </w:rPr>
              <w:t>Unspecified</w:t>
            </w:r>
          </w:p>
        </w:tc>
        <w:tc>
          <w:tcPr>
            <w:tcW w:w="1625" w:type="dxa"/>
          </w:tcPr>
          <w:p w14:paraId="1D3490CD" w14:textId="77777777" w:rsidR="00F90D1F" w:rsidRPr="00E93FD0" w:rsidRDefault="00F90D1F" w:rsidP="003131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624" w:type="dxa"/>
          </w:tcPr>
          <w:p w14:paraId="04A3C060" w14:textId="77777777" w:rsidR="00F90D1F" w:rsidRPr="00E93FD0" w:rsidRDefault="00F90D1F" w:rsidP="003131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542" w:type="dxa"/>
          </w:tcPr>
          <w:p w14:paraId="1917C352" w14:textId="77777777" w:rsidR="00F90D1F" w:rsidRPr="00E93FD0" w:rsidRDefault="00F90D1F" w:rsidP="003131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93FD0">
              <w:rPr>
                <w:rFonts w:asciiTheme="minorHAnsi" w:hAnsiTheme="minorHAnsi" w:cstheme="minorHAnsi"/>
              </w:rPr>
              <w:t>&lt;11</w:t>
            </w:r>
          </w:p>
        </w:tc>
        <w:tc>
          <w:tcPr>
            <w:tcW w:w="1348" w:type="dxa"/>
          </w:tcPr>
          <w:p w14:paraId="3FACED37" w14:textId="77777777" w:rsidR="00F90D1F" w:rsidRPr="00E93FD0" w:rsidRDefault="00F90D1F" w:rsidP="00F90D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30" w:type="dxa"/>
          </w:tcPr>
          <w:p w14:paraId="68153B4F" w14:textId="77777777" w:rsidR="00F90D1F" w:rsidRPr="00E93FD0" w:rsidRDefault="00F90D1F" w:rsidP="00F90D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8B2D474" w14:textId="77777777" w:rsidR="00965FCC" w:rsidRPr="00E93FD0" w:rsidRDefault="00965FCC" w:rsidP="00965FCC">
      <w:pPr>
        <w:pStyle w:val="ListParagraph"/>
        <w:ind w:left="0"/>
        <w:rPr>
          <w:rFonts w:ascii="Times New Roman" w:hAnsi="Times New Roman" w:cs="Times New Roman"/>
          <w:sz w:val="24"/>
          <w:szCs w:val="24"/>
        </w:rPr>
      </w:pPr>
    </w:p>
    <w:p w14:paraId="1353DE65" w14:textId="36B96B97" w:rsidR="00926F8E" w:rsidRPr="00E93FD0" w:rsidRDefault="00926F8E" w:rsidP="00926F8E">
      <w:pPr>
        <w:pStyle w:val="ListParagraph"/>
        <w:spacing w:after="0" w:line="240" w:lineRule="auto"/>
        <w:ind w:left="0"/>
        <w:rPr>
          <w:rFonts w:cstheme="minorHAnsi"/>
          <w:b/>
          <w:bCs/>
          <w:sz w:val="24"/>
          <w:szCs w:val="24"/>
        </w:rPr>
      </w:pPr>
      <w:r w:rsidRPr="00E93FD0">
        <w:rPr>
          <w:rFonts w:cstheme="minorHAnsi"/>
          <w:b/>
          <w:bCs/>
          <w:sz w:val="24"/>
          <w:szCs w:val="24"/>
        </w:rPr>
        <w:lastRenderedPageBreak/>
        <w:t>Response to Question 7 (cont.):</w:t>
      </w:r>
    </w:p>
    <w:p w14:paraId="4685376E" w14:textId="77777777" w:rsidR="00926F8E" w:rsidRPr="00E93FD0" w:rsidRDefault="00926F8E" w:rsidP="00926F8E">
      <w:pPr>
        <w:pStyle w:val="ListParagraph"/>
        <w:spacing w:after="0" w:line="240" w:lineRule="auto"/>
        <w:ind w:left="0"/>
        <w:rPr>
          <w:rFonts w:cstheme="minorHAnsi"/>
          <w:b/>
          <w:bCs/>
          <w:sz w:val="12"/>
          <w:szCs w:val="12"/>
        </w:rPr>
      </w:pPr>
    </w:p>
    <w:p w14:paraId="12028288" w14:textId="2B7DC74F" w:rsidR="00965FCC" w:rsidRPr="00E93FD0" w:rsidRDefault="00965FCC" w:rsidP="00965FCC">
      <w:pPr>
        <w:pStyle w:val="ListParagraph"/>
        <w:numPr>
          <w:ilvl w:val="0"/>
          <w:numId w:val="5"/>
        </w:numPr>
        <w:spacing w:after="0" w:line="240" w:lineRule="auto"/>
        <w:rPr>
          <w:rFonts w:ascii="Times New Roman" w:hAnsi="Times New Roman" w:cs="Times New Roman"/>
          <w:b/>
          <w:bCs/>
          <w:sz w:val="24"/>
          <w:szCs w:val="24"/>
        </w:rPr>
      </w:pPr>
      <w:r w:rsidRPr="00E93FD0">
        <w:rPr>
          <w:rFonts w:ascii="Times New Roman" w:hAnsi="Times New Roman" w:cs="Times New Roman"/>
          <w:b/>
          <w:bCs/>
          <w:sz w:val="24"/>
          <w:szCs w:val="24"/>
        </w:rPr>
        <w:t>Race and Ethnicity</w:t>
      </w:r>
    </w:p>
    <w:p w14:paraId="05564D9D" w14:textId="77777777" w:rsidR="00965FCC" w:rsidRPr="00E93FD0" w:rsidRDefault="00965FCC" w:rsidP="00965FCC">
      <w:pPr>
        <w:spacing w:after="0"/>
        <w:rPr>
          <w:rFonts w:cs="Times New Roman"/>
          <w:sz w:val="16"/>
          <w:szCs w:val="16"/>
        </w:rPr>
      </w:pPr>
    </w:p>
    <w:tbl>
      <w:tblPr>
        <w:tblW w:w="7211" w:type="dxa"/>
        <w:tblLook w:val="04A0" w:firstRow="1" w:lastRow="0" w:firstColumn="1" w:lastColumn="0" w:noHBand="0" w:noVBand="1"/>
      </w:tblPr>
      <w:tblGrid>
        <w:gridCol w:w="3613"/>
        <w:gridCol w:w="1799"/>
        <w:gridCol w:w="1799"/>
      </w:tblGrid>
      <w:tr w:rsidR="00E93FD0" w:rsidRPr="00E93FD0" w14:paraId="421955EF" w14:textId="77777777" w:rsidTr="0085386B">
        <w:trPr>
          <w:cantSplit/>
          <w:trHeight w:val="432"/>
          <w:tblHeader/>
        </w:trPr>
        <w:tc>
          <w:tcPr>
            <w:tcW w:w="3613" w:type="dxa"/>
            <w:shd w:val="clear" w:color="auto" w:fill="D5DCE4" w:themeFill="text2" w:themeFillTint="33"/>
            <w:noWrap/>
            <w:vAlign w:val="center"/>
            <w:hideMark/>
          </w:tcPr>
          <w:p w14:paraId="5AEC27F8" w14:textId="77777777" w:rsidR="00965FCC" w:rsidRPr="00E93FD0" w:rsidRDefault="00965FCC" w:rsidP="003F500D">
            <w:pPr>
              <w:spacing w:after="0" w:line="240" w:lineRule="auto"/>
              <w:rPr>
                <w:rFonts w:eastAsia="Times New Roman" w:cs="Times New Roman"/>
                <w:b/>
                <w:bCs/>
                <w:szCs w:val="24"/>
              </w:rPr>
            </w:pPr>
            <w:r w:rsidRPr="00E93FD0">
              <w:rPr>
                <w:rFonts w:eastAsia="Times New Roman" w:cs="Times New Roman"/>
                <w:b/>
                <w:bCs/>
                <w:szCs w:val="24"/>
              </w:rPr>
              <w:t>Ethnicity</w:t>
            </w:r>
          </w:p>
        </w:tc>
        <w:tc>
          <w:tcPr>
            <w:tcW w:w="1799" w:type="dxa"/>
            <w:shd w:val="clear" w:color="auto" w:fill="D5DCE4" w:themeFill="text2" w:themeFillTint="33"/>
            <w:noWrap/>
            <w:vAlign w:val="center"/>
            <w:hideMark/>
          </w:tcPr>
          <w:p w14:paraId="30C64E2E" w14:textId="77777777" w:rsidR="00965FCC" w:rsidRPr="00E93FD0" w:rsidRDefault="00965FCC" w:rsidP="003F500D">
            <w:pPr>
              <w:spacing w:after="0" w:line="240" w:lineRule="auto"/>
              <w:jc w:val="center"/>
              <w:rPr>
                <w:rFonts w:eastAsia="Times New Roman" w:cs="Times New Roman"/>
                <w:b/>
                <w:bCs/>
                <w:szCs w:val="24"/>
              </w:rPr>
            </w:pPr>
            <w:r w:rsidRPr="00E93FD0">
              <w:rPr>
                <w:rFonts w:eastAsia="Times New Roman" w:cs="Times New Roman"/>
                <w:b/>
                <w:bCs/>
                <w:szCs w:val="24"/>
              </w:rPr>
              <w:t>2023</w:t>
            </w:r>
          </w:p>
        </w:tc>
        <w:tc>
          <w:tcPr>
            <w:tcW w:w="1799" w:type="dxa"/>
            <w:shd w:val="clear" w:color="auto" w:fill="D5DCE4" w:themeFill="text2" w:themeFillTint="33"/>
            <w:vAlign w:val="center"/>
          </w:tcPr>
          <w:p w14:paraId="42B20291" w14:textId="77777777" w:rsidR="00965FCC" w:rsidRPr="00E93FD0" w:rsidRDefault="00965FCC" w:rsidP="003F500D">
            <w:pPr>
              <w:spacing w:after="0" w:line="240" w:lineRule="auto"/>
              <w:jc w:val="center"/>
              <w:rPr>
                <w:rFonts w:eastAsia="Times New Roman" w:cs="Times New Roman"/>
                <w:b/>
                <w:bCs/>
                <w:szCs w:val="24"/>
              </w:rPr>
            </w:pPr>
            <w:r w:rsidRPr="00E93FD0">
              <w:rPr>
                <w:rFonts w:eastAsia="Times New Roman" w:cs="Times New Roman"/>
                <w:b/>
                <w:bCs/>
                <w:szCs w:val="24"/>
              </w:rPr>
              <w:t>2024</w:t>
            </w:r>
          </w:p>
        </w:tc>
      </w:tr>
      <w:tr w:rsidR="00E93FD0" w:rsidRPr="00E93FD0" w14:paraId="0E05636E" w14:textId="77777777" w:rsidTr="0085386B">
        <w:trPr>
          <w:cantSplit/>
          <w:trHeight w:val="432"/>
        </w:trPr>
        <w:tc>
          <w:tcPr>
            <w:tcW w:w="3613" w:type="dxa"/>
            <w:shd w:val="clear" w:color="auto" w:fill="auto"/>
            <w:noWrap/>
            <w:vAlign w:val="center"/>
          </w:tcPr>
          <w:p w14:paraId="05B674F3" w14:textId="77777777" w:rsidR="00965FCC" w:rsidRPr="00E93FD0" w:rsidRDefault="00965FCC" w:rsidP="003F500D">
            <w:pPr>
              <w:spacing w:after="0" w:line="240" w:lineRule="auto"/>
              <w:ind w:firstLineChars="100" w:firstLine="220"/>
              <w:rPr>
                <w:rFonts w:eastAsia="Times New Roman" w:cs="Times New Roman"/>
                <w:szCs w:val="24"/>
              </w:rPr>
            </w:pPr>
            <w:r w:rsidRPr="00E93FD0">
              <w:rPr>
                <w:rFonts w:eastAsia="Times New Roman" w:cs="Times New Roman"/>
                <w:szCs w:val="24"/>
              </w:rPr>
              <w:t>Puerto Rican</w:t>
            </w:r>
          </w:p>
        </w:tc>
        <w:tc>
          <w:tcPr>
            <w:tcW w:w="1799" w:type="dxa"/>
            <w:shd w:val="clear" w:color="auto" w:fill="auto"/>
            <w:noWrap/>
            <w:vAlign w:val="center"/>
          </w:tcPr>
          <w:p w14:paraId="43B1426D" w14:textId="67B7BCE1" w:rsidR="00965FCC" w:rsidRPr="00E93FD0" w:rsidRDefault="003C7194" w:rsidP="003F500D">
            <w:pPr>
              <w:spacing w:after="0" w:line="240" w:lineRule="auto"/>
              <w:jc w:val="center"/>
              <w:rPr>
                <w:rFonts w:eastAsia="Times New Roman" w:cs="Times New Roman"/>
                <w:szCs w:val="24"/>
              </w:rPr>
            </w:pPr>
            <w:r w:rsidRPr="00E93FD0">
              <w:rPr>
                <w:rFonts w:eastAsia="Times New Roman" w:cs="Times New Roman"/>
                <w:szCs w:val="24"/>
              </w:rPr>
              <w:t>&lt;11</w:t>
            </w:r>
          </w:p>
        </w:tc>
        <w:tc>
          <w:tcPr>
            <w:tcW w:w="1799" w:type="dxa"/>
            <w:vAlign w:val="center"/>
          </w:tcPr>
          <w:p w14:paraId="024E39A0" w14:textId="77777777" w:rsidR="00965FCC" w:rsidRPr="00E93FD0" w:rsidRDefault="00965FCC" w:rsidP="003F500D">
            <w:pPr>
              <w:spacing w:after="0" w:line="240" w:lineRule="auto"/>
              <w:jc w:val="center"/>
              <w:rPr>
                <w:rFonts w:eastAsia="Times New Roman" w:cs="Times New Roman"/>
                <w:szCs w:val="24"/>
              </w:rPr>
            </w:pPr>
            <w:r w:rsidRPr="00E93FD0">
              <w:rPr>
                <w:rFonts w:eastAsia="Times New Roman" w:cs="Times New Roman"/>
                <w:szCs w:val="24"/>
              </w:rPr>
              <w:t>&lt;11</w:t>
            </w:r>
          </w:p>
        </w:tc>
      </w:tr>
      <w:tr w:rsidR="00E93FD0" w:rsidRPr="00E93FD0" w14:paraId="2D08E9C9" w14:textId="77777777" w:rsidTr="0085386B">
        <w:trPr>
          <w:cantSplit/>
          <w:trHeight w:val="432"/>
        </w:trPr>
        <w:tc>
          <w:tcPr>
            <w:tcW w:w="3613" w:type="dxa"/>
            <w:shd w:val="clear" w:color="auto" w:fill="auto"/>
            <w:noWrap/>
            <w:vAlign w:val="center"/>
            <w:hideMark/>
          </w:tcPr>
          <w:p w14:paraId="6A9CCDD5" w14:textId="77777777" w:rsidR="00965FCC" w:rsidRPr="00E93FD0" w:rsidRDefault="00965FCC" w:rsidP="003F500D">
            <w:pPr>
              <w:spacing w:after="0" w:line="240" w:lineRule="auto"/>
              <w:ind w:firstLineChars="100" w:firstLine="220"/>
              <w:rPr>
                <w:rFonts w:eastAsia="Times New Roman" w:cs="Times New Roman"/>
                <w:szCs w:val="24"/>
              </w:rPr>
            </w:pPr>
            <w:r w:rsidRPr="00E93FD0">
              <w:rPr>
                <w:rFonts w:eastAsia="Times New Roman" w:cs="Times New Roman"/>
                <w:szCs w:val="24"/>
              </w:rPr>
              <w:t>Another Hispanic, Latino Origin</w:t>
            </w:r>
          </w:p>
        </w:tc>
        <w:tc>
          <w:tcPr>
            <w:tcW w:w="1799" w:type="dxa"/>
            <w:shd w:val="clear" w:color="auto" w:fill="auto"/>
            <w:noWrap/>
            <w:vAlign w:val="center"/>
            <w:hideMark/>
          </w:tcPr>
          <w:p w14:paraId="1C916136" w14:textId="77777777" w:rsidR="00965FCC" w:rsidRPr="00E93FD0" w:rsidRDefault="00965FCC" w:rsidP="003F500D">
            <w:pPr>
              <w:spacing w:after="0" w:line="240" w:lineRule="auto"/>
              <w:jc w:val="center"/>
              <w:rPr>
                <w:rFonts w:eastAsia="Times New Roman" w:cs="Times New Roman"/>
                <w:szCs w:val="24"/>
              </w:rPr>
            </w:pPr>
            <w:r w:rsidRPr="00E93FD0">
              <w:rPr>
                <w:rFonts w:eastAsia="Times New Roman" w:cs="Times New Roman"/>
                <w:szCs w:val="24"/>
              </w:rPr>
              <w:t>25</w:t>
            </w:r>
          </w:p>
        </w:tc>
        <w:tc>
          <w:tcPr>
            <w:tcW w:w="1799" w:type="dxa"/>
            <w:vAlign w:val="center"/>
          </w:tcPr>
          <w:p w14:paraId="104B1FA0" w14:textId="77777777" w:rsidR="00965FCC" w:rsidRPr="00E93FD0" w:rsidRDefault="00965FCC" w:rsidP="003F500D">
            <w:pPr>
              <w:spacing w:after="0" w:line="240" w:lineRule="auto"/>
              <w:jc w:val="center"/>
              <w:rPr>
                <w:rFonts w:eastAsia="Times New Roman" w:cs="Times New Roman"/>
                <w:szCs w:val="24"/>
              </w:rPr>
            </w:pPr>
            <w:r w:rsidRPr="00E93FD0">
              <w:rPr>
                <w:rFonts w:eastAsia="Times New Roman" w:cs="Times New Roman"/>
                <w:szCs w:val="24"/>
              </w:rPr>
              <w:t>26</w:t>
            </w:r>
          </w:p>
        </w:tc>
      </w:tr>
      <w:tr w:rsidR="00E93FD0" w:rsidRPr="00E93FD0" w14:paraId="728223D8" w14:textId="77777777" w:rsidTr="0085386B">
        <w:trPr>
          <w:cantSplit/>
          <w:trHeight w:val="432"/>
        </w:trPr>
        <w:tc>
          <w:tcPr>
            <w:tcW w:w="3613" w:type="dxa"/>
            <w:shd w:val="clear" w:color="auto" w:fill="auto"/>
            <w:noWrap/>
            <w:vAlign w:val="center"/>
            <w:hideMark/>
          </w:tcPr>
          <w:p w14:paraId="49FD8163" w14:textId="77777777" w:rsidR="00965FCC" w:rsidRPr="00E93FD0" w:rsidRDefault="00965FCC" w:rsidP="003F500D">
            <w:pPr>
              <w:spacing w:after="0" w:line="240" w:lineRule="auto"/>
              <w:ind w:firstLineChars="100" w:firstLine="220"/>
              <w:rPr>
                <w:rFonts w:eastAsia="Times New Roman" w:cs="Times New Roman"/>
                <w:szCs w:val="24"/>
              </w:rPr>
            </w:pPr>
            <w:r w:rsidRPr="00E93FD0">
              <w:rPr>
                <w:rFonts w:eastAsia="Times New Roman" w:cs="Times New Roman"/>
                <w:szCs w:val="24"/>
              </w:rPr>
              <w:t>Not of Hispanic, Latino Origin</w:t>
            </w:r>
          </w:p>
        </w:tc>
        <w:tc>
          <w:tcPr>
            <w:tcW w:w="1799" w:type="dxa"/>
            <w:shd w:val="clear" w:color="auto" w:fill="auto"/>
            <w:noWrap/>
            <w:vAlign w:val="center"/>
            <w:hideMark/>
          </w:tcPr>
          <w:p w14:paraId="1D5983BD" w14:textId="77777777" w:rsidR="00965FCC" w:rsidRPr="00E93FD0" w:rsidRDefault="00965FCC" w:rsidP="003F500D">
            <w:pPr>
              <w:spacing w:after="0" w:line="240" w:lineRule="auto"/>
              <w:jc w:val="center"/>
              <w:rPr>
                <w:rFonts w:eastAsia="Times New Roman" w:cs="Times New Roman"/>
                <w:szCs w:val="24"/>
              </w:rPr>
            </w:pPr>
            <w:r w:rsidRPr="00E93FD0">
              <w:rPr>
                <w:rFonts w:eastAsia="Times New Roman" w:cs="Times New Roman"/>
                <w:szCs w:val="24"/>
              </w:rPr>
              <w:t>215</w:t>
            </w:r>
          </w:p>
        </w:tc>
        <w:tc>
          <w:tcPr>
            <w:tcW w:w="1799" w:type="dxa"/>
            <w:vAlign w:val="center"/>
          </w:tcPr>
          <w:p w14:paraId="0E1FBC29" w14:textId="77777777" w:rsidR="00965FCC" w:rsidRPr="00E93FD0" w:rsidRDefault="00965FCC" w:rsidP="003F500D">
            <w:pPr>
              <w:spacing w:after="0" w:line="240" w:lineRule="auto"/>
              <w:jc w:val="center"/>
              <w:rPr>
                <w:rFonts w:eastAsia="Times New Roman" w:cs="Times New Roman"/>
                <w:szCs w:val="24"/>
              </w:rPr>
            </w:pPr>
            <w:r w:rsidRPr="00E93FD0">
              <w:rPr>
                <w:rFonts w:eastAsia="Times New Roman" w:cs="Times New Roman"/>
                <w:szCs w:val="24"/>
              </w:rPr>
              <w:t>172</w:t>
            </w:r>
          </w:p>
        </w:tc>
      </w:tr>
      <w:tr w:rsidR="00E93FD0" w:rsidRPr="00E93FD0" w14:paraId="5C76BF90" w14:textId="77777777" w:rsidTr="0085386B">
        <w:trPr>
          <w:cantSplit/>
          <w:trHeight w:val="432"/>
        </w:trPr>
        <w:tc>
          <w:tcPr>
            <w:tcW w:w="3613" w:type="dxa"/>
            <w:shd w:val="clear" w:color="auto" w:fill="auto"/>
            <w:noWrap/>
            <w:vAlign w:val="center"/>
            <w:hideMark/>
          </w:tcPr>
          <w:p w14:paraId="56B175A6" w14:textId="77777777" w:rsidR="001B6968" w:rsidRPr="00E93FD0" w:rsidRDefault="00965FCC" w:rsidP="003F500D">
            <w:pPr>
              <w:spacing w:after="0" w:line="240" w:lineRule="auto"/>
              <w:ind w:firstLineChars="100" w:firstLine="220"/>
              <w:rPr>
                <w:rFonts w:eastAsia="Times New Roman" w:cs="Times New Roman"/>
                <w:szCs w:val="24"/>
              </w:rPr>
            </w:pPr>
            <w:proofErr w:type="gramStart"/>
            <w:r w:rsidRPr="00E93FD0">
              <w:rPr>
                <w:rFonts w:eastAsia="Times New Roman" w:cs="Times New Roman"/>
                <w:szCs w:val="24"/>
              </w:rPr>
              <w:t>Patient</w:t>
            </w:r>
            <w:proofErr w:type="gramEnd"/>
            <w:r w:rsidRPr="00E93FD0">
              <w:rPr>
                <w:rFonts w:eastAsia="Times New Roman" w:cs="Times New Roman"/>
                <w:szCs w:val="24"/>
              </w:rPr>
              <w:t xml:space="preserve"> unable to respond</w:t>
            </w:r>
            <w:r w:rsidR="001B6968" w:rsidRPr="00E93FD0">
              <w:rPr>
                <w:rFonts w:eastAsia="Times New Roman" w:cs="Times New Roman"/>
                <w:szCs w:val="24"/>
              </w:rPr>
              <w:t xml:space="preserve"> or </w:t>
            </w:r>
          </w:p>
          <w:p w14:paraId="05A60318" w14:textId="7C2947B9" w:rsidR="00965FCC" w:rsidRPr="00E93FD0" w:rsidRDefault="001B6968" w:rsidP="003F500D">
            <w:pPr>
              <w:spacing w:after="0" w:line="240" w:lineRule="auto"/>
              <w:ind w:firstLineChars="100" w:firstLine="220"/>
              <w:rPr>
                <w:rFonts w:eastAsia="Times New Roman" w:cs="Times New Roman"/>
                <w:szCs w:val="24"/>
              </w:rPr>
            </w:pPr>
            <w:r w:rsidRPr="00E93FD0">
              <w:rPr>
                <w:rFonts w:eastAsia="Times New Roman" w:cs="Times New Roman"/>
                <w:szCs w:val="24"/>
              </w:rPr>
              <w:t>declines to respond</w:t>
            </w:r>
          </w:p>
        </w:tc>
        <w:tc>
          <w:tcPr>
            <w:tcW w:w="1799" w:type="dxa"/>
            <w:shd w:val="clear" w:color="auto" w:fill="auto"/>
            <w:noWrap/>
            <w:vAlign w:val="center"/>
            <w:hideMark/>
          </w:tcPr>
          <w:p w14:paraId="4CD1594E" w14:textId="77777777" w:rsidR="00965FCC" w:rsidRPr="00E93FD0" w:rsidRDefault="00965FCC" w:rsidP="003F500D">
            <w:pPr>
              <w:spacing w:after="0" w:line="240" w:lineRule="auto"/>
              <w:jc w:val="center"/>
              <w:rPr>
                <w:rFonts w:eastAsia="Times New Roman" w:cs="Times New Roman"/>
                <w:szCs w:val="24"/>
              </w:rPr>
            </w:pPr>
            <w:r w:rsidRPr="00E93FD0">
              <w:rPr>
                <w:rFonts w:eastAsia="Times New Roman" w:cs="Times New Roman"/>
                <w:szCs w:val="24"/>
              </w:rPr>
              <w:t>&lt;11</w:t>
            </w:r>
          </w:p>
        </w:tc>
        <w:tc>
          <w:tcPr>
            <w:tcW w:w="1799" w:type="dxa"/>
            <w:vAlign w:val="center"/>
          </w:tcPr>
          <w:p w14:paraId="165BD7E9" w14:textId="77777777" w:rsidR="00965FCC" w:rsidRPr="00E93FD0" w:rsidRDefault="00965FCC" w:rsidP="003F500D">
            <w:pPr>
              <w:spacing w:after="0" w:line="240" w:lineRule="auto"/>
              <w:jc w:val="center"/>
              <w:rPr>
                <w:rFonts w:eastAsia="Times New Roman" w:cs="Times New Roman"/>
                <w:szCs w:val="24"/>
              </w:rPr>
            </w:pPr>
            <w:r w:rsidRPr="00E93FD0">
              <w:rPr>
                <w:rFonts w:eastAsia="Times New Roman" w:cs="Times New Roman"/>
                <w:szCs w:val="24"/>
              </w:rPr>
              <w:t>&lt;11</w:t>
            </w:r>
          </w:p>
        </w:tc>
      </w:tr>
      <w:tr w:rsidR="00E93FD0" w:rsidRPr="00E93FD0" w14:paraId="0CE38B89" w14:textId="77777777" w:rsidTr="0085386B">
        <w:trPr>
          <w:cantSplit/>
          <w:trHeight w:val="432"/>
        </w:trPr>
        <w:tc>
          <w:tcPr>
            <w:tcW w:w="3613" w:type="dxa"/>
            <w:shd w:val="clear" w:color="auto" w:fill="D5DCE4" w:themeFill="text2" w:themeFillTint="33"/>
            <w:noWrap/>
            <w:vAlign w:val="center"/>
          </w:tcPr>
          <w:p w14:paraId="2BA494A9" w14:textId="3C87F33C" w:rsidR="00965FCC" w:rsidRPr="00E93FD0" w:rsidRDefault="00965FCC" w:rsidP="003F500D">
            <w:pPr>
              <w:spacing w:after="0" w:line="240" w:lineRule="auto"/>
              <w:rPr>
                <w:rFonts w:eastAsia="Times New Roman" w:cs="Times New Roman"/>
                <w:b/>
                <w:szCs w:val="24"/>
              </w:rPr>
            </w:pPr>
            <w:r w:rsidRPr="00E93FD0">
              <w:rPr>
                <w:rFonts w:eastAsia="Times New Roman" w:cs="Times New Roman"/>
                <w:b/>
                <w:szCs w:val="24"/>
              </w:rPr>
              <w:t>Total</w:t>
            </w:r>
          </w:p>
        </w:tc>
        <w:tc>
          <w:tcPr>
            <w:tcW w:w="1799" w:type="dxa"/>
            <w:shd w:val="clear" w:color="auto" w:fill="D5DCE4" w:themeFill="text2" w:themeFillTint="33"/>
            <w:noWrap/>
            <w:vAlign w:val="center"/>
          </w:tcPr>
          <w:p w14:paraId="63E7D98E" w14:textId="4A0C92E7" w:rsidR="00965FCC" w:rsidRPr="00E93FD0" w:rsidRDefault="00965FCC" w:rsidP="003F500D">
            <w:pPr>
              <w:spacing w:after="0" w:line="240" w:lineRule="auto"/>
              <w:jc w:val="center"/>
              <w:rPr>
                <w:rFonts w:eastAsia="Times New Roman" w:cs="Times New Roman"/>
                <w:b/>
                <w:szCs w:val="24"/>
              </w:rPr>
            </w:pPr>
            <w:r w:rsidRPr="00E93FD0">
              <w:rPr>
                <w:rFonts w:eastAsia="Times New Roman" w:cs="Times New Roman"/>
                <w:b/>
                <w:szCs w:val="24"/>
              </w:rPr>
              <w:t>24</w:t>
            </w:r>
            <w:r w:rsidR="00DA57B0" w:rsidRPr="00E93FD0">
              <w:rPr>
                <w:rFonts w:eastAsia="Times New Roman" w:cs="Times New Roman"/>
                <w:b/>
                <w:szCs w:val="24"/>
              </w:rPr>
              <w:t>4</w:t>
            </w:r>
          </w:p>
        </w:tc>
        <w:tc>
          <w:tcPr>
            <w:tcW w:w="1799" w:type="dxa"/>
            <w:shd w:val="clear" w:color="auto" w:fill="D5DCE4" w:themeFill="text2" w:themeFillTint="33"/>
            <w:vAlign w:val="center"/>
          </w:tcPr>
          <w:p w14:paraId="50920556" w14:textId="581B469C" w:rsidR="00965FCC" w:rsidRPr="00E93FD0" w:rsidRDefault="00965FCC" w:rsidP="003F500D">
            <w:pPr>
              <w:spacing w:after="0" w:line="240" w:lineRule="auto"/>
              <w:jc w:val="center"/>
              <w:rPr>
                <w:rFonts w:eastAsia="Times New Roman" w:cs="Times New Roman"/>
                <w:b/>
                <w:szCs w:val="24"/>
              </w:rPr>
            </w:pPr>
            <w:r w:rsidRPr="00E93FD0">
              <w:rPr>
                <w:rFonts w:eastAsia="Times New Roman" w:cs="Times New Roman"/>
                <w:b/>
                <w:szCs w:val="24"/>
              </w:rPr>
              <w:t>20</w:t>
            </w:r>
            <w:r w:rsidR="00DA57B0" w:rsidRPr="00E93FD0">
              <w:rPr>
                <w:rFonts w:eastAsia="Times New Roman" w:cs="Times New Roman"/>
                <w:b/>
                <w:szCs w:val="24"/>
              </w:rPr>
              <w:t>4</w:t>
            </w:r>
          </w:p>
        </w:tc>
      </w:tr>
    </w:tbl>
    <w:p w14:paraId="106CD1B3" w14:textId="77777777" w:rsidR="00965FCC" w:rsidRPr="00E93FD0" w:rsidRDefault="00965FCC" w:rsidP="00965FCC">
      <w:pPr>
        <w:spacing w:after="0"/>
        <w:rPr>
          <w:rFonts w:cs="Times New Roman"/>
          <w:sz w:val="16"/>
          <w:szCs w:val="16"/>
        </w:rPr>
      </w:pPr>
    </w:p>
    <w:tbl>
      <w:tblPr>
        <w:tblW w:w="7211" w:type="dxa"/>
        <w:tblLook w:val="04A0" w:firstRow="1" w:lastRow="0" w:firstColumn="1" w:lastColumn="0" w:noHBand="0" w:noVBand="1"/>
      </w:tblPr>
      <w:tblGrid>
        <w:gridCol w:w="3613"/>
        <w:gridCol w:w="1799"/>
        <w:gridCol w:w="1799"/>
      </w:tblGrid>
      <w:tr w:rsidR="00E93FD0" w:rsidRPr="00E93FD0" w14:paraId="05A4730C" w14:textId="77777777" w:rsidTr="002F2D12">
        <w:trPr>
          <w:cantSplit/>
          <w:trHeight w:val="432"/>
          <w:tblHeader/>
        </w:trPr>
        <w:tc>
          <w:tcPr>
            <w:tcW w:w="3613" w:type="dxa"/>
            <w:shd w:val="clear" w:color="auto" w:fill="D5DCE4" w:themeFill="text2" w:themeFillTint="33"/>
            <w:noWrap/>
            <w:vAlign w:val="center"/>
            <w:hideMark/>
          </w:tcPr>
          <w:p w14:paraId="04CBC31F" w14:textId="238C01E7" w:rsidR="00965FCC" w:rsidRPr="00E93FD0" w:rsidRDefault="007B4207" w:rsidP="003F500D">
            <w:pPr>
              <w:spacing w:after="0" w:line="240" w:lineRule="auto"/>
              <w:rPr>
                <w:rFonts w:eastAsia="Times New Roman" w:cs="Times New Roman"/>
                <w:b/>
                <w:bCs/>
                <w:szCs w:val="24"/>
              </w:rPr>
            </w:pPr>
            <w:r w:rsidRPr="00E93FD0">
              <w:rPr>
                <w:rFonts w:eastAsia="Times New Roman" w:cs="Times New Roman"/>
                <w:b/>
                <w:bCs/>
                <w:szCs w:val="24"/>
              </w:rPr>
              <w:t>Race</w:t>
            </w:r>
          </w:p>
        </w:tc>
        <w:tc>
          <w:tcPr>
            <w:tcW w:w="1799" w:type="dxa"/>
            <w:shd w:val="clear" w:color="auto" w:fill="D5DCE4" w:themeFill="text2" w:themeFillTint="33"/>
            <w:noWrap/>
            <w:vAlign w:val="center"/>
            <w:hideMark/>
          </w:tcPr>
          <w:p w14:paraId="1809264D" w14:textId="77777777" w:rsidR="00965FCC" w:rsidRPr="00E93FD0" w:rsidRDefault="00965FCC" w:rsidP="003F500D">
            <w:pPr>
              <w:spacing w:after="0" w:line="240" w:lineRule="auto"/>
              <w:jc w:val="center"/>
              <w:rPr>
                <w:rFonts w:eastAsia="Times New Roman" w:cs="Times New Roman"/>
                <w:b/>
                <w:bCs/>
                <w:szCs w:val="24"/>
              </w:rPr>
            </w:pPr>
            <w:r w:rsidRPr="00E93FD0">
              <w:rPr>
                <w:rFonts w:eastAsia="Times New Roman" w:cs="Times New Roman"/>
                <w:b/>
                <w:bCs/>
                <w:szCs w:val="24"/>
              </w:rPr>
              <w:t>2023</w:t>
            </w:r>
          </w:p>
        </w:tc>
        <w:tc>
          <w:tcPr>
            <w:tcW w:w="1799" w:type="dxa"/>
            <w:shd w:val="clear" w:color="auto" w:fill="D5DCE4" w:themeFill="text2" w:themeFillTint="33"/>
            <w:vAlign w:val="center"/>
          </w:tcPr>
          <w:p w14:paraId="320F07A1" w14:textId="77777777" w:rsidR="00965FCC" w:rsidRPr="00E93FD0" w:rsidRDefault="00965FCC" w:rsidP="003F500D">
            <w:pPr>
              <w:spacing w:after="0" w:line="240" w:lineRule="auto"/>
              <w:jc w:val="center"/>
              <w:rPr>
                <w:rFonts w:eastAsia="Times New Roman" w:cs="Times New Roman"/>
                <w:b/>
                <w:bCs/>
                <w:szCs w:val="24"/>
              </w:rPr>
            </w:pPr>
            <w:r w:rsidRPr="00E93FD0">
              <w:rPr>
                <w:rFonts w:eastAsia="Times New Roman" w:cs="Times New Roman"/>
                <w:b/>
                <w:bCs/>
                <w:szCs w:val="24"/>
              </w:rPr>
              <w:t>2024</w:t>
            </w:r>
          </w:p>
        </w:tc>
      </w:tr>
      <w:tr w:rsidR="00E93FD0" w:rsidRPr="00E93FD0" w14:paraId="507CAE3E" w14:textId="77777777" w:rsidTr="002F2D12">
        <w:trPr>
          <w:cantSplit/>
          <w:trHeight w:val="432"/>
        </w:trPr>
        <w:tc>
          <w:tcPr>
            <w:tcW w:w="3613" w:type="dxa"/>
            <w:shd w:val="clear" w:color="auto" w:fill="auto"/>
            <w:noWrap/>
            <w:vAlign w:val="center"/>
          </w:tcPr>
          <w:p w14:paraId="10DE58BF" w14:textId="77777777" w:rsidR="00965FCC" w:rsidRPr="00E93FD0" w:rsidRDefault="00965FCC" w:rsidP="003F500D">
            <w:pPr>
              <w:spacing w:after="0" w:line="240" w:lineRule="auto"/>
              <w:ind w:firstLineChars="100" w:firstLine="220"/>
              <w:rPr>
                <w:rFonts w:eastAsia="Times New Roman" w:cs="Times New Roman"/>
                <w:szCs w:val="24"/>
              </w:rPr>
            </w:pPr>
            <w:r w:rsidRPr="00E93FD0">
              <w:rPr>
                <w:rFonts w:eastAsia="Times New Roman" w:cs="Times New Roman"/>
                <w:szCs w:val="24"/>
              </w:rPr>
              <w:t>White</w:t>
            </w:r>
          </w:p>
        </w:tc>
        <w:tc>
          <w:tcPr>
            <w:tcW w:w="1799" w:type="dxa"/>
            <w:shd w:val="clear" w:color="auto" w:fill="auto"/>
            <w:noWrap/>
            <w:vAlign w:val="center"/>
          </w:tcPr>
          <w:p w14:paraId="3CFF5281" w14:textId="77777777" w:rsidR="00965FCC" w:rsidRPr="00E93FD0" w:rsidRDefault="00965FCC" w:rsidP="003F500D">
            <w:pPr>
              <w:spacing w:after="0" w:line="240" w:lineRule="auto"/>
              <w:jc w:val="center"/>
              <w:rPr>
                <w:rFonts w:eastAsia="Times New Roman" w:cs="Times New Roman"/>
                <w:szCs w:val="24"/>
              </w:rPr>
            </w:pPr>
            <w:r w:rsidRPr="00E93FD0">
              <w:rPr>
                <w:rFonts w:eastAsia="Times New Roman" w:cs="Times New Roman"/>
                <w:szCs w:val="24"/>
              </w:rPr>
              <w:t>196</w:t>
            </w:r>
          </w:p>
        </w:tc>
        <w:tc>
          <w:tcPr>
            <w:tcW w:w="1799" w:type="dxa"/>
            <w:vAlign w:val="center"/>
          </w:tcPr>
          <w:p w14:paraId="2A0D04C4" w14:textId="77777777" w:rsidR="00965FCC" w:rsidRPr="00E93FD0" w:rsidRDefault="00965FCC" w:rsidP="003F500D">
            <w:pPr>
              <w:spacing w:after="0" w:line="240" w:lineRule="auto"/>
              <w:jc w:val="center"/>
              <w:rPr>
                <w:rFonts w:eastAsia="Times New Roman" w:cs="Times New Roman"/>
                <w:szCs w:val="24"/>
              </w:rPr>
            </w:pPr>
            <w:r w:rsidRPr="00E93FD0">
              <w:rPr>
                <w:rFonts w:eastAsia="Times New Roman" w:cs="Times New Roman"/>
                <w:szCs w:val="24"/>
              </w:rPr>
              <w:t>146</w:t>
            </w:r>
          </w:p>
        </w:tc>
      </w:tr>
      <w:tr w:rsidR="00E93FD0" w:rsidRPr="00E93FD0" w14:paraId="18AA7796" w14:textId="77777777" w:rsidTr="002F2D12">
        <w:trPr>
          <w:cantSplit/>
          <w:trHeight w:val="432"/>
        </w:trPr>
        <w:tc>
          <w:tcPr>
            <w:tcW w:w="3613" w:type="dxa"/>
            <w:shd w:val="clear" w:color="auto" w:fill="auto"/>
            <w:noWrap/>
            <w:vAlign w:val="center"/>
          </w:tcPr>
          <w:p w14:paraId="5A354E99" w14:textId="77777777" w:rsidR="00965FCC" w:rsidRPr="00E93FD0" w:rsidRDefault="00965FCC" w:rsidP="003F500D">
            <w:pPr>
              <w:spacing w:after="0" w:line="240" w:lineRule="auto"/>
              <w:ind w:firstLineChars="100" w:firstLine="220"/>
              <w:rPr>
                <w:rFonts w:eastAsia="Times New Roman" w:cs="Times New Roman"/>
                <w:szCs w:val="24"/>
              </w:rPr>
            </w:pPr>
            <w:r w:rsidRPr="00E93FD0">
              <w:rPr>
                <w:rFonts w:eastAsia="Times New Roman" w:cs="Times New Roman"/>
                <w:szCs w:val="24"/>
              </w:rPr>
              <w:t>Black/African American</w:t>
            </w:r>
          </w:p>
        </w:tc>
        <w:tc>
          <w:tcPr>
            <w:tcW w:w="1799" w:type="dxa"/>
            <w:shd w:val="clear" w:color="auto" w:fill="auto"/>
            <w:noWrap/>
            <w:vAlign w:val="center"/>
          </w:tcPr>
          <w:p w14:paraId="4A1527C3" w14:textId="77777777" w:rsidR="00965FCC" w:rsidRPr="00E93FD0" w:rsidRDefault="00965FCC" w:rsidP="003F500D">
            <w:pPr>
              <w:spacing w:after="0" w:line="240" w:lineRule="auto"/>
              <w:jc w:val="center"/>
              <w:rPr>
                <w:rFonts w:eastAsia="Times New Roman" w:cs="Times New Roman"/>
                <w:szCs w:val="24"/>
              </w:rPr>
            </w:pPr>
            <w:r w:rsidRPr="00E93FD0">
              <w:rPr>
                <w:rFonts w:eastAsia="Times New Roman" w:cs="Times New Roman"/>
                <w:szCs w:val="24"/>
              </w:rPr>
              <w:t>21</w:t>
            </w:r>
          </w:p>
        </w:tc>
        <w:tc>
          <w:tcPr>
            <w:tcW w:w="1799" w:type="dxa"/>
            <w:vAlign w:val="center"/>
          </w:tcPr>
          <w:p w14:paraId="28A33810" w14:textId="77777777" w:rsidR="00965FCC" w:rsidRPr="00E93FD0" w:rsidRDefault="00965FCC" w:rsidP="003F500D">
            <w:pPr>
              <w:spacing w:after="0" w:line="240" w:lineRule="auto"/>
              <w:jc w:val="center"/>
              <w:rPr>
                <w:rFonts w:eastAsia="Times New Roman" w:cs="Times New Roman"/>
                <w:szCs w:val="24"/>
              </w:rPr>
            </w:pPr>
            <w:r w:rsidRPr="00E93FD0">
              <w:rPr>
                <w:rFonts w:eastAsia="Times New Roman" w:cs="Times New Roman"/>
                <w:szCs w:val="24"/>
              </w:rPr>
              <w:t>19</w:t>
            </w:r>
          </w:p>
        </w:tc>
      </w:tr>
      <w:tr w:rsidR="00E93FD0" w:rsidRPr="00E93FD0" w14:paraId="42163D1C" w14:textId="77777777" w:rsidTr="002F2D12">
        <w:trPr>
          <w:cantSplit/>
          <w:trHeight w:val="432"/>
        </w:trPr>
        <w:tc>
          <w:tcPr>
            <w:tcW w:w="3613" w:type="dxa"/>
            <w:shd w:val="clear" w:color="auto" w:fill="auto"/>
            <w:noWrap/>
            <w:vAlign w:val="center"/>
          </w:tcPr>
          <w:p w14:paraId="5EBA6AB1" w14:textId="77777777" w:rsidR="00965FCC" w:rsidRPr="00E93FD0" w:rsidRDefault="00965FCC" w:rsidP="003F500D">
            <w:pPr>
              <w:spacing w:after="0" w:line="240" w:lineRule="auto"/>
              <w:ind w:firstLineChars="100" w:firstLine="220"/>
              <w:rPr>
                <w:rFonts w:eastAsia="Times New Roman" w:cs="Times New Roman"/>
                <w:szCs w:val="24"/>
              </w:rPr>
            </w:pPr>
            <w:r w:rsidRPr="00E93FD0">
              <w:rPr>
                <w:rFonts w:eastAsia="Times New Roman" w:cs="Times New Roman"/>
                <w:szCs w:val="24"/>
              </w:rPr>
              <w:t>American Indian or Alaska Native</w:t>
            </w:r>
          </w:p>
        </w:tc>
        <w:tc>
          <w:tcPr>
            <w:tcW w:w="1799" w:type="dxa"/>
            <w:shd w:val="clear" w:color="auto" w:fill="auto"/>
            <w:noWrap/>
            <w:vAlign w:val="center"/>
          </w:tcPr>
          <w:p w14:paraId="309BE0CB" w14:textId="77777777" w:rsidR="00965FCC" w:rsidRPr="00E93FD0" w:rsidRDefault="00965FCC" w:rsidP="003F500D">
            <w:pPr>
              <w:spacing w:after="0" w:line="240" w:lineRule="auto"/>
              <w:jc w:val="center"/>
              <w:rPr>
                <w:rFonts w:eastAsia="Times New Roman" w:cs="Times New Roman"/>
                <w:szCs w:val="24"/>
              </w:rPr>
            </w:pPr>
            <w:r w:rsidRPr="00E93FD0">
              <w:rPr>
                <w:rFonts w:eastAsia="Times New Roman" w:cs="Times New Roman"/>
                <w:szCs w:val="24"/>
              </w:rPr>
              <w:t>&lt;11</w:t>
            </w:r>
          </w:p>
        </w:tc>
        <w:tc>
          <w:tcPr>
            <w:tcW w:w="1799" w:type="dxa"/>
            <w:vAlign w:val="center"/>
          </w:tcPr>
          <w:p w14:paraId="670B9313" w14:textId="753C8FAC" w:rsidR="00965FCC" w:rsidRPr="00E93FD0" w:rsidRDefault="00965FCC" w:rsidP="003F500D">
            <w:pPr>
              <w:spacing w:after="0" w:line="240" w:lineRule="auto"/>
              <w:jc w:val="center"/>
              <w:rPr>
                <w:rFonts w:eastAsia="Times New Roman" w:cs="Times New Roman"/>
                <w:szCs w:val="24"/>
              </w:rPr>
            </w:pPr>
          </w:p>
        </w:tc>
      </w:tr>
      <w:tr w:rsidR="00E93FD0" w:rsidRPr="00E93FD0" w14:paraId="1807DAFC" w14:textId="77777777" w:rsidTr="002F2D12">
        <w:trPr>
          <w:cantSplit/>
          <w:trHeight w:val="432"/>
        </w:trPr>
        <w:tc>
          <w:tcPr>
            <w:tcW w:w="3613" w:type="dxa"/>
            <w:shd w:val="clear" w:color="auto" w:fill="auto"/>
            <w:noWrap/>
            <w:vAlign w:val="center"/>
          </w:tcPr>
          <w:p w14:paraId="6A3322A7" w14:textId="199E0646" w:rsidR="00965FCC" w:rsidRPr="00E93FD0" w:rsidRDefault="007B4207" w:rsidP="003F500D">
            <w:pPr>
              <w:spacing w:after="0" w:line="240" w:lineRule="auto"/>
              <w:ind w:firstLineChars="100" w:firstLine="220"/>
              <w:rPr>
                <w:rFonts w:eastAsia="Times New Roman" w:cs="Times New Roman"/>
                <w:szCs w:val="24"/>
              </w:rPr>
            </w:pPr>
            <w:r w:rsidRPr="00E93FD0">
              <w:rPr>
                <w:rFonts w:eastAsia="Times New Roman" w:cs="Times New Roman"/>
                <w:szCs w:val="24"/>
              </w:rPr>
              <w:t>Asian</w:t>
            </w:r>
          </w:p>
        </w:tc>
        <w:tc>
          <w:tcPr>
            <w:tcW w:w="1799" w:type="dxa"/>
            <w:shd w:val="clear" w:color="auto" w:fill="auto"/>
            <w:noWrap/>
            <w:vAlign w:val="center"/>
          </w:tcPr>
          <w:p w14:paraId="46C54572" w14:textId="4D9F0493" w:rsidR="00965FCC" w:rsidRPr="00E93FD0" w:rsidRDefault="00965FCC" w:rsidP="003F500D">
            <w:pPr>
              <w:spacing w:after="0" w:line="240" w:lineRule="auto"/>
              <w:jc w:val="center"/>
              <w:rPr>
                <w:rFonts w:eastAsia="Times New Roman" w:cs="Times New Roman"/>
                <w:szCs w:val="24"/>
              </w:rPr>
            </w:pPr>
            <w:r w:rsidRPr="00E93FD0">
              <w:rPr>
                <w:rFonts w:eastAsia="Times New Roman" w:cs="Times New Roman"/>
                <w:szCs w:val="24"/>
              </w:rPr>
              <w:t>&lt;11</w:t>
            </w:r>
            <w:r w:rsidR="003C7194" w:rsidRPr="00E93FD0">
              <w:rPr>
                <w:rStyle w:val="FootnoteReference"/>
                <w:rFonts w:eastAsia="Times New Roman" w:cs="Times New Roman"/>
                <w:szCs w:val="24"/>
              </w:rPr>
              <w:footnoteReference w:id="9"/>
            </w:r>
          </w:p>
        </w:tc>
        <w:tc>
          <w:tcPr>
            <w:tcW w:w="1799" w:type="dxa"/>
            <w:vAlign w:val="center"/>
          </w:tcPr>
          <w:p w14:paraId="19060C05" w14:textId="136C9585" w:rsidR="00965FCC" w:rsidRPr="00E93FD0" w:rsidRDefault="003C7194" w:rsidP="003F500D">
            <w:pPr>
              <w:spacing w:after="0" w:line="240" w:lineRule="auto"/>
              <w:jc w:val="center"/>
              <w:rPr>
                <w:rFonts w:eastAsia="Times New Roman" w:cs="Times New Roman"/>
                <w:szCs w:val="24"/>
              </w:rPr>
            </w:pPr>
            <w:r w:rsidRPr="00E93FD0">
              <w:rPr>
                <w:rFonts w:eastAsia="Times New Roman" w:cs="Times New Roman"/>
                <w:szCs w:val="24"/>
              </w:rPr>
              <w:t>&lt;11</w:t>
            </w:r>
            <w:r w:rsidR="007B4207" w:rsidRPr="00E93FD0">
              <w:rPr>
                <w:rStyle w:val="FootnoteReference"/>
                <w:rFonts w:eastAsia="Times New Roman" w:cs="Times New Roman"/>
                <w:szCs w:val="24"/>
              </w:rPr>
              <w:footnoteReference w:id="10"/>
            </w:r>
          </w:p>
        </w:tc>
      </w:tr>
      <w:tr w:rsidR="00E93FD0" w:rsidRPr="00E93FD0" w14:paraId="0249AD8E" w14:textId="77777777" w:rsidTr="002F2D12">
        <w:trPr>
          <w:cantSplit/>
          <w:trHeight w:val="432"/>
        </w:trPr>
        <w:tc>
          <w:tcPr>
            <w:tcW w:w="3613" w:type="dxa"/>
            <w:shd w:val="clear" w:color="auto" w:fill="auto"/>
            <w:noWrap/>
            <w:vAlign w:val="center"/>
          </w:tcPr>
          <w:p w14:paraId="443767C1" w14:textId="77777777" w:rsidR="00965FCC" w:rsidRPr="00E93FD0" w:rsidRDefault="00965FCC" w:rsidP="003F500D">
            <w:pPr>
              <w:spacing w:after="0" w:line="240" w:lineRule="auto"/>
              <w:ind w:firstLineChars="100" w:firstLine="220"/>
              <w:rPr>
                <w:rFonts w:eastAsia="Times New Roman" w:cs="Times New Roman"/>
                <w:szCs w:val="24"/>
              </w:rPr>
            </w:pPr>
            <w:proofErr w:type="gramStart"/>
            <w:r w:rsidRPr="00E93FD0">
              <w:rPr>
                <w:rFonts w:eastAsia="Times New Roman" w:cs="Times New Roman"/>
                <w:szCs w:val="24"/>
              </w:rPr>
              <w:t>Patient</w:t>
            </w:r>
            <w:proofErr w:type="gramEnd"/>
            <w:r w:rsidRPr="00E93FD0">
              <w:rPr>
                <w:rFonts w:eastAsia="Times New Roman" w:cs="Times New Roman"/>
                <w:szCs w:val="24"/>
              </w:rPr>
              <w:t xml:space="preserve"> unable to respond</w:t>
            </w:r>
            <w:r w:rsidR="003C7194" w:rsidRPr="00E93FD0">
              <w:rPr>
                <w:rFonts w:eastAsia="Times New Roman" w:cs="Times New Roman"/>
                <w:szCs w:val="24"/>
              </w:rPr>
              <w:t xml:space="preserve"> or</w:t>
            </w:r>
          </w:p>
          <w:p w14:paraId="273BABC1" w14:textId="45EA019A" w:rsidR="003C7194" w:rsidRPr="00E93FD0" w:rsidRDefault="003C7194" w:rsidP="003F500D">
            <w:pPr>
              <w:spacing w:after="0" w:line="240" w:lineRule="auto"/>
              <w:ind w:firstLineChars="100" w:firstLine="220"/>
              <w:rPr>
                <w:rFonts w:eastAsia="Times New Roman" w:cs="Times New Roman"/>
                <w:szCs w:val="24"/>
              </w:rPr>
            </w:pPr>
            <w:r w:rsidRPr="00E93FD0">
              <w:rPr>
                <w:rFonts w:eastAsia="Times New Roman" w:cs="Times New Roman"/>
                <w:szCs w:val="24"/>
              </w:rPr>
              <w:t>declines to respond</w:t>
            </w:r>
          </w:p>
        </w:tc>
        <w:tc>
          <w:tcPr>
            <w:tcW w:w="1799" w:type="dxa"/>
            <w:shd w:val="clear" w:color="auto" w:fill="auto"/>
            <w:noWrap/>
            <w:vAlign w:val="center"/>
          </w:tcPr>
          <w:p w14:paraId="3738CCE7" w14:textId="77777777" w:rsidR="00965FCC" w:rsidRPr="00E93FD0" w:rsidRDefault="00965FCC" w:rsidP="003F500D">
            <w:pPr>
              <w:spacing w:after="0" w:line="240" w:lineRule="auto"/>
              <w:jc w:val="center"/>
              <w:rPr>
                <w:rFonts w:eastAsia="Times New Roman" w:cs="Times New Roman"/>
                <w:szCs w:val="24"/>
              </w:rPr>
            </w:pPr>
            <w:r w:rsidRPr="00E93FD0">
              <w:rPr>
                <w:rFonts w:eastAsia="Times New Roman" w:cs="Times New Roman"/>
                <w:szCs w:val="24"/>
              </w:rPr>
              <w:t>&lt;11</w:t>
            </w:r>
          </w:p>
        </w:tc>
        <w:tc>
          <w:tcPr>
            <w:tcW w:w="1799" w:type="dxa"/>
            <w:vAlign w:val="center"/>
          </w:tcPr>
          <w:p w14:paraId="19197FD4" w14:textId="25024935" w:rsidR="00965FCC" w:rsidRPr="00E93FD0" w:rsidRDefault="00965FCC" w:rsidP="007B4207">
            <w:pPr>
              <w:spacing w:after="0" w:line="240" w:lineRule="auto"/>
              <w:rPr>
                <w:rFonts w:eastAsia="Times New Roman" w:cs="Times New Roman"/>
                <w:szCs w:val="24"/>
              </w:rPr>
            </w:pPr>
          </w:p>
        </w:tc>
      </w:tr>
      <w:tr w:rsidR="00E93FD0" w:rsidRPr="00E93FD0" w14:paraId="0C6C7039" w14:textId="77777777" w:rsidTr="002F2D12">
        <w:trPr>
          <w:cantSplit/>
          <w:trHeight w:val="432"/>
        </w:trPr>
        <w:tc>
          <w:tcPr>
            <w:tcW w:w="3613" w:type="dxa"/>
            <w:shd w:val="clear" w:color="auto" w:fill="auto"/>
            <w:noWrap/>
            <w:vAlign w:val="center"/>
          </w:tcPr>
          <w:p w14:paraId="1E0B698B" w14:textId="77777777" w:rsidR="00965FCC" w:rsidRPr="00E93FD0" w:rsidRDefault="00965FCC" w:rsidP="003F500D">
            <w:pPr>
              <w:spacing w:after="0" w:line="240" w:lineRule="auto"/>
              <w:ind w:firstLineChars="100" w:firstLine="220"/>
              <w:rPr>
                <w:rFonts w:eastAsia="Times New Roman" w:cs="Times New Roman"/>
                <w:szCs w:val="24"/>
              </w:rPr>
            </w:pPr>
            <w:r w:rsidRPr="00E93FD0">
              <w:rPr>
                <w:rFonts w:eastAsia="Times New Roman" w:cs="Times New Roman"/>
                <w:szCs w:val="24"/>
              </w:rPr>
              <w:t>None of the above</w:t>
            </w:r>
          </w:p>
        </w:tc>
        <w:tc>
          <w:tcPr>
            <w:tcW w:w="1799" w:type="dxa"/>
            <w:shd w:val="clear" w:color="auto" w:fill="auto"/>
            <w:noWrap/>
            <w:vAlign w:val="center"/>
          </w:tcPr>
          <w:p w14:paraId="36DCAB06" w14:textId="74D92BEE" w:rsidR="00965FCC" w:rsidRPr="00E93FD0" w:rsidRDefault="00965FCC" w:rsidP="003F500D">
            <w:pPr>
              <w:spacing w:after="0" w:line="240" w:lineRule="auto"/>
              <w:jc w:val="center"/>
              <w:rPr>
                <w:rFonts w:eastAsia="Times New Roman" w:cs="Times New Roman"/>
                <w:szCs w:val="24"/>
              </w:rPr>
            </w:pPr>
            <w:r w:rsidRPr="00E93FD0">
              <w:rPr>
                <w:rFonts w:eastAsia="Times New Roman" w:cs="Times New Roman"/>
                <w:szCs w:val="24"/>
              </w:rPr>
              <w:t>2</w:t>
            </w:r>
            <w:r w:rsidR="00DA57B0" w:rsidRPr="00E93FD0">
              <w:rPr>
                <w:rFonts w:eastAsia="Times New Roman" w:cs="Times New Roman"/>
                <w:szCs w:val="24"/>
              </w:rPr>
              <w:t>2</w:t>
            </w:r>
          </w:p>
        </w:tc>
        <w:tc>
          <w:tcPr>
            <w:tcW w:w="1799" w:type="dxa"/>
            <w:vAlign w:val="center"/>
          </w:tcPr>
          <w:p w14:paraId="4A99E17E" w14:textId="64575191" w:rsidR="00965FCC" w:rsidRPr="00E93FD0" w:rsidRDefault="007B4207" w:rsidP="003F500D">
            <w:pPr>
              <w:spacing w:after="0" w:line="240" w:lineRule="auto"/>
              <w:jc w:val="center"/>
              <w:rPr>
                <w:rFonts w:eastAsia="Times New Roman" w:cs="Times New Roman"/>
                <w:szCs w:val="24"/>
              </w:rPr>
            </w:pPr>
            <w:r w:rsidRPr="00E93FD0">
              <w:rPr>
                <w:rFonts w:eastAsia="Times New Roman" w:cs="Times New Roman"/>
                <w:szCs w:val="24"/>
              </w:rPr>
              <w:t>3</w:t>
            </w:r>
            <w:r w:rsidR="00DA57B0" w:rsidRPr="00E93FD0">
              <w:rPr>
                <w:rFonts w:eastAsia="Times New Roman" w:cs="Times New Roman"/>
                <w:szCs w:val="24"/>
              </w:rPr>
              <w:t>1</w:t>
            </w:r>
          </w:p>
        </w:tc>
      </w:tr>
      <w:tr w:rsidR="00E93FD0" w:rsidRPr="00E93FD0" w14:paraId="1D2BB88C" w14:textId="77777777" w:rsidTr="002F2D12">
        <w:trPr>
          <w:cantSplit/>
          <w:trHeight w:val="432"/>
        </w:trPr>
        <w:tc>
          <w:tcPr>
            <w:tcW w:w="3613" w:type="dxa"/>
            <w:shd w:val="clear" w:color="auto" w:fill="D5DCE4" w:themeFill="text2" w:themeFillTint="33"/>
            <w:noWrap/>
            <w:vAlign w:val="center"/>
          </w:tcPr>
          <w:p w14:paraId="3719FF31" w14:textId="4AE94E39" w:rsidR="00965FCC" w:rsidRPr="00E93FD0" w:rsidRDefault="00965FCC" w:rsidP="003F500D">
            <w:pPr>
              <w:spacing w:after="0" w:line="240" w:lineRule="auto"/>
              <w:rPr>
                <w:rFonts w:eastAsia="Times New Roman" w:cs="Times New Roman"/>
                <w:b/>
                <w:szCs w:val="24"/>
              </w:rPr>
            </w:pPr>
            <w:r w:rsidRPr="00E93FD0">
              <w:rPr>
                <w:rFonts w:eastAsia="Times New Roman" w:cs="Times New Roman"/>
                <w:b/>
                <w:szCs w:val="24"/>
              </w:rPr>
              <w:t>Total</w:t>
            </w:r>
          </w:p>
        </w:tc>
        <w:tc>
          <w:tcPr>
            <w:tcW w:w="1799" w:type="dxa"/>
            <w:shd w:val="clear" w:color="auto" w:fill="D5DCE4" w:themeFill="text2" w:themeFillTint="33"/>
            <w:noWrap/>
            <w:vAlign w:val="center"/>
          </w:tcPr>
          <w:p w14:paraId="7B5FD563" w14:textId="10C808E5" w:rsidR="00965FCC" w:rsidRPr="00E93FD0" w:rsidRDefault="00965FCC" w:rsidP="003F500D">
            <w:pPr>
              <w:spacing w:after="0" w:line="240" w:lineRule="auto"/>
              <w:jc w:val="center"/>
              <w:rPr>
                <w:rFonts w:eastAsia="Times New Roman" w:cs="Times New Roman"/>
                <w:b/>
                <w:szCs w:val="24"/>
              </w:rPr>
            </w:pPr>
            <w:r w:rsidRPr="00E93FD0">
              <w:rPr>
                <w:rFonts w:eastAsia="Times New Roman" w:cs="Times New Roman"/>
                <w:b/>
                <w:szCs w:val="24"/>
              </w:rPr>
              <w:t>24</w:t>
            </w:r>
            <w:r w:rsidR="00DA57B0" w:rsidRPr="00E93FD0">
              <w:rPr>
                <w:rFonts w:eastAsia="Times New Roman" w:cs="Times New Roman"/>
                <w:b/>
                <w:szCs w:val="24"/>
              </w:rPr>
              <w:t>4</w:t>
            </w:r>
          </w:p>
        </w:tc>
        <w:tc>
          <w:tcPr>
            <w:tcW w:w="1799" w:type="dxa"/>
            <w:shd w:val="clear" w:color="auto" w:fill="D5DCE4" w:themeFill="text2" w:themeFillTint="33"/>
            <w:vAlign w:val="center"/>
          </w:tcPr>
          <w:p w14:paraId="268A27F5" w14:textId="659DBB3B" w:rsidR="00965FCC" w:rsidRPr="00E93FD0" w:rsidRDefault="00010034" w:rsidP="003F500D">
            <w:pPr>
              <w:spacing w:after="0" w:line="240" w:lineRule="auto"/>
              <w:jc w:val="center"/>
              <w:rPr>
                <w:rFonts w:eastAsia="Times New Roman" w:cs="Times New Roman"/>
                <w:b/>
                <w:szCs w:val="24"/>
              </w:rPr>
            </w:pPr>
            <w:r w:rsidRPr="00E93FD0">
              <w:rPr>
                <w:rFonts w:eastAsia="Times New Roman" w:cs="Times New Roman"/>
                <w:b/>
                <w:szCs w:val="24"/>
              </w:rPr>
              <w:t>204</w:t>
            </w:r>
          </w:p>
        </w:tc>
      </w:tr>
    </w:tbl>
    <w:p w14:paraId="37E1438A" w14:textId="77777777" w:rsidR="00010034" w:rsidRPr="00E93FD0" w:rsidRDefault="00010034" w:rsidP="00490853">
      <w:pPr>
        <w:spacing w:after="0"/>
        <w:rPr>
          <w:rFonts w:cs="Times New Roman"/>
          <w:sz w:val="12"/>
          <w:szCs w:val="12"/>
        </w:rPr>
      </w:pPr>
    </w:p>
    <w:p w14:paraId="57E8D0F6" w14:textId="77777777" w:rsidR="00010034" w:rsidRPr="00E93FD0" w:rsidRDefault="00010034" w:rsidP="00010034">
      <w:pPr>
        <w:pStyle w:val="ListParagraph"/>
        <w:numPr>
          <w:ilvl w:val="0"/>
          <w:numId w:val="5"/>
        </w:numPr>
        <w:spacing w:after="0" w:line="240" w:lineRule="auto"/>
        <w:rPr>
          <w:rFonts w:ascii="Times New Roman" w:hAnsi="Times New Roman" w:cs="Times New Roman"/>
          <w:b/>
          <w:bCs/>
          <w:sz w:val="24"/>
          <w:szCs w:val="24"/>
        </w:rPr>
      </w:pPr>
      <w:r w:rsidRPr="00E93FD0">
        <w:rPr>
          <w:rFonts w:ascii="Times New Roman" w:hAnsi="Times New Roman" w:cs="Times New Roman"/>
          <w:b/>
          <w:bCs/>
          <w:sz w:val="24"/>
          <w:szCs w:val="24"/>
        </w:rPr>
        <w:t>Payor Mix (collected at discharge)</w:t>
      </w:r>
    </w:p>
    <w:p w14:paraId="19A54051" w14:textId="77777777" w:rsidR="00010034" w:rsidRPr="00E93FD0" w:rsidRDefault="00010034" w:rsidP="00490853">
      <w:pPr>
        <w:pStyle w:val="ListParagraph"/>
        <w:spacing w:after="0"/>
        <w:rPr>
          <w:rFonts w:ascii="Times New Roman" w:hAnsi="Times New Roman" w:cs="Times New Roman"/>
          <w:sz w:val="12"/>
          <w:szCs w:val="12"/>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799"/>
        <w:gridCol w:w="1065"/>
        <w:gridCol w:w="1065"/>
        <w:gridCol w:w="1001"/>
        <w:gridCol w:w="1001"/>
      </w:tblGrid>
      <w:tr w:rsidR="00E93FD0" w:rsidRPr="00E93FD0" w14:paraId="19F71233" w14:textId="77777777" w:rsidTr="00665E9E">
        <w:trPr>
          <w:cantSplit/>
          <w:trHeight w:val="504"/>
          <w:tblHeader/>
        </w:trPr>
        <w:tc>
          <w:tcPr>
            <w:tcW w:w="3613" w:type="dxa"/>
            <w:shd w:val="clear" w:color="auto" w:fill="D5DCE4" w:themeFill="text2" w:themeFillTint="33"/>
            <w:noWrap/>
            <w:vAlign w:val="center"/>
            <w:hideMark/>
          </w:tcPr>
          <w:p w14:paraId="73A119D2" w14:textId="77777777" w:rsidR="00010034" w:rsidRPr="00E93FD0" w:rsidRDefault="00010034" w:rsidP="00490853">
            <w:pPr>
              <w:spacing w:after="0" w:line="240" w:lineRule="auto"/>
              <w:rPr>
                <w:rFonts w:eastAsia="Times New Roman" w:cs="Times New Roman"/>
                <w:b/>
                <w:bCs/>
                <w:szCs w:val="24"/>
              </w:rPr>
            </w:pPr>
            <w:r w:rsidRPr="00E93FD0">
              <w:rPr>
                <w:rFonts w:eastAsia="Times New Roman" w:cs="Times New Roman"/>
                <w:b/>
                <w:bCs/>
                <w:szCs w:val="24"/>
              </w:rPr>
              <w:t>Payors</w:t>
            </w:r>
          </w:p>
        </w:tc>
        <w:tc>
          <w:tcPr>
            <w:tcW w:w="1799" w:type="dxa"/>
            <w:shd w:val="clear" w:color="auto" w:fill="D5DCE4" w:themeFill="text2" w:themeFillTint="33"/>
            <w:noWrap/>
            <w:vAlign w:val="center"/>
            <w:hideMark/>
          </w:tcPr>
          <w:p w14:paraId="0668888D" w14:textId="77777777" w:rsidR="00010034" w:rsidRPr="00E93FD0" w:rsidRDefault="00010034" w:rsidP="00490853">
            <w:pPr>
              <w:spacing w:after="0" w:line="240" w:lineRule="auto"/>
              <w:jc w:val="center"/>
              <w:rPr>
                <w:rFonts w:eastAsia="Times New Roman" w:cs="Times New Roman"/>
                <w:b/>
                <w:bCs/>
                <w:szCs w:val="24"/>
              </w:rPr>
            </w:pPr>
            <w:r w:rsidRPr="00E93FD0">
              <w:rPr>
                <w:rFonts w:eastAsia="Times New Roman" w:cs="Times New Roman"/>
                <w:b/>
                <w:bCs/>
                <w:szCs w:val="24"/>
              </w:rPr>
              <w:t>2020</w:t>
            </w:r>
          </w:p>
        </w:tc>
        <w:tc>
          <w:tcPr>
            <w:tcW w:w="1065" w:type="dxa"/>
            <w:shd w:val="clear" w:color="auto" w:fill="D5DCE4" w:themeFill="text2" w:themeFillTint="33"/>
            <w:vAlign w:val="center"/>
          </w:tcPr>
          <w:p w14:paraId="734B350E" w14:textId="77777777" w:rsidR="00010034" w:rsidRPr="00E93FD0" w:rsidRDefault="00010034" w:rsidP="00490853">
            <w:pPr>
              <w:spacing w:after="0" w:line="240" w:lineRule="auto"/>
              <w:jc w:val="center"/>
              <w:rPr>
                <w:rFonts w:eastAsia="Times New Roman" w:cs="Times New Roman"/>
                <w:b/>
                <w:bCs/>
                <w:szCs w:val="24"/>
              </w:rPr>
            </w:pPr>
            <w:r w:rsidRPr="00E93FD0">
              <w:rPr>
                <w:rFonts w:eastAsia="Times New Roman" w:cs="Times New Roman"/>
                <w:b/>
                <w:bCs/>
                <w:szCs w:val="24"/>
              </w:rPr>
              <w:t>2021</w:t>
            </w:r>
          </w:p>
        </w:tc>
        <w:tc>
          <w:tcPr>
            <w:tcW w:w="1065" w:type="dxa"/>
            <w:shd w:val="clear" w:color="auto" w:fill="D5DCE4" w:themeFill="text2" w:themeFillTint="33"/>
            <w:vAlign w:val="center"/>
          </w:tcPr>
          <w:p w14:paraId="273F3DE4" w14:textId="77777777" w:rsidR="00010034" w:rsidRPr="00E93FD0" w:rsidRDefault="00010034" w:rsidP="00490853">
            <w:pPr>
              <w:spacing w:after="0" w:line="240" w:lineRule="auto"/>
              <w:jc w:val="center"/>
              <w:rPr>
                <w:rFonts w:eastAsia="Times New Roman" w:cs="Times New Roman"/>
                <w:b/>
                <w:bCs/>
                <w:szCs w:val="24"/>
              </w:rPr>
            </w:pPr>
            <w:r w:rsidRPr="00E93FD0">
              <w:rPr>
                <w:rFonts w:eastAsia="Times New Roman" w:cs="Times New Roman"/>
                <w:b/>
                <w:bCs/>
                <w:szCs w:val="24"/>
              </w:rPr>
              <w:t>2022</w:t>
            </w:r>
          </w:p>
        </w:tc>
        <w:tc>
          <w:tcPr>
            <w:tcW w:w="1001" w:type="dxa"/>
            <w:shd w:val="clear" w:color="auto" w:fill="D5DCE4" w:themeFill="text2" w:themeFillTint="33"/>
            <w:vAlign w:val="center"/>
          </w:tcPr>
          <w:p w14:paraId="40362B92" w14:textId="0FC0771A" w:rsidR="00010034" w:rsidRPr="00E93FD0" w:rsidRDefault="00010034" w:rsidP="00490853">
            <w:pPr>
              <w:spacing w:after="0" w:line="240" w:lineRule="auto"/>
              <w:jc w:val="center"/>
              <w:rPr>
                <w:rFonts w:eastAsia="Times New Roman" w:cs="Times New Roman"/>
                <w:b/>
                <w:bCs/>
                <w:szCs w:val="24"/>
              </w:rPr>
            </w:pPr>
            <w:r w:rsidRPr="00E93FD0">
              <w:rPr>
                <w:rFonts w:eastAsia="Times New Roman" w:cs="Times New Roman"/>
                <w:b/>
                <w:bCs/>
                <w:szCs w:val="24"/>
              </w:rPr>
              <w:t>2023</w:t>
            </w:r>
          </w:p>
        </w:tc>
        <w:tc>
          <w:tcPr>
            <w:tcW w:w="1001" w:type="dxa"/>
            <w:shd w:val="clear" w:color="auto" w:fill="D5DCE4" w:themeFill="text2" w:themeFillTint="33"/>
            <w:vAlign w:val="center"/>
          </w:tcPr>
          <w:p w14:paraId="79324E69" w14:textId="65A5EAC6" w:rsidR="00010034" w:rsidRPr="00E93FD0" w:rsidRDefault="00010034" w:rsidP="00490853">
            <w:pPr>
              <w:spacing w:after="0" w:line="240" w:lineRule="auto"/>
              <w:jc w:val="center"/>
              <w:rPr>
                <w:rFonts w:eastAsia="Times New Roman" w:cs="Times New Roman"/>
                <w:b/>
                <w:bCs/>
                <w:szCs w:val="24"/>
              </w:rPr>
            </w:pPr>
            <w:r w:rsidRPr="00E93FD0">
              <w:rPr>
                <w:rFonts w:eastAsia="Times New Roman" w:cs="Times New Roman"/>
                <w:b/>
                <w:bCs/>
                <w:szCs w:val="24"/>
              </w:rPr>
              <w:t>2024</w:t>
            </w:r>
          </w:p>
        </w:tc>
      </w:tr>
      <w:tr w:rsidR="00E93FD0" w:rsidRPr="00E93FD0" w14:paraId="0C53977B" w14:textId="77777777" w:rsidTr="00665E9E">
        <w:trPr>
          <w:cantSplit/>
          <w:trHeight w:val="504"/>
        </w:trPr>
        <w:tc>
          <w:tcPr>
            <w:tcW w:w="3613" w:type="dxa"/>
            <w:shd w:val="clear" w:color="auto" w:fill="auto"/>
            <w:noWrap/>
            <w:vAlign w:val="center"/>
            <w:hideMark/>
          </w:tcPr>
          <w:p w14:paraId="3681F257" w14:textId="77777777" w:rsidR="00010034" w:rsidRPr="00E93FD0" w:rsidRDefault="00010034" w:rsidP="00490853">
            <w:pPr>
              <w:spacing w:after="0" w:line="240" w:lineRule="auto"/>
              <w:ind w:firstLineChars="100" w:firstLine="220"/>
              <w:rPr>
                <w:rFonts w:eastAsia="Times New Roman" w:cs="Times New Roman"/>
                <w:szCs w:val="24"/>
              </w:rPr>
            </w:pPr>
            <w:r w:rsidRPr="00E93FD0">
              <w:rPr>
                <w:rFonts w:eastAsia="Times New Roman" w:cs="Times New Roman"/>
                <w:szCs w:val="24"/>
              </w:rPr>
              <w:t>Commercial</w:t>
            </w:r>
          </w:p>
        </w:tc>
        <w:tc>
          <w:tcPr>
            <w:tcW w:w="1799" w:type="dxa"/>
            <w:shd w:val="clear" w:color="auto" w:fill="auto"/>
            <w:noWrap/>
            <w:vAlign w:val="center"/>
            <w:hideMark/>
          </w:tcPr>
          <w:p w14:paraId="323AB5D8"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72</w:t>
            </w:r>
          </w:p>
        </w:tc>
        <w:tc>
          <w:tcPr>
            <w:tcW w:w="1065" w:type="dxa"/>
            <w:vAlign w:val="center"/>
          </w:tcPr>
          <w:p w14:paraId="115EE8D4"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60</w:t>
            </w:r>
          </w:p>
        </w:tc>
        <w:tc>
          <w:tcPr>
            <w:tcW w:w="1065" w:type="dxa"/>
            <w:vAlign w:val="center"/>
          </w:tcPr>
          <w:p w14:paraId="0116B9D4"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56</w:t>
            </w:r>
          </w:p>
        </w:tc>
        <w:tc>
          <w:tcPr>
            <w:tcW w:w="1001" w:type="dxa"/>
            <w:vAlign w:val="center"/>
          </w:tcPr>
          <w:p w14:paraId="5FE39EF4"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54</w:t>
            </w:r>
          </w:p>
        </w:tc>
        <w:tc>
          <w:tcPr>
            <w:tcW w:w="1001" w:type="dxa"/>
            <w:vAlign w:val="center"/>
          </w:tcPr>
          <w:p w14:paraId="3A55E589"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74</w:t>
            </w:r>
          </w:p>
        </w:tc>
      </w:tr>
      <w:tr w:rsidR="00E93FD0" w:rsidRPr="00E93FD0" w14:paraId="0D45EEF2" w14:textId="77777777" w:rsidTr="00665E9E">
        <w:trPr>
          <w:cantSplit/>
          <w:trHeight w:val="504"/>
        </w:trPr>
        <w:tc>
          <w:tcPr>
            <w:tcW w:w="3613" w:type="dxa"/>
            <w:shd w:val="clear" w:color="auto" w:fill="auto"/>
            <w:noWrap/>
            <w:vAlign w:val="center"/>
            <w:hideMark/>
          </w:tcPr>
          <w:p w14:paraId="7DE713EF" w14:textId="77777777" w:rsidR="00010034" w:rsidRPr="00E93FD0" w:rsidRDefault="00010034" w:rsidP="00490853">
            <w:pPr>
              <w:spacing w:after="0" w:line="240" w:lineRule="auto"/>
              <w:ind w:firstLineChars="100" w:firstLine="220"/>
              <w:rPr>
                <w:rFonts w:eastAsia="Times New Roman" w:cs="Times New Roman"/>
                <w:szCs w:val="24"/>
              </w:rPr>
            </w:pPr>
            <w:r w:rsidRPr="00E93FD0">
              <w:rPr>
                <w:rFonts w:eastAsia="Times New Roman" w:cs="Times New Roman"/>
                <w:szCs w:val="24"/>
              </w:rPr>
              <w:t>Medicaid</w:t>
            </w:r>
          </w:p>
        </w:tc>
        <w:tc>
          <w:tcPr>
            <w:tcW w:w="1799" w:type="dxa"/>
            <w:shd w:val="clear" w:color="auto" w:fill="auto"/>
            <w:noWrap/>
            <w:vAlign w:val="center"/>
            <w:hideMark/>
          </w:tcPr>
          <w:p w14:paraId="24F4B841"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54</w:t>
            </w:r>
          </w:p>
        </w:tc>
        <w:tc>
          <w:tcPr>
            <w:tcW w:w="1065" w:type="dxa"/>
            <w:vAlign w:val="center"/>
          </w:tcPr>
          <w:p w14:paraId="5B4D55FA"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46</w:t>
            </w:r>
          </w:p>
        </w:tc>
        <w:tc>
          <w:tcPr>
            <w:tcW w:w="1065" w:type="dxa"/>
            <w:vAlign w:val="center"/>
          </w:tcPr>
          <w:p w14:paraId="40E832C9"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42</w:t>
            </w:r>
          </w:p>
        </w:tc>
        <w:tc>
          <w:tcPr>
            <w:tcW w:w="1001" w:type="dxa"/>
            <w:vAlign w:val="center"/>
          </w:tcPr>
          <w:p w14:paraId="26F11021"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48</w:t>
            </w:r>
          </w:p>
        </w:tc>
        <w:tc>
          <w:tcPr>
            <w:tcW w:w="1001" w:type="dxa"/>
            <w:vAlign w:val="center"/>
          </w:tcPr>
          <w:p w14:paraId="090483EE"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38</w:t>
            </w:r>
          </w:p>
        </w:tc>
      </w:tr>
      <w:tr w:rsidR="00E93FD0" w:rsidRPr="00E93FD0" w14:paraId="7A5D4B3E" w14:textId="77777777" w:rsidTr="00665E9E">
        <w:trPr>
          <w:cantSplit/>
          <w:trHeight w:val="504"/>
        </w:trPr>
        <w:tc>
          <w:tcPr>
            <w:tcW w:w="3613" w:type="dxa"/>
            <w:shd w:val="clear" w:color="auto" w:fill="auto"/>
            <w:noWrap/>
            <w:vAlign w:val="center"/>
            <w:hideMark/>
          </w:tcPr>
          <w:p w14:paraId="4EEC7734" w14:textId="77777777" w:rsidR="00010034" w:rsidRPr="00E93FD0" w:rsidRDefault="00010034" w:rsidP="00490853">
            <w:pPr>
              <w:spacing w:after="0" w:line="240" w:lineRule="auto"/>
              <w:ind w:firstLineChars="100" w:firstLine="220"/>
              <w:rPr>
                <w:rFonts w:eastAsia="Times New Roman" w:cs="Times New Roman"/>
                <w:szCs w:val="24"/>
              </w:rPr>
            </w:pPr>
            <w:r w:rsidRPr="00E93FD0">
              <w:rPr>
                <w:rFonts w:eastAsia="Times New Roman" w:cs="Times New Roman"/>
                <w:szCs w:val="24"/>
              </w:rPr>
              <w:t>Medicare</w:t>
            </w:r>
          </w:p>
        </w:tc>
        <w:tc>
          <w:tcPr>
            <w:tcW w:w="1799" w:type="dxa"/>
            <w:shd w:val="clear" w:color="auto" w:fill="auto"/>
            <w:noWrap/>
            <w:vAlign w:val="center"/>
            <w:hideMark/>
          </w:tcPr>
          <w:p w14:paraId="60A5F60E"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104</w:t>
            </w:r>
          </w:p>
        </w:tc>
        <w:tc>
          <w:tcPr>
            <w:tcW w:w="1065" w:type="dxa"/>
            <w:vAlign w:val="center"/>
          </w:tcPr>
          <w:p w14:paraId="59DD7411"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101</w:t>
            </w:r>
          </w:p>
        </w:tc>
        <w:tc>
          <w:tcPr>
            <w:tcW w:w="1065" w:type="dxa"/>
            <w:vAlign w:val="center"/>
          </w:tcPr>
          <w:p w14:paraId="1FBA891E"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91</w:t>
            </w:r>
          </w:p>
        </w:tc>
        <w:tc>
          <w:tcPr>
            <w:tcW w:w="1001" w:type="dxa"/>
            <w:vAlign w:val="center"/>
          </w:tcPr>
          <w:p w14:paraId="522B0EAD"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66</w:t>
            </w:r>
          </w:p>
        </w:tc>
        <w:tc>
          <w:tcPr>
            <w:tcW w:w="1001" w:type="dxa"/>
            <w:vAlign w:val="center"/>
          </w:tcPr>
          <w:p w14:paraId="58DEE753"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58</w:t>
            </w:r>
          </w:p>
        </w:tc>
      </w:tr>
      <w:tr w:rsidR="00E93FD0" w:rsidRPr="00E93FD0" w14:paraId="1FCC3334" w14:textId="77777777" w:rsidTr="00665E9E">
        <w:trPr>
          <w:cantSplit/>
          <w:trHeight w:val="504"/>
        </w:trPr>
        <w:tc>
          <w:tcPr>
            <w:tcW w:w="3613" w:type="dxa"/>
            <w:shd w:val="clear" w:color="auto" w:fill="auto"/>
            <w:noWrap/>
            <w:vAlign w:val="center"/>
            <w:hideMark/>
          </w:tcPr>
          <w:p w14:paraId="681C7F89" w14:textId="77777777" w:rsidR="00010034" w:rsidRPr="00E93FD0" w:rsidRDefault="00010034" w:rsidP="00490853">
            <w:pPr>
              <w:spacing w:after="0" w:line="240" w:lineRule="auto"/>
              <w:ind w:firstLineChars="100" w:firstLine="220"/>
              <w:rPr>
                <w:rFonts w:eastAsia="Times New Roman" w:cs="Times New Roman"/>
                <w:szCs w:val="24"/>
              </w:rPr>
            </w:pPr>
            <w:r w:rsidRPr="00E93FD0">
              <w:rPr>
                <w:rFonts w:eastAsia="Times New Roman" w:cs="Times New Roman"/>
                <w:szCs w:val="24"/>
              </w:rPr>
              <w:t>Managed Medicaid</w:t>
            </w:r>
          </w:p>
        </w:tc>
        <w:tc>
          <w:tcPr>
            <w:tcW w:w="1799" w:type="dxa"/>
            <w:shd w:val="clear" w:color="auto" w:fill="auto"/>
            <w:noWrap/>
            <w:vAlign w:val="center"/>
            <w:hideMark/>
          </w:tcPr>
          <w:p w14:paraId="285587E8"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57</w:t>
            </w:r>
          </w:p>
        </w:tc>
        <w:tc>
          <w:tcPr>
            <w:tcW w:w="1065" w:type="dxa"/>
            <w:vAlign w:val="center"/>
          </w:tcPr>
          <w:p w14:paraId="744BA0A7"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27</w:t>
            </w:r>
          </w:p>
        </w:tc>
        <w:tc>
          <w:tcPr>
            <w:tcW w:w="1065" w:type="dxa"/>
            <w:vAlign w:val="center"/>
          </w:tcPr>
          <w:p w14:paraId="145F0A8D"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39</w:t>
            </w:r>
          </w:p>
        </w:tc>
        <w:tc>
          <w:tcPr>
            <w:tcW w:w="1001" w:type="dxa"/>
            <w:vAlign w:val="center"/>
          </w:tcPr>
          <w:p w14:paraId="1D247BA5"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26</w:t>
            </w:r>
          </w:p>
        </w:tc>
        <w:tc>
          <w:tcPr>
            <w:tcW w:w="1001" w:type="dxa"/>
            <w:vAlign w:val="center"/>
          </w:tcPr>
          <w:p w14:paraId="1BA83A2B" w14:textId="6CD9E0D0"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&lt;11</w:t>
            </w:r>
          </w:p>
        </w:tc>
      </w:tr>
      <w:tr w:rsidR="00E93FD0" w:rsidRPr="00E93FD0" w14:paraId="4FA320D3" w14:textId="77777777" w:rsidTr="00665E9E">
        <w:trPr>
          <w:cantSplit/>
          <w:trHeight w:val="504"/>
        </w:trPr>
        <w:tc>
          <w:tcPr>
            <w:tcW w:w="3613" w:type="dxa"/>
            <w:shd w:val="clear" w:color="auto" w:fill="auto"/>
            <w:noWrap/>
            <w:vAlign w:val="center"/>
            <w:hideMark/>
          </w:tcPr>
          <w:p w14:paraId="77D5127A" w14:textId="77777777" w:rsidR="00010034" w:rsidRPr="00E93FD0" w:rsidRDefault="00010034" w:rsidP="00490853">
            <w:pPr>
              <w:spacing w:after="0" w:line="240" w:lineRule="auto"/>
              <w:ind w:firstLineChars="100" w:firstLine="220"/>
              <w:rPr>
                <w:rFonts w:eastAsia="Times New Roman" w:cs="Times New Roman"/>
                <w:szCs w:val="24"/>
              </w:rPr>
            </w:pPr>
            <w:r w:rsidRPr="00E93FD0">
              <w:rPr>
                <w:rFonts w:eastAsia="Times New Roman" w:cs="Times New Roman"/>
                <w:szCs w:val="24"/>
              </w:rPr>
              <w:t>Managed Medicare</w:t>
            </w:r>
          </w:p>
        </w:tc>
        <w:tc>
          <w:tcPr>
            <w:tcW w:w="1799" w:type="dxa"/>
            <w:shd w:val="clear" w:color="auto" w:fill="auto"/>
            <w:noWrap/>
            <w:vAlign w:val="center"/>
            <w:hideMark/>
          </w:tcPr>
          <w:p w14:paraId="4432C230"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42</w:t>
            </w:r>
          </w:p>
        </w:tc>
        <w:tc>
          <w:tcPr>
            <w:tcW w:w="1065" w:type="dxa"/>
            <w:vAlign w:val="center"/>
          </w:tcPr>
          <w:p w14:paraId="6A508C9E"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51</w:t>
            </w:r>
          </w:p>
        </w:tc>
        <w:tc>
          <w:tcPr>
            <w:tcW w:w="1065" w:type="dxa"/>
            <w:vAlign w:val="center"/>
          </w:tcPr>
          <w:p w14:paraId="2F2F79CB"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64</w:t>
            </w:r>
          </w:p>
        </w:tc>
        <w:tc>
          <w:tcPr>
            <w:tcW w:w="1001" w:type="dxa"/>
            <w:vAlign w:val="center"/>
          </w:tcPr>
          <w:p w14:paraId="4B6025E8"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48</w:t>
            </w:r>
          </w:p>
        </w:tc>
        <w:tc>
          <w:tcPr>
            <w:tcW w:w="1001" w:type="dxa"/>
            <w:vAlign w:val="center"/>
          </w:tcPr>
          <w:p w14:paraId="429B01DC"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24</w:t>
            </w:r>
          </w:p>
        </w:tc>
      </w:tr>
      <w:tr w:rsidR="00E93FD0" w:rsidRPr="00E93FD0" w14:paraId="50DD8CB4" w14:textId="77777777" w:rsidTr="00665E9E">
        <w:trPr>
          <w:cantSplit/>
          <w:trHeight w:val="504"/>
        </w:trPr>
        <w:tc>
          <w:tcPr>
            <w:tcW w:w="3613" w:type="dxa"/>
            <w:shd w:val="clear" w:color="auto" w:fill="auto"/>
            <w:noWrap/>
            <w:vAlign w:val="center"/>
            <w:hideMark/>
          </w:tcPr>
          <w:p w14:paraId="402F1891" w14:textId="77777777" w:rsidR="00010034" w:rsidRPr="00E93FD0" w:rsidRDefault="00010034" w:rsidP="00490853">
            <w:pPr>
              <w:spacing w:after="0" w:line="240" w:lineRule="auto"/>
              <w:ind w:firstLineChars="100" w:firstLine="220"/>
              <w:rPr>
                <w:rFonts w:eastAsia="Times New Roman" w:cs="Times New Roman"/>
                <w:szCs w:val="24"/>
              </w:rPr>
            </w:pPr>
            <w:r w:rsidRPr="00E93FD0">
              <w:rPr>
                <w:rFonts w:eastAsia="Times New Roman" w:cs="Times New Roman"/>
                <w:szCs w:val="24"/>
              </w:rPr>
              <w:t>Other</w:t>
            </w:r>
          </w:p>
        </w:tc>
        <w:tc>
          <w:tcPr>
            <w:tcW w:w="1799" w:type="dxa"/>
            <w:shd w:val="clear" w:color="auto" w:fill="auto"/>
            <w:noWrap/>
            <w:vAlign w:val="center"/>
            <w:hideMark/>
          </w:tcPr>
          <w:p w14:paraId="69CE4B50"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&lt;11</w:t>
            </w:r>
          </w:p>
        </w:tc>
        <w:tc>
          <w:tcPr>
            <w:tcW w:w="1065" w:type="dxa"/>
            <w:vAlign w:val="center"/>
          </w:tcPr>
          <w:p w14:paraId="2A2C37B2"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12</w:t>
            </w:r>
          </w:p>
        </w:tc>
        <w:tc>
          <w:tcPr>
            <w:tcW w:w="1065" w:type="dxa"/>
            <w:vAlign w:val="center"/>
          </w:tcPr>
          <w:p w14:paraId="7D617643" w14:textId="77777777"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&lt;11</w:t>
            </w:r>
          </w:p>
        </w:tc>
        <w:tc>
          <w:tcPr>
            <w:tcW w:w="1001" w:type="dxa"/>
            <w:vAlign w:val="center"/>
          </w:tcPr>
          <w:p w14:paraId="1F02D6F0" w14:textId="291D5D1C"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&lt;11</w:t>
            </w:r>
          </w:p>
        </w:tc>
        <w:tc>
          <w:tcPr>
            <w:tcW w:w="1001" w:type="dxa"/>
            <w:vAlign w:val="center"/>
          </w:tcPr>
          <w:p w14:paraId="4AFC6C8F" w14:textId="7F31953D" w:rsidR="00010034" w:rsidRPr="00E93FD0" w:rsidRDefault="00010034" w:rsidP="00490853">
            <w:pPr>
              <w:spacing w:after="0" w:line="240" w:lineRule="auto"/>
              <w:jc w:val="center"/>
              <w:rPr>
                <w:rFonts w:eastAsia="Times New Roman" w:cs="Times New Roman"/>
                <w:szCs w:val="24"/>
              </w:rPr>
            </w:pPr>
            <w:r w:rsidRPr="00E93FD0">
              <w:rPr>
                <w:rFonts w:eastAsia="Times New Roman" w:cs="Times New Roman"/>
                <w:szCs w:val="24"/>
              </w:rPr>
              <w:t>&lt;11</w:t>
            </w:r>
          </w:p>
        </w:tc>
      </w:tr>
      <w:tr w:rsidR="00E93FD0" w:rsidRPr="00E93FD0" w14:paraId="7B10B4D2" w14:textId="77777777" w:rsidTr="00665E9E">
        <w:trPr>
          <w:cantSplit/>
          <w:trHeight w:val="504"/>
        </w:trPr>
        <w:tc>
          <w:tcPr>
            <w:tcW w:w="3613" w:type="dxa"/>
            <w:shd w:val="clear" w:color="auto" w:fill="D5DCE4" w:themeFill="text2" w:themeFillTint="33"/>
            <w:noWrap/>
            <w:vAlign w:val="center"/>
          </w:tcPr>
          <w:p w14:paraId="5E6BBEAA" w14:textId="2C7EE5DE" w:rsidR="00010034" w:rsidRPr="00E93FD0" w:rsidRDefault="00010034" w:rsidP="00490853">
            <w:pPr>
              <w:spacing w:after="0" w:line="240" w:lineRule="auto"/>
              <w:contextualSpacing/>
              <w:rPr>
                <w:rFonts w:eastAsia="Times New Roman" w:cs="Times New Roman"/>
                <w:b/>
                <w:szCs w:val="24"/>
              </w:rPr>
            </w:pPr>
            <w:r w:rsidRPr="00E93FD0">
              <w:rPr>
                <w:rFonts w:eastAsia="Times New Roman" w:cs="Times New Roman"/>
                <w:b/>
                <w:szCs w:val="24"/>
              </w:rPr>
              <w:t>Total</w:t>
            </w:r>
          </w:p>
        </w:tc>
        <w:tc>
          <w:tcPr>
            <w:tcW w:w="1799" w:type="dxa"/>
            <w:shd w:val="clear" w:color="auto" w:fill="D5DCE4" w:themeFill="text2" w:themeFillTint="33"/>
            <w:noWrap/>
            <w:vAlign w:val="center"/>
          </w:tcPr>
          <w:p w14:paraId="667E6176" w14:textId="77777777" w:rsidR="00010034" w:rsidRPr="00E93FD0" w:rsidRDefault="00010034" w:rsidP="00490853">
            <w:pPr>
              <w:spacing w:after="0" w:line="240" w:lineRule="auto"/>
              <w:jc w:val="center"/>
              <w:rPr>
                <w:rFonts w:eastAsia="Times New Roman" w:cs="Times New Roman"/>
                <w:b/>
                <w:szCs w:val="24"/>
              </w:rPr>
            </w:pPr>
            <w:r w:rsidRPr="00E93FD0">
              <w:rPr>
                <w:rFonts w:eastAsia="Times New Roman" w:cs="Times New Roman"/>
                <w:b/>
                <w:szCs w:val="24"/>
              </w:rPr>
              <w:t>338</w:t>
            </w:r>
          </w:p>
        </w:tc>
        <w:tc>
          <w:tcPr>
            <w:tcW w:w="1065" w:type="dxa"/>
            <w:shd w:val="clear" w:color="auto" w:fill="D5DCE4" w:themeFill="text2" w:themeFillTint="33"/>
            <w:vAlign w:val="center"/>
          </w:tcPr>
          <w:p w14:paraId="196DE6AD" w14:textId="77777777" w:rsidR="00010034" w:rsidRPr="00E93FD0" w:rsidRDefault="00010034" w:rsidP="00490853">
            <w:pPr>
              <w:spacing w:after="0" w:line="240" w:lineRule="auto"/>
              <w:jc w:val="center"/>
              <w:rPr>
                <w:rFonts w:eastAsia="Times New Roman" w:cs="Times New Roman"/>
                <w:b/>
                <w:szCs w:val="24"/>
              </w:rPr>
            </w:pPr>
            <w:r w:rsidRPr="00E93FD0">
              <w:rPr>
                <w:rFonts w:eastAsia="Times New Roman" w:cs="Times New Roman"/>
                <w:b/>
                <w:szCs w:val="24"/>
              </w:rPr>
              <w:t>297</w:t>
            </w:r>
          </w:p>
        </w:tc>
        <w:tc>
          <w:tcPr>
            <w:tcW w:w="1065" w:type="dxa"/>
            <w:shd w:val="clear" w:color="auto" w:fill="D5DCE4" w:themeFill="text2" w:themeFillTint="33"/>
            <w:vAlign w:val="center"/>
          </w:tcPr>
          <w:p w14:paraId="28374986" w14:textId="77777777" w:rsidR="00010034" w:rsidRPr="00E93FD0" w:rsidRDefault="00010034" w:rsidP="00490853">
            <w:pPr>
              <w:spacing w:after="0" w:line="240" w:lineRule="auto"/>
              <w:jc w:val="center"/>
              <w:rPr>
                <w:rFonts w:eastAsia="Times New Roman" w:cs="Times New Roman"/>
                <w:b/>
                <w:szCs w:val="24"/>
              </w:rPr>
            </w:pPr>
            <w:r w:rsidRPr="00E93FD0">
              <w:rPr>
                <w:rFonts w:eastAsia="Times New Roman" w:cs="Times New Roman"/>
                <w:b/>
                <w:szCs w:val="24"/>
              </w:rPr>
              <w:t>292</w:t>
            </w:r>
          </w:p>
        </w:tc>
        <w:tc>
          <w:tcPr>
            <w:tcW w:w="1001" w:type="dxa"/>
            <w:shd w:val="clear" w:color="auto" w:fill="D5DCE4" w:themeFill="text2" w:themeFillTint="33"/>
            <w:vAlign w:val="center"/>
          </w:tcPr>
          <w:p w14:paraId="6C0C68E0" w14:textId="77777777" w:rsidR="00010034" w:rsidRPr="00E93FD0" w:rsidRDefault="00010034" w:rsidP="00490853">
            <w:pPr>
              <w:spacing w:after="0" w:line="240" w:lineRule="auto"/>
              <w:jc w:val="center"/>
              <w:rPr>
                <w:rFonts w:eastAsia="Times New Roman" w:cs="Times New Roman"/>
                <w:b/>
                <w:szCs w:val="24"/>
              </w:rPr>
            </w:pPr>
            <w:r w:rsidRPr="00E93FD0">
              <w:rPr>
                <w:rFonts w:eastAsia="Times New Roman" w:cs="Times New Roman"/>
                <w:b/>
                <w:szCs w:val="24"/>
              </w:rPr>
              <w:t>244</w:t>
            </w:r>
          </w:p>
        </w:tc>
        <w:tc>
          <w:tcPr>
            <w:tcW w:w="1001" w:type="dxa"/>
            <w:shd w:val="clear" w:color="auto" w:fill="D5DCE4" w:themeFill="text2" w:themeFillTint="33"/>
            <w:vAlign w:val="center"/>
          </w:tcPr>
          <w:p w14:paraId="3320595B" w14:textId="77777777" w:rsidR="00010034" w:rsidRPr="00E93FD0" w:rsidRDefault="00010034" w:rsidP="00490853">
            <w:pPr>
              <w:spacing w:after="0" w:line="240" w:lineRule="auto"/>
              <w:jc w:val="center"/>
              <w:rPr>
                <w:rFonts w:eastAsia="Times New Roman" w:cs="Times New Roman"/>
                <w:b/>
                <w:szCs w:val="24"/>
              </w:rPr>
            </w:pPr>
            <w:r w:rsidRPr="00E93FD0">
              <w:rPr>
                <w:rFonts w:eastAsia="Times New Roman" w:cs="Times New Roman"/>
                <w:b/>
                <w:szCs w:val="24"/>
              </w:rPr>
              <w:t>204</w:t>
            </w:r>
          </w:p>
        </w:tc>
      </w:tr>
    </w:tbl>
    <w:p w14:paraId="0DE72686" w14:textId="4A357D9A" w:rsidR="00066890" w:rsidRPr="00E93FD0" w:rsidRDefault="00066890" w:rsidP="00490853">
      <w:pPr>
        <w:spacing w:after="0"/>
        <w:rPr>
          <w:b/>
          <w:bCs/>
          <w:sz w:val="24"/>
          <w:szCs w:val="24"/>
        </w:rPr>
      </w:pPr>
      <w:r w:rsidRPr="00E93FD0">
        <w:br w:type="page"/>
      </w:r>
      <w:r w:rsidRPr="00E93FD0">
        <w:rPr>
          <w:b/>
          <w:bCs/>
          <w:sz w:val="24"/>
          <w:szCs w:val="24"/>
        </w:rPr>
        <w:lastRenderedPageBreak/>
        <w:t>Response to Question 9.c.</w:t>
      </w:r>
    </w:p>
    <w:tbl>
      <w:tblPr>
        <w:tblStyle w:val="ListTable1Light-Accent1"/>
        <w:tblW w:w="10059" w:type="dxa"/>
        <w:tblLook w:val="04A0" w:firstRow="1" w:lastRow="0" w:firstColumn="1" w:lastColumn="0" w:noHBand="0" w:noVBand="1"/>
      </w:tblPr>
      <w:tblGrid>
        <w:gridCol w:w="4329"/>
        <w:gridCol w:w="1146"/>
        <w:gridCol w:w="1146"/>
        <w:gridCol w:w="1146"/>
        <w:gridCol w:w="1146"/>
        <w:gridCol w:w="1146"/>
      </w:tblGrid>
      <w:tr w:rsidR="00E93FD0" w:rsidRPr="00E93FD0" w14:paraId="075E6838" w14:textId="77777777" w:rsidTr="00665E9E">
        <w:trPr>
          <w:cnfStyle w:val="100000000000" w:firstRow="1" w:lastRow="0" w:firstColumn="0" w:lastColumn="0" w:oddVBand="0" w:evenVBand="0" w:oddHBand="0" w:evenHBand="0" w:firstRowFirstColumn="0" w:firstRowLastColumn="0" w:lastRowFirstColumn="0" w:lastRowLastColumn="0"/>
          <w:cantSplit/>
          <w:trHeight w:hRule="exact" w:val="317"/>
          <w:tblHeader/>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4410518E" w14:textId="6817DC78" w:rsidR="009E1729" w:rsidRPr="00E93FD0" w:rsidRDefault="00490853" w:rsidP="00490853">
            <w:pPr>
              <w:rPr>
                <w:rFonts w:ascii="Calibri" w:eastAsia="Times New Roman" w:hAnsi="Calibri" w:cs="Calibri"/>
                <w:b w:val="0"/>
                <w:bCs w:val="0"/>
                <w:sz w:val="24"/>
                <w:szCs w:val="24"/>
              </w:rPr>
            </w:pPr>
            <w:r w:rsidRPr="00E93FD0">
              <w:rPr>
                <w:rFonts w:ascii="Calibri" w:eastAsia="Times New Roman" w:hAnsi="Calibri" w:cs="Calibri"/>
                <w:sz w:val="24"/>
                <w:szCs w:val="24"/>
              </w:rPr>
              <w:t>Referring Provider</w:t>
            </w:r>
          </w:p>
        </w:tc>
        <w:tc>
          <w:tcPr>
            <w:tcW w:w="1146" w:type="dxa"/>
            <w:noWrap/>
            <w:vAlign w:val="center"/>
            <w:hideMark/>
          </w:tcPr>
          <w:p w14:paraId="41159C83" w14:textId="77777777" w:rsidR="009E1729" w:rsidRPr="00E93FD0" w:rsidRDefault="009E1729" w:rsidP="00490853">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sz w:val="24"/>
                <w:szCs w:val="24"/>
              </w:rPr>
            </w:pPr>
            <w:r w:rsidRPr="00E93FD0">
              <w:rPr>
                <w:rFonts w:ascii="Aptos Narrow" w:eastAsia="Times New Roman" w:hAnsi="Aptos Narrow" w:cs="Times New Roman"/>
                <w:sz w:val="24"/>
                <w:szCs w:val="24"/>
              </w:rPr>
              <w:t>2020</w:t>
            </w:r>
          </w:p>
        </w:tc>
        <w:tc>
          <w:tcPr>
            <w:tcW w:w="1146" w:type="dxa"/>
            <w:noWrap/>
            <w:vAlign w:val="center"/>
            <w:hideMark/>
          </w:tcPr>
          <w:p w14:paraId="752224F4" w14:textId="77777777" w:rsidR="009E1729" w:rsidRPr="00E93FD0" w:rsidRDefault="009E1729" w:rsidP="00490853">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sz w:val="24"/>
                <w:szCs w:val="24"/>
              </w:rPr>
            </w:pPr>
            <w:r w:rsidRPr="00E93FD0">
              <w:rPr>
                <w:rFonts w:ascii="Aptos Narrow" w:eastAsia="Times New Roman" w:hAnsi="Aptos Narrow" w:cs="Times New Roman"/>
                <w:sz w:val="24"/>
                <w:szCs w:val="24"/>
              </w:rPr>
              <w:t>2021</w:t>
            </w:r>
          </w:p>
        </w:tc>
        <w:tc>
          <w:tcPr>
            <w:tcW w:w="1146" w:type="dxa"/>
            <w:noWrap/>
            <w:vAlign w:val="center"/>
            <w:hideMark/>
          </w:tcPr>
          <w:p w14:paraId="39F09CE7" w14:textId="77777777" w:rsidR="009E1729" w:rsidRPr="00E93FD0" w:rsidRDefault="009E1729" w:rsidP="00490853">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sz w:val="24"/>
                <w:szCs w:val="24"/>
              </w:rPr>
            </w:pPr>
            <w:r w:rsidRPr="00E93FD0">
              <w:rPr>
                <w:rFonts w:ascii="Aptos Narrow" w:eastAsia="Times New Roman" w:hAnsi="Aptos Narrow" w:cs="Times New Roman"/>
                <w:sz w:val="24"/>
                <w:szCs w:val="24"/>
              </w:rPr>
              <w:t>2022</w:t>
            </w:r>
          </w:p>
        </w:tc>
        <w:tc>
          <w:tcPr>
            <w:tcW w:w="1146" w:type="dxa"/>
            <w:noWrap/>
            <w:vAlign w:val="center"/>
            <w:hideMark/>
          </w:tcPr>
          <w:p w14:paraId="5EC011EC" w14:textId="77777777" w:rsidR="009E1729" w:rsidRPr="00E93FD0" w:rsidRDefault="009E1729" w:rsidP="00490853">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sz w:val="24"/>
                <w:szCs w:val="24"/>
              </w:rPr>
            </w:pPr>
            <w:r w:rsidRPr="00E93FD0">
              <w:rPr>
                <w:rFonts w:ascii="Aptos Narrow" w:eastAsia="Times New Roman" w:hAnsi="Aptos Narrow" w:cs="Times New Roman"/>
                <w:sz w:val="24"/>
                <w:szCs w:val="24"/>
              </w:rPr>
              <w:t>2023</w:t>
            </w:r>
          </w:p>
        </w:tc>
        <w:tc>
          <w:tcPr>
            <w:tcW w:w="1146" w:type="dxa"/>
            <w:noWrap/>
            <w:vAlign w:val="center"/>
            <w:hideMark/>
          </w:tcPr>
          <w:p w14:paraId="097C79EE" w14:textId="77777777" w:rsidR="009E1729" w:rsidRPr="00E93FD0" w:rsidRDefault="009E1729" w:rsidP="00490853">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sz w:val="24"/>
                <w:szCs w:val="24"/>
              </w:rPr>
            </w:pPr>
            <w:r w:rsidRPr="00E93FD0">
              <w:rPr>
                <w:rFonts w:ascii="Aptos Narrow" w:eastAsia="Times New Roman" w:hAnsi="Aptos Narrow" w:cs="Times New Roman"/>
                <w:sz w:val="24"/>
                <w:szCs w:val="24"/>
              </w:rPr>
              <w:t>2024</w:t>
            </w:r>
          </w:p>
        </w:tc>
      </w:tr>
      <w:tr w:rsidR="00E93FD0" w:rsidRPr="00E93FD0" w14:paraId="2BEF4B26" w14:textId="77777777" w:rsidTr="00665E9E">
        <w:trPr>
          <w:cnfStyle w:val="000000100000" w:firstRow="0" w:lastRow="0" w:firstColumn="0" w:lastColumn="0" w:oddVBand="0" w:evenVBand="0" w:oddHBand="1" w:evenHBand="0" w:firstRowFirstColumn="0" w:firstRowLastColumn="0" w:lastRowFirstColumn="0" w:lastRowLastColumn="0"/>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4BD0EE21" w14:textId="77777777" w:rsidR="009E1729" w:rsidRPr="00E93FD0" w:rsidRDefault="009E1729" w:rsidP="00490853">
            <w:pPr>
              <w:rPr>
                <w:rFonts w:ascii="Aptos Narrow" w:eastAsia="Times New Roman" w:hAnsi="Aptos Narrow" w:cs="Times New Roman"/>
              </w:rPr>
            </w:pPr>
            <w:r w:rsidRPr="00E93FD0">
              <w:rPr>
                <w:rFonts w:ascii="Aptos Narrow" w:eastAsia="Times New Roman" w:hAnsi="Aptos Narrow" w:cs="Times New Roman"/>
              </w:rPr>
              <w:t>UMass Memorial University</w:t>
            </w:r>
          </w:p>
        </w:tc>
        <w:tc>
          <w:tcPr>
            <w:tcW w:w="1146" w:type="dxa"/>
            <w:noWrap/>
            <w:vAlign w:val="center"/>
            <w:hideMark/>
          </w:tcPr>
          <w:p w14:paraId="294C5443" w14:textId="77777777" w:rsidR="009E1729" w:rsidRPr="00E93FD0"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120</w:t>
            </w:r>
          </w:p>
        </w:tc>
        <w:tc>
          <w:tcPr>
            <w:tcW w:w="1146" w:type="dxa"/>
            <w:noWrap/>
            <w:vAlign w:val="center"/>
            <w:hideMark/>
          </w:tcPr>
          <w:p w14:paraId="704953DF" w14:textId="77777777" w:rsidR="009E1729" w:rsidRPr="00E93FD0"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91</w:t>
            </w:r>
          </w:p>
        </w:tc>
        <w:tc>
          <w:tcPr>
            <w:tcW w:w="1146" w:type="dxa"/>
            <w:noWrap/>
            <w:vAlign w:val="center"/>
            <w:hideMark/>
          </w:tcPr>
          <w:p w14:paraId="4823816E" w14:textId="77777777" w:rsidR="009E1729" w:rsidRPr="00E93FD0"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100</w:t>
            </w:r>
          </w:p>
        </w:tc>
        <w:tc>
          <w:tcPr>
            <w:tcW w:w="1146" w:type="dxa"/>
            <w:vAlign w:val="center"/>
            <w:hideMark/>
          </w:tcPr>
          <w:p w14:paraId="152936B3" w14:textId="77777777" w:rsidR="009E1729" w:rsidRPr="00E93FD0"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224</w:t>
            </w:r>
          </w:p>
        </w:tc>
        <w:tc>
          <w:tcPr>
            <w:tcW w:w="1146" w:type="dxa"/>
            <w:noWrap/>
            <w:vAlign w:val="center"/>
            <w:hideMark/>
          </w:tcPr>
          <w:p w14:paraId="69242D6B" w14:textId="77777777" w:rsidR="009E1729" w:rsidRPr="00E93FD0"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195</w:t>
            </w:r>
          </w:p>
        </w:tc>
      </w:tr>
      <w:tr w:rsidR="00E93FD0" w:rsidRPr="00E93FD0" w14:paraId="1DE3AD42" w14:textId="77777777" w:rsidTr="00665E9E">
        <w:trPr>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1622AC27" w14:textId="77777777" w:rsidR="009E1729" w:rsidRPr="00E93FD0" w:rsidRDefault="009E1729" w:rsidP="00490853">
            <w:pPr>
              <w:rPr>
                <w:rFonts w:ascii="Aptos Narrow" w:eastAsia="Times New Roman" w:hAnsi="Aptos Narrow" w:cs="Times New Roman"/>
              </w:rPr>
            </w:pPr>
            <w:r w:rsidRPr="00E93FD0">
              <w:rPr>
                <w:rFonts w:ascii="Aptos Narrow" w:eastAsia="Times New Roman" w:hAnsi="Aptos Narrow" w:cs="Times New Roman"/>
              </w:rPr>
              <w:t>Baystate Medical Center</w:t>
            </w:r>
          </w:p>
        </w:tc>
        <w:tc>
          <w:tcPr>
            <w:tcW w:w="1146" w:type="dxa"/>
            <w:noWrap/>
            <w:vAlign w:val="center"/>
            <w:hideMark/>
          </w:tcPr>
          <w:p w14:paraId="4B330240" w14:textId="77777777" w:rsidR="009E1729" w:rsidRPr="00E93FD0"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53</w:t>
            </w:r>
          </w:p>
        </w:tc>
        <w:tc>
          <w:tcPr>
            <w:tcW w:w="1146" w:type="dxa"/>
            <w:noWrap/>
            <w:vAlign w:val="center"/>
            <w:hideMark/>
          </w:tcPr>
          <w:p w14:paraId="7EEA1FEC" w14:textId="77777777" w:rsidR="009E1729" w:rsidRPr="00E93FD0"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45</w:t>
            </w:r>
          </w:p>
        </w:tc>
        <w:tc>
          <w:tcPr>
            <w:tcW w:w="1146" w:type="dxa"/>
            <w:noWrap/>
            <w:vAlign w:val="center"/>
            <w:hideMark/>
          </w:tcPr>
          <w:p w14:paraId="76D7964B" w14:textId="77777777" w:rsidR="009E1729" w:rsidRPr="00E93FD0"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45</w:t>
            </w:r>
          </w:p>
        </w:tc>
        <w:tc>
          <w:tcPr>
            <w:tcW w:w="1146" w:type="dxa"/>
            <w:vAlign w:val="center"/>
            <w:hideMark/>
          </w:tcPr>
          <w:p w14:paraId="47ADBB4C" w14:textId="77777777" w:rsidR="009E1729" w:rsidRPr="00E93FD0"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146</w:t>
            </w:r>
          </w:p>
        </w:tc>
        <w:tc>
          <w:tcPr>
            <w:tcW w:w="1146" w:type="dxa"/>
            <w:noWrap/>
            <w:vAlign w:val="center"/>
            <w:hideMark/>
          </w:tcPr>
          <w:p w14:paraId="6EF73CC8" w14:textId="77777777" w:rsidR="009E1729" w:rsidRPr="00E93FD0"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133</w:t>
            </w:r>
          </w:p>
        </w:tc>
      </w:tr>
      <w:tr w:rsidR="00E93FD0" w:rsidRPr="00E93FD0" w14:paraId="6861C0E0" w14:textId="77777777" w:rsidTr="00665E9E">
        <w:trPr>
          <w:cnfStyle w:val="000000100000" w:firstRow="0" w:lastRow="0" w:firstColumn="0" w:lastColumn="0" w:oddVBand="0" w:evenVBand="0" w:oddHBand="1" w:evenHBand="0" w:firstRowFirstColumn="0" w:firstRowLastColumn="0" w:lastRowFirstColumn="0" w:lastRowLastColumn="0"/>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427A8655" w14:textId="77777777" w:rsidR="009E1729" w:rsidRPr="00E93FD0" w:rsidRDefault="009E1729" w:rsidP="00490853">
            <w:pPr>
              <w:rPr>
                <w:rFonts w:ascii="Aptos Narrow" w:eastAsia="Times New Roman" w:hAnsi="Aptos Narrow" w:cs="Times New Roman"/>
              </w:rPr>
            </w:pPr>
            <w:r w:rsidRPr="00E93FD0">
              <w:rPr>
                <w:rFonts w:ascii="Aptos Narrow" w:eastAsia="Times New Roman" w:hAnsi="Aptos Narrow" w:cs="Times New Roman"/>
              </w:rPr>
              <w:t>St. Vincent's Hospital</w:t>
            </w:r>
          </w:p>
        </w:tc>
        <w:tc>
          <w:tcPr>
            <w:tcW w:w="1146" w:type="dxa"/>
            <w:noWrap/>
            <w:vAlign w:val="center"/>
            <w:hideMark/>
          </w:tcPr>
          <w:p w14:paraId="71803E0C" w14:textId="77777777" w:rsidR="009E1729" w:rsidRPr="00E93FD0"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44</w:t>
            </w:r>
          </w:p>
        </w:tc>
        <w:tc>
          <w:tcPr>
            <w:tcW w:w="1146" w:type="dxa"/>
            <w:noWrap/>
            <w:vAlign w:val="center"/>
            <w:hideMark/>
          </w:tcPr>
          <w:p w14:paraId="5FD94406" w14:textId="77777777" w:rsidR="009E1729" w:rsidRPr="00E93FD0"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27</w:t>
            </w:r>
          </w:p>
        </w:tc>
        <w:tc>
          <w:tcPr>
            <w:tcW w:w="1146" w:type="dxa"/>
            <w:noWrap/>
            <w:vAlign w:val="center"/>
            <w:hideMark/>
          </w:tcPr>
          <w:p w14:paraId="2D138926" w14:textId="77777777" w:rsidR="009E1729" w:rsidRPr="00E93FD0"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31</w:t>
            </w:r>
          </w:p>
        </w:tc>
        <w:tc>
          <w:tcPr>
            <w:tcW w:w="1146" w:type="dxa"/>
            <w:vAlign w:val="center"/>
            <w:hideMark/>
          </w:tcPr>
          <w:p w14:paraId="61815104" w14:textId="77777777" w:rsidR="009E1729" w:rsidRPr="00E93FD0"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60</w:t>
            </w:r>
          </w:p>
        </w:tc>
        <w:tc>
          <w:tcPr>
            <w:tcW w:w="1146" w:type="dxa"/>
            <w:noWrap/>
            <w:vAlign w:val="center"/>
            <w:hideMark/>
          </w:tcPr>
          <w:p w14:paraId="390DFAF8" w14:textId="77777777" w:rsidR="009E1729" w:rsidRPr="00E93FD0"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rPr>
            </w:pPr>
            <w:r w:rsidRPr="00E93FD0">
              <w:rPr>
                <w:rFonts w:ascii="Aptos Narrow" w:eastAsia="Times New Roman" w:hAnsi="Aptos Narrow" w:cs="Times New Roman"/>
              </w:rPr>
              <w:t>49</w:t>
            </w:r>
          </w:p>
        </w:tc>
      </w:tr>
      <w:tr w:rsidR="009E1729" w:rsidRPr="009E1729" w14:paraId="7546AB9E" w14:textId="77777777" w:rsidTr="00665E9E">
        <w:trPr>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noWrap/>
            <w:vAlign w:val="center"/>
            <w:hideMark/>
          </w:tcPr>
          <w:p w14:paraId="093147D7" w14:textId="0A866E39" w:rsidR="009E1729" w:rsidRPr="009E1729" w:rsidRDefault="009E1729" w:rsidP="00490853">
            <w:pPr>
              <w:rPr>
                <w:rFonts w:ascii="Aptos Narrow" w:eastAsia="Times New Roman" w:hAnsi="Aptos Narrow" w:cs="Times New Roman"/>
                <w:color w:val="000000"/>
              </w:rPr>
            </w:pPr>
            <w:r w:rsidRPr="009E1729">
              <w:rPr>
                <w:rFonts w:ascii="Aptos Narrow" w:eastAsia="Times New Roman" w:hAnsi="Aptos Narrow" w:cs="Times New Roman"/>
                <w:color w:val="000000"/>
              </w:rPr>
              <w:t>UMass Memorial</w:t>
            </w:r>
          </w:p>
        </w:tc>
        <w:tc>
          <w:tcPr>
            <w:tcW w:w="1146" w:type="dxa"/>
            <w:noWrap/>
            <w:vAlign w:val="center"/>
            <w:hideMark/>
          </w:tcPr>
          <w:p w14:paraId="429DBD40"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50</w:t>
            </w:r>
          </w:p>
        </w:tc>
        <w:tc>
          <w:tcPr>
            <w:tcW w:w="1146" w:type="dxa"/>
            <w:noWrap/>
            <w:vAlign w:val="center"/>
            <w:hideMark/>
          </w:tcPr>
          <w:p w14:paraId="3872184B"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49</w:t>
            </w:r>
          </w:p>
        </w:tc>
        <w:tc>
          <w:tcPr>
            <w:tcW w:w="1146" w:type="dxa"/>
            <w:noWrap/>
            <w:vAlign w:val="center"/>
            <w:hideMark/>
          </w:tcPr>
          <w:p w14:paraId="0C1AB922"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45</w:t>
            </w:r>
          </w:p>
        </w:tc>
        <w:tc>
          <w:tcPr>
            <w:tcW w:w="1146" w:type="dxa"/>
            <w:vAlign w:val="center"/>
            <w:hideMark/>
          </w:tcPr>
          <w:p w14:paraId="783D168E"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90</w:t>
            </w:r>
          </w:p>
        </w:tc>
        <w:tc>
          <w:tcPr>
            <w:tcW w:w="1146" w:type="dxa"/>
            <w:noWrap/>
            <w:vAlign w:val="center"/>
            <w:hideMark/>
          </w:tcPr>
          <w:p w14:paraId="5A97312F"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67</w:t>
            </w:r>
          </w:p>
        </w:tc>
      </w:tr>
      <w:tr w:rsidR="009E1729" w:rsidRPr="009E1729" w14:paraId="284BC3F3" w14:textId="77777777" w:rsidTr="00665E9E">
        <w:trPr>
          <w:cnfStyle w:val="000000100000" w:firstRow="0" w:lastRow="0" w:firstColumn="0" w:lastColumn="0" w:oddVBand="0" w:evenVBand="0" w:oddHBand="1" w:evenHBand="0" w:firstRowFirstColumn="0" w:firstRowLastColumn="0" w:lastRowFirstColumn="0" w:lastRowLastColumn="0"/>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3332BA8B" w14:textId="77777777" w:rsidR="009E1729" w:rsidRPr="009E1729" w:rsidRDefault="009E1729" w:rsidP="00490853">
            <w:pPr>
              <w:rPr>
                <w:rFonts w:ascii="Aptos Narrow" w:eastAsia="Times New Roman" w:hAnsi="Aptos Narrow" w:cs="Times New Roman"/>
                <w:color w:val="000000"/>
              </w:rPr>
            </w:pPr>
            <w:r w:rsidRPr="009E1729">
              <w:rPr>
                <w:rFonts w:ascii="Aptos Narrow" w:eastAsia="Times New Roman" w:hAnsi="Aptos Narrow" w:cs="Times New Roman"/>
                <w:color w:val="000000"/>
              </w:rPr>
              <w:t>Leominster Hospital</w:t>
            </w:r>
          </w:p>
        </w:tc>
        <w:tc>
          <w:tcPr>
            <w:tcW w:w="1146" w:type="dxa"/>
            <w:noWrap/>
            <w:vAlign w:val="center"/>
            <w:hideMark/>
          </w:tcPr>
          <w:p w14:paraId="3C2B40EF" w14:textId="77777777" w:rsidR="009E1729" w:rsidRPr="009E1729"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25</w:t>
            </w:r>
          </w:p>
        </w:tc>
        <w:tc>
          <w:tcPr>
            <w:tcW w:w="1146" w:type="dxa"/>
            <w:noWrap/>
            <w:vAlign w:val="center"/>
            <w:hideMark/>
          </w:tcPr>
          <w:p w14:paraId="6266F3E1" w14:textId="77777777" w:rsidR="009E1729" w:rsidRPr="009E1729"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24</w:t>
            </w:r>
          </w:p>
        </w:tc>
        <w:tc>
          <w:tcPr>
            <w:tcW w:w="1146" w:type="dxa"/>
            <w:noWrap/>
            <w:vAlign w:val="center"/>
            <w:hideMark/>
          </w:tcPr>
          <w:p w14:paraId="22A6DD86" w14:textId="77777777" w:rsidR="009E1729" w:rsidRPr="009E1729"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17</w:t>
            </w:r>
          </w:p>
        </w:tc>
        <w:tc>
          <w:tcPr>
            <w:tcW w:w="1146" w:type="dxa"/>
            <w:vAlign w:val="center"/>
            <w:hideMark/>
          </w:tcPr>
          <w:p w14:paraId="768D2EE6" w14:textId="77777777" w:rsidR="009E1729" w:rsidRPr="009E1729"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32</w:t>
            </w:r>
          </w:p>
        </w:tc>
        <w:tc>
          <w:tcPr>
            <w:tcW w:w="1146" w:type="dxa"/>
            <w:noWrap/>
            <w:vAlign w:val="center"/>
            <w:hideMark/>
          </w:tcPr>
          <w:p w14:paraId="214D29DD" w14:textId="77777777" w:rsidR="009E1729" w:rsidRPr="009E1729"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21</w:t>
            </w:r>
          </w:p>
        </w:tc>
      </w:tr>
      <w:tr w:rsidR="009E1729" w:rsidRPr="009E1729" w14:paraId="4374123D" w14:textId="77777777" w:rsidTr="00665E9E">
        <w:trPr>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7DA911BF" w14:textId="77777777" w:rsidR="009E1729" w:rsidRPr="009E1729" w:rsidRDefault="009E1729" w:rsidP="00490853">
            <w:pPr>
              <w:rPr>
                <w:rFonts w:ascii="Aptos Narrow" w:eastAsia="Times New Roman" w:hAnsi="Aptos Narrow" w:cs="Times New Roman"/>
                <w:color w:val="000000"/>
              </w:rPr>
            </w:pPr>
            <w:r w:rsidRPr="009E1729">
              <w:rPr>
                <w:rFonts w:ascii="Aptos Narrow" w:eastAsia="Times New Roman" w:hAnsi="Aptos Narrow" w:cs="Times New Roman"/>
                <w:color w:val="000000"/>
              </w:rPr>
              <w:t>Harrington Memorial Hospital</w:t>
            </w:r>
          </w:p>
        </w:tc>
        <w:tc>
          <w:tcPr>
            <w:tcW w:w="1146" w:type="dxa"/>
            <w:noWrap/>
            <w:vAlign w:val="center"/>
            <w:hideMark/>
          </w:tcPr>
          <w:p w14:paraId="5A1ACFBC"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11</w:t>
            </w:r>
          </w:p>
        </w:tc>
        <w:tc>
          <w:tcPr>
            <w:tcW w:w="1146" w:type="dxa"/>
            <w:noWrap/>
            <w:vAlign w:val="center"/>
            <w:hideMark/>
          </w:tcPr>
          <w:p w14:paraId="51A0492B" w14:textId="1894A85E"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0D23E9B7" w14:textId="71A8E668"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35C9C4F5"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21</w:t>
            </w:r>
          </w:p>
        </w:tc>
        <w:tc>
          <w:tcPr>
            <w:tcW w:w="1146" w:type="dxa"/>
            <w:noWrap/>
            <w:vAlign w:val="center"/>
            <w:hideMark/>
          </w:tcPr>
          <w:p w14:paraId="1895BCAE" w14:textId="2ACE13EA"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r>
      <w:tr w:rsidR="009E1729" w:rsidRPr="009E1729" w14:paraId="79DBF84D" w14:textId="77777777" w:rsidTr="00665E9E">
        <w:trPr>
          <w:cnfStyle w:val="000000100000" w:firstRow="0" w:lastRow="0" w:firstColumn="0" w:lastColumn="0" w:oddVBand="0" w:evenVBand="0" w:oddHBand="1" w:evenHBand="0" w:firstRowFirstColumn="0" w:firstRowLastColumn="0" w:lastRowFirstColumn="0" w:lastRowLastColumn="0"/>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56EC7C62" w14:textId="77777777" w:rsidR="009E1729" w:rsidRPr="009E1729" w:rsidRDefault="009E1729" w:rsidP="00490853">
            <w:pPr>
              <w:rPr>
                <w:rFonts w:ascii="Aptos Narrow" w:eastAsia="Times New Roman" w:hAnsi="Aptos Narrow" w:cs="Times New Roman"/>
                <w:color w:val="000000"/>
              </w:rPr>
            </w:pPr>
            <w:r w:rsidRPr="009E1729">
              <w:rPr>
                <w:rFonts w:ascii="Aptos Narrow" w:eastAsia="Times New Roman" w:hAnsi="Aptos Narrow" w:cs="Times New Roman"/>
                <w:color w:val="000000"/>
              </w:rPr>
              <w:t>Mercy Medical Center Springfield</w:t>
            </w:r>
          </w:p>
        </w:tc>
        <w:tc>
          <w:tcPr>
            <w:tcW w:w="1146" w:type="dxa"/>
            <w:noWrap/>
            <w:vAlign w:val="center"/>
            <w:hideMark/>
          </w:tcPr>
          <w:p w14:paraId="496CADB8" w14:textId="18867519"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695137D2" w14:textId="1B91F57F"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6BD7542B" w14:textId="034E8CF5"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3EC4F081" w14:textId="77777777" w:rsidR="009E1729" w:rsidRPr="009E1729"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34</w:t>
            </w:r>
          </w:p>
        </w:tc>
        <w:tc>
          <w:tcPr>
            <w:tcW w:w="1146" w:type="dxa"/>
            <w:noWrap/>
            <w:vAlign w:val="center"/>
            <w:hideMark/>
          </w:tcPr>
          <w:p w14:paraId="244B5A82" w14:textId="77777777" w:rsidR="009E1729" w:rsidRPr="009E1729"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90</w:t>
            </w:r>
          </w:p>
        </w:tc>
      </w:tr>
      <w:tr w:rsidR="009E1729" w:rsidRPr="009E1729" w14:paraId="0606F19A" w14:textId="77777777" w:rsidTr="00665E9E">
        <w:trPr>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06D1A254" w14:textId="77777777" w:rsidR="009E1729" w:rsidRPr="009E1729" w:rsidRDefault="009E1729" w:rsidP="00490853">
            <w:pPr>
              <w:rPr>
                <w:rFonts w:ascii="Aptos Narrow" w:eastAsia="Times New Roman" w:hAnsi="Aptos Narrow" w:cs="Times New Roman"/>
                <w:color w:val="000000"/>
              </w:rPr>
            </w:pPr>
            <w:r w:rsidRPr="009E1729">
              <w:rPr>
                <w:rFonts w:ascii="Aptos Narrow" w:eastAsia="Times New Roman" w:hAnsi="Aptos Narrow" w:cs="Times New Roman"/>
                <w:color w:val="000000"/>
              </w:rPr>
              <w:t>Cooley Dickinson Hospital</w:t>
            </w:r>
          </w:p>
        </w:tc>
        <w:tc>
          <w:tcPr>
            <w:tcW w:w="1146" w:type="dxa"/>
            <w:noWrap/>
            <w:vAlign w:val="center"/>
            <w:hideMark/>
          </w:tcPr>
          <w:p w14:paraId="334D29D6" w14:textId="0DE53F36"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324ACEDC" w14:textId="6958C855"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7AEE98C6" w14:textId="3A676B44"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2E67CF61"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16</w:t>
            </w:r>
          </w:p>
        </w:tc>
        <w:tc>
          <w:tcPr>
            <w:tcW w:w="1146" w:type="dxa"/>
            <w:noWrap/>
            <w:vAlign w:val="center"/>
            <w:hideMark/>
          </w:tcPr>
          <w:p w14:paraId="5F8B81FF" w14:textId="383F5A27" w:rsidR="009E1729" w:rsidRPr="009E1729" w:rsidRDefault="004547A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r>
      <w:tr w:rsidR="009E1729" w:rsidRPr="009E1729" w14:paraId="6674C576" w14:textId="77777777" w:rsidTr="00665E9E">
        <w:trPr>
          <w:cnfStyle w:val="000000100000" w:firstRow="0" w:lastRow="0" w:firstColumn="0" w:lastColumn="0" w:oddVBand="0" w:evenVBand="0" w:oddHBand="1" w:evenHBand="0" w:firstRowFirstColumn="0" w:firstRowLastColumn="0" w:lastRowFirstColumn="0" w:lastRowLastColumn="0"/>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536F4BE1" w14:textId="77777777" w:rsidR="009E1729" w:rsidRPr="009E1729" w:rsidRDefault="009E1729" w:rsidP="00490853">
            <w:pPr>
              <w:rPr>
                <w:rFonts w:ascii="Aptos Narrow" w:eastAsia="Times New Roman" w:hAnsi="Aptos Narrow" w:cs="Times New Roman"/>
                <w:color w:val="000000"/>
              </w:rPr>
            </w:pPr>
            <w:r w:rsidRPr="009E1729">
              <w:rPr>
                <w:rFonts w:ascii="Aptos Narrow" w:eastAsia="Times New Roman" w:hAnsi="Aptos Narrow" w:cs="Times New Roman"/>
                <w:color w:val="000000"/>
              </w:rPr>
              <w:t>Lahey Hospital and Medical Center</w:t>
            </w:r>
          </w:p>
        </w:tc>
        <w:tc>
          <w:tcPr>
            <w:tcW w:w="1146" w:type="dxa"/>
            <w:noWrap/>
            <w:vAlign w:val="center"/>
            <w:hideMark/>
          </w:tcPr>
          <w:p w14:paraId="6FBED3A6" w14:textId="156E82D5"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06CA6A24" w14:textId="5593DF45"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1E568AAC" w14:textId="3A24B98F"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7912A6AC" w14:textId="77777777" w:rsidR="009E1729" w:rsidRPr="009E1729"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51</w:t>
            </w:r>
          </w:p>
        </w:tc>
        <w:tc>
          <w:tcPr>
            <w:tcW w:w="1146" w:type="dxa"/>
            <w:noWrap/>
            <w:vAlign w:val="center"/>
            <w:hideMark/>
          </w:tcPr>
          <w:p w14:paraId="5B910B8B" w14:textId="77777777" w:rsidR="009E1729" w:rsidRPr="009E1729"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18</w:t>
            </w:r>
          </w:p>
        </w:tc>
      </w:tr>
      <w:tr w:rsidR="009E1729" w:rsidRPr="009E1729" w14:paraId="1DB770B4" w14:textId="77777777" w:rsidTr="00665E9E">
        <w:trPr>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28C82446" w14:textId="77777777" w:rsidR="009E1729" w:rsidRPr="009E1729" w:rsidRDefault="009E1729" w:rsidP="00490853">
            <w:pPr>
              <w:rPr>
                <w:rFonts w:ascii="Aptos Narrow" w:eastAsia="Times New Roman" w:hAnsi="Aptos Narrow" w:cs="Times New Roman"/>
                <w:color w:val="000000"/>
              </w:rPr>
            </w:pPr>
            <w:r w:rsidRPr="009E1729">
              <w:rPr>
                <w:rFonts w:ascii="Aptos Narrow" w:eastAsia="Times New Roman" w:hAnsi="Aptos Narrow" w:cs="Times New Roman"/>
                <w:color w:val="000000"/>
              </w:rPr>
              <w:t>Brigham &amp; Women's Hospital</w:t>
            </w:r>
          </w:p>
        </w:tc>
        <w:tc>
          <w:tcPr>
            <w:tcW w:w="1146" w:type="dxa"/>
            <w:noWrap/>
            <w:vAlign w:val="center"/>
            <w:hideMark/>
          </w:tcPr>
          <w:p w14:paraId="21245431" w14:textId="6DB0847E"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90853">
              <w:rPr>
                <w:rFonts w:ascii="Aptos Narrow" w:eastAsia="Times New Roman" w:hAnsi="Aptos Narrow" w:cs="Times New Roman"/>
                <w:color w:val="000000"/>
              </w:rPr>
              <w:t>&lt;11</w:t>
            </w:r>
          </w:p>
        </w:tc>
        <w:tc>
          <w:tcPr>
            <w:tcW w:w="1146" w:type="dxa"/>
            <w:noWrap/>
            <w:vAlign w:val="center"/>
            <w:hideMark/>
          </w:tcPr>
          <w:p w14:paraId="09BEAF93" w14:textId="7C29E1BB"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736250B9" w14:textId="6C1CF386" w:rsidR="009E1729" w:rsidRPr="00490853"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rPr>
            </w:pPr>
            <w:r>
              <w:rPr>
                <w:rFonts w:ascii="Aptos Narrow" w:eastAsia="Times New Roman" w:hAnsi="Aptos Narrow" w:cs="Times New Roman"/>
                <w:color w:val="000000"/>
              </w:rPr>
              <w:t>&lt;11</w:t>
            </w:r>
          </w:p>
        </w:tc>
        <w:tc>
          <w:tcPr>
            <w:tcW w:w="1146" w:type="dxa"/>
            <w:vAlign w:val="center"/>
            <w:hideMark/>
          </w:tcPr>
          <w:p w14:paraId="1DBFBD80"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29</w:t>
            </w:r>
          </w:p>
        </w:tc>
        <w:tc>
          <w:tcPr>
            <w:tcW w:w="1146" w:type="dxa"/>
            <w:noWrap/>
            <w:vAlign w:val="center"/>
            <w:hideMark/>
          </w:tcPr>
          <w:p w14:paraId="5FD58761"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15</w:t>
            </w:r>
          </w:p>
        </w:tc>
      </w:tr>
      <w:tr w:rsidR="009E1729" w:rsidRPr="009E1729" w14:paraId="6619055A" w14:textId="77777777" w:rsidTr="00665E9E">
        <w:trPr>
          <w:cnfStyle w:val="000000100000" w:firstRow="0" w:lastRow="0" w:firstColumn="0" w:lastColumn="0" w:oddVBand="0" w:evenVBand="0" w:oddHBand="1" w:evenHBand="0" w:firstRowFirstColumn="0" w:firstRowLastColumn="0" w:lastRowFirstColumn="0" w:lastRowLastColumn="0"/>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216B626A" w14:textId="77777777" w:rsidR="009E1729" w:rsidRPr="009E1729" w:rsidRDefault="009E1729" w:rsidP="00490853">
            <w:pPr>
              <w:rPr>
                <w:rFonts w:ascii="Aptos Narrow" w:eastAsia="Times New Roman" w:hAnsi="Aptos Narrow" w:cs="Times New Roman"/>
                <w:color w:val="000000"/>
              </w:rPr>
            </w:pPr>
            <w:r w:rsidRPr="009E1729">
              <w:rPr>
                <w:rFonts w:ascii="Aptos Narrow" w:eastAsia="Times New Roman" w:hAnsi="Aptos Narrow" w:cs="Times New Roman"/>
                <w:color w:val="000000"/>
              </w:rPr>
              <w:t>Holyoke Medical Center</w:t>
            </w:r>
          </w:p>
        </w:tc>
        <w:tc>
          <w:tcPr>
            <w:tcW w:w="1146" w:type="dxa"/>
            <w:noWrap/>
            <w:vAlign w:val="center"/>
            <w:hideMark/>
          </w:tcPr>
          <w:p w14:paraId="2FAB38C0" w14:textId="41F5C356"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56ACF916" w14:textId="0BC441EE"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44DCAAF1" w14:textId="2D089496"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6096B33E" w14:textId="77777777" w:rsidR="009E1729" w:rsidRPr="009E1729"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17</w:t>
            </w:r>
          </w:p>
        </w:tc>
        <w:tc>
          <w:tcPr>
            <w:tcW w:w="1146" w:type="dxa"/>
            <w:noWrap/>
            <w:vAlign w:val="center"/>
            <w:hideMark/>
          </w:tcPr>
          <w:p w14:paraId="10674D9C" w14:textId="77777777" w:rsidR="009E1729" w:rsidRPr="009E1729"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17</w:t>
            </w:r>
          </w:p>
        </w:tc>
      </w:tr>
      <w:tr w:rsidR="009E1729" w:rsidRPr="009E1729" w14:paraId="1FAEBB99" w14:textId="77777777" w:rsidTr="00665E9E">
        <w:trPr>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68EF49ED" w14:textId="77777777" w:rsidR="009E1729" w:rsidRPr="009E1729" w:rsidRDefault="009E1729" w:rsidP="00490853">
            <w:pPr>
              <w:rPr>
                <w:rFonts w:ascii="Aptos Narrow" w:eastAsia="Times New Roman" w:hAnsi="Aptos Narrow" w:cs="Times New Roman"/>
                <w:color w:val="000000"/>
              </w:rPr>
            </w:pPr>
            <w:r w:rsidRPr="009E1729">
              <w:rPr>
                <w:rFonts w:ascii="Aptos Narrow" w:eastAsia="Times New Roman" w:hAnsi="Aptos Narrow" w:cs="Times New Roman"/>
                <w:color w:val="000000"/>
              </w:rPr>
              <w:t>Massachusetts General Hospital</w:t>
            </w:r>
          </w:p>
        </w:tc>
        <w:tc>
          <w:tcPr>
            <w:tcW w:w="1146" w:type="dxa"/>
            <w:noWrap/>
            <w:vAlign w:val="center"/>
            <w:hideMark/>
          </w:tcPr>
          <w:p w14:paraId="3EF3E915" w14:textId="476CE271"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2E419842" w14:textId="57FF7E4F"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257AD659" w14:textId="217D456E"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747DDAE9" w14:textId="78462005"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1B4420E5"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16</w:t>
            </w:r>
          </w:p>
        </w:tc>
      </w:tr>
      <w:tr w:rsidR="009E1729" w:rsidRPr="009E1729" w14:paraId="495126E7" w14:textId="77777777" w:rsidTr="00665E9E">
        <w:trPr>
          <w:cnfStyle w:val="000000100000" w:firstRow="0" w:lastRow="0" w:firstColumn="0" w:lastColumn="0" w:oddVBand="0" w:evenVBand="0" w:oddHBand="1" w:evenHBand="0" w:firstRowFirstColumn="0" w:firstRowLastColumn="0" w:lastRowFirstColumn="0" w:lastRowLastColumn="0"/>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0D5F9E39" w14:textId="77777777" w:rsidR="009E1729" w:rsidRPr="009E1729" w:rsidRDefault="009E1729" w:rsidP="00490853">
            <w:pPr>
              <w:rPr>
                <w:rFonts w:ascii="Aptos Narrow" w:eastAsia="Times New Roman" w:hAnsi="Aptos Narrow" w:cs="Times New Roman"/>
                <w:color w:val="000000"/>
              </w:rPr>
            </w:pPr>
            <w:r w:rsidRPr="009E1729">
              <w:rPr>
                <w:rFonts w:ascii="Aptos Narrow" w:eastAsia="Times New Roman" w:hAnsi="Aptos Narrow" w:cs="Times New Roman"/>
                <w:color w:val="000000"/>
              </w:rPr>
              <w:t>Henry Heywood Hospital</w:t>
            </w:r>
          </w:p>
        </w:tc>
        <w:tc>
          <w:tcPr>
            <w:tcW w:w="1146" w:type="dxa"/>
            <w:noWrap/>
            <w:vAlign w:val="center"/>
            <w:hideMark/>
          </w:tcPr>
          <w:p w14:paraId="2845A8AE" w14:textId="24DDF2D4"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1364E8FD" w14:textId="2B5A05C8"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214AFA38" w14:textId="33727003"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546DF4AF" w14:textId="77777777" w:rsidR="009E1729" w:rsidRPr="009E1729"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31</w:t>
            </w:r>
          </w:p>
        </w:tc>
        <w:tc>
          <w:tcPr>
            <w:tcW w:w="1146" w:type="dxa"/>
            <w:noWrap/>
            <w:vAlign w:val="center"/>
            <w:hideMark/>
          </w:tcPr>
          <w:p w14:paraId="1950BC36" w14:textId="77777777" w:rsidR="009E1729" w:rsidRPr="009E1729"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20</w:t>
            </w:r>
          </w:p>
        </w:tc>
      </w:tr>
      <w:tr w:rsidR="009E1729" w:rsidRPr="009E1729" w14:paraId="022FD4EF" w14:textId="77777777" w:rsidTr="00665E9E">
        <w:trPr>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494E4A1A" w14:textId="77777777" w:rsidR="009E1729" w:rsidRPr="009E1729" w:rsidRDefault="009E1729" w:rsidP="00490853">
            <w:pPr>
              <w:rPr>
                <w:rFonts w:ascii="Aptos Narrow" w:eastAsia="Times New Roman" w:hAnsi="Aptos Narrow" w:cs="Times New Roman"/>
                <w:color w:val="000000"/>
              </w:rPr>
            </w:pPr>
            <w:r w:rsidRPr="009E1729">
              <w:rPr>
                <w:rFonts w:ascii="Aptos Narrow" w:eastAsia="Times New Roman" w:hAnsi="Aptos Narrow" w:cs="Times New Roman"/>
                <w:color w:val="000000"/>
              </w:rPr>
              <w:t>Metro West Framingham</w:t>
            </w:r>
          </w:p>
        </w:tc>
        <w:tc>
          <w:tcPr>
            <w:tcW w:w="1146" w:type="dxa"/>
            <w:noWrap/>
            <w:vAlign w:val="center"/>
            <w:hideMark/>
          </w:tcPr>
          <w:p w14:paraId="5B7DADA5" w14:textId="30FE6AD9"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7F7B89D9" w14:textId="032837CD"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41645426" w14:textId="707F9387"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40FD1BA2"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15</w:t>
            </w:r>
          </w:p>
        </w:tc>
        <w:tc>
          <w:tcPr>
            <w:tcW w:w="1146" w:type="dxa"/>
            <w:noWrap/>
            <w:vAlign w:val="center"/>
            <w:hideMark/>
          </w:tcPr>
          <w:p w14:paraId="4919E9EC"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19</w:t>
            </w:r>
          </w:p>
        </w:tc>
      </w:tr>
      <w:tr w:rsidR="009E1729" w:rsidRPr="009E1729" w14:paraId="2A12CCF3" w14:textId="77777777" w:rsidTr="00665E9E">
        <w:trPr>
          <w:cnfStyle w:val="000000100000" w:firstRow="0" w:lastRow="0" w:firstColumn="0" w:lastColumn="0" w:oddVBand="0" w:evenVBand="0" w:oddHBand="1" w:evenHBand="0" w:firstRowFirstColumn="0" w:firstRowLastColumn="0" w:lastRowFirstColumn="0" w:lastRowLastColumn="0"/>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00089245" w14:textId="77777777" w:rsidR="009E1729" w:rsidRPr="009E1729" w:rsidRDefault="009E1729" w:rsidP="00490853">
            <w:pPr>
              <w:rPr>
                <w:rFonts w:ascii="Aptos Narrow" w:eastAsia="Times New Roman" w:hAnsi="Aptos Narrow" w:cs="Times New Roman"/>
                <w:color w:val="000000"/>
              </w:rPr>
            </w:pPr>
            <w:r w:rsidRPr="009E1729">
              <w:rPr>
                <w:rFonts w:ascii="Aptos Narrow" w:eastAsia="Times New Roman" w:hAnsi="Aptos Narrow" w:cs="Times New Roman"/>
                <w:color w:val="000000"/>
              </w:rPr>
              <w:t>Emerson Hospital</w:t>
            </w:r>
          </w:p>
        </w:tc>
        <w:tc>
          <w:tcPr>
            <w:tcW w:w="1146" w:type="dxa"/>
            <w:noWrap/>
            <w:vAlign w:val="center"/>
            <w:hideMark/>
          </w:tcPr>
          <w:p w14:paraId="63E01272" w14:textId="158D49D0"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263084CA" w14:textId="0EDF642F"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2E62F913" w14:textId="5AD20755"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25FA1084" w14:textId="77777777" w:rsidR="009E1729" w:rsidRPr="009E1729"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40</w:t>
            </w:r>
          </w:p>
        </w:tc>
        <w:tc>
          <w:tcPr>
            <w:tcW w:w="1146" w:type="dxa"/>
            <w:noWrap/>
            <w:vAlign w:val="center"/>
            <w:hideMark/>
          </w:tcPr>
          <w:p w14:paraId="05585DCA" w14:textId="77777777" w:rsidR="009E1729" w:rsidRPr="009E1729"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27</w:t>
            </w:r>
          </w:p>
        </w:tc>
      </w:tr>
      <w:tr w:rsidR="009E1729" w:rsidRPr="009E1729" w14:paraId="265CF113" w14:textId="77777777" w:rsidTr="00665E9E">
        <w:trPr>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2E4D5374" w14:textId="77777777" w:rsidR="009E1729" w:rsidRPr="009E1729" w:rsidRDefault="009E1729" w:rsidP="00490853">
            <w:pPr>
              <w:rPr>
                <w:rFonts w:ascii="Aptos Narrow" w:eastAsia="Times New Roman" w:hAnsi="Aptos Narrow" w:cs="Times New Roman"/>
                <w:color w:val="000000"/>
              </w:rPr>
            </w:pPr>
            <w:r w:rsidRPr="009E1729">
              <w:rPr>
                <w:rFonts w:ascii="Aptos Narrow" w:eastAsia="Times New Roman" w:hAnsi="Aptos Narrow" w:cs="Times New Roman"/>
                <w:color w:val="000000"/>
              </w:rPr>
              <w:t>Beth Israel Deaconess Medical Center</w:t>
            </w:r>
          </w:p>
        </w:tc>
        <w:tc>
          <w:tcPr>
            <w:tcW w:w="1146" w:type="dxa"/>
            <w:noWrap/>
            <w:vAlign w:val="center"/>
            <w:hideMark/>
          </w:tcPr>
          <w:p w14:paraId="6787666D" w14:textId="1FDC676B"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507142E8" w14:textId="3A3C3566"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242099EC" w14:textId="6D3DA791"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11BDABD5"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48</w:t>
            </w:r>
          </w:p>
        </w:tc>
        <w:tc>
          <w:tcPr>
            <w:tcW w:w="1146" w:type="dxa"/>
            <w:noWrap/>
            <w:vAlign w:val="center"/>
            <w:hideMark/>
          </w:tcPr>
          <w:p w14:paraId="3475CD97"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25</w:t>
            </w:r>
          </w:p>
        </w:tc>
      </w:tr>
      <w:tr w:rsidR="009E1729" w:rsidRPr="009E1729" w14:paraId="46A25492" w14:textId="77777777" w:rsidTr="00665E9E">
        <w:trPr>
          <w:cnfStyle w:val="000000100000" w:firstRow="0" w:lastRow="0" w:firstColumn="0" w:lastColumn="0" w:oddVBand="0" w:evenVBand="0" w:oddHBand="1" w:evenHBand="0" w:firstRowFirstColumn="0" w:firstRowLastColumn="0" w:lastRowFirstColumn="0" w:lastRowLastColumn="0"/>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569929DC" w14:textId="77777777" w:rsidR="009E1729" w:rsidRPr="009E1729" w:rsidRDefault="009E1729" w:rsidP="00490853">
            <w:pPr>
              <w:rPr>
                <w:rFonts w:ascii="Aptos Narrow" w:eastAsia="Times New Roman" w:hAnsi="Aptos Narrow" w:cs="Times New Roman"/>
                <w:color w:val="000000"/>
              </w:rPr>
            </w:pPr>
            <w:r w:rsidRPr="009E1729">
              <w:rPr>
                <w:rFonts w:ascii="Aptos Narrow" w:eastAsia="Times New Roman" w:hAnsi="Aptos Narrow" w:cs="Times New Roman"/>
                <w:color w:val="000000"/>
              </w:rPr>
              <w:t>Beverly Hospital</w:t>
            </w:r>
          </w:p>
        </w:tc>
        <w:tc>
          <w:tcPr>
            <w:tcW w:w="1146" w:type="dxa"/>
            <w:noWrap/>
            <w:vAlign w:val="center"/>
            <w:hideMark/>
          </w:tcPr>
          <w:p w14:paraId="4CE7D375" w14:textId="1A8C031F"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74A816FA" w14:textId="3E198D95"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6F866F1A" w14:textId="3FD2B5B9"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13612312" w14:textId="2855AB4F"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108B2F4D" w14:textId="68EADE63" w:rsidR="009E1729" w:rsidRPr="009E1729" w:rsidRDefault="004547A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r>
      <w:tr w:rsidR="009E1729" w:rsidRPr="009E1729" w14:paraId="5D7F3E64" w14:textId="77777777" w:rsidTr="00665E9E">
        <w:trPr>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5C933656" w14:textId="77777777" w:rsidR="009E1729" w:rsidRPr="009E1729" w:rsidRDefault="009E1729" w:rsidP="00490853">
            <w:pPr>
              <w:rPr>
                <w:rFonts w:ascii="Aptos Narrow" w:eastAsia="Times New Roman" w:hAnsi="Aptos Narrow" w:cs="Times New Roman"/>
                <w:color w:val="000000"/>
              </w:rPr>
            </w:pPr>
            <w:r w:rsidRPr="009E1729">
              <w:rPr>
                <w:rFonts w:ascii="Aptos Narrow" w:eastAsia="Times New Roman" w:hAnsi="Aptos Narrow" w:cs="Times New Roman"/>
                <w:color w:val="000000"/>
              </w:rPr>
              <w:t>Boston Medical Center</w:t>
            </w:r>
          </w:p>
        </w:tc>
        <w:tc>
          <w:tcPr>
            <w:tcW w:w="1146" w:type="dxa"/>
            <w:noWrap/>
            <w:vAlign w:val="center"/>
            <w:hideMark/>
          </w:tcPr>
          <w:p w14:paraId="16985E28" w14:textId="79EA2BF1"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6E60E0FF" w14:textId="0FD6D512"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15A486E2"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c>
          <w:tcPr>
            <w:tcW w:w="1146" w:type="dxa"/>
            <w:vAlign w:val="center"/>
            <w:hideMark/>
          </w:tcPr>
          <w:p w14:paraId="63D74379" w14:textId="11DDFAC1"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54445BB6" w14:textId="3102A6BD" w:rsidR="009E1729" w:rsidRPr="009E1729" w:rsidRDefault="004547A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r>
      <w:tr w:rsidR="009E1729" w:rsidRPr="009E1729" w14:paraId="2F3308E5" w14:textId="77777777" w:rsidTr="00665E9E">
        <w:trPr>
          <w:cnfStyle w:val="000000100000" w:firstRow="0" w:lastRow="0" w:firstColumn="0" w:lastColumn="0" w:oddVBand="0" w:evenVBand="0" w:oddHBand="1" w:evenHBand="0" w:firstRowFirstColumn="0" w:firstRowLastColumn="0" w:lastRowFirstColumn="0" w:lastRowLastColumn="0"/>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6BFA31C3" w14:textId="77777777" w:rsidR="009E1729" w:rsidRPr="009E1729" w:rsidRDefault="009E1729" w:rsidP="00490853">
            <w:pPr>
              <w:rPr>
                <w:rFonts w:ascii="Aptos Narrow" w:eastAsia="Times New Roman" w:hAnsi="Aptos Narrow" w:cs="Times New Roman"/>
                <w:color w:val="000000"/>
              </w:rPr>
            </w:pPr>
            <w:r w:rsidRPr="009E1729">
              <w:rPr>
                <w:rFonts w:ascii="Aptos Narrow" w:eastAsia="Times New Roman" w:hAnsi="Aptos Narrow" w:cs="Times New Roman"/>
                <w:color w:val="000000"/>
              </w:rPr>
              <w:t>Milford Regional Hospital</w:t>
            </w:r>
          </w:p>
        </w:tc>
        <w:tc>
          <w:tcPr>
            <w:tcW w:w="1146" w:type="dxa"/>
            <w:noWrap/>
            <w:vAlign w:val="center"/>
            <w:hideMark/>
          </w:tcPr>
          <w:p w14:paraId="78540464" w14:textId="20B9936E"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490853">
              <w:rPr>
                <w:rFonts w:ascii="Aptos Narrow" w:eastAsia="Times New Roman" w:hAnsi="Aptos Narrow" w:cs="Times New Roman"/>
                <w:color w:val="000000"/>
              </w:rPr>
              <w:t>&lt;11</w:t>
            </w:r>
          </w:p>
        </w:tc>
        <w:tc>
          <w:tcPr>
            <w:tcW w:w="1146" w:type="dxa"/>
            <w:noWrap/>
            <w:vAlign w:val="center"/>
            <w:hideMark/>
          </w:tcPr>
          <w:p w14:paraId="4A396896" w14:textId="27E86D30"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176E30DD" w14:textId="485BC838" w:rsidR="009E1729"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7955571D" w14:textId="77777777" w:rsidR="009E1729" w:rsidRPr="009E1729"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46</w:t>
            </w:r>
          </w:p>
        </w:tc>
        <w:tc>
          <w:tcPr>
            <w:tcW w:w="1146" w:type="dxa"/>
            <w:noWrap/>
            <w:vAlign w:val="center"/>
            <w:hideMark/>
          </w:tcPr>
          <w:p w14:paraId="59FBE2A7" w14:textId="77777777" w:rsidR="009E1729" w:rsidRPr="009E1729" w:rsidRDefault="009E1729"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25</w:t>
            </w:r>
          </w:p>
        </w:tc>
      </w:tr>
      <w:tr w:rsidR="009E1729" w:rsidRPr="009E1729" w14:paraId="7C48B8D8" w14:textId="77777777" w:rsidTr="00665E9E">
        <w:trPr>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hideMark/>
          </w:tcPr>
          <w:p w14:paraId="3B56595E" w14:textId="77777777" w:rsidR="009E1729" w:rsidRPr="009E1729" w:rsidRDefault="009E1729" w:rsidP="00490853">
            <w:pPr>
              <w:rPr>
                <w:rFonts w:ascii="Aptos Narrow" w:eastAsia="Times New Roman" w:hAnsi="Aptos Narrow" w:cs="Times New Roman"/>
                <w:color w:val="000000"/>
              </w:rPr>
            </w:pPr>
            <w:r w:rsidRPr="009E1729">
              <w:rPr>
                <w:rFonts w:ascii="Aptos Narrow" w:eastAsia="Times New Roman" w:hAnsi="Aptos Narrow" w:cs="Times New Roman"/>
                <w:color w:val="000000"/>
              </w:rPr>
              <w:t>Tufts New England Medical Center</w:t>
            </w:r>
          </w:p>
        </w:tc>
        <w:tc>
          <w:tcPr>
            <w:tcW w:w="1146" w:type="dxa"/>
            <w:noWrap/>
            <w:vAlign w:val="center"/>
            <w:hideMark/>
          </w:tcPr>
          <w:p w14:paraId="7AAF316E" w14:textId="379DF75E"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2E083156" w14:textId="58C15C95"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hideMark/>
          </w:tcPr>
          <w:p w14:paraId="0B598B22" w14:textId="5FCCEFE0" w:rsidR="009E1729"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hideMark/>
          </w:tcPr>
          <w:p w14:paraId="053B577E"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37</w:t>
            </w:r>
          </w:p>
        </w:tc>
        <w:tc>
          <w:tcPr>
            <w:tcW w:w="1146" w:type="dxa"/>
            <w:noWrap/>
            <w:vAlign w:val="center"/>
            <w:hideMark/>
          </w:tcPr>
          <w:p w14:paraId="509842D5" w14:textId="77777777" w:rsidR="009E1729" w:rsidRPr="009E1729" w:rsidRDefault="009E1729"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1729">
              <w:rPr>
                <w:rFonts w:ascii="Aptos Narrow" w:eastAsia="Times New Roman" w:hAnsi="Aptos Narrow" w:cs="Times New Roman"/>
                <w:color w:val="000000"/>
              </w:rPr>
              <w:t>33</w:t>
            </w:r>
          </w:p>
        </w:tc>
      </w:tr>
      <w:tr w:rsidR="000304D5" w:rsidRPr="009E1729" w14:paraId="256E6755" w14:textId="77777777" w:rsidTr="00665E9E">
        <w:trPr>
          <w:cnfStyle w:val="000000100000" w:firstRow="0" w:lastRow="0" w:firstColumn="0" w:lastColumn="0" w:oddVBand="0" w:evenVBand="0" w:oddHBand="1" w:evenHBand="0" w:firstRowFirstColumn="0" w:firstRowLastColumn="0" w:lastRowFirstColumn="0" w:lastRowLastColumn="0"/>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tcPr>
          <w:p w14:paraId="6C74CBBF" w14:textId="3B787A82" w:rsidR="000304D5" w:rsidRPr="009E1729" w:rsidRDefault="000304D5" w:rsidP="00490853">
            <w:pPr>
              <w:rPr>
                <w:rFonts w:ascii="Aptos Narrow" w:eastAsia="Times New Roman" w:hAnsi="Aptos Narrow" w:cs="Times New Roman"/>
                <w:color w:val="000000"/>
              </w:rPr>
            </w:pPr>
            <w:r>
              <w:rPr>
                <w:rFonts w:ascii="Aptos Narrow" w:eastAsia="Times New Roman" w:hAnsi="Aptos Narrow" w:cs="Times New Roman"/>
                <w:color w:val="000000"/>
              </w:rPr>
              <w:t>Other Massachusetts</w:t>
            </w:r>
            <w:r>
              <w:rPr>
                <w:rStyle w:val="FootnoteReference"/>
                <w:rFonts w:ascii="Aptos Narrow" w:eastAsia="Times New Roman" w:hAnsi="Aptos Narrow" w:cs="Times New Roman"/>
                <w:color w:val="000000"/>
              </w:rPr>
              <w:footnoteReference w:id="11"/>
            </w:r>
          </w:p>
        </w:tc>
        <w:tc>
          <w:tcPr>
            <w:tcW w:w="1146" w:type="dxa"/>
            <w:noWrap/>
            <w:vAlign w:val="center"/>
          </w:tcPr>
          <w:p w14:paraId="57B960B0" w14:textId="279C13BE" w:rsidR="000304D5"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noWrap/>
            <w:vAlign w:val="center"/>
          </w:tcPr>
          <w:p w14:paraId="7DBF14FA" w14:textId="34036CDB" w:rsidR="000304D5" w:rsidRPr="009E1729" w:rsidRDefault="000304D5"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14</w:t>
            </w:r>
          </w:p>
        </w:tc>
        <w:tc>
          <w:tcPr>
            <w:tcW w:w="1146" w:type="dxa"/>
            <w:noWrap/>
            <w:vAlign w:val="center"/>
          </w:tcPr>
          <w:p w14:paraId="2694C13E" w14:textId="3FD6E13D" w:rsidR="000304D5" w:rsidRPr="009E1729" w:rsidRDefault="00490853"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tcPr>
          <w:p w14:paraId="33C63C45" w14:textId="214438A9" w:rsidR="000304D5" w:rsidRPr="009E1729" w:rsidRDefault="000304D5"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111</w:t>
            </w:r>
          </w:p>
        </w:tc>
        <w:tc>
          <w:tcPr>
            <w:tcW w:w="1146" w:type="dxa"/>
            <w:noWrap/>
            <w:vAlign w:val="center"/>
          </w:tcPr>
          <w:p w14:paraId="5702E740" w14:textId="61AA9898" w:rsidR="000304D5" w:rsidRPr="009E1729" w:rsidRDefault="000304D5"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86</w:t>
            </w:r>
          </w:p>
        </w:tc>
      </w:tr>
      <w:tr w:rsidR="000304D5" w:rsidRPr="009E1729" w14:paraId="442C00ED" w14:textId="77777777" w:rsidTr="00665E9E">
        <w:trPr>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tcPr>
          <w:p w14:paraId="0CB256F2" w14:textId="63ADE0CF" w:rsidR="000304D5" w:rsidRDefault="000304D5" w:rsidP="00490853">
            <w:pPr>
              <w:rPr>
                <w:rFonts w:ascii="Aptos Narrow" w:eastAsia="Times New Roman" w:hAnsi="Aptos Narrow" w:cs="Times New Roman"/>
                <w:color w:val="000000"/>
              </w:rPr>
            </w:pPr>
            <w:r>
              <w:rPr>
                <w:rFonts w:ascii="Aptos Narrow" w:eastAsia="Times New Roman" w:hAnsi="Aptos Narrow" w:cs="Times New Roman"/>
                <w:color w:val="000000"/>
              </w:rPr>
              <w:t>Out of State</w:t>
            </w:r>
            <w:r>
              <w:rPr>
                <w:rStyle w:val="FootnoteReference"/>
                <w:rFonts w:ascii="Aptos Narrow" w:eastAsia="Times New Roman" w:hAnsi="Aptos Narrow" w:cs="Times New Roman"/>
                <w:color w:val="000000"/>
              </w:rPr>
              <w:footnoteReference w:id="12"/>
            </w:r>
          </w:p>
        </w:tc>
        <w:tc>
          <w:tcPr>
            <w:tcW w:w="1146" w:type="dxa"/>
            <w:noWrap/>
            <w:vAlign w:val="center"/>
          </w:tcPr>
          <w:p w14:paraId="30BE3D2F" w14:textId="4D90BDC5" w:rsidR="000304D5" w:rsidRPr="009E1729" w:rsidRDefault="000304D5"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12</w:t>
            </w:r>
          </w:p>
        </w:tc>
        <w:tc>
          <w:tcPr>
            <w:tcW w:w="1146" w:type="dxa"/>
            <w:noWrap/>
            <w:vAlign w:val="center"/>
          </w:tcPr>
          <w:p w14:paraId="0D3E018E" w14:textId="0B7FF029" w:rsidR="000304D5" w:rsidRPr="009E1729" w:rsidRDefault="000304D5"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19</w:t>
            </w:r>
          </w:p>
        </w:tc>
        <w:tc>
          <w:tcPr>
            <w:tcW w:w="1146" w:type="dxa"/>
            <w:noWrap/>
            <w:vAlign w:val="center"/>
          </w:tcPr>
          <w:p w14:paraId="1ECE5105" w14:textId="09AE02A4" w:rsidR="000304D5" w:rsidRPr="009E1729" w:rsidRDefault="00490853"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&lt;11</w:t>
            </w:r>
          </w:p>
        </w:tc>
        <w:tc>
          <w:tcPr>
            <w:tcW w:w="1146" w:type="dxa"/>
            <w:vAlign w:val="center"/>
          </w:tcPr>
          <w:p w14:paraId="6C06FBA3" w14:textId="30B45CA5" w:rsidR="000304D5" w:rsidRPr="009E1729" w:rsidRDefault="000304D5"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109</w:t>
            </w:r>
          </w:p>
        </w:tc>
        <w:tc>
          <w:tcPr>
            <w:tcW w:w="1146" w:type="dxa"/>
            <w:noWrap/>
            <w:vAlign w:val="center"/>
          </w:tcPr>
          <w:p w14:paraId="62F09FB6" w14:textId="3E0E08E8" w:rsidR="000304D5" w:rsidRPr="009E1729" w:rsidRDefault="000304D5" w:rsidP="0049085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104</w:t>
            </w:r>
          </w:p>
        </w:tc>
      </w:tr>
      <w:tr w:rsidR="000304D5" w:rsidRPr="009E1729" w14:paraId="22577CD7" w14:textId="77777777" w:rsidTr="00665E9E">
        <w:trPr>
          <w:cnfStyle w:val="000000100000" w:firstRow="0" w:lastRow="0" w:firstColumn="0" w:lastColumn="0" w:oddVBand="0" w:evenVBand="0" w:oddHBand="1" w:evenHBand="0" w:firstRowFirstColumn="0" w:firstRowLastColumn="0" w:lastRowFirstColumn="0" w:lastRowLastColumn="0"/>
          <w:cantSplit/>
          <w:trHeight w:hRule="exact" w:val="317"/>
        </w:trPr>
        <w:tc>
          <w:tcPr>
            <w:cnfStyle w:val="001000000000" w:firstRow="0" w:lastRow="0" w:firstColumn="1" w:lastColumn="0" w:oddVBand="0" w:evenVBand="0" w:oddHBand="0" w:evenHBand="0" w:firstRowFirstColumn="0" w:firstRowLastColumn="0" w:lastRowFirstColumn="0" w:lastRowLastColumn="0"/>
            <w:tcW w:w="4329" w:type="dxa"/>
            <w:vAlign w:val="center"/>
          </w:tcPr>
          <w:p w14:paraId="0C010745" w14:textId="087ECA33" w:rsidR="000304D5" w:rsidRPr="00490853" w:rsidRDefault="000304D5" w:rsidP="00490853">
            <w:pPr>
              <w:rPr>
                <w:rFonts w:ascii="Aptos Narrow" w:eastAsia="Times New Roman" w:hAnsi="Aptos Narrow" w:cs="Times New Roman"/>
                <w:color w:val="000000"/>
              </w:rPr>
            </w:pPr>
            <w:r w:rsidRPr="00490853">
              <w:rPr>
                <w:rFonts w:ascii="Aptos Narrow" w:eastAsia="Times New Roman" w:hAnsi="Aptos Narrow" w:cs="Times New Roman"/>
                <w:color w:val="000000"/>
              </w:rPr>
              <w:t>Total Referrals</w:t>
            </w:r>
          </w:p>
        </w:tc>
        <w:tc>
          <w:tcPr>
            <w:tcW w:w="1146" w:type="dxa"/>
            <w:noWrap/>
            <w:vAlign w:val="center"/>
          </w:tcPr>
          <w:p w14:paraId="1E80AB0D" w14:textId="56CF9F96" w:rsidR="000304D5" w:rsidRPr="00490853" w:rsidRDefault="003F7836"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rPr>
            </w:pPr>
            <w:r w:rsidRPr="00490853">
              <w:rPr>
                <w:rFonts w:ascii="Aptos Narrow" w:eastAsia="Times New Roman" w:hAnsi="Aptos Narrow" w:cs="Times New Roman"/>
                <w:b/>
                <w:bCs/>
                <w:color w:val="000000"/>
              </w:rPr>
              <w:t>386</w:t>
            </w:r>
          </w:p>
        </w:tc>
        <w:tc>
          <w:tcPr>
            <w:tcW w:w="1146" w:type="dxa"/>
            <w:noWrap/>
            <w:vAlign w:val="center"/>
          </w:tcPr>
          <w:p w14:paraId="492EC20D" w14:textId="29F84035" w:rsidR="000304D5" w:rsidRPr="00490853" w:rsidRDefault="003F7836"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rPr>
            </w:pPr>
            <w:r w:rsidRPr="00490853">
              <w:rPr>
                <w:rFonts w:ascii="Aptos Narrow" w:eastAsia="Times New Roman" w:hAnsi="Aptos Narrow" w:cs="Times New Roman"/>
                <w:b/>
                <w:bCs/>
                <w:color w:val="000000"/>
              </w:rPr>
              <w:t>341</w:t>
            </w:r>
          </w:p>
        </w:tc>
        <w:tc>
          <w:tcPr>
            <w:tcW w:w="1146" w:type="dxa"/>
            <w:noWrap/>
            <w:vAlign w:val="center"/>
          </w:tcPr>
          <w:p w14:paraId="21D74CA2" w14:textId="3B7500A0" w:rsidR="000304D5" w:rsidRPr="00490853" w:rsidRDefault="003F7836"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rPr>
            </w:pPr>
            <w:r w:rsidRPr="00490853">
              <w:rPr>
                <w:rFonts w:ascii="Aptos Narrow" w:eastAsia="Times New Roman" w:hAnsi="Aptos Narrow" w:cs="Times New Roman"/>
                <w:b/>
                <w:bCs/>
                <w:color w:val="000000"/>
              </w:rPr>
              <w:t>339</w:t>
            </w:r>
          </w:p>
        </w:tc>
        <w:tc>
          <w:tcPr>
            <w:tcW w:w="1146" w:type="dxa"/>
            <w:vAlign w:val="center"/>
          </w:tcPr>
          <w:p w14:paraId="5BA3A982" w14:textId="69DDA549" w:rsidR="000304D5" w:rsidRPr="00490853" w:rsidRDefault="003F7836"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rPr>
            </w:pPr>
            <w:r w:rsidRPr="00490853">
              <w:rPr>
                <w:rFonts w:ascii="Aptos Narrow" w:eastAsia="Times New Roman" w:hAnsi="Aptos Narrow" w:cs="Times New Roman"/>
                <w:b/>
                <w:bCs/>
                <w:color w:val="000000"/>
              </w:rPr>
              <w:t>1176</w:t>
            </w:r>
          </w:p>
        </w:tc>
        <w:tc>
          <w:tcPr>
            <w:tcW w:w="1146" w:type="dxa"/>
            <w:noWrap/>
            <w:vAlign w:val="center"/>
          </w:tcPr>
          <w:p w14:paraId="30AAC515" w14:textId="625FC625" w:rsidR="000304D5" w:rsidRPr="00490853" w:rsidRDefault="003F7836" w:rsidP="0049085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rPr>
            </w:pPr>
            <w:r w:rsidRPr="00490853">
              <w:rPr>
                <w:rFonts w:ascii="Aptos Narrow" w:eastAsia="Times New Roman" w:hAnsi="Aptos Narrow" w:cs="Times New Roman"/>
                <w:b/>
                <w:bCs/>
                <w:color w:val="000000"/>
              </w:rPr>
              <w:t>989</w:t>
            </w:r>
          </w:p>
        </w:tc>
      </w:tr>
    </w:tbl>
    <w:p w14:paraId="0E370AFE" w14:textId="77777777" w:rsidR="00464826" w:rsidRDefault="00464826"/>
    <w:bookmarkStart w:id="1" w:name="_iDocIDField_EOD"/>
    <w:p w14:paraId="44CF19DA" w14:textId="77777777" w:rsidR="00464826" w:rsidRDefault="00464826">
      <w:pPr>
        <w:pStyle w:val="DocID"/>
      </w:pPr>
      <w:r>
        <w:fldChar w:fldCharType="begin"/>
      </w:r>
      <w:r>
        <w:instrText xml:space="preserve">  DOCPROPERTY "CUS_DocIDChunk0" </w:instrText>
      </w:r>
      <w:r>
        <w:fldChar w:fldCharType="separate"/>
      </w:r>
      <w:r>
        <w:t>4023\0001\2212606.v1</w:t>
      </w:r>
      <w:r>
        <w:fldChar w:fldCharType="end"/>
      </w:r>
      <w:bookmarkEnd w:id="1"/>
    </w:p>
    <w:sectPr w:rsidR="00464826" w:rsidSect="00926F8E">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9A702" w14:textId="77777777" w:rsidR="00062288" w:rsidRDefault="00062288" w:rsidP="00231103">
      <w:pPr>
        <w:spacing w:after="0" w:line="240" w:lineRule="auto"/>
      </w:pPr>
      <w:r>
        <w:separator/>
      </w:r>
    </w:p>
  </w:endnote>
  <w:endnote w:type="continuationSeparator" w:id="0">
    <w:p w14:paraId="6352F5EE" w14:textId="77777777" w:rsidR="00062288" w:rsidRDefault="00062288" w:rsidP="00231103">
      <w:pPr>
        <w:spacing w:after="0" w:line="240" w:lineRule="auto"/>
      </w:pPr>
      <w:r>
        <w:continuationSeparator/>
      </w:r>
    </w:p>
  </w:endnote>
  <w:endnote w:type="continuationNotice" w:id="1">
    <w:p w14:paraId="39FC96FA" w14:textId="77777777" w:rsidR="00062288" w:rsidRDefault="00062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8F06" w14:textId="03DD5C67" w:rsidR="00716D84" w:rsidRPr="009301D0" w:rsidRDefault="00716D84" w:rsidP="00930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380115BD" w14:textId="77777777" w:rsidR="00716D84" w:rsidRDefault="00716D84" w:rsidP="00CE47C9">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8788" w14:textId="0C0A57F7" w:rsidR="00716D84" w:rsidRPr="009301D0" w:rsidRDefault="00716D84" w:rsidP="00930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8482" w14:textId="77777777" w:rsidR="00062288" w:rsidRDefault="00062288" w:rsidP="00231103">
      <w:pPr>
        <w:spacing w:after="0" w:line="240" w:lineRule="auto"/>
      </w:pPr>
      <w:r>
        <w:separator/>
      </w:r>
    </w:p>
  </w:footnote>
  <w:footnote w:type="continuationSeparator" w:id="0">
    <w:p w14:paraId="3B7B39C2" w14:textId="77777777" w:rsidR="00062288" w:rsidRDefault="00062288" w:rsidP="00231103">
      <w:pPr>
        <w:spacing w:after="0" w:line="240" w:lineRule="auto"/>
      </w:pPr>
      <w:r>
        <w:continuationSeparator/>
      </w:r>
    </w:p>
  </w:footnote>
  <w:footnote w:type="continuationNotice" w:id="1">
    <w:p w14:paraId="639B4FD7" w14:textId="77777777" w:rsidR="00062288" w:rsidRDefault="00062288">
      <w:pPr>
        <w:spacing w:after="0" w:line="240" w:lineRule="auto"/>
      </w:pPr>
    </w:p>
  </w:footnote>
  <w:footnote w:id="2">
    <w:p w14:paraId="4C57EAB6" w14:textId="4134A64C" w:rsidR="00C46975" w:rsidRPr="000B7CC2" w:rsidRDefault="00C46975">
      <w:pPr>
        <w:pStyle w:val="FootnoteText"/>
      </w:pPr>
      <w:r w:rsidRPr="000B7CC2">
        <w:rPr>
          <w:rStyle w:val="FootnoteReference"/>
        </w:rPr>
        <w:footnoteRef/>
      </w:r>
      <w:r w:rsidRPr="000B7CC2">
        <w:t xml:space="preserve"> MHA, Monthly Throughput Survey Reports, MASS. HEALTH &amp; HOSP. ASSN, </w:t>
      </w:r>
      <w:hyperlink r:id="rId1" w:history="1">
        <w:r w:rsidR="00515969" w:rsidRPr="00515969">
          <w:rPr>
            <w:rStyle w:val="Hyperlink"/>
            <w:color w:val="000000" w:themeColor="text1"/>
            <w:u w:val="none"/>
          </w:rPr>
          <w:t>https://www.mhalink.org/throughputreports/</w:t>
        </w:r>
      </w:hyperlink>
      <w:r w:rsidR="00515969" w:rsidRPr="00515969">
        <w:rPr>
          <w:color w:val="000000" w:themeColor="text1"/>
        </w:rPr>
        <w:t xml:space="preserve"> </w:t>
      </w:r>
      <w:r w:rsidRPr="00515969">
        <w:rPr>
          <w:color w:val="000000" w:themeColor="text1"/>
        </w:rPr>
        <w:t>.</w:t>
      </w:r>
    </w:p>
  </w:footnote>
  <w:footnote w:id="3">
    <w:p w14:paraId="22A26712" w14:textId="3C4A8215" w:rsidR="004D0C77" w:rsidRPr="000B7CC2" w:rsidRDefault="004D0C77" w:rsidP="004D0C77">
      <w:pPr>
        <w:pStyle w:val="FootnoteText"/>
      </w:pPr>
      <w:r w:rsidRPr="000B7CC2">
        <w:rPr>
          <w:rStyle w:val="FootnoteReference"/>
        </w:rPr>
        <w:footnoteRef/>
      </w:r>
      <w:r w:rsidRPr="000B7CC2">
        <w:t xml:space="preserve"> </w:t>
      </w:r>
      <w:proofErr w:type="spellStart"/>
      <w:r w:rsidRPr="000B7CC2">
        <w:t>Demiralp</w:t>
      </w:r>
      <w:proofErr w:type="spellEnd"/>
      <w:r w:rsidRPr="000B7CC2">
        <w:t xml:space="preserve">, B. et al., </w:t>
      </w:r>
      <w:r w:rsidRPr="000B7CC2">
        <w:rPr>
          <w:i/>
          <w:iCs/>
        </w:rPr>
        <w:t>Time spent in prior hospital stay and outcomes for ventilator patients in long</w:t>
      </w:r>
      <w:r w:rsidRPr="000B7CC2">
        <w:rPr>
          <w:rFonts w:ascii="Cambria Math" w:hAnsi="Cambria Math" w:cs="Cambria Math"/>
          <w:i/>
          <w:iCs/>
        </w:rPr>
        <w:t>‑</w:t>
      </w:r>
      <w:r w:rsidRPr="000B7CC2">
        <w:rPr>
          <w:i/>
          <w:iCs/>
        </w:rPr>
        <w:t>term acute care hospitals</w:t>
      </w:r>
      <w:r w:rsidRPr="000B7CC2">
        <w:t xml:space="preserve">, 104 </w:t>
      </w:r>
      <w:r w:rsidRPr="000B7CC2">
        <w:rPr>
          <w:smallCaps/>
        </w:rPr>
        <w:t>BMC Pulmonary Med.</w:t>
      </w:r>
      <w:r w:rsidRPr="000B7CC2">
        <w:t xml:space="preserve"> 1, 3 (2021).</w:t>
      </w:r>
    </w:p>
  </w:footnote>
  <w:footnote w:id="4">
    <w:p w14:paraId="3AE6D9FB" w14:textId="77777777" w:rsidR="00766E4C" w:rsidRPr="000B7CC2" w:rsidRDefault="00766E4C" w:rsidP="00766E4C">
      <w:pPr>
        <w:pStyle w:val="FootnoteText"/>
      </w:pPr>
      <w:r w:rsidRPr="000B7CC2">
        <w:rPr>
          <w:rStyle w:val="FootnoteReference"/>
        </w:rPr>
        <w:footnoteRef/>
      </w:r>
      <w:r w:rsidRPr="000B7CC2">
        <w:t xml:space="preserve"> CHIA, Hospital Readmissions and Revisits in Massachusetts</w:t>
      </w:r>
    </w:p>
    <w:p w14:paraId="202A8D34" w14:textId="2E6933A0" w:rsidR="00766E4C" w:rsidRPr="000B7CC2" w:rsidRDefault="00766E4C">
      <w:pPr>
        <w:pStyle w:val="FootnoteText"/>
        <w:rPr>
          <w:lang w:val="it-IT"/>
        </w:rPr>
      </w:pPr>
      <w:r w:rsidRPr="000B7CC2">
        <w:rPr>
          <w:smallCaps/>
          <w:lang w:val="it-IT"/>
        </w:rPr>
        <w:t>CHIAMass.gov</w:t>
      </w:r>
      <w:r w:rsidRPr="000B7CC2">
        <w:rPr>
          <w:lang w:val="it-IT"/>
        </w:rPr>
        <w:t>, https://www.chiamass.gov/hospital-readmissions-and-revisits-in-massachusetts.</w:t>
      </w:r>
    </w:p>
  </w:footnote>
  <w:footnote w:id="5">
    <w:p w14:paraId="1A5D585E" w14:textId="26DDA5AA" w:rsidR="00C333BD" w:rsidRPr="000B7CC2" w:rsidRDefault="00C333BD" w:rsidP="00C333BD">
      <w:pPr>
        <w:pStyle w:val="FootnoteText"/>
      </w:pPr>
      <w:r w:rsidRPr="000B7CC2">
        <w:rPr>
          <w:rStyle w:val="FootnoteReference"/>
        </w:rPr>
        <w:footnoteRef/>
      </w:r>
      <w:r w:rsidRPr="000B7CC2">
        <w:t xml:space="preserve"> Agency for Healthcare Research and Quality, </w:t>
      </w:r>
      <w:r w:rsidRPr="000B7CC2">
        <w:rPr>
          <w:i/>
          <w:iCs/>
        </w:rPr>
        <w:t>Overview: Getting Patients Off the Ventilator Faster: Facilitator Guide</w:t>
      </w:r>
      <w:r w:rsidRPr="000B7CC2">
        <w:t xml:space="preserve">, </w:t>
      </w:r>
      <w:r w:rsidRPr="000B7CC2">
        <w:rPr>
          <w:smallCaps/>
        </w:rPr>
        <w:t>AHRQ.gov</w:t>
      </w:r>
      <w:r w:rsidRPr="000B7CC2">
        <w:t xml:space="preserve"> (Feb. 2017), </w:t>
      </w:r>
      <w:hyperlink r:id="rId2" w:history="1">
        <w:r w:rsidR="001A6EE1" w:rsidRPr="001A6EE1">
          <w:rPr>
            <w:rStyle w:val="Hyperlink"/>
            <w:color w:val="000000" w:themeColor="text1"/>
            <w:u w:val="none"/>
          </w:rPr>
          <w:t>https://www.ahrq.gov/hai/tools/mvp/modules/vae/overview-off-ventilator-fac-guide.html</w:t>
        </w:r>
      </w:hyperlink>
      <w:r w:rsidR="001A6EE1" w:rsidRPr="001A6EE1">
        <w:rPr>
          <w:color w:val="000000" w:themeColor="text1"/>
        </w:rPr>
        <w:t xml:space="preserve"> </w:t>
      </w:r>
      <w:r w:rsidRPr="001A6EE1">
        <w:rPr>
          <w:color w:val="000000" w:themeColor="text1"/>
        </w:rPr>
        <w:t xml:space="preserve"> </w:t>
      </w:r>
      <w:r w:rsidRPr="000B7CC2">
        <w:t xml:space="preserve">(Citing </w:t>
      </w:r>
      <w:proofErr w:type="spellStart"/>
      <w:r w:rsidRPr="000B7CC2">
        <w:t>Berenholtz</w:t>
      </w:r>
      <w:proofErr w:type="spellEnd"/>
      <w:r w:rsidRPr="000B7CC2">
        <w:t xml:space="preserve"> S., et al., </w:t>
      </w:r>
      <w:r w:rsidRPr="000B7CC2">
        <w:rPr>
          <w:i/>
          <w:iCs/>
        </w:rPr>
        <w:t>Collaborative cohort study of an intervention to reduce ventilator associated pneumonia in the ICU,</w:t>
      </w:r>
      <w:r w:rsidRPr="000B7CC2">
        <w:t xml:space="preserve"> 32 </w:t>
      </w:r>
      <w:r w:rsidRPr="000B7CC2">
        <w:rPr>
          <w:smallCaps/>
        </w:rPr>
        <w:t>Infection Control Hosp Epidemiology</w:t>
      </w:r>
      <w:r w:rsidRPr="000B7CC2">
        <w:t xml:space="preserve"> 305 (2011); Lipitz-Snyderman A et al., </w:t>
      </w:r>
      <w:r w:rsidRPr="000B7CC2">
        <w:rPr>
          <w:i/>
          <w:iCs/>
        </w:rPr>
        <w:t>Impact of a statewide intensive care unit quality improvement initiative on hospital mortality and length of stay: retrospective comparative analysis</w:t>
      </w:r>
      <w:r w:rsidRPr="000B7CC2">
        <w:t>, 219 BMJ 342 (2011)).</w:t>
      </w:r>
    </w:p>
    <w:p w14:paraId="4A2A26C2" w14:textId="0A13DC87" w:rsidR="00C333BD" w:rsidRPr="004B525C" w:rsidRDefault="00C333BD">
      <w:pPr>
        <w:pStyle w:val="FootnoteText"/>
        <w:rPr>
          <w:color w:val="2F5496" w:themeColor="accent1" w:themeShade="BF"/>
        </w:rPr>
      </w:pPr>
    </w:p>
  </w:footnote>
  <w:footnote w:id="6">
    <w:p w14:paraId="62B0D79C" w14:textId="602FFB76" w:rsidR="00F90D1F" w:rsidRDefault="00F90D1F">
      <w:pPr>
        <w:pStyle w:val="FootnoteText"/>
      </w:pPr>
      <w:r>
        <w:rPr>
          <w:rStyle w:val="FootnoteReference"/>
        </w:rPr>
        <w:footnoteRef/>
      </w:r>
      <w:r>
        <w:t xml:space="preserve"> Providence, RI; Washington, RI; Rockingham, NH; Orange, VT; Hartford, CT; Windham, CT; Putnam, NY; Albany, NY; Rensselaer, NY; Dorchester, SC; St. Lucie, FL.</w:t>
      </w:r>
    </w:p>
  </w:footnote>
  <w:footnote w:id="7">
    <w:p w14:paraId="78E53865" w14:textId="7B11D376" w:rsidR="00F90D1F" w:rsidRDefault="00F90D1F">
      <w:pPr>
        <w:pStyle w:val="FootnoteText"/>
      </w:pPr>
      <w:r>
        <w:rPr>
          <w:rStyle w:val="FootnoteReference"/>
        </w:rPr>
        <w:footnoteRef/>
      </w:r>
      <w:r>
        <w:t xml:space="preserve"> Providence, RI; Washington, RI; Rockingham, NH; Hartford, CT; Windham, CT; Windham VT; Saratoga, NY; Albany, NY; Westchester, NY; York, ME; Lee, FL; Sullivan, NH; Stafford, NH; Cheshire, NH</w:t>
      </w:r>
      <w:r w:rsidR="003131DC">
        <w:t>; Hillsborough, NH.</w:t>
      </w:r>
    </w:p>
  </w:footnote>
  <w:footnote w:id="8">
    <w:p w14:paraId="510F5406" w14:textId="66625C6D" w:rsidR="00F90D1F" w:rsidRDefault="00F90D1F">
      <w:pPr>
        <w:pStyle w:val="FootnoteText"/>
      </w:pPr>
      <w:r>
        <w:rPr>
          <w:rStyle w:val="FootnoteReference"/>
        </w:rPr>
        <w:footnoteRef/>
      </w:r>
      <w:r>
        <w:t xml:space="preserve"> </w:t>
      </w:r>
      <w:r w:rsidR="003131DC">
        <w:t>Providence, RI; Rockingham, NH; Hillsborough, NH.</w:t>
      </w:r>
    </w:p>
  </w:footnote>
  <w:footnote w:id="9">
    <w:p w14:paraId="687F6978" w14:textId="72A6D8FC" w:rsidR="003C7194" w:rsidRDefault="003C7194">
      <w:pPr>
        <w:pStyle w:val="FootnoteText"/>
      </w:pPr>
      <w:r>
        <w:rPr>
          <w:rStyle w:val="FootnoteReference"/>
        </w:rPr>
        <w:footnoteRef/>
      </w:r>
      <w:r>
        <w:t xml:space="preserve"> Asian Indian, Other Asian</w:t>
      </w:r>
    </w:p>
  </w:footnote>
  <w:footnote w:id="10">
    <w:p w14:paraId="315E50B6" w14:textId="167E3E13" w:rsidR="007B4207" w:rsidRDefault="007B4207">
      <w:pPr>
        <w:pStyle w:val="FootnoteText"/>
      </w:pPr>
      <w:r>
        <w:rPr>
          <w:rStyle w:val="FootnoteReference"/>
        </w:rPr>
        <w:footnoteRef/>
      </w:r>
      <w:r>
        <w:t xml:space="preserve"> Asian Indian, Other Asian</w:t>
      </w:r>
    </w:p>
  </w:footnote>
  <w:footnote w:id="11">
    <w:p w14:paraId="180098FB" w14:textId="58D664C7" w:rsidR="000304D5" w:rsidRPr="00490853" w:rsidRDefault="000304D5">
      <w:pPr>
        <w:pStyle w:val="FootnoteText"/>
        <w:rPr>
          <w:sz w:val="18"/>
          <w:szCs w:val="18"/>
        </w:rPr>
      </w:pPr>
      <w:r w:rsidRPr="00490853">
        <w:rPr>
          <w:rStyle w:val="FootnoteReference"/>
          <w:sz w:val="18"/>
          <w:szCs w:val="18"/>
        </w:rPr>
        <w:footnoteRef/>
      </w:r>
      <w:r w:rsidRPr="00490853">
        <w:rPr>
          <w:sz w:val="18"/>
          <w:szCs w:val="18"/>
        </w:rPr>
        <w:t xml:space="preserve"> Cambridge Hospital; Fairlawn Rehab Hospital; Holden Rehab; Lawrence Memorial Hospital; St. Anne's Hospital; Anna Jaques Hospital; Athol Hospital; Baystate Franklin Medical Center; Baystate Wing Hospital; Bear Mountain at Worcester; Berkshire Medical Center; Beth Israel Deaconess of Needham; Boston Children's Hospital; Brigham &amp; Wom</w:t>
      </w:r>
      <w:r w:rsidR="00490853">
        <w:rPr>
          <w:sz w:val="18"/>
          <w:szCs w:val="18"/>
        </w:rPr>
        <w:t>e</w:t>
      </w:r>
      <w:r w:rsidRPr="00490853">
        <w:rPr>
          <w:sz w:val="18"/>
          <w:szCs w:val="18"/>
        </w:rPr>
        <w:t>n</w:t>
      </w:r>
      <w:r w:rsidR="00490853">
        <w:rPr>
          <w:sz w:val="18"/>
          <w:szCs w:val="18"/>
        </w:rPr>
        <w:t>’</w:t>
      </w:r>
      <w:r w:rsidRPr="00490853">
        <w:rPr>
          <w:sz w:val="18"/>
          <w:szCs w:val="18"/>
        </w:rPr>
        <w:t>s Faulkner Hospital; CHA Cambridge Hospital; Charlton Memorial Hospital; Clinton Hospital; Fairlawn Hospital; Falmouth Hospi</w:t>
      </w:r>
      <w:r w:rsidR="00490853">
        <w:rPr>
          <w:sz w:val="18"/>
          <w:szCs w:val="18"/>
        </w:rPr>
        <w:t>t</w:t>
      </w:r>
      <w:r w:rsidRPr="00490853">
        <w:rPr>
          <w:sz w:val="18"/>
          <w:szCs w:val="18"/>
        </w:rPr>
        <w:t>al; Family Lives Homecare; FMC Devens Fed Prison Clinical Unit; Good Samaritan Medical Center; HOLY FAMILY HOSPITAL; Lawrence General Hospital; Lowell General Hospital; Marlborough Hills Rehabilitation &amp; Healt</w:t>
      </w:r>
      <w:r w:rsidR="00490853" w:rsidRPr="00490853">
        <w:rPr>
          <w:sz w:val="18"/>
          <w:szCs w:val="18"/>
        </w:rPr>
        <w:t>h</w:t>
      </w:r>
      <w:r w:rsidRPr="00490853">
        <w:rPr>
          <w:sz w:val="18"/>
          <w:szCs w:val="18"/>
        </w:rPr>
        <w:t xml:space="preserve">; Mass Eye and Ear Infirmary; </w:t>
      </w:r>
      <w:proofErr w:type="spellStart"/>
      <w:r w:rsidRPr="00490853">
        <w:rPr>
          <w:sz w:val="18"/>
          <w:szCs w:val="18"/>
        </w:rPr>
        <w:t>MelroseWakefield</w:t>
      </w:r>
      <w:proofErr w:type="spellEnd"/>
      <w:r w:rsidRPr="00490853">
        <w:rPr>
          <w:sz w:val="18"/>
          <w:szCs w:val="18"/>
        </w:rPr>
        <w:t xml:space="preserve"> Hospital; Mercy Medical Center; MetroWest Medical Center; Milton Hospital (Beth Israel Deaconess); Mount Auburn Hospital - Cambridge Ma; Nashoba Valley Medical Center; New England Sinai Hospital and Rehab; Newton Wellesley; NWH Newton Wellesley Hosp; Salem Hospital; South Shore Hospital; Southcoast St Luke's Hospital; St Elizabeth's Boston Hospital; St. Elizabeth's Medical Center; The Meadows; </w:t>
      </w:r>
      <w:proofErr w:type="spellStart"/>
      <w:r w:rsidRPr="00490853">
        <w:rPr>
          <w:sz w:val="18"/>
          <w:szCs w:val="18"/>
        </w:rPr>
        <w:t>Vibra</w:t>
      </w:r>
      <w:proofErr w:type="spellEnd"/>
      <w:r w:rsidRPr="00490853">
        <w:rPr>
          <w:sz w:val="18"/>
          <w:szCs w:val="18"/>
        </w:rPr>
        <w:t xml:space="preserve"> Hospital of SE Mass; Winchester Hospital.</w:t>
      </w:r>
    </w:p>
  </w:footnote>
  <w:footnote w:id="12">
    <w:p w14:paraId="20966135" w14:textId="2ED50022" w:rsidR="000304D5" w:rsidRDefault="000304D5">
      <w:pPr>
        <w:pStyle w:val="FootnoteText"/>
      </w:pPr>
      <w:r w:rsidRPr="00490853">
        <w:rPr>
          <w:rStyle w:val="FootnoteReference"/>
          <w:sz w:val="18"/>
          <w:szCs w:val="18"/>
        </w:rPr>
        <w:footnoteRef/>
      </w:r>
      <w:r w:rsidRPr="00490853">
        <w:rPr>
          <w:sz w:val="18"/>
          <w:szCs w:val="18"/>
        </w:rPr>
        <w:t xml:space="preserve"> Hartford Hospital; Rhode Island Hospital; Dartmouth-Hitchcock Medical Center; Hospital </w:t>
      </w:r>
      <w:proofErr w:type="spellStart"/>
      <w:r w:rsidRPr="00490853">
        <w:rPr>
          <w:sz w:val="18"/>
          <w:szCs w:val="18"/>
        </w:rPr>
        <w:t>Auxilio</w:t>
      </w:r>
      <w:proofErr w:type="spellEnd"/>
      <w:r w:rsidRPr="00490853">
        <w:rPr>
          <w:sz w:val="18"/>
          <w:szCs w:val="18"/>
        </w:rPr>
        <w:t xml:space="preserve"> </w:t>
      </w:r>
      <w:proofErr w:type="spellStart"/>
      <w:r w:rsidRPr="00490853">
        <w:rPr>
          <w:sz w:val="18"/>
          <w:szCs w:val="18"/>
        </w:rPr>
        <w:t>Mutuo</w:t>
      </w:r>
      <w:proofErr w:type="spellEnd"/>
      <w:r w:rsidRPr="00490853">
        <w:rPr>
          <w:sz w:val="18"/>
          <w:szCs w:val="18"/>
        </w:rPr>
        <w:t xml:space="preserve">; Johnson Memorial Medical Center; </w:t>
      </w:r>
      <w:proofErr w:type="spellStart"/>
      <w:r w:rsidRPr="00490853">
        <w:rPr>
          <w:sz w:val="18"/>
          <w:szCs w:val="18"/>
        </w:rPr>
        <w:t>Lawnwood</w:t>
      </w:r>
      <w:proofErr w:type="spellEnd"/>
      <w:r w:rsidRPr="00490853">
        <w:rPr>
          <w:sz w:val="18"/>
          <w:szCs w:val="18"/>
        </w:rPr>
        <w:t xml:space="preserve"> Regional Medical Center; Samaritan Hospital; St Francis Hospital ; St Peter's Hospital; Yale New Haven Hospital; </w:t>
      </w:r>
      <w:proofErr w:type="spellStart"/>
      <w:r w:rsidRPr="00490853">
        <w:rPr>
          <w:sz w:val="18"/>
          <w:szCs w:val="18"/>
        </w:rPr>
        <w:t>Adventhealth</w:t>
      </w:r>
      <w:proofErr w:type="spellEnd"/>
      <w:r w:rsidRPr="00490853">
        <w:rPr>
          <w:sz w:val="18"/>
          <w:szCs w:val="18"/>
        </w:rPr>
        <w:t xml:space="preserve"> Orlando; Albany Medical Center; Ascension Sacred Heart Bay; Backup Hospital; Carilion Roanoke Memorial Hospital; Cary Medical Center; Catholic Medical Center; CCS Cleveland Fairhill; Central Maine Medical Center; Cheshire Medical Center; Concord Hospital; Crouse Hospital; Danbury Hospital; Elliot Hospital; Ellis Hospital; Exeter Hospital; Frisbie Memorial Hospital; HCA Florida Memorial Hospital; HCA Florida Osceola Hospital; </w:t>
      </w:r>
      <w:proofErr w:type="spellStart"/>
      <w:r w:rsidRPr="00490853">
        <w:rPr>
          <w:sz w:val="18"/>
          <w:szCs w:val="18"/>
        </w:rPr>
        <w:t>Healthalliance</w:t>
      </w:r>
      <w:proofErr w:type="spellEnd"/>
      <w:r w:rsidRPr="00490853">
        <w:rPr>
          <w:sz w:val="18"/>
          <w:szCs w:val="18"/>
        </w:rPr>
        <w:t xml:space="preserve"> Hospital </w:t>
      </w:r>
      <w:proofErr w:type="spellStart"/>
      <w:r w:rsidRPr="00490853">
        <w:rPr>
          <w:sz w:val="18"/>
          <w:szCs w:val="18"/>
        </w:rPr>
        <w:t>Marys</w:t>
      </w:r>
      <w:proofErr w:type="spellEnd"/>
      <w:r w:rsidRPr="00490853">
        <w:rPr>
          <w:sz w:val="18"/>
          <w:szCs w:val="18"/>
        </w:rPr>
        <w:t xml:space="preserve"> Avenue Cam; Kent County Hospital; Kindred Hospital LTACH Los Angeles; Maine Medical Center; Mid Coast Hospital; </w:t>
      </w:r>
      <w:proofErr w:type="spellStart"/>
      <w:r w:rsidRPr="00490853">
        <w:rPr>
          <w:sz w:val="18"/>
          <w:szCs w:val="18"/>
        </w:rPr>
        <w:t>MidState</w:t>
      </w:r>
      <w:proofErr w:type="spellEnd"/>
      <w:r w:rsidRPr="00490853">
        <w:rPr>
          <w:sz w:val="18"/>
          <w:szCs w:val="18"/>
        </w:rPr>
        <w:t xml:space="preserve"> Medical Center; Mt Sinai Rehab Hospital; Nazareth Hospital; New York Presbyterian Hospital; Northern Light East Maine Medical Center; Northern Lights Eastern Maine Medical Center; NYU Langone Hospital Brooklyn; Our Lady of Fatima; Portsmouth Regional Hospital; Rochester General Hospital; Saint Francis Hospital and Medical Center; Southern New Hampshire Medical Center; St Joseph Hospital; St. Vincent's Medical Center; The Saratoga Hospital; The University of Vermont Medical Center; University of Alabama at Birmingham; University of Vermont Medical Center; Vassar Brothers Medical Center; Waterbury Hospital; West Roxbury VA; York Medical Center.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DD52" w14:textId="77777777" w:rsidR="00CB5272" w:rsidRDefault="00CB5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7675" w14:textId="08678301" w:rsidR="00153D99" w:rsidRPr="001C1A06" w:rsidRDefault="00D568F8" w:rsidP="00D223EB">
    <w:pPr>
      <w:pStyle w:val="Header"/>
      <w:pBdr>
        <w:bottom w:val="single" w:sz="4" w:space="1" w:color="auto"/>
      </w:pBdr>
      <w:jc w:val="center"/>
      <w:rPr>
        <w:rFonts w:ascii="Arial-BoldMT" w:hAnsi="Arial-BoldMT" w:cs="Arial-BoldMT"/>
        <w:b/>
        <w:bCs/>
        <w:sz w:val="28"/>
        <w:szCs w:val="28"/>
      </w:rPr>
    </w:pPr>
    <w:r>
      <w:rPr>
        <w:rFonts w:ascii="Arial-BoldMT" w:hAnsi="Arial-BoldMT" w:cs="Arial-BoldMT"/>
        <w:b/>
        <w:bCs/>
        <w:sz w:val="28"/>
        <w:szCs w:val="28"/>
      </w:rPr>
      <w:t xml:space="preserve">Everest </w:t>
    </w:r>
    <w:r w:rsidR="00A20179">
      <w:rPr>
        <w:rFonts w:ascii="Arial-BoldMT" w:hAnsi="Arial-BoldMT" w:cs="Arial-BoldMT"/>
        <w:b/>
        <w:bCs/>
        <w:sz w:val="28"/>
        <w:szCs w:val="28"/>
      </w:rPr>
      <w:t>Hospital, LLC</w:t>
    </w:r>
  </w:p>
  <w:p w14:paraId="78DC6D8E" w14:textId="4C6B65B9"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6706B2" w:rsidRPr="006706B2">
      <w:rPr>
        <w:rFonts w:ascii="Arial-BoldMT" w:hAnsi="Arial-BoldMT" w:cs="Arial-BoldMT"/>
        <w:b/>
        <w:bCs/>
        <w:sz w:val="24"/>
        <w:szCs w:val="24"/>
      </w:rPr>
      <w:t>23101112-TO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C992" w14:textId="77777777" w:rsidR="00CB5272" w:rsidRDefault="00CB5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B425B"/>
    <w:multiLevelType w:val="hybridMultilevel"/>
    <w:tmpl w:val="2294D946"/>
    <w:lvl w:ilvl="0" w:tplc="7D56E1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651E2"/>
    <w:multiLevelType w:val="hybridMultilevel"/>
    <w:tmpl w:val="6E6EEB30"/>
    <w:lvl w:ilvl="0" w:tplc="092ACE2E">
      <w:start w:val="1"/>
      <w:numFmt w:val="decimal"/>
      <w:lvlText w:val="%1."/>
      <w:lvlJc w:val="left"/>
      <w:pPr>
        <w:ind w:left="720" w:hanging="360"/>
      </w:pPr>
      <w:rPr>
        <w:rFonts w:hint="default"/>
        <w:sz w:val="24"/>
        <w:szCs w:val="24"/>
      </w:rPr>
    </w:lvl>
    <w:lvl w:ilvl="1" w:tplc="561CF378">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4C41D7"/>
    <w:multiLevelType w:val="hybridMultilevel"/>
    <w:tmpl w:val="51B0668E"/>
    <w:lvl w:ilvl="0" w:tplc="833C332A">
      <w:start w:val="1"/>
      <w:numFmt w:val="decimal"/>
      <w:lvlText w:val="%1."/>
      <w:lvlJc w:val="left"/>
      <w:pPr>
        <w:ind w:left="720" w:hanging="360"/>
      </w:pPr>
      <w:rPr>
        <w:rFonts w:hint="default"/>
      </w:rPr>
    </w:lvl>
    <w:lvl w:ilvl="1" w:tplc="1AF69D50" w:tentative="1">
      <w:start w:val="1"/>
      <w:numFmt w:val="lowerLetter"/>
      <w:lvlText w:val="%2."/>
      <w:lvlJc w:val="left"/>
      <w:pPr>
        <w:ind w:left="1440" w:hanging="360"/>
      </w:pPr>
    </w:lvl>
    <w:lvl w:ilvl="2" w:tplc="A43AF0DC" w:tentative="1">
      <w:start w:val="1"/>
      <w:numFmt w:val="lowerRoman"/>
      <w:lvlText w:val="%3."/>
      <w:lvlJc w:val="right"/>
      <w:pPr>
        <w:ind w:left="2160" w:hanging="180"/>
      </w:pPr>
    </w:lvl>
    <w:lvl w:ilvl="3" w:tplc="C442CE26" w:tentative="1">
      <w:start w:val="1"/>
      <w:numFmt w:val="decimal"/>
      <w:lvlText w:val="%4."/>
      <w:lvlJc w:val="left"/>
      <w:pPr>
        <w:ind w:left="2880" w:hanging="360"/>
      </w:pPr>
    </w:lvl>
    <w:lvl w:ilvl="4" w:tplc="42C86C76" w:tentative="1">
      <w:start w:val="1"/>
      <w:numFmt w:val="lowerLetter"/>
      <w:lvlText w:val="%5."/>
      <w:lvlJc w:val="left"/>
      <w:pPr>
        <w:ind w:left="3600" w:hanging="360"/>
      </w:pPr>
    </w:lvl>
    <w:lvl w:ilvl="5" w:tplc="464AE502" w:tentative="1">
      <w:start w:val="1"/>
      <w:numFmt w:val="lowerRoman"/>
      <w:lvlText w:val="%6."/>
      <w:lvlJc w:val="right"/>
      <w:pPr>
        <w:ind w:left="4320" w:hanging="180"/>
      </w:pPr>
    </w:lvl>
    <w:lvl w:ilvl="6" w:tplc="240C6014" w:tentative="1">
      <w:start w:val="1"/>
      <w:numFmt w:val="decimal"/>
      <w:lvlText w:val="%7."/>
      <w:lvlJc w:val="left"/>
      <w:pPr>
        <w:ind w:left="5040" w:hanging="360"/>
      </w:pPr>
    </w:lvl>
    <w:lvl w:ilvl="7" w:tplc="32F40EEC" w:tentative="1">
      <w:start w:val="1"/>
      <w:numFmt w:val="lowerLetter"/>
      <w:lvlText w:val="%8."/>
      <w:lvlJc w:val="left"/>
      <w:pPr>
        <w:ind w:left="5760" w:hanging="360"/>
      </w:pPr>
    </w:lvl>
    <w:lvl w:ilvl="8" w:tplc="E0A81844" w:tentative="1">
      <w:start w:val="1"/>
      <w:numFmt w:val="lowerRoman"/>
      <w:lvlText w:val="%9."/>
      <w:lvlJc w:val="right"/>
      <w:pPr>
        <w:ind w:left="6480" w:hanging="180"/>
      </w:pPr>
    </w:lvl>
  </w:abstractNum>
  <w:abstractNum w:abstractNumId="4" w15:restartNumberingAfterBreak="0">
    <w:nsid w:val="5DE323AE"/>
    <w:multiLevelType w:val="hybridMultilevel"/>
    <w:tmpl w:val="51B06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123E8F"/>
    <w:multiLevelType w:val="hybridMultilevel"/>
    <w:tmpl w:val="04D00B82"/>
    <w:lvl w:ilvl="0" w:tplc="8D72C5D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8551702">
    <w:abstractNumId w:val="0"/>
  </w:num>
  <w:num w:numId="2" w16cid:durableId="148061709">
    <w:abstractNumId w:val="2"/>
  </w:num>
  <w:num w:numId="3" w16cid:durableId="1002977798">
    <w:abstractNumId w:val="5"/>
  </w:num>
  <w:num w:numId="4" w16cid:durableId="1403023117">
    <w:abstractNumId w:val="3"/>
  </w:num>
  <w:num w:numId="5" w16cid:durableId="776560230">
    <w:abstractNumId w:val="1"/>
  </w:num>
  <w:num w:numId="6" w16cid:durableId="23062647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2E0B"/>
    <w:rsid w:val="000037BD"/>
    <w:rsid w:val="000038CE"/>
    <w:rsid w:val="0000498C"/>
    <w:rsid w:val="00005930"/>
    <w:rsid w:val="00010034"/>
    <w:rsid w:val="00011385"/>
    <w:rsid w:val="00012264"/>
    <w:rsid w:val="00012279"/>
    <w:rsid w:val="000158E4"/>
    <w:rsid w:val="00015EFC"/>
    <w:rsid w:val="000168C2"/>
    <w:rsid w:val="00016E99"/>
    <w:rsid w:val="00021767"/>
    <w:rsid w:val="00021A01"/>
    <w:rsid w:val="0002235E"/>
    <w:rsid w:val="00024C6C"/>
    <w:rsid w:val="00025521"/>
    <w:rsid w:val="00026B6F"/>
    <w:rsid w:val="00027FBC"/>
    <w:rsid w:val="0003012E"/>
    <w:rsid w:val="0003035A"/>
    <w:rsid w:val="000304D5"/>
    <w:rsid w:val="00030F72"/>
    <w:rsid w:val="00032FF5"/>
    <w:rsid w:val="000340D0"/>
    <w:rsid w:val="00040965"/>
    <w:rsid w:val="00040DCC"/>
    <w:rsid w:val="000413D6"/>
    <w:rsid w:val="0004380F"/>
    <w:rsid w:val="0004645C"/>
    <w:rsid w:val="00054D4A"/>
    <w:rsid w:val="00054FF4"/>
    <w:rsid w:val="0005525D"/>
    <w:rsid w:val="00055942"/>
    <w:rsid w:val="00055F9E"/>
    <w:rsid w:val="00056D5B"/>
    <w:rsid w:val="00057A92"/>
    <w:rsid w:val="000601A4"/>
    <w:rsid w:val="00060624"/>
    <w:rsid w:val="000618A4"/>
    <w:rsid w:val="00061A89"/>
    <w:rsid w:val="00062288"/>
    <w:rsid w:val="00063414"/>
    <w:rsid w:val="00064206"/>
    <w:rsid w:val="0006445F"/>
    <w:rsid w:val="00066890"/>
    <w:rsid w:val="00070586"/>
    <w:rsid w:val="00071162"/>
    <w:rsid w:val="000716FF"/>
    <w:rsid w:val="00072EE3"/>
    <w:rsid w:val="00073DC9"/>
    <w:rsid w:val="00074092"/>
    <w:rsid w:val="00076535"/>
    <w:rsid w:val="000766DC"/>
    <w:rsid w:val="00076A84"/>
    <w:rsid w:val="00076CB2"/>
    <w:rsid w:val="000775B1"/>
    <w:rsid w:val="00080AC6"/>
    <w:rsid w:val="000826CB"/>
    <w:rsid w:val="0008281D"/>
    <w:rsid w:val="00083193"/>
    <w:rsid w:val="0008493D"/>
    <w:rsid w:val="000862E1"/>
    <w:rsid w:val="0009039F"/>
    <w:rsid w:val="000906E1"/>
    <w:rsid w:val="000907F9"/>
    <w:rsid w:val="00091C4C"/>
    <w:rsid w:val="00092910"/>
    <w:rsid w:val="000952FD"/>
    <w:rsid w:val="00095621"/>
    <w:rsid w:val="00095FAB"/>
    <w:rsid w:val="00096ACB"/>
    <w:rsid w:val="00097B2C"/>
    <w:rsid w:val="000A56D4"/>
    <w:rsid w:val="000A5A22"/>
    <w:rsid w:val="000A691D"/>
    <w:rsid w:val="000A7A45"/>
    <w:rsid w:val="000B0A7F"/>
    <w:rsid w:val="000B1438"/>
    <w:rsid w:val="000B1D01"/>
    <w:rsid w:val="000B7CC2"/>
    <w:rsid w:val="000C2766"/>
    <w:rsid w:val="000C4405"/>
    <w:rsid w:val="000C6277"/>
    <w:rsid w:val="000C6A86"/>
    <w:rsid w:val="000C7F71"/>
    <w:rsid w:val="000D0D41"/>
    <w:rsid w:val="000D35DD"/>
    <w:rsid w:val="000D42DB"/>
    <w:rsid w:val="000E0B48"/>
    <w:rsid w:val="000E2F30"/>
    <w:rsid w:val="000E3622"/>
    <w:rsid w:val="000E5EC9"/>
    <w:rsid w:val="000E7E1B"/>
    <w:rsid w:val="000F0EDD"/>
    <w:rsid w:val="000F4FA3"/>
    <w:rsid w:val="000F5BAD"/>
    <w:rsid w:val="000F5CC4"/>
    <w:rsid w:val="000F6503"/>
    <w:rsid w:val="00101646"/>
    <w:rsid w:val="001017F6"/>
    <w:rsid w:val="001018CF"/>
    <w:rsid w:val="00104288"/>
    <w:rsid w:val="001050F4"/>
    <w:rsid w:val="00105768"/>
    <w:rsid w:val="00106D23"/>
    <w:rsid w:val="00106F2E"/>
    <w:rsid w:val="00111272"/>
    <w:rsid w:val="00112BDF"/>
    <w:rsid w:val="00112E92"/>
    <w:rsid w:val="00113110"/>
    <w:rsid w:val="00115F5D"/>
    <w:rsid w:val="001204FE"/>
    <w:rsid w:val="00120FB5"/>
    <w:rsid w:val="00122099"/>
    <w:rsid w:val="0012232D"/>
    <w:rsid w:val="00123EE2"/>
    <w:rsid w:val="00124116"/>
    <w:rsid w:val="00125F6B"/>
    <w:rsid w:val="00126E85"/>
    <w:rsid w:val="0013223B"/>
    <w:rsid w:val="0013225C"/>
    <w:rsid w:val="001324C2"/>
    <w:rsid w:val="001332C7"/>
    <w:rsid w:val="00133CF7"/>
    <w:rsid w:val="00137A46"/>
    <w:rsid w:val="00137C36"/>
    <w:rsid w:val="0014505C"/>
    <w:rsid w:val="0014527C"/>
    <w:rsid w:val="001459CB"/>
    <w:rsid w:val="00146FB4"/>
    <w:rsid w:val="0014727D"/>
    <w:rsid w:val="00147ED6"/>
    <w:rsid w:val="00150337"/>
    <w:rsid w:val="00152CFB"/>
    <w:rsid w:val="001538B2"/>
    <w:rsid w:val="00153D99"/>
    <w:rsid w:val="00154A10"/>
    <w:rsid w:val="001558DF"/>
    <w:rsid w:val="00162A72"/>
    <w:rsid w:val="00164EAE"/>
    <w:rsid w:val="00166158"/>
    <w:rsid w:val="001679DC"/>
    <w:rsid w:val="00167F71"/>
    <w:rsid w:val="001701AE"/>
    <w:rsid w:val="00170D7F"/>
    <w:rsid w:val="00174CFB"/>
    <w:rsid w:val="00175F20"/>
    <w:rsid w:val="00176547"/>
    <w:rsid w:val="00176C56"/>
    <w:rsid w:val="00180580"/>
    <w:rsid w:val="00181496"/>
    <w:rsid w:val="00182533"/>
    <w:rsid w:val="00183D7F"/>
    <w:rsid w:val="00185A10"/>
    <w:rsid w:val="00190646"/>
    <w:rsid w:val="0019184A"/>
    <w:rsid w:val="00191B78"/>
    <w:rsid w:val="00191DAC"/>
    <w:rsid w:val="001926A6"/>
    <w:rsid w:val="00192CFC"/>
    <w:rsid w:val="0019348F"/>
    <w:rsid w:val="00193CD7"/>
    <w:rsid w:val="001A0425"/>
    <w:rsid w:val="001A0FB0"/>
    <w:rsid w:val="001A11D0"/>
    <w:rsid w:val="001A170B"/>
    <w:rsid w:val="001A259F"/>
    <w:rsid w:val="001A35DC"/>
    <w:rsid w:val="001A511B"/>
    <w:rsid w:val="001A66A9"/>
    <w:rsid w:val="001A6EE1"/>
    <w:rsid w:val="001A767E"/>
    <w:rsid w:val="001B32E1"/>
    <w:rsid w:val="001B3A91"/>
    <w:rsid w:val="001B517F"/>
    <w:rsid w:val="001B569F"/>
    <w:rsid w:val="001B5845"/>
    <w:rsid w:val="001B5C12"/>
    <w:rsid w:val="001B6968"/>
    <w:rsid w:val="001B7F98"/>
    <w:rsid w:val="001C1986"/>
    <w:rsid w:val="001C1A06"/>
    <w:rsid w:val="001C2783"/>
    <w:rsid w:val="001C2A01"/>
    <w:rsid w:val="001C2FE0"/>
    <w:rsid w:val="001C44D2"/>
    <w:rsid w:val="001C5BF3"/>
    <w:rsid w:val="001C653D"/>
    <w:rsid w:val="001C6AE9"/>
    <w:rsid w:val="001C6B00"/>
    <w:rsid w:val="001C6D93"/>
    <w:rsid w:val="001D0111"/>
    <w:rsid w:val="001D01BF"/>
    <w:rsid w:val="001D079B"/>
    <w:rsid w:val="001D1521"/>
    <w:rsid w:val="001D1813"/>
    <w:rsid w:val="001D6865"/>
    <w:rsid w:val="001D7C2C"/>
    <w:rsid w:val="001E0B77"/>
    <w:rsid w:val="001E0B94"/>
    <w:rsid w:val="001E19D7"/>
    <w:rsid w:val="001E21D7"/>
    <w:rsid w:val="001E2EA3"/>
    <w:rsid w:val="001E4503"/>
    <w:rsid w:val="001E5650"/>
    <w:rsid w:val="001E5807"/>
    <w:rsid w:val="001F02F3"/>
    <w:rsid w:val="001F21B1"/>
    <w:rsid w:val="001F27B7"/>
    <w:rsid w:val="001F30FB"/>
    <w:rsid w:val="001F5FDD"/>
    <w:rsid w:val="001F667D"/>
    <w:rsid w:val="001F687E"/>
    <w:rsid w:val="00200334"/>
    <w:rsid w:val="00201F6E"/>
    <w:rsid w:val="00202AD7"/>
    <w:rsid w:val="002037DF"/>
    <w:rsid w:val="00203E5A"/>
    <w:rsid w:val="002050B9"/>
    <w:rsid w:val="00205D7B"/>
    <w:rsid w:val="00205E02"/>
    <w:rsid w:val="002069DD"/>
    <w:rsid w:val="002102EF"/>
    <w:rsid w:val="00212619"/>
    <w:rsid w:val="002131E4"/>
    <w:rsid w:val="00214FAA"/>
    <w:rsid w:val="002155ED"/>
    <w:rsid w:val="0021563E"/>
    <w:rsid w:val="00216777"/>
    <w:rsid w:val="002179D1"/>
    <w:rsid w:val="00220641"/>
    <w:rsid w:val="00224770"/>
    <w:rsid w:val="00225057"/>
    <w:rsid w:val="00225B1E"/>
    <w:rsid w:val="00225C8A"/>
    <w:rsid w:val="00226A63"/>
    <w:rsid w:val="00227005"/>
    <w:rsid w:val="00227BD5"/>
    <w:rsid w:val="00230C3B"/>
    <w:rsid w:val="00230EF5"/>
    <w:rsid w:val="00231103"/>
    <w:rsid w:val="002314FF"/>
    <w:rsid w:val="00231E3B"/>
    <w:rsid w:val="00233AFE"/>
    <w:rsid w:val="00233C6B"/>
    <w:rsid w:val="00234272"/>
    <w:rsid w:val="00236147"/>
    <w:rsid w:val="002364A1"/>
    <w:rsid w:val="002368BD"/>
    <w:rsid w:val="00236B31"/>
    <w:rsid w:val="00236D23"/>
    <w:rsid w:val="00241F52"/>
    <w:rsid w:val="0024261D"/>
    <w:rsid w:val="002458BA"/>
    <w:rsid w:val="0024615C"/>
    <w:rsid w:val="00246BD6"/>
    <w:rsid w:val="00246FBB"/>
    <w:rsid w:val="00251BEF"/>
    <w:rsid w:val="002533DB"/>
    <w:rsid w:val="0025349C"/>
    <w:rsid w:val="00253AF3"/>
    <w:rsid w:val="00253B0A"/>
    <w:rsid w:val="00254265"/>
    <w:rsid w:val="002542A0"/>
    <w:rsid w:val="00257224"/>
    <w:rsid w:val="0025780A"/>
    <w:rsid w:val="0025792F"/>
    <w:rsid w:val="0026022A"/>
    <w:rsid w:val="00262131"/>
    <w:rsid w:val="00262359"/>
    <w:rsid w:val="00262E53"/>
    <w:rsid w:val="002643AF"/>
    <w:rsid w:val="00264588"/>
    <w:rsid w:val="0026558B"/>
    <w:rsid w:val="00267859"/>
    <w:rsid w:val="00270B47"/>
    <w:rsid w:val="00271BF5"/>
    <w:rsid w:val="00271D85"/>
    <w:rsid w:val="0027221A"/>
    <w:rsid w:val="0027284F"/>
    <w:rsid w:val="002730BA"/>
    <w:rsid w:val="00273AA5"/>
    <w:rsid w:val="00274429"/>
    <w:rsid w:val="002750A6"/>
    <w:rsid w:val="002750C0"/>
    <w:rsid w:val="00276196"/>
    <w:rsid w:val="00276366"/>
    <w:rsid w:val="0027783A"/>
    <w:rsid w:val="002865E8"/>
    <w:rsid w:val="00286AD2"/>
    <w:rsid w:val="002906CE"/>
    <w:rsid w:val="002912FB"/>
    <w:rsid w:val="00291912"/>
    <w:rsid w:val="00292B13"/>
    <w:rsid w:val="00293147"/>
    <w:rsid w:val="00294D49"/>
    <w:rsid w:val="00296F21"/>
    <w:rsid w:val="0029738B"/>
    <w:rsid w:val="002A0E44"/>
    <w:rsid w:val="002A36DF"/>
    <w:rsid w:val="002A4110"/>
    <w:rsid w:val="002A47FE"/>
    <w:rsid w:val="002A518F"/>
    <w:rsid w:val="002A540F"/>
    <w:rsid w:val="002A5E73"/>
    <w:rsid w:val="002A6208"/>
    <w:rsid w:val="002A6759"/>
    <w:rsid w:val="002A7DD0"/>
    <w:rsid w:val="002B2A47"/>
    <w:rsid w:val="002B3476"/>
    <w:rsid w:val="002B4234"/>
    <w:rsid w:val="002B5ADB"/>
    <w:rsid w:val="002B662D"/>
    <w:rsid w:val="002B78AC"/>
    <w:rsid w:val="002C0C55"/>
    <w:rsid w:val="002C0C71"/>
    <w:rsid w:val="002C3C86"/>
    <w:rsid w:val="002C568C"/>
    <w:rsid w:val="002C5E88"/>
    <w:rsid w:val="002C7934"/>
    <w:rsid w:val="002D012B"/>
    <w:rsid w:val="002D06F7"/>
    <w:rsid w:val="002D18BF"/>
    <w:rsid w:val="002D1CC3"/>
    <w:rsid w:val="002D39AC"/>
    <w:rsid w:val="002D5E75"/>
    <w:rsid w:val="002D5F7A"/>
    <w:rsid w:val="002E3CEF"/>
    <w:rsid w:val="002E46AB"/>
    <w:rsid w:val="002E5CA9"/>
    <w:rsid w:val="002F0337"/>
    <w:rsid w:val="002F29CD"/>
    <w:rsid w:val="002F2D12"/>
    <w:rsid w:val="002F3CDD"/>
    <w:rsid w:val="002F5878"/>
    <w:rsid w:val="002F5B1B"/>
    <w:rsid w:val="002F7B99"/>
    <w:rsid w:val="00301D82"/>
    <w:rsid w:val="00302D3F"/>
    <w:rsid w:val="003030AA"/>
    <w:rsid w:val="00303DD8"/>
    <w:rsid w:val="00303EE3"/>
    <w:rsid w:val="00306307"/>
    <w:rsid w:val="0030785A"/>
    <w:rsid w:val="003078B4"/>
    <w:rsid w:val="003079EC"/>
    <w:rsid w:val="00307F98"/>
    <w:rsid w:val="003103B0"/>
    <w:rsid w:val="00312739"/>
    <w:rsid w:val="00312A19"/>
    <w:rsid w:val="003131DC"/>
    <w:rsid w:val="00317580"/>
    <w:rsid w:val="00320371"/>
    <w:rsid w:val="0032379C"/>
    <w:rsid w:val="003245F0"/>
    <w:rsid w:val="00324696"/>
    <w:rsid w:val="0032484D"/>
    <w:rsid w:val="00325C01"/>
    <w:rsid w:val="00327903"/>
    <w:rsid w:val="00327EAC"/>
    <w:rsid w:val="00331E8E"/>
    <w:rsid w:val="00332A40"/>
    <w:rsid w:val="00332C4B"/>
    <w:rsid w:val="003339EF"/>
    <w:rsid w:val="00333E04"/>
    <w:rsid w:val="0033473A"/>
    <w:rsid w:val="003350D7"/>
    <w:rsid w:val="003354AB"/>
    <w:rsid w:val="00335F54"/>
    <w:rsid w:val="00336346"/>
    <w:rsid w:val="00340782"/>
    <w:rsid w:val="00342240"/>
    <w:rsid w:val="00344402"/>
    <w:rsid w:val="00344528"/>
    <w:rsid w:val="00344DAC"/>
    <w:rsid w:val="00345F1B"/>
    <w:rsid w:val="00346884"/>
    <w:rsid w:val="00346FEF"/>
    <w:rsid w:val="003506AE"/>
    <w:rsid w:val="003522D7"/>
    <w:rsid w:val="003533CA"/>
    <w:rsid w:val="00353C6F"/>
    <w:rsid w:val="00354D26"/>
    <w:rsid w:val="00356283"/>
    <w:rsid w:val="0035653B"/>
    <w:rsid w:val="00357756"/>
    <w:rsid w:val="00357BA6"/>
    <w:rsid w:val="003602C2"/>
    <w:rsid w:val="003620FB"/>
    <w:rsid w:val="00364225"/>
    <w:rsid w:val="00365D58"/>
    <w:rsid w:val="00365E3F"/>
    <w:rsid w:val="00366505"/>
    <w:rsid w:val="0036671D"/>
    <w:rsid w:val="00366918"/>
    <w:rsid w:val="00366DCC"/>
    <w:rsid w:val="003675D5"/>
    <w:rsid w:val="003741E5"/>
    <w:rsid w:val="00375F14"/>
    <w:rsid w:val="003764DE"/>
    <w:rsid w:val="003765A6"/>
    <w:rsid w:val="003769AF"/>
    <w:rsid w:val="00380361"/>
    <w:rsid w:val="00380B28"/>
    <w:rsid w:val="00380BB5"/>
    <w:rsid w:val="00380E08"/>
    <w:rsid w:val="003813A0"/>
    <w:rsid w:val="00381CBF"/>
    <w:rsid w:val="00382217"/>
    <w:rsid w:val="00382F9A"/>
    <w:rsid w:val="00384767"/>
    <w:rsid w:val="0038699A"/>
    <w:rsid w:val="00387527"/>
    <w:rsid w:val="00391911"/>
    <w:rsid w:val="00392D76"/>
    <w:rsid w:val="00393F8C"/>
    <w:rsid w:val="00394105"/>
    <w:rsid w:val="00395F3D"/>
    <w:rsid w:val="0039698B"/>
    <w:rsid w:val="003A1793"/>
    <w:rsid w:val="003A2B5B"/>
    <w:rsid w:val="003A36B2"/>
    <w:rsid w:val="003A4882"/>
    <w:rsid w:val="003A4DC6"/>
    <w:rsid w:val="003A5F8B"/>
    <w:rsid w:val="003A7217"/>
    <w:rsid w:val="003A7AB8"/>
    <w:rsid w:val="003B0073"/>
    <w:rsid w:val="003B0A98"/>
    <w:rsid w:val="003B0D30"/>
    <w:rsid w:val="003B1445"/>
    <w:rsid w:val="003B4D42"/>
    <w:rsid w:val="003B575F"/>
    <w:rsid w:val="003B5953"/>
    <w:rsid w:val="003C1787"/>
    <w:rsid w:val="003C2495"/>
    <w:rsid w:val="003C28D0"/>
    <w:rsid w:val="003C3117"/>
    <w:rsid w:val="003C37FC"/>
    <w:rsid w:val="003C38F5"/>
    <w:rsid w:val="003C3B18"/>
    <w:rsid w:val="003C3FFC"/>
    <w:rsid w:val="003C6F58"/>
    <w:rsid w:val="003C7194"/>
    <w:rsid w:val="003C7A7B"/>
    <w:rsid w:val="003C7C67"/>
    <w:rsid w:val="003C7D2A"/>
    <w:rsid w:val="003D0F39"/>
    <w:rsid w:val="003D14BA"/>
    <w:rsid w:val="003D2A24"/>
    <w:rsid w:val="003D31FD"/>
    <w:rsid w:val="003D3D7D"/>
    <w:rsid w:val="003D4A6F"/>
    <w:rsid w:val="003D50D2"/>
    <w:rsid w:val="003D5D6C"/>
    <w:rsid w:val="003D7315"/>
    <w:rsid w:val="003D7942"/>
    <w:rsid w:val="003E0045"/>
    <w:rsid w:val="003E4BD2"/>
    <w:rsid w:val="003E4F87"/>
    <w:rsid w:val="003E5576"/>
    <w:rsid w:val="003E5688"/>
    <w:rsid w:val="003F1211"/>
    <w:rsid w:val="003F159E"/>
    <w:rsid w:val="003F334D"/>
    <w:rsid w:val="003F5EF2"/>
    <w:rsid w:val="003F665D"/>
    <w:rsid w:val="003F7754"/>
    <w:rsid w:val="003F7836"/>
    <w:rsid w:val="00401947"/>
    <w:rsid w:val="00402AC2"/>
    <w:rsid w:val="004035C4"/>
    <w:rsid w:val="00404913"/>
    <w:rsid w:val="00407E19"/>
    <w:rsid w:val="004102C5"/>
    <w:rsid w:val="00411D30"/>
    <w:rsid w:val="004141A0"/>
    <w:rsid w:val="00415EFC"/>
    <w:rsid w:val="0041770C"/>
    <w:rsid w:val="0042031C"/>
    <w:rsid w:val="00421844"/>
    <w:rsid w:val="00421B81"/>
    <w:rsid w:val="00421C21"/>
    <w:rsid w:val="00422255"/>
    <w:rsid w:val="004253AA"/>
    <w:rsid w:val="00426884"/>
    <w:rsid w:val="00431EC4"/>
    <w:rsid w:val="00432D19"/>
    <w:rsid w:val="0043468F"/>
    <w:rsid w:val="0043588D"/>
    <w:rsid w:val="00435E97"/>
    <w:rsid w:val="004365EF"/>
    <w:rsid w:val="00436DA5"/>
    <w:rsid w:val="00441ECA"/>
    <w:rsid w:val="00441F3E"/>
    <w:rsid w:val="0044253A"/>
    <w:rsid w:val="004449E1"/>
    <w:rsid w:val="00444A21"/>
    <w:rsid w:val="00445B4E"/>
    <w:rsid w:val="004467DC"/>
    <w:rsid w:val="00447333"/>
    <w:rsid w:val="0045317B"/>
    <w:rsid w:val="004537FA"/>
    <w:rsid w:val="004547A9"/>
    <w:rsid w:val="00455504"/>
    <w:rsid w:val="00456B10"/>
    <w:rsid w:val="00456FCF"/>
    <w:rsid w:val="00462971"/>
    <w:rsid w:val="00463824"/>
    <w:rsid w:val="00464826"/>
    <w:rsid w:val="00464ACB"/>
    <w:rsid w:val="00465F4D"/>
    <w:rsid w:val="00470202"/>
    <w:rsid w:val="00470E1E"/>
    <w:rsid w:val="004739A3"/>
    <w:rsid w:val="00477020"/>
    <w:rsid w:val="0047711A"/>
    <w:rsid w:val="00480049"/>
    <w:rsid w:val="004800AD"/>
    <w:rsid w:val="00481ADC"/>
    <w:rsid w:val="00481B31"/>
    <w:rsid w:val="004821A3"/>
    <w:rsid w:val="00484231"/>
    <w:rsid w:val="00484A85"/>
    <w:rsid w:val="004873F3"/>
    <w:rsid w:val="004901A5"/>
    <w:rsid w:val="00490846"/>
    <w:rsid w:val="00490853"/>
    <w:rsid w:val="00491AA3"/>
    <w:rsid w:val="004921DF"/>
    <w:rsid w:val="0049248C"/>
    <w:rsid w:val="004931F9"/>
    <w:rsid w:val="00497513"/>
    <w:rsid w:val="0049782E"/>
    <w:rsid w:val="004A0DDC"/>
    <w:rsid w:val="004A1907"/>
    <w:rsid w:val="004A1B2F"/>
    <w:rsid w:val="004A1BB1"/>
    <w:rsid w:val="004A1D25"/>
    <w:rsid w:val="004A3C27"/>
    <w:rsid w:val="004A5502"/>
    <w:rsid w:val="004A6568"/>
    <w:rsid w:val="004A7A25"/>
    <w:rsid w:val="004B1A24"/>
    <w:rsid w:val="004B1CE6"/>
    <w:rsid w:val="004B3151"/>
    <w:rsid w:val="004B39F2"/>
    <w:rsid w:val="004B46F4"/>
    <w:rsid w:val="004B525C"/>
    <w:rsid w:val="004B53D6"/>
    <w:rsid w:val="004B5430"/>
    <w:rsid w:val="004B582E"/>
    <w:rsid w:val="004B5EF9"/>
    <w:rsid w:val="004B678F"/>
    <w:rsid w:val="004B6C8F"/>
    <w:rsid w:val="004C0998"/>
    <w:rsid w:val="004C2AE3"/>
    <w:rsid w:val="004C2EFC"/>
    <w:rsid w:val="004C3AB7"/>
    <w:rsid w:val="004C51BD"/>
    <w:rsid w:val="004C7C09"/>
    <w:rsid w:val="004D018D"/>
    <w:rsid w:val="004D036D"/>
    <w:rsid w:val="004D0BF9"/>
    <w:rsid w:val="004D0C77"/>
    <w:rsid w:val="004D206A"/>
    <w:rsid w:val="004D293C"/>
    <w:rsid w:val="004D7C5C"/>
    <w:rsid w:val="004E067D"/>
    <w:rsid w:val="004E166A"/>
    <w:rsid w:val="004E16B6"/>
    <w:rsid w:val="004E6482"/>
    <w:rsid w:val="004E7C9D"/>
    <w:rsid w:val="004F432A"/>
    <w:rsid w:val="004F590F"/>
    <w:rsid w:val="004F6BB4"/>
    <w:rsid w:val="005002DE"/>
    <w:rsid w:val="005006E2"/>
    <w:rsid w:val="00500B09"/>
    <w:rsid w:val="00502404"/>
    <w:rsid w:val="00506B4E"/>
    <w:rsid w:val="00507039"/>
    <w:rsid w:val="005102F0"/>
    <w:rsid w:val="0051032C"/>
    <w:rsid w:val="00510EC8"/>
    <w:rsid w:val="00512D8D"/>
    <w:rsid w:val="00512FDF"/>
    <w:rsid w:val="005145C3"/>
    <w:rsid w:val="00514968"/>
    <w:rsid w:val="00514ECB"/>
    <w:rsid w:val="00515969"/>
    <w:rsid w:val="0051617E"/>
    <w:rsid w:val="00517104"/>
    <w:rsid w:val="00517D5A"/>
    <w:rsid w:val="00520833"/>
    <w:rsid w:val="00520941"/>
    <w:rsid w:val="00520CE7"/>
    <w:rsid w:val="005218C7"/>
    <w:rsid w:val="00522D14"/>
    <w:rsid w:val="00522F5F"/>
    <w:rsid w:val="00524144"/>
    <w:rsid w:val="005248A7"/>
    <w:rsid w:val="00525292"/>
    <w:rsid w:val="005257D0"/>
    <w:rsid w:val="00525D26"/>
    <w:rsid w:val="00527788"/>
    <w:rsid w:val="005301FC"/>
    <w:rsid w:val="00530477"/>
    <w:rsid w:val="005325F4"/>
    <w:rsid w:val="00532D6E"/>
    <w:rsid w:val="005338A0"/>
    <w:rsid w:val="00534C78"/>
    <w:rsid w:val="005356C2"/>
    <w:rsid w:val="00535A15"/>
    <w:rsid w:val="00536A69"/>
    <w:rsid w:val="00536B22"/>
    <w:rsid w:val="005379D8"/>
    <w:rsid w:val="00540199"/>
    <w:rsid w:val="00540589"/>
    <w:rsid w:val="00541E48"/>
    <w:rsid w:val="005430C8"/>
    <w:rsid w:val="0054339D"/>
    <w:rsid w:val="00545287"/>
    <w:rsid w:val="00546917"/>
    <w:rsid w:val="00547324"/>
    <w:rsid w:val="005475AF"/>
    <w:rsid w:val="005506E6"/>
    <w:rsid w:val="00551569"/>
    <w:rsid w:val="00553833"/>
    <w:rsid w:val="00554017"/>
    <w:rsid w:val="00554544"/>
    <w:rsid w:val="00554817"/>
    <w:rsid w:val="00554CF4"/>
    <w:rsid w:val="005559F1"/>
    <w:rsid w:val="00555A05"/>
    <w:rsid w:val="005560CC"/>
    <w:rsid w:val="00560536"/>
    <w:rsid w:val="00561790"/>
    <w:rsid w:val="00561BCC"/>
    <w:rsid w:val="0056282F"/>
    <w:rsid w:val="00564C1B"/>
    <w:rsid w:val="00564F33"/>
    <w:rsid w:val="0056515A"/>
    <w:rsid w:val="00566687"/>
    <w:rsid w:val="00567A48"/>
    <w:rsid w:val="00570873"/>
    <w:rsid w:val="00572B33"/>
    <w:rsid w:val="00573656"/>
    <w:rsid w:val="005759B7"/>
    <w:rsid w:val="005768C9"/>
    <w:rsid w:val="00577AA7"/>
    <w:rsid w:val="00577B19"/>
    <w:rsid w:val="00580CB5"/>
    <w:rsid w:val="00580E2B"/>
    <w:rsid w:val="0058155B"/>
    <w:rsid w:val="00581E7E"/>
    <w:rsid w:val="00587600"/>
    <w:rsid w:val="00587AE1"/>
    <w:rsid w:val="0059124F"/>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24C1"/>
    <w:rsid w:val="005B29D3"/>
    <w:rsid w:val="005C0240"/>
    <w:rsid w:val="005C1745"/>
    <w:rsid w:val="005C1922"/>
    <w:rsid w:val="005C1E0B"/>
    <w:rsid w:val="005C3394"/>
    <w:rsid w:val="005C4433"/>
    <w:rsid w:val="005C4EB9"/>
    <w:rsid w:val="005C5476"/>
    <w:rsid w:val="005C7D0C"/>
    <w:rsid w:val="005D2558"/>
    <w:rsid w:val="005D4244"/>
    <w:rsid w:val="005D543B"/>
    <w:rsid w:val="005E07A8"/>
    <w:rsid w:val="005E1AEF"/>
    <w:rsid w:val="005E3669"/>
    <w:rsid w:val="005E6826"/>
    <w:rsid w:val="005E72B7"/>
    <w:rsid w:val="005F2E76"/>
    <w:rsid w:val="005F5F80"/>
    <w:rsid w:val="005F62ED"/>
    <w:rsid w:val="005F7339"/>
    <w:rsid w:val="00605067"/>
    <w:rsid w:val="006054A8"/>
    <w:rsid w:val="0060594E"/>
    <w:rsid w:val="00605AB6"/>
    <w:rsid w:val="00607DE3"/>
    <w:rsid w:val="00607E0F"/>
    <w:rsid w:val="00610F50"/>
    <w:rsid w:val="006113E0"/>
    <w:rsid w:val="0061268C"/>
    <w:rsid w:val="00612D41"/>
    <w:rsid w:val="006149B7"/>
    <w:rsid w:val="00615C75"/>
    <w:rsid w:val="00621087"/>
    <w:rsid w:val="00623AD7"/>
    <w:rsid w:val="00624F1A"/>
    <w:rsid w:val="006269A1"/>
    <w:rsid w:val="006274A0"/>
    <w:rsid w:val="00627A68"/>
    <w:rsid w:val="006303FF"/>
    <w:rsid w:val="00631829"/>
    <w:rsid w:val="006325B1"/>
    <w:rsid w:val="00632AEC"/>
    <w:rsid w:val="00636A3D"/>
    <w:rsid w:val="00636BF3"/>
    <w:rsid w:val="006403D2"/>
    <w:rsid w:val="00643226"/>
    <w:rsid w:val="00643D57"/>
    <w:rsid w:val="0064499E"/>
    <w:rsid w:val="00645592"/>
    <w:rsid w:val="0064684A"/>
    <w:rsid w:val="00647FA9"/>
    <w:rsid w:val="006513CC"/>
    <w:rsid w:val="0065176F"/>
    <w:rsid w:val="006520E7"/>
    <w:rsid w:val="0065235F"/>
    <w:rsid w:val="006533A2"/>
    <w:rsid w:val="0065372D"/>
    <w:rsid w:val="00654E2F"/>
    <w:rsid w:val="006560F8"/>
    <w:rsid w:val="00656E81"/>
    <w:rsid w:val="006650CD"/>
    <w:rsid w:val="00665BF5"/>
    <w:rsid w:val="00665E9E"/>
    <w:rsid w:val="0066694A"/>
    <w:rsid w:val="006705F7"/>
    <w:rsid w:val="006706B2"/>
    <w:rsid w:val="006708F8"/>
    <w:rsid w:val="006713BD"/>
    <w:rsid w:val="006733D5"/>
    <w:rsid w:val="00674E0A"/>
    <w:rsid w:val="00680AD8"/>
    <w:rsid w:val="006814E7"/>
    <w:rsid w:val="00682042"/>
    <w:rsid w:val="00682275"/>
    <w:rsid w:val="006826AF"/>
    <w:rsid w:val="00684458"/>
    <w:rsid w:val="00687E3F"/>
    <w:rsid w:val="006906F3"/>
    <w:rsid w:val="00692BAB"/>
    <w:rsid w:val="00693E98"/>
    <w:rsid w:val="00695974"/>
    <w:rsid w:val="006969C6"/>
    <w:rsid w:val="006A11AA"/>
    <w:rsid w:val="006A1400"/>
    <w:rsid w:val="006A21E4"/>
    <w:rsid w:val="006A25D2"/>
    <w:rsid w:val="006A2BD7"/>
    <w:rsid w:val="006A3466"/>
    <w:rsid w:val="006A4D5B"/>
    <w:rsid w:val="006A5179"/>
    <w:rsid w:val="006A5497"/>
    <w:rsid w:val="006A7E86"/>
    <w:rsid w:val="006A7EAE"/>
    <w:rsid w:val="006B0549"/>
    <w:rsid w:val="006B0698"/>
    <w:rsid w:val="006B0C48"/>
    <w:rsid w:val="006B0F22"/>
    <w:rsid w:val="006B4E04"/>
    <w:rsid w:val="006B5BEF"/>
    <w:rsid w:val="006B68C4"/>
    <w:rsid w:val="006B7171"/>
    <w:rsid w:val="006C1B8D"/>
    <w:rsid w:val="006C3ED5"/>
    <w:rsid w:val="006C4ED1"/>
    <w:rsid w:val="006C552B"/>
    <w:rsid w:val="006D01D3"/>
    <w:rsid w:val="006D4303"/>
    <w:rsid w:val="006D501C"/>
    <w:rsid w:val="006D6315"/>
    <w:rsid w:val="006D650D"/>
    <w:rsid w:val="006D6994"/>
    <w:rsid w:val="006D7054"/>
    <w:rsid w:val="006E112C"/>
    <w:rsid w:val="006E1D4C"/>
    <w:rsid w:val="006E279C"/>
    <w:rsid w:val="006E29DE"/>
    <w:rsid w:val="006E4E00"/>
    <w:rsid w:val="006E5304"/>
    <w:rsid w:val="006E5486"/>
    <w:rsid w:val="006E567F"/>
    <w:rsid w:val="006E5CDF"/>
    <w:rsid w:val="006E6DA9"/>
    <w:rsid w:val="006F0472"/>
    <w:rsid w:val="006F4EF5"/>
    <w:rsid w:val="006F5D61"/>
    <w:rsid w:val="006F7519"/>
    <w:rsid w:val="007013CB"/>
    <w:rsid w:val="00703ED5"/>
    <w:rsid w:val="0070402E"/>
    <w:rsid w:val="0070409F"/>
    <w:rsid w:val="0070755F"/>
    <w:rsid w:val="007113DC"/>
    <w:rsid w:val="00711700"/>
    <w:rsid w:val="00712FA6"/>
    <w:rsid w:val="0071352B"/>
    <w:rsid w:val="0071402E"/>
    <w:rsid w:val="0071563E"/>
    <w:rsid w:val="00715918"/>
    <w:rsid w:val="00716D84"/>
    <w:rsid w:val="007172F6"/>
    <w:rsid w:val="007200B2"/>
    <w:rsid w:val="0072144C"/>
    <w:rsid w:val="00722F8A"/>
    <w:rsid w:val="007230BC"/>
    <w:rsid w:val="00723188"/>
    <w:rsid w:val="00723E74"/>
    <w:rsid w:val="007242B4"/>
    <w:rsid w:val="00724BED"/>
    <w:rsid w:val="00726F4F"/>
    <w:rsid w:val="0073005B"/>
    <w:rsid w:val="00730E81"/>
    <w:rsid w:val="00733BDE"/>
    <w:rsid w:val="00733E21"/>
    <w:rsid w:val="0073404F"/>
    <w:rsid w:val="00734A0C"/>
    <w:rsid w:val="00736D9B"/>
    <w:rsid w:val="00740B16"/>
    <w:rsid w:val="00742E67"/>
    <w:rsid w:val="0074357F"/>
    <w:rsid w:val="00743F50"/>
    <w:rsid w:val="007450B3"/>
    <w:rsid w:val="00747EF6"/>
    <w:rsid w:val="007508EF"/>
    <w:rsid w:val="00750B62"/>
    <w:rsid w:val="0075159B"/>
    <w:rsid w:val="007525CA"/>
    <w:rsid w:val="007531D5"/>
    <w:rsid w:val="0075373D"/>
    <w:rsid w:val="00753F14"/>
    <w:rsid w:val="00757106"/>
    <w:rsid w:val="00761997"/>
    <w:rsid w:val="0076213B"/>
    <w:rsid w:val="00762CA1"/>
    <w:rsid w:val="00766B76"/>
    <w:rsid w:val="00766E4C"/>
    <w:rsid w:val="00771621"/>
    <w:rsid w:val="00773850"/>
    <w:rsid w:val="00774FA6"/>
    <w:rsid w:val="00775A18"/>
    <w:rsid w:val="00777580"/>
    <w:rsid w:val="00786BC7"/>
    <w:rsid w:val="007871AD"/>
    <w:rsid w:val="00787CB4"/>
    <w:rsid w:val="00791B92"/>
    <w:rsid w:val="00792DB0"/>
    <w:rsid w:val="007931E8"/>
    <w:rsid w:val="007934D2"/>
    <w:rsid w:val="00795B9D"/>
    <w:rsid w:val="00795E61"/>
    <w:rsid w:val="00795E6A"/>
    <w:rsid w:val="007966DB"/>
    <w:rsid w:val="007A0F2C"/>
    <w:rsid w:val="007B3A5E"/>
    <w:rsid w:val="007B3E05"/>
    <w:rsid w:val="007B4207"/>
    <w:rsid w:val="007B529A"/>
    <w:rsid w:val="007B57B1"/>
    <w:rsid w:val="007B5C83"/>
    <w:rsid w:val="007B6286"/>
    <w:rsid w:val="007B689C"/>
    <w:rsid w:val="007C02F9"/>
    <w:rsid w:val="007C108B"/>
    <w:rsid w:val="007C2DF7"/>
    <w:rsid w:val="007C302D"/>
    <w:rsid w:val="007C3FFF"/>
    <w:rsid w:val="007C6B4E"/>
    <w:rsid w:val="007D023F"/>
    <w:rsid w:val="007D127A"/>
    <w:rsid w:val="007D1376"/>
    <w:rsid w:val="007D16C5"/>
    <w:rsid w:val="007D25EE"/>
    <w:rsid w:val="007D3BF6"/>
    <w:rsid w:val="007D3C65"/>
    <w:rsid w:val="007E0AC9"/>
    <w:rsid w:val="007E0DEF"/>
    <w:rsid w:val="007E5FE7"/>
    <w:rsid w:val="007E6854"/>
    <w:rsid w:val="007F1021"/>
    <w:rsid w:val="007F43D4"/>
    <w:rsid w:val="007F5301"/>
    <w:rsid w:val="007F561D"/>
    <w:rsid w:val="007F5C97"/>
    <w:rsid w:val="007F5DD1"/>
    <w:rsid w:val="007F6742"/>
    <w:rsid w:val="008006D1"/>
    <w:rsid w:val="0080170E"/>
    <w:rsid w:val="008031C1"/>
    <w:rsid w:val="00803785"/>
    <w:rsid w:val="008050B8"/>
    <w:rsid w:val="00805A8E"/>
    <w:rsid w:val="008061A3"/>
    <w:rsid w:val="00807D3F"/>
    <w:rsid w:val="00810C49"/>
    <w:rsid w:val="008124F5"/>
    <w:rsid w:val="0081259D"/>
    <w:rsid w:val="0081262E"/>
    <w:rsid w:val="00813262"/>
    <w:rsid w:val="00813ECA"/>
    <w:rsid w:val="00815464"/>
    <w:rsid w:val="0081551A"/>
    <w:rsid w:val="0081609A"/>
    <w:rsid w:val="00820074"/>
    <w:rsid w:val="00820C2B"/>
    <w:rsid w:val="008217B2"/>
    <w:rsid w:val="008218EF"/>
    <w:rsid w:val="00821F58"/>
    <w:rsid w:val="008222C5"/>
    <w:rsid w:val="008244F6"/>
    <w:rsid w:val="008263DF"/>
    <w:rsid w:val="00826574"/>
    <w:rsid w:val="00830723"/>
    <w:rsid w:val="0083116D"/>
    <w:rsid w:val="00833925"/>
    <w:rsid w:val="0083393C"/>
    <w:rsid w:val="00835493"/>
    <w:rsid w:val="00842E61"/>
    <w:rsid w:val="00843356"/>
    <w:rsid w:val="008440E4"/>
    <w:rsid w:val="008443E7"/>
    <w:rsid w:val="008449E3"/>
    <w:rsid w:val="0084640D"/>
    <w:rsid w:val="008464B2"/>
    <w:rsid w:val="00847411"/>
    <w:rsid w:val="00847665"/>
    <w:rsid w:val="00847BE1"/>
    <w:rsid w:val="00851136"/>
    <w:rsid w:val="008519A8"/>
    <w:rsid w:val="00851EBF"/>
    <w:rsid w:val="008528FF"/>
    <w:rsid w:val="00852964"/>
    <w:rsid w:val="0085386B"/>
    <w:rsid w:val="00854496"/>
    <w:rsid w:val="008552B3"/>
    <w:rsid w:val="00856939"/>
    <w:rsid w:val="0086021D"/>
    <w:rsid w:val="008604D5"/>
    <w:rsid w:val="00862AF4"/>
    <w:rsid w:val="008634B7"/>
    <w:rsid w:val="00863F89"/>
    <w:rsid w:val="00863FC5"/>
    <w:rsid w:val="008643F3"/>
    <w:rsid w:val="00874C86"/>
    <w:rsid w:val="0087518D"/>
    <w:rsid w:val="00875EDB"/>
    <w:rsid w:val="00876CE8"/>
    <w:rsid w:val="0088093B"/>
    <w:rsid w:val="00881DF6"/>
    <w:rsid w:val="00882805"/>
    <w:rsid w:val="00883C3A"/>
    <w:rsid w:val="00885BDE"/>
    <w:rsid w:val="008868E6"/>
    <w:rsid w:val="00886E11"/>
    <w:rsid w:val="00890231"/>
    <w:rsid w:val="0089063F"/>
    <w:rsid w:val="008906F3"/>
    <w:rsid w:val="008922CA"/>
    <w:rsid w:val="00894B37"/>
    <w:rsid w:val="008955B8"/>
    <w:rsid w:val="00895B40"/>
    <w:rsid w:val="00897A92"/>
    <w:rsid w:val="008A0455"/>
    <w:rsid w:val="008A0B8C"/>
    <w:rsid w:val="008A1722"/>
    <w:rsid w:val="008A1BCF"/>
    <w:rsid w:val="008A4AEA"/>
    <w:rsid w:val="008A4C64"/>
    <w:rsid w:val="008A5923"/>
    <w:rsid w:val="008A6BAF"/>
    <w:rsid w:val="008A7920"/>
    <w:rsid w:val="008A7D64"/>
    <w:rsid w:val="008B18BD"/>
    <w:rsid w:val="008B2F02"/>
    <w:rsid w:val="008B50A1"/>
    <w:rsid w:val="008B7668"/>
    <w:rsid w:val="008C07AB"/>
    <w:rsid w:val="008C121E"/>
    <w:rsid w:val="008C1253"/>
    <w:rsid w:val="008C5B77"/>
    <w:rsid w:val="008C5D7E"/>
    <w:rsid w:val="008C698B"/>
    <w:rsid w:val="008D0B54"/>
    <w:rsid w:val="008D2B88"/>
    <w:rsid w:val="008D2BB0"/>
    <w:rsid w:val="008D2D7E"/>
    <w:rsid w:val="008D5182"/>
    <w:rsid w:val="008D5359"/>
    <w:rsid w:val="008D6D5E"/>
    <w:rsid w:val="008D7435"/>
    <w:rsid w:val="008E0484"/>
    <w:rsid w:val="008E0608"/>
    <w:rsid w:val="008E0AD8"/>
    <w:rsid w:val="008E187B"/>
    <w:rsid w:val="008E234D"/>
    <w:rsid w:val="008E39DC"/>
    <w:rsid w:val="008E3C7A"/>
    <w:rsid w:val="008E455C"/>
    <w:rsid w:val="008E4FB8"/>
    <w:rsid w:val="008E6DF2"/>
    <w:rsid w:val="008E7355"/>
    <w:rsid w:val="008E73FF"/>
    <w:rsid w:val="008E7E5A"/>
    <w:rsid w:val="008F1860"/>
    <w:rsid w:val="008F2137"/>
    <w:rsid w:val="008F4E1B"/>
    <w:rsid w:val="008F5981"/>
    <w:rsid w:val="008F67D8"/>
    <w:rsid w:val="00900ED6"/>
    <w:rsid w:val="00901BE4"/>
    <w:rsid w:val="0090264F"/>
    <w:rsid w:val="009032E4"/>
    <w:rsid w:val="00906CCD"/>
    <w:rsid w:val="0090727A"/>
    <w:rsid w:val="0091156F"/>
    <w:rsid w:val="00911747"/>
    <w:rsid w:val="009135B7"/>
    <w:rsid w:val="009143F1"/>
    <w:rsid w:val="00914855"/>
    <w:rsid w:val="00915C11"/>
    <w:rsid w:val="00915F05"/>
    <w:rsid w:val="00916634"/>
    <w:rsid w:val="009171CE"/>
    <w:rsid w:val="009178DF"/>
    <w:rsid w:val="00924A83"/>
    <w:rsid w:val="009250A0"/>
    <w:rsid w:val="00925859"/>
    <w:rsid w:val="00925E85"/>
    <w:rsid w:val="009260CC"/>
    <w:rsid w:val="00926F8E"/>
    <w:rsid w:val="009301D0"/>
    <w:rsid w:val="00931374"/>
    <w:rsid w:val="009317D3"/>
    <w:rsid w:val="00931AA1"/>
    <w:rsid w:val="00933B5D"/>
    <w:rsid w:val="00934706"/>
    <w:rsid w:val="0093616A"/>
    <w:rsid w:val="0093644B"/>
    <w:rsid w:val="009366A5"/>
    <w:rsid w:val="00936CCC"/>
    <w:rsid w:val="009376A5"/>
    <w:rsid w:val="00937C51"/>
    <w:rsid w:val="00937DF4"/>
    <w:rsid w:val="00940929"/>
    <w:rsid w:val="00943EBF"/>
    <w:rsid w:val="0094400A"/>
    <w:rsid w:val="00944815"/>
    <w:rsid w:val="009448F4"/>
    <w:rsid w:val="0094528E"/>
    <w:rsid w:val="00950BA9"/>
    <w:rsid w:val="00951254"/>
    <w:rsid w:val="00951485"/>
    <w:rsid w:val="009528C0"/>
    <w:rsid w:val="00955D10"/>
    <w:rsid w:val="00956F13"/>
    <w:rsid w:val="00960DBC"/>
    <w:rsid w:val="00963347"/>
    <w:rsid w:val="009637E5"/>
    <w:rsid w:val="00963826"/>
    <w:rsid w:val="00963B87"/>
    <w:rsid w:val="009656E3"/>
    <w:rsid w:val="00965AEA"/>
    <w:rsid w:val="00965FCC"/>
    <w:rsid w:val="009672C2"/>
    <w:rsid w:val="00967D55"/>
    <w:rsid w:val="00970D87"/>
    <w:rsid w:val="009723AD"/>
    <w:rsid w:val="00974468"/>
    <w:rsid w:val="0097656A"/>
    <w:rsid w:val="0097742B"/>
    <w:rsid w:val="00982647"/>
    <w:rsid w:val="00982829"/>
    <w:rsid w:val="00982B4D"/>
    <w:rsid w:val="009859C9"/>
    <w:rsid w:val="00985A22"/>
    <w:rsid w:val="009865DB"/>
    <w:rsid w:val="00986A89"/>
    <w:rsid w:val="00987B47"/>
    <w:rsid w:val="009910CE"/>
    <w:rsid w:val="00994000"/>
    <w:rsid w:val="009A4BB1"/>
    <w:rsid w:val="009A5373"/>
    <w:rsid w:val="009B0139"/>
    <w:rsid w:val="009B046C"/>
    <w:rsid w:val="009B122A"/>
    <w:rsid w:val="009B1C56"/>
    <w:rsid w:val="009B23D4"/>
    <w:rsid w:val="009B287F"/>
    <w:rsid w:val="009B320B"/>
    <w:rsid w:val="009B36CA"/>
    <w:rsid w:val="009B62C3"/>
    <w:rsid w:val="009B74DA"/>
    <w:rsid w:val="009B7881"/>
    <w:rsid w:val="009B7A81"/>
    <w:rsid w:val="009C0E83"/>
    <w:rsid w:val="009C11D6"/>
    <w:rsid w:val="009C1D85"/>
    <w:rsid w:val="009C2396"/>
    <w:rsid w:val="009C26A4"/>
    <w:rsid w:val="009C271D"/>
    <w:rsid w:val="009C2AA2"/>
    <w:rsid w:val="009D00CB"/>
    <w:rsid w:val="009D0C14"/>
    <w:rsid w:val="009D0E59"/>
    <w:rsid w:val="009D2DC7"/>
    <w:rsid w:val="009D301F"/>
    <w:rsid w:val="009D46AB"/>
    <w:rsid w:val="009D71EE"/>
    <w:rsid w:val="009D7BC6"/>
    <w:rsid w:val="009E1729"/>
    <w:rsid w:val="009E1C94"/>
    <w:rsid w:val="009E2663"/>
    <w:rsid w:val="009E2706"/>
    <w:rsid w:val="009E2754"/>
    <w:rsid w:val="009E3401"/>
    <w:rsid w:val="009E3746"/>
    <w:rsid w:val="009F10DE"/>
    <w:rsid w:val="009F2325"/>
    <w:rsid w:val="009F3886"/>
    <w:rsid w:val="009F7263"/>
    <w:rsid w:val="00A04393"/>
    <w:rsid w:val="00A05AE5"/>
    <w:rsid w:val="00A065E4"/>
    <w:rsid w:val="00A07020"/>
    <w:rsid w:val="00A0707E"/>
    <w:rsid w:val="00A07187"/>
    <w:rsid w:val="00A071D8"/>
    <w:rsid w:val="00A0730F"/>
    <w:rsid w:val="00A07682"/>
    <w:rsid w:val="00A109EC"/>
    <w:rsid w:val="00A110B8"/>
    <w:rsid w:val="00A144A7"/>
    <w:rsid w:val="00A14B99"/>
    <w:rsid w:val="00A15C5C"/>
    <w:rsid w:val="00A15FC6"/>
    <w:rsid w:val="00A1708E"/>
    <w:rsid w:val="00A17248"/>
    <w:rsid w:val="00A17E54"/>
    <w:rsid w:val="00A20179"/>
    <w:rsid w:val="00A227B4"/>
    <w:rsid w:val="00A23564"/>
    <w:rsid w:val="00A24DC7"/>
    <w:rsid w:val="00A256D6"/>
    <w:rsid w:val="00A266C5"/>
    <w:rsid w:val="00A27237"/>
    <w:rsid w:val="00A27C1B"/>
    <w:rsid w:val="00A32048"/>
    <w:rsid w:val="00A32499"/>
    <w:rsid w:val="00A3312B"/>
    <w:rsid w:val="00A33B33"/>
    <w:rsid w:val="00A350ED"/>
    <w:rsid w:val="00A35384"/>
    <w:rsid w:val="00A3619C"/>
    <w:rsid w:val="00A36EB2"/>
    <w:rsid w:val="00A40A01"/>
    <w:rsid w:val="00A40ACC"/>
    <w:rsid w:val="00A41584"/>
    <w:rsid w:val="00A42F5D"/>
    <w:rsid w:val="00A43080"/>
    <w:rsid w:val="00A43B47"/>
    <w:rsid w:val="00A44911"/>
    <w:rsid w:val="00A45EBA"/>
    <w:rsid w:val="00A4674F"/>
    <w:rsid w:val="00A50902"/>
    <w:rsid w:val="00A50B75"/>
    <w:rsid w:val="00A51D59"/>
    <w:rsid w:val="00A52ABD"/>
    <w:rsid w:val="00A52BF6"/>
    <w:rsid w:val="00A52D05"/>
    <w:rsid w:val="00A530E9"/>
    <w:rsid w:val="00A550CF"/>
    <w:rsid w:val="00A57E50"/>
    <w:rsid w:val="00A628AF"/>
    <w:rsid w:val="00A63B2C"/>
    <w:rsid w:val="00A63B34"/>
    <w:rsid w:val="00A65D21"/>
    <w:rsid w:val="00A71F8B"/>
    <w:rsid w:val="00A72A1B"/>
    <w:rsid w:val="00A7342F"/>
    <w:rsid w:val="00A73660"/>
    <w:rsid w:val="00A74634"/>
    <w:rsid w:val="00A7645F"/>
    <w:rsid w:val="00A80684"/>
    <w:rsid w:val="00A82823"/>
    <w:rsid w:val="00A83C91"/>
    <w:rsid w:val="00A8439B"/>
    <w:rsid w:val="00A84E87"/>
    <w:rsid w:val="00A8624C"/>
    <w:rsid w:val="00A864E1"/>
    <w:rsid w:val="00A90996"/>
    <w:rsid w:val="00A9164D"/>
    <w:rsid w:val="00A91AB7"/>
    <w:rsid w:val="00A92183"/>
    <w:rsid w:val="00A941F2"/>
    <w:rsid w:val="00A94BDA"/>
    <w:rsid w:val="00A94C41"/>
    <w:rsid w:val="00A94DFA"/>
    <w:rsid w:val="00A97218"/>
    <w:rsid w:val="00A979E2"/>
    <w:rsid w:val="00AA0462"/>
    <w:rsid w:val="00AA04A0"/>
    <w:rsid w:val="00AA12C8"/>
    <w:rsid w:val="00AA2655"/>
    <w:rsid w:val="00AA35A1"/>
    <w:rsid w:val="00AA5AD2"/>
    <w:rsid w:val="00AB004E"/>
    <w:rsid w:val="00AB098F"/>
    <w:rsid w:val="00AB0B0A"/>
    <w:rsid w:val="00AB0CDE"/>
    <w:rsid w:val="00AB1643"/>
    <w:rsid w:val="00AB51A6"/>
    <w:rsid w:val="00AB525B"/>
    <w:rsid w:val="00AB55A6"/>
    <w:rsid w:val="00AB56AA"/>
    <w:rsid w:val="00AB76B3"/>
    <w:rsid w:val="00AC08F8"/>
    <w:rsid w:val="00AC2CEE"/>
    <w:rsid w:val="00AC34FD"/>
    <w:rsid w:val="00AC3823"/>
    <w:rsid w:val="00AC7702"/>
    <w:rsid w:val="00AD1499"/>
    <w:rsid w:val="00AD2C45"/>
    <w:rsid w:val="00AD3FD8"/>
    <w:rsid w:val="00AD4D0A"/>
    <w:rsid w:val="00AD4F6B"/>
    <w:rsid w:val="00AD7596"/>
    <w:rsid w:val="00AD7A33"/>
    <w:rsid w:val="00AE0014"/>
    <w:rsid w:val="00AE0C95"/>
    <w:rsid w:val="00AE1619"/>
    <w:rsid w:val="00AE1E9E"/>
    <w:rsid w:val="00AE1F14"/>
    <w:rsid w:val="00AE2E70"/>
    <w:rsid w:val="00AE3E40"/>
    <w:rsid w:val="00AE6CA3"/>
    <w:rsid w:val="00AE72CC"/>
    <w:rsid w:val="00AE7CBF"/>
    <w:rsid w:val="00AF01F5"/>
    <w:rsid w:val="00AF1414"/>
    <w:rsid w:val="00AF2AD0"/>
    <w:rsid w:val="00AF2C4C"/>
    <w:rsid w:val="00AF3336"/>
    <w:rsid w:val="00AF4579"/>
    <w:rsid w:val="00AF760E"/>
    <w:rsid w:val="00AF78D6"/>
    <w:rsid w:val="00B00949"/>
    <w:rsid w:val="00B011F9"/>
    <w:rsid w:val="00B0197E"/>
    <w:rsid w:val="00B01E81"/>
    <w:rsid w:val="00B0435F"/>
    <w:rsid w:val="00B0473A"/>
    <w:rsid w:val="00B04766"/>
    <w:rsid w:val="00B0601D"/>
    <w:rsid w:val="00B06DF0"/>
    <w:rsid w:val="00B079A7"/>
    <w:rsid w:val="00B10DB9"/>
    <w:rsid w:val="00B11DF8"/>
    <w:rsid w:val="00B15D82"/>
    <w:rsid w:val="00B17A76"/>
    <w:rsid w:val="00B2056A"/>
    <w:rsid w:val="00B20D4C"/>
    <w:rsid w:val="00B231D9"/>
    <w:rsid w:val="00B23473"/>
    <w:rsid w:val="00B23AE4"/>
    <w:rsid w:val="00B24C4E"/>
    <w:rsid w:val="00B252A7"/>
    <w:rsid w:val="00B271C5"/>
    <w:rsid w:val="00B3028F"/>
    <w:rsid w:val="00B303DD"/>
    <w:rsid w:val="00B34854"/>
    <w:rsid w:val="00B34BE7"/>
    <w:rsid w:val="00B3678C"/>
    <w:rsid w:val="00B37E4B"/>
    <w:rsid w:val="00B40D0D"/>
    <w:rsid w:val="00B40EAB"/>
    <w:rsid w:val="00B4119B"/>
    <w:rsid w:val="00B41B3F"/>
    <w:rsid w:val="00B42417"/>
    <w:rsid w:val="00B42880"/>
    <w:rsid w:val="00B440D9"/>
    <w:rsid w:val="00B45060"/>
    <w:rsid w:val="00B45447"/>
    <w:rsid w:val="00B473EC"/>
    <w:rsid w:val="00B47B6B"/>
    <w:rsid w:val="00B47C7E"/>
    <w:rsid w:val="00B50946"/>
    <w:rsid w:val="00B50C3E"/>
    <w:rsid w:val="00B512E6"/>
    <w:rsid w:val="00B5326E"/>
    <w:rsid w:val="00B53AB1"/>
    <w:rsid w:val="00B605C6"/>
    <w:rsid w:val="00B608E6"/>
    <w:rsid w:val="00B63DE0"/>
    <w:rsid w:val="00B65FB4"/>
    <w:rsid w:val="00B70B72"/>
    <w:rsid w:val="00B715B4"/>
    <w:rsid w:val="00B73CA9"/>
    <w:rsid w:val="00B7599B"/>
    <w:rsid w:val="00B75AFF"/>
    <w:rsid w:val="00B765CA"/>
    <w:rsid w:val="00B772BD"/>
    <w:rsid w:val="00B77DF7"/>
    <w:rsid w:val="00B77E4C"/>
    <w:rsid w:val="00B851A8"/>
    <w:rsid w:val="00B856DA"/>
    <w:rsid w:val="00B8618F"/>
    <w:rsid w:val="00B8765D"/>
    <w:rsid w:val="00B93245"/>
    <w:rsid w:val="00B95ED4"/>
    <w:rsid w:val="00B96371"/>
    <w:rsid w:val="00B97B4C"/>
    <w:rsid w:val="00BA1261"/>
    <w:rsid w:val="00BA1F76"/>
    <w:rsid w:val="00BA2559"/>
    <w:rsid w:val="00BA49FE"/>
    <w:rsid w:val="00BA5BDB"/>
    <w:rsid w:val="00BA5DC1"/>
    <w:rsid w:val="00BA6C3B"/>
    <w:rsid w:val="00BB0119"/>
    <w:rsid w:val="00BB0F4E"/>
    <w:rsid w:val="00BB2D8B"/>
    <w:rsid w:val="00BB372A"/>
    <w:rsid w:val="00BB42EF"/>
    <w:rsid w:val="00BB758B"/>
    <w:rsid w:val="00BC09B3"/>
    <w:rsid w:val="00BC1DD2"/>
    <w:rsid w:val="00BC5571"/>
    <w:rsid w:val="00BC5676"/>
    <w:rsid w:val="00BC689E"/>
    <w:rsid w:val="00BD1BBA"/>
    <w:rsid w:val="00BD1E7E"/>
    <w:rsid w:val="00BD2346"/>
    <w:rsid w:val="00BD2FF4"/>
    <w:rsid w:val="00BD3B34"/>
    <w:rsid w:val="00BD5D70"/>
    <w:rsid w:val="00BD66E6"/>
    <w:rsid w:val="00BD782E"/>
    <w:rsid w:val="00BE1885"/>
    <w:rsid w:val="00BE30DE"/>
    <w:rsid w:val="00BE47F4"/>
    <w:rsid w:val="00BE5B4B"/>
    <w:rsid w:val="00BE5D9B"/>
    <w:rsid w:val="00BE67C3"/>
    <w:rsid w:val="00BE68D6"/>
    <w:rsid w:val="00BE7434"/>
    <w:rsid w:val="00BF0682"/>
    <w:rsid w:val="00BF1147"/>
    <w:rsid w:val="00BF23D2"/>
    <w:rsid w:val="00BF349C"/>
    <w:rsid w:val="00BF3831"/>
    <w:rsid w:val="00BF4BB3"/>
    <w:rsid w:val="00BF57F0"/>
    <w:rsid w:val="00BF6A10"/>
    <w:rsid w:val="00C010A7"/>
    <w:rsid w:val="00C015DC"/>
    <w:rsid w:val="00C045E9"/>
    <w:rsid w:val="00C048DB"/>
    <w:rsid w:val="00C143F4"/>
    <w:rsid w:val="00C14DDD"/>
    <w:rsid w:val="00C16717"/>
    <w:rsid w:val="00C16FD9"/>
    <w:rsid w:val="00C173CA"/>
    <w:rsid w:val="00C173F7"/>
    <w:rsid w:val="00C176D2"/>
    <w:rsid w:val="00C17CC6"/>
    <w:rsid w:val="00C20009"/>
    <w:rsid w:val="00C20168"/>
    <w:rsid w:val="00C239AF"/>
    <w:rsid w:val="00C25E62"/>
    <w:rsid w:val="00C27682"/>
    <w:rsid w:val="00C30E54"/>
    <w:rsid w:val="00C31CF6"/>
    <w:rsid w:val="00C333BD"/>
    <w:rsid w:val="00C354EB"/>
    <w:rsid w:val="00C40A1F"/>
    <w:rsid w:val="00C41902"/>
    <w:rsid w:val="00C41ABA"/>
    <w:rsid w:val="00C42388"/>
    <w:rsid w:val="00C4285D"/>
    <w:rsid w:val="00C44809"/>
    <w:rsid w:val="00C44C22"/>
    <w:rsid w:val="00C45CB9"/>
    <w:rsid w:val="00C465B1"/>
    <w:rsid w:val="00C46878"/>
    <w:rsid w:val="00C46975"/>
    <w:rsid w:val="00C46BCC"/>
    <w:rsid w:val="00C5224B"/>
    <w:rsid w:val="00C52979"/>
    <w:rsid w:val="00C52F6D"/>
    <w:rsid w:val="00C539F0"/>
    <w:rsid w:val="00C55E62"/>
    <w:rsid w:val="00C562BF"/>
    <w:rsid w:val="00C56FD7"/>
    <w:rsid w:val="00C60878"/>
    <w:rsid w:val="00C625DD"/>
    <w:rsid w:val="00C64CA6"/>
    <w:rsid w:val="00C70920"/>
    <w:rsid w:val="00C70D92"/>
    <w:rsid w:val="00C7150E"/>
    <w:rsid w:val="00C72E70"/>
    <w:rsid w:val="00C73799"/>
    <w:rsid w:val="00C75012"/>
    <w:rsid w:val="00C763C6"/>
    <w:rsid w:val="00C77B17"/>
    <w:rsid w:val="00C80AF1"/>
    <w:rsid w:val="00C814D9"/>
    <w:rsid w:val="00C821F5"/>
    <w:rsid w:val="00C8280E"/>
    <w:rsid w:val="00C83FA6"/>
    <w:rsid w:val="00C843B2"/>
    <w:rsid w:val="00C850B6"/>
    <w:rsid w:val="00C85712"/>
    <w:rsid w:val="00C86045"/>
    <w:rsid w:val="00C8665D"/>
    <w:rsid w:val="00C86A46"/>
    <w:rsid w:val="00C87094"/>
    <w:rsid w:val="00C8763F"/>
    <w:rsid w:val="00C90FB6"/>
    <w:rsid w:val="00C921DF"/>
    <w:rsid w:val="00C938D8"/>
    <w:rsid w:val="00C93E8E"/>
    <w:rsid w:val="00C95555"/>
    <w:rsid w:val="00C95F6B"/>
    <w:rsid w:val="00C96658"/>
    <w:rsid w:val="00CA03A5"/>
    <w:rsid w:val="00CA0FB3"/>
    <w:rsid w:val="00CA3412"/>
    <w:rsid w:val="00CA49B1"/>
    <w:rsid w:val="00CA4F7B"/>
    <w:rsid w:val="00CA691E"/>
    <w:rsid w:val="00CA6EEC"/>
    <w:rsid w:val="00CA7229"/>
    <w:rsid w:val="00CA7E20"/>
    <w:rsid w:val="00CB139E"/>
    <w:rsid w:val="00CB3899"/>
    <w:rsid w:val="00CB3DC0"/>
    <w:rsid w:val="00CB4136"/>
    <w:rsid w:val="00CB4C5C"/>
    <w:rsid w:val="00CB5272"/>
    <w:rsid w:val="00CB573E"/>
    <w:rsid w:val="00CB7D84"/>
    <w:rsid w:val="00CC11B8"/>
    <w:rsid w:val="00CC2555"/>
    <w:rsid w:val="00CC38FF"/>
    <w:rsid w:val="00CC4C68"/>
    <w:rsid w:val="00CC576D"/>
    <w:rsid w:val="00CC61A0"/>
    <w:rsid w:val="00CC6C74"/>
    <w:rsid w:val="00CC71D1"/>
    <w:rsid w:val="00CD1315"/>
    <w:rsid w:val="00CD2F8C"/>
    <w:rsid w:val="00CD48D5"/>
    <w:rsid w:val="00CD5EE9"/>
    <w:rsid w:val="00CD72FB"/>
    <w:rsid w:val="00CE0902"/>
    <w:rsid w:val="00CE2263"/>
    <w:rsid w:val="00CE304C"/>
    <w:rsid w:val="00CE57F5"/>
    <w:rsid w:val="00CE6956"/>
    <w:rsid w:val="00CE722D"/>
    <w:rsid w:val="00CE782C"/>
    <w:rsid w:val="00CE7C72"/>
    <w:rsid w:val="00CF0F40"/>
    <w:rsid w:val="00CF1A54"/>
    <w:rsid w:val="00CF20FD"/>
    <w:rsid w:val="00CF2AD9"/>
    <w:rsid w:val="00CF3097"/>
    <w:rsid w:val="00CF3442"/>
    <w:rsid w:val="00CF3BA4"/>
    <w:rsid w:val="00CF3C30"/>
    <w:rsid w:val="00CF3E33"/>
    <w:rsid w:val="00CF3F4C"/>
    <w:rsid w:val="00CF5CDD"/>
    <w:rsid w:val="00CF5DDA"/>
    <w:rsid w:val="00CF63EB"/>
    <w:rsid w:val="00D008ED"/>
    <w:rsid w:val="00D00CC7"/>
    <w:rsid w:val="00D01766"/>
    <w:rsid w:val="00D02802"/>
    <w:rsid w:val="00D03465"/>
    <w:rsid w:val="00D054A2"/>
    <w:rsid w:val="00D05578"/>
    <w:rsid w:val="00D11825"/>
    <w:rsid w:val="00D11BF8"/>
    <w:rsid w:val="00D124F9"/>
    <w:rsid w:val="00D12AEB"/>
    <w:rsid w:val="00D13800"/>
    <w:rsid w:val="00D142B2"/>
    <w:rsid w:val="00D1440E"/>
    <w:rsid w:val="00D15494"/>
    <w:rsid w:val="00D15AA5"/>
    <w:rsid w:val="00D1799E"/>
    <w:rsid w:val="00D17C2F"/>
    <w:rsid w:val="00D223EB"/>
    <w:rsid w:val="00D225AC"/>
    <w:rsid w:val="00D22E10"/>
    <w:rsid w:val="00D234A6"/>
    <w:rsid w:val="00D2376D"/>
    <w:rsid w:val="00D23E55"/>
    <w:rsid w:val="00D24403"/>
    <w:rsid w:val="00D248EF"/>
    <w:rsid w:val="00D24AF2"/>
    <w:rsid w:val="00D25722"/>
    <w:rsid w:val="00D258DB"/>
    <w:rsid w:val="00D27182"/>
    <w:rsid w:val="00D279F2"/>
    <w:rsid w:val="00D3234B"/>
    <w:rsid w:val="00D32B11"/>
    <w:rsid w:val="00D33210"/>
    <w:rsid w:val="00D33B9C"/>
    <w:rsid w:val="00D35DF3"/>
    <w:rsid w:val="00D37D26"/>
    <w:rsid w:val="00D37EAE"/>
    <w:rsid w:val="00D4103C"/>
    <w:rsid w:val="00D41E4A"/>
    <w:rsid w:val="00D41F8F"/>
    <w:rsid w:val="00D41FAA"/>
    <w:rsid w:val="00D422E3"/>
    <w:rsid w:val="00D436C9"/>
    <w:rsid w:val="00D506CF"/>
    <w:rsid w:val="00D51950"/>
    <w:rsid w:val="00D54AD2"/>
    <w:rsid w:val="00D54B26"/>
    <w:rsid w:val="00D568F8"/>
    <w:rsid w:val="00D56AEF"/>
    <w:rsid w:val="00D60585"/>
    <w:rsid w:val="00D6142C"/>
    <w:rsid w:val="00D6254B"/>
    <w:rsid w:val="00D63B4A"/>
    <w:rsid w:val="00D64C10"/>
    <w:rsid w:val="00D653C6"/>
    <w:rsid w:val="00D67AD8"/>
    <w:rsid w:val="00D753F8"/>
    <w:rsid w:val="00D75C50"/>
    <w:rsid w:val="00D76F45"/>
    <w:rsid w:val="00D76F97"/>
    <w:rsid w:val="00D849A9"/>
    <w:rsid w:val="00D851C5"/>
    <w:rsid w:val="00D85B70"/>
    <w:rsid w:val="00D86248"/>
    <w:rsid w:val="00D866CA"/>
    <w:rsid w:val="00D93BBE"/>
    <w:rsid w:val="00D94501"/>
    <w:rsid w:val="00D95A4C"/>
    <w:rsid w:val="00DA30C7"/>
    <w:rsid w:val="00DA349F"/>
    <w:rsid w:val="00DA57B0"/>
    <w:rsid w:val="00DA6574"/>
    <w:rsid w:val="00DA6F3F"/>
    <w:rsid w:val="00DB181C"/>
    <w:rsid w:val="00DB2A50"/>
    <w:rsid w:val="00DB2E40"/>
    <w:rsid w:val="00DB499A"/>
    <w:rsid w:val="00DB53EB"/>
    <w:rsid w:val="00DB6498"/>
    <w:rsid w:val="00DB685D"/>
    <w:rsid w:val="00DB6A78"/>
    <w:rsid w:val="00DB78F7"/>
    <w:rsid w:val="00DC3F91"/>
    <w:rsid w:val="00DC48F2"/>
    <w:rsid w:val="00DC58E1"/>
    <w:rsid w:val="00DD0C1E"/>
    <w:rsid w:val="00DD1419"/>
    <w:rsid w:val="00DD15B6"/>
    <w:rsid w:val="00DD1B5C"/>
    <w:rsid w:val="00DD707B"/>
    <w:rsid w:val="00DD7384"/>
    <w:rsid w:val="00DD74BE"/>
    <w:rsid w:val="00DE083F"/>
    <w:rsid w:val="00DE1DC5"/>
    <w:rsid w:val="00DE53D8"/>
    <w:rsid w:val="00DE6121"/>
    <w:rsid w:val="00DE7675"/>
    <w:rsid w:val="00DF07AB"/>
    <w:rsid w:val="00DF2366"/>
    <w:rsid w:val="00DF2716"/>
    <w:rsid w:val="00DF3BCD"/>
    <w:rsid w:val="00DF40C8"/>
    <w:rsid w:val="00DF54A7"/>
    <w:rsid w:val="00DF61D9"/>
    <w:rsid w:val="00DF6BD0"/>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6C94"/>
    <w:rsid w:val="00E07CD1"/>
    <w:rsid w:val="00E07F6A"/>
    <w:rsid w:val="00E07F7B"/>
    <w:rsid w:val="00E10890"/>
    <w:rsid w:val="00E11565"/>
    <w:rsid w:val="00E14CF2"/>
    <w:rsid w:val="00E15BF1"/>
    <w:rsid w:val="00E15C5B"/>
    <w:rsid w:val="00E20E96"/>
    <w:rsid w:val="00E21FB9"/>
    <w:rsid w:val="00E25B24"/>
    <w:rsid w:val="00E25DB1"/>
    <w:rsid w:val="00E27352"/>
    <w:rsid w:val="00E33041"/>
    <w:rsid w:val="00E34127"/>
    <w:rsid w:val="00E34361"/>
    <w:rsid w:val="00E34D75"/>
    <w:rsid w:val="00E36776"/>
    <w:rsid w:val="00E36A96"/>
    <w:rsid w:val="00E36FE4"/>
    <w:rsid w:val="00E375B1"/>
    <w:rsid w:val="00E44060"/>
    <w:rsid w:val="00E45650"/>
    <w:rsid w:val="00E4579E"/>
    <w:rsid w:val="00E46C03"/>
    <w:rsid w:val="00E51913"/>
    <w:rsid w:val="00E54D9E"/>
    <w:rsid w:val="00E54E73"/>
    <w:rsid w:val="00E5594A"/>
    <w:rsid w:val="00E55FD8"/>
    <w:rsid w:val="00E56B19"/>
    <w:rsid w:val="00E6000D"/>
    <w:rsid w:val="00E6141C"/>
    <w:rsid w:val="00E6165E"/>
    <w:rsid w:val="00E61DF7"/>
    <w:rsid w:val="00E66076"/>
    <w:rsid w:val="00E701D0"/>
    <w:rsid w:val="00E716F0"/>
    <w:rsid w:val="00E71ED3"/>
    <w:rsid w:val="00E71F1D"/>
    <w:rsid w:val="00E72C72"/>
    <w:rsid w:val="00E73075"/>
    <w:rsid w:val="00E73907"/>
    <w:rsid w:val="00E765D3"/>
    <w:rsid w:val="00E765E9"/>
    <w:rsid w:val="00E806BC"/>
    <w:rsid w:val="00E80919"/>
    <w:rsid w:val="00E812F1"/>
    <w:rsid w:val="00E84BDB"/>
    <w:rsid w:val="00E855DB"/>
    <w:rsid w:val="00E85FDE"/>
    <w:rsid w:val="00E86334"/>
    <w:rsid w:val="00E86ACC"/>
    <w:rsid w:val="00E86DE0"/>
    <w:rsid w:val="00E8740C"/>
    <w:rsid w:val="00E9046F"/>
    <w:rsid w:val="00E9257E"/>
    <w:rsid w:val="00E92D51"/>
    <w:rsid w:val="00E932CC"/>
    <w:rsid w:val="00E93FD0"/>
    <w:rsid w:val="00E94723"/>
    <w:rsid w:val="00E951C0"/>
    <w:rsid w:val="00E973AC"/>
    <w:rsid w:val="00EA0562"/>
    <w:rsid w:val="00EA177F"/>
    <w:rsid w:val="00EA5364"/>
    <w:rsid w:val="00EA589C"/>
    <w:rsid w:val="00EA63D9"/>
    <w:rsid w:val="00EB3372"/>
    <w:rsid w:val="00EB3A91"/>
    <w:rsid w:val="00EB5556"/>
    <w:rsid w:val="00EB60B1"/>
    <w:rsid w:val="00EB63FE"/>
    <w:rsid w:val="00EB7E7C"/>
    <w:rsid w:val="00EC0FF2"/>
    <w:rsid w:val="00EC102F"/>
    <w:rsid w:val="00EC2145"/>
    <w:rsid w:val="00EC39D3"/>
    <w:rsid w:val="00EC5F2B"/>
    <w:rsid w:val="00EC7F18"/>
    <w:rsid w:val="00ED11A7"/>
    <w:rsid w:val="00ED35D6"/>
    <w:rsid w:val="00ED4A6A"/>
    <w:rsid w:val="00ED55BC"/>
    <w:rsid w:val="00EE0262"/>
    <w:rsid w:val="00EE0E26"/>
    <w:rsid w:val="00EE15A4"/>
    <w:rsid w:val="00EE3F8C"/>
    <w:rsid w:val="00EE5976"/>
    <w:rsid w:val="00EF104D"/>
    <w:rsid w:val="00EF1AF6"/>
    <w:rsid w:val="00EF43C6"/>
    <w:rsid w:val="00EF7B23"/>
    <w:rsid w:val="00F017A9"/>
    <w:rsid w:val="00F038A9"/>
    <w:rsid w:val="00F05531"/>
    <w:rsid w:val="00F055F8"/>
    <w:rsid w:val="00F065A1"/>
    <w:rsid w:val="00F06B13"/>
    <w:rsid w:val="00F0780E"/>
    <w:rsid w:val="00F101A5"/>
    <w:rsid w:val="00F12B4F"/>
    <w:rsid w:val="00F13D4E"/>
    <w:rsid w:val="00F15C16"/>
    <w:rsid w:val="00F160CC"/>
    <w:rsid w:val="00F175D8"/>
    <w:rsid w:val="00F2008B"/>
    <w:rsid w:val="00F21CEC"/>
    <w:rsid w:val="00F22098"/>
    <w:rsid w:val="00F23F87"/>
    <w:rsid w:val="00F23FE9"/>
    <w:rsid w:val="00F2425E"/>
    <w:rsid w:val="00F25B68"/>
    <w:rsid w:val="00F2668C"/>
    <w:rsid w:val="00F273E5"/>
    <w:rsid w:val="00F32231"/>
    <w:rsid w:val="00F327BD"/>
    <w:rsid w:val="00F33195"/>
    <w:rsid w:val="00F337D8"/>
    <w:rsid w:val="00F358C6"/>
    <w:rsid w:val="00F35DC5"/>
    <w:rsid w:val="00F36601"/>
    <w:rsid w:val="00F36E10"/>
    <w:rsid w:val="00F37114"/>
    <w:rsid w:val="00F375D5"/>
    <w:rsid w:val="00F377FC"/>
    <w:rsid w:val="00F4123A"/>
    <w:rsid w:val="00F4376B"/>
    <w:rsid w:val="00F442EE"/>
    <w:rsid w:val="00F444D1"/>
    <w:rsid w:val="00F44AC8"/>
    <w:rsid w:val="00F4550A"/>
    <w:rsid w:val="00F45A79"/>
    <w:rsid w:val="00F50CED"/>
    <w:rsid w:val="00F51EAF"/>
    <w:rsid w:val="00F5250D"/>
    <w:rsid w:val="00F52B8A"/>
    <w:rsid w:val="00F54301"/>
    <w:rsid w:val="00F54F74"/>
    <w:rsid w:val="00F5589B"/>
    <w:rsid w:val="00F5646B"/>
    <w:rsid w:val="00F564AF"/>
    <w:rsid w:val="00F648BC"/>
    <w:rsid w:val="00F65C63"/>
    <w:rsid w:val="00F66881"/>
    <w:rsid w:val="00F729F3"/>
    <w:rsid w:val="00F747E9"/>
    <w:rsid w:val="00F75B25"/>
    <w:rsid w:val="00F76C99"/>
    <w:rsid w:val="00F804A0"/>
    <w:rsid w:val="00F805AF"/>
    <w:rsid w:val="00F8212F"/>
    <w:rsid w:val="00F84D44"/>
    <w:rsid w:val="00F84FEC"/>
    <w:rsid w:val="00F85E32"/>
    <w:rsid w:val="00F90453"/>
    <w:rsid w:val="00F9073C"/>
    <w:rsid w:val="00F90C54"/>
    <w:rsid w:val="00F90D1F"/>
    <w:rsid w:val="00F921BB"/>
    <w:rsid w:val="00F92D3B"/>
    <w:rsid w:val="00F94213"/>
    <w:rsid w:val="00F94EEA"/>
    <w:rsid w:val="00F95028"/>
    <w:rsid w:val="00F956B0"/>
    <w:rsid w:val="00F965BD"/>
    <w:rsid w:val="00F970D1"/>
    <w:rsid w:val="00FA0005"/>
    <w:rsid w:val="00FA0244"/>
    <w:rsid w:val="00FA207E"/>
    <w:rsid w:val="00FA2294"/>
    <w:rsid w:val="00FA24C1"/>
    <w:rsid w:val="00FA2790"/>
    <w:rsid w:val="00FA2CD1"/>
    <w:rsid w:val="00FA313D"/>
    <w:rsid w:val="00FA59CA"/>
    <w:rsid w:val="00FA5F90"/>
    <w:rsid w:val="00FA7C14"/>
    <w:rsid w:val="00FB1E9F"/>
    <w:rsid w:val="00FB2D1C"/>
    <w:rsid w:val="00FB3938"/>
    <w:rsid w:val="00FB5624"/>
    <w:rsid w:val="00FB6B1B"/>
    <w:rsid w:val="00FB7800"/>
    <w:rsid w:val="00FC3E50"/>
    <w:rsid w:val="00FC40E5"/>
    <w:rsid w:val="00FC4760"/>
    <w:rsid w:val="00FC498E"/>
    <w:rsid w:val="00FC549D"/>
    <w:rsid w:val="00FC6EEA"/>
    <w:rsid w:val="00FD0471"/>
    <w:rsid w:val="00FD1088"/>
    <w:rsid w:val="00FD1CC4"/>
    <w:rsid w:val="00FD2549"/>
    <w:rsid w:val="00FD2648"/>
    <w:rsid w:val="00FD4BAD"/>
    <w:rsid w:val="00FE0B49"/>
    <w:rsid w:val="00FE3604"/>
    <w:rsid w:val="00FE4527"/>
    <w:rsid w:val="00FE4B35"/>
    <w:rsid w:val="00FE6E1B"/>
    <w:rsid w:val="00FF03A3"/>
    <w:rsid w:val="00FF1221"/>
    <w:rsid w:val="00FF2FAD"/>
    <w:rsid w:val="00FF328B"/>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paragraph" w:styleId="Heading1">
    <w:name w:val="heading 1"/>
    <w:basedOn w:val="Normal"/>
    <w:next w:val="Normal"/>
    <w:link w:val="Heading1Char"/>
    <w:uiPriority w:val="9"/>
    <w:qFormat/>
    <w:rsid w:val="0064684A"/>
    <w:pPr>
      <w:spacing w:after="0" w:line="240" w:lineRule="auto"/>
      <w:outlineLvl w:val="0"/>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0B7CC2"/>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0B7CC2"/>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DocID">
    <w:name w:val="DocID"/>
    <w:basedOn w:val="Footer"/>
    <w:next w:val="Footer"/>
    <w:link w:val="DocIDChar"/>
    <w:rsid w:val="004E067D"/>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ListParagraphChar"/>
    <w:link w:val="DocID"/>
    <w:rsid w:val="004E067D"/>
    <w:rPr>
      <w:rFonts w:ascii="Times New Roman" w:eastAsia="Times New Roman" w:hAnsi="Times New Roman" w:cs="Times New Roman"/>
      <w:sz w:val="18"/>
      <w:szCs w:val="20"/>
      <w:lang w:val="en-US" w:eastAsia="en-US"/>
    </w:rPr>
  </w:style>
  <w:style w:type="character" w:customStyle="1" w:styleId="Heading1Char">
    <w:name w:val="Heading 1 Char"/>
    <w:basedOn w:val="DefaultParagraphFont"/>
    <w:link w:val="Heading1"/>
    <w:uiPriority w:val="9"/>
    <w:rsid w:val="0064684A"/>
    <w:rPr>
      <w:rFonts w:cstheme="minorHAnsi"/>
      <w:b/>
      <w:bCs/>
    </w:rPr>
  </w:style>
  <w:style w:type="table" w:styleId="ListTable3-Accent1">
    <w:name w:val="List Table 3 Accent 1"/>
    <w:basedOn w:val="TableNormal"/>
    <w:uiPriority w:val="48"/>
    <w:rsid w:val="00965FCC"/>
    <w:pPr>
      <w:spacing w:after="0" w:line="240" w:lineRule="auto"/>
    </w:pPr>
    <w:rPr>
      <w:rFonts w:ascii="Times New Roman" w:hAnsi="Times New Roman"/>
      <w:sz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2-Accent1">
    <w:name w:val="List Table 2 Accent 1"/>
    <w:basedOn w:val="TableNormal"/>
    <w:uiPriority w:val="47"/>
    <w:rsid w:val="0027442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1">
    <w:name w:val="List Table 1 Light Accent 1"/>
    <w:basedOn w:val="TableNormal"/>
    <w:uiPriority w:val="46"/>
    <w:rsid w:val="00490853"/>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76640130">
      <w:bodyDiv w:val="1"/>
      <w:marLeft w:val="0"/>
      <w:marRight w:val="0"/>
      <w:marTop w:val="0"/>
      <w:marBottom w:val="0"/>
      <w:divBdr>
        <w:top w:val="none" w:sz="0" w:space="0" w:color="auto"/>
        <w:left w:val="none" w:sz="0" w:space="0" w:color="auto"/>
        <w:bottom w:val="none" w:sz="0" w:space="0" w:color="auto"/>
        <w:right w:val="none" w:sz="0" w:space="0" w:color="auto"/>
      </w:divBdr>
    </w:div>
    <w:div w:id="148525699">
      <w:bodyDiv w:val="1"/>
      <w:marLeft w:val="0"/>
      <w:marRight w:val="0"/>
      <w:marTop w:val="0"/>
      <w:marBottom w:val="0"/>
      <w:divBdr>
        <w:top w:val="none" w:sz="0" w:space="0" w:color="auto"/>
        <w:left w:val="none" w:sz="0" w:space="0" w:color="auto"/>
        <w:bottom w:val="none" w:sz="0" w:space="0" w:color="auto"/>
        <w:right w:val="none" w:sz="0" w:space="0" w:color="auto"/>
      </w:divBdr>
    </w:div>
    <w:div w:id="241986737">
      <w:bodyDiv w:val="1"/>
      <w:marLeft w:val="0"/>
      <w:marRight w:val="0"/>
      <w:marTop w:val="0"/>
      <w:marBottom w:val="0"/>
      <w:divBdr>
        <w:top w:val="none" w:sz="0" w:space="0" w:color="auto"/>
        <w:left w:val="none" w:sz="0" w:space="0" w:color="auto"/>
        <w:bottom w:val="none" w:sz="0" w:space="0" w:color="auto"/>
        <w:right w:val="none" w:sz="0" w:space="0" w:color="auto"/>
      </w:divBdr>
    </w:div>
    <w:div w:id="480343640">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660355290">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972708564">
      <w:bodyDiv w:val="1"/>
      <w:marLeft w:val="0"/>
      <w:marRight w:val="0"/>
      <w:marTop w:val="0"/>
      <w:marBottom w:val="0"/>
      <w:divBdr>
        <w:top w:val="none" w:sz="0" w:space="0" w:color="auto"/>
        <w:left w:val="none" w:sz="0" w:space="0" w:color="auto"/>
        <w:bottom w:val="none" w:sz="0" w:space="0" w:color="auto"/>
        <w:right w:val="none" w:sz="0" w:space="0" w:color="auto"/>
      </w:divBdr>
    </w:div>
    <w:div w:id="1017582650">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253780846">
      <w:bodyDiv w:val="1"/>
      <w:marLeft w:val="0"/>
      <w:marRight w:val="0"/>
      <w:marTop w:val="0"/>
      <w:marBottom w:val="0"/>
      <w:divBdr>
        <w:top w:val="none" w:sz="0" w:space="0" w:color="auto"/>
        <w:left w:val="none" w:sz="0" w:space="0" w:color="auto"/>
        <w:bottom w:val="none" w:sz="0" w:space="0" w:color="auto"/>
        <w:right w:val="none" w:sz="0" w:space="0" w:color="auto"/>
      </w:divBdr>
    </w:div>
    <w:div w:id="1391264482">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633635925">
      <w:bodyDiv w:val="1"/>
      <w:marLeft w:val="0"/>
      <w:marRight w:val="0"/>
      <w:marTop w:val="0"/>
      <w:marBottom w:val="0"/>
      <w:divBdr>
        <w:top w:val="none" w:sz="0" w:space="0" w:color="auto"/>
        <w:left w:val="none" w:sz="0" w:space="0" w:color="auto"/>
        <w:bottom w:val="none" w:sz="0" w:space="0" w:color="auto"/>
        <w:right w:val="none" w:sz="0" w:space="0" w:color="auto"/>
      </w:divBdr>
    </w:div>
    <w:div w:id="1639915339">
      <w:bodyDiv w:val="1"/>
      <w:marLeft w:val="0"/>
      <w:marRight w:val="0"/>
      <w:marTop w:val="0"/>
      <w:marBottom w:val="0"/>
      <w:divBdr>
        <w:top w:val="none" w:sz="0" w:space="0" w:color="auto"/>
        <w:left w:val="none" w:sz="0" w:space="0" w:color="auto"/>
        <w:bottom w:val="none" w:sz="0" w:space="0" w:color="auto"/>
        <w:right w:val="none" w:sz="0" w:space="0" w:color="auto"/>
      </w:divBdr>
    </w:div>
    <w:div w:id="1647858435">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842160721">
      <w:bodyDiv w:val="1"/>
      <w:marLeft w:val="0"/>
      <w:marRight w:val="0"/>
      <w:marTop w:val="0"/>
      <w:marBottom w:val="0"/>
      <w:divBdr>
        <w:top w:val="none" w:sz="0" w:space="0" w:color="auto"/>
        <w:left w:val="none" w:sz="0" w:space="0" w:color="auto"/>
        <w:bottom w:val="none" w:sz="0" w:space="0" w:color="auto"/>
        <w:right w:val="none" w:sz="0" w:space="0" w:color="auto"/>
      </w:divBdr>
    </w:div>
    <w:div w:id="186752377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1999769655">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DPH.DON@mas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hrq.gov/hai/tools/mvp/modules/vae/overview-off-ventilator-fac-guide.html" TargetMode="External"/><Relationship Id="rId1" Type="http://schemas.openxmlformats.org/officeDocument/2006/relationships/hyperlink" Target="https://www.mhalink.org/throughputreport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ek\AppData\Roaming\iManage\Work\Recent\4023.0001%20Nielk%20Equities_%20LLC%20-%20RE_%20Purchase%20of%20the%20Meadows%20of%20Central%20Massachusetts%20_%20Vibra%20Hospital%20of%20Western%20Massachusetts-Central%20Campus\MHA%20LTCH%20th(2211865.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Acute Care Patients Awaiting Discharge to LTCH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Patients Awaiting D/C to LTCH</c:v>
                </c:pt>
              </c:strCache>
            </c:strRef>
          </c:tx>
          <c:spPr>
            <a:solidFill>
              <a:schemeClr val="accent1"/>
            </a:solidFill>
            <a:ln>
              <a:noFill/>
            </a:ln>
            <a:effectLst/>
          </c:spPr>
          <c:invertIfNegative val="0"/>
          <c:cat>
            <c:numRef>
              <c:f>Sheet1!$A$2:$A$24</c:f>
              <c:numCache>
                <c:formatCode>[$-409]mmm\-yy;@</c:formatCode>
                <c:ptCount val="23"/>
                <c:pt idx="0">
                  <c:v>45017</c:v>
                </c:pt>
                <c:pt idx="1">
                  <c:v>45047</c:v>
                </c:pt>
                <c:pt idx="2">
                  <c:v>45078</c:v>
                </c:pt>
                <c:pt idx="3">
                  <c:v>45108</c:v>
                </c:pt>
                <c:pt idx="4">
                  <c:v>45139</c:v>
                </c:pt>
                <c:pt idx="5">
                  <c:v>45170</c:v>
                </c:pt>
                <c:pt idx="6">
                  <c:v>45200</c:v>
                </c:pt>
                <c:pt idx="7">
                  <c:v>45231</c:v>
                </c:pt>
                <c:pt idx="8">
                  <c:v>45261</c:v>
                </c:pt>
                <c:pt idx="9">
                  <c:v>45292</c:v>
                </c:pt>
                <c:pt idx="10">
                  <c:v>45323</c:v>
                </c:pt>
                <c:pt idx="11">
                  <c:v>45352</c:v>
                </c:pt>
                <c:pt idx="12">
                  <c:v>45383</c:v>
                </c:pt>
                <c:pt idx="13">
                  <c:v>45413</c:v>
                </c:pt>
                <c:pt idx="14">
                  <c:v>45444</c:v>
                </c:pt>
                <c:pt idx="15">
                  <c:v>45474</c:v>
                </c:pt>
                <c:pt idx="16">
                  <c:v>45505</c:v>
                </c:pt>
                <c:pt idx="17">
                  <c:v>45536</c:v>
                </c:pt>
                <c:pt idx="18">
                  <c:v>45566</c:v>
                </c:pt>
                <c:pt idx="19">
                  <c:v>45597</c:v>
                </c:pt>
                <c:pt idx="20">
                  <c:v>45627</c:v>
                </c:pt>
                <c:pt idx="21">
                  <c:v>45658</c:v>
                </c:pt>
                <c:pt idx="22">
                  <c:v>45689</c:v>
                </c:pt>
              </c:numCache>
            </c:numRef>
          </c:cat>
          <c:val>
            <c:numRef>
              <c:f>Sheet1!$B$2:$B$24</c:f>
              <c:numCache>
                <c:formatCode>General</c:formatCode>
                <c:ptCount val="23"/>
                <c:pt idx="0">
                  <c:v>42</c:v>
                </c:pt>
                <c:pt idx="1">
                  <c:v>35</c:v>
                </c:pt>
                <c:pt idx="2">
                  <c:v>28</c:v>
                </c:pt>
                <c:pt idx="3">
                  <c:v>52</c:v>
                </c:pt>
                <c:pt idx="4">
                  <c:v>40</c:v>
                </c:pt>
                <c:pt idx="5">
                  <c:v>43</c:v>
                </c:pt>
                <c:pt idx="6">
                  <c:v>43</c:v>
                </c:pt>
                <c:pt idx="7">
                  <c:v>49</c:v>
                </c:pt>
                <c:pt idx="8">
                  <c:v>52</c:v>
                </c:pt>
                <c:pt idx="9">
                  <c:v>37</c:v>
                </c:pt>
                <c:pt idx="10">
                  <c:v>47</c:v>
                </c:pt>
                <c:pt idx="11">
                  <c:v>87</c:v>
                </c:pt>
                <c:pt idx="12">
                  <c:v>95</c:v>
                </c:pt>
                <c:pt idx="13">
                  <c:v>89</c:v>
                </c:pt>
                <c:pt idx="14">
                  <c:v>91</c:v>
                </c:pt>
                <c:pt idx="15">
                  <c:v>106</c:v>
                </c:pt>
                <c:pt idx="16">
                  <c:v>121</c:v>
                </c:pt>
                <c:pt idx="17">
                  <c:v>58</c:v>
                </c:pt>
                <c:pt idx="18">
                  <c:v>90</c:v>
                </c:pt>
                <c:pt idx="19">
                  <c:v>102</c:v>
                </c:pt>
                <c:pt idx="20">
                  <c:v>110</c:v>
                </c:pt>
                <c:pt idx="21">
                  <c:v>131</c:v>
                </c:pt>
                <c:pt idx="22">
                  <c:v>130</c:v>
                </c:pt>
              </c:numCache>
            </c:numRef>
          </c:val>
          <c:extLst>
            <c:ext xmlns:c16="http://schemas.microsoft.com/office/drawing/2014/chart" uri="{C3380CC4-5D6E-409C-BE32-E72D297353CC}">
              <c16:uniqueId val="{00000000-5DC1-427D-829D-E311DF28A035}"/>
            </c:ext>
          </c:extLst>
        </c:ser>
        <c:dLbls>
          <c:showLegendKey val="0"/>
          <c:showVal val="0"/>
          <c:showCatName val="0"/>
          <c:showSerName val="0"/>
          <c:showPercent val="0"/>
          <c:showBubbleSize val="0"/>
        </c:dLbls>
        <c:gapWidth val="219"/>
        <c:overlap val="-27"/>
        <c:axId val="99496224"/>
        <c:axId val="99489504"/>
      </c:barChart>
      <c:lineChart>
        <c:grouping val="standard"/>
        <c:varyColors val="0"/>
        <c:ser>
          <c:idx val="1"/>
          <c:order val="1"/>
          <c:tx>
            <c:strRef>
              <c:f>Sheet1!$D$1</c:f>
              <c:strCache>
                <c:ptCount val="1"/>
                <c:pt idx="0">
                  <c:v>% of all Patients Awaiting D/C to Post-Acute Settings</c:v>
                </c:pt>
              </c:strCache>
            </c:strRef>
          </c:tx>
          <c:spPr>
            <a:ln w="28575" cap="rnd">
              <a:solidFill>
                <a:schemeClr val="accent2"/>
              </a:solidFill>
              <a:round/>
            </a:ln>
            <a:effectLst/>
          </c:spPr>
          <c:marker>
            <c:symbol val="none"/>
          </c:marker>
          <c:cat>
            <c:numRef>
              <c:f>Sheet1!$A$2:$A$24</c:f>
              <c:numCache>
                <c:formatCode>[$-409]mmm\-yy;@</c:formatCode>
                <c:ptCount val="23"/>
                <c:pt idx="0">
                  <c:v>45017</c:v>
                </c:pt>
                <c:pt idx="1">
                  <c:v>45047</c:v>
                </c:pt>
                <c:pt idx="2">
                  <c:v>45078</c:v>
                </c:pt>
                <c:pt idx="3">
                  <c:v>45108</c:v>
                </c:pt>
                <c:pt idx="4">
                  <c:v>45139</c:v>
                </c:pt>
                <c:pt idx="5">
                  <c:v>45170</c:v>
                </c:pt>
                <c:pt idx="6">
                  <c:v>45200</c:v>
                </c:pt>
                <c:pt idx="7">
                  <c:v>45231</c:v>
                </c:pt>
                <c:pt idx="8">
                  <c:v>45261</c:v>
                </c:pt>
                <c:pt idx="9">
                  <c:v>45292</c:v>
                </c:pt>
                <c:pt idx="10">
                  <c:v>45323</c:v>
                </c:pt>
                <c:pt idx="11">
                  <c:v>45352</c:v>
                </c:pt>
                <c:pt idx="12">
                  <c:v>45383</c:v>
                </c:pt>
                <c:pt idx="13">
                  <c:v>45413</c:v>
                </c:pt>
                <c:pt idx="14">
                  <c:v>45444</c:v>
                </c:pt>
                <c:pt idx="15">
                  <c:v>45474</c:v>
                </c:pt>
                <c:pt idx="16">
                  <c:v>45505</c:v>
                </c:pt>
                <c:pt idx="17">
                  <c:v>45536</c:v>
                </c:pt>
                <c:pt idx="18">
                  <c:v>45566</c:v>
                </c:pt>
                <c:pt idx="19">
                  <c:v>45597</c:v>
                </c:pt>
                <c:pt idx="20">
                  <c:v>45627</c:v>
                </c:pt>
                <c:pt idx="21">
                  <c:v>45658</c:v>
                </c:pt>
                <c:pt idx="22">
                  <c:v>45689</c:v>
                </c:pt>
              </c:numCache>
            </c:numRef>
          </c:cat>
          <c:val>
            <c:numRef>
              <c:f>Sheet1!$D$2:$D$24</c:f>
              <c:numCache>
                <c:formatCode>0.0%</c:formatCode>
                <c:ptCount val="23"/>
                <c:pt idx="0">
                  <c:v>7.1428571428571425E-2</c:v>
                </c:pt>
                <c:pt idx="1">
                  <c:v>5.46875E-2</c:v>
                </c:pt>
                <c:pt idx="2">
                  <c:v>3.7086092715231792E-2</c:v>
                </c:pt>
                <c:pt idx="3">
                  <c:v>7.2022160664819951E-2</c:v>
                </c:pt>
                <c:pt idx="4">
                  <c:v>6.0882800608828003E-2</c:v>
                </c:pt>
                <c:pt idx="5">
                  <c:v>5.3817271589486862E-2</c:v>
                </c:pt>
                <c:pt idx="6">
                  <c:v>4.8697621744054363E-2</c:v>
                </c:pt>
                <c:pt idx="7">
                  <c:v>6.5333333333333327E-2</c:v>
                </c:pt>
                <c:pt idx="8">
                  <c:v>4.828226555246054E-2</c:v>
                </c:pt>
                <c:pt idx="9">
                  <c:v>4.0570175438596492E-2</c:v>
                </c:pt>
                <c:pt idx="10">
                  <c:v>5.1142546245919476E-2</c:v>
                </c:pt>
                <c:pt idx="11">
                  <c:v>5.6974459724950882E-2</c:v>
                </c:pt>
                <c:pt idx="12">
                  <c:v>4.8174442190669374E-2</c:v>
                </c:pt>
                <c:pt idx="13">
                  <c:v>4.9665178571428568E-2</c:v>
                </c:pt>
                <c:pt idx="14">
                  <c:v>5.078125E-2</c:v>
                </c:pt>
                <c:pt idx="15">
                  <c:v>5.9954751131221722E-2</c:v>
                </c:pt>
                <c:pt idx="16">
                  <c:v>5.6305258259655655E-2</c:v>
                </c:pt>
                <c:pt idx="17">
                  <c:v>5.2017937219730942E-2</c:v>
                </c:pt>
                <c:pt idx="18">
                  <c:v>4.1417395306028532E-2</c:v>
                </c:pt>
                <c:pt idx="19">
                  <c:v>5.4255319148936172E-2</c:v>
                </c:pt>
                <c:pt idx="20">
                  <c:v>5.5137844611528819E-2</c:v>
                </c:pt>
                <c:pt idx="21">
                  <c:v>5.900900900900901E-2</c:v>
                </c:pt>
                <c:pt idx="22">
                  <c:v>5.9171597633136092E-2</c:v>
                </c:pt>
              </c:numCache>
            </c:numRef>
          </c:val>
          <c:smooth val="0"/>
          <c:extLst>
            <c:ext xmlns:c16="http://schemas.microsoft.com/office/drawing/2014/chart" uri="{C3380CC4-5D6E-409C-BE32-E72D297353CC}">
              <c16:uniqueId val="{00000001-5DC1-427D-829D-E311DF28A035}"/>
            </c:ext>
          </c:extLst>
        </c:ser>
        <c:dLbls>
          <c:showLegendKey val="0"/>
          <c:showVal val="0"/>
          <c:showCatName val="0"/>
          <c:showSerName val="0"/>
          <c:showPercent val="0"/>
          <c:showBubbleSize val="0"/>
        </c:dLbls>
        <c:marker val="1"/>
        <c:smooth val="0"/>
        <c:axId val="99494304"/>
        <c:axId val="99491904"/>
      </c:lineChart>
      <c:dateAx>
        <c:axId val="99496224"/>
        <c:scaling>
          <c:orientation val="minMax"/>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489504"/>
        <c:crosses val="autoZero"/>
        <c:auto val="1"/>
        <c:lblOffset val="100"/>
        <c:baseTimeUnit val="months"/>
      </c:dateAx>
      <c:valAx>
        <c:axId val="99489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496224"/>
        <c:crosses val="autoZero"/>
        <c:crossBetween val="between"/>
      </c:valAx>
      <c:valAx>
        <c:axId val="99491904"/>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494304"/>
        <c:crosses val="max"/>
        <c:crossBetween val="between"/>
      </c:valAx>
      <c:dateAx>
        <c:axId val="99494304"/>
        <c:scaling>
          <c:orientation val="minMax"/>
        </c:scaling>
        <c:delete val="1"/>
        <c:axPos val="b"/>
        <c:numFmt formatCode="[$-409]mmm\-yy;@" sourceLinked="1"/>
        <c:majorTickMark val="out"/>
        <c:minorTickMark val="none"/>
        <c:tickLblPos val="nextTo"/>
        <c:crossAx val="99491904"/>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KBIMANAGE!2212606.1</documentid>
  <senderid>MEK</senderid>
  <senderemail>MKIRA@KB-LAW.COM</senderemail>
  <lastmodified>2025-05-21T16:53:00.0000000-04:00</lastmodified>
  <database>KBIMANAGE</database>
</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customXml/itemProps3.xml><?xml version="1.0" encoding="utf-8"?>
<ds:datastoreItem xmlns:ds="http://schemas.openxmlformats.org/officeDocument/2006/customXml" ds:itemID="{E4E053A4-0382-4F9A-8FFD-7CE82C642AC8}">
  <ds:schemaRefs>
    <ds:schemaRef ds:uri="http://schemas.openxmlformats.org/officeDocument/2006/bibliography"/>
    <ds:schemaRef ds:uri="http://www.imanage.com/work/xmlschema"/>
  </ds:schemaRefs>
</ds:datastoreItem>
</file>

<file path=customXml/itemProps4.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501DF7D-3AB0-486D-B7B5-24625E164B1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1337</TotalTime>
  <Pages>14</Pages>
  <Words>3963</Words>
  <Characters>20970</Characters>
  <Application>Microsoft Office Word</Application>
  <DocSecurity>0</DocSecurity>
  <Lines>806</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14</cp:revision>
  <cp:lastPrinted>2022-04-08T14:57:00Z</cp:lastPrinted>
  <dcterms:created xsi:type="dcterms:W3CDTF">2025-05-21T20:52:00Z</dcterms:created>
  <dcterms:modified xsi:type="dcterms:W3CDTF">2025-06-03T14:21:00Z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CUS_DocIDString">
    <vt:lpwstr>4023\0001\2212606.v1</vt:lpwstr>
  </property>
  <property fmtid="{D5CDD505-2E9C-101B-9397-08002B2CF9AE}" pid="4" name="CUS_DocIDChunk0">
    <vt:lpwstr>4023\0001\2212606.v1</vt:lpwstr>
  </property>
  <property fmtid="{D5CDD505-2E9C-101B-9397-08002B2CF9AE}" pid="5" name="CUS_DocIDActiveBits">
    <vt:lpwstr>491520</vt:lpwstr>
  </property>
  <property fmtid="{D5CDD505-2E9C-101B-9397-08002B2CF9AE}" pid="6" name="CUS_DocIDLocation">
    <vt:lpwstr>END_OF_DOCUMENT</vt:lpwstr>
  </property>
  <property fmtid="{D5CDD505-2E9C-101B-9397-08002B2CF9AE}" pid="7" name="CUS_DocIDReference">
    <vt:lpwstr>endOfDocument</vt:lpwstr>
  </property>
  <property fmtid="{D5CDD505-2E9C-101B-9397-08002B2CF9AE}" pid="8" name="CUS_DocIDFormatDateTime">
    <vt:lpwstr>M/d/yy</vt:lpwstr>
  </property>
</Properties>
</file>