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A601F" w14:textId="138D3769" w:rsidR="00D223EB" w:rsidRPr="00054FF4" w:rsidRDefault="00D223EB" w:rsidP="01CEC757">
      <w:pPr>
        <w:jc w:val="center"/>
        <w:rPr>
          <w:b/>
          <w:bCs/>
        </w:rPr>
      </w:pPr>
      <w:r w:rsidRPr="07DB7799">
        <w:rPr>
          <w:b/>
          <w:bCs/>
        </w:rPr>
        <w:t xml:space="preserve">APPLICANT </w:t>
      </w:r>
      <w:r w:rsidR="00DE2B2E">
        <w:rPr>
          <w:b/>
          <w:bCs/>
        </w:rPr>
        <w:t>RESPONSES</w:t>
      </w:r>
    </w:p>
    <w:p w14:paraId="71F6355D" w14:textId="77777777" w:rsidR="00D223EB" w:rsidRPr="00054FF4" w:rsidRDefault="00D223EB" w:rsidP="00D223EB">
      <w:pPr>
        <w:jc w:val="center"/>
        <w:rPr>
          <w:rFonts w:cstheme="minorHAnsi"/>
        </w:rPr>
      </w:pPr>
      <w:r w:rsidRPr="00054FF4">
        <w:rPr>
          <w:rFonts w:cstheme="minorHAnsi"/>
          <w:i/>
          <w:iCs/>
        </w:rPr>
        <w:t xml:space="preserve">Responses should be sent to DoN staff at </w:t>
      </w:r>
      <w:hyperlink r:id="rId11" w:history="1">
        <w:r w:rsidRPr="00054FF4">
          <w:rPr>
            <w:rStyle w:val="Hyperlink"/>
            <w:rFonts w:cstheme="minorHAnsi"/>
          </w:rPr>
          <w:t>DPH.DON@State.MA.US</w:t>
        </w:r>
      </w:hyperlink>
    </w:p>
    <w:tbl>
      <w:tblPr>
        <w:tblStyle w:val="TableGrid"/>
        <w:tblW w:w="0" w:type="auto"/>
        <w:jc w:val="center"/>
        <w:tblLook w:val="04A0" w:firstRow="1" w:lastRow="0" w:firstColumn="1" w:lastColumn="0" w:noHBand="0" w:noVBand="1"/>
      </w:tblPr>
      <w:tblGrid>
        <w:gridCol w:w="9350"/>
      </w:tblGrid>
      <w:tr w:rsidR="00D223EB" w:rsidRPr="00054FF4" w14:paraId="57106F2B" w14:textId="77777777" w:rsidTr="008B5D5E">
        <w:trPr>
          <w:jc w:val="center"/>
        </w:trPr>
        <w:tc>
          <w:tcPr>
            <w:tcW w:w="9350" w:type="dxa"/>
          </w:tcPr>
          <w:p w14:paraId="0D6A2228" w14:textId="77777777" w:rsidR="00D223EB" w:rsidRPr="00054FF4" w:rsidRDefault="00D223EB" w:rsidP="008B5D5E">
            <w:pPr>
              <w:rPr>
                <w:rFonts w:cstheme="minorHAnsi"/>
                <w:bCs/>
              </w:rPr>
            </w:pPr>
            <w:r w:rsidRPr="00054FF4">
              <w:rPr>
                <w:rFonts w:cstheme="minorHAnsi"/>
                <w:bCs/>
              </w:rPr>
              <w:t xml:space="preserve">While you may submit each answer as available, </w:t>
            </w:r>
            <w:proofErr w:type="gramStart"/>
            <w:r w:rsidRPr="00054FF4">
              <w:rPr>
                <w:rFonts w:cstheme="minorHAnsi"/>
                <w:bCs/>
              </w:rPr>
              <w:t>please</w:t>
            </w:r>
            <w:proofErr w:type="gramEnd"/>
            <w:r w:rsidRPr="00054FF4">
              <w:rPr>
                <w:rFonts w:cstheme="minorHAnsi"/>
                <w:bCs/>
              </w:rPr>
              <w:t xml:space="preserve"> </w:t>
            </w:r>
          </w:p>
          <w:p w14:paraId="3BAD0544" w14:textId="77777777" w:rsidR="00D223EB" w:rsidRPr="00054FF4" w:rsidRDefault="00D223EB" w:rsidP="00D223EB">
            <w:pPr>
              <w:pStyle w:val="ListParagraph"/>
              <w:numPr>
                <w:ilvl w:val="0"/>
                <w:numId w:val="4"/>
              </w:numPr>
              <w:rPr>
                <w:rFonts w:cstheme="minorHAnsi"/>
                <w:bCs/>
              </w:rPr>
            </w:pPr>
            <w:r w:rsidRPr="00054FF4">
              <w:rPr>
                <w:rFonts w:cstheme="minorHAnsi"/>
                <w:bCs/>
              </w:rPr>
              <w:t xml:space="preserve">List question number and question for each answer you </w:t>
            </w:r>
            <w:proofErr w:type="gramStart"/>
            <w:r w:rsidRPr="00054FF4">
              <w:rPr>
                <w:rFonts w:cstheme="minorHAnsi"/>
                <w:bCs/>
              </w:rPr>
              <w:t>provide</w:t>
            </w:r>
            <w:proofErr w:type="gramEnd"/>
            <w:r w:rsidRPr="00054FF4">
              <w:rPr>
                <w:rFonts w:cstheme="minorHAnsi"/>
                <w:bCs/>
              </w:rPr>
              <w:t xml:space="preserve"> </w:t>
            </w:r>
          </w:p>
          <w:p w14:paraId="77AFC609" w14:textId="1F813011" w:rsidR="00D223EB" w:rsidRDefault="00D223EB" w:rsidP="00D223EB">
            <w:pPr>
              <w:pStyle w:val="ListParagraph"/>
              <w:numPr>
                <w:ilvl w:val="0"/>
                <w:numId w:val="4"/>
              </w:numPr>
              <w:rPr>
                <w:rFonts w:cstheme="minorHAnsi"/>
                <w:bCs/>
              </w:rPr>
            </w:pPr>
            <w:r w:rsidRPr="00054FF4">
              <w:rPr>
                <w:rFonts w:cstheme="minorHAnsi"/>
                <w:bCs/>
              </w:rPr>
              <w:t xml:space="preserve">Submit responses as a separate word document, using the above application title and number as a running header and page numbers in the </w:t>
            </w:r>
            <w:proofErr w:type="gramStart"/>
            <w:r w:rsidRPr="00054FF4">
              <w:rPr>
                <w:rFonts w:cstheme="minorHAnsi"/>
                <w:bCs/>
              </w:rPr>
              <w:t>footer</w:t>
            </w:r>
            <w:proofErr w:type="gramEnd"/>
            <w:r w:rsidRPr="00054FF4">
              <w:rPr>
                <w:rFonts w:cstheme="minorHAnsi"/>
                <w:bCs/>
              </w:rPr>
              <w:t xml:space="preserve"> </w:t>
            </w:r>
          </w:p>
          <w:p w14:paraId="2D4D3A49" w14:textId="7AF2D827" w:rsidR="00D223EB" w:rsidRPr="001E0B94" w:rsidRDefault="001E0B94" w:rsidP="00A1062E">
            <w:pPr>
              <w:pStyle w:val="ListParagraph"/>
              <w:numPr>
                <w:ilvl w:val="0"/>
                <w:numId w:val="4"/>
              </w:numPr>
              <w:rPr>
                <w:rFonts w:cstheme="minorHAnsi"/>
                <w:bCs/>
              </w:rPr>
            </w:pPr>
            <w:r w:rsidRPr="001E0B94">
              <w:rPr>
                <w:rFonts w:cstheme="minorHAnsi"/>
                <w:bCs/>
              </w:rPr>
              <w:t xml:space="preserve">We accept answers on a rolling basis however, </w:t>
            </w:r>
            <w:r>
              <w:rPr>
                <w:rFonts w:cstheme="minorHAnsi"/>
                <w:bCs/>
              </w:rPr>
              <w:t>w</w:t>
            </w:r>
            <w:r w:rsidR="00D223EB" w:rsidRPr="001E0B94">
              <w:rPr>
                <w:rFonts w:cstheme="minorHAnsi"/>
                <w:bCs/>
              </w:rPr>
              <w:t>hen providing the answer to the final question, submit all questions and answers in</w:t>
            </w:r>
            <w:r>
              <w:rPr>
                <w:rFonts w:cstheme="minorHAnsi"/>
                <w:bCs/>
              </w:rPr>
              <w:t xml:space="preserve"> order in</w:t>
            </w:r>
            <w:r w:rsidR="00D223EB" w:rsidRPr="001E0B94">
              <w:rPr>
                <w:rFonts w:cstheme="minorHAnsi"/>
                <w:bCs/>
              </w:rPr>
              <w:t xml:space="preserve"> one final document</w:t>
            </w:r>
            <w:r>
              <w:rPr>
                <w:rFonts w:cstheme="minorHAnsi"/>
                <w:bCs/>
              </w:rPr>
              <w:t>.</w:t>
            </w:r>
          </w:p>
          <w:p w14:paraId="552712FE" w14:textId="2E737CA2" w:rsidR="00D223EB" w:rsidRPr="00054FF4" w:rsidRDefault="00D223EB" w:rsidP="001E0B94">
            <w:pPr>
              <w:pStyle w:val="ListParagraph"/>
              <w:numPr>
                <w:ilvl w:val="0"/>
                <w:numId w:val="4"/>
              </w:numPr>
              <w:rPr>
                <w:rFonts w:cstheme="minorHAnsi"/>
                <w:b/>
              </w:rPr>
            </w:pPr>
            <w:r w:rsidRPr="00054FF4">
              <w:rPr>
                <w:rFonts w:cstheme="minorHAnsi"/>
                <w:bCs/>
              </w:rPr>
              <w:t xml:space="preserve">Submit responses in WORD or EXCEL; only use PDF’s if </w:t>
            </w:r>
            <w:proofErr w:type="gramStart"/>
            <w:r w:rsidRPr="00054FF4">
              <w:rPr>
                <w:rFonts w:cstheme="minorHAnsi"/>
                <w:bCs/>
              </w:rPr>
              <w:t>absolutely necessary</w:t>
            </w:r>
            <w:proofErr w:type="gramEnd"/>
            <w:r w:rsidRPr="00054FF4">
              <w:rPr>
                <w:rFonts w:cstheme="minorHAnsi"/>
                <w:bCs/>
              </w:rPr>
              <w:t xml:space="preserve">. </w:t>
            </w:r>
            <w:r w:rsidRPr="00054FF4">
              <w:rPr>
                <w:rFonts w:cstheme="minorHAnsi"/>
                <w:b/>
              </w:rPr>
              <w:t>Whenever possible, include a</w:t>
            </w:r>
            <w:r w:rsidR="001E0B94">
              <w:rPr>
                <w:rFonts w:cstheme="minorHAnsi"/>
                <w:b/>
              </w:rPr>
              <w:t xml:space="preserve"> </w:t>
            </w:r>
            <w:r w:rsidRPr="00054FF4">
              <w:rPr>
                <w:rFonts w:cstheme="minorHAnsi"/>
                <w:b/>
              </w:rPr>
              <w:t>table</w:t>
            </w:r>
            <w:r w:rsidR="001E0B94">
              <w:rPr>
                <w:rFonts w:cstheme="minorHAnsi"/>
                <w:b/>
              </w:rPr>
              <w:t xml:space="preserve"> in</w:t>
            </w:r>
            <w:r w:rsidRPr="00054FF4">
              <w:rPr>
                <w:rFonts w:cstheme="minorHAnsi"/>
                <w:b/>
              </w:rPr>
              <w:t xml:space="preserve"> </w:t>
            </w:r>
            <w:r w:rsidR="001E0B94">
              <w:rPr>
                <w:rFonts w:cstheme="minorHAnsi"/>
                <w:b/>
              </w:rPr>
              <w:t xml:space="preserve">data format (NOT pdf or picture) </w:t>
            </w:r>
            <w:r w:rsidRPr="00054FF4">
              <w:rPr>
                <w:rFonts w:cstheme="minorHAnsi"/>
                <w:b/>
              </w:rPr>
              <w:t>with the response</w:t>
            </w:r>
            <w:r w:rsidR="001E0B94">
              <w:rPr>
                <w:rFonts w:cstheme="minorHAnsi"/>
                <w:b/>
              </w:rPr>
              <w:t>.</w:t>
            </w:r>
          </w:p>
        </w:tc>
      </w:tr>
    </w:tbl>
    <w:p w14:paraId="2758094D" w14:textId="1C1631B9" w:rsidR="00032FF5" w:rsidRDefault="00032FF5" w:rsidP="00A573AA">
      <w:pPr>
        <w:spacing w:before="120" w:after="120" w:line="240" w:lineRule="auto"/>
      </w:pPr>
    </w:p>
    <w:p w14:paraId="77AC5D3B" w14:textId="2E8887E9" w:rsidR="00E600FC" w:rsidRDefault="00380E08" w:rsidP="00F03B3D">
      <w:pPr>
        <w:spacing w:before="120" w:after="120" w:line="240" w:lineRule="auto"/>
      </w:pPr>
      <w:proofErr w:type="gramStart"/>
      <w:r w:rsidRPr="003741E5">
        <w:t>In order for</w:t>
      </w:r>
      <w:proofErr w:type="gramEnd"/>
      <w:r w:rsidRPr="003741E5">
        <w:t xml:space="preserve"> us to review this project in a timely manner, pleas</w:t>
      </w:r>
      <w:r w:rsidR="00684458" w:rsidRPr="003741E5">
        <w:t>e</w:t>
      </w:r>
      <w:r w:rsidRPr="003741E5">
        <w:t xml:space="preserve"> provide the responses by </w:t>
      </w:r>
      <w:r w:rsidR="00BD4859">
        <w:t>March 4</w:t>
      </w:r>
      <w:r w:rsidR="006A4735">
        <w:t>, 2024</w:t>
      </w:r>
      <w:r w:rsidRPr="003741E5">
        <w:t>.</w:t>
      </w:r>
    </w:p>
    <w:p w14:paraId="328C39D8" w14:textId="094A217E" w:rsidR="008870FD" w:rsidRPr="00783AEC" w:rsidRDefault="00A72577" w:rsidP="00F03B3D">
      <w:pPr>
        <w:autoSpaceDE w:val="0"/>
        <w:autoSpaceDN w:val="0"/>
        <w:adjustRightInd w:val="0"/>
        <w:spacing w:before="120" w:after="120" w:line="240" w:lineRule="auto"/>
        <w:rPr>
          <w:rFonts w:cstheme="minorHAnsi"/>
          <w:b/>
          <w:bCs/>
        </w:rPr>
      </w:pPr>
      <w:r w:rsidRPr="00783AEC">
        <w:rPr>
          <w:rFonts w:cstheme="minorHAnsi"/>
          <w:b/>
          <w:bCs/>
        </w:rPr>
        <w:t>Project Description</w:t>
      </w:r>
    </w:p>
    <w:p w14:paraId="69F0F9B9" w14:textId="7A9CAB22" w:rsidR="00731045" w:rsidRPr="00F03B3D" w:rsidRDefault="00011556" w:rsidP="00A573AA">
      <w:pPr>
        <w:pStyle w:val="pf0"/>
        <w:numPr>
          <w:ilvl w:val="0"/>
          <w:numId w:val="41"/>
        </w:numPr>
        <w:spacing w:before="120" w:beforeAutospacing="0" w:after="120" w:afterAutospacing="0"/>
        <w:jc w:val="both"/>
        <w:rPr>
          <w:rFonts w:asciiTheme="minorHAnsi" w:hAnsiTheme="minorHAnsi" w:cstheme="minorHAnsi"/>
          <w:b/>
          <w:bCs/>
          <w:sz w:val="22"/>
          <w:szCs w:val="22"/>
        </w:rPr>
      </w:pPr>
      <w:r w:rsidRPr="00F03B3D">
        <w:rPr>
          <w:rStyle w:val="cf01"/>
          <w:rFonts w:asciiTheme="minorHAnsi" w:hAnsiTheme="minorHAnsi" w:cstheme="minorHAnsi"/>
          <w:b/>
          <w:bCs/>
          <w:sz w:val="22"/>
          <w:szCs w:val="22"/>
        </w:rPr>
        <w:t>Page 1 of the</w:t>
      </w:r>
      <w:r w:rsidR="000B69B2" w:rsidRPr="00F03B3D">
        <w:rPr>
          <w:rStyle w:val="cf01"/>
          <w:rFonts w:asciiTheme="minorHAnsi" w:hAnsiTheme="minorHAnsi" w:cstheme="minorHAnsi"/>
          <w:b/>
          <w:bCs/>
          <w:sz w:val="22"/>
          <w:szCs w:val="22"/>
        </w:rPr>
        <w:t xml:space="preserve"> Narrative</w:t>
      </w:r>
      <w:r w:rsidRPr="00F03B3D">
        <w:rPr>
          <w:rStyle w:val="cf01"/>
          <w:rFonts w:asciiTheme="minorHAnsi" w:hAnsiTheme="minorHAnsi" w:cstheme="minorHAnsi"/>
          <w:b/>
          <w:bCs/>
          <w:sz w:val="22"/>
          <w:szCs w:val="22"/>
        </w:rPr>
        <w:t xml:space="preserve"> </w:t>
      </w:r>
      <w:r w:rsidR="000B69B2" w:rsidRPr="00F03B3D">
        <w:rPr>
          <w:rStyle w:val="cf01"/>
          <w:rFonts w:asciiTheme="minorHAnsi" w:hAnsiTheme="minorHAnsi" w:cstheme="minorHAnsi"/>
          <w:b/>
          <w:bCs/>
          <w:sz w:val="22"/>
          <w:szCs w:val="22"/>
        </w:rPr>
        <w:t>states, “</w:t>
      </w:r>
      <w:r w:rsidR="000B69B2" w:rsidRPr="00F03B3D">
        <w:rPr>
          <w:rFonts w:asciiTheme="minorHAnsi" w:hAnsiTheme="minorHAnsi" w:cstheme="minorHAnsi"/>
          <w:b/>
          <w:bCs/>
          <w:sz w:val="22"/>
          <w:szCs w:val="22"/>
        </w:rPr>
        <w:t>The Department of Public Health (“Department”) approved the construction of a new building with 482 replacement beds but did not approve the request for an incremental 94-bed increase, requiring the entire construction project to be based on the closure and relocation of 482 existing beds at the Hospital (“Approved Project”).</w:t>
      </w:r>
      <w:r w:rsidR="00AE0BB9" w:rsidRPr="00F03B3D">
        <w:rPr>
          <w:rFonts w:asciiTheme="minorHAnsi" w:hAnsiTheme="minorHAnsi" w:cstheme="minorHAnsi"/>
          <w:b/>
          <w:bCs/>
          <w:sz w:val="22"/>
          <w:szCs w:val="22"/>
        </w:rPr>
        <w:t>”</w:t>
      </w:r>
      <w:r w:rsidR="000B69B2" w:rsidRPr="00F03B3D">
        <w:rPr>
          <w:rFonts w:asciiTheme="minorHAnsi" w:hAnsiTheme="minorHAnsi" w:cstheme="minorHAnsi"/>
          <w:b/>
          <w:bCs/>
          <w:sz w:val="22"/>
          <w:szCs w:val="22"/>
        </w:rPr>
        <w:t xml:space="preserve"> Review of the </w:t>
      </w:r>
      <w:r w:rsidR="00557976" w:rsidRPr="00F03B3D">
        <w:rPr>
          <w:rFonts w:asciiTheme="minorHAnsi" w:hAnsiTheme="minorHAnsi" w:cstheme="minorHAnsi"/>
          <w:b/>
          <w:bCs/>
          <w:sz w:val="22"/>
          <w:szCs w:val="22"/>
        </w:rPr>
        <w:t xml:space="preserve">Staff Report for the original DoN </w:t>
      </w:r>
      <w:r w:rsidR="003A5564" w:rsidRPr="00F03B3D">
        <w:rPr>
          <w:rFonts w:asciiTheme="minorHAnsi" w:hAnsiTheme="minorHAnsi" w:cstheme="minorHAnsi"/>
          <w:b/>
          <w:bCs/>
          <w:sz w:val="22"/>
          <w:szCs w:val="22"/>
        </w:rPr>
        <w:t>(p 3</w:t>
      </w:r>
      <w:r w:rsidR="001101AB" w:rsidRPr="00F03B3D">
        <w:rPr>
          <w:rFonts w:asciiTheme="minorHAnsi" w:hAnsiTheme="minorHAnsi" w:cstheme="minorHAnsi"/>
          <w:b/>
          <w:bCs/>
          <w:sz w:val="22"/>
          <w:szCs w:val="22"/>
        </w:rPr>
        <w:t>7</w:t>
      </w:r>
      <w:r w:rsidR="003A5564" w:rsidRPr="00F03B3D">
        <w:rPr>
          <w:rFonts w:asciiTheme="minorHAnsi" w:hAnsiTheme="minorHAnsi" w:cstheme="minorHAnsi"/>
          <w:b/>
          <w:bCs/>
          <w:sz w:val="22"/>
          <w:szCs w:val="22"/>
        </w:rPr>
        <w:t xml:space="preserve">) </w:t>
      </w:r>
      <w:r w:rsidR="00557976" w:rsidRPr="00F03B3D">
        <w:rPr>
          <w:rFonts w:asciiTheme="minorHAnsi" w:hAnsiTheme="minorHAnsi" w:cstheme="minorHAnsi"/>
          <w:b/>
          <w:bCs/>
          <w:sz w:val="22"/>
          <w:szCs w:val="22"/>
        </w:rPr>
        <w:t xml:space="preserve">as well as the </w:t>
      </w:r>
      <w:r w:rsidR="003A5564" w:rsidRPr="00F03B3D">
        <w:rPr>
          <w:rFonts w:asciiTheme="minorHAnsi" w:hAnsiTheme="minorHAnsi" w:cstheme="minorHAnsi"/>
          <w:b/>
          <w:bCs/>
          <w:sz w:val="22"/>
          <w:szCs w:val="22"/>
        </w:rPr>
        <w:t>Notice of Final Action</w:t>
      </w:r>
      <w:r w:rsidR="00E144CC" w:rsidRPr="00F03B3D">
        <w:rPr>
          <w:rFonts w:asciiTheme="minorHAnsi" w:hAnsiTheme="minorHAnsi" w:cstheme="minorHAnsi"/>
          <w:b/>
          <w:bCs/>
          <w:sz w:val="22"/>
          <w:szCs w:val="22"/>
        </w:rPr>
        <w:t xml:space="preserve"> for the original DoN states that </w:t>
      </w:r>
      <w:r w:rsidR="00714B62" w:rsidRPr="00F03B3D">
        <w:rPr>
          <w:rFonts w:asciiTheme="minorHAnsi" w:hAnsiTheme="minorHAnsi" w:cstheme="minorHAnsi"/>
          <w:b/>
          <w:bCs/>
          <w:sz w:val="22"/>
          <w:szCs w:val="22"/>
        </w:rPr>
        <w:t xml:space="preserve">only </w:t>
      </w:r>
      <w:r w:rsidR="00BC6CF1" w:rsidRPr="00F03B3D">
        <w:rPr>
          <w:rFonts w:asciiTheme="minorHAnsi" w:hAnsiTheme="minorHAnsi" w:cstheme="minorHAnsi"/>
          <w:b/>
          <w:bCs/>
          <w:sz w:val="22"/>
          <w:szCs w:val="22"/>
        </w:rPr>
        <w:t>388 beds were approved</w:t>
      </w:r>
      <w:r w:rsidR="00543F0C" w:rsidRPr="00F03B3D">
        <w:rPr>
          <w:rFonts w:asciiTheme="minorHAnsi" w:hAnsiTheme="minorHAnsi" w:cstheme="minorHAnsi"/>
          <w:b/>
          <w:bCs/>
          <w:sz w:val="22"/>
          <w:szCs w:val="22"/>
        </w:rPr>
        <w:t xml:space="preserve"> and would be transferred from other locations. </w:t>
      </w:r>
      <w:r w:rsidR="00BA76C0" w:rsidRPr="00F03B3D">
        <w:rPr>
          <w:rFonts w:asciiTheme="minorHAnsi" w:hAnsiTheme="minorHAnsi" w:cstheme="minorHAnsi"/>
          <w:b/>
          <w:bCs/>
          <w:sz w:val="22"/>
          <w:szCs w:val="22"/>
        </w:rPr>
        <w:t>P</w:t>
      </w:r>
      <w:r w:rsidR="00907842" w:rsidRPr="00F03B3D">
        <w:rPr>
          <w:rFonts w:asciiTheme="minorHAnsi" w:hAnsiTheme="minorHAnsi" w:cstheme="minorHAnsi"/>
          <w:b/>
          <w:bCs/>
          <w:sz w:val="22"/>
          <w:szCs w:val="22"/>
        </w:rPr>
        <w:t xml:space="preserve">lease </w:t>
      </w:r>
      <w:r w:rsidR="00980BED" w:rsidRPr="00F03B3D">
        <w:rPr>
          <w:rFonts w:asciiTheme="minorHAnsi" w:hAnsiTheme="minorHAnsi" w:cstheme="minorHAnsi"/>
          <w:b/>
          <w:bCs/>
          <w:sz w:val="22"/>
          <w:szCs w:val="22"/>
        </w:rPr>
        <w:t>provide details on</w:t>
      </w:r>
      <w:r w:rsidR="00907842" w:rsidRPr="00F03B3D">
        <w:rPr>
          <w:rFonts w:asciiTheme="minorHAnsi" w:hAnsiTheme="minorHAnsi" w:cstheme="minorHAnsi"/>
          <w:b/>
          <w:bCs/>
          <w:sz w:val="22"/>
          <w:szCs w:val="22"/>
        </w:rPr>
        <w:t xml:space="preserve"> w</w:t>
      </w:r>
      <w:r w:rsidR="00CC17CB" w:rsidRPr="00F03B3D">
        <w:rPr>
          <w:rFonts w:asciiTheme="minorHAnsi" w:hAnsiTheme="minorHAnsi" w:cstheme="minorHAnsi"/>
          <w:b/>
          <w:bCs/>
          <w:sz w:val="22"/>
          <w:szCs w:val="22"/>
        </w:rPr>
        <w:t xml:space="preserve">hether this </w:t>
      </w:r>
      <w:r w:rsidR="00980BED" w:rsidRPr="00F03B3D">
        <w:rPr>
          <w:rFonts w:asciiTheme="minorHAnsi" w:hAnsiTheme="minorHAnsi" w:cstheme="minorHAnsi"/>
          <w:b/>
          <w:bCs/>
          <w:sz w:val="22"/>
          <w:szCs w:val="22"/>
        </w:rPr>
        <w:t xml:space="preserve">correction </w:t>
      </w:r>
      <w:r w:rsidR="00CC17CB" w:rsidRPr="00F03B3D">
        <w:rPr>
          <w:rFonts w:asciiTheme="minorHAnsi" w:hAnsiTheme="minorHAnsi" w:cstheme="minorHAnsi"/>
          <w:b/>
          <w:bCs/>
          <w:sz w:val="22"/>
          <w:szCs w:val="22"/>
        </w:rPr>
        <w:t>change</w:t>
      </w:r>
      <w:r w:rsidR="00BA76C0" w:rsidRPr="00F03B3D">
        <w:rPr>
          <w:rFonts w:asciiTheme="minorHAnsi" w:hAnsiTheme="minorHAnsi" w:cstheme="minorHAnsi"/>
          <w:b/>
          <w:bCs/>
          <w:sz w:val="22"/>
          <w:szCs w:val="22"/>
        </w:rPr>
        <w:t>s</w:t>
      </w:r>
      <w:r w:rsidR="00CC17CB" w:rsidRPr="00F03B3D">
        <w:rPr>
          <w:rFonts w:asciiTheme="minorHAnsi" w:hAnsiTheme="minorHAnsi" w:cstheme="minorHAnsi"/>
          <w:b/>
          <w:bCs/>
          <w:sz w:val="22"/>
          <w:szCs w:val="22"/>
        </w:rPr>
        <w:t xml:space="preserve"> the presentation of </w:t>
      </w:r>
      <w:r w:rsidR="009D3AB6" w:rsidRPr="00F03B3D">
        <w:rPr>
          <w:rFonts w:asciiTheme="minorHAnsi" w:hAnsiTheme="minorHAnsi" w:cstheme="minorHAnsi"/>
          <w:b/>
          <w:bCs/>
          <w:sz w:val="22"/>
          <w:szCs w:val="22"/>
        </w:rPr>
        <w:t xml:space="preserve">any </w:t>
      </w:r>
      <w:r w:rsidR="00A5157A" w:rsidRPr="00F03B3D">
        <w:rPr>
          <w:rFonts w:asciiTheme="minorHAnsi" w:hAnsiTheme="minorHAnsi" w:cstheme="minorHAnsi"/>
          <w:b/>
          <w:bCs/>
          <w:sz w:val="22"/>
          <w:szCs w:val="22"/>
        </w:rPr>
        <w:t>points made</w:t>
      </w:r>
      <w:r w:rsidR="00B77CBD" w:rsidRPr="00F03B3D">
        <w:rPr>
          <w:rFonts w:asciiTheme="minorHAnsi" w:hAnsiTheme="minorHAnsi" w:cstheme="minorHAnsi"/>
          <w:b/>
          <w:bCs/>
          <w:sz w:val="22"/>
          <w:szCs w:val="22"/>
        </w:rPr>
        <w:t xml:space="preserve"> in the Narrative</w:t>
      </w:r>
      <w:r w:rsidR="000A5495" w:rsidRPr="00F03B3D">
        <w:rPr>
          <w:rFonts w:asciiTheme="minorHAnsi" w:hAnsiTheme="minorHAnsi" w:cstheme="minorHAnsi"/>
          <w:b/>
          <w:bCs/>
          <w:sz w:val="22"/>
          <w:szCs w:val="22"/>
        </w:rPr>
        <w:t>.</w:t>
      </w:r>
    </w:p>
    <w:p w14:paraId="6EDAB9C6" w14:textId="52C57E14" w:rsidR="00590FA9" w:rsidRPr="00A573AA" w:rsidRDefault="00783AEC" w:rsidP="00A573AA">
      <w:pPr>
        <w:pStyle w:val="pf0"/>
        <w:spacing w:before="120" w:beforeAutospacing="0" w:after="120" w:afterAutospacing="0"/>
        <w:ind w:left="720"/>
        <w:jc w:val="both"/>
        <w:rPr>
          <w:rFonts w:asciiTheme="minorHAnsi" w:hAnsiTheme="minorHAnsi" w:cstheme="minorHAnsi"/>
          <w:sz w:val="22"/>
          <w:szCs w:val="22"/>
        </w:rPr>
      </w:pPr>
      <w:r w:rsidRPr="00A573AA">
        <w:rPr>
          <w:rFonts w:asciiTheme="minorHAnsi" w:hAnsiTheme="minorHAnsi" w:cstheme="minorHAnsi"/>
          <w:sz w:val="22"/>
          <w:szCs w:val="22"/>
        </w:rPr>
        <w:t xml:space="preserve">Based on written </w:t>
      </w:r>
      <w:r w:rsidR="00F03B3D">
        <w:rPr>
          <w:rFonts w:asciiTheme="minorHAnsi" w:hAnsiTheme="minorHAnsi" w:cstheme="minorHAnsi"/>
          <w:sz w:val="22"/>
          <w:szCs w:val="22"/>
        </w:rPr>
        <w:t>confirmation from</w:t>
      </w:r>
      <w:r w:rsidRPr="00BF728C">
        <w:rPr>
          <w:rFonts w:asciiTheme="minorHAnsi" w:hAnsiTheme="minorHAnsi" w:cstheme="minorHAnsi"/>
          <w:sz w:val="22"/>
          <w:szCs w:val="22"/>
        </w:rPr>
        <w:t xml:space="preserve"> Department at the time the DoN was approved, the Hospital is permitted to build 482 beds in the new building</w:t>
      </w:r>
      <w:r w:rsidR="00F03B3D">
        <w:rPr>
          <w:rFonts w:asciiTheme="minorHAnsi" w:hAnsiTheme="minorHAnsi" w:cstheme="minorHAnsi"/>
          <w:sz w:val="22"/>
          <w:szCs w:val="22"/>
        </w:rPr>
        <w:t xml:space="preserve"> by relocating 482 beds from existing buildings</w:t>
      </w:r>
      <w:r w:rsidR="00BF728C">
        <w:rPr>
          <w:rFonts w:asciiTheme="minorHAnsi" w:hAnsiTheme="minorHAnsi" w:cstheme="minorHAnsi"/>
          <w:sz w:val="22"/>
          <w:szCs w:val="22"/>
        </w:rPr>
        <w:t>.</w:t>
      </w:r>
      <w:r w:rsidR="00F03B3D">
        <w:rPr>
          <w:rFonts w:asciiTheme="minorHAnsi" w:hAnsiTheme="minorHAnsi" w:cstheme="minorHAnsi"/>
          <w:sz w:val="22"/>
          <w:szCs w:val="22"/>
        </w:rPr>
        <w:t xml:space="preserve"> The 482 beds in existing buildings will close. As a result, the Hospital will not increase its licensed adult medica/surgical bed count consistent with the DoN approval. </w:t>
      </w:r>
      <w:r w:rsidR="00F03B3D" w:rsidRPr="00F03B3D" w:rsidDel="00F03B3D">
        <w:rPr>
          <w:rFonts w:asciiTheme="minorHAnsi" w:hAnsiTheme="minorHAnsi" w:cstheme="minorHAnsi"/>
          <w:sz w:val="22"/>
          <w:szCs w:val="22"/>
        </w:rPr>
        <w:t xml:space="preserve"> </w:t>
      </w:r>
    </w:p>
    <w:p w14:paraId="742B716D" w14:textId="22728227" w:rsidR="00DA633B" w:rsidRPr="00F03B3D" w:rsidRDefault="007E1E88" w:rsidP="00A573AA">
      <w:pPr>
        <w:pStyle w:val="pf0"/>
        <w:numPr>
          <w:ilvl w:val="0"/>
          <w:numId w:val="41"/>
        </w:numPr>
        <w:spacing w:before="120" w:beforeAutospacing="0" w:after="120" w:afterAutospacing="0"/>
        <w:jc w:val="both"/>
        <w:rPr>
          <w:rFonts w:asciiTheme="minorHAnsi" w:hAnsiTheme="minorHAnsi" w:cstheme="minorHAnsi"/>
          <w:b/>
          <w:bCs/>
          <w:sz w:val="22"/>
          <w:szCs w:val="22"/>
        </w:rPr>
      </w:pPr>
      <w:r w:rsidRPr="00A573AA">
        <w:rPr>
          <w:rStyle w:val="cf01"/>
          <w:rFonts w:asciiTheme="minorHAnsi" w:hAnsiTheme="minorHAnsi" w:cstheme="minorHAnsi"/>
          <w:b/>
          <w:bCs/>
          <w:sz w:val="22"/>
          <w:szCs w:val="22"/>
        </w:rPr>
        <w:t xml:space="preserve">Page 1 of </w:t>
      </w:r>
      <w:r w:rsidRPr="00F03B3D">
        <w:rPr>
          <w:rStyle w:val="cf01"/>
          <w:rFonts w:asciiTheme="minorHAnsi" w:hAnsiTheme="minorHAnsi" w:cstheme="minorHAnsi"/>
          <w:b/>
          <w:bCs/>
          <w:sz w:val="22"/>
          <w:szCs w:val="22"/>
        </w:rPr>
        <w:t>the Narrative states, “</w:t>
      </w:r>
      <w:r w:rsidRPr="00F03B3D">
        <w:rPr>
          <w:rFonts w:asciiTheme="minorHAnsi" w:hAnsiTheme="minorHAnsi" w:cstheme="minorHAnsi"/>
          <w:b/>
          <w:bCs/>
          <w:sz w:val="22"/>
          <w:szCs w:val="22"/>
        </w:rPr>
        <w:t xml:space="preserve">The Hospital now requests approval to use 94 inpatient beds in existing rooms when the new building opens, resulting in a net increase of 94 licensed beds (“Proposed Change”) for the patients who are currently being cared for at MGH…” Please </w:t>
      </w:r>
      <w:r w:rsidR="000B1AD5" w:rsidRPr="00F03B3D">
        <w:rPr>
          <w:rFonts w:asciiTheme="minorHAnsi" w:hAnsiTheme="minorHAnsi" w:cstheme="minorHAnsi"/>
          <w:b/>
          <w:bCs/>
          <w:sz w:val="22"/>
          <w:szCs w:val="22"/>
        </w:rPr>
        <w:t>answer the following:</w:t>
      </w:r>
      <w:r w:rsidR="009D4034" w:rsidRPr="00F03B3D">
        <w:rPr>
          <w:rFonts w:asciiTheme="minorHAnsi" w:hAnsiTheme="minorHAnsi" w:cstheme="minorHAnsi"/>
          <w:b/>
          <w:bCs/>
          <w:sz w:val="22"/>
          <w:szCs w:val="22"/>
        </w:rPr>
        <w:t xml:space="preserve"> </w:t>
      </w:r>
    </w:p>
    <w:p w14:paraId="13BC6BFF" w14:textId="31A482F8" w:rsidR="00D65EDC" w:rsidRPr="001F78D3" w:rsidRDefault="00D81AD1" w:rsidP="00A573AA">
      <w:pPr>
        <w:pStyle w:val="pf0"/>
        <w:numPr>
          <w:ilvl w:val="1"/>
          <w:numId w:val="41"/>
        </w:numPr>
        <w:spacing w:before="120" w:beforeAutospacing="0" w:after="120" w:afterAutospacing="0"/>
        <w:jc w:val="both"/>
        <w:rPr>
          <w:rFonts w:asciiTheme="minorHAnsi" w:hAnsiTheme="minorHAnsi" w:cstheme="minorHAnsi"/>
          <w:b/>
          <w:bCs/>
          <w:sz w:val="22"/>
          <w:szCs w:val="22"/>
        </w:rPr>
      </w:pPr>
      <w:r w:rsidRPr="001F78D3">
        <w:rPr>
          <w:rFonts w:asciiTheme="minorHAnsi" w:hAnsiTheme="minorHAnsi" w:cstheme="minorHAnsi"/>
          <w:b/>
          <w:bCs/>
          <w:sz w:val="22"/>
          <w:szCs w:val="22"/>
        </w:rPr>
        <w:t xml:space="preserve">Please provide a breakdown of the </w:t>
      </w:r>
      <w:r w:rsidR="00B7113C" w:rsidRPr="001F78D3">
        <w:rPr>
          <w:rFonts w:asciiTheme="minorHAnsi" w:hAnsiTheme="minorHAnsi" w:cstheme="minorHAnsi"/>
          <w:b/>
          <w:bCs/>
          <w:sz w:val="22"/>
          <w:szCs w:val="22"/>
        </w:rPr>
        <w:t xml:space="preserve">number of single bedded and </w:t>
      </w:r>
      <w:r w:rsidR="00C079EF" w:rsidRPr="001F78D3">
        <w:rPr>
          <w:rFonts w:asciiTheme="minorHAnsi" w:hAnsiTheme="minorHAnsi" w:cstheme="minorHAnsi"/>
          <w:b/>
          <w:bCs/>
          <w:sz w:val="22"/>
          <w:szCs w:val="22"/>
        </w:rPr>
        <w:t>double-bedded</w:t>
      </w:r>
      <w:r w:rsidR="00B7113C" w:rsidRPr="001F78D3">
        <w:rPr>
          <w:rFonts w:asciiTheme="minorHAnsi" w:hAnsiTheme="minorHAnsi" w:cstheme="minorHAnsi"/>
          <w:b/>
          <w:bCs/>
          <w:sz w:val="22"/>
          <w:szCs w:val="22"/>
        </w:rPr>
        <w:t xml:space="preserve"> rooms</w:t>
      </w:r>
      <w:r w:rsidR="00EA1894" w:rsidRPr="001F78D3">
        <w:rPr>
          <w:rFonts w:asciiTheme="minorHAnsi" w:hAnsiTheme="minorHAnsi" w:cstheme="minorHAnsi"/>
          <w:b/>
          <w:bCs/>
          <w:sz w:val="22"/>
          <w:szCs w:val="22"/>
        </w:rPr>
        <w:t xml:space="preserve"> that</w:t>
      </w:r>
      <w:r w:rsidR="00B7113C" w:rsidRPr="001F78D3">
        <w:rPr>
          <w:rFonts w:asciiTheme="minorHAnsi" w:hAnsiTheme="minorHAnsi" w:cstheme="minorHAnsi"/>
          <w:b/>
          <w:bCs/>
          <w:sz w:val="22"/>
          <w:szCs w:val="22"/>
        </w:rPr>
        <w:t xml:space="preserve"> would comprise the </w:t>
      </w:r>
      <w:r w:rsidR="000B1AD5" w:rsidRPr="001F78D3">
        <w:rPr>
          <w:rFonts w:asciiTheme="minorHAnsi" w:hAnsiTheme="minorHAnsi" w:cstheme="minorHAnsi"/>
          <w:b/>
          <w:bCs/>
          <w:sz w:val="22"/>
          <w:szCs w:val="22"/>
        </w:rPr>
        <w:t>94 licensed beds</w:t>
      </w:r>
      <w:r w:rsidR="00CD1D46" w:rsidRPr="001F78D3">
        <w:rPr>
          <w:rFonts w:asciiTheme="minorHAnsi" w:hAnsiTheme="minorHAnsi" w:cstheme="minorHAnsi"/>
          <w:b/>
          <w:bCs/>
          <w:sz w:val="22"/>
          <w:szCs w:val="22"/>
        </w:rPr>
        <w:t xml:space="preserve"> referenced </w:t>
      </w:r>
      <w:r w:rsidR="00201A31" w:rsidRPr="001F78D3">
        <w:rPr>
          <w:rFonts w:asciiTheme="minorHAnsi" w:hAnsiTheme="minorHAnsi" w:cstheme="minorHAnsi"/>
          <w:b/>
          <w:bCs/>
          <w:sz w:val="22"/>
          <w:szCs w:val="22"/>
        </w:rPr>
        <w:t>as</w:t>
      </w:r>
      <w:r w:rsidR="00CD1D46" w:rsidRPr="001F78D3">
        <w:rPr>
          <w:rFonts w:asciiTheme="minorHAnsi" w:hAnsiTheme="minorHAnsi" w:cstheme="minorHAnsi"/>
          <w:b/>
          <w:bCs/>
          <w:sz w:val="22"/>
          <w:szCs w:val="22"/>
        </w:rPr>
        <w:t xml:space="preserve"> </w:t>
      </w:r>
      <w:r w:rsidR="00201A31" w:rsidRPr="001F78D3">
        <w:rPr>
          <w:rFonts w:asciiTheme="minorHAnsi" w:hAnsiTheme="minorHAnsi" w:cstheme="minorHAnsi"/>
          <w:b/>
          <w:bCs/>
          <w:sz w:val="22"/>
          <w:szCs w:val="22"/>
        </w:rPr>
        <w:t>“</w:t>
      </w:r>
      <w:r w:rsidR="00CD1D46" w:rsidRPr="001F78D3">
        <w:rPr>
          <w:rFonts w:asciiTheme="minorHAnsi" w:hAnsiTheme="minorHAnsi" w:cstheme="minorHAnsi"/>
          <w:b/>
          <w:bCs/>
          <w:sz w:val="22"/>
          <w:szCs w:val="22"/>
        </w:rPr>
        <w:t>existing rooms</w:t>
      </w:r>
      <w:r w:rsidR="00201A31" w:rsidRPr="001F78D3">
        <w:rPr>
          <w:rFonts w:asciiTheme="minorHAnsi" w:hAnsiTheme="minorHAnsi" w:cstheme="minorHAnsi"/>
          <w:b/>
          <w:bCs/>
          <w:sz w:val="22"/>
          <w:szCs w:val="22"/>
        </w:rPr>
        <w:t>”</w:t>
      </w:r>
      <w:r w:rsidR="00CD1D46" w:rsidRPr="001F78D3">
        <w:rPr>
          <w:rFonts w:asciiTheme="minorHAnsi" w:hAnsiTheme="minorHAnsi" w:cstheme="minorHAnsi"/>
          <w:b/>
          <w:bCs/>
          <w:sz w:val="22"/>
          <w:szCs w:val="22"/>
        </w:rPr>
        <w:t>?</w:t>
      </w:r>
    </w:p>
    <w:p w14:paraId="7C17FC19" w14:textId="204E1A89" w:rsidR="00241F2C" w:rsidRPr="00F03B3D" w:rsidRDefault="007F3973" w:rsidP="00A573AA">
      <w:pPr>
        <w:pStyle w:val="pf0"/>
        <w:spacing w:before="120" w:beforeAutospacing="0" w:after="120" w:afterAutospacing="0"/>
        <w:ind w:left="1440"/>
        <w:jc w:val="both"/>
        <w:rPr>
          <w:rFonts w:asciiTheme="minorHAnsi" w:hAnsiTheme="minorHAnsi" w:cstheme="minorHAnsi"/>
          <w:sz w:val="22"/>
          <w:szCs w:val="22"/>
        </w:rPr>
      </w:pPr>
      <w:r w:rsidRPr="001F78D3">
        <w:rPr>
          <w:rFonts w:asciiTheme="minorHAnsi" w:hAnsiTheme="minorHAnsi" w:cstheme="minorHAnsi"/>
          <w:sz w:val="22"/>
          <w:szCs w:val="22"/>
        </w:rPr>
        <w:t>MGH will construct 482 single bedded rooms in the new building. If 94 requested beds are approved,</w:t>
      </w:r>
      <w:r w:rsidR="001F78D3" w:rsidRPr="001F78D3">
        <w:rPr>
          <w:rFonts w:asciiTheme="minorHAnsi" w:hAnsiTheme="minorHAnsi" w:cstheme="minorHAnsi"/>
          <w:sz w:val="22"/>
          <w:szCs w:val="22"/>
        </w:rPr>
        <w:t xml:space="preserve"> MGH will</w:t>
      </w:r>
      <w:r w:rsidRPr="001F78D3">
        <w:rPr>
          <w:rFonts w:asciiTheme="minorHAnsi" w:hAnsiTheme="minorHAnsi" w:cstheme="minorHAnsi"/>
          <w:sz w:val="22"/>
          <w:szCs w:val="22"/>
        </w:rPr>
        <w:t xml:space="preserve"> close 277 </w:t>
      </w:r>
      <w:r w:rsidR="001F78D3" w:rsidRPr="001F78D3">
        <w:rPr>
          <w:rFonts w:asciiTheme="minorHAnsi" w:hAnsiTheme="minorHAnsi" w:cstheme="minorHAnsi"/>
          <w:sz w:val="22"/>
          <w:szCs w:val="22"/>
        </w:rPr>
        <w:t xml:space="preserve">beds in existing facilities </w:t>
      </w:r>
      <w:r w:rsidRPr="001F78D3">
        <w:rPr>
          <w:rFonts w:asciiTheme="minorHAnsi" w:hAnsiTheme="minorHAnsi" w:cstheme="minorHAnsi"/>
          <w:sz w:val="22"/>
          <w:szCs w:val="22"/>
        </w:rPr>
        <w:t xml:space="preserve">and convert 111 </w:t>
      </w:r>
      <w:r w:rsidR="001F78D3" w:rsidRPr="001F78D3">
        <w:rPr>
          <w:rFonts w:asciiTheme="minorHAnsi" w:hAnsiTheme="minorHAnsi" w:cstheme="minorHAnsi"/>
          <w:sz w:val="22"/>
          <w:szCs w:val="22"/>
        </w:rPr>
        <w:t xml:space="preserve">existing </w:t>
      </w:r>
      <w:r w:rsidRPr="001F78D3">
        <w:rPr>
          <w:rFonts w:asciiTheme="minorHAnsi" w:hAnsiTheme="minorHAnsi" w:cstheme="minorHAnsi"/>
          <w:sz w:val="22"/>
          <w:szCs w:val="22"/>
        </w:rPr>
        <w:t xml:space="preserve">doubles into singles </w:t>
      </w:r>
      <w:r w:rsidR="001F78D3" w:rsidRPr="001F78D3">
        <w:rPr>
          <w:rFonts w:asciiTheme="minorHAnsi" w:hAnsiTheme="minorHAnsi" w:cstheme="minorHAnsi"/>
          <w:sz w:val="22"/>
          <w:szCs w:val="22"/>
        </w:rPr>
        <w:t xml:space="preserve">in existing rooms </w:t>
      </w:r>
      <w:r w:rsidRPr="001F78D3">
        <w:rPr>
          <w:rFonts w:asciiTheme="minorHAnsi" w:hAnsiTheme="minorHAnsi" w:cstheme="minorHAnsi"/>
          <w:sz w:val="22"/>
          <w:szCs w:val="22"/>
        </w:rPr>
        <w:t>(388 beds).</w:t>
      </w:r>
      <w:r>
        <w:rPr>
          <w:rFonts w:asciiTheme="minorHAnsi" w:hAnsiTheme="minorHAnsi" w:cstheme="minorHAnsi"/>
          <w:sz w:val="22"/>
          <w:szCs w:val="22"/>
        </w:rPr>
        <w:t xml:space="preserve"> </w:t>
      </w:r>
    </w:p>
    <w:p w14:paraId="735F1191" w14:textId="11D08756" w:rsidR="00783AEC" w:rsidRPr="00A573AA" w:rsidRDefault="005F0A3C" w:rsidP="00A573AA">
      <w:pPr>
        <w:pStyle w:val="pf0"/>
        <w:numPr>
          <w:ilvl w:val="1"/>
          <w:numId w:val="41"/>
        </w:numPr>
        <w:spacing w:before="120" w:beforeAutospacing="0" w:after="120" w:afterAutospacing="0"/>
        <w:jc w:val="both"/>
        <w:rPr>
          <w:rStyle w:val="cf01"/>
          <w:rFonts w:asciiTheme="minorHAnsi" w:hAnsiTheme="minorHAnsi" w:cstheme="minorHAnsi"/>
          <w:b/>
          <w:bCs/>
          <w:sz w:val="22"/>
          <w:szCs w:val="22"/>
        </w:rPr>
      </w:pPr>
      <w:r w:rsidRPr="00F03B3D">
        <w:rPr>
          <w:rStyle w:val="cf01"/>
          <w:rFonts w:asciiTheme="minorHAnsi" w:hAnsiTheme="minorHAnsi" w:cstheme="minorHAnsi"/>
          <w:b/>
          <w:bCs/>
          <w:sz w:val="22"/>
          <w:szCs w:val="22"/>
        </w:rPr>
        <w:t xml:space="preserve">Would </w:t>
      </w:r>
      <w:r w:rsidR="001059C1" w:rsidRPr="00F03B3D">
        <w:rPr>
          <w:rStyle w:val="cf01"/>
          <w:rFonts w:asciiTheme="minorHAnsi" w:hAnsiTheme="minorHAnsi" w:cstheme="minorHAnsi"/>
          <w:b/>
          <w:bCs/>
          <w:sz w:val="22"/>
          <w:szCs w:val="22"/>
        </w:rPr>
        <w:t xml:space="preserve">all 94 beds be for </w:t>
      </w:r>
      <w:r w:rsidR="007B12C9" w:rsidRPr="00F03B3D">
        <w:rPr>
          <w:rStyle w:val="cf01"/>
          <w:rFonts w:asciiTheme="minorHAnsi" w:hAnsiTheme="minorHAnsi" w:cstheme="minorHAnsi"/>
          <w:b/>
          <w:bCs/>
          <w:sz w:val="22"/>
          <w:szCs w:val="22"/>
        </w:rPr>
        <w:t xml:space="preserve">general </w:t>
      </w:r>
      <w:r w:rsidR="0008681F" w:rsidRPr="00F03B3D">
        <w:rPr>
          <w:rStyle w:val="cf01"/>
          <w:rFonts w:asciiTheme="minorHAnsi" w:hAnsiTheme="minorHAnsi" w:cstheme="minorHAnsi"/>
          <w:b/>
          <w:bCs/>
          <w:sz w:val="22"/>
          <w:szCs w:val="22"/>
        </w:rPr>
        <w:t>M/S</w:t>
      </w:r>
      <w:r w:rsidR="001059C1" w:rsidRPr="00F03B3D">
        <w:rPr>
          <w:rStyle w:val="cf01"/>
          <w:rFonts w:asciiTheme="minorHAnsi" w:hAnsiTheme="minorHAnsi" w:cstheme="minorHAnsi"/>
          <w:b/>
          <w:bCs/>
          <w:sz w:val="22"/>
          <w:szCs w:val="22"/>
        </w:rPr>
        <w:t xml:space="preserve"> </w:t>
      </w:r>
      <w:proofErr w:type="gramStart"/>
      <w:r w:rsidR="001059C1" w:rsidRPr="00F03B3D">
        <w:rPr>
          <w:rStyle w:val="cf01"/>
          <w:rFonts w:asciiTheme="minorHAnsi" w:hAnsiTheme="minorHAnsi" w:cstheme="minorHAnsi"/>
          <w:b/>
          <w:bCs/>
          <w:sz w:val="22"/>
          <w:szCs w:val="22"/>
        </w:rPr>
        <w:t>use</w:t>
      </w:r>
      <w:proofErr w:type="gramEnd"/>
      <w:r w:rsidR="001059C1" w:rsidRPr="00F03B3D">
        <w:rPr>
          <w:rStyle w:val="cf01"/>
          <w:rFonts w:asciiTheme="minorHAnsi" w:hAnsiTheme="minorHAnsi" w:cstheme="minorHAnsi"/>
          <w:b/>
          <w:bCs/>
          <w:sz w:val="22"/>
          <w:szCs w:val="22"/>
        </w:rPr>
        <w:t xml:space="preserve"> or </w:t>
      </w:r>
      <w:r w:rsidR="002068C9" w:rsidRPr="00F03B3D">
        <w:rPr>
          <w:rStyle w:val="cf01"/>
          <w:rFonts w:asciiTheme="minorHAnsi" w:hAnsiTheme="minorHAnsi" w:cstheme="minorHAnsi"/>
          <w:b/>
          <w:bCs/>
          <w:sz w:val="22"/>
          <w:szCs w:val="22"/>
        </w:rPr>
        <w:t>would the total beds be</w:t>
      </w:r>
      <w:r w:rsidR="00EF5821" w:rsidRPr="00F03B3D">
        <w:rPr>
          <w:rStyle w:val="cf01"/>
          <w:rFonts w:asciiTheme="minorHAnsi" w:hAnsiTheme="minorHAnsi" w:cstheme="minorHAnsi"/>
          <w:b/>
          <w:bCs/>
          <w:sz w:val="22"/>
          <w:szCs w:val="22"/>
        </w:rPr>
        <w:t xml:space="preserve"> divided between </w:t>
      </w:r>
      <w:r w:rsidR="008B7B80" w:rsidRPr="00F03B3D">
        <w:rPr>
          <w:rStyle w:val="cf01"/>
          <w:rFonts w:asciiTheme="minorHAnsi" w:hAnsiTheme="minorHAnsi" w:cstheme="minorHAnsi"/>
          <w:b/>
          <w:bCs/>
          <w:sz w:val="22"/>
          <w:szCs w:val="22"/>
        </w:rPr>
        <w:t xml:space="preserve">other </w:t>
      </w:r>
      <w:r w:rsidR="007B12C9" w:rsidRPr="00F03B3D">
        <w:rPr>
          <w:rStyle w:val="cf01"/>
          <w:rFonts w:asciiTheme="minorHAnsi" w:hAnsiTheme="minorHAnsi" w:cstheme="minorHAnsi"/>
          <w:b/>
          <w:bCs/>
          <w:sz w:val="22"/>
          <w:szCs w:val="22"/>
        </w:rPr>
        <w:t xml:space="preserve">specialized use beds (ICU, Cardiology, Oncology, </w:t>
      </w:r>
      <w:r w:rsidR="00BF5696" w:rsidRPr="00F03B3D">
        <w:rPr>
          <w:rStyle w:val="cf01"/>
          <w:rFonts w:asciiTheme="minorHAnsi" w:hAnsiTheme="minorHAnsi" w:cstheme="minorHAnsi"/>
          <w:b/>
          <w:bCs/>
          <w:sz w:val="22"/>
          <w:szCs w:val="22"/>
        </w:rPr>
        <w:t>etc.</w:t>
      </w:r>
      <w:r w:rsidR="007B12C9" w:rsidRPr="00F03B3D">
        <w:rPr>
          <w:rStyle w:val="cf01"/>
          <w:rFonts w:asciiTheme="minorHAnsi" w:hAnsiTheme="minorHAnsi" w:cstheme="minorHAnsi"/>
          <w:b/>
          <w:bCs/>
          <w:sz w:val="22"/>
          <w:szCs w:val="22"/>
        </w:rPr>
        <w:t>)</w:t>
      </w:r>
      <w:r w:rsidR="00732878" w:rsidRPr="00F03B3D">
        <w:rPr>
          <w:rStyle w:val="cf01"/>
          <w:rFonts w:asciiTheme="minorHAnsi" w:hAnsiTheme="minorHAnsi" w:cstheme="minorHAnsi"/>
          <w:b/>
          <w:bCs/>
          <w:sz w:val="22"/>
          <w:szCs w:val="22"/>
        </w:rPr>
        <w:t>? If the beds would be divided by specialty, please provide a breakdown of how many beds per specialty.</w:t>
      </w:r>
      <w:r w:rsidR="00D65EDC" w:rsidRPr="00F03B3D">
        <w:rPr>
          <w:rStyle w:val="cf01"/>
          <w:rFonts w:asciiTheme="minorHAnsi" w:hAnsiTheme="minorHAnsi" w:cstheme="minorHAnsi"/>
          <w:b/>
          <w:bCs/>
          <w:sz w:val="22"/>
          <w:szCs w:val="22"/>
        </w:rPr>
        <w:t xml:space="preserve"> </w:t>
      </w:r>
    </w:p>
    <w:p w14:paraId="3DA762D6" w14:textId="67CDFE46" w:rsidR="00D65EDC" w:rsidRPr="00A573AA" w:rsidRDefault="00DA633B" w:rsidP="00A573AA">
      <w:pPr>
        <w:pStyle w:val="pf0"/>
        <w:spacing w:before="120" w:beforeAutospacing="0" w:after="120" w:afterAutospacing="0"/>
        <w:ind w:left="1440"/>
        <w:jc w:val="both"/>
        <w:rPr>
          <w:rStyle w:val="cf01"/>
          <w:rFonts w:asciiTheme="minorHAnsi" w:hAnsiTheme="minorHAnsi" w:cstheme="minorHAnsi"/>
          <w:sz w:val="22"/>
          <w:szCs w:val="22"/>
        </w:rPr>
      </w:pPr>
      <w:r w:rsidRPr="00A573AA">
        <w:rPr>
          <w:rStyle w:val="cf01"/>
          <w:rFonts w:asciiTheme="minorHAnsi" w:hAnsiTheme="minorHAnsi" w:cstheme="minorHAnsi"/>
          <w:sz w:val="22"/>
          <w:szCs w:val="22"/>
        </w:rPr>
        <w:t xml:space="preserve">The </w:t>
      </w:r>
      <w:r w:rsidR="00D65EDC" w:rsidRPr="00A573AA">
        <w:rPr>
          <w:rStyle w:val="cf01"/>
          <w:rFonts w:asciiTheme="minorHAnsi" w:hAnsiTheme="minorHAnsi" w:cstheme="minorHAnsi"/>
          <w:sz w:val="22"/>
          <w:szCs w:val="22"/>
        </w:rPr>
        <w:t xml:space="preserve">94 </w:t>
      </w:r>
      <w:r w:rsidR="00783AEC" w:rsidRPr="00F03B3D">
        <w:rPr>
          <w:rStyle w:val="cf01"/>
          <w:rFonts w:asciiTheme="minorHAnsi" w:hAnsiTheme="minorHAnsi" w:cstheme="minorHAnsi"/>
          <w:sz w:val="22"/>
          <w:szCs w:val="22"/>
        </w:rPr>
        <w:t>beds</w:t>
      </w:r>
      <w:r w:rsidRPr="00F03B3D">
        <w:rPr>
          <w:rStyle w:val="cf01"/>
          <w:rFonts w:asciiTheme="minorHAnsi" w:hAnsiTheme="minorHAnsi" w:cstheme="minorHAnsi"/>
          <w:sz w:val="22"/>
          <w:szCs w:val="22"/>
        </w:rPr>
        <w:t xml:space="preserve"> </w:t>
      </w:r>
      <w:r w:rsidR="003261B4" w:rsidRPr="00A573AA">
        <w:rPr>
          <w:rStyle w:val="cf01"/>
          <w:rFonts w:asciiTheme="minorHAnsi" w:hAnsiTheme="minorHAnsi" w:cstheme="minorHAnsi"/>
          <w:sz w:val="22"/>
          <w:szCs w:val="22"/>
        </w:rPr>
        <w:t>would</w:t>
      </w:r>
      <w:r w:rsidRPr="00A573AA">
        <w:rPr>
          <w:rStyle w:val="cf01"/>
          <w:rFonts w:asciiTheme="minorHAnsi" w:hAnsiTheme="minorHAnsi" w:cstheme="minorHAnsi"/>
          <w:sz w:val="22"/>
          <w:szCs w:val="22"/>
        </w:rPr>
        <w:t xml:space="preserve"> </w:t>
      </w:r>
      <w:r w:rsidR="00F03B3D">
        <w:rPr>
          <w:rStyle w:val="cf01"/>
          <w:rFonts w:asciiTheme="minorHAnsi" w:hAnsiTheme="minorHAnsi" w:cstheme="minorHAnsi"/>
          <w:sz w:val="22"/>
          <w:szCs w:val="22"/>
        </w:rPr>
        <w:t>be comprised of 54 medical/surgical</w:t>
      </w:r>
      <w:r w:rsidRPr="00BF728C">
        <w:rPr>
          <w:rStyle w:val="cf01"/>
          <w:rFonts w:asciiTheme="minorHAnsi" w:hAnsiTheme="minorHAnsi" w:cstheme="minorHAnsi"/>
          <w:sz w:val="22"/>
          <w:szCs w:val="22"/>
        </w:rPr>
        <w:t xml:space="preserve"> </w:t>
      </w:r>
      <w:r w:rsidR="00F03B3D">
        <w:rPr>
          <w:rStyle w:val="cf01"/>
          <w:rFonts w:asciiTheme="minorHAnsi" w:hAnsiTheme="minorHAnsi" w:cstheme="minorHAnsi"/>
          <w:sz w:val="22"/>
          <w:szCs w:val="22"/>
        </w:rPr>
        <w:t xml:space="preserve">and 40 </w:t>
      </w:r>
      <w:r w:rsidR="00D65EDC" w:rsidRPr="00BF728C">
        <w:rPr>
          <w:rStyle w:val="cf01"/>
          <w:rFonts w:asciiTheme="minorHAnsi" w:hAnsiTheme="minorHAnsi" w:cstheme="minorHAnsi"/>
          <w:sz w:val="22"/>
          <w:szCs w:val="22"/>
        </w:rPr>
        <w:t xml:space="preserve">ICU </w:t>
      </w:r>
      <w:r w:rsidR="00F03B3D">
        <w:rPr>
          <w:rStyle w:val="cf01"/>
          <w:rFonts w:asciiTheme="minorHAnsi" w:hAnsiTheme="minorHAnsi" w:cstheme="minorHAnsi"/>
          <w:sz w:val="22"/>
          <w:szCs w:val="22"/>
        </w:rPr>
        <w:t>beds</w:t>
      </w:r>
      <w:r w:rsidR="00E33B25">
        <w:rPr>
          <w:rStyle w:val="cf01"/>
          <w:rFonts w:asciiTheme="minorHAnsi" w:hAnsiTheme="minorHAnsi" w:cstheme="minorHAnsi"/>
          <w:sz w:val="22"/>
          <w:szCs w:val="22"/>
        </w:rPr>
        <w:t xml:space="preserve">, consistent with how the Department categorizes licensed beds. The Department does not license medical/surgical or ICU beds for a specific specialty. </w:t>
      </w:r>
      <w:r w:rsidR="00F03B3D">
        <w:rPr>
          <w:rStyle w:val="cf01"/>
          <w:rFonts w:asciiTheme="minorHAnsi" w:hAnsiTheme="minorHAnsi" w:cstheme="minorHAnsi"/>
          <w:sz w:val="22"/>
          <w:szCs w:val="22"/>
        </w:rPr>
        <w:t>MGH does not have any plan to designate beds to a particular specialty.</w:t>
      </w:r>
    </w:p>
    <w:p w14:paraId="1C1929CB" w14:textId="7636060E" w:rsidR="00783AEC" w:rsidRPr="00A573AA" w:rsidRDefault="0034004E" w:rsidP="00A573AA">
      <w:pPr>
        <w:pStyle w:val="pf0"/>
        <w:numPr>
          <w:ilvl w:val="1"/>
          <w:numId w:val="41"/>
        </w:numPr>
        <w:spacing w:before="120" w:beforeAutospacing="0" w:after="120" w:afterAutospacing="0"/>
        <w:jc w:val="both"/>
        <w:rPr>
          <w:rStyle w:val="cf01"/>
          <w:rFonts w:asciiTheme="minorHAnsi" w:hAnsiTheme="minorHAnsi" w:cstheme="minorHAnsi"/>
          <w:b/>
          <w:bCs/>
          <w:sz w:val="22"/>
          <w:szCs w:val="22"/>
        </w:rPr>
      </w:pPr>
      <w:r w:rsidRPr="00A573AA">
        <w:rPr>
          <w:rStyle w:val="cf01"/>
          <w:rFonts w:asciiTheme="minorHAnsi" w:hAnsiTheme="minorHAnsi" w:cstheme="minorHAnsi"/>
          <w:b/>
          <w:bCs/>
          <w:sz w:val="22"/>
          <w:szCs w:val="22"/>
        </w:rPr>
        <w:lastRenderedPageBreak/>
        <w:t xml:space="preserve">Please provide details on the method used to determine that 94 beds </w:t>
      </w:r>
      <w:r w:rsidR="00C079EF" w:rsidRPr="00A573AA">
        <w:rPr>
          <w:rStyle w:val="cf01"/>
          <w:rFonts w:asciiTheme="minorHAnsi" w:hAnsiTheme="minorHAnsi" w:cstheme="minorHAnsi"/>
          <w:b/>
          <w:bCs/>
          <w:sz w:val="22"/>
          <w:szCs w:val="22"/>
        </w:rPr>
        <w:t>are</w:t>
      </w:r>
      <w:r w:rsidRPr="00A573AA">
        <w:rPr>
          <w:rStyle w:val="cf01"/>
          <w:rFonts w:asciiTheme="minorHAnsi" w:hAnsiTheme="minorHAnsi" w:cstheme="minorHAnsi"/>
          <w:b/>
          <w:bCs/>
          <w:sz w:val="22"/>
          <w:szCs w:val="22"/>
        </w:rPr>
        <w:t xml:space="preserve"> the necessary number of beds to mitigate the ED Overcrowding and occupancy issues referenced throughout the Narrative.</w:t>
      </w:r>
    </w:p>
    <w:p w14:paraId="5560EBA0" w14:textId="2EB4FB67" w:rsidR="00D65EDC" w:rsidRPr="00A573AA" w:rsidRDefault="00D65EDC" w:rsidP="00A573AA">
      <w:pPr>
        <w:pStyle w:val="pf0"/>
        <w:spacing w:before="120" w:beforeAutospacing="0" w:after="120" w:afterAutospacing="0"/>
        <w:ind w:left="1440"/>
        <w:jc w:val="both"/>
        <w:rPr>
          <w:rStyle w:val="cf01"/>
          <w:rFonts w:asciiTheme="minorHAnsi" w:hAnsiTheme="minorHAnsi" w:cstheme="minorHAnsi"/>
          <w:sz w:val="22"/>
          <w:szCs w:val="22"/>
        </w:rPr>
      </w:pPr>
      <w:r w:rsidRPr="00A573AA">
        <w:rPr>
          <w:rStyle w:val="cf01"/>
          <w:rFonts w:asciiTheme="minorHAnsi" w:hAnsiTheme="minorHAnsi" w:cstheme="minorHAnsi"/>
          <w:sz w:val="22"/>
          <w:szCs w:val="22"/>
        </w:rPr>
        <w:t xml:space="preserve">The </w:t>
      </w:r>
      <w:r w:rsidRPr="00CB6E3F">
        <w:rPr>
          <w:rStyle w:val="cf01"/>
          <w:rFonts w:asciiTheme="minorHAnsi" w:hAnsiTheme="minorHAnsi" w:cstheme="minorHAnsi"/>
          <w:sz w:val="22"/>
          <w:szCs w:val="22"/>
        </w:rPr>
        <w:t>94</w:t>
      </w:r>
      <w:r w:rsidR="00663964">
        <w:rPr>
          <w:rStyle w:val="cf01"/>
          <w:rFonts w:asciiTheme="minorHAnsi" w:hAnsiTheme="minorHAnsi" w:cstheme="minorHAnsi"/>
          <w:sz w:val="22"/>
          <w:szCs w:val="22"/>
        </w:rPr>
        <w:t xml:space="preserve"> beds </w:t>
      </w:r>
      <w:r w:rsidR="00783AEC" w:rsidRPr="00CB6E3F">
        <w:rPr>
          <w:rStyle w:val="cf01"/>
          <w:rFonts w:asciiTheme="minorHAnsi" w:hAnsiTheme="minorHAnsi" w:cstheme="minorHAnsi"/>
          <w:sz w:val="22"/>
          <w:szCs w:val="22"/>
        </w:rPr>
        <w:t xml:space="preserve">will allow </w:t>
      </w:r>
      <w:r w:rsidRPr="00245F1C">
        <w:rPr>
          <w:rStyle w:val="cf01"/>
          <w:rFonts w:asciiTheme="minorHAnsi" w:hAnsiTheme="minorHAnsi" w:cstheme="minorHAnsi"/>
          <w:sz w:val="22"/>
          <w:szCs w:val="22"/>
        </w:rPr>
        <w:t xml:space="preserve">MGH </w:t>
      </w:r>
      <w:r w:rsidR="00783AEC" w:rsidRPr="00CB6E3F">
        <w:rPr>
          <w:rStyle w:val="cf01"/>
          <w:rFonts w:asciiTheme="minorHAnsi" w:hAnsiTheme="minorHAnsi" w:cstheme="minorHAnsi"/>
          <w:sz w:val="22"/>
          <w:szCs w:val="22"/>
        </w:rPr>
        <w:t>to bring</w:t>
      </w:r>
      <w:r w:rsidR="00CB6E3F">
        <w:rPr>
          <w:rStyle w:val="cf01"/>
          <w:rFonts w:asciiTheme="minorHAnsi" w:hAnsiTheme="minorHAnsi" w:cstheme="minorHAnsi"/>
          <w:sz w:val="22"/>
          <w:szCs w:val="22"/>
        </w:rPr>
        <w:t xml:space="preserve"> its</w:t>
      </w:r>
      <w:r w:rsidR="00783AEC" w:rsidRPr="00245F1C">
        <w:rPr>
          <w:rStyle w:val="cf01"/>
          <w:rFonts w:asciiTheme="minorHAnsi" w:hAnsiTheme="minorHAnsi" w:cstheme="minorHAnsi"/>
          <w:sz w:val="22"/>
          <w:szCs w:val="22"/>
        </w:rPr>
        <w:t xml:space="preserve"> </w:t>
      </w:r>
      <w:r w:rsidR="00783AEC" w:rsidRPr="00CB6E3F">
        <w:rPr>
          <w:rStyle w:val="cf01"/>
          <w:rFonts w:asciiTheme="minorHAnsi" w:hAnsiTheme="minorHAnsi" w:cstheme="minorHAnsi"/>
          <w:sz w:val="22"/>
          <w:szCs w:val="22"/>
        </w:rPr>
        <w:t>occupancy</w:t>
      </w:r>
      <w:r w:rsidR="00CB6E3F">
        <w:rPr>
          <w:rStyle w:val="cf01"/>
          <w:rFonts w:asciiTheme="minorHAnsi" w:hAnsiTheme="minorHAnsi" w:cstheme="minorHAnsi"/>
          <w:sz w:val="22"/>
          <w:szCs w:val="22"/>
        </w:rPr>
        <w:t xml:space="preserve"> rate</w:t>
      </w:r>
      <w:r w:rsidR="00783AEC" w:rsidRPr="00245F1C">
        <w:rPr>
          <w:rStyle w:val="cf01"/>
          <w:rFonts w:asciiTheme="minorHAnsi" w:hAnsiTheme="minorHAnsi" w:cstheme="minorHAnsi"/>
          <w:sz w:val="22"/>
          <w:szCs w:val="22"/>
        </w:rPr>
        <w:t xml:space="preserve"> </w:t>
      </w:r>
      <w:r w:rsidR="00CB6E3F">
        <w:rPr>
          <w:rStyle w:val="cf01"/>
          <w:rFonts w:asciiTheme="minorHAnsi" w:hAnsiTheme="minorHAnsi" w:cstheme="minorHAnsi"/>
          <w:sz w:val="22"/>
          <w:szCs w:val="22"/>
        </w:rPr>
        <w:t>closer to the</w:t>
      </w:r>
      <w:r w:rsidRPr="00245F1C">
        <w:rPr>
          <w:rStyle w:val="cf01"/>
          <w:rFonts w:asciiTheme="minorHAnsi" w:hAnsiTheme="minorHAnsi" w:cstheme="minorHAnsi"/>
          <w:sz w:val="22"/>
          <w:szCs w:val="22"/>
        </w:rPr>
        <w:t xml:space="preserve"> industry standard </w:t>
      </w:r>
      <w:r w:rsidR="00587CA5" w:rsidRPr="00245F1C">
        <w:rPr>
          <w:rStyle w:val="cf01"/>
          <w:rFonts w:asciiTheme="minorHAnsi" w:hAnsiTheme="minorHAnsi" w:cstheme="minorHAnsi"/>
          <w:sz w:val="22"/>
          <w:szCs w:val="22"/>
        </w:rPr>
        <w:t xml:space="preserve">85% </w:t>
      </w:r>
      <w:r w:rsidRPr="00245F1C">
        <w:rPr>
          <w:rStyle w:val="cf01"/>
          <w:rFonts w:asciiTheme="minorHAnsi" w:hAnsiTheme="minorHAnsi" w:cstheme="minorHAnsi"/>
          <w:sz w:val="22"/>
          <w:szCs w:val="22"/>
        </w:rPr>
        <w:t xml:space="preserve">upon opening the new building. Using FY23 </w:t>
      </w:r>
      <w:r w:rsidR="00587CA5" w:rsidRPr="00245F1C">
        <w:rPr>
          <w:rStyle w:val="cf01"/>
          <w:rFonts w:asciiTheme="minorHAnsi" w:hAnsiTheme="minorHAnsi" w:cstheme="minorHAnsi"/>
          <w:sz w:val="22"/>
          <w:szCs w:val="22"/>
        </w:rPr>
        <w:t xml:space="preserve">actual </w:t>
      </w:r>
      <w:r w:rsidRPr="00245F1C">
        <w:rPr>
          <w:rStyle w:val="cf01"/>
          <w:rFonts w:asciiTheme="minorHAnsi" w:hAnsiTheme="minorHAnsi" w:cstheme="minorHAnsi"/>
          <w:sz w:val="22"/>
          <w:szCs w:val="22"/>
        </w:rPr>
        <w:t xml:space="preserve">data, the </w:t>
      </w:r>
      <w:r w:rsidR="00783AEC" w:rsidRPr="00245F1C">
        <w:rPr>
          <w:rStyle w:val="cf01"/>
          <w:rFonts w:asciiTheme="minorHAnsi" w:hAnsiTheme="minorHAnsi" w:cstheme="minorHAnsi"/>
          <w:sz w:val="22"/>
          <w:szCs w:val="22"/>
        </w:rPr>
        <w:t>H</w:t>
      </w:r>
      <w:r w:rsidRPr="00245F1C">
        <w:rPr>
          <w:rStyle w:val="cf01"/>
          <w:rFonts w:asciiTheme="minorHAnsi" w:hAnsiTheme="minorHAnsi" w:cstheme="minorHAnsi"/>
          <w:sz w:val="22"/>
          <w:szCs w:val="22"/>
        </w:rPr>
        <w:t>ospital’s occupancy rate would have been just below 85%</w:t>
      </w:r>
      <w:r w:rsidR="00CB6E3F">
        <w:rPr>
          <w:rStyle w:val="cf01"/>
          <w:rFonts w:asciiTheme="minorHAnsi" w:hAnsiTheme="minorHAnsi" w:cstheme="minorHAnsi"/>
          <w:sz w:val="22"/>
          <w:szCs w:val="22"/>
        </w:rPr>
        <w:t xml:space="preserve"> had the new building been open plus the 94 requested beds</w:t>
      </w:r>
      <w:r w:rsidR="0023769C">
        <w:rPr>
          <w:rStyle w:val="cf01"/>
          <w:rFonts w:asciiTheme="minorHAnsi" w:hAnsiTheme="minorHAnsi" w:cstheme="minorHAnsi"/>
          <w:sz w:val="22"/>
          <w:szCs w:val="22"/>
        </w:rPr>
        <w:t xml:space="preserve"> licensed</w:t>
      </w:r>
      <w:r w:rsidR="00783AEC" w:rsidRPr="00245F1C">
        <w:rPr>
          <w:rStyle w:val="cf01"/>
          <w:rFonts w:asciiTheme="minorHAnsi" w:hAnsiTheme="minorHAnsi" w:cstheme="minorHAnsi"/>
          <w:sz w:val="22"/>
          <w:szCs w:val="22"/>
        </w:rPr>
        <w:t>. T</w:t>
      </w:r>
      <w:r w:rsidR="00587CA5" w:rsidRPr="00245F1C">
        <w:rPr>
          <w:rStyle w:val="cf01"/>
          <w:rFonts w:asciiTheme="minorHAnsi" w:hAnsiTheme="minorHAnsi" w:cstheme="minorHAnsi"/>
          <w:sz w:val="22"/>
          <w:szCs w:val="22"/>
        </w:rPr>
        <w:t xml:space="preserve">his does not account for any potential growth or change in length of stay between now and when the </w:t>
      </w:r>
      <w:r w:rsidR="00CB6E3F">
        <w:rPr>
          <w:rStyle w:val="cf01"/>
          <w:rFonts w:asciiTheme="minorHAnsi" w:hAnsiTheme="minorHAnsi" w:cstheme="minorHAnsi"/>
          <w:sz w:val="22"/>
          <w:szCs w:val="22"/>
        </w:rPr>
        <w:t>new building will open</w:t>
      </w:r>
      <w:r w:rsidR="00587CA5" w:rsidRPr="00245F1C">
        <w:rPr>
          <w:rStyle w:val="cf01"/>
          <w:rFonts w:asciiTheme="minorHAnsi" w:hAnsiTheme="minorHAnsi" w:cstheme="minorHAnsi"/>
          <w:sz w:val="22"/>
          <w:szCs w:val="22"/>
        </w:rPr>
        <w:t xml:space="preserve"> (</w:t>
      </w:r>
      <w:r w:rsidR="00783AEC" w:rsidRPr="00245F1C">
        <w:rPr>
          <w:rStyle w:val="cf01"/>
          <w:rFonts w:asciiTheme="minorHAnsi" w:hAnsiTheme="minorHAnsi" w:cstheme="minorHAnsi"/>
          <w:sz w:val="22"/>
          <w:szCs w:val="22"/>
        </w:rPr>
        <w:t xml:space="preserve">estimated to be </w:t>
      </w:r>
      <w:r w:rsidR="00587CA5" w:rsidRPr="00245F1C">
        <w:rPr>
          <w:rStyle w:val="cf01"/>
          <w:rFonts w:asciiTheme="minorHAnsi" w:hAnsiTheme="minorHAnsi" w:cstheme="minorHAnsi"/>
          <w:sz w:val="22"/>
          <w:szCs w:val="22"/>
        </w:rPr>
        <w:t>late 2027)</w:t>
      </w:r>
      <w:r w:rsidRPr="00245F1C">
        <w:rPr>
          <w:rStyle w:val="cf01"/>
          <w:rFonts w:asciiTheme="minorHAnsi" w:hAnsiTheme="minorHAnsi" w:cstheme="minorHAnsi"/>
          <w:sz w:val="22"/>
          <w:szCs w:val="22"/>
        </w:rPr>
        <w:t xml:space="preserve">. </w:t>
      </w:r>
      <w:r w:rsidR="000B7E8B" w:rsidRPr="00245F1C">
        <w:rPr>
          <w:rStyle w:val="cf01"/>
          <w:rFonts w:asciiTheme="minorHAnsi" w:hAnsiTheme="minorHAnsi" w:cstheme="minorHAnsi"/>
          <w:sz w:val="22"/>
          <w:szCs w:val="22"/>
        </w:rPr>
        <w:t xml:space="preserve">MGH </w:t>
      </w:r>
      <w:r w:rsidR="00587CA5" w:rsidRPr="00245F1C">
        <w:rPr>
          <w:rStyle w:val="cf01"/>
          <w:rFonts w:asciiTheme="minorHAnsi" w:hAnsiTheme="minorHAnsi" w:cstheme="minorHAnsi"/>
          <w:sz w:val="22"/>
          <w:szCs w:val="22"/>
        </w:rPr>
        <w:t>included modest projections of</w:t>
      </w:r>
      <w:r w:rsidRPr="00245F1C">
        <w:rPr>
          <w:rStyle w:val="cf01"/>
          <w:rFonts w:asciiTheme="minorHAnsi" w:hAnsiTheme="minorHAnsi" w:cstheme="minorHAnsi"/>
          <w:sz w:val="22"/>
          <w:szCs w:val="22"/>
        </w:rPr>
        <w:t xml:space="preserve"> future demand</w:t>
      </w:r>
      <w:r w:rsidR="00587CA5" w:rsidRPr="00245F1C">
        <w:rPr>
          <w:rStyle w:val="cf01"/>
          <w:rFonts w:asciiTheme="minorHAnsi" w:hAnsiTheme="minorHAnsi" w:cstheme="minorHAnsi"/>
          <w:sz w:val="22"/>
          <w:szCs w:val="22"/>
        </w:rPr>
        <w:t xml:space="preserve"> in the amendment which support</w:t>
      </w:r>
      <w:r w:rsidR="00140EA7" w:rsidRPr="00245F1C">
        <w:rPr>
          <w:rStyle w:val="cf01"/>
          <w:rFonts w:asciiTheme="minorHAnsi" w:hAnsiTheme="minorHAnsi" w:cstheme="minorHAnsi"/>
          <w:sz w:val="22"/>
          <w:szCs w:val="22"/>
        </w:rPr>
        <w:t>s</w:t>
      </w:r>
      <w:r w:rsidR="00587CA5" w:rsidRPr="00245F1C">
        <w:rPr>
          <w:rStyle w:val="cf01"/>
          <w:rFonts w:asciiTheme="minorHAnsi" w:hAnsiTheme="minorHAnsi" w:cstheme="minorHAnsi"/>
          <w:sz w:val="22"/>
          <w:szCs w:val="22"/>
        </w:rPr>
        <w:t xml:space="preserve"> the need </w:t>
      </w:r>
      <w:r w:rsidR="00CB6E3F">
        <w:rPr>
          <w:rStyle w:val="cf01"/>
          <w:rFonts w:asciiTheme="minorHAnsi" w:hAnsiTheme="minorHAnsi" w:cstheme="minorHAnsi"/>
          <w:sz w:val="22"/>
          <w:szCs w:val="22"/>
        </w:rPr>
        <w:t>for 94 beds.</w:t>
      </w:r>
      <w:r w:rsidRPr="00245F1C">
        <w:rPr>
          <w:rStyle w:val="cf01"/>
          <w:rFonts w:asciiTheme="minorHAnsi" w:hAnsiTheme="minorHAnsi" w:cstheme="minorHAnsi"/>
          <w:sz w:val="22"/>
          <w:szCs w:val="22"/>
        </w:rPr>
        <w:t xml:space="preserve"> </w:t>
      </w:r>
    </w:p>
    <w:p w14:paraId="45D0C662" w14:textId="341A38D1" w:rsidR="00E6768A" w:rsidRPr="00A573AA" w:rsidRDefault="00461706" w:rsidP="00A573AA">
      <w:pPr>
        <w:pStyle w:val="pf0"/>
        <w:numPr>
          <w:ilvl w:val="1"/>
          <w:numId w:val="41"/>
        </w:numPr>
        <w:spacing w:before="120" w:beforeAutospacing="0" w:after="120" w:afterAutospacing="0"/>
        <w:jc w:val="both"/>
        <w:rPr>
          <w:rFonts w:asciiTheme="minorHAnsi" w:hAnsiTheme="minorHAnsi" w:cstheme="minorHAnsi"/>
          <w:b/>
          <w:bCs/>
          <w:sz w:val="22"/>
          <w:szCs w:val="22"/>
        </w:rPr>
      </w:pPr>
      <w:r w:rsidRPr="00A573AA">
        <w:rPr>
          <w:rStyle w:val="cf01"/>
          <w:rFonts w:asciiTheme="minorHAnsi" w:hAnsiTheme="minorHAnsi" w:cstheme="minorHAnsi"/>
          <w:b/>
          <w:bCs/>
          <w:sz w:val="22"/>
          <w:szCs w:val="22"/>
        </w:rPr>
        <w:t xml:space="preserve">Please fill out the table below </w:t>
      </w:r>
      <w:r w:rsidR="00DE5787" w:rsidRPr="00A573AA">
        <w:rPr>
          <w:rStyle w:val="cf01"/>
          <w:rFonts w:asciiTheme="minorHAnsi" w:hAnsiTheme="minorHAnsi" w:cstheme="minorHAnsi"/>
          <w:b/>
          <w:bCs/>
          <w:sz w:val="22"/>
          <w:szCs w:val="22"/>
        </w:rPr>
        <w:t xml:space="preserve">to better illustrate the </w:t>
      </w:r>
      <w:r w:rsidR="00FA5FDB" w:rsidRPr="00A573AA">
        <w:rPr>
          <w:rStyle w:val="cf01"/>
          <w:rFonts w:asciiTheme="minorHAnsi" w:hAnsiTheme="minorHAnsi" w:cstheme="minorHAnsi"/>
          <w:b/>
          <w:bCs/>
          <w:sz w:val="22"/>
          <w:szCs w:val="22"/>
        </w:rPr>
        <w:t>distribution of licensed beds if the Proposed Amendment were approved</w:t>
      </w:r>
      <w:r w:rsidR="00734362" w:rsidRPr="00A573AA">
        <w:rPr>
          <w:rStyle w:val="cf01"/>
          <w:rFonts w:asciiTheme="minorHAnsi" w:hAnsiTheme="minorHAnsi" w:cstheme="minorHAnsi"/>
          <w:b/>
          <w:bCs/>
          <w:sz w:val="22"/>
          <w:szCs w:val="22"/>
        </w:rPr>
        <w:t>:</w:t>
      </w:r>
    </w:p>
    <w:tbl>
      <w:tblPr>
        <w:tblStyle w:val="TableGrid"/>
        <w:tblW w:w="10067" w:type="dxa"/>
        <w:jc w:val="center"/>
        <w:tblLook w:val="04A0" w:firstRow="1" w:lastRow="0" w:firstColumn="1" w:lastColumn="0" w:noHBand="0" w:noVBand="1"/>
      </w:tblPr>
      <w:tblGrid>
        <w:gridCol w:w="3685"/>
        <w:gridCol w:w="3060"/>
        <w:gridCol w:w="2008"/>
        <w:gridCol w:w="1314"/>
      </w:tblGrid>
      <w:tr w:rsidR="00783AEC" w14:paraId="2A38E006" w14:textId="5D496500" w:rsidTr="00693FC0">
        <w:trPr>
          <w:cantSplit/>
          <w:tblHeader/>
          <w:jc w:val="center"/>
        </w:trPr>
        <w:tc>
          <w:tcPr>
            <w:tcW w:w="3685" w:type="dxa"/>
            <w:shd w:val="clear" w:color="auto" w:fill="D9E2F3" w:themeFill="accent1" w:themeFillTint="33"/>
          </w:tcPr>
          <w:p w14:paraId="13124862" w14:textId="77777777" w:rsidR="007A5463" w:rsidRPr="00E33B25" w:rsidRDefault="007A5463" w:rsidP="00A573AA">
            <w:pPr>
              <w:pStyle w:val="pf0"/>
              <w:spacing w:before="120" w:beforeAutospacing="0" w:after="120" w:afterAutospacing="0"/>
              <w:rPr>
                <w:rStyle w:val="cf01"/>
                <w:rFonts w:asciiTheme="minorHAnsi" w:hAnsiTheme="minorHAnsi" w:cstheme="minorHAnsi"/>
                <w:b/>
                <w:bCs/>
                <w:sz w:val="20"/>
                <w:szCs w:val="20"/>
              </w:rPr>
            </w:pPr>
          </w:p>
        </w:tc>
        <w:tc>
          <w:tcPr>
            <w:tcW w:w="3060" w:type="dxa"/>
            <w:shd w:val="clear" w:color="auto" w:fill="D9E2F3" w:themeFill="accent1" w:themeFillTint="33"/>
          </w:tcPr>
          <w:p w14:paraId="3F6FA1A2" w14:textId="2ABEB563" w:rsidR="007A5463" w:rsidRPr="00E33B25" w:rsidRDefault="007A5463" w:rsidP="00A573AA">
            <w:pPr>
              <w:pStyle w:val="pf0"/>
              <w:spacing w:before="120" w:beforeAutospacing="0" w:after="120" w:afterAutospacing="0"/>
              <w:jc w:val="center"/>
              <w:rPr>
                <w:rStyle w:val="cf01"/>
                <w:rFonts w:asciiTheme="minorHAnsi" w:hAnsiTheme="minorHAnsi" w:cstheme="minorHAnsi"/>
                <w:b/>
                <w:bCs/>
                <w:sz w:val="20"/>
                <w:szCs w:val="20"/>
              </w:rPr>
            </w:pPr>
            <w:r w:rsidRPr="00E33B25">
              <w:rPr>
                <w:rStyle w:val="cf01"/>
                <w:rFonts w:asciiTheme="minorHAnsi" w:hAnsiTheme="minorHAnsi" w:cstheme="minorHAnsi"/>
                <w:b/>
                <w:bCs/>
                <w:sz w:val="20"/>
                <w:szCs w:val="20"/>
              </w:rPr>
              <w:t xml:space="preserve">Currently Approved under the Original DoN (Based on data from page 6 of  original </w:t>
            </w:r>
            <w:hyperlink r:id="rId12" w:history="1">
              <w:r w:rsidRPr="00E33B25">
                <w:rPr>
                  <w:rStyle w:val="Hyperlink"/>
                  <w:rFonts w:asciiTheme="minorHAnsi" w:hAnsiTheme="minorHAnsi" w:cstheme="minorHAnsi"/>
                  <w:b/>
                  <w:bCs/>
                  <w:sz w:val="20"/>
                  <w:szCs w:val="20"/>
                </w:rPr>
                <w:t>Staff Report</w:t>
              </w:r>
            </w:hyperlink>
            <w:r w:rsidRPr="00E33B25">
              <w:rPr>
                <w:rStyle w:val="cf01"/>
                <w:rFonts w:asciiTheme="minorHAnsi" w:hAnsiTheme="minorHAnsi" w:cstheme="minorHAnsi"/>
                <w:b/>
                <w:bCs/>
                <w:sz w:val="20"/>
                <w:szCs w:val="20"/>
              </w:rPr>
              <w:t>)</w:t>
            </w:r>
          </w:p>
        </w:tc>
        <w:tc>
          <w:tcPr>
            <w:tcW w:w="2008" w:type="dxa"/>
            <w:shd w:val="clear" w:color="auto" w:fill="D9E2F3" w:themeFill="accent1" w:themeFillTint="33"/>
          </w:tcPr>
          <w:p w14:paraId="38988903" w14:textId="2142F77A" w:rsidR="007A5463" w:rsidRPr="00E33B25" w:rsidRDefault="007A5463" w:rsidP="00A573AA">
            <w:pPr>
              <w:pStyle w:val="pf0"/>
              <w:spacing w:before="120" w:beforeAutospacing="0" w:after="120" w:afterAutospacing="0"/>
              <w:jc w:val="center"/>
              <w:rPr>
                <w:rStyle w:val="cf01"/>
                <w:rFonts w:asciiTheme="minorHAnsi" w:hAnsiTheme="minorHAnsi" w:cstheme="minorHAnsi"/>
                <w:b/>
                <w:bCs/>
                <w:sz w:val="20"/>
                <w:szCs w:val="20"/>
              </w:rPr>
            </w:pPr>
            <w:r w:rsidRPr="00E33B25">
              <w:rPr>
                <w:rStyle w:val="cf01"/>
                <w:rFonts w:asciiTheme="minorHAnsi" w:hAnsiTheme="minorHAnsi" w:cstheme="minorHAnsi"/>
                <w:b/>
                <w:bCs/>
                <w:sz w:val="20"/>
                <w:szCs w:val="20"/>
              </w:rPr>
              <w:t>If Proposed Amendment is Approved</w:t>
            </w:r>
          </w:p>
        </w:tc>
        <w:tc>
          <w:tcPr>
            <w:tcW w:w="1314" w:type="dxa"/>
            <w:shd w:val="clear" w:color="auto" w:fill="D9E2F3" w:themeFill="accent1" w:themeFillTint="33"/>
          </w:tcPr>
          <w:p w14:paraId="63B49447" w14:textId="4E9BE05A" w:rsidR="007A5463" w:rsidRPr="00E33B25" w:rsidRDefault="007A5463" w:rsidP="00A573AA">
            <w:pPr>
              <w:pStyle w:val="pf0"/>
              <w:spacing w:before="120" w:beforeAutospacing="0" w:after="120" w:afterAutospacing="0"/>
              <w:jc w:val="center"/>
              <w:rPr>
                <w:rStyle w:val="cf01"/>
                <w:rFonts w:asciiTheme="minorHAnsi" w:hAnsiTheme="minorHAnsi" w:cstheme="minorHAnsi"/>
                <w:b/>
                <w:bCs/>
                <w:sz w:val="20"/>
                <w:szCs w:val="20"/>
              </w:rPr>
            </w:pPr>
            <w:r w:rsidRPr="00E33B25">
              <w:rPr>
                <w:rStyle w:val="cf01"/>
                <w:rFonts w:asciiTheme="minorHAnsi" w:hAnsiTheme="minorHAnsi" w:cstheme="minorHAnsi"/>
                <w:b/>
                <w:bCs/>
                <w:sz w:val="20"/>
                <w:szCs w:val="20"/>
              </w:rPr>
              <w:t>Change</w:t>
            </w:r>
          </w:p>
        </w:tc>
      </w:tr>
      <w:tr w:rsidR="00783AEC" w14:paraId="5BB84D26" w14:textId="21A95B7C" w:rsidTr="00693FC0">
        <w:trPr>
          <w:cantSplit/>
          <w:jc w:val="center"/>
        </w:trPr>
        <w:tc>
          <w:tcPr>
            <w:tcW w:w="3685" w:type="dxa"/>
            <w:shd w:val="clear" w:color="auto" w:fill="FFFFFF" w:themeFill="background1"/>
          </w:tcPr>
          <w:p w14:paraId="62F72018" w14:textId="3A4A6F4F" w:rsidR="007A5463" w:rsidRPr="00A573AA" w:rsidRDefault="007A5463" w:rsidP="00245F1C">
            <w:pPr>
              <w:pStyle w:val="pf0"/>
              <w:spacing w:before="120" w:beforeAutospacing="0" w:after="120" w:afterAutospacing="0"/>
              <w:rPr>
                <w:rStyle w:val="cf01"/>
                <w:rFonts w:asciiTheme="minorHAnsi" w:hAnsiTheme="minorHAnsi" w:cstheme="minorHAnsi"/>
                <w:sz w:val="20"/>
                <w:szCs w:val="20"/>
              </w:rPr>
            </w:pPr>
            <w:r w:rsidRPr="00A573AA">
              <w:rPr>
                <w:rStyle w:val="cf01"/>
                <w:rFonts w:asciiTheme="minorHAnsi" w:hAnsiTheme="minorHAnsi" w:cstheme="minorHAnsi"/>
                <w:b/>
                <w:bCs/>
                <w:sz w:val="20"/>
                <w:szCs w:val="20"/>
              </w:rPr>
              <w:t>Licensed Med/Surg</w:t>
            </w:r>
            <w:r w:rsidR="00CB6E3F">
              <w:rPr>
                <w:rStyle w:val="cf01"/>
                <w:rFonts w:asciiTheme="minorHAnsi" w:hAnsiTheme="minorHAnsi" w:cstheme="minorHAnsi"/>
                <w:b/>
                <w:bCs/>
                <w:sz w:val="20"/>
                <w:szCs w:val="20"/>
              </w:rPr>
              <w:t xml:space="preserve"> and </w:t>
            </w:r>
            <w:r w:rsidR="00E27C97">
              <w:rPr>
                <w:rStyle w:val="cf01"/>
                <w:rFonts w:asciiTheme="minorHAnsi" w:hAnsiTheme="minorHAnsi" w:cstheme="minorHAnsi"/>
                <w:b/>
                <w:bCs/>
                <w:sz w:val="20"/>
                <w:szCs w:val="20"/>
              </w:rPr>
              <w:t>ICU</w:t>
            </w:r>
            <w:r w:rsidRPr="00A573AA">
              <w:rPr>
                <w:rStyle w:val="cf01"/>
                <w:rFonts w:asciiTheme="minorHAnsi" w:hAnsiTheme="minorHAnsi" w:cstheme="minorHAnsi"/>
                <w:b/>
                <w:bCs/>
                <w:sz w:val="20"/>
                <w:szCs w:val="20"/>
              </w:rPr>
              <w:t xml:space="preserve"> Beds</w:t>
            </w:r>
            <w:r w:rsidR="00783AEC">
              <w:rPr>
                <w:rStyle w:val="cf01"/>
                <w:rFonts w:asciiTheme="minorHAnsi" w:hAnsiTheme="minorHAnsi" w:cstheme="minorHAnsi"/>
                <w:b/>
                <w:bCs/>
                <w:sz w:val="20"/>
                <w:szCs w:val="20"/>
              </w:rPr>
              <w:t>:</w:t>
            </w:r>
            <w:r w:rsidR="00783AEC">
              <w:rPr>
                <w:rStyle w:val="cf01"/>
                <w:rFonts w:cstheme="minorHAnsi"/>
                <w:b/>
                <w:bCs/>
                <w:sz w:val="20"/>
                <w:szCs w:val="20"/>
              </w:rPr>
              <w:t xml:space="preserve"> </w:t>
            </w:r>
            <w:r w:rsidRPr="00A573AA">
              <w:rPr>
                <w:rStyle w:val="cf01"/>
                <w:rFonts w:asciiTheme="minorHAnsi" w:hAnsiTheme="minorHAnsi" w:cstheme="minorHAnsi"/>
                <w:b/>
                <w:bCs/>
                <w:sz w:val="20"/>
                <w:szCs w:val="20"/>
              </w:rPr>
              <w:t>Tower Location</w:t>
            </w:r>
          </w:p>
        </w:tc>
        <w:tc>
          <w:tcPr>
            <w:tcW w:w="3060" w:type="dxa"/>
            <w:shd w:val="clear" w:color="auto" w:fill="FFFFFF" w:themeFill="background1"/>
          </w:tcPr>
          <w:p w14:paraId="3D97115C" w14:textId="5E6AAFD5" w:rsidR="007A5463" w:rsidRPr="00A573AA" w:rsidRDefault="007A5463" w:rsidP="00A573AA">
            <w:pPr>
              <w:pStyle w:val="pf0"/>
              <w:spacing w:before="120" w:beforeAutospacing="0" w:after="120" w:afterAutospacing="0"/>
              <w:jc w:val="center"/>
              <w:rPr>
                <w:rStyle w:val="cf01"/>
                <w:rFonts w:asciiTheme="minorHAnsi" w:hAnsiTheme="minorHAnsi" w:cstheme="minorHAnsi"/>
                <w:sz w:val="20"/>
                <w:szCs w:val="20"/>
              </w:rPr>
            </w:pPr>
            <w:r w:rsidRPr="00A573AA">
              <w:rPr>
                <w:rStyle w:val="cf01"/>
                <w:rFonts w:asciiTheme="minorHAnsi" w:hAnsiTheme="minorHAnsi" w:cstheme="minorHAnsi"/>
                <w:sz w:val="20"/>
                <w:szCs w:val="20"/>
              </w:rPr>
              <w:t>482</w:t>
            </w:r>
          </w:p>
        </w:tc>
        <w:tc>
          <w:tcPr>
            <w:tcW w:w="2008" w:type="dxa"/>
            <w:shd w:val="clear" w:color="auto" w:fill="FFFFFF" w:themeFill="background1"/>
          </w:tcPr>
          <w:p w14:paraId="6781CBB0" w14:textId="7EEABED7" w:rsidR="007A5463" w:rsidRPr="00A573AA" w:rsidRDefault="007A5463" w:rsidP="00A573AA">
            <w:pPr>
              <w:pStyle w:val="pf0"/>
              <w:spacing w:before="120" w:beforeAutospacing="0" w:after="120" w:afterAutospacing="0"/>
              <w:jc w:val="center"/>
              <w:rPr>
                <w:rStyle w:val="cf01"/>
                <w:rFonts w:asciiTheme="minorHAnsi" w:hAnsiTheme="minorHAnsi" w:cstheme="minorHAnsi"/>
                <w:sz w:val="20"/>
                <w:szCs w:val="20"/>
              </w:rPr>
            </w:pPr>
            <w:r w:rsidRPr="00A573AA">
              <w:rPr>
                <w:rStyle w:val="cf01"/>
                <w:rFonts w:asciiTheme="minorHAnsi" w:hAnsiTheme="minorHAnsi" w:cstheme="minorHAnsi"/>
                <w:sz w:val="20"/>
                <w:szCs w:val="20"/>
              </w:rPr>
              <w:t>482</w:t>
            </w:r>
          </w:p>
        </w:tc>
        <w:tc>
          <w:tcPr>
            <w:tcW w:w="1314" w:type="dxa"/>
            <w:shd w:val="clear" w:color="auto" w:fill="FFFFFF" w:themeFill="background1"/>
          </w:tcPr>
          <w:p w14:paraId="792768E7" w14:textId="41B0A718" w:rsidR="007A5463" w:rsidRPr="00A573AA" w:rsidRDefault="00783AEC" w:rsidP="00A573AA">
            <w:pPr>
              <w:pStyle w:val="pf0"/>
              <w:spacing w:before="120" w:beforeAutospacing="0" w:after="120" w:afterAutospacing="0"/>
              <w:jc w:val="center"/>
              <w:rPr>
                <w:rStyle w:val="cf01"/>
                <w:rFonts w:asciiTheme="minorHAnsi" w:hAnsiTheme="minorHAnsi" w:cstheme="minorHAnsi"/>
                <w:sz w:val="20"/>
                <w:szCs w:val="20"/>
              </w:rPr>
            </w:pPr>
            <w:r w:rsidRPr="00A573AA">
              <w:rPr>
                <w:rStyle w:val="cf01"/>
                <w:rFonts w:asciiTheme="minorHAnsi" w:hAnsiTheme="minorHAnsi" w:cstheme="minorHAnsi"/>
                <w:sz w:val="20"/>
                <w:szCs w:val="20"/>
              </w:rPr>
              <w:t>0</w:t>
            </w:r>
          </w:p>
        </w:tc>
      </w:tr>
      <w:tr w:rsidR="00783AEC" w14:paraId="609EBB97" w14:textId="77F06358" w:rsidTr="00693FC0">
        <w:trPr>
          <w:cantSplit/>
          <w:trHeight w:val="539"/>
          <w:jc w:val="center"/>
        </w:trPr>
        <w:tc>
          <w:tcPr>
            <w:tcW w:w="3685" w:type="dxa"/>
            <w:shd w:val="clear" w:color="auto" w:fill="FFFFFF" w:themeFill="background1"/>
          </w:tcPr>
          <w:p w14:paraId="4874888A" w14:textId="5FC35E8D" w:rsidR="007A5463" w:rsidRPr="00A573AA" w:rsidRDefault="007A5463" w:rsidP="00CB6E3F">
            <w:pPr>
              <w:pStyle w:val="pf0"/>
              <w:spacing w:before="120" w:beforeAutospacing="0" w:after="120" w:afterAutospacing="0"/>
              <w:rPr>
                <w:rStyle w:val="cf01"/>
                <w:rFonts w:asciiTheme="minorHAnsi" w:hAnsiTheme="minorHAnsi" w:cstheme="minorHAnsi"/>
                <w:sz w:val="20"/>
                <w:szCs w:val="20"/>
              </w:rPr>
            </w:pPr>
            <w:r w:rsidRPr="00A573AA">
              <w:rPr>
                <w:rStyle w:val="cf01"/>
                <w:rFonts w:asciiTheme="minorHAnsi" w:hAnsiTheme="minorHAnsi" w:cstheme="minorHAnsi"/>
                <w:b/>
                <w:bCs/>
                <w:sz w:val="20"/>
                <w:szCs w:val="20"/>
              </w:rPr>
              <w:t>Licensed Med/Surg</w:t>
            </w:r>
            <w:r w:rsidR="00CB6E3F">
              <w:rPr>
                <w:rStyle w:val="cf01"/>
                <w:rFonts w:asciiTheme="minorHAnsi" w:hAnsiTheme="minorHAnsi" w:cstheme="minorHAnsi"/>
                <w:b/>
                <w:bCs/>
                <w:sz w:val="20"/>
                <w:szCs w:val="20"/>
              </w:rPr>
              <w:t xml:space="preserve"> and </w:t>
            </w:r>
            <w:r w:rsidR="00E27C97">
              <w:rPr>
                <w:rStyle w:val="cf01"/>
                <w:rFonts w:asciiTheme="minorHAnsi" w:hAnsiTheme="minorHAnsi" w:cstheme="minorHAnsi"/>
                <w:b/>
                <w:bCs/>
                <w:sz w:val="20"/>
                <w:szCs w:val="20"/>
              </w:rPr>
              <w:t>ICU</w:t>
            </w:r>
            <w:r w:rsidR="00561074">
              <w:rPr>
                <w:rStyle w:val="FootnoteReference"/>
                <w:rFonts w:asciiTheme="minorHAnsi" w:hAnsiTheme="minorHAnsi" w:cstheme="minorHAnsi"/>
                <w:b/>
                <w:bCs/>
                <w:sz w:val="20"/>
                <w:szCs w:val="20"/>
              </w:rPr>
              <w:footnoteReference w:id="2"/>
            </w:r>
            <w:r w:rsidRPr="00A573AA">
              <w:rPr>
                <w:rStyle w:val="cf01"/>
                <w:rFonts w:asciiTheme="minorHAnsi" w:hAnsiTheme="minorHAnsi" w:cstheme="minorHAnsi"/>
                <w:b/>
                <w:bCs/>
                <w:sz w:val="20"/>
                <w:szCs w:val="20"/>
              </w:rPr>
              <w:t xml:space="preserve"> Beds</w:t>
            </w:r>
            <w:r w:rsidR="00783AEC">
              <w:rPr>
                <w:rStyle w:val="cf01"/>
                <w:rFonts w:asciiTheme="minorHAnsi" w:hAnsiTheme="minorHAnsi" w:cstheme="minorHAnsi"/>
                <w:b/>
                <w:bCs/>
                <w:sz w:val="20"/>
                <w:szCs w:val="20"/>
              </w:rPr>
              <w:t>:</w:t>
            </w:r>
            <w:r w:rsidR="00783AEC">
              <w:rPr>
                <w:rStyle w:val="cf01"/>
                <w:rFonts w:cstheme="minorHAnsi"/>
                <w:b/>
                <w:bCs/>
                <w:sz w:val="20"/>
                <w:szCs w:val="20"/>
              </w:rPr>
              <w:t xml:space="preserve"> </w:t>
            </w:r>
            <w:r w:rsidR="00783AEC" w:rsidRPr="00CB6E3F">
              <w:rPr>
                <w:rStyle w:val="cf01"/>
                <w:rFonts w:asciiTheme="minorHAnsi" w:hAnsiTheme="minorHAnsi" w:cstheme="minorHAnsi"/>
                <w:b/>
                <w:bCs/>
                <w:sz w:val="20"/>
                <w:szCs w:val="20"/>
              </w:rPr>
              <w:t xml:space="preserve">Other </w:t>
            </w:r>
            <w:r w:rsidRPr="00CB6E3F">
              <w:rPr>
                <w:rStyle w:val="cf01"/>
                <w:rFonts w:asciiTheme="minorHAnsi" w:hAnsiTheme="minorHAnsi" w:cstheme="minorHAnsi"/>
                <w:b/>
                <w:bCs/>
                <w:sz w:val="20"/>
                <w:szCs w:val="20"/>
              </w:rPr>
              <w:t>MGH Main C</w:t>
            </w:r>
            <w:r w:rsidRPr="00A573AA">
              <w:rPr>
                <w:rStyle w:val="cf01"/>
                <w:rFonts w:asciiTheme="minorHAnsi" w:hAnsiTheme="minorHAnsi" w:cstheme="minorHAnsi"/>
                <w:b/>
                <w:bCs/>
                <w:sz w:val="20"/>
                <w:szCs w:val="20"/>
              </w:rPr>
              <w:t>ampus Buildings</w:t>
            </w:r>
          </w:p>
        </w:tc>
        <w:tc>
          <w:tcPr>
            <w:tcW w:w="3060" w:type="dxa"/>
            <w:shd w:val="clear" w:color="auto" w:fill="FFFFFF" w:themeFill="background1"/>
          </w:tcPr>
          <w:p w14:paraId="39A6F8E4" w14:textId="2FC16813" w:rsidR="007A5463" w:rsidRPr="00A573AA" w:rsidRDefault="007A5463" w:rsidP="00A573AA">
            <w:pPr>
              <w:pStyle w:val="pf0"/>
              <w:spacing w:before="120" w:beforeAutospacing="0" w:after="120" w:afterAutospacing="0"/>
              <w:jc w:val="center"/>
              <w:rPr>
                <w:rStyle w:val="cf01"/>
                <w:rFonts w:asciiTheme="minorHAnsi" w:hAnsiTheme="minorHAnsi" w:cstheme="minorHAnsi"/>
                <w:sz w:val="20"/>
                <w:szCs w:val="20"/>
              </w:rPr>
            </w:pPr>
            <w:r w:rsidRPr="00A573AA">
              <w:rPr>
                <w:rStyle w:val="cf01"/>
                <w:rFonts w:asciiTheme="minorHAnsi" w:hAnsiTheme="minorHAnsi" w:cstheme="minorHAnsi"/>
                <w:sz w:val="20"/>
                <w:szCs w:val="20"/>
              </w:rPr>
              <w:t>418</w:t>
            </w:r>
          </w:p>
        </w:tc>
        <w:tc>
          <w:tcPr>
            <w:tcW w:w="2008" w:type="dxa"/>
            <w:shd w:val="clear" w:color="auto" w:fill="FFFFFF" w:themeFill="background1"/>
          </w:tcPr>
          <w:p w14:paraId="55A705BD" w14:textId="07034A11" w:rsidR="007A5463" w:rsidRPr="00A573AA" w:rsidRDefault="007A5463" w:rsidP="00A573AA">
            <w:pPr>
              <w:pStyle w:val="pf0"/>
              <w:spacing w:before="120" w:beforeAutospacing="0" w:after="120" w:afterAutospacing="0"/>
              <w:jc w:val="center"/>
              <w:rPr>
                <w:rStyle w:val="cf01"/>
                <w:rFonts w:asciiTheme="minorHAnsi" w:hAnsiTheme="minorHAnsi" w:cstheme="minorHAnsi"/>
                <w:sz w:val="20"/>
                <w:szCs w:val="20"/>
              </w:rPr>
            </w:pPr>
            <w:r w:rsidRPr="00A573AA">
              <w:rPr>
                <w:rStyle w:val="cf01"/>
                <w:rFonts w:asciiTheme="minorHAnsi" w:hAnsiTheme="minorHAnsi" w:cstheme="minorHAnsi"/>
                <w:sz w:val="20"/>
                <w:szCs w:val="20"/>
              </w:rPr>
              <w:t>512</w:t>
            </w:r>
          </w:p>
        </w:tc>
        <w:tc>
          <w:tcPr>
            <w:tcW w:w="1314" w:type="dxa"/>
            <w:shd w:val="clear" w:color="auto" w:fill="FFFFFF" w:themeFill="background1"/>
          </w:tcPr>
          <w:p w14:paraId="5C2029DE" w14:textId="3B71606C" w:rsidR="007A5463" w:rsidRPr="00A573AA" w:rsidRDefault="007A5463" w:rsidP="00A573AA">
            <w:pPr>
              <w:pStyle w:val="pf0"/>
              <w:spacing w:before="120" w:beforeAutospacing="0" w:after="120" w:afterAutospacing="0"/>
              <w:jc w:val="center"/>
              <w:rPr>
                <w:rStyle w:val="cf01"/>
                <w:rFonts w:asciiTheme="minorHAnsi" w:hAnsiTheme="minorHAnsi" w:cstheme="minorHAnsi"/>
                <w:sz w:val="20"/>
                <w:szCs w:val="20"/>
              </w:rPr>
            </w:pPr>
            <w:r w:rsidRPr="00A573AA">
              <w:rPr>
                <w:rStyle w:val="cf01"/>
                <w:rFonts w:asciiTheme="minorHAnsi" w:hAnsiTheme="minorHAnsi" w:cstheme="minorHAnsi"/>
                <w:sz w:val="20"/>
                <w:szCs w:val="20"/>
              </w:rPr>
              <w:t>+ 94</w:t>
            </w:r>
          </w:p>
        </w:tc>
      </w:tr>
      <w:tr w:rsidR="00783AEC" w14:paraId="3B2B0E9E" w14:textId="77777777" w:rsidTr="00693FC0">
        <w:trPr>
          <w:cantSplit/>
          <w:jc w:val="center"/>
        </w:trPr>
        <w:tc>
          <w:tcPr>
            <w:tcW w:w="3685" w:type="dxa"/>
            <w:shd w:val="clear" w:color="auto" w:fill="D9E2F3" w:themeFill="accent1" w:themeFillTint="33"/>
          </w:tcPr>
          <w:p w14:paraId="34DCDEE1" w14:textId="6EFED870" w:rsidR="00722D33" w:rsidRPr="00A573AA" w:rsidRDefault="00722D33" w:rsidP="00CB6E3F">
            <w:pPr>
              <w:pStyle w:val="pf0"/>
              <w:spacing w:before="120" w:beforeAutospacing="0" w:after="120" w:afterAutospacing="0"/>
              <w:jc w:val="right"/>
              <w:rPr>
                <w:rStyle w:val="cf01"/>
                <w:rFonts w:asciiTheme="minorHAnsi" w:hAnsiTheme="minorHAnsi" w:cstheme="minorHAnsi"/>
                <w:b/>
                <w:bCs/>
                <w:sz w:val="20"/>
                <w:szCs w:val="20"/>
              </w:rPr>
            </w:pPr>
            <w:r w:rsidRPr="00A573AA">
              <w:rPr>
                <w:rStyle w:val="cf01"/>
                <w:rFonts w:asciiTheme="minorHAnsi" w:hAnsiTheme="minorHAnsi" w:cstheme="minorHAnsi"/>
                <w:b/>
                <w:bCs/>
                <w:sz w:val="20"/>
                <w:szCs w:val="20"/>
              </w:rPr>
              <w:t xml:space="preserve">    Subtotal Med/Surg</w:t>
            </w:r>
            <w:r w:rsidR="00CB6E3F">
              <w:rPr>
                <w:rStyle w:val="cf01"/>
                <w:rFonts w:asciiTheme="minorHAnsi" w:hAnsiTheme="minorHAnsi" w:cstheme="minorHAnsi"/>
                <w:b/>
                <w:bCs/>
                <w:sz w:val="20"/>
                <w:szCs w:val="20"/>
              </w:rPr>
              <w:t xml:space="preserve"> and </w:t>
            </w:r>
            <w:r w:rsidR="00E27C97">
              <w:rPr>
                <w:rStyle w:val="cf01"/>
                <w:rFonts w:asciiTheme="minorHAnsi" w:hAnsiTheme="minorHAnsi" w:cstheme="minorHAnsi"/>
                <w:b/>
                <w:bCs/>
                <w:sz w:val="20"/>
                <w:szCs w:val="20"/>
              </w:rPr>
              <w:t>ICU</w:t>
            </w:r>
          </w:p>
        </w:tc>
        <w:tc>
          <w:tcPr>
            <w:tcW w:w="3060" w:type="dxa"/>
            <w:shd w:val="clear" w:color="auto" w:fill="D9E2F3" w:themeFill="accent1" w:themeFillTint="33"/>
          </w:tcPr>
          <w:p w14:paraId="185F2AB1" w14:textId="34C04289" w:rsidR="00722D33" w:rsidRPr="00A573AA" w:rsidRDefault="00722D33" w:rsidP="00A573AA">
            <w:pPr>
              <w:pStyle w:val="pf0"/>
              <w:spacing w:before="120" w:beforeAutospacing="0" w:after="120" w:afterAutospacing="0"/>
              <w:jc w:val="center"/>
              <w:rPr>
                <w:rStyle w:val="cf01"/>
                <w:rFonts w:asciiTheme="minorHAnsi" w:hAnsiTheme="minorHAnsi" w:cstheme="minorHAnsi"/>
                <w:b/>
                <w:bCs/>
                <w:sz w:val="20"/>
                <w:szCs w:val="20"/>
              </w:rPr>
            </w:pPr>
            <w:r w:rsidRPr="00A573AA">
              <w:rPr>
                <w:rStyle w:val="cf01"/>
                <w:rFonts w:asciiTheme="minorHAnsi" w:hAnsiTheme="minorHAnsi" w:cstheme="minorHAnsi"/>
                <w:b/>
                <w:bCs/>
                <w:sz w:val="20"/>
                <w:szCs w:val="20"/>
              </w:rPr>
              <w:t>900</w:t>
            </w:r>
          </w:p>
        </w:tc>
        <w:tc>
          <w:tcPr>
            <w:tcW w:w="2008" w:type="dxa"/>
            <w:shd w:val="clear" w:color="auto" w:fill="D9E2F3" w:themeFill="accent1" w:themeFillTint="33"/>
          </w:tcPr>
          <w:p w14:paraId="15F590AF" w14:textId="399885D9" w:rsidR="00722D33" w:rsidRPr="00A573AA" w:rsidRDefault="00722D33" w:rsidP="00A573AA">
            <w:pPr>
              <w:pStyle w:val="pf0"/>
              <w:spacing w:before="120" w:beforeAutospacing="0" w:after="120" w:afterAutospacing="0"/>
              <w:jc w:val="center"/>
              <w:rPr>
                <w:rStyle w:val="cf01"/>
                <w:rFonts w:asciiTheme="minorHAnsi" w:hAnsiTheme="minorHAnsi" w:cstheme="minorHAnsi"/>
                <w:b/>
                <w:bCs/>
                <w:sz w:val="20"/>
                <w:szCs w:val="20"/>
              </w:rPr>
            </w:pPr>
            <w:r w:rsidRPr="00A573AA">
              <w:rPr>
                <w:rStyle w:val="cf01"/>
                <w:rFonts w:asciiTheme="minorHAnsi" w:hAnsiTheme="minorHAnsi" w:cstheme="minorHAnsi"/>
                <w:b/>
                <w:bCs/>
                <w:sz w:val="20"/>
                <w:szCs w:val="20"/>
              </w:rPr>
              <w:t>994</w:t>
            </w:r>
          </w:p>
        </w:tc>
        <w:tc>
          <w:tcPr>
            <w:tcW w:w="1314" w:type="dxa"/>
            <w:shd w:val="clear" w:color="auto" w:fill="D9E2F3" w:themeFill="accent1" w:themeFillTint="33"/>
          </w:tcPr>
          <w:p w14:paraId="08BC4EE3" w14:textId="5E89DC9D" w:rsidR="00722D33" w:rsidRPr="00A573AA" w:rsidRDefault="00783AEC" w:rsidP="00A573AA">
            <w:pPr>
              <w:pStyle w:val="pf0"/>
              <w:spacing w:before="120" w:beforeAutospacing="0" w:after="120" w:afterAutospacing="0"/>
              <w:jc w:val="center"/>
              <w:rPr>
                <w:rStyle w:val="cf01"/>
                <w:rFonts w:asciiTheme="minorHAnsi" w:hAnsiTheme="minorHAnsi" w:cstheme="minorHAnsi"/>
                <w:b/>
                <w:bCs/>
                <w:sz w:val="20"/>
                <w:szCs w:val="20"/>
              </w:rPr>
            </w:pPr>
            <w:r w:rsidRPr="00783AEC">
              <w:rPr>
                <w:rStyle w:val="cf01"/>
                <w:rFonts w:asciiTheme="minorHAnsi" w:hAnsiTheme="minorHAnsi" w:cstheme="minorHAnsi"/>
                <w:b/>
                <w:bCs/>
                <w:sz w:val="20"/>
                <w:szCs w:val="20"/>
              </w:rPr>
              <w:t>+</w:t>
            </w:r>
            <w:r w:rsidRPr="00A573AA">
              <w:rPr>
                <w:rStyle w:val="cf01"/>
                <w:rFonts w:asciiTheme="minorHAnsi" w:hAnsiTheme="minorHAnsi" w:cstheme="minorHAnsi"/>
                <w:b/>
                <w:bCs/>
                <w:sz w:val="20"/>
                <w:szCs w:val="20"/>
              </w:rPr>
              <w:t>94</w:t>
            </w:r>
          </w:p>
        </w:tc>
      </w:tr>
      <w:tr w:rsidR="00783AEC" w14:paraId="5CBF3CED" w14:textId="58F31013" w:rsidTr="00693FC0">
        <w:trPr>
          <w:cantSplit/>
          <w:jc w:val="center"/>
        </w:trPr>
        <w:tc>
          <w:tcPr>
            <w:tcW w:w="3685" w:type="dxa"/>
            <w:shd w:val="clear" w:color="auto" w:fill="D9E2F3" w:themeFill="accent1" w:themeFillTint="33"/>
          </w:tcPr>
          <w:p w14:paraId="68ADFE31" w14:textId="29C25B93" w:rsidR="007A5463" w:rsidRPr="00A573AA" w:rsidRDefault="006453C9" w:rsidP="00CB6E3F">
            <w:pPr>
              <w:pStyle w:val="pf0"/>
              <w:spacing w:before="120" w:beforeAutospacing="0" w:after="120" w:afterAutospacing="0"/>
              <w:jc w:val="right"/>
              <w:rPr>
                <w:rStyle w:val="cf01"/>
                <w:rFonts w:asciiTheme="minorHAnsi" w:hAnsiTheme="minorHAnsi" w:cstheme="minorHAnsi"/>
                <w:b/>
                <w:bCs/>
                <w:sz w:val="20"/>
                <w:szCs w:val="20"/>
              </w:rPr>
            </w:pPr>
            <w:r>
              <w:rPr>
                <w:rStyle w:val="cf01"/>
                <w:rFonts w:asciiTheme="minorHAnsi" w:hAnsiTheme="minorHAnsi" w:cstheme="minorHAnsi"/>
                <w:b/>
                <w:bCs/>
                <w:sz w:val="20"/>
                <w:szCs w:val="20"/>
              </w:rPr>
              <w:t xml:space="preserve">Subtotal </w:t>
            </w:r>
            <w:r w:rsidR="00241F2C">
              <w:rPr>
                <w:rStyle w:val="cf01"/>
                <w:rFonts w:asciiTheme="minorHAnsi" w:hAnsiTheme="minorHAnsi" w:cstheme="minorHAnsi"/>
                <w:b/>
                <w:bCs/>
                <w:sz w:val="20"/>
                <w:szCs w:val="20"/>
              </w:rPr>
              <w:t>O</w:t>
            </w:r>
            <w:r w:rsidR="00241F2C" w:rsidRPr="007F3973">
              <w:rPr>
                <w:rStyle w:val="cf01"/>
                <w:rFonts w:cstheme="minorHAnsi"/>
                <w:b/>
                <w:bCs/>
                <w:sz w:val="20"/>
                <w:szCs w:val="20"/>
              </w:rPr>
              <w:t>ther</w:t>
            </w:r>
            <w:r w:rsidR="00241F2C">
              <w:rPr>
                <w:rStyle w:val="cf01"/>
                <w:rFonts w:asciiTheme="minorHAnsi" w:hAnsiTheme="minorHAnsi" w:cstheme="minorHAnsi"/>
                <w:b/>
                <w:bCs/>
                <w:sz w:val="20"/>
                <w:szCs w:val="20"/>
              </w:rPr>
              <w:t xml:space="preserve"> </w:t>
            </w:r>
            <w:r>
              <w:rPr>
                <w:rStyle w:val="cf01"/>
                <w:rFonts w:asciiTheme="minorHAnsi" w:hAnsiTheme="minorHAnsi" w:cstheme="minorHAnsi"/>
                <w:b/>
                <w:bCs/>
                <w:sz w:val="20"/>
                <w:szCs w:val="20"/>
              </w:rPr>
              <w:t>Beds</w:t>
            </w:r>
            <w:r w:rsidR="00245F1C">
              <w:rPr>
                <w:rStyle w:val="FootnoteReference"/>
                <w:rFonts w:asciiTheme="minorHAnsi" w:hAnsiTheme="minorHAnsi" w:cstheme="minorHAnsi"/>
                <w:b/>
                <w:bCs/>
                <w:sz w:val="20"/>
                <w:szCs w:val="20"/>
              </w:rPr>
              <w:footnoteReference w:id="3"/>
            </w:r>
            <w:r>
              <w:rPr>
                <w:rStyle w:val="cf01"/>
                <w:rFonts w:asciiTheme="minorHAnsi" w:hAnsiTheme="minorHAnsi" w:cstheme="minorHAnsi"/>
                <w:b/>
                <w:bCs/>
                <w:sz w:val="20"/>
                <w:szCs w:val="20"/>
              </w:rPr>
              <w:t xml:space="preserve"> </w:t>
            </w:r>
            <w:r w:rsidR="007A5463" w:rsidRPr="00CB6E3F">
              <w:rPr>
                <w:rStyle w:val="cf01"/>
                <w:rFonts w:asciiTheme="minorHAnsi" w:hAnsiTheme="minorHAnsi" w:cstheme="minorHAnsi"/>
                <w:b/>
                <w:bCs/>
                <w:sz w:val="20"/>
                <w:szCs w:val="20"/>
              </w:rPr>
              <w:t xml:space="preserve"> </w:t>
            </w:r>
          </w:p>
        </w:tc>
        <w:tc>
          <w:tcPr>
            <w:tcW w:w="3060" w:type="dxa"/>
            <w:shd w:val="clear" w:color="auto" w:fill="D9E2F3" w:themeFill="accent1" w:themeFillTint="33"/>
          </w:tcPr>
          <w:p w14:paraId="75FD9037" w14:textId="3FB77A16" w:rsidR="007A5463" w:rsidRPr="00A573AA" w:rsidRDefault="007A5463" w:rsidP="00CB6E3F">
            <w:pPr>
              <w:pStyle w:val="pf0"/>
              <w:spacing w:before="120" w:beforeAutospacing="0" w:after="120" w:afterAutospacing="0"/>
              <w:jc w:val="center"/>
              <w:rPr>
                <w:rStyle w:val="cf01"/>
                <w:rFonts w:asciiTheme="minorHAnsi" w:hAnsiTheme="minorHAnsi" w:cstheme="minorHAnsi"/>
                <w:sz w:val="20"/>
                <w:szCs w:val="20"/>
              </w:rPr>
            </w:pPr>
            <w:r w:rsidRPr="00CB6E3F">
              <w:rPr>
                <w:rStyle w:val="cf01"/>
                <w:rFonts w:asciiTheme="minorHAnsi" w:hAnsiTheme="minorHAnsi" w:cstheme="minorHAnsi"/>
                <w:sz w:val="20"/>
                <w:szCs w:val="20"/>
              </w:rPr>
              <w:t>14</w:t>
            </w:r>
            <w:r w:rsidR="007F3973">
              <w:rPr>
                <w:rStyle w:val="cf01"/>
                <w:rFonts w:asciiTheme="minorHAnsi" w:hAnsiTheme="minorHAnsi" w:cstheme="minorHAnsi"/>
                <w:sz w:val="20"/>
                <w:szCs w:val="20"/>
              </w:rPr>
              <w:t>3</w:t>
            </w:r>
          </w:p>
        </w:tc>
        <w:tc>
          <w:tcPr>
            <w:tcW w:w="2008" w:type="dxa"/>
            <w:shd w:val="clear" w:color="auto" w:fill="D9E2F3" w:themeFill="accent1" w:themeFillTint="33"/>
          </w:tcPr>
          <w:p w14:paraId="1B9275D5" w14:textId="7CD380D2" w:rsidR="007A5463" w:rsidRPr="00A573AA" w:rsidRDefault="007A5463" w:rsidP="00A573AA">
            <w:pPr>
              <w:pStyle w:val="pf0"/>
              <w:spacing w:before="120" w:beforeAutospacing="0" w:after="120" w:afterAutospacing="0"/>
              <w:jc w:val="center"/>
              <w:rPr>
                <w:rStyle w:val="cf01"/>
                <w:rFonts w:asciiTheme="minorHAnsi" w:hAnsiTheme="minorHAnsi" w:cstheme="minorHAnsi"/>
                <w:sz w:val="20"/>
                <w:szCs w:val="20"/>
              </w:rPr>
            </w:pPr>
            <w:r w:rsidRPr="00A573AA">
              <w:rPr>
                <w:rStyle w:val="cf01"/>
                <w:rFonts w:asciiTheme="minorHAnsi" w:hAnsiTheme="minorHAnsi" w:cstheme="minorHAnsi"/>
                <w:sz w:val="20"/>
                <w:szCs w:val="20"/>
              </w:rPr>
              <w:t>145</w:t>
            </w:r>
            <w:r w:rsidR="007F3973" w:rsidRPr="00CB6E3F">
              <w:rPr>
                <w:rStyle w:val="FootnoteReference"/>
                <w:rFonts w:asciiTheme="minorHAnsi" w:hAnsiTheme="minorHAnsi" w:cstheme="minorHAnsi"/>
                <w:sz w:val="20"/>
                <w:szCs w:val="20"/>
              </w:rPr>
              <w:footnoteReference w:id="4"/>
            </w:r>
          </w:p>
        </w:tc>
        <w:tc>
          <w:tcPr>
            <w:tcW w:w="1314" w:type="dxa"/>
            <w:shd w:val="clear" w:color="auto" w:fill="D9E2F3" w:themeFill="accent1" w:themeFillTint="33"/>
          </w:tcPr>
          <w:p w14:paraId="7FBC8E5A" w14:textId="3DFDD3E4" w:rsidR="007A5463" w:rsidRPr="00A573AA" w:rsidRDefault="00783AEC" w:rsidP="00A573AA">
            <w:pPr>
              <w:pStyle w:val="pf0"/>
              <w:spacing w:before="120" w:beforeAutospacing="0" w:after="120" w:afterAutospacing="0"/>
              <w:jc w:val="center"/>
              <w:rPr>
                <w:rStyle w:val="cf01"/>
                <w:rFonts w:asciiTheme="minorHAnsi" w:hAnsiTheme="minorHAnsi" w:cstheme="minorHAnsi"/>
                <w:sz w:val="20"/>
                <w:szCs w:val="20"/>
              </w:rPr>
            </w:pPr>
            <w:r w:rsidRPr="00A573AA">
              <w:rPr>
                <w:rStyle w:val="cf01"/>
                <w:rFonts w:asciiTheme="minorHAnsi" w:hAnsiTheme="minorHAnsi" w:cstheme="minorHAnsi"/>
                <w:sz w:val="20"/>
                <w:szCs w:val="20"/>
              </w:rPr>
              <w:t>0</w:t>
            </w:r>
          </w:p>
        </w:tc>
      </w:tr>
      <w:tr w:rsidR="00783AEC" w14:paraId="0B2457C4" w14:textId="7FAE10A5" w:rsidTr="00693FC0">
        <w:trPr>
          <w:cantSplit/>
          <w:jc w:val="center"/>
        </w:trPr>
        <w:tc>
          <w:tcPr>
            <w:tcW w:w="3685" w:type="dxa"/>
            <w:shd w:val="clear" w:color="auto" w:fill="E7E6E6" w:themeFill="background2"/>
          </w:tcPr>
          <w:p w14:paraId="4ED6AE35" w14:textId="6E5168AF" w:rsidR="007A5463" w:rsidRPr="00A573AA" w:rsidRDefault="007A5463" w:rsidP="00A573AA">
            <w:pPr>
              <w:pStyle w:val="pf0"/>
              <w:spacing w:before="120" w:beforeAutospacing="0" w:after="120" w:afterAutospacing="0"/>
              <w:jc w:val="right"/>
              <w:rPr>
                <w:rStyle w:val="cf01"/>
                <w:rFonts w:asciiTheme="minorHAnsi" w:hAnsiTheme="minorHAnsi" w:cstheme="minorHAnsi"/>
                <w:b/>
                <w:bCs/>
                <w:sz w:val="20"/>
                <w:szCs w:val="20"/>
              </w:rPr>
            </w:pPr>
            <w:r w:rsidRPr="00A573AA">
              <w:rPr>
                <w:rStyle w:val="cf01"/>
                <w:rFonts w:asciiTheme="minorHAnsi" w:hAnsiTheme="minorHAnsi" w:cstheme="minorHAnsi"/>
                <w:b/>
                <w:bCs/>
                <w:sz w:val="20"/>
                <w:szCs w:val="20"/>
              </w:rPr>
              <w:t>TOTAL LICENSED BEDS (Tower + MGH Main Campus)</w:t>
            </w:r>
          </w:p>
        </w:tc>
        <w:tc>
          <w:tcPr>
            <w:tcW w:w="3060" w:type="dxa"/>
            <w:shd w:val="clear" w:color="auto" w:fill="E7E6E6" w:themeFill="background2"/>
          </w:tcPr>
          <w:p w14:paraId="1CE60391" w14:textId="5DF64BA8" w:rsidR="007A5463" w:rsidRPr="00A573AA" w:rsidRDefault="007A5463" w:rsidP="00CB6E3F">
            <w:pPr>
              <w:pStyle w:val="pf0"/>
              <w:spacing w:before="120" w:beforeAutospacing="0" w:after="120" w:afterAutospacing="0"/>
              <w:jc w:val="center"/>
              <w:rPr>
                <w:rStyle w:val="cf01"/>
                <w:rFonts w:asciiTheme="minorHAnsi" w:hAnsiTheme="minorHAnsi" w:cstheme="minorHAnsi"/>
                <w:b/>
                <w:bCs/>
                <w:sz w:val="20"/>
                <w:szCs w:val="20"/>
              </w:rPr>
            </w:pPr>
            <w:r w:rsidRPr="00A573AA">
              <w:rPr>
                <w:rStyle w:val="cf01"/>
                <w:rFonts w:asciiTheme="minorHAnsi" w:hAnsiTheme="minorHAnsi" w:cstheme="minorHAnsi"/>
                <w:b/>
                <w:bCs/>
                <w:sz w:val="20"/>
                <w:szCs w:val="20"/>
              </w:rPr>
              <w:t>1,04</w:t>
            </w:r>
            <w:r w:rsidR="007F3973">
              <w:rPr>
                <w:rStyle w:val="cf01"/>
                <w:rFonts w:asciiTheme="minorHAnsi" w:hAnsiTheme="minorHAnsi" w:cstheme="minorHAnsi"/>
                <w:b/>
                <w:bCs/>
                <w:sz w:val="20"/>
                <w:szCs w:val="20"/>
              </w:rPr>
              <w:t>3</w:t>
            </w:r>
          </w:p>
        </w:tc>
        <w:tc>
          <w:tcPr>
            <w:tcW w:w="2008" w:type="dxa"/>
            <w:shd w:val="clear" w:color="auto" w:fill="E7E6E6" w:themeFill="background2"/>
          </w:tcPr>
          <w:p w14:paraId="3F23A320" w14:textId="792B8E39" w:rsidR="007A5463" w:rsidRPr="00A573AA" w:rsidRDefault="007A5463" w:rsidP="00A573AA">
            <w:pPr>
              <w:pStyle w:val="pf0"/>
              <w:spacing w:before="120" w:beforeAutospacing="0" w:after="120" w:afterAutospacing="0"/>
              <w:jc w:val="center"/>
              <w:rPr>
                <w:rStyle w:val="cf01"/>
                <w:rFonts w:asciiTheme="minorHAnsi" w:hAnsiTheme="minorHAnsi" w:cstheme="minorHAnsi"/>
                <w:b/>
                <w:bCs/>
                <w:sz w:val="20"/>
                <w:szCs w:val="20"/>
              </w:rPr>
            </w:pPr>
            <w:r w:rsidRPr="00A573AA">
              <w:rPr>
                <w:rStyle w:val="cf01"/>
                <w:rFonts w:asciiTheme="minorHAnsi" w:hAnsiTheme="minorHAnsi" w:cstheme="minorHAnsi"/>
                <w:b/>
                <w:bCs/>
                <w:sz w:val="20"/>
                <w:szCs w:val="20"/>
              </w:rPr>
              <w:t>1,139</w:t>
            </w:r>
          </w:p>
        </w:tc>
        <w:tc>
          <w:tcPr>
            <w:tcW w:w="1314" w:type="dxa"/>
            <w:shd w:val="clear" w:color="auto" w:fill="E7E6E6" w:themeFill="background2"/>
          </w:tcPr>
          <w:p w14:paraId="53C1972E" w14:textId="71CC9793" w:rsidR="007A5463" w:rsidRPr="00A573AA" w:rsidRDefault="00783AEC" w:rsidP="00CB6E3F">
            <w:pPr>
              <w:pStyle w:val="pf0"/>
              <w:spacing w:before="120" w:beforeAutospacing="0" w:after="120" w:afterAutospacing="0"/>
              <w:jc w:val="center"/>
              <w:rPr>
                <w:rStyle w:val="cf01"/>
                <w:rFonts w:asciiTheme="minorHAnsi" w:hAnsiTheme="minorHAnsi" w:cstheme="minorHAnsi"/>
                <w:b/>
                <w:bCs/>
                <w:sz w:val="20"/>
                <w:szCs w:val="20"/>
              </w:rPr>
            </w:pPr>
            <w:r>
              <w:rPr>
                <w:rStyle w:val="cf01"/>
                <w:rFonts w:asciiTheme="minorHAnsi" w:hAnsiTheme="minorHAnsi" w:cstheme="minorHAnsi"/>
                <w:b/>
                <w:bCs/>
                <w:sz w:val="20"/>
                <w:szCs w:val="20"/>
              </w:rPr>
              <w:t>+</w:t>
            </w:r>
            <w:r w:rsidR="007A5463" w:rsidRPr="00CB6E3F">
              <w:rPr>
                <w:rStyle w:val="cf01"/>
                <w:rFonts w:asciiTheme="minorHAnsi" w:hAnsiTheme="minorHAnsi" w:cstheme="minorHAnsi"/>
                <w:b/>
                <w:bCs/>
                <w:sz w:val="20"/>
                <w:szCs w:val="20"/>
              </w:rPr>
              <w:t xml:space="preserve">94 </w:t>
            </w:r>
          </w:p>
        </w:tc>
      </w:tr>
    </w:tbl>
    <w:p w14:paraId="2F675B1B" w14:textId="77777777" w:rsidR="006D00FA" w:rsidRPr="00734362" w:rsidRDefault="006D00FA" w:rsidP="00A573AA">
      <w:pPr>
        <w:pStyle w:val="pf0"/>
        <w:spacing w:before="120" w:beforeAutospacing="0" w:after="120" w:afterAutospacing="0"/>
        <w:rPr>
          <w:rStyle w:val="cf01"/>
          <w:rFonts w:asciiTheme="minorHAnsi" w:eastAsiaTheme="minorHAnsi" w:hAnsiTheme="minorHAnsi" w:cstheme="minorHAnsi"/>
          <w:sz w:val="24"/>
          <w:szCs w:val="24"/>
          <w:highlight w:val="yellow"/>
        </w:rPr>
      </w:pPr>
    </w:p>
    <w:p w14:paraId="46F2C4F9" w14:textId="77777777" w:rsidR="00775E3C" w:rsidRPr="00783AEC" w:rsidRDefault="00775E3C" w:rsidP="00A573AA">
      <w:pPr>
        <w:autoSpaceDE w:val="0"/>
        <w:autoSpaceDN w:val="0"/>
        <w:adjustRightInd w:val="0"/>
        <w:spacing w:before="120" w:after="120" w:line="240" w:lineRule="auto"/>
        <w:jc w:val="both"/>
        <w:rPr>
          <w:b/>
          <w:bCs/>
        </w:rPr>
      </w:pPr>
      <w:r w:rsidRPr="00783AEC">
        <w:rPr>
          <w:b/>
          <w:bCs/>
        </w:rPr>
        <w:t>10.5.c Describe the associated cost implications to the Holder’s existing Patient Panel</w:t>
      </w:r>
    </w:p>
    <w:p w14:paraId="0C1D1561" w14:textId="7E73D5A7" w:rsidR="00783AEC" w:rsidRPr="00A573AA" w:rsidRDefault="00737848" w:rsidP="001F78D3">
      <w:pPr>
        <w:pStyle w:val="pf0"/>
        <w:numPr>
          <w:ilvl w:val="0"/>
          <w:numId w:val="41"/>
        </w:numPr>
        <w:spacing w:before="120" w:beforeAutospacing="0" w:after="120" w:afterAutospacing="0"/>
        <w:jc w:val="both"/>
        <w:rPr>
          <w:rStyle w:val="cf01"/>
          <w:rFonts w:asciiTheme="minorHAnsi" w:hAnsiTheme="minorHAnsi" w:cstheme="minorHAnsi"/>
          <w:b/>
          <w:bCs/>
          <w:sz w:val="22"/>
          <w:szCs w:val="22"/>
        </w:rPr>
      </w:pPr>
      <w:bookmarkStart w:id="0" w:name="_Hlk160198592"/>
      <w:r w:rsidRPr="00CB6E3F">
        <w:rPr>
          <w:rStyle w:val="cf01"/>
          <w:rFonts w:asciiTheme="minorHAnsi" w:hAnsiTheme="minorHAnsi" w:cstheme="minorHAnsi"/>
          <w:b/>
          <w:bCs/>
          <w:sz w:val="22"/>
          <w:szCs w:val="22"/>
        </w:rPr>
        <w:t xml:space="preserve">On </w:t>
      </w:r>
      <w:r w:rsidR="00893003" w:rsidRPr="00CB6E3F">
        <w:rPr>
          <w:rStyle w:val="cf01"/>
          <w:rFonts w:asciiTheme="minorHAnsi" w:hAnsiTheme="minorHAnsi" w:cstheme="minorHAnsi"/>
          <w:b/>
          <w:bCs/>
          <w:sz w:val="22"/>
          <w:szCs w:val="22"/>
        </w:rPr>
        <w:t xml:space="preserve">page 2 of the Narrative, the Holder </w:t>
      </w:r>
      <w:r w:rsidR="003346AB" w:rsidRPr="00CB6E3F">
        <w:rPr>
          <w:rStyle w:val="cf01"/>
          <w:rFonts w:asciiTheme="minorHAnsi" w:hAnsiTheme="minorHAnsi" w:cstheme="minorHAnsi"/>
          <w:b/>
          <w:bCs/>
          <w:sz w:val="22"/>
          <w:szCs w:val="22"/>
        </w:rPr>
        <w:t>details strategies that have been use</w:t>
      </w:r>
      <w:r w:rsidR="00894377" w:rsidRPr="00CB6E3F">
        <w:rPr>
          <w:rStyle w:val="cf01"/>
          <w:rFonts w:asciiTheme="minorHAnsi" w:hAnsiTheme="minorHAnsi" w:cstheme="minorHAnsi"/>
          <w:b/>
          <w:bCs/>
          <w:sz w:val="22"/>
          <w:szCs w:val="22"/>
        </w:rPr>
        <w:t>d</w:t>
      </w:r>
      <w:r w:rsidR="003346AB" w:rsidRPr="00CB6E3F">
        <w:rPr>
          <w:rStyle w:val="cf01"/>
          <w:rFonts w:asciiTheme="minorHAnsi" w:hAnsiTheme="minorHAnsi" w:cstheme="minorHAnsi"/>
          <w:b/>
          <w:bCs/>
          <w:sz w:val="22"/>
          <w:szCs w:val="22"/>
        </w:rPr>
        <w:t xml:space="preserve"> to address capacity constraints and states, “MGH has reduced community admissions while simultaneously increasing tertiary care admissions.” Please </w:t>
      </w:r>
      <w:r w:rsidR="0034004E" w:rsidRPr="00CB6E3F">
        <w:rPr>
          <w:rStyle w:val="cf01"/>
          <w:rFonts w:asciiTheme="minorHAnsi" w:hAnsiTheme="minorHAnsi" w:cstheme="minorHAnsi"/>
          <w:b/>
          <w:bCs/>
          <w:sz w:val="22"/>
          <w:szCs w:val="22"/>
        </w:rPr>
        <w:t xml:space="preserve">explain how the reduction in community transfers </w:t>
      </w:r>
      <w:r w:rsidR="00076728" w:rsidRPr="00CB6E3F">
        <w:rPr>
          <w:rStyle w:val="cf01"/>
          <w:rFonts w:asciiTheme="minorHAnsi" w:hAnsiTheme="minorHAnsi" w:cstheme="minorHAnsi"/>
          <w:b/>
          <w:bCs/>
          <w:sz w:val="22"/>
          <w:szCs w:val="22"/>
        </w:rPr>
        <w:t xml:space="preserve">has </w:t>
      </w:r>
      <w:r w:rsidR="0034004E" w:rsidRPr="00CB6E3F">
        <w:rPr>
          <w:rStyle w:val="cf01"/>
          <w:rFonts w:asciiTheme="minorHAnsi" w:hAnsiTheme="minorHAnsi" w:cstheme="minorHAnsi"/>
          <w:b/>
          <w:bCs/>
          <w:sz w:val="22"/>
          <w:szCs w:val="22"/>
        </w:rPr>
        <w:t xml:space="preserve">been measured and provide data showing </w:t>
      </w:r>
      <w:r w:rsidR="00C079EF" w:rsidRPr="00CB6E3F">
        <w:rPr>
          <w:rStyle w:val="cf01"/>
          <w:rFonts w:asciiTheme="minorHAnsi" w:hAnsiTheme="minorHAnsi" w:cstheme="minorHAnsi"/>
          <w:b/>
          <w:bCs/>
          <w:sz w:val="22"/>
          <w:szCs w:val="22"/>
        </w:rPr>
        <w:t>the reduction</w:t>
      </w:r>
      <w:r w:rsidR="0034004E" w:rsidRPr="00CB6E3F">
        <w:rPr>
          <w:rStyle w:val="cf01"/>
          <w:rFonts w:asciiTheme="minorHAnsi" w:hAnsiTheme="minorHAnsi" w:cstheme="minorHAnsi"/>
          <w:b/>
          <w:bCs/>
          <w:sz w:val="22"/>
          <w:szCs w:val="22"/>
        </w:rPr>
        <w:t>.</w:t>
      </w:r>
      <w:r w:rsidR="00CF45D7" w:rsidRPr="00CB6E3F">
        <w:rPr>
          <w:rStyle w:val="cf01"/>
          <w:rFonts w:asciiTheme="minorHAnsi" w:hAnsiTheme="minorHAnsi" w:cstheme="minorHAnsi"/>
          <w:b/>
          <w:bCs/>
          <w:sz w:val="22"/>
          <w:szCs w:val="22"/>
          <w:highlight w:val="yellow"/>
        </w:rPr>
        <w:t xml:space="preserve"> </w:t>
      </w:r>
    </w:p>
    <w:bookmarkEnd w:id="0"/>
    <w:p w14:paraId="19C13F35" w14:textId="27F5FA45" w:rsidR="00CF45D7" w:rsidRPr="001E678C" w:rsidRDefault="00783AEC" w:rsidP="00A573AA">
      <w:pPr>
        <w:pStyle w:val="pf0"/>
        <w:spacing w:before="120" w:beforeAutospacing="0" w:after="120" w:afterAutospacing="0"/>
        <w:ind w:left="720"/>
        <w:jc w:val="both"/>
        <w:rPr>
          <w:rStyle w:val="cf01"/>
          <w:rFonts w:asciiTheme="minorHAnsi" w:hAnsiTheme="minorHAnsi" w:cstheme="minorHAnsi"/>
          <w:sz w:val="22"/>
          <w:szCs w:val="22"/>
        </w:rPr>
      </w:pPr>
      <w:r w:rsidRPr="001E678C">
        <w:rPr>
          <w:rStyle w:val="cf01"/>
          <w:rFonts w:asciiTheme="minorHAnsi" w:hAnsiTheme="minorHAnsi" w:cstheme="minorHAnsi"/>
          <w:sz w:val="22"/>
          <w:szCs w:val="22"/>
        </w:rPr>
        <w:t>MGH</w:t>
      </w:r>
      <w:r w:rsidR="001E678C">
        <w:rPr>
          <w:rStyle w:val="cf01"/>
          <w:rFonts w:asciiTheme="minorHAnsi" w:hAnsiTheme="minorHAnsi" w:cstheme="minorHAnsi"/>
          <w:sz w:val="22"/>
          <w:szCs w:val="22"/>
        </w:rPr>
        <w:t xml:space="preserve"> determined that community admissions have decreased through a retrospective review. MGH ran</w:t>
      </w:r>
      <w:r w:rsidRPr="00245F1C">
        <w:rPr>
          <w:rStyle w:val="cf01"/>
          <w:rFonts w:asciiTheme="minorHAnsi" w:hAnsiTheme="minorHAnsi" w:cstheme="minorHAnsi"/>
          <w:sz w:val="22"/>
          <w:szCs w:val="22"/>
        </w:rPr>
        <w:t xml:space="preserve"> runs</w:t>
      </w:r>
      <w:r w:rsidR="007A5463" w:rsidRPr="00245F1C">
        <w:rPr>
          <w:rStyle w:val="cf01"/>
          <w:rFonts w:asciiTheme="minorHAnsi" w:hAnsiTheme="minorHAnsi" w:cstheme="minorHAnsi"/>
          <w:sz w:val="22"/>
          <w:szCs w:val="22"/>
        </w:rPr>
        <w:t xml:space="preserve"> each</w:t>
      </w:r>
      <w:r w:rsidR="00FF39CF" w:rsidRPr="00245F1C">
        <w:rPr>
          <w:rStyle w:val="cf01"/>
          <w:rFonts w:asciiTheme="minorHAnsi" w:hAnsiTheme="minorHAnsi" w:cstheme="minorHAnsi"/>
          <w:sz w:val="22"/>
          <w:szCs w:val="22"/>
        </w:rPr>
        <w:t xml:space="preserve"> patient’s</w:t>
      </w:r>
      <w:r w:rsidR="00CF45D7" w:rsidRPr="00245F1C">
        <w:rPr>
          <w:rStyle w:val="cf01"/>
          <w:rFonts w:asciiTheme="minorHAnsi" w:hAnsiTheme="minorHAnsi" w:cstheme="minorHAnsi"/>
          <w:sz w:val="22"/>
          <w:szCs w:val="22"/>
        </w:rPr>
        <w:t xml:space="preserve"> final </w:t>
      </w:r>
      <w:r w:rsidR="00245F1C">
        <w:rPr>
          <w:rStyle w:val="cf01"/>
          <w:rFonts w:asciiTheme="minorHAnsi" w:hAnsiTheme="minorHAnsi" w:cstheme="minorHAnsi"/>
          <w:sz w:val="22"/>
          <w:szCs w:val="22"/>
        </w:rPr>
        <w:t>diagnosis related group (“</w:t>
      </w:r>
      <w:r w:rsidR="007A5463" w:rsidRPr="00245F1C">
        <w:rPr>
          <w:rStyle w:val="cf01"/>
          <w:rFonts w:asciiTheme="minorHAnsi" w:hAnsiTheme="minorHAnsi" w:cstheme="minorHAnsi"/>
          <w:sz w:val="22"/>
          <w:szCs w:val="22"/>
        </w:rPr>
        <w:t>DRG</w:t>
      </w:r>
      <w:r w:rsidR="00245F1C">
        <w:rPr>
          <w:rStyle w:val="cf01"/>
          <w:rFonts w:asciiTheme="minorHAnsi" w:hAnsiTheme="minorHAnsi" w:cstheme="minorHAnsi"/>
          <w:sz w:val="22"/>
          <w:szCs w:val="22"/>
        </w:rPr>
        <w:t>”)</w:t>
      </w:r>
      <w:r w:rsidR="00245F1C">
        <w:rPr>
          <w:rStyle w:val="FootnoteReference"/>
          <w:rFonts w:asciiTheme="minorHAnsi" w:hAnsiTheme="minorHAnsi" w:cstheme="minorHAnsi"/>
          <w:sz w:val="22"/>
          <w:szCs w:val="22"/>
        </w:rPr>
        <w:footnoteReference w:id="5"/>
      </w:r>
      <w:r w:rsidR="007A5463" w:rsidRPr="00245F1C">
        <w:rPr>
          <w:rStyle w:val="cf01"/>
          <w:rFonts w:asciiTheme="minorHAnsi" w:hAnsiTheme="minorHAnsi" w:cstheme="minorHAnsi"/>
          <w:sz w:val="22"/>
          <w:szCs w:val="22"/>
        </w:rPr>
        <w:t xml:space="preserve"> </w:t>
      </w:r>
      <w:r w:rsidR="00FF39CF" w:rsidRPr="00245F1C">
        <w:rPr>
          <w:rStyle w:val="cf01"/>
          <w:rFonts w:asciiTheme="minorHAnsi" w:hAnsiTheme="minorHAnsi" w:cstheme="minorHAnsi"/>
          <w:sz w:val="22"/>
          <w:szCs w:val="22"/>
        </w:rPr>
        <w:t>disposition</w:t>
      </w:r>
      <w:r w:rsidR="00140EA7" w:rsidRPr="00245F1C">
        <w:rPr>
          <w:rStyle w:val="cf01"/>
          <w:rFonts w:asciiTheme="minorHAnsi" w:hAnsiTheme="minorHAnsi" w:cstheme="minorHAnsi"/>
          <w:sz w:val="22"/>
          <w:szCs w:val="22"/>
        </w:rPr>
        <w:t xml:space="preserve"> </w:t>
      </w:r>
      <w:r w:rsidR="007A5463" w:rsidRPr="00245F1C">
        <w:rPr>
          <w:rStyle w:val="cf01"/>
          <w:rFonts w:asciiTheme="minorHAnsi" w:hAnsiTheme="minorHAnsi" w:cstheme="minorHAnsi"/>
          <w:sz w:val="22"/>
          <w:szCs w:val="22"/>
        </w:rPr>
        <w:t>through an algorithm</w:t>
      </w:r>
      <w:r w:rsidR="00140EA7" w:rsidRPr="00245F1C">
        <w:rPr>
          <w:rStyle w:val="cf01"/>
          <w:rFonts w:asciiTheme="minorHAnsi" w:hAnsiTheme="minorHAnsi" w:cstheme="minorHAnsi"/>
          <w:sz w:val="22"/>
          <w:szCs w:val="22"/>
        </w:rPr>
        <w:t xml:space="preserve"> used by vendors like Vizient and SG2</w:t>
      </w:r>
      <w:r w:rsidR="007A5463" w:rsidRPr="00245F1C">
        <w:rPr>
          <w:rStyle w:val="cf01"/>
          <w:rFonts w:asciiTheme="minorHAnsi" w:hAnsiTheme="minorHAnsi" w:cstheme="minorHAnsi"/>
          <w:sz w:val="22"/>
          <w:szCs w:val="22"/>
        </w:rPr>
        <w:t xml:space="preserve"> to classify the level of care</w:t>
      </w:r>
      <w:r w:rsidR="00CF45D7" w:rsidRPr="00245F1C">
        <w:rPr>
          <w:rStyle w:val="cf01"/>
          <w:rFonts w:asciiTheme="minorHAnsi" w:hAnsiTheme="minorHAnsi" w:cstheme="minorHAnsi"/>
          <w:sz w:val="22"/>
          <w:szCs w:val="22"/>
        </w:rPr>
        <w:t>.</w:t>
      </w:r>
      <w:r w:rsidR="00FF39CF" w:rsidRPr="00245F1C">
        <w:rPr>
          <w:rStyle w:val="cf01"/>
          <w:rFonts w:asciiTheme="minorHAnsi" w:hAnsiTheme="minorHAnsi" w:cstheme="minorHAnsi"/>
          <w:sz w:val="22"/>
          <w:szCs w:val="22"/>
        </w:rPr>
        <w:t xml:space="preserve"> The</w:t>
      </w:r>
      <w:r w:rsidR="00140EA7" w:rsidRPr="00245F1C">
        <w:rPr>
          <w:rStyle w:val="cf01"/>
          <w:rFonts w:asciiTheme="minorHAnsi" w:hAnsiTheme="minorHAnsi" w:cstheme="minorHAnsi"/>
          <w:sz w:val="22"/>
          <w:szCs w:val="22"/>
        </w:rPr>
        <w:t xml:space="preserve"> year over year comparison shows that</w:t>
      </w:r>
      <w:r w:rsidR="00FF39CF" w:rsidRPr="00245F1C">
        <w:rPr>
          <w:rStyle w:val="cf01"/>
          <w:rFonts w:asciiTheme="minorHAnsi" w:hAnsiTheme="minorHAnsi" w:cstheme="minorHAnsi"/>
          <w:sz w:val="22"/>
          <w:szCs w:val="22"/>
        </w:rPr>
        <w:t xml:space="preserve"> community level </w:t>
      </w:r>
      <w:r w:rsidR="001E678C">
        <w:rPr>
          <w:rStyle w:val="cf01"/>
          <w:rFonts w:asciiTheme="minorHAnsi" w:hAnsiTheme="minorHAnsi" w:cstheme="minorHAnsi"/>
          <w:sz w:val="22"/>
          <w:szCs w:val="22"/>
        </w:rPr>
        <w:t xml:space="preserve">care </w:t>
      </w:r>
      <w:r w:rsidR="004C0484">
        <w:rPr>
          <w:rStyle w:val="cf01"/>
          <w:rFonts w:asciiTheme="minorHAnsi" w:hAnsiTheme="minorHAnsi" w:cstheme="minorHAnsi"/>
          <w:sz w:val="22"/>
          <w:szCs w:val="22"/>
        </w:rPr>
        <w:t>is trending</w:t>
      </w:r>
      <w:r w:rsidR="00FF39CF" w:rsidRPr="00245F1C">
        <w:rPr>
          <w:rStyle w:val="cf01"/>
          <w:rFonts w:asciiTheme="minorHAnsi" w:hAnsiTheme="minorHAnsi" w:cstheme="minorHAnsi"/>
          <w:sz w:val="22"/>
          <w:szCs w:val="22"/>
        </w:rPr>
        <w:t xml:space="preserve"> down while tertiary</w:t>
      </w:r>
      <w:r w:rsidR="001E678C">
        <w:rPr>
          <w:rStyle w:val="cf01"/>
          <w:rFonts w:asciiTheme="minorHAnsi" w:hAnsiTheme="minorHAnsi" w:cstheme="minorHAnsi"/>
          <w:sz w:val="22"/>
          <w:szCs w:val="22"/>
        </w:rPr>
        <w:t xml:space="preserve"> care</w:t>
      </w:r>
      <w:r w:rsidR="00FF39CF" w:rsidRPr="00245F1C">
        <w:rPr>
          <w:rStyle w:val="cf01"/>
          <w:rFonts w:asciiTheme="minorHAnsi" w:hAnsiTheme="minorHAnsi" w:cstheme="minorHAnsi"/>
          <w:sz w:val="22"/>
          <w:szCs w:val="22"/>
        </w:rPr>
        <w:t xml:space="preserve"> </w:t>
      </w:r>
      <w:r w:rsidR="00FF39CF" w:rsidRPr="00A573AA">
        <w:rPr>
          <w:rStyle w:val="cf01"/>
          <w:rFonts w:asciiTheme="minorHAnsi" w:hAnsiTheme="minorHAnsi" w:cstheme="minorHAnsi"/>
          <w:sz w:val="22"/>
          <w:szCs w:val="22"/>
        </w:rPr>
        <w:t xml:space="preserve">has increased. </w:t>
      </w:r>
      <w:r w:rsidR="00140EA7" w:rsidRPr="00A573AA">
        <w:rPr>
          <w:rStyle w:val="cf01"/>
          <w:rFonts w:asciiTheme="minorHAnsi" w:hAnsiTheme="minorHAnsi" w:cstheme="minorHAnsi"/>
          <w:sz w:val="22"/>
          <w:szCs w:val="22"/>
        </w:rPr>
        <w:t xml:space="preserve"> </w:t>
      </w:r>
      <w:r w:rsidRPr="00A573AA">
        <w:rPr>
          <w:rStyle w:val="cf01"/>
          <w:rFonts w:asciiTheme="minorHAnsi" w:hAnsiTheme="minorHAnsi" w:cstheme="minorHAnsi"/>
          <w:sz w:val="22"/>
          <w:szCs w:val="22"/>
        </w:rPr>
        <w:t>T</w:t>
      </w:r>
      <w:r w:rsidR="00140EA7" w:rsidRPr="00A573AA">
        <w:rPr>
          <w:rStyle w:val="cf01"/>
          <w:rFonts w:asciiTheme="minorHAnsi" w:hAnsiTheme="minorHAnsi" w:cstheme="minorHAnsi"/>
          <w:sz w:val="22"/>
          <w:szCs w:val="22"/>
        </w:rPr>
        <w:t xml:space="preserve">his retrospective measurement </w:t>
      </w:r>
      <w:r w:rsidR="00140EA7" w:rsidRPr="00A573AA">
        <w:rPr>
          <w:rStyle w:val="cf01"/>
          <w:rFonts w:asciiTheme="minorHAnsi" w:hAnsiTheme="minorHAnsi" w:cstheme="minorHAnsi"/>
          <w:sz w:val="22"/>
          <w:szCs w:val="22"/>
        </w:rPr>
        <w:lastRenderedPageBreak/>
        <w:t xml:space="preserve">tool </w:t>
      </w:r>
      <w:r w:rsidRPr="001E678C">
        <w:rPr>
          <w:rStyle w:val="cf01"/>
          <w:rFonts w:asciiTheme="minorHAnsi" w:hAnsiTheme="minorHAnsi" w:cstheme="minorHAnsi"/>
          <w:sz w:val="22"/>
          <w:szCs w:val="22"/>
        </w:rPr>
        <w:t xml:space="preserve">is used to </w:t>
      </w:r>
      <w:r w:rsidR="00140EA7" w:rsidRPr="001E678C">
        <w:rPr>
          <w:rStyle w:val="cf01"/>
          <w:rFonts w:asciiTheme="minorHAnsi" w:hAnsiTheme="minorHAnsi" w:cstheme="minorHAnsi"/>
          <w:sz w:val="22"/>
          <w:szCs w:val="22"/>
        </w:rPr>
        <w:t xml:space="preserve">assess correlation with the initiatives </w:t>
      </w:r>
      <w:r w:rsidRPr="001E678C">
        <w:rPr>
          <w:rStyle w:val="cf01"/>
          <w:rFonts w:asciiTheme="minorHAnsi" w:hAnsiTheme="minorHAnsi" w:cstheme="minorHAnsi"/>
          <w:sz w:val="22"/>
          <w:szCs w:val="22"/>
        </w:rPr>
        <w:t>MGH implements</w:t>
      </w:r>
      <w:r w:rsidR="00140EA7" w:rsidRPr="001E678C">
        <w:rPr>
          <w:rStyle w:val="cf01"/>
          <w:rFonts w:asciiTheme="minorHAnsi" w:hAnsiTheme="minorHAnsi" w:cstheme="minorHAnsi"/>
          <w:sz w:val="22"/>
          <w:szCs w:val="22"/>
        </w:rPr>
        <w:t xml:space="preserve"> to better manage community level care in alternative settings and grow tertiary/accept more </w:t>
      </w:r>
      <w:r w:rsidR="00722D33" w:rsidRPr="001E678C">
        <w:rPr>
          <w:rStyle w:val="cf01"/>
          <w:rFonts w:asciiTheme="minorHAnsi" w:hAnsiTheme="minorHAnsi" w:cstheme="minorHAnsi"/>
          <w:sz w:val="22"/>
          <w:szCs w:val="22"/>
        </w:rPr>
        <w:t>high-level</w:t>
      </w:r>
      <w:r w:rsidR="00140EA7" w:rsidRPr="001E678C">
        <w:rPr>
          <w:rStyle w:val="cf01"/>
          <w:rFonts w:asciiTheme="minorHAnsi" w:hAnsiTheme="minorHAnsi" w:cstheme="minorHAnsi"/>
          <w:sz w:val="22"/>
          <w:szCs w:val="22"/>
        </w:rPr>
        <w:t xml:space="preserve"> transfers.</w:t>
      </w:r>
    </w:p>
    <w:p w14:paraId="123E9AE4" w14:textId="4E953AB3" w:rsidR="00783AEC" w:rsidRPr="001E678C" w:rsidRDefault="00783AEC" w:rsidP="001E678C">
      <w:pPr>
        <w:pStyle w:val="pf0"/>
        <w:spacing w:before="120" w:beforeAutospacing="0" w:after="120" w:afterAutospacing="0"/>
        <w:ind w:left="720"/>
        <w:jc w:val="both"/>
        <w:rPr>
          <w:rStyle w:val="cf01"/>
          <w:rFonts w:asciiTheme="minorHAnsi" w:hAnsiTheme="minorHAnsi" w:cstheme="minorHAnsi"/>
          <w:sz w:val="22"/>
          <w:szCs w:val="22"/>
        </w:rPr>
      </w:pPr>
      <w:r w:rsidRPr="001E678C">
        <w:rPr>
          <w:rStyle w:val="cf01"/>
          <w:rFonts w:asciiTheme="minorHAnsi" w:hAnsiTheme="minorHAnsi" w:cstheme="minorHAnsi"/>
          <w:sz w:val="22"/>
          <w:szCs w:val="22"/>
        </w:rPr>
        <w:t xml:space="preserve">The table below illustrates the increase in tertiary admissions and the decrease of secondary (community) admissions. </w:t>
      </w:r>
    </w:p>
    <w:p w14:paraId="041CB15E" w14:textId="77777777" w:rsidR="00783AEC" w:rsidRPr="001E678C" w:rsidRDefault="00783AEC" w:rsidP="00CF45D7">
      <w:pPr>
        <w:pStyle w:val="pf0"/>
        <w:spacing w:before="0" w:beforeAutospacing="0" w:after="0" w:afterAutospacing="0"/>
        <w:ind w:left="720"/>
        <w:rPr>
          <w:rStyle w:val="cf01"/>
          <w:rFonts w:asciiTheme="minorHAnsi" w:hAnsiTheme="minorHAnsi" w:cstheme="minorHAnsi"/>
          <w:sz w:val="24"/>
          <w:szCs w:val="24"/>
        </w:rPr>
      </w:pPr>
    </w:p>
    <w:tbl>
      <w:tblPr>
        <w:tblStyle w:val="TableGrid"/>
        <w:tblW w:w="0" w:type="auto"/>
        <w:tblInd w:w="720" w:type="dxa"/>
        <w:tblLook w:val="04A0" w:firstRow="1" w:lastRow="0" w:firstColumn="1" w:lastColumn="0" w:noHBand="0" w:noVBand="1"/>
      </w:tblPr>
      <w:tblGrid>
        <w:gridCol w:w="3325"/>
        <w:gridCol w:w="2008"/>
        <w:gridCol w:w="2008"/>
        <w:gridCol w:w="2009"/>
      </w:tblGrid>
      <w:tr w:rsidR="00783AEC" w:rsidRPr="00783AEC" w14:paraId="6DA2FBEF" w14:textId="77777777" w:rsidTr="009D2065">
        <w:trPr>
          <w:cantSplit/>
          <w:tblHeader/>
        </w:trPr>
        <w:tc>
          <w:tcPr>
            <w:tcW w:w="3325" w:type="dxa"/>
            <w:shd w:val="clear" w:color="auto" w:fill="E7E6E6" w:themeFill="background2"/>
          </w:tcPr>
          <w:p w14:paraId="569244C9" w14:textId="35F50B80" w:rsidR="00783AEC" w:rsidRPr="00BC0680" w:rsidRDefault="00783AEC" w:rsidP="00CF45D7">
            <w:pPr>
              <w:pStyle w:val="pf0"/>
              <w:spacing w:before="0" w:beforeAutospacing="0" w:after="0" w:afterAutospacing="0"/>
              <w:rPr>
                <w:rStyle w:val="cf01"/>
                <w:rFonts w:asciiTheme="minorHAnsi" w:hAnsiTheme="minorHAnsi" w:cstheme="minorHAnsi"/>
                <w:b/>
                <w:bCs/>
                <w:sz w:val="22"/>
                <w:szCs w:val="22"/>
              </w:rPr>
            </w:pPr>
            <w:r w:rsidRPr="00BC0680">
              <w:rPr>
                <w:rStyle w:val="cf01"/>
                <w:rFonts w:asciiTheme="minorHAnsi" w:hAnsiTheme="minorHAnsi" w:cstheme="minorHAnsi"/>
                <w:b/>
                <w:bCs/>
                <w:sz w:val="22"/>
                <w:szCs w:val="22"/>
              </w:rPr>
              <w:t>Level of Care</w:t>
            </w:r>
            <w:r w:rsidR="00BC0680" w:rsidRPr="00BC0680">
              <w:rPr>
                <w:rStyle w:val="cf01"/>
                <w:rFonts w:asciiTheme="minorHAnsi" w:hAnsiTheme="minorHAnsi" w:cstheme="minorHAnsi"/>
                <w:b/>
                <w:bCs/>
                <w:sz w:val="22"/>
                <w:szCs w:val="22"/>
              </w:rPr>
              <w:t xml:space="preserve"> Table </w:t>
            </w:r>
          </w:p>
        </w:tc>
        <w:tc>
          <w:tcPr>
            <w:tcW w:w="2008" w:type="dxa"/>
            <w:shd w:val="clear" w:color="auto" w:fill="E7E6E6" w:themeFill="background2"/>
          </w:tcPr>
          <w:p w14:paraId="4465B8B3" w14:textId="60A87AC9" w:rsidR="00783AEC" w:rsidRPr="001E678C" w:rsidRDefault="00783AEC" w:rsidP="001E678C">
            <w:pPr>
              <w:pStyle w:val="pf0"/>
              <w:spacing w:before="0" w:beforeAutospacing="0" w:after="0" w:afterAutospacing="0"/>
              <w:jc w:val="center"/>
              <w:rPr>
                <w:rStyle w:val="cf01"/>
                <w:rFonts w:asciiTheme="minorHAnsi" w:hAnsiTheme="minorHAnsi" w:cstheme="minorHAnsi"/>
                <w:b/>
                <w:bCs/>
                <w:sz w:val="22"/>
                <w:szCs w:val="22"/>
              </w:rPr>
            </w:pPr>
            <w:r w:rsidRPr="001E678C">
              <w:rPr>
                <w:rStyle w:val="cf01"/>
                <w:rFonts w:asciiTheme="minorHAnsi" w:hAnsiTheme="minorHAnsi" w:cstheme="minorHAnsi"/>
                <w:b/>
                <w:bCs/>
                <w:sz w:val="22"/>
                <w:szCs w:val="22"/>
              </w:rPr>
              <w:t>FY22</w:t>
            </w:r>
          </w:p>
        </w:tc>
        <w:tc>
          <w:tcPr>
            <w:tcW w:w="2008" w:type="dxa"/>
            <w:shd w:val="clear" w:color="auto" w:fill="E7E6E6" w:themeFill="background2"/>
          </w:tcPr>
          <w:p w14:paraId="0D6B712A" w14:textId="4614650F" w:rsidR="00783AEC" w:rsidRPr="001E678C" w:rsidRDefault="00783AEC" w:rsidP="001E678C">
            <w:pPr>
              <w:pStyle w:val="pf0"/>
              <w:spacing w:before="0" w:beforeAutospacing="0" w:after="0" w:afterAutospacing="0"/>
              <w:jc w:val="center"/>
              <w:rPr>
                <w:rStyle w:val="cf01"/>
                <w:rFonts w:asciiTheme="minorHAnsi" w:hAnsiTheme="minorHAnsi" w:cstheme="minorHAnsi"/>
                <w:b/>
                <w:bCs/>
                <w:sz w:val="22"/>
                <w:szCs w:val="22"/>
              </w:rPr>
            </w:pPr>
            <w:r w:rsidRPr="001E678C">
              <w:rPr>
                <w:rStyle w:val="cf01"/>
                <w:rFonts w:asciiTheme="minorHAnsi" w:hAnsiTheme="minorHAnsi" w:cstheme="minorHAnsi"/>
                <w:b/>
                <w:bCs/>
                <w:sz w:val="22"/>
                <w:szCs w:val="22"/>
              </w:rPr>
              <w:t>FY23</w:t>
            </w:r>
            <w:r w:rsidR="00BC0680">
              <w:rPr>
                <w:rStyle w:val="FootnoteReference"/>
                <w:rFonts w:asciiTheme="minorHAnsi" w:hAnsiTheme="minorHAnsi" w:cstheme="minorHAnsi"/>
                <w:b/>
                <w:bCs/>
                <w:sz w:val="22"/>
                <w:szCs w:val="22"/>
              </w:rPr>
              <w:footnoteReference w:id="6"/>
            </w:r>
          </w:p>
        </w:tc>
        <w:tc>
          <w:tcPr>
            <w:tcW w:w="2009" w:type="dxa"/>
            <w:shd w:val="clear" w:color="auto" w:fill="E7E6E6" w:themeFill="background2"/>
          </w:tcPr>
          <w:p w14:paraId="6DE10C55" w14:textId="48D67436" w:rsidR="00783AEC" w:rsidRPr="001E678C" w:rsidRDefault="00783AEC" w:rsidP="001E678C">
            <w:pPr>
              <w:pStyle w:val="pf0"/>
              <w:spacing w:before="0" w:beforeAutospacing="0" w:after="0" w:afterAutospacing="0"/>
              <w:jc w:val="center"/>
              <w:rPr>
                <w:rStyle w:val="cf01"/>
                <w:rFonts w:asciiTheme="minorHAnsi" w:hAnsiTheme="minorHAnsi" w:cstheme="minorHAnsi"/>
                <w:b/>
                <w:bCs/>
                <w:sz w:val="22"/>
                <w:szCs w:val="22"/>
              </w:rPr>
            </w:pPr>
            <w:r w:rsidRPr="001E678C">
              <w:rPr>
                <w:rStyle w:val="cf01"/>
                <w:rFonts w:asciiTheme="minorHAnsi" w:hAnsiTheme="minorHAnsi" w:cstheme="minorHAnsi"/>
                <w:b/>
                <w:bCs/>
                <w:sz w:val="22"/>
                <w:szCs w:val="22"/>
              </w:rPr>
              <w:t>% Change</w:t>
            </w:r>
          </w:p>
        </w:tc>
      </w:tr>
      <w:tr w:rsidR="00783AEC" w:rsidRPr="00783AEC" w14:paraId="1235EDC9" w14:textId="77777777" w:rsidTr="009D2065">
        <w:trPr>
          <w:cantSplit/>
        </w:trPr>
        <w:tc>
          <w:tcPr>
            <w:tcW w:w="3325" w:type="dxa"/>
          </w:tcPr>
          <w:p w14:paraId="20A7DEC3" w14:textId="18354C47" w:rsidR="00783AEC" w:rsidRPr="001E678C" w:rsidRDefault="00783AEC" w:rsidP="00CF45D7">
            <w:pPr>
              <w:pStyle w:val="pf0"/>
              <w:spacing w:before="0" w:beforeAutospacing="0" w:after="0" w:afterAutospacing="0"/>
              <w:rPr>
                <w:rStyle w:val="cf01"/>
                <w:rFonts w:asciiTheme="minorHAnsi" w:hAnsiTheme="minorHAnsi" w:cstheme="minorHAnsi"/>
                <w:b/>
                <w:bCs/>
                <w:sz w:val="22"/>
                <w:szCs w:val="22"/>
              </w:rPr>
            </w:pPr>
            <w:r w:rsidRPr="001E678C">
              <w:rPr>
                <w:rStyle w:val="cf01"/>
                <w:rFonts w:asciiTheme="minorHAnsi" w:hAnsiTheme="minorHAnsi" w:cstheme="minorHAnsi"/>
                <w:b/>
                <w:bCs/>
                <w:sz w:val="22"/>
                <w:szCs w:val="22"/>
              </w:rPr>
              <w:t>Secondary</w:t>
            </w:r>
          </w:p>
        </w:tc>
        <w:tc>
          <w:tcPr>
            <w:tcW w:w="2008" w:type="dxa"/>
          </w:tcPr>
          <w:p w14:paraId="631997B5" w14:textId="7A90B328" w:rsidR="00783AEC" w:rsidRPr="001E678C" w:rsidRDefault="00783AEC" w:rsidP="001E678C">
            <w:pPr>
              <w:pStyle w:val="pf0"/>
              <w:spacing w:before="0" w:beforeAutospacing="0" w:after="0" w:afterAutospacing="0"/>
              <w:jc w:val="center"/>
              <w:rPr>
                <w:rStyle w:val="cf01"/>
                <w:rFonts w:asciiTheme="minorHAnsi" w:hAnsiTheme="minorHAnsi" w:cstheme="minorHAnsi"/>
                <w:sz w:val="22"/>
                <w:szCs w:val="22"/>
              </w:rPr>
            </w:pPr>
            <w:r w:rsidRPr="001E678C">
              <w:rPr>
                <w:rStyle w:val="cf01"/>
                <w:rFonts w:asciiTheme="minorHAnsi" w:hAnsiTheme="minorHAnsi" w:cstheme="minorHAnsi"/>
                <w:sz w:val="22"/>
                <w:szCs w:val="22"/>
              </w:rPr>
              <w:t>25,567</w:t>
            </w:r>
          </w:p>
        </w:tc>
        <w:tc>
          <w:tcPr>
            <w:tcW w:w="2008" w:type="dxa"/>
          </w:tcPr>
          <w:p w14:paraId="67DDF5C9" w14:textId="49FFA022" w:rsidR="00783AEC" w:rsidRPr="001E678C" w:rsidRDefault="00783AEC" w:rsidP="001E678C">
            <w:pPr>
              <w:pStyle w:val="pf0"/>
              <w:spacing w:before="0" w:beforeAutospacing="0" w:after="0" w:afterAutospacing="0"/>
              <w:jc w:val="center"/>
              <w:rPr>
                <w:rStyle w:val="cf01"/>
                <w:rFonts w:asciiTheme="minorHAnsi" w:hAnsiTheme="minorHAnsi" w:cstheme="minorHAnsi"/>
                <w:sz w:val="22"/>
                <w:szCs w:val="22"/>
              </w:rPr>
            </w:pPr>
            <w:r w:rsidRPr="001E678C">
              <w:rPr>
                <w:rStyle w:val="cf01"/>
                <w:rFonts w:asciiTheme="minorHAnsi" w:hAnsiTheme="minorHAnsi" w:cstheme="minorHAnsi"/>
                <w:sz w:val="22"/>
                <w:szCs w:val="22"/>
              </w:rPr>
              <w:t>25,194</w:t>
            </w:r>
          </w:p>
        </w:tc>
        <w:tc>
          <w:tcPr>
            <w:tcW w:w="2009" w:type="dxa"/>
          </w:tcPr>
          <w:p w14:paraId="492B0399" w14:textId="3DC2BA1C" w:rsidR="00783AEC" w:rsidRPr="001E678C" w:rsidRDefault="00783AEC" w:rsidP="001E678C">
            <w:pPr>
              <w:pStyle w:val="pf0"/>
              <w:spacing w:before="0" w:beforeAutospacing="0" w:after="0" w:afterAutospacing="0"/>
              <w:jc w:val="center"/>
              <w:rPr>
                <w:rStyle w:val="cf01"/>
                <w:rFonts w:asciiTheme="minorHAnsi" w:hAnsiTheme="minorHAnsi" w:cstheme="minorHAnsi"/>
                <w:sz w:val="22"/>
                <w:szCs w:val="22"/>
              </w:rPr>
            </w:pPr>
            <w:r w:rsidRPr="001E678C">
              <w:rPr>
                <w:rStyle w:val="cf01"/>
                <w:rFonts w:asciiTheme="minorHAnsi" w:hAnsiTheme="minorHAnsi" w:cstheme="minorHAnsi"/>
                <w:sz w:val="22"/>
                <w:szCs w:val="22"/>
              </w:rPr>
              <w:t>-1%</w:t>
            </w:r>
          </w:p>
        </w:tc>
      </w:tr>
      <w:tr w:rsidR="00783AEC" w:rsidRPr="00783AEC" w14:paraId="5BDDC2CF" w14:textId="77777777" w:rsidTr="009D2065">
        <w:trPr>
          <w:cantSplit/>
        </w:trPr>
        <w:tc>
          <w:tcPr>
            <w:tcW w:w="3325" w:type="dxa"/>
          </w:tcPr>
          <w:p w14:paraId="39EFEC65" w14:textId="48D9F555" w:rsidR="00783AEC" w:rsidRPr="001E678C" w:rsidRDefault="00783AEC" w:rsidP="00CF45D7">
            <w:pPr>
              <w:pStyle w:val="pf0"/>
              <w:spacing w:before="0" w:beforeAutospacing="0" w:after="0" w:afterAutospacing="0"/>
              <w:rPr>
                <w:rStyle w:val="cf01"/>
                <w:rFonts w:asciiTheme="minorHAnsi" w:hAnsiTheme="minorHAnsi" w:cstheme="minorHAnsi"/>
                <w:b/>
                <w:bCs/>
                <w:sz w:val="22"/>
                <w:szCs w:val="22"/>
              </w:rPr>
            </w:pPr>
            <w:r w:rsidRPr="001E678C">
              <w:rPr>
                <w:rStyle w:val="cf01"/>
                <w:rFonts w:asciiTheme="minorHAnsi" w:hAnsiTheme="minorHAnsi" w:cstheme="minorHAnsi"/>
                <w:b/>
                <w:bCs/>
                <w:sz w:val="22"/>
                <w:szCs w:val="22"/>
              </w:rPr>
              <w:t>High-End Secondary</w:t>
            </w:r>
            <w:r w:rsidR="008C4DCE">
              <w:rPr>
                <w:rStyle w:val="FootnoteReference"/>
                <w:rFonts w:asciiTheme="minorHAnsi" w:hAnsiTheme="minorHAnsi" w:cstheme="minorHAnsi"/>
                <w:b/>
                <w:bCs/>
                <w:sz w:val="22"/>
                <w:szCs w:val="22"/>
              </w:rPr>
              <w:footnoteReference w:id="7"/>
            </w:r>
          </w:p>
        </w:tc>
        <w:tc>
          <w:tcPr>
            <w:tcW w:w="2008" w:type="dxa"/>
          </w:tcPr>
          <w:p w14:paraId="444CB742" w14:textId="31C8343F" w:rsidR="00783AEC" w:rsidRPr="001E678C" w:rsidRDefault="00783AEC" w:rsidP="001E678C">
            <w:pPr>
              <w:pStyle w:val="pf0"/>
              <w:spacing w:before="0" w:beforeAutospacing="0" w:after="0" w:afterAutospacing="0"/>
              <w:jc w:val="center"/>
              <w:rPr>
                <w:rStyle w:val="cf01"/>
                <w:rFonts w:asciiTheme="minorHAnsi" w:hAnsiTheme="minorHAnsi" w:cstheme="minorHAnsi"/>
                <w:sz w:val="22"/>
                <w:szCs w:val="22"/>
              </w:rPr>
            </w:pPr>
            <w:r w:rsidRPr="001E678C">
              <w:rPr>
                <w:rStyle w:val="cf01"/>
                <w:rFonts w:asciiTheme="minorHAnsi" w:hAnsiTheme="minorHAnsi" w:cstheme="minorHAnsi"/>
                <w:sz w:val="22"/>
                <w:szCs w:val="22"/>
              </w:rPr>
              <w:t>6,435</w:t>
            </w:r>
          </w:p>
        </w:tc>
        <w:tc>
          <w:tcPr>
            <w:tcW w:w="2008" w:type="dxa"/>
          </w:tcPr>
          <w:p w14:paraId="4E1F2D47" w14:textId="31CDE557" w:rsidR="00783AEC" w:rsidRPr="001E678C" w:rsidRDefault="00783AEC" w:rsidP="001E678C">
            <w:pPr>
              <w:pStyle w:val="pf0"/>
              <w:spacing w:before="0" w:beforeAutospacing="0" w:after="0" w:afterAutospacing="0"/>
              <w:jc w:val="center"/>
              <w:rPr>
                <w:rStyle w:val="cf01"/>
                <w:rFonts w:asciiTheme="minorHAnsi" w:hAnsiTheme="minorHAnsi" w:cstheme="minorHAnsi"/>
                <w:sz w:val="22"/>
                <w:szCs w:val="22"/>
              </w:rPr>
            </w:pPr>
            <w:r w:rsidRPr="001E678C">
              <w:rPr>
                <w:rStyle w:val="cf01"/>
                <w:rFonts w:asciiTheme="minorHAnsi" w:hAnsiTheme="minorHAnsi" w:cstheme="minorHAnsi"/>
                <w:sz w:val="22"/>
                <w:szCs w:val="22"/>
              </w:rPr>
              <w:t>6,647</w:t>
            </w:r>
          </w:p>
        </w:tc>
        <w:tc>
          <w:tcPr>
            <w:tcW w:w="2009" w:type="dxa"/>
          </w:tcPr>
          <w:p w14:paraId="1D18CF84" w14:textId="622797B4" w:rsidR="00783AEC" w:rsidRPr="001E678C" w:rsidRDefault="00783AEC" w:rsidP="001E678C">
            <w:pPr>
              <w:pStyle w:val="pf0"/>
              <w:spacing w:before="0" w:beforeAutospacing="0" w:after="0" w:afterAutospacing="0"/>
              <w:jc w:val="center"/>
              <w:rPr>
                <w:rStyle w:val="cf01"/>
                <w:rFonts w:asciiTheme="minorHAnsi" w:hAnsiTheme="minorHAnsi" w:cstheme="minorHAnsi"/>
                <w:sz w:val="22"/>
                <w:szCs w:val="22"/>
              </w:rPr>
            </w:pPr>
            <w:r w:rsidRPr="001E678C">
              <w:rPr>
                <w:rStyle w:val="cf01"/>
                <w:rFonts w:asciiTheme="minorHAnsi" w:hAnsiTheme="minorHAnsi" w:cstheme="minorHAnsi"/>
                <w:sz w:val="22"/>
                <w:szCs w:val="22"/>
              </w:rPr>
              <w:t>3%</w:t>
            </w:r>
          </w:p>
        </w:tc>
      </w:tr>
      <w:tr w:rsidR="00783AEC" w:rsidRPr="00783AEC" w14:paraId="1F1A4F65" w14:textId="77777777" w:rsidTr="009D2065">
        <w:trPr>
          <w:cantSplit/>
        </w:trPr>
        <w:tc>
          <w:tcPr>
            <w:tcW w:w="3325" w:type="dxa"/>
          </w:tcPr>
          <w:p w14:paraId="65876074" w14:textId="014BF7B5" w:rsidR="00783AEC" w:rsidRPr="001E678C" w:rsidRDefault="00783AEC" w:rsidP="00CF45D7">
            <w:pPr>
              <w:pStyle w:val="pf0"/>
              <w:spacing w:before="0" w:beforeAutospacing="0" w:after="0" w:afterAutospacing="0"/>
              <w:rPr>
                <w:rStyle w:val="cf01"/>
                <w:rFonts w:asciiTheme="minorHAnsi" w:hAnsiTheme="minorHAnsi" w:cstheme="minorHAnsi"/>
                <w:b/>
                <w:bCs/>
                <w:sz w:val="22"/>
                <w:szCs w:val="22"/>
              </w:rPr>
            </w:pPr>
            <w:r w:rsidRPr="001E678C">
              <w:rPr>
                <w:rStyle w:val="cf01"/>
                <w:rFonts w:asciiTheme="minorHAnsi" w:hAnsiTheme="minorHAnsi" w:cstheme="minorHAnsi"/>
                <w:b/>
                <w:bCs/>
                <w:sz w:val="22"/>
                <w:szCs w:val="22"/>
              </w:rPr>
              <w:t>Tertiary</w:t>
            </w:r>
          </w:p>
        </w:tc>
        <w:tc>
          <w:tcPr>
            <w:tcW w:w="2008" w:type="dxa"/>
          </w:tcPr>
          <w:p w14:paraId="158C3981" w14:textId="3F1EFCEE" w:rsidR="00783AEC" w:rsidRPr="001E678C" w:rsidRDefault="00783AEC" w:rsidP="001E678C">
            <w:pPr>
              <w:pStyle w:val="pf0"/>
              <w:spacing w:before="0" w:beforeAutospacing="0" w:after="0" w:afterAutospacing="0"/>
              <w:jc w:val="center"/>
              <w:rPr>
                <w:rStyle w:val="cf01"/>
                <w:rFonts w:asciiTheme="minorHAnsi" w:hAnsiTheme="minorHAnsi" w:cstheme="minorHAnsi"/>
                <w:sz w:val="22"/>
                <w:szCs w:val="22"/>
              </w:rPr>
            </w:pPr>
            <w:r w:rsidRPr="001E678C">
              <w:rPr>
                <w:rStyle w:val="cf01"/>
                <w:rFonts w:asciiTheme="minorHAnsi" w:hAnsiTheme="minorHAnsi" w:cstheme="minorHAnsi"/>
                <w:sz w:val="22"/>
                <w:szCs w:val="22"/>
              </w:rPr>
              <w:t>5,188</w:t>
            </w:r>
          </w:p>
        </w:tc>
        <w:tc>
          <w:tcPr>
            <w:tcW w:w="2008" w:type="dxa"/>
          </w:tcPr>
          <w:p w14:paraId="3F86CAE7" w14:textId="69B7022F" w:rsidR="00783AEC" w:rsidRPr="001E678C" w:rsidRDefault="00783AEC" w:rsidP="001E678C">
            <w:pPr>
              <w:pStyle w:val="pf0"/>
              <w:spacing w:before="0" w:beforeAutospacing="0" w:after="0" w:afterAutospacing="0"/>
              <w:jc w:val="center"/>
              <w:rPr>
                <w:rStyle w:val="cf01"/>
                <w:rFonts w:asciiTheme="minorHAnsi" w:hAnsiTheme="minorHAnsi" w:cstheme="minorHAnsi"/>
                <w:sz w:val="22"/>
                <w:szCs w:val="22"/>
              </w:rPr>
            </w:pPr>
            <w:r w:rsidRPr="001E678C">
              <w:rPr>
                <w:rStyle w:val="cf01"/>
                <w:rFonts w:asciiTheme="minorHAnsi" w:hAnsiTheme="minorHAnsi" w:cstheme="minorHAnsi"/>
                <w:sz w:val="22"/>
                <w:szCs w:val="22"/>
              </w:rPr>
              <w:t>5,830</w:t>
            </w:r>
          </w:p>
        </w:tc>
        <w:tc>
          <w:tcPr>
            <w:tcW w:w="2009" w:type="dxa"/>
          </w:tcPr>
          <w:p w14:paraId="3122CCDF" w14:textId="427D9683" w:rsidR="00783AEC" w:rsidRPr="001E678C" w:rsidRDefault="00783AEC" w:rsidP="001E678C">
            <w:pPr>
              <w:pStyle w:val="pf0"/>
              <w:spacing w:before="0" w:beforeAutospacing="0" w:after="0" w:afterAutospacing="0"/>
              <w:jc w:val="center"/>
              <w:rPr>
                <w:rStyle w:val="cf01"/>
                <w:rFonts w:asciiTheme="minorHAnsi" w:hAnsiTheme="minorHAnsi" w:cstheme="minorHAnsi"/>
                <w:sz w:val="22"/>
                <w:szCs w:val="22"/>
              </w:rPr>
            </w:pPr>
            <w:r w:rsidRPr="001E678C">
              <w:rPr>
                <w:rStyle w:val="cf01"/>
                <w:rFonts w:asciiTheme="minorHAnsi" w:hAnsiTheme="minorHAnsi" w:cstheme="minorHAnsi"/>
                <w:sz w:val="22"/>
                <w:szCs w:val="22"/>
              </w:rPr>
              <w:t>12%</w:t>
            </w:r>
          </w:p>
        </w:tc>
      </w:tr>
    </w:tbl>
    <w:p w14:paraId="14FE881C" w14:textId="77777777" w:rsidR="009B6916" w:rsidRPr="00140EA7" w:rsidRDefault="009B6916" w:rsidP="00BC0680">
      <w:pPr>
        <w:pStyle w:val="pf0"/>
        <w:spacing w:before="0" w:beforeAutospacing="0" w:after="0" w:afterAutospacing="0"/>
        <w:rPr>
          <w:rStyle w:val="cf01"/>
          <w:rFonts w:asciiTheme="minorHAnsi" w:eastAsiaTheme="minorHAnsi" w:hAnsiTheme="minorHAnsi" w:cstheme="minorHAnsi"/>
          <w:color w:val="4472C4" w:themeColor="accent1"/>
          <w:sz w:val="24"/>
          <w:szCs w:val="24"/>
        </w:rPr>
      </w:pPr>
    </w:p>
    <w:p w14:paraId="6D394CC6" w14:textId="77777777" w:rsidR="00277B36" w:rsidRDefault="00277B36" w:rsidP="00A573AA">
      <w:pPr>
        <w:autoSpaceDE w:val="0"/>
        <w:autoSpaceDN w:val="0"/>
        <w:adjustRightInd w:val="0"/>
        <w:spacing w:before="120" w:after="120"/>
        <w:jc w:val="both"/>
        <w:rPr>
          <w:b/>
          <w:bCs/>
        </w:rPr>
      </w:pPr>
      <w:r>
        <w:rPr>
          <w:b/>
          <w:bCs/>
        </w:rPr>
        <w:t>1</w:t>
      </w:r>
      <w:r w:rsidRPr="0080534A">
        <w:rPr>
          <w:b/>
          <w:bCs/>
        </w:rPr>
        <w:t>0.5.d Provide a detailed narrative, comparing the approved project to the proposed Significant Change, and the rationale for such change.</w:t>
      </w:r>
    </w:p>
    <w:p w14:paraId="16605290" w14:textId="380443FD" w:rsidR="000E4B6D" w:rsidRPr="00A573AA" w:rsidRDefault="000E4B6D" w:rsidP="00A573AA">
      <w:pPr>
        <w:pStyle w:val="pf0"/>
        <w:numPr>
          <w:ilvl w:val="0"/>
          <w:numId w:val="41"/>
        </w:numPr>
        <w:spacing w:before="0" w:beforeAutospacing="0" w:after="0" w:afterAutospacing="0"/>
        <w:jc w:val="both"/>
        <w:rPr>
          <w:rStyle w:val="cf01"/>
          <w:rFonts w:asciiTheme="minorHAnsi" w:hAnsiTheme="minorHAnsi" w:cstheme="minorHAnsi"/>
          <w:b/>
          <w:bCs/>
          <w:sz w:val="24"/>
          <w:szCs w:val="24"/>
        </w:rPr>
      </w:pPr>
      <w:r w:rsidRPr="00A573AA">
        <w:rPr>
          <w:rStyle w:val="cf01"/>
          <w:rFonts w:asciiTheme="minorHAnsi" w:hAnsiTheme="minorHAnsi" w:cstheme="minorHAnsi"/>
          <w:b/>
          <w:bCs/>
          <w:sz w:val="24"/>
          <w:szCs w:val="24"/>
        </w:rPr>
        <w:t xml:space="preserve">In Table 1 of the Narrative, </w:t>
      </w:r>
      <w:r w:rsidR="00580A60" w:rsidRPr="00A573AA">
        <w:rPr>
          <w:rStyle w:val="cf01"/>
          <w:rFonts w:asciiTheme="minorHAnsi" w:hAnsiTheme="minorHAnsi" w:cstheme="minorHAnsi"/>
          <w:b/>
          <w:bCs/>
          <w:sz w:val="24"/>
          <w:szCs w:val="24"/>
        </w:rPr>
        <w:t xml:space="preserve">the number of </w:t>
      </w:r>
      <w:r w:rsidR="004032C0" w:rsidRPr="00A573AA">
        <w:rPr>
          <w:rStyle w:val="cf01"/>
          <w:rFonts w:asciiTheme="minorHAnsi" w:hAnsiTheme="minorHAnsi" w:cstheme="minorHAnsi"/>
          <w:b/>
          <w:bCs/>
          <w:sz w:val="24"/>
          <w:szCs w:val="24"/>
        </w:rPr>
        <w:t>“Licensed Beds” (inclusive of M/S and ICU beds) is li</w:t>
      </w:r>
      <w:r w:rsidR="00580A60" w:rsidRPr="00A573AA">
        <w:rPr>
          <w:rStyle w:val="cf01"/>
          <w:rFonts w:asciiTheme="minorHAnsi" w:hAnsiTheme="minorHAnsi" w:cstheme="minorHAnsi"/>
          <w:b/>
          <w:bCs/>
          <w:sz w:val="24"/>
          <w:szCs w:val="24"/>
        </w:rPr>
        <w:t xml:space="preserve">sted as 900. Please explain why the number of licensed beds in the Narrative differs from the </w:t>
      </w:r>
      <w:r w:rsidR="00C91802" w:rsidRPr="00A573AA">
        <w:rPr>
          <w:rStyle w:val="cf01"/>
          <w:rFonts w:asciiTheme="minorHAnsi" w:hAnsiTheme="minorHAnsi" w:cstheme="minorHAnsi"/>
          <w:b/>
          <w:bCs/>
          <w:sz w:val="24"/>
          <w:szCs w:val="24"/>
        </w:rPr>
        <w:t>1,043</w:t>
      </w:r>
      <w:r w:rsidR="0041637A" w:rsidRPr="00A573AA">
        <w:rPr>
          <w:rStyle w:val="cf01"/>
          <w:rFonts w:asciiTheme="minorHAnsi" w:hAnsiTheme="minorHAnsi" w:cstheme="minorHAnsi"/>
          <w:b/>
          <w:bCs/>
          <w:sz w:val="24"/>
          <w:szCs w:val="24"/>
        </w:rPr>
        <w:t xml:space="preserve"> Licensed Beds </w:t>
      </w:r>
      <w:r w:rsidR="00C91802" w:rsidRPr="00A573AA">
        <w:rPr>
          <w:rStyle w:val="cf01"/>
          <w:rFonts w:asciiTheme="minorHAnsi" w:hAnsiTheme="minorHAnsi" w:cstheme="minorHAnsi"/>
          <w:b/>
          <w:bCs/>
          <w:sz w:val="24"/>
          <w:szCs w:val="24"/>
        </w:rPr>
        <w:t xml:space="preserve">listed </w:t>
      </w:r>
      <w:r w:rsidR="0041637A" w:rsidRPr="00A573AA">
        <w:rPr>
          <w:rStyle w:val="cf01"/>
          <w:rFonts w:asciiTheme="minorHAnsi" w:hAnsiTheme="minorHAnsi" w:cstheme="minorHAnsi"/>
          <w:b/>
          <w:bCs/>
          <w:sz w:val="24"/>
          <w:szCs w:val="24"/>
        </w:rPr>
        <w:t xml:space="preserve">in the original staff report (referenced in </w:t>
      </w:r>
      <w:r w:rsidR="00E97A22" w:rsidRPr="00A573AA">
        <w:rPr>
          <w:rStyle w:val="cf01"/>
          <w:rFonts w:asciiTheme="minorHAnsi" w:hAnsiTheme="minorHAnsi" w:cstheme="minorHAnsi"/>
          <w:b/>
          <w:bCs/>
          <w:sz w:val="24"/>
          <w:szCs w:val="24"/>
        </w:rPr>
        <w:t>question 2d above).</w:t>
      </w:r>
    </w:p>
    <w:p w14:paraId="56568E72" w14:textId="77777777" w:rsidR="0084410F" w:rsidRDefault="0084410F" w:rsidP="00A573AA">
      <w:pPr>
        <w:pStyle w:val="pf0"/>
        <w:spacing w:before="0" w:beforeAutospacing="0" w:after="0" w:afterAutospacing="0"/>
        <w:ind w:left="720"/>
        <w:jc w:val="both"/>
        <w:rPr>
          <w:rStyle w:val="cf01"/>
          <w:rFonts w:asciiTheme="minorHAnsi" w:hAnsiTheme="minorHAnsi" w:cstheme="minorHAnsi"/>
          <w:sz w:val="24"/>
          <w:szCs w:val="24"/>
        </w:rPr>
      </w:pPr>
    </w:p>
    <w:p w14:paraId="46F34032" w14:textId="62FAE716" w:rsidR="00E27C97" w:rsidRDefault="00E27C97" w:rsidP="00E27FDA">
      <w:pPr>
        <w:pStyle w:val="pf0"/>
        <w:spacing w:before="0" w:beforeAutospacing="0" w:after="0" w:afterAutospacing="0"/>
        <w:ind w:left="720"/>
        <w:jc w:val="both"/>
        <w:rPr>
          <w:rStyle w:val="cf01"/>
          <w:rFonts w:asciiTheme="minorHAnsi" w:hAnsiTheme="minorHAnsi" w:cstheme="minorHAnsi"/>
          <w:sz w:val="22"/>
          <w:szCs w:val="22"/>
        </w:rPr>
      </w:pPr>
      <w:r w:rsidRPr="00241F2C">
        <w:rPr>
          <w:rStyle w:val="cf01"/>
          <w:rFonts w:asciiTheme="minorHAnsi" w:hAnsiTheme="minorHAnsi" w:cstheme="minorHAnsi"/>
          <w:sz w:val="22"/>
          <w:szCs w:val="22"/>
        </w:rPr>
        <w:t xml:space="preserve">As illustrated in the table above as well as the Change in Service Form, MGH’s total bed count is 1,045. Of those 1,045 beds, 900 </w:t>
      </w:r>
      <w:r w:rsidR="0023769C">
        <w:rPr>
          <w:rStyle w:val="cf01"/>
          <w:rFonts w:asciiTheme="minorHAnsi" w:hAnsiTheme="minorHAnsi" w:cstheme="minorHAnsi"/>
          <w:sz w:val="22"/>
          <w:szCs w:val="22"/>
        </w:rPr>
        <w:t xml:space="preserve">beds </w:t>
      </w:r>
      <w:r w:rsidRPr="00241F2C">
        <w:rPr>
          <w:rStyle w:val="cf01"/>
          <w:rFonts w:asciiTheme="minorHAnsi" w:hAnsiTheme="minorHAnsi" w:cstheme="minorHAnsi"/>
          <w:sz w:val="22"/>
          <w:szCs w:val="22"/>
        </w:rPr>
        <w:t xml:space="preserve">are licensed for Med/Surg </w:t>
      </w:r>
      <w:r w:rsidR="006453C9" w:rsidRPr="00241F2C">
        <w:rPr>
          <w:rStyle w:val="cf01"/>
          <w:rFonts w:asciiTheme="minorHAnsi" w:hAnsiTheme="minorHAnsi" w:cstheme="minorHAnsi"/>
          <w:sz w:val="22"/>
          <w:szCs w:val="22"/>
        </w:rPr>
        <w:t xml:space="preserve">and ICU </w:t>
      </w:r>
      <w:r w:rsidR="0023769C">
        <w:rPr>
          <w:rStyle w:val="cf01"/>
          <w:rFonts w:asciiTheme="minorHAnsi" w:hAnsiTheme="minorHAnsi" w:cstheme="minorHAnsi"/>
          <w:sz w:val="22"/>
          <w:szCs w:val="22"/>
        </w:rPr>
        <w:t>patients</w:t>
      </w:r>
      <w:r w:rsidRPr="00241F2C">
        <w:rPr>
          <w:rStyle w:val="cf01"/>
          <w:rFonts w:asciiTheme="minorHAnsi" w:hAnsiTheme="minorHAnsi" w:cstheme="minorHAnsi"/>
          <w:sz w:val="22"/>
          <w:szCs w:val="22"/>
        </w:rPr>
        <w:t xml:space="preserve">. The remaining 145 beds are licensed by DPH </w:t>
      </w:r>
      <w:r w:rsidR="006453C9" w:rsidRPr="00241F2C">
        <w:rPr>
          <w:rStyle w:val="cf01"/>
          <w:rFonts w:asciiTheme="minorHAnsi" w:hAnsiTheme="minorHAnsi" w:cstheme="minorHAnsi"/>
          <w:sz w:val="22"/>
          <w:szCs w:val="22"/>
        </w:rPr>
        <w:t>for</w:t>
      </w:r>
      <w:r w:rsidR="00A573AA">
        <w:rPr>
          <w:rStyle w:val="cf01"/>
          <w:rFonts w:asciiTheme="minorHAnsi" w:hAnsiTheme="minorHAnsi" w:cstheme="minorHAnsi"/>
          <w:sz w:val="22"/>
          <w:szCs w:val="22"/>
        </w:rPr>
        <w:t xml:space="preserve"> the care of the following populations:</w:t>
      </w:r>
      <w:r w:rsidR="006453C9" w:rsidRPr="00241F2C">
        <w:rPr>
          <w:rStyle w:val="cf01"/>
          <w:rFonts w:asciiTheme="minorHAnsi" w:hAnsiTheme="minorHAnsi" w:cstheme="minorHAnsi"/>
          <w:sz w:val="22"/>
          <w:szCs w:val="22"/>
        </w:rPr>
        <w:t xml:space="preserve"> Pediatric, Pediatric ICU, Maternal Newborn, Neonatal ICU, and Psychiatric</w:t>
      </w:r>
      <w:r w:rsidR="00241F2C">
        <w:rPr>
          <w:rStyle w:val="cf01"/>
          <w:rFonts w:asciiTheme="minorHAnsi" w:hAnsiTheme="minorHAnsi" w:cstheme="minorHAnsi"/>
          <w:sz w:val="22"/>
          <w:szCs w:val="22"/>
        </w:rPr>
        <w:t>.</w:t>
      </w:r>
      <w:r w:rsidR="00D22B1B">
        <w:rPr>
          <w:rStyle w:val="cf01"/>
          <w:rFonts w:asciiTheme="minorHAnsi" w:hAnsiTheme="minorHAnsi" w:cstheme="minorHAnsi"/>
          <w:sz w:val="22"/>
          <w:szCs w:val="22"/>
        </w:rPr>
        <w:t xml:space="preserve"> </w:t>
      </w:r>
      <w:r w:rsidRPr="00241F2C">
        <w:rPr>
          <w:rStyle w:val="cf01"/>
          <w:rFonts w:asciiTheme="minorHAnsi" w:hAnsiTheme="minorHAnsi" w:cstheme="minorHAnsi"/>
          <w:sz w:val="22"/>
          <w:szCs w:val="22"/>
        </w:rPr>
        <w:t xml:space="preserve"> </w:t>
      </w:r>
      <w:r w:rsidR="00E27FDA" w:rsidRPr="00241F2C">
        <w:rPr>
          <w:rStyle w:val="cf01"/>
          <w:rFonts w:asciiTheme="minorHAnsi" w:hAnsiTheme="minorHAnsi" w:cstheme="minorHAnsi"/>
          <w:sz w:val="22"/>
          <w:szCs w:val="22"/>
        </w:rPr>
        <w:t xml:space="preserve">For purposes of assessing the Hospital’s inpatient occupancy and utilization, only beds licensed as Med/Surg and ICU are </w:t>
      </w:r>
      <w:r w:rsidR="00E27FDA">
        <w:rPr>
          <w:rStyle w:val="cf01"/>
          <w:rFonts w:asciiTheme="minorHAnsi" w:hAnsiTheme="minorHAnsi" w:cstheme="minorHAnsi"/>
          <w:sz w:val="22"/>
          <w:szCs w:val="22"/>
        </w:rPr>
        <w:t>included because that is the population that will be served by the 94 beds</w:t>
      </w:r>
      <w:r w:rsidR="00E27FDA" w:rsidRPr="00241F2C">
        <w:rPr>
          <w:rStyle w:val="cf01"/>
          <w:rFonts w:asciiTheme="minorHAnsi" w:hAnsiTheme="minorHAnsi" w:cstheme="minorHAnsi"/>
          <w:sz w:val="22"/>
          <w:szCs w:val="22"/>
        </w:rPr>
        <w:t xml:space="preserve">. </w:t>
      </w:r>
      <w:r w:rsidR="00E27FDA">
        <w:rPr>
          <w:rStyle w:val="cf01"/>
          <w:rFonts w:asciiTheme="minorHAnsi" w:hAnsiTheme="minorHAnsi" w:cstheme="minorHAnsi"/>
          <w:sz w:val="22"/>
          <w:szCs w:val="22"/>
        </w:rPr>
        <w:t>See table below for breakdown of beds by license type as reflected on the Hospital’s license.</w:t>
      </w:r>
    </w:p>
    <w:p w14:paraId="6D76F431" w14:textId="77777777" w:rsidR="00E27FDA" w:rsidRDefault="00E27FDA" w:rsidP="00A573AA">
      <w:pPr>
        <w:pStyle w:val="pf0"/>
        <w:spacing w:before="0" w:beforeAutospacing="0" w:after="0" w:afterAutospacing="0"/>
        <w:ind w:left="720"/>
        <w:jc w:val="both"/>
        <w:rPr>
          <w:rStyle w:val="cf01"/>
          <w:rFonts w:asciiTheme="minorHAnsi" w:hAnsiTheme="minorHAnsi" w:cstheme="minorHAnsi"/>
          <w:sz w:val="22"/>
          <w:szCs w:val="22"/>
        </w:rPr>
      </w:pPr>
    </w:p>
    <w:tbl>
      <w:tblPr>
        <w:tblStyle w:val="TableGrid"/>
        <w:tblW w:w="0" w:type="auto"/>
        <w:tblInd w:w="720" w:type="dxa"/>
        <w:tblLook w:val="04A0" w:firstRow="1" w:lastRow="0" w:firstColumn="1" w:lastColumn="0" w:noHBand="0" w:noVBand="1"/>
      </w:tblPr>
      <w:tblGrid>
        <w:gridCol w:w="4710"/>
        <w:gridCol w:w="1675"/>
      </w:tblGrid>
      <w:tr w:rsidR="00E27FDA" w14:paraId="7130D5D4" w14:textId="77777777" w:rsidTr="009D2065">
        <w:trPr>
          <w:cantSplit/>
          <w:tblHeader/>
        </w:trPr>
        <w:tc>
          <w:tcPr>
            <w:tcW w:w="4710" w:type="dxa"/>
          </w:tcPr>
          <w:p w14:paraId="78A77661" w14:textId="77777777" w:rsidR="00E27FDA" w:rsidRDefault="00E27FDA" w:rsidP="00A573AA">
            <w:pPr>
              <w:pStyle w:val="pf0"/>
              <w:spacing w:before="0" w:beforeAutospacing="0" w:after="0" w:afterAutospacing="0"/>
              <w:jc w:val="both"/>
              <w:rPr>
                <w:rStyle w:val="cf01"/>
                <w:rFonts w:asciiTheme="minorHAnsi" w:hAnsiTheme="minorHAnsi" w:cstheme="minorHAnsi"/>
                <w:sz w:val="22"/>
                <w:szCs w:val="22"/>
              </w:rPr>
            </w:pPr>
          </w:p>
        </w:tc>
        <w:tc>
          <w:tcPr>
            <w:tcW w:w="1675" w:type="dxa"/>
          </w:tcPr>
          <w:p w14:paraId="4B7561AC" w14:textId="4AAE02DD" w:rsidR="00E27FDA" w:rsidRDefault="00E27FDA" w:rsidP="00A573AA">
            <w:pPr>
              <w:pStyle w:val="pf0"/>
              <w:spacing w:before="0" w:beforeAutospacing="0" w:after="0" w:afterAutospacing="0"/>
              <w:jc w:val="both"/>
              <w:rPr>
                <w:rStyle w:val="cf01"/>
                <w:rFonts w:asciiTheme="minorHAnsi" w:hAnsiTheme="minorHAnsi" w:cstheme="minorHAnsi"/>
                <w:sz w:val="22"/>
                <w:szCs w:val="22"/>
              </w:rPr>
            </w:pPr>
            <w:r>
              <w:rPr>
                <w:rStyle w:val="cf01"/>
                <w:rFonts w:asciiTheme="minorHAnsi" w:hAnsiTheme="minorHAnsi" w:cstheme="minorHAnsi"/>
                <w:sz w:val="22"/>
                <w:szCs w:val="22"/>
              </w:rPr>
              <w:t>Licensed Beds*</w:t>
            </w:r>
          </w:p>
        </w:tc>
      </w:tr>
      <w:tr w:rsidR="00E27FDA" w14:paraId="3EA9D1C3" w14:textId="77777777" w:rsidTr="009D2065">
        <w:trPr>
          <w:cantSplit/>
        </w:trPr>
        <w:tc>
          <w:tcPr>
            <w:tcW w:w="4710" w:type="dxa"/>
            <w:shd w:val="clear" w:color="auto" w:fill="C5E0B3" w:themeFill="accent6" w:themeFillTint="66"/>
          </w:tcPr>
          <w:p w14:paraId="798817C1" w14:textId="232EE519" w:rsidR="00E27FDA" w:rsidRDefault="00E27FDA" w:rsidP="00A573AA">
            <w:pPr>
              <w:pStyle w:val="pf0"/>
              <w:spacing w:before="0" w:beforeAutospacing="0" w:after="0" w:afterAutospacing="0"/>
              <w:jc w:val="both"/>
              <w:rPr>
                <w:rStyle w:val="cf01"/>
                <w:rFonts w:asciiTheme="minorHAnsi" w:hAnsiTheme="minorHAnsi" w:cstheme="minorHAnsi"/>
                <w:sz w:val="22"/>
                <w:szCs w:val="22"/>
              </w:rPr>
            </w:pPr>
            <w:r>
              <w:rPr>
                <w:rStyle w:val="cf01"/>
                <w:rFonts w:asciiTheme="minorHAnsi" w:hAnsiTheme="minorHAnsi" w:cstheme="minorHAnsi"/>
                <w:sz w:val="22"/>
                <w:szCs w:val="22"/>
              </w:rPr>
              <w:t>Medical/Surgical</w:t>
            </w:r>
          </w:p>
        </w:tc>
        <w:tc>
          <w:tcPr>
            <w:tcW w:w="1675" w:type="dxa"/>
            <w:shd w:val="clear" w:color="auto" w:fill="C5E0B3" w:themeFill="accent6" w:themeFillTint="66"/>
          </w:tcPr>
          <w:p w14:paraId="75043D1F" w14:textId="5CD24D86" w:rsidR="00E27FDA" w:rsidRDefault="00E27FDA" w:rsidP="00E27FDA">
            <w:pPr>
              <w:pStyle w:val="pf0"/>
              <w:spacing w:before="0" w:beforeAutospacing="0" w:after="0" w:afterAutospacing="0"/>
              <w:jc w:val="right"/>
              <w:rPr>
                <w:rStyle w:val="cf01"/>
                <w:rFonts w:asciiTheme="minorHAnsi" w:hAnsiTheme="minorHAnsi" w:cstheme="minorHAnsi"/>
                <w:sz w:val="22"/>
                <w:szCs w:val="22"/>
              </w:rPr>
            </w:pPr>
            <w:r>
              <w:rPr>
                <w:rStyle w:val="cf01"/>
                <w:rFonts w:asciiTheme="minorHAnsi" w:hAnsiTheme="minorHAnsi" w:cstheme="minorHAnsi"/>
                <w:sz w:val="22"/>
                <w:szCs w:val="22"/>
              </w:rPr>
              <w:t>776</w:t>
            </w:r>
          </w:p>
        </w:tc>
      </w:tr>
      <w:tr w:rsidR="00E27FDA" w14:paraId="78446EBC" w14:textId="77777777" w:rsidTr="009D2065">
        <w:trPr>
          <w:cantSplit/>
        </w:trPr>
        <w:tc>
          <w:tcPr>
            <w:tcW w:w="4710" w:type="dxa"/>
            <w:shd w:val="clear" w:color="auto" w:fill="C5E0B3" w:themeFill="accent6" w:themeFillTint="66"/>
          </w:tcPr>
          <w:p w14:paraId="13E0F74A" w14:textId="13E81AF3" w:rsidR="00E27FDA" w:rsidRDefault="00E27FDA" w:rsidP="00A573AA">
            <w:pPr>
              <w:pStyle w:val="pf0"/>
              <w:spacing w:before="0" w:beforeAutospacing="0" w:after="0" w:afterAutospacing="0"/>
              <w:jc w:val="both"/>
              <w:rPr>
                <w:rStyle w:val="cf01"/>
                <w:rFonts w:asciiTheme="minorHAnsi" w:hAnsiTheme="minorHAnsi" w:cstheme="minorHAnsi"/>
                <w:sz w:val="22"/>
                <w:szCs w:val="22"/>
              </w:rPr>
            </w:pPr>
            <w:r>
              <w:rPr>
                <w:rStyle w:val="cf01"/>
                <w:rFonts w:asciiTheme="minorHAnsi" w:hAnsiTheme="minorHAnsi" w:cstheme="minorHAnsi"/>
                <w:sz w:val="22"/>
                <w:szCs w:val="22"/>
              </w:rPr>
              <w:t>Intensive Care Unit</w:t>
            </w:r>
          </w:p>
        </w:tc>
        <w:tc>
          <w:tcPr>
            <w:tcW w:w="1675" w:type="dxa"/>
            <w:shd w:val="clear" w:color="auto" w:fill="C5E0B3" w:themeFill="accent6" w:themeFillTint="66"/>
          </w:tcPr>
          <w:p w14:paraId="387B965E" w14:textId="3981787A" w:rsidR="00E27FDA" w:rsidRDefault="00E27FDA" w:rsidP="00E27FDA">
            <w:pPr>
              <w:pStyle w:val="pf0"/>
              <w:spacing w:before="0" w:beforeAutospacing="0" w:after="0" w:afterAutospacing="0"/>
              <w:jc w:val="right"/>
              <w:rPr>
                <w:rStyle w:val="cf01"/>
                <w:rFonts w:asciiTheme="minorHAnsi" w:hAnsiTheme="minorHAnsi" w:cstheme="minorHAnsi"/>
                <w:sz w:val="22"/>
                <w:szCs w:val="22"/>
              </w:rPr>
            </w:pPr>
            <w:r>
              <w:rPr>
                <w:rStyle w:val="cf01"/>
                <w:rFonts w:asciiTheme="minorHAnsi" w:hAnsiTheme="minorHAnsi" w:cstheme="minorHAnsi"/>
                <w:sz w:val="22"/>
                <w:szCs w:val="22"/>
              </w:rPr>
              <w:t>101</w:t>
            </w:r>
          </w:p>
        </w:tc>
      </w:tr>
      <w:tr w:rsidR="00E27FDA" w14:paraId="49F32BA5" w14:textId="77777777" w:rsidTr="009D2065">
        <w:trPr>
          <w:cantSplit/>
        </w:trPr>
        <w:tc>
          <w:tcPr>
            <w:tcW w:w="4710" w:type="dxa"/>
            <w:shd w:val="clear" w:color="auto" w:fill="C5E0B3" w:themeFill="accent6" w:themeFillTint="66"/>
          </w:tcPr>
          <w:p w14:paraId="74591349" w14:textId="24DB8082" w:rsidR="00E27FDA" w:rsidRDefault="00E27FDA" w:rsidP="00A573AA">
            <w:pPr>
              <w:pStyle w:val="pf0"/>
              <w:spacing w:before="0" w:beforeAutospacing="0" w:after="0" w:afterAutospacing="0"/>
              <w:jc w:val="both"/>
              <w:rPr>
                <w:rStyle w:val="cf01"/>
                <w:rFonts w:asciiTheme="minorHAnsi" w:hAnsiTheme="minorHAnsi" w:cstheme="minorHAnsi"/>
                <w:sz w:val="22"/>
                <w:szCs w:val="22"/>
              </w:rPr>
            </w:pPr>
            <w:r>
              <w:rPr>
                <w:rStyle w:val="cf01"/>
                <w:rFonts w:asciiTheme="minorHAnsi" w:hAnsiTheme="minorHAnsi" w:cstheme="minorHAnsi"/>
                <w:sz w:val="22"/>
                <w:szCs w:val="22"/>
              </w:rPr>
              <w:t>Coronary Care Unit</w:t>
            </w:r>
          </w:p>
        </w:tc>
        <w:tc>
          <w:tcPr>
            <w:tcW w:w="1675" w:type="dxa"/>
            <w:shd w:val="clear" w:color="auto" w:fill="C5E0B3" w:themeFill="accent6" w:themeFillTint="66"/>
          </w:tcPr>
          <w:p w14:paraId="1845D46E" w14:textId="56BF1ECF" w:rsidR="00E27FDA" w:rsidRDefault="00E27FDA" w:rsidP="00E27FDA">
            <w:pPr>
              <w:pStyle w:val="pf0"/>
              <w:spacing w:before="0" w:beforeAutospacing="0" w:after="0" w:afterAutospacing="0"/>
              <w:jc w:val="right"/>
              <w:rPr>
                <w:rStyle w:val="cf01"/>
                <w:rFonts w:asciiTheme="minorHAnsi" w:hAnsiTheme="minorHAnsi" w:cstheme="minorHAnsi"/>
                <w:sz w:val="22"/>
                <w:szCs w:val="22"/>
              </w:rPr>
            </w:pPr>
            <w:r>
              <w:rPr>
                <w:rStyle w:val="cf01"/>
                <w:rFonts w:asciiTheme="minorHAnsi" w:hAnsiTheme="minorHAnsi" w:cstheme="minorHAnsi"/>
                <w:sz w:val="22"/>
                <w:szCs w:val="22"/>
              </w:rPr>
              <w:t>16</w:t>
            </w:r>
          </w:p>
        </w:tc>
      </w:tr>
      <w:tr w:rsidR="00E27FDA" w14:paraId="166C27B4" w14:textId="77777777" w:rsidTr="009D2065">
        <w:trPr>
          <w:cantSplit/>
        </w:trPr>
        <w:tc>
          <w:tcPr>
            <w:tcW w:w="4710" w:type="dxa"/>
            <w:shd w:val="clear" w:color="auto" w:fill="C5E0B3" w:themeFill="accent6" w:themeFillTint="66"/>
          </w:tcPr>
          <w:p w14:paraId="10DE2ED0" w14:textId="47DCFA0D" w:rsidR="00E27FDA" w:rsidRDefault="00E27FDA" w:rsidP="00A573AA">
            <w:pPr>
              <w:pStyle w:val="pf0"/>
              <w:spacing w:before="0" w:beforeAutospacing="0" w:after="0" w:afterAutospacing="0"/>
              <w:jc w:val="both"/>
              <w:rPr>
                <w:rStyle w:val="cf01"/>
                <w:rFonts w:asciiTheme="minorHAnsi" w:hAnsiTheme="minorHAnsi" w:cstheme="minorHAnsi"/>
                <w:sz w:val="22"/>
                <w:szCs w:val="22"/>
              </w:rPr>
            </w:pPr>
            <w:r>
              <w:rPr>
                <w:rStyle w:val="cf01"/>
                <w:rFonts w:asciiTheme="minorHAnsi" w:hAnsiTheme="minorHAnsi" w:cstheme="minorHAnsi"/>
                <w:sz w:val="22"/>
                <w:szCs w:val="22"/>
              </w:rPr>
              <w:t>Burn Unit</w:t>
            </w:r>
          </w:p>
        </w:tc>
        <w:tc>
          <w:tcPr>
            <w:tcW w:w="1675" w:type="dxa"/>
            <w:shd w:val="clear" w:color="auto" w:fill="C5E0B3" w:themeFill="accent6" w:themeFillTint="66"/>
          </w:tcPr>
          <w:p w14:paraId="36B69B2F" w14:textId="7D0DD6DE" w:rsidR="00E27FDA" w:rsidRDefault="00E27FDA" w:rsidP="00E27FDA">
            <w:pPr>
              <w:pStyle w:val="pf0"/>
              <w:spacing w:before="0" w:beforeAutospacing="0" w:after="0" w:afterAutospacing="0"/>
              <w:jc w:val="right"/>
              <w:rPr>
                <w:rStyle w:val="cf01"/>
                <w:rFonts w:asciiTheme="minorHAnsi" w:hAnsiTheme="minorHAnsi" w:cstheme="minorHAnsi"/>
                <w:sz w:val="22"/>
                <w:szCs w:val="22"/>
              </w:rPr>
            </w:pPr>
            <w:r>
              <w:rPr>
                <w:rStyle w:val="cf01"/>
                <w:rFonts w:asciiTheme="minorHAnsi" w:hAnsiTheme="minorHAnsi" w:cstheme="minorHAnsi"/>
                <w:sz w:val="22"/>
                <w:szCs w:val="22"/>
              </w:rPr>
              <w:t>7</w:t>
            </w:r>
          </w:p>
        </w:tc>
      </w:tr>
      <w:tr w:rsidR="00E27FDA" w14:paraId="771FFE1E" w14:textId="77777777" w:rsidTr="009D2065">
        <w:trPr>
          <w:cantSplit/>
        </w:trPr>
        <w:tc>
          <w:tcPr>
            <w:tcW w:w="4710" w:type="dxa"/>
            <w:shd w:val="clear" w:color="auto" w:fill="C5E0B3" w:themeFill="accent6" w:themeFillTint="66"/>
          </w:tcPr>
          <w:p w14:paraId="4E3BDEC2" w14:textId="64474D12" w:rsidR="00E27FDA" w:rsidRPr="00E27FDA" w:rsidRDefault="00E27FDA" w:rsidP="00A573AA">
            <w:pPr>
              <w:pStyle w:val="pf0"/>
              <w:spacing w:before="0" w:beforeAutospacing="0" w:after="0" w:afterAutospacing="0"/>
              <w:jc w:val="both"/>
              <w:rPr>
                <w:rStyle w:val="cf01"/>
                <w:rFonts w:asciiTheme="minorHAnsi" w:hAnsiTheme="minorHAnsi" w:cstheme="minorHAnsi"/>
                <w:b/>
                <w:bCs/>
                <w:sz w:val="22"/>
                <w:szCs w:val="22"/>
              </w:rPr>
            </w:pPr>
            <w:r w:rsidRPr="00E27FDA">
              <w:rPr>
                <w:rStyle w:val="cf01"/>
                <w:rFonts w:asciiTheme="minorHAnsi" w:hAnsiTheme="minorHAnsi" w:cstheme="minorHAnsi"/>
                <w:b/>
                <w:bCs/>
                <w:sz w:val="22"/>
                <w:szCs w:val="22"/>
              </w:rPr>
              <w:t>Subtotal- Medical/Surgical and ICU</w:t>
            </w:r>
          </w:p>
        </w:tc>
        <w:tc>
          <w:tcPr>
            <w:tcW w:w="1675" w:type="dxa"/>
            <w:shd w:val="clear" w:color="auto" w:fill="C5E0B3" w:themeFill="accent6" w:themeFillTint="66"/>
          </w:tcPr>
          <w:p w14:paraId="69DDA56C" w14:textId="7992750D" w:rsidR="00E27FDA" w:rsidRPr="00E27FDA" w:rsidRDefault="00E27FDA" w:rsidP="00E27FDA">
            <w:pPr>
              <w:pStyle w:val="pf0"/>
              <w:spacing w:before="0" w:beforeAutospacing="0" w:after="0" w:afterAutospacing="0"/>
              <w:jc w:val="right"/>
              <w:rPr>
                <w:rStyle w:val="cf01"/>
                <w:rFonts w:asciiTheme="minorHAnsi" w:hAnsiTheme="minorHAnsi" w:cstheme="minorHAnsi"/>
                <w:b/>
                <w:bCs/>
                <w:sz w:val="22"/>
                <w:szCs w:val="22"/>
              </w:rPr>
            </w:pPr>
            <w:r w:rsidRPr="00E27FDA">
              <w:rPr>
                <w:rStyle w:val="cf01"/>
                <w:rFonts w:asciiTheme="minorHAnsi" w:hAnsiTheme="minorHAnsi" w:cstheme="minorHAnsi"/>
                <w:b/>
                <w:bCs/>
                <w:sz w:val="22"/>
                <w:szCs w:val="22"/>
              </w:rPr>
              <w:t>900</w:t>
            </w:r>
          </w:p>
        </w:tc>
      </w:tr>
      <w:tr w:rsidR="00E27FDA" w14:paraId="58EDE0EB" w14:textId="77777777" w:rsidTr="009D2065">
        <w:trPr>
          <w:cantSplit/>
        </w:trPr>
        <w:tc>
          <w:tcPr>
            <w:tcW w:w="4710" w:type="dxa"/>
          </w:tcPr>
          <w:p w14:paraId="2164B598" w14:textId="4F797B2B" w:rsidR="00E27FDA" w:rsidRDefault="00E27FDA" w:rsidP="00A573AA">
            <w:pPr>
              <w:pStyle w:val="pf0"/>
              <w:spacing w:before="0" w:beforeAutospacing="0" w:after="0" w:afterAutospacing="0"/>
              <w:jc w:val="both"/>
              <w:rPr>
                <w:rStyle w:val="cf01"/>
                <w:rFonts w:asciiTheme="minorHAnsi" w:hAnsiTheme="minorHAnsi" w:cstheme="minorHAnsi"/>
                <w:sz w:val="22"/>
                <w:szCs w:val="22"/>
              </w:rPr>
            </w:pPr>
            <w:r>
              <w:rPr>
                <w:rStyle w:val="cf01"/>
                <w:rFonts w:asciiTheme="minorHAnsi" w:hAnsiTheme="minorHAnsi" w:cstheme="minorHAnsi"/>
                <w:sz w:val="22"/>
                <w:szCs w:val="22"/>
              </w:rPr>
              <w:t>Pediatric</w:t>
            </w:r>
          </w:p>
        </w:tc>
        <w:tc>
          <w:tcPr>
            <w:tcW w:w="1675" w:type="dxa"/>
          </w:tcPr>
          <w:p w14:paraId="2F9742E4" w14:textId="05ACEB13" w:rsidR="00E27FDA" w:rsidRDefault="00E27FDA" w:rsidP="00E27FDA">
            <w:pPr>
              <w:pStyle w:val="pf0"/>
              <w:spacing w:before="0" w:beforeAutospacing="0" w:after="0" w:afterAutospacing="0"/>
              <w:jc w:val="right"/>
              <w:rPr>
                <w:rStyle w:val="cf01"/>
                <w:rFonts w:asciiTheme="minorHAnsi" w:hAnsiTheme="minorHAnsi" w:cstheme="minorHAnsi"/>
                <w:sz w:val="22"/>
                <w:szCs w:val="22"/>
              </w:rPr>
            </w:pPr>
            <w:r>
              <w:rPr>
                <w:rStyle w:val="cf01"/>
                <w:rFonts w:asciiTheme="minorHAnsi" w:hAnsiTheme="minorHAnsi" w:cstheme="minorHAnsi"/>
                <w:sz w:val="22"/>
                <w:szCs w:val="22"/>
              </w:rPr>
              <w:t>46</w:t>
            </w:r>
          </w:p>
        </w:tc>
      </w:tr>
      <w:tr w:rsidR="00E27FDA" w14:paraId="4F616C71" w14:textId="77777777" w:rsidTr="009D2065">
        <w:trPr>
          <w:cantSplit/>
        </w:trPr>
        <w:tc>
          <w:tcPr>
            <w:tcW w:w="4710" w:type="dxa"/>
          </w:tcPr>
          <w:p w14:paraId="38DA8B23" w14:textId="539CF763" w:rsidR="00E27FDA" w:rsidRDefault="00E27FDA" w:rsidP="00A573AA">
            <w:pPr>
              <w:pStyle w:val="pf0"/>
              <w:spacing w:before="0" w:beforeAutospacing="0" w:after="0" w:afterAutospacing="0"/>
              <w:jc w:val="both"/>
              <w:rPr>
                <w:rStyle w:val="cf01"/>
                <w:rFonts w:asciiTheme="minorHAnsi" w:hAnsiTheme="minorHAnsi" w:cstheme="minorHAnsi"/>
                <w:sz w:val="22"/>
                <w:szCs w:val="22"/>
              </w:rPr>
            </w:pPr>
            <w:r>
              <w:rPr>
                <w:rStyle w:val="cf01"/>
                <w:rFonts w:asciiTheme="minorHAnsi" w:hAnsiTheme="minorHAnsi" w:cstheme="minorHAnsi"/>
                <w:sz w:val="22"/>
                <w:szCs w:val="22"/>
              </w:rPr>
              <w:t>Pediatric ICU</w:t>
            </w:r>
          </w:p>
        </w:tc>
        <w:tc>
          <w:tcPr>
            <w:tcW w:w="1675" w:type="dxa"/>
          </w:tcPr>
          <w:p w14:paraId="3318898B" w14:textId="31B8B1CF" w:rsidR="00E27FDA" w:rsidRDefault="00E27FDA" w:rsidP="00E27FDA">
            <w:pPr>
              <w:pStyle w:val="pf0"/>
              <w:spacing w:before="0" w:beforeAutospacing="0" w:after="0" w:afterAutospacing="0"/>
              <w:jc w:val="right"/>
              <w:rPr>
                <w:rStyle w:val="cf01"/>
                <w:rFonts w:asciiTheme="minorHAnsi" w:hAnsiTheme="minorHAnsi" w:cstheme="minorHAnsi"/>
                <w:sz w:val="22"/>
                <w:szCs w:val="22"/>
              </w:rPr>
            </w:pPr>
            <w:r>
              <w:rPr>
                <w:rStyle w:val="cf01"/>
                <w:rFonts w:asciiTheme="minorHAnsi" w:hAnsiTheme="minorHAnsi" w:cstheme="minorHAnsi"/>
                <w:sz w:val="22"/>
                <w:szCs w:val="22"/>
              </w:rPr>
              <w:t>14</w:t>
            </w:r>
          </w:p>
        </w:tc>
      </w:tr>
      <w:tr w:rsidR="00E27FDA" w14:paraId="6DA4D99F" w14:textId="77777777" w:rsidTr="009D2065">
        <w:trPr>
          <w:cantSplit/>
        </w:trPr>
        <w:tc>
          <w:tcPr>
            <w:tcW w:w="4710" w:type="dxa"/>
          </w:tcPr>
          <w:p w14:paraId="678A07CF" w14:textId="140EBCD9" w:rsidR="00E27FDA" w:rsidRDefault="00E27FDA" w:rsidP="00A573AA">
            <w:pPr>
              <w:pStyle w:val="pf0"/>
              <w:spacing w:before="0" w:beforeAutospacing="0" w:after="0" w:afterAutospacing="0"/>
              <w:jc w:val="both"/>
              <w:rPr>
                <w:rStyle w:val="cf01"/>
                <w:rFonts w:asciiTheme="minorHAnsi" w:hAnsiTheme="minorHAnsi" w:cstheme="minorHAnsi"/>
                <w:sz w:val="22"/>
                <w:szCs w:val="22"/>
              </w:rPr>
            </w:pPr>
            <w:r>
              <w:rPr>
                <w:rStyle w:val="cf01"/>
                <w:rFonts w:asciiTheme="minorHAnsi" w:hAnsiTheme="minorHAnsi" w:cstheme="minorHAnsi"/>
                <w:sz w:val="22"/>
                <w:szCs w:val="22"/>
              </w:rPr>
              <w:t>Maternal Newborn</w:t>
            </w:r>
          </w:p>
        </w:tc>
        <w:tc>
          <w:tcPr>
            <w:tcW w:w="1675" w:type="dxa"/>
          </w:tcPr>
          <w:p w14:paraId="355A8B75" w14:textId="71638652" w:rsidR="00E27FDA" w:rsidRDefault="00E27FDA" w:rsidP="00E27FDA">
            <w:pPr>
              <w:pStyle w:val="pf0"/>
              <w:spacing w:before="0" w:beforeAutospacing="0" w:after="0" w:afterAutospacing="0"/>
              <w:jc w:val="right"/>
              <w:rPr>
                <w:rStyle w:val="cf01"/>
                <w:rFonts w:asciiTheme="minorHAnsi" w:hAnsiTheme="minorHAnsi" w:cstheme="minorHAnsi"/>
                <w:sz w:val="22"/>
                <w:szCs w:val="22"/>
              </w:rPr>
            </w:pPr>
            <w:r>
              <w:rPr>
                <w:rStyle w:val="cf01"/>
                <w:rFonts w:asciiTheme="minorHAnsi" w:hAnsiTheme="minorHAnsi" w:cstheme="minorHAnsi"/>
                <w:sz w:val="22"/>
                <w:szCs w:val="22"/>
              </w:rPr>
              <w:t>40</w:t>
            </w:r>
          </w:p>
        </w:tc>
      </w:tr>
      <w:tr w:rsidR="00E27FDA" w14:paraId="5248FD4E" w14:textId="77777777" w:rsidTr="009D2065">
        <w:trPr>
          <w:cantSplit/>
        </w:trPr>
        <w:tc>
          <w:tcPr>
            <w:tcW w:w="4710" w:type="dxa"/>
          </w:tcPr>
          <w:p w14:paraId="683DABF6" w14:textId="222C70AF" w:rsidR="00E27FDA" w:rsidRDefault="00E27FDA" w:rsidP="00A573AA">
            <w:pPr>
              <w:pStyle w:val="pf0"/>
              <w:spacing w:before="0" w:beforeAutospacing="0" w:after="0" w:afterAutospacing="0"/>
              <w:jc w:val="both"/>
              <w:rPr>
                <w:rStyle w:val="cf01"/>
                <w:rFonts w:asciiTheme="minorHAnsi" w:hAnsiTheme="minorHAnsi" w:cstheme="minorHAnsi"/>
                <w:sz w:val="22"/>
                <w:szCs w:val="22"/>
              </w:rPr>
            </w:pPr>
            <w:r>
              <w:rPr>
                <w:rStyle w:val="cf01"/>
                <w:rFonts w:asciiTheme="minorHAnsi" w:hAnsiTheme="minorHAnsi" w:cstheme="minorHAnsi"/>
                <w:sz w:val="22"/>
                <w:szCs w:val="22"/>
              </w:rPr>
              <w:t>Neonatal Intensive Care Unit</w:t>
            </w:r>
          </w:p>
        </w:tc>
        <w:tc>
          <w:tcPr>
            <w:tcW w:w="1675" w:type="dxa"/>
          </w:tcPr>
          <w:p w14:paraId="20FAD84E" w14:textId="2A9ED2D2" w:rsidR="00E27FDA" w:rsidRDefault="00E27FDA" w:rsidP="00E27FDA">
            <w:pPr>
              <w:pStyle w:val="pf0"/>
              <w:spacing w:before="0" w:beforeAutospacing="0" w:after="0" w:afterAutospacing="0"/>
              <w:jc w:val="right"/>
              <w:rPr>
                <w:rStyle w:val="cf01"/>
                <w:rFonts w:asciiTheme="minorHAnsi" w:hAnsiTheme="minorHAnsi" w:cstheme="minorHAnsi"/>
                <w:sz w:val="22"/>
                <w:szCs w:val="22"/>
              </w:rPr>
            </w:pPr>
            <w:r>
              <w:rPr>
                <w:rStyle w:val="cf01"/>
                <w:rFonts w:asciiTheme="minorHAnsi" w:hAnsiTheme="minorHAnsi" w:cstheme="minorHAnsi"/>
                <w:sz w:val="22"/>
                <w:szCs w:val="22"/>
              </w:rPr>
              <w:t>21</w:t>
            </w:r>
          </w:p>
        </w:tc>
      </w:tr>
      <w:tr w:rsidR="00E27FDA" w14:paraId="0C04114D" w14:textId="77777777" w:rsidTr="009D2065">
        <w:trPr>
          <w:cantSplit/>
        </w:trPr>
        <w:tc>
          <w:tcPr>
            <w:tcW w:w="4710" w:type="dxa"/>
          </w:tcPr>
          <w:p w14:paraId="552A726D" w14:textId="3CB74D08" w:rsidR="00E27FDA" w:rsidRDefault="00E27FDA" w:rsidP="00A573AA">
            <w:pPr>
              <w:pStyle w:val="pf0"/>
              <w:spacing w:before="0" w:beforeAutospacing="0" w:after="0" w:afterAutospacing="0"/>
              <w:jc w:val="both"/>
              <w:rPr>
                <w:rStyle w:val="cf01"/>
                <w:rFonts w:asciiTheme="minorHAnsi" w:hAnsiTheme="minorHAnsi" w:cstheme="minorHAnsi"/>
                <w:sz w:val="22"/>
                <w:szCs w:val="22"/>
              </w:rPr>
            </w:pPr>
            <w:r>
              <w:rPr>
                <w:rStyle w:val="cf01"/>
                <w:rFonts w:asciiTheme="minorHAnsi" w:hAnsiTheme="minorHAnsi" w:cstheme="minorHAnsi"/>
                <w:sz w:val="22"/>
                <w:szCs w:val="22"/>
              </w:rPr>
              <w:t>Psychiatry</w:t>
            </w:r>
          </w:p>
        </w:tc>
        <w:tc>
          <w:tcPr>
            <w:tcW w:w="1675" w:type="dxa"/>
          </w:tcPr>
          <w:p w14:paraId="58749850" w14:textId="73429919" w:rsidR="00E27FDA" w:rsidRDefault="00E27FDA" w:rsidP="00E27FDA">
            <w:pPr>
              <w:pStyle w:val="pf0"/>
              <w:spacing w:before="0" w:beforeAutospacing="0" w:after="0" w:afterAutospacing="0"/>
              <w:jc w:val="right"/>
              <w:rPr>
                <w:rStyle w:val="cf01"/>
                <w:rFonts w:asciiTheme="minorHAnsi" w:hAnsiTheme="minorHAnsi" w:cstheme="minorHAnsi"/>
                <w:sz w:val="22"/>
                <w:szCs w:val="22"/>
              </w:rPr>
            </w:pPr>
            <w:r>
              <w:rPr>
                <w:rStyle w:val="cf01"/>
                <w:rFonts w:asciiTheme="minorHAnsi" w:hAnsiTheme="minorHAnsi" w:cstheme="minorHAnsi"/>
                <w:sz w:val="22"/>
                <w:szCs w:val="22"/>
              </w:rPr>
              <w:t>21</w:t>
            </w:r>
          </w:p>
        </w:tc>
      </w:tr>
      <w:tr w:rsidR="00E27FDA" w14:paraId="43D5049A" w14:textId="77777777" w:rsidTr="009D2065">
        <w:trPr>
          <w:cantSplit/>
        </w:trPr>
        <w:tc>
          <w:tcPr>
            <w:tcW w:w="4710" w:type="dxa"/>
          </w:tcPr>
          <w:p w14:paraId="13188174" w14:textId="7BF20DFF" w:rsidR="00E27FDA" w:rsidRPr="00E27FDA" w:rsidRDefault="00E27FDA" w:rsidP="00A573AA">
            <w:pPr>
              <w:pStyle w:val="pf0"/>
              <w:spacing w:before="0" w:beforeAutospacing="0" w:after="0" w:afterAutospacing="0"/>
              <w:jc w:val="both"/>
              <w:rPr>
                <w:rStyle w:val="cf01"/>
                <w:rFonts w:asciiTheme="minorHAnsi" w:hAnsiTheme="minorHAnsi" w:cstheme="minorHAnsi"/>
                <w:b/>
                <w:bCs/>
                <w:sz w:val="22"/>
                <w:szCs w:val="22"/>
              </w:rPr>
            </w:pPr>
            <w:r w:rsidRPr="00E27FDA">
              <w:rPr>
                <w:rStyle w:val="cf01"/>
                <w:rFonts w:asciiTheme="minorHAnsi" w:hAnsiTheme="minorHAnsi" w:cstheme="minorHAnsi"/>
                <w:b/>
                <w:bCs/>
                <w:sz w:val="22"/>
                <w:szCs w:val="22"/>
              </w:rPr>
              <w:t>Total</w:t>
            </w:r>
          </w:p>
        </w:tc>
        <w:tc>
          <w:tcPr>
            <w:tcW w:w="1675" w:type="dxa"/>
          </w:tcPr>
          <w:p w14:paraId="2E2B07BF" w14:textId="6E1BA762" w:rsidR="00E27FDA" w:rsidRPr="00E27FDA" w:rsidRDefault="00E27FDA" w:rsidP="00E27FDA">
            <w:pPr>
              <w:pStyle w:val="pf0"/>
              <w:spacing w:before="0" w:beforeAutospacing="0" w:after="0" w:afterAutospacing="0"/>
              <w:jc w:val="right"/>
              <w:rPr>
                <w:rStyle w:val="cf01"/>
                <w:rFonts w:asciiTheme="minorHAnsi" w:hAnsiTheme="minorHAnsi" w:cstheme="minorHAnsi"/>
                <w:b/>
                <w:bCs/>
                <w:sz w:val="22"/>
                <w:szCs w:val="22"/>
              </w:rPr>
            </w:pPr>
            <w:r w:rsidRPr="00E27FDA">
              <w:rPr>
                <w:rStyle w:val="cf01"/>
                <w:rFonts w:asciiTheme="minorHAnsi" w:hAnsiTheme="minorHAnsi" w:cstheme="minorHAnsi"/>
                <w:b/>
                <w:bCs/>
                <w:sz w:val="22"/>
                <w:szCs w:val="22"/>
              </w:rPr>
              <w:t>1045</w:t>
            </w:r>
          </w:p>
        </w:tc>
      </w:tr>
    </w:tbl>
    <w:p w14:paraId="438F6C34" w14:textId="3ECAE7CD" w:rsidR="00E27FDA" w:rsidRPr="00E27FDA" w:rsidRDefault="00E27FDA" w:rsidP="00A573AA">
      <w:pPr>
        <w:pStyle w:val="pf0"/>
        <w:spacing w:before="0" w:beforeAutospacing="0" w:after="0" w:afterAutospacing="0"/>
        <w:ind w:left="720"/>
        <w:jc w:val="both"/>
        <w:rPr>
          <w:rStyle w:val="cf01"/>
          <w:rFonts w:asciiTheme="minorHAnsi" w:hAnsiTheme="minorHAnsi" w:cstheme="minorHAnsi"/>
          <w:sz w:val="20"/>
          <w:szCs w:val="20"/>
        </w:rPr>
      </w:pPr>
      <w:r w:rsidRPr="00E27FDA">
        <w:rPr>
          <w:rStyle w:val="cf01"/>
          <w:rFonts w:asciiTheme="minorHAnsi" w:hAnsiTheme="minorHAnsi" w:cstheme="minorHAnsi"/>
          <w:sz w:val="20"/>
          <w:szCs w:val="20"/>
        </w:rPr>
        <w:t>* 12 Med/surg beds</w:t>
      </w:r>
      <w:r>
        <w:rPr>
          <w:rStyle w:val="cf01"/>
          <w:rFonts w:asciiTheme="minorHAnsi" w:hAnsiTheme="minorHAnsi" w:cstheme="minorHAnsi"/>
          <w:sz w:val="20"/>
          <w:szCs w:val="20"/>
        </w:rPr>
        <w:t xml:space="preserve"> used for</w:t>
      </w:r>
      <w:r w:rsidRPr="00E27FDA">
        <w:rPr>
          <w:rStyle w:val="cf01"/>
          <w:rFonts w:asciiTheme="minorHAnsi" w:hAnsiTheme="minorHAnsi" w:cstheme="minorHAnsi"/>
          <w:sz w:val="20"/>
          <w:szCs w:val="20"/>
        </w:rPr>
        <w:t xml:space="preserve"> Maternal Newborn</w:t>
      </w:r>
    </w:p>
    <w:p w14:paraId="4F012DD7" w14:textId="5A4A4D13" w:rsidR="00E27C97" w:rsidRPr="00A573AA" w:rsidRDefault="00E27C97" w:rsidP="00A573AA">
      <w:pPr>
        <w:pStyle w:val="pf0"/>
        <w:spacing w:before="0" w:beforeAutospacing="0" w:after="0" w:afterAutospacing="0"/>
        <w:ind w:left="720"/>
        <w:jc w:val="both"/>
        <w:rPr>
          <w:rStyle w:val="cf01"/>
          <w:rFonts w:asciiTheme="minorHAnsi" w:hAnsiTheme="minorHAnsi" w:cstheme="minorHAnsi"/>
          <w:sz w:val="22"/>
          <w:szCs w:val="22"/>
        </w:rPr>
      </w:pPr>
    </w:p>
    <w:p w14:paraId="5F79564B" w14:textId="03ACBD15" w:rsidR="00013335" w:rsidRDefault="00013335" w:rsidP="00A573AA">
      <w:pPr>
        <w:pStyle w:val="pf0"/>
        <w:spacing w:before="0" w:beforeAutospacing="0" w:after="0" w:afterAutospacing="0"/>
        <w:rPr>
          <w:rStyle w:val="cf01"/>
          <w:rFonts w:asciiTheme="minorHAnsi" w:eastAsiaTheme="minorHAnsi" w:hAnsiTheme="minorHAnsi" w:cstheme="minorHAnsi"/>
          <w:sz w:val="24"/>
          <w:szCs w:val="24"/>
        </w:rPr>
      </w:pPr>
    </w:p>
    <w:p w14:paraId="04FEAEAB" w14:textId="3545AD7D" w:rsidR="0080319B" w:rsidRPr="00A573AA" w:rsidRDefault="0080319B" w:rsidP="00A573AA">
      <w:pPr>
        <w:pStyle w:val="pf0"/>
        <w:numPr>
          <w:ilvl w:val="0"/>
          <w:numId w:val="41"/>
        </w:numPr>
        <w:spacing w:before="0" w:beforeAutospacing="0" w:after="0" w:afterAutospacing="0"/>
        <w:jc w:val="both"/>
        <w:rPr>
          <w:rStyle w:val="cf01"/>
          <w:rFonts w:asciiTheme="minorHAnsi" w:hAnsiTheme="minorHAnsi" w:cstheme="minorHAnsi"/>
          <w:b/>
          <w:bCs/>
          <w:sz w:val="24"/>
          <w:szCs w:val="24"/>
        </w:rPr>
      </w:pPr>
      <w:r w:rsidRPr="00A573AA">
        <w:rPr>
          <w:rStyle w:val="cf01"/>
          <w:rFonts w:asciiTheme="minorHAnsi" w:hAnsiTheme="minorHAnsi" w:cstheme="minorHAnsi"/>
          <w:b/>
          <w:bCs/>
          <w:sz w:val="24"/>
          <w:szCs w:val="24"/>
        </w:rPr>
        <w:t>Given that any benefit from the additional bed capacity would not be realized for several years, what strategies are currently being implemented or considered to alleviate ED Boarding</w:t>
      </w:r>
      <w:r w:rsidR="008A3550" w:rsidRPr="00A573AA">
        <w:rPr>
          <w:rStyle w:val="cf01"/>
          <w:rFonts w:asciiTheme="minorHAnsi" w:hAnsiTheme="minorHAnsi" w:cstheme="minorHAnsi"/>
          <w:b/>
          <w:bCs/>
          <w:sz w:val="24"/>
          <w:szCs w:val="24"/>
        </w:rPr>
        <w:t xml:space="preserve"> and </w:t>
      </w:r>
      <w:r w:rsidR="00783AEC">
        <w:rPr>
          <w:rStyle w:val="cf01"/>
          <w:rFonts w:asciiTheme="minorHAnsi" w:hAnsiTheme="minorHAnsi" w:cstheme="minorHAnsi"/>
          <w:b/>
          <w:bCs/>
          <w:sz w:val="24"/>
          <w:szCs w:val="24"/>
        </w:rPr>
        <w:t xml:space="preserve">ED Overcrowding? </w:t>
      </w:r>
    </w:p>
    <w:p w14:paraId="66CE2AD2" w14:textId="77777777" w:rsidR="00722D33" w:rsidRPr="00722D33" w:rsidRDefault="00722D33" w:rsidP="00A573AA">
      <w:pPr>
        <w:pStyle w:val="ListParagraph"/>
        <w:spacing w:before="120" w:after="120"/>
        <w:jc w:val="both"/>
        <w:rPr>
          <w:b/>
          <w:bCs/>
          <w:color w:val="4472C4" w:themeColor="accent1"/>
        </w:rPr>
      </w:pPr>
    </w:p>
    <w:p w14:paraId="4680B6B3" w14:textId="2E149613" w:rsidR="00722D33" w:rsidRPr="00A573AA" w:rsidRDefault="00375BDF" w:rsidP="00A573AA">
      <w:pPr>
        <w:pStyle w:val="ListParagraph"/>
        <w:numPr>
          <w:ilvl w:val="0"/>
          <w:numId w:val="44"/>
        </w:numPr>
        <w:spacing w:before="120" w:after="120"/>
        <w:jc w:val="both"/>
      </w:pPr>
      <w:r w:rsidRPr="00A573AA">
        <w:t xml:space="preserve">The Hospital continues to deploy strategies within its control to address capacity constraints including efforts to direct admissions to community hospitals, including a new affiliation with Cambridge Health Alliance.  When clinically appropriate, acceptable to the patient, and the community hospitals have open bed capacity. </w:t>
      </w:r>
    </w:p>
    <w:p w14:paraId="092785D5" w14:textId="77777777" w:rsidR="00722D33" w:rsidRPr="00A573AA" w:rsidRDefault="00375BDF" w:rsidP="00A573AA">
      <w:pPr>
        <w:pStyle w:val="ListParagraph"/>
        <w:numPr>
          <w:ilvl w:val="0"/>
          <w:numId w:val="44"/>
        </w:numPr>
        <w:spacing w:before="120" w:after="120"/>
        <w:jc w:val="both"/>
      </w:pPr>
      <w:r w:rsidRPr="00A573AA">
        <w:t xml:space="preserve">The Mass General Capacity Coordination Center collaborates with clinicians across the Hospital to verify that patients requesting transfers from other hospitals cannot receive the same level of care at their location; operates programs that reduce the length of stay for patients who were transferred from other hospitals and supports inpatient units facing barriers to discharge or care progression, including challenges with tests, imaging, procedures, or other necessary services. </w:t>
      </w:r>
    </w:p>
    <w:p w14:paraId="21E4F72D" w14:textId="52EDD595" w:rsidR="00375BDF" w:rsidRPr="00A573AA" w:rsidRDefault="00375BDF" w:rsidP="00A573AA">
      <w:pPr>
        <w:pStyle w:val="ListParagraph"/>
        <w:numPr>
          <w:ilvl w:val="0"/>
          <w:numId w:val="44"/>
        </w:numPr>
        <w:spacing w:before="120" w:after="120"/>
        <w:jc w:val="both"/>
      </w:pPr>
      <w:r w:rsidRPr="00A573AA">
        <w:t>Through these initiatives, MGH has reduced community admissions while simultaneously increasing tertiary care admissions.  The solution to the Hospital’s capacity challenges requires a multifactorial response, including the addition of 94 beds. MGH continuously works to ensure patients receive care the most appropriate setting, whether at its Boston campus or in a community setting.</w:t>
      </w:r>
    </w:p>
    <w:p w14:paraId="5E816C1D" w14:textId="77777777" w:rsidR="00375BDF" w:rsidRDefault="00375BDF" w:rsidP="00A573AA">
      <w:pPr>
        <w:pStyle w:val="pf0"/>
        <w:spacing w:before="0" w:beforeAutospacing="0" w:after="0" w:afterAutospacing="0"/>
        <w:jc w:val="both"/>
        <w:rPr>
          <w:rStyle w:val="cf01"/>
          <w:rFonts w:asciiTheme="minorHAnsi" w:eastAsiaTheme="minorHAnsi" w:hAnsiTheme="minorHAnsi" w:cstheme="minorHAnsi"/>
          <w:sz w:val="24"/>
          <w:szCs w:val="24"/>
        </w:rPr>
      </w:pPr>
    </w:p>
    <w:p w14:paraId="19E3ED80" w14:textId="596DDFBD" w:rsidR="0059393C" w:rsidRPr="00A573AA" w:rsidRDefault="008804B6" w:rsidP="00A573AA">
      <w:pPr>
        <w:pStyle w:val="pf0"/>
        <w:numPr>
          <w:ilvl w:val="0"/>
          <w:numId w:val="41"/>
        </w:numPr>
        <w:spacing w:before="0" w:beforeAutospacing="0" w:after="0" w:afterAutospacing="0"/>
        <w:jc w:val="both"/>
        <w:rPr>
          <w:rStyle w:val="cf01"/>
          <w:rFonts w:asciiTheme="minorHAnsi" w:hAnsiTheme="minorHAnsi" w:cstheme="minorHAnsi"/>
          <w:b/>
          <w:bCs/>
          <w:sz w:val="22"/>
          <w:szCs w:val="22"/>
        </w:rPr>
      </w:pPr>
      <w:bookmarkStart w:id="1" w:name="_Hlk159835224"/>
      <w:r w:rsidRPr="00A573AA">
        <w:rPr>
          <w:rStyle w:val="cf01"/>
          <w:rFonts w:asciiTheme="minorHAnsi" w:hAnsiTheme="minorHAnsi" w:cstheme="minorHAnsi"/>
          <w:b/>
          <w:bCs/>
          <w:sz w:val="22"/>
          <w:szCs w:val="22"/>
        </w:rPr>
        <w:t xml:space="preserve">Are there other </w:t>
      </w:r>
      <w:r w:rsidR="008A3550" w:rsidRPr="00A573AA">
        <w:rPr>
          <w:rStyle w:val="cf01"/>
          <w:rFonts w:asciiTheme="minorHAnsi" w:hAnsiTheme="minorHAnsi" w:cstheme="minorHAnsi"/>
          <w:b/>
          <w:bCs/>
          <w:sz w:val="22"/>
          <w:szCs w:val="22"/>
        </w:rPr>
        <w:t>facil</w:t>
      </w:r>
      <w:r w:rsidR="00294BD6" w:rsidRPr="00A573AA">
        <w:rPr>
          <w:rStyle w:val="cf01"/>
          <w:rFonts w:asciiTheme="minorHAnsi" w:hAnsiTheme="minorHAnsi" w:cstheme="minorHAnsi"/>
          <w:b/>
          <w:bCs/>
          <w:sz w:val="22"/>
          <w:szCs w:val="22"/>
        </w:rPr>
        <w:t>i</w:t>
      </w:r>
      <w:r w:rsidR="008A3550" w:rsidRPr="00A573AA">
        <w:rPr>
          <w:rStyle w:val="cf01"/>
          <w:rFonts w:asciiTheme="minorHAnsi" w:hAnsiTheme="minorHAnsi" w:cstheme="minorHAnsi"/>
          <w:b/>
          <w:bCs/>
          <w:sz w:val="22"/>
          <w:szCs w:val="22"/>
        </w:rPr>
        <w:t>ties</w:t>
      </w:r>
      <w:r w:rsidR="003132A1" w:rsidRPr="00A573AA">
        <w:rPr>
          <w:rStyle w:val="cf01"/>
          <w:rFonts w:asciiTheme="minorHAnsi" w:hAnsiTheme="minorHAnsi" w:cstheme="minorHAnsi"/>
          <w:b/>
          <w:bCs/>
          <w:sz w:val="22"/>
          <w:szCs w:val="22"/>
        </w:rPr>
        <w:t xml:space="preserve"> within the MGB health system that could assist with</w:t>
      </w:r>
      <w:r w:rsidRPr="00A573AA">
        <w:rPr>
          <w:rStyle w:val="cf01"/>
          <w:rFonts w:asciiTheme="minorHAnsi" w:hAnsiTheme="minorHAnsi" w:cstheme="minorHAnsi"/>
          <w:b/>
          <w:bCs/>
          <w:sz w:val="22"/>
          <w:szCs w:val="22"/>
        </w:rPr>
        <w:t xml:space="preserve"> </w:t>
      </w:r>
      <w:r w:rsidR="007108C3" w:rsidRPr="00A573AA">
        <w:rPr>
          <w:rStyle w:val="cf01"/>
          <w:rFonts w:asciiTheme="minorHAnsi" w:hAnsiTheme="minorHAnsi" w:cstheme="minorHAnsi"/>
          <w:b/>
          <w:bCs/>
          <w:sz w:val="22"/>
          <w:szCs w:val="22"/>
        </w:rPr>
        <w:t>alleviat</w:t>
      </w:r>
      <w:r w:rsidR="003132A1" w:rsidRPr="00A573AA">
        <w:rPr>
          <w:rStyle w:val="cf01"/>
          <w:rFonts w:asciiTheme="minorHAnsi" w:hAnsiTheme="minorHAnsi" w:cstheme="minorHAnsi"/>
          <w:b/>
          <w:bCs/>
          <w:sz w:val="22"/>
          <w:szCs w:val="22"/>
        </w:rPr>
        <w:t>ing</w:t>
      </w:r>
      <w:r w:rsidR="007108C3" w:rsidRPr="00A573AA">
        <w:rPr>
          <w:rStyle w:val="cf01"/>
          <w:rFonts w:asciiTheme="minorHAnsi" w:hAnsiTheme="minorHAnsi" w:cstheme="minorHAnsi"/>
          <w:b/>
          <w:bCs/>
          <w:sz w:val="22"/>
          <w:szCs w:val="22"/>
        </w:rPr>
        <w:t xml:space="preserve"> occupancy concerns?</w:t>
      </w:r>
    </w:p>
    <w:bookmarkEnd w:id="1"/>
    <w:p w14:paraId="5BEDDFF0" w14:textId="77777777" w:rsidR="005C7A48" w:rsidRPr="00A573AA" w:rsidRDefault="005C7A48" w:rsidP="00A573AA">
      <w:pPr>
        <w:pStyle w:val="pf0"/>
        <w:spacing w:before="0" w:beforeAutospacing="0" w:after="0" w:afterAutospacing="0"/>
        <w:ind w:left="720"/>
        <w:jc w:val="both"/>
        <w:rPr>
          <w:rStyle w:val="cf01"/>
          <w:rFonts w:asciiTheme="minorHAnsi" w:hAnsiTheme="minorHAnsi" w:cstheme="minorHAnsi"/>
          <w:sz w:val="22"/>
          <w:szCs w:val="22"/>
        </w:rPr>
      </w:pPr>
    </w:p>
    <w:p w14:paraId="22B02990" w14:textId="31F37EB5" w:rsidR="00CF45D7" w:rsidRPr="001E678C" w:rsidRDefault="0084410F" w:rsidP="00A573AA">
      <w:pPr>
        <w:pStyle w:val="pf0"/>
        <w:spacing w:before="0" w:beforeAutospacing="0" w:after="0" w:afterAutospacing="0"/>
        <w:ind w:left="720"/>
        <w:jc w:val="both"/>
        <w:rPr>
          <w:rStyle w:val="cf01"/>
          <w:rFonts w:asciiTheme="minorHAnsi" w:hAnsiTheme="minorHAnsi" w:cstheme="minorHAnsi"/>
          <w:sz w:val="22"/>
          <w:szCs w:val="22"/>
        </w:rPr>
      </w:pPr>
      <w:r w:rsidRPr="001E678C">
        <w:rPr>
          <w:rStyle w:val="cf01"/>
          <w:rFonts w:asciiTheme="minorHAnsi" w:hAnsiTheme="minorHAnsi" w:cstheme="minorHAnsi"/>
          <w:sz w:val="22"/>
          <w:szCs w:val="22"/>
        </w:rPr>
        <w:t xml:space="preserve">MGH </w:t>
      </w:r>
      <w:r w:rsidR="00783AEC" w:rsidRPr="001E678C">
        <w:rPr>
          <w:rStyle w:val="cf01"/>
          <w:rFonts w:asciiTheme="minorHAnsi" w:hAnsiTheme="minorHAnsi" w:cstheme="minorHAnsi"/>
          <w:sz w:val="22"/>
          <w:szCs w:val="22"/>
        </w:rPr>
        <w:t>uses</w:t>
      </w:r>
      <w:r w:rsidR="005C7A48" w:rsidRPr="001E678C">
        <w:rPr>
          <w:rStyle w:val="cf01"/>
          <w:rFonts w:asciiTheme="minorHAnsi" w:hAnsiTheme="minorHAnsi" w:cstheme="minorHAnsi"/>
          <w:sz w:val="22"/>
          <w:szCs w:val="22"/>
        </w:rPr>
        <w:t xml:space="preserve"> </w:t>
      </w:r>
      <w:r w:rsidR="00722D33" w:rsidRPr="001E678C">
        <w:rPr>
          <w:rStyle w:val="cf01"/>
          <w:rFonts w:asciiTheme="minorHAnsi" w:hAnsiTheme="minorHAnsi" w:cstheme="minorHAnsi"/>
          <w:sz w:val="22"/>
          <w:szCs w:val="22"/>
        </w:rPr>
        <w:t>MGB community hospital</w:t>
      </w:r>
      <w:r w:rsidR="005C7A48" w:rsidRPr="001E678C">
        <w:rPr>
          <w:rStyle w:val="cf01"/>
          <w:rFonts w:asciiTheme="minorHAnsi" w:hAnsiTheme="minorHAnsi" w:cstheme="minorHAnsi"/>
          <w:sz w:val="22"/>
          <w:szCs w:val="22"/>
        </w:rPr>
        <w:t xml:space="preserve"> capacity when available </w:t>
      </w:r>
      <w:r w:rsidRPr="001E678C">
        <w:rPr>
          <w:rStyle w:val="cf01"/>
          <w:rFonts w:asciiTheme="minorHAnsi" w:hAnsiTheme="minorHAnsi" w:cstheme="minorHAnsi"/>
          <w:sz w:val="22"/>
          <w:szCs w:val="22"/>
        </w:rPr>
        <w:t>for</w:t>
      </w:r>
      <w:r w:rsidR="005C7A48" w:rsidRPr="001E678C">
        <w:rPr>
          <w:rStyle w:val="cf01"/>
          <w:rFonts w:asciiTheme="minorHAnsi" w:hAnsiTheme="minorHAnsi" w:cstheme="minorHAnsi"/>
          <w:sz w:val="22"/>
          <w:szCs w:val="22"/>
        </w:rPr>
        <w:t xml:space="preserve"> transfers</w:t>
      </w:r>
      <w:r w:rsidR="00375BDF" w:rsidRPr="001E678C">
        <w:rPr>
          <w:rStyle w:val="cf01"/>
          <w:rFonts w:asciiTheme="minorHAnsi" w:hAnsiTheme="minorHAnsi" w:cstheme="minorHAnsi"/>
          <w:sz w:val="22"/>
          <w:szCs w:val="22"/>
        </w:rPr>
        <w:t xml:space="preserve"> and direct admissions</w:t>
      </w:r>
      <w:r w:rsidR="005C7A48" w:rsidRPr="001E678C">
        <w:rPr>
          <w:rStyle w:val="cf01"/>
          <w:rFonts w:asciiTheme="minorHAnsi" w:hAnsiTheme="minorHAnsi" w:cstheme="minorHAnsi"/>
          <w:sz w:val="22"/>
          <w:szCs w:val="22"/>
        </w:rPr>
        <w:t>.</w:t>
      </w:r>
      <w:r w:rsidRPr="001E678C">
        <w:rPr>
          <w:rStyle w:val="cf01"/>
          <w:rFonts w:asciiTheme="minorHAnsi" w:hAnsiTheme="minorHAnsi" w:cstheme="minorHAnsi"/>
          <w:sz w:val="22"/>
          <w:szCs w:val="22"/>
        </w:rPr>
        <w:t xml:space="preserve"> MG</w:t>
      </w:r>
      <w:r w:rsidR="00722D33" w:rsidRPr="001E678C">
        <w:rPr>
          <w:rStyle w:val="cf01"/>
          <w:rFonts w:asciiTheme="minorHAnsi" w:hAnsiTheme="minorHAnsi" w:cstheme="minorHAnsi"/>
          <w:sz w:val="22"/>
          <w:szCs w:val="22"/>
        </w:rPr>
        <w:t>B</w:t>
      </w:r>
      <w:r w:rsidRPr="001E678C">
        <w:rPr>
          <w:rStyle w:val="cf01"/>
          <w:rFonts w:asciiTheme="minorHAnsi" w:hAnsiTheme="minorHAnsi" w:cstheme="minorHAnsi"/>
          <w:sz w:val="22"/>
          <w:szCs w:val="22"/>
        </w:rPr>
        <w:t xml:space="preserve"> is</w:t>
      </w:r>
      <w:r w:rsidR="005C7A48" w:rsidRPr="001E678C">
        <w:rPr>
          <w:rStyle w:val="cf01"/>
          <w:rFonts w:asciiTheme="minorHAnsi" w:hAnsiTheme="minorHAnsi" w:cstheme="minorHAnsi"/>
          <w:sz w:val="22"/>
          <w:szCs w:val="22"/>
        </w:rPr>
        <w:t xml:space="preserve"> also </w:t>
      </w:r>
      <w:r w:rsidRPr="001E678C">
        <w:rPr>
          <w:rStyle w:val="cf01"/>
          <w:rFonts w:asciiTheme="minorHAnsi" w:hAnsiTheme="minorHAnsi" w:cstheme="minorHAnsi"/>
          <w:sz w:val="22"/>
          <w:szCs w:val="22"/>
        </w:rPr>
        <w:t xml:space="preserve">expanding </w:t>
      </w:r>
      <w:r w:rsidR="00722D33" w:rsidRPr="001E678C">
        <w:rPr>
          <w:rStyle w:val="cf01"/>
          <w:rFonts w:asciiTheme="minorHAnsi" w:hAnsiTheme="minorHAnsi" w:cstheme="minorHAnsi"/>
          <w:sz w:val="22"/>
          <w:szCs w:val="22"/>
        </w:rPr>
        <w:t>a</w:t>
      </w:r>
      <w:r w:rsidRPr="001E678C">
        <w:rPr>
          <w:rStyle w:val="cf01"/>
          <w:rFonts w:asciiTheme="minorHAnsi" w:hAnsiTheme="minorHAnsi" w:cstheme="minorHAnsi"/>
          <w:sz w:val="22"/>
          <w:szCs w:val="22"/>
        </w:rPr>
        <w:t xml:space="preserve"> Home Hospital program </w:t>
      </w:r>
      <w:r w:rsidR="00722D33" w:rsidRPr="001E678C">
        <w:rPr>
          <w:rStyle w:val="cf01"/>
          <w:rFonts w:asciiTheme="minorHAnsi" w:hAnsiTheme="minorHAnsi" w:cstheme="minorHAnsi"/>
          <w:sz w:val="22"/>
          <w:szCs w:val="22"/>
        </w:rPr>
        <w:t xml:space="preserve">for qualified </w:t>
      </w:r>
      <w:r w:rsidR="00375BDF" w:rsidRPr="001E678C">
        <w:rPr>
          <w:rStyle w:val="cf01"/>
          <w:rFonts w:asciiTheme="minorHAnsi" w:hAnsiTheme="minorHAnsi" w:cstheme="minorHAnsi"/>
          <w:sz w:val="22"/>
          <w:szCs w:val="22"/>
        </w:rPr>
        <w:t>patients</w:t>
      </w:r>
      <w:r w:rsidRPr="001E678C">
        <w:rPr>
          <w:rStyle w:val="cf01"/>
          <w:rFonts w:asciiTheme="minorHAnsi" w:hAnsiTheme="minorHAnsi" w:cstheme="minorHAnsi"/>
          <w:sz w:val="22"/>
          <w:szCs w:val="22"/>
        </w:rPr>
        <w:t xml:space="preserve">. Both programs address the lower acuity </w:t>
      </w:r>
      <w:r w:rsidR="00A24747" w:rsidRPr="001E678C">
        <w:rPr>
          <w:rStyle w:val="cf01"/>
          <w:rFonts w:asciiTheme="minorHAnsi" w:hAnsiTheme="minorHAnsi" w:cstheme="minorHAnsi"/>
          <w:sz w:val="22"/>
          <w:szCs w:val="22"/>
        </w:rPr>
        <w:t xml:space="preserve">(e.g., </w:t>
      </w:r>
      <w:r w:rsidRPr="001E678C">
        <w:rPr>
          <w:rStyle w:val="cf01"/>
          <w:rFonts w:asciiTheme="minorHAnsi" w:hAnsiTheme="minorHAnsi" w:cstheme="minorHAnsi"/>
          <w:sz w:val="22"/>
          <w:szCs w:val="22"/>
        </w:rPr>
        <w:t>community</w:t>
      </w:r>
      <w:r w:rsidR="00A24747" w:rsidRPr="001E678C">
        <w:rPr>
          <w:rStyle w:val="cf01"/>
          <w:rFonts w:asciiTheme="minorHAnsi" w:hAnsiTheme="minorHAnsi" w:cstheme="minorHAnsi"/>
          <w:sz w:val="22"/>
          <w:szCs w:val="22"/>
        </w:rPr>
        <w:t>-level)</w:t>
      </w:r>
      <w:r w:rsidRPr="001E678C">
        <w:rPr>
          <w:rStyle w:val="cf01"/>
          <w:rFonts w:asciiTheme="minorHAnsi" w:hAnsiTheme="minorHAnsi" w:cstheme="minorHAnsi"/>
          <w:sz w:val="22"/>
          <w:szCs w:val="22"/>
        </w:rPr>
        <w:t xml:space="preserve"> patients. </w:t>
      </w:r>
      <w:r w:rsidR="00A24747" w:rsidRPr="001E678C">
        <w:rPr>
          <w:rStyle w:val="cf01"/>
          <w:rFonts w:asciiTheme="minorHAnsi" w:hAnsiTheme="minorHAnsi" w:cstheme="minorHAnsi"/>
          <w:sz w:val="22"/>
          <w:szCs w:val="22"/>
        </w:rPr>
        <w:t>However, t</w:t>
      </w:r>
      <w:r w:rsidR="00AB49B8" w:rsidRPr="001E678C">
        <w:rPr>
          <w:rStyle w:val="cf01"/>
          <w:rFonts w:asciiTheme="minorHAnsi" w:hAnsiTheme="minorHAnsi" w:cstheme="minorHAnsi"/>
          <w:sz w:val="22"/>
          <w:szCs w:val="22"/>
        </w:rPr>
        <w:t>he three MGB community hospitals in eastern Mass</w:t>
      </w:r>
      <w:r w:rsidR="00783AEC" w:rsidRPr="001E678C">
        <w:rPr>
          <w:rStyle w:val="cf01"/>
          <w:rFonts w:asciiTheme="minorHAnsi" w:hAnsiTheme="minorHAnsi" w:cstheme="minorHAnsi"/>
          <w:sz w:val="22"/>
          <w:szCs w:val="22"/>
        </w:rPr>
        <w:t>achusetts</w:t>
      </w:r>
      <w:r w:rsidR="00783AEC" w:rsidRPr="001E678C">
        <w:rPr>
          <w:rStyle w:val="FootnoteReference"/>
          <w:rFonts w:asciiTheme="minorHAnsi" w:hAnsiTheme="minorHAnsi" w:cstheme="minorHAnsi"/>
          <w:sz w:val="22"/>
          <w:szCs w:val="22"/>
        </w:rPr>
        <w:footnoteReference w:id="8"/>
      </w:r>
      <w:r w:rsidR="00AB49B8" w:rsidRPr="001E678C">
        <w:rPr>
          <w:rStyle w:val="cf01"/>
          <w:rFonts w:asciiTheme="minorHAnsi" w:hAnsiTheme="minorHAnsi" w:cstheme="minorHAnsi"/>
          <w:sz w:val="22"/>
          <w:szCs w:val="22"/>
        </w:rPr>
        <w:t xml:space="preserve"> are over the standard 85%</w:t>
      </w:r>
      <w:r w:rsidR="00A24747" w:rsidRPr="001E678C">
        <w:rPr>
          <w:rStyle w:val="cf01"/>
          <w:rFonts w:asciiTheme="minorHAnsi" w:hAnsiTheme="minorHAnsi" w:cstheme="minorHAnsi"/>
          <w:sz w:val="22"/>
          <w:szCs w:val="22"/>
        </w:rPr>
        <w:t xml:space="preserve"> occupancy</w:t>
      </w:r>
      <w:r w:rsidR="009F2E45" w:rsidRPr="001E678C">
        <w:rPr>
          <w:rStyle w:val="cf01"/>
          <w:rFonts w:asciiTheme="minorHAnsi" w:hAnsiTheme="minorHAnsi" w:cstheme="minorHAnsi"/>
          <w:sz w:val="22"/>
          <w:szCs w:val="22"/>
        </w:rPr>
        <w:t xml:space="preserve"> (</w:t>
      </w:r>
      <w:r w:rsidR="00EE3E1B" w:rsidRPr="001E678C">
        <w:rPr>
          <w:rStyle w:val="cf01"/>
          <w:rFonts w:asciiTheme="minorHAnsi" w:hAnsiTheme="minorHAnsi" w:cstheme="minorHAnsi"/>
          <w:sz w:val="22"/>
          <w:szCs w:val="22"/>
        </w:rPr>
        <w:t>over 90%)</w:t>
      </w:r>
      <w:r w:rsidR="00AB49B8" w:rsidRPr="001E678C">
        <w:rPr>
          <w:rStyle w:val="cf01"/>
          <w:rFonts w:asciiTheme="minorHAnsi" w:hAnsiTheme="minorHAnsi" w:cstheme="minorHAnsi"/>
          <w:sz w:val="22"/>
          <w:szCs w:val="22"/>
        </w:rPr>
        <w:t>.</w:t>
      </w:r>
    </w:p>
    <w:p w14:paraId="7EBFCDD5" w14:textId="77777777" w:rsidR="00EE3E1B" w:rsidRPr="001E678C" w:rsidRDefault="00EE3E1B" w:rsidP="00A573AA">
      <w:pPr>
        <w:pStyle w:val="pf0"/>
        <w:spacing w:before="0" w:beforeAutospacing="0" w:after="0" w:afterAutospacing="0"/>
        <w:ind w:left="720"/>
        <w:jc w:val="both"/>
        <w:rPr>
          <w:rStyle w:val="cf01"/>
          <w:rFonts w:asciiTheme="minorHAnsi" w:eastAsiaTheme="minorHAnsi" w:hAnsiTheme="minorHAnsi" w:cstheme="minorHAnsi"/>
          <w:sz w:val="22"/>
          <w:szCs w:val="22"/>
        </w:rPr>
      </w:pPr>
    </w:p>
    <w:p w14:paraId="37449A15" w14:textId="4AF8F862" w:rsidR="00EE3E1B" w:rsidRPr="00A573AA" w:rsidRDefault="00E27C97" w:rsidP="00A573AA">
      <w:pPr>
        <w:pStyle w:val="pf0"/>
        <w:spacing w:before="0" w:beforeAutospacing="0" w:after="0" w:afterAutospacing="0"/>
        <w:ind w:left="720"/>
        <w:jc w:val="both"/>
        <w:rPr>
          <w:rStyle w:val="cf01"/>
          <w:rFonts w:asciiTheme="minorHAnsi" w:hAnsiTheme="minorHAnsi" w:cstheme="minorHAnsi"/>
          <w:sz w:val="22"/>
          <w:szCs w:val="22"/>
        </w:rPr>
      </w:pPr>
      <w:r>
        <w:rPr>
          <w:rStyle w:val="cf01"/>
          <w:rFonts w:asciiTheme="minorHAnsi" w:hAnsiTheme="minorHAnsi" w:cstheme="minorHAnsi"/>
          <w:sz w:val="22"/>
          <w:szCs w:val="22"/>
        </w:rPr>
        <w:t>Moreover,</w:t>
      </w:r>
      <w:r w:rsidR="00EE3E1B" w:rsidRPr="001E678C">
        <w:rPr>
          <w:rStyle w:val="cf01"/>
          <w:rFonts w:asciiTheme="minorHAnsi" w:hAnsiTheme="minorHAnsi" w:cstheme="minorHAnsi"/>
          <w:sz w:val="22"/>
          <w:szCs w:val="22"/>
        </w:rPr>
        <w:t xml:space="preserve"> </w:t>
      </w:r>
      <w:r w:rsidR="001E678C">
        <w:rPr>
          <w:rStyle w:val="cf01"/>
          <w:rFonts w:asciiTheme="minorHAnsi" w:hAnsiTheme="minorHAnsi" w:cstheme="minorHAnsi"/>
          <w:sz w:val="22"/>
          <w:szCs w:val="22"/>
        </w:rPr>
        <w:t xml:space="preserve">a </w:t>
      </w:r>
      <w:r w:rsidR="00EE3E1B" w:rsidRPr="001E678C">
        <w:rPr>
          <w:rStyle w:val="cf01"/>
          <w:rFonts w:asciiTheme="minorHAnsi" w:hAnsiTheme="minorHAnsi" w:cstheme="minorHAnsi"/>
          <w:sz w:val="22"/>
          <w:szCs w:val="22"/>
        </w:rPr>
        <w:t>subset of community-level care at MGH is geographically driven</w:t>
      </w:r>
      <w:r>
        <w:rPr>
          <w:rStyle w:val="cf01"/>
          <w:rFonts w:asciiTheme="minorHAnsi" w:hAnsiTheme="minorHAnsi" w:cstheme="minorHAnsi"/>
          <w:sz w:val="22"/>
          <w:szCs w:val="22"/>
        </w:rPr>
        <w:t xml:space="preserve"> and should not be transferred outside of the community</w:t>
      </w:r>
      <w:r w:rsidR="00EE3E1B" w:rsidRPr="001E678C">
        <w:rPr>
          <w:rStyle w:val="cf01"/>
          <w:rFonts w:asciiTheme="minorHAnsi" w:hAnsiTheme="minorHAnsi" w:cstheme="minorHAnsi"/>
          <w:sz w:val="22"/>
          <w:szCs w:val="22"/>
        </w:rPr>
        <w:t xml:space="preserve">.  As </w:t>
      </w:r>
      <w:r w:rsidR="00EE3E1B" w:rsidRPr="00A573AA">
        <w:rPr>
          <w:rStyle w:val="cf01"/>
          <w:rFonts w:asciiTheme="minorHAnsi" w:hAnsiTheme="minorHAnsi" w:cstheme="minorHAnsi"/>
          <w:sz w:val="22"/>
          <w:szCs w:val="22"/>
        </w:rPr>
        <w:t xml:space="preserve">the amendment noted, MGH is the community hospital for segments of Boston, Revere, </w:t>
      </w:r>
      <w:proofErr w:type="gramStart"/>
      <w:r w:rsidR="00EE3E1B" w:rsidRPr="00A573AA">
        <w:rPr>
          <w:rStyle w:val="cf01"/>
          <w:rFonts w:asciiTheme="minorHAnsi" w:hAnsiTheme="minorHAnsi" w:cstheme="minorHAnsi"/>
          <w:sz w:val="22"/>
          <w:szCs w:val="22"/>
        </w:rPr>
        <w:t>Chelsea</w:t>
      </w:r>
      <w:proofErr w:type="gramEnd"/>
      <w:r w:rsidR="00EE3E1B" w:rsidRPr="00A573AA">
        <w:rPr>
          <w:rStyle w:val="cf01"/>
          <w:rFonts w:asciiTheme="minorHAnsi" w:hAnsiTheme="minorHAnsi" w:cstheme="minorHAnsi"/>
          <w:sz w:val="22"/>
          <w:szCs w:val="22"/>
        </w:rPr>
        <w:t xml:space="preserve"> and Winthrop.</w:t>
      </w:r>
    </w:p>
    <w:p w14:paraId="20201391" w14:textId="77777777" w:rsidR="00AB49B8" w:rsidRPr="00A573AA" w:rsidRDefault="00AB49B8" w:rsidP="00EE3E1B">
      <w:pPr>
        <w:pStyle w:val="pf0"/>
        <w:spacing w:before="0" w:beforeAutospacing="0" w:after="0" w:afterAutospacing="0"/>
        <w:rPr>
          <w:rStyle w:val="cf01"/>
          <w:rFonts w:asciiTheme="minorHAnsi" w:hAnsiTheme="minorHAnsi" w:cstheme="minorHAnsi"/>
          <w:sz w:val="22"/>
          <w:szCs w:val="22"/>
        </w:rPr>
      </w:pPr>
    </w:p>
    <w:p w14:paraId="6A354D50" w14:textId="5CB6B9DB" w:rsidR="0059393C" w:rsidRPr="00A573AA" w:rsidRDefault="0059393C" w:rsidP="00A573AA">
      <w:pPr>
        <w:pStyle w:val="pf0"/>
        <w:numPr>
          <w:ilvl w:val="0"/>
          <w:numId w:val="41"/>
        </w:numPr>
        <w:spacing w:before="0" w:beforeAutospacing="0" w:after="0" w:afterAutospacing="0"/>
        <w:jc w:val="both"/>
        <w:rPr>
          <w:rStyle w:val="cf01"/>
          <w:rFonts w:asciiTheme="minorHAnsi" w:hAnsiTheme="minorHAnsi" w:cstheme="minorHAnsi"/>
          <w:b/>
          <w:bCs/>
          <w:sz w:val="22"/>
          <w:szCs w:val="22"/>
        </w:rPr>
      </w:pPr>
      <w:bookmarkStart w:id="2" w:name="_Hlk160190418"/>
      <w:r w:rsidRPr="00A573AA">
        <w:rPr>
          <w:rStyle w:val="cf01"/>
          <w:rFonts w:asciiTheme="minorHAnsi" w:hAnsiTheme="minorHAnsi" w:cstheme="minorHAnsi"/>
          <w:b/>
          <w:bCs/>
          <w:sz w:val="22"/>
          <w:szCs w:val="22"/>
        </w:rPr>
        <w:t>In FY2023, what was the average length of stay (ALOS)</w:t>
      </w:r>
      <w:r w:rsidR="00DC2981" w:rsidRPr="00A573AA">
        <w:rPr>
          <w:rStyle w:val="cf01"/>
          <w:rFonts w:asciiTheme="minorHAnsi" w:hAnsiTheme="minorHAnsi" w:cstheme="minorHAnsi"/>
          <w:b/>
          <w:bCs/>
          <w:sz w:val="22"/>
          <w:szCs w:val="22"/>
        </w:rPr>
        <w:t xml:space="preserve"> </w:t>
      </w:r>
      <w:r w:rsidR="005B31C8" w:rsidRPr="00A573AA">
        <w:rPr>
          <w:rStyle w:val="cf01"/>
          <w:rFonts w:asciiTheme="minorHAnsi" w:hAnsiTheme="minorHAnsi" w:cstheme="minorHAnsi"/>
          <w:b/>
          <w:bCs/>
          <w:sz w:val="22"/>
          <w:szCs w:val="22"/>
        </w:rPr>
        <w:t xml:space="preserve">for inpatient beds </w:t>
      </w:r>
      <w:r w:rsidR="00C70F9B" w:rsidRPr="00A573AA">
        <w:rPr>
          <w:rStyle w:val="cf01"/>
          <w:rFonts w:asciiTheme="minorHAnsi" w:hAnsiTheme="minorHAnsi" w:cstheme="minorHAnsi"/>
          <w:b/>
          <w:bCs/>
          <w:sz w:val="22"/>
          <w:szCs w:val="22"/>
        </w:rPr>
        <w:t>(medical/surgical and intensive care unit beds.)</w:t>
      </w:r>
    </w:p>
    <w:p w14:paraId="6612C3FF" w14:textId="71A5D7CD" w:rsidR="00923879" w:rsidRPr="00A573AA" w:rsidRDefault="00923879" w:rsidP="00A573AA">
      <w:pPr>
        <w:pStyle w:val="pf0"/>
        <w:spacing w:before="0" w:beforeAutospacing="0" w:after="0" w:afterAutospacing="0"/>
        <w:ind w:left="720"/>
        <w:jc w:val="both"/>
        <w:rPr>
          <w:rStyle w:val="cf01"/>
          <w:rFonts w:asciiTheme="minorHAnsi" w:hAnsiTheme="minorHAnsi" w:cstheme="minorHAnsi"/>
          <w:color w:val="FF0000"/>
          <w:sz w:val="22"/>
          <w:szCs w:val="22"/>
        </w:rPr>
      </w:pPr>
    </w:p>
    <w:p w14:paraId="13778181" w14:textId="7399BE9F" w:rsidR="00783AEC" w:rsidRPr="00A573AA" w:rsidRDefault="005C7A48" w:rsidP="00A573AA">
      <w:pPr>
        <w:pStyle w:val="pf0"/>
        <w:spacing w:before="0" w:beforeAutospacing="0" w:after="0" w:afterAutospacing="0"/>
        <w:ind w:left="720"/>
        <w:jc w:val="both"/>
        <w:rPr>
          <w:rStyle w:val="cf01"/>
          <w:rFonts w:asciiTheme="minorHAnsi" w:hAnsiTheme="minorHAnsi" w:cstheme="minorHAnsi"/>
          <w:sz w:val="22"/>
          <w:szCs w:val="22"/>
        </w:rPr>
      </w:pPr>
      <w:r w:rsidRPr="00A573AA">
        <w:rPr>
          <w:rStyle w:val="cf01"/>
          <w:rFonts w:asciiTheme="minorHAnsi" w:hAnsiTheme="minorHAnsi" w:cstheme="minorHAnsi"/>
          <w:sz w:val="22"/>
          <w:szCs w:val="22"/>
        </w:rPr>
        <w:t xml:space="preserve">We report ALOS by patient and not by </w:t>
      </w:r>
      <w:r w:rsidR="00EE3E1B" w:rsidRPr="00A573AA">
        <w:rPr>
          <w:rStyle w:val="cf01"/>
          <w:rFonts w:asciiTheme="minorHAnsi" w:hAnsiTheme="minorHAnsi" w:cstheme="minorHAnsi"/>
          <w:sz w:val="22"/>
          <w:szCs w:val="22"/>
        </w:rPr>
        <w:t>bed (</w:t>
      </w:r>
      <w:r w:rsidRPr="00A573AA">
        <w:rPr>
          <w:rStyle w:val="cf01"/>
          <w:rFonts w:asciiTheme="minorHAnsi" w:hAnsiTheme="minorHAnsi" w:cstheme="minorHAnsi"/>
          <w:sz w:val="22"/>
          <w:szCs w:val="22"/>
        </w:rPr>
        <w:t>med/surg routine vs ICU</w:t>
      </w:r>
      <w:r w:rsidR="00EE3E1B" w:rsidRPr="00A573AA">
        <w:rPr>
          <w:rStyle w:val="cf01"/>
          <w:rFonts w:asciiTheme="minorHAnsi" w:hAnsiTheme="minorHAnsi" w:cstheme="minorHAnsi"/>
          <w:sz w:val="22"/>
          <w:szCs w:val="22"/>
        </w:rPr>
        <w:t>)</w:t>
      </w:r>
      <w:r w:rsidRPr="00A573AA">
        <w:rPr>
          <w:rStyle w:val="cf01"/>
          <w:rFonts w:asciiTheme="minorHAnsi" w:hAnsiTheme="minorHAnsi" w:cstheme="minorHAnsi"/>
          <w:sz w:val="22"/>
          <w:szCs w:val="22"/>
        </w:rPr>
        <w:t xml:space="preserve">. The patients go between these locations </w:t>
      </w:r>
      <w:r w:rsidR="00A24747" w:rsidRPr="00A573AA">
        <w:rPr>
          <w:rStyle w:val="cf01"/>
          <w:rFonts w:asciiTheme="minorHAnsi" w:hAnsiTheme="minorHAnsi" w:cstheme="minorHAnsi"/>
          <w:sz w:val="22"/>
          <w:szCs w:val="22"/>
        </w:rPr>
        <w:t>throughout</w:t>
      </w:r>
      <w:r w:rsidRPr="00A573AA">
        <w:rPr>
          <w:rStyle w:val="cf01"/>
          <w:rFonts w:asciiTheme="minorHAnsi" w:hAnsiTheme="minorHAnsi" w:cstheme="minorHAnsi"/>
          <w:sz w:val="22"/>
          <w:szCs w:val="22"/>
        </w:rPr>
        <w:t xml:space="preserve"> their stay so there is no unique LOS</w:t>
      </w:r>
      <w:r w:rsidR="00A24747" w:rsidRPr="00A573AA">
        <w:rPr>
          <w:rStyle w:val="cf01"/>
          <w:rFonts w:asciiTheme="minorHAnsi" w:hAnsiTheme="minorHAnsi" w:cstheme="minorHAnsi"/>
          <w:sz w:val="22"/>
          <w:szCs w:val="22"/>
        </w:rPr>
        <w:t xml:space="preserve"> for the type of licensed bed</w:t>
      </w:r>
      <w:r w:rsidRPr="00A573AA">
        <w:rPr>
          <w:rStyle w:val="cf01"/>
          <w:rFonts w:asciiTheme="minorHAnsi" w:hAnsiTheme="minorHAnsi" w:cstheme="minorHAnsi"/>
          <w:sz w:val="22"/>
          <w:szCs w:val="22"/>
        </w:rPr>
        <w:t>. The</w:t>
      </w:r>
      <w:r w:rsidR="00A24747" w:rsidRPr="00A573AA">
        <w:rPr>
          <w:rStyle w:val="cf01"/>
          <w:rFonts w:asciiTheme="minorHAnsi" w:hAnsiTheme="minorHAnsi" w:cstheme="minorHAnsi"/>
          <w:sz w:val="22"/>
          <w:szCs w:val="22"/>
        </w:rPr>
        <w:t xml:space="preserve"> table below separates patients who had at least one night in the ICU from those who never received care in an ICU bed.   </w:t>
      </w:r>
      <w:r w:rsidRPr="00A573AA">
        <w:rPr>
          <w:rStyle w:val="cf01"/>
          <w:rFonts w:asciiTheme="minorHAnsi" w:hAnsiTheme="minorHAnsi" w:cstheme="minorHAnsi"/>
          <w:sz w:val="22"/>
          <w:szCs w:val="22"/>
        </w:rPr>
        <w:t xml:space="preserve"> </w:t>
      </w:r>
      <w:r w:rsidR="00A24747" w:rsidRPr="00A573AA">
        <w:rPr>
          <w:rStyle w:val="cf01"/>
          <w:rFonts w:asciiTheme="minorHAnsi" w:hAnsiTheme="minorHAnsi" w:cstheme="minorHAnsi"/>
          <w:sz w:val="22"/>
          <w:szCs w:val="22"/>
        </w:rPr>
        <w:t xml:space="preserve">Patients who spent some time in the ICU have a significantly higher overall LOS compared to patients </w:t>
      </w:r>
      <w:r w:rsidRPr="00A573AA">
        <w:rPr>
          <w:rStyle w:val="cf01"/>
          <w:rFonts w:asciiTheme="minorHAnsi" w:hAnsiTheme="minorHAnsi" w:cstheme="minorHAnsi"/>
          <w:sz w:val="22"/>
          <w:szCs w:val="22"/>
        </w:rPr>
        <w:t>that were never in an ICU bed during their stay.</w:t>
      </w:r>
    </w:p>
    <w:p w14:paraId="0C23DBC5" w14:textId="77777777" w:rsidR="005C7A48" w:rsidRDefault="005C7A48" w:rsidP="00282902">
      <w:pPr>
        <w:pStyle w:val="pf0"/>
        <w:spacing w:before="0" w:beforeAutospacing="0" w:after="0" w:afterAutospacing="0"/>
        <w:ind w:left="720"/>
        <w:rPr>
          <w:rStyle w:val="cf01"/>
          <w:rFonts w:asciiTheme="minorHAnsi" w:hAnsiTheme="minorHAnsi" w:cstheme="minorHAnsi"/>
          <w:color w:val="FF0000"/>
          <w:sz w:val="24"/>
          <w:szCs w:val="24"/>
        </w:rPr>
      </w:pPr>
    </w:p>
    <w:tbl>
      <w:tblPr>
        <w:tblW w:w="6220" w:type="dxa"/>
        <w:jc w:val="center"/>
        <w:tblLook w:val="04A0" w:firstRow="1" w:lastRow="0" w:firstColumn="1" w:lastColumn="0" w:noHBand="0" w:noVBand="1"/>
      </w:tblPr>
      <w:tblGrid>
        <w:gridCol w:w="3340"/>
        <w:gridCol w:w="960"/>
        <w:gridCol w:w="960"/>
        <w:gridCol w:w="960"/>
      </w:tblGrid>
      <w:tr w:rsidR="00F13EC8" w:rsidRPr="00923879" w14:paraId="6B1CC18F" w14:textId="3404EA54" w:rsidTr="00575AE4">
        <w:trPr>
          <w:cantSplit/>
          <w:trHeight w:val="300"/>
          <w:jc w:val="center"/>
        </w:trPr>
        <w:tc>
          <w:tcPr>
            <w:tcW w:w="33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8B43BA6" w14:textId="5E136BA7" w:rsidR="00F13EC8" w:rsidRPr="00923879" w:rsidRDefault="00F13EC8" w:rsidP="00923879">
            <w:pPr>
              <w:spacing w:after="0" w:line="240" w:lineRule="auto"/>
              <w:rPr>
                <w:rFonts w:ascii="Calibri" w:eastAsia="Times New Roman" w:hAnsi="Calibri" w:cs="Calibri"/>
                <w:color w:val="000000"/>
              </w:rPr>
            </w:pPr>
            <w:r w:rsidRPr="00923879">
              <w:rPr>
                <w:rFonts w:ascii="Calibri" w:eastAsia="Times New Roman" w:hAnsi="Calibri" w:cs="Calibri"/>
                <w:color w:val="000000"/>
              </w:rPr>
              <w:t> FY23 MGH IP Data</w:t>
            </w:r>
          </w:p>
        </w:tc>
        <w:tc>
          <w:tcPr>
            <w:tcW w:w="960" w:type="dxa"/>
            <w:tcBorders>
              <w:top w:val="single" w:sz="8" w:space="0" w:color="auto"/>
              <w:left w:val="nil"/>
              <w:bottom w:val="single" w:sz="8" w:space="0" w:color="auto"/>
              <w:right w:val="single" w:sz="8" w:space="0" w:color="auto"/>
            </w:tcBorders>
            <w:shd w:val="clear" w:color="auto" w:fill="auto"/>
            <w:noWrap/>
            <w:vAlign w:val="center"/>
          </w:tcPr>
          <w:p w14:paraId="6561350E" w14:textId="2A15DF47" w:rsidR="00F13EC8" w:rsidRPr="00923879" w:rsidRDefault="00F13EC8" w:rsidP="00923879">
            <w:pPr>
              <w:spacing w:after="0" w:line="240" w:lineRule="auto"/>
              <w:rPr>
                <w:rFonts w:ascii="Calibri" w:eastAsia="Times New Roman" w:hAnsi="Calibri" w:cs="Calibri"/>
                <w:color w:val="000000"/>
              </w:rPr>
            </w:pPr>
            <w:proofErr w:type="gramStart"/>
            <w:r w:rsidRPr="00923879">
              <w:rPr>
                <w:rFonts w:ascii="Calibri" w:eastAsia="Times New Roman" w:hAnsi="Calibri" w:cs="Calibri"/>
                <w:color w:val="000000"/>
              </w:rPr>
              <w:t>Non ICU</w:t>
            </w:r>
            <w:proofErr w:type="gramEnd"/>
          </w:p>
        </w:tc>
        <w:tc>
          <w:tcPr>
            <w:tcW w:w="960" w:type="dxa"/>
            <w:tcBorders>
              <w:top w:val="single" w:sz="8" w:space="0" w:color="auto"/>
              <w:left w:val="nil"/>
              <w:bottom w:val="single" w:sz="8" w:space="0" w:color="auto"/>
              <w:right w:val="single" w:sz="8" w:space="0" w:color="auto"/>
            </w:tcBorders>
            <w:shd w:val="clear" w:color="auto" w:fill="auto"/>
            <w:noWrap/>
            <w:vAlign w:val="center"/>
          </w:tcPr>
          <w:p w14:paraId="5D3D4D8D" w14:textId="24237911" w:rsidR="00F13EC8" w:rsidRPr="00923879" w:rsidRDefault="00F13EC8" w:rsidP="00923879">
            <w:pPr>
              <w:spacing w:after="0" w:line="240" w:lineRule="auto"/>
              <w:rPr>
                <w:rFonts w:ascii="Calibri" w:eastAsia="Times New Roman" w:hAnsi="Calibri" w:cs="Calibri"/>
                <w:color w:val="000000"/>
              </w:rPr>
            </w:pPr>
            <w:r w:rsidRPr="00923879">
              <w:rPr>
                <w:rFonts w:ascii="Calibri" w:eastAsia="Times New Roman" w:hAnsi="Calibri" w:cs="Calibri"/>
                <w:color w:val="000000"/>
              </w:rPr>
              <w:t>ICU</w:t>
            </w:r>
          </w:p>
        </w:tc>
        <w:tc>
          <w:tcPr>
            <w:tcW w:w="960" w:type="dxa"/>
            <w:tcBorders>
              <w:top w:val="single" w:sz="8" w:space="0" w:color="auto"/>
              <w:left w:val="nil"/>
              <w:bottom w:val="single" w:sz="8" w:space="0" w:color="auto"/>
              <w:right w:val="single" w:sz="8" w:space="0" w:color="auto"/>
            </w:tcBorders>
            <w:shd w:val="clear" w:color="auto" w:fill="auto"/>
          </w:tcPr>
          <w:p w14:paraId="3B9E7581" w14:textId="2B23B2D7" w:rsidR="00F13EC8" w:rsidRPr="00923879" w:rsidRDefault="002808F0" w:rsidP="00923879">
            <w:pPr>
              <w:spacing w:after="0" w:line="240" w:lineRule="auto"/>
              <w:rPr>
                <w:rFonts w:ascii="Calibri" w:eastAsia="Times New Roman" w:hAnsi="Calibri" w:cs="Calibri"/>
                <w:color w:val="000000"/>
              </w:rPr>
            </w:pPr>
            <w:r>
              <w:rPr>
                <w:rFonts w:ascii="Calibri" w:eastAsia="Times New Roman" w:hAnsi="Calibri" w:cs="Calibri"/>
                <w:color w:val="000000"/>
              </w:rPr>
              <w:t>Total</w:t>
            </w:r>
          </w:p>
        </w:tc>
      </w:tr>
      <w:tr w:rsidR="00F13EC8" w:rsidRPr="00923879" w14:paraId="1C0536F5" w14:textId="490E994C" w:rsidTr="00575AE4">
        <w:trPr>
          <w:cantSplit/>
          <w:trHeight w:val="300"/>
          <w:jc w:val="center"/>
        </w:trPr>
        <w:tc>
          <w:tcPr>
            <w:tcW w:w="3340" w:type="dxa"/>
            <w:tcBorders>
              <w:top w:val="nil"/>
              <w:left w:val="single" w:sz="8" w:space="0" w:color="auto"/>
              <w:bottom w:val="single" w:sz="8" w:space="0" w:color="auto"/>
              <w:right w:val="single" w:sz="8" w:space="0" w:color="auto"/>
            </w:tcBorders>
            <w:shd w:val="clear" w:color="auto" w:fill="auto"/>
            <w:noWrap/>
            <w:vAlign w:val="center"/>
          </w:tcPr>
          <w:p w14:paraId="493A8C93" w14:textId="0CC25F1E" w:rsidR="00F13EC8" w:rsidRPr="00923879" w:rsidRDefault="00F13EC8" w:rsidP="00923879">
            <w:pPr>
              <w:spacing w:after="0" w:line="240" w:lineRule="auto"/>
              <w:rPr>
                <w:rFonts w:ascii="Calibri" w:eastAsia="Times New Roman" w:hAnsi="Calibri" w:cs="Calibri"/>
                <w:color w:val="000000"/>
              </w:rPr>
            </w:pPr>
            <w:r w:rsidRPr="00923879">
              <w:rPr>
                <w:rFonts w:ascii="Calibri" w:eastAsia="Times New Roman" w:hAnsi="Calibri" w:cs="Calibri"/>
                <w:color w:val="000000"/>
              </w:rPr>
              <w:t>Med/Surg LOS</w:t>
            </w:r>
          </w:p>
        </w:tc>
        <w:tc>
          <w:tcPr>
            <w:tcW w:w="960" w:type="dxa"/>
            <w:tcBorders>
              <w:top w:val="nil"/>
              <w:left w:val="nil"/>
              <w:bottom w:val="single" w:sz="8" w:space="0" w:color="auto"/>
              <w:right w:val="single" w:sz="8" w:space="0" w:color="auto"/>
            </w:tcBorders>
            <w:shd w:val="clear" w:color="auto" w:fill="auto"/>
            <w:noWrap/>
            <w:vAlign w:val="center"/>
          </w:tcPr>
          <w:p w14:paraId="662FC688" w14:textId="17C7AA4A" w:rsidR="00F13EC8" w:rsidRPr="00923879" w:rsidRDefault="00F13EC8" w:rsidP="00923879">
            <w:pPr>
              <w:spacing w:after="0" w:line="240" w:lineRule="auto"/>
              <w:jc w:val="right"/>
              <w:rPr>
                <w:rFonts w:ascii="Calibri" w:eastAsia="Times New Roman" w:hAnsi="Calibri" w:cs="Calibri"/>
                <w:color w:val="000000"/>
              </w:rPr>
            </w:pPr>
            <w:r w:rsidRPr="00923879">
              <w:rPr>
                <w:rFonts w:ascii="Calibri" w:eastAsia="Times New Roman" w:hAnsi="Calibri" w:cs="Calibri"/>
                <w:color w:val="000000"/>
              </w:rPr>
              <w:t>6.</w:t>
            </w:r>
            <w:r>
              <w:rPr>
                <w:rFonts w:ascii="Calibri" w:eastAsia="Times New Roman" w:hAnsi="Calibri" w:cs="Calibri"/>
                <w:color w:val="000000"/>
              </w:rPr>
              <w:t>5</w:t>
            </w:r>
          </w:p>
        </w:tc>
        <w:tc>
          <w:tcPr>
            <w:tcW w:w="960" w:type="dxa"/>
            <w:tcBorders>
              <w:top w:val="nil"/>
              <w:left w:val="nil"/>
              <w:bottom w:val="single" w:sz="8" w:space="0" w:color="auto"/>
              <w:right w:val="single" w:sz="8" w:space="0" w:color="auto"/>
            </w:tcBorders>
            <w:shd w:val="clear" w:color="auto" w:fill="auto"/>
            <w:noWrap/>
            <w:vAlign w:val="center"/>
          </w:tcPr>
          <w:p w14:paraId="51E03528" w14:textId="61DC88AF" w:rsidR="00F13EC8" w:rsidRPr="00923879" w:rsidRDefault="00F13EC8" w:rsidP="00923879">
            <w:pPr>
              <w:spacing w:after="0" w:line="240" w:lineRule="auto"/>
              <w:jc w:val="right"/>
              <w:rPr>
                <w:rFonts w:ascii="Calibri" w:eastAsia="Times New Roman" w:hAnsi="Calibri" w:cs="Calibri"/>
                <w:color w:val="000000"/>
              </w:rPr>
            </w:pPr>
            <w:r w:rsidRPr="00923879">
              <w:rPr>
                <w:rFonts w:ascii="Calibri" w:eastAsia="Times New Roman" w:hAnsi="Calibri" w:cs="Calibri"/>
                <w:color w:val="000000"/>
              </w:rPr>
              <w:t>1</w:t>
            </w:r>
            <w:r>
              <w:rPr>
                <w:rFonts w:ascii="Calibri" w:eastAsia="Times New Roman" w:hAnsi="Calibri" w:cs="Calibri"/>
                <w:color w:val="000000"/>
              </w:rPr>
              <w:t>3.4</w:t>
            </w:r>
          </w:p>
        </w:tc>
        <w:tc>
          <w:tcPr>
            <w:tcW w:w="960" w:type="dxa"/>
            <w:tcBorders>
              <w:top w:val="nil"/>
              <w:left w:val="nil"/>
              <w:bottom w:val="single" w:sz="8" w:space="0" w:color="auto"/>
              <w:right w:val="single" w:sz="8" w:space="0" w:color="auto"/>
            </w:tcBorders>
            <w:shd w:val="clear" w:color="auto" w:fill="auto"/>
          </w:tcPr>
          <w:p w14:paraId="501BE4BB" w14:textId="2B0D3731" w:rsidR="00F13EC8" w:rsidRPr="00923879" w:rsidRDefault="00F13EC8" w:rsidP="00923879">
            <w:pPr>
              <w:spacing w:after="0" w:line="240" w:lineRule="auto"/>
              <w:jc w:val="right"/>
              <w:rPr>
                <w:rFonts w:ascii="Calibri" w:eastAsia="Times New Roman" w:hAnsi="Calibri" w:cs="Calibri"/>
                <w:color w:val="000000"/>
              </w:rPr>
            </w:pPr>
            <w:r>
              <w:rPr>
                <w:rFonts w:ascii="Calibri" w:eastAsia="Times New Roman" w:hAnsi="Calibri" w:cs="Calibri"/>
                <w:color w:val="000000"/>
              </w:rPr>
              <w:t>7.85</w:t>
            </w:r>
          </w:p>
        </w:tc>
      </w:tr>
      <w:bookmarkEnd w:id="2"/>
    </w:tbl>
    <w:p w14:paraId="0CA03A54" w14:textId="3158CF57" w:rsidR="00680AD8" w:rsidRPr="00680AD8" w:rsidRDefault="00680AD8" w:rsidP="00E27FDA">
      <w:pPr>
        <w:spacing w:line="229" w:lineRule="exact"/>
        <w:rPr>
          <w:rFonts w:cstheme="minorHAnsi"/>
          <w:sz w:val="24"/>
          <w:szCs w:val="24"/>
        </w:rPr>
      </w:pPr>
    </w:p>
    <w:sectPr w:rsidR="00680AD8" w:rsidRPr="00680AD8" w:rsidSect="005C04E6">
      <w:headerReference w:type="even" r:id="rId13"/>
      <w:headerReference w:type="default" r:id="rId14"/>
      <w:footerReference w:type="even" r:id="rId15"/>
      <w:footerReference w:type="default" r:id="rId16"/>
      <w:headerReference w:type="first" r:id="rId17"/>
      <w:footerReference w:type="first" r:id="rId1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01B64" w14:textId="77777777" w:rsidR="00525103" w:rsidRDefault="00525103" w:rsidP="00231103">
      <w:pPr>
        <w:spacing w:after="0" w:line="240" w:lineRule="auto"/>
      </w:pPr>
      <w:r>
        <w:separator/>
      </w:r>
    </w:p>
  </w:endnote>
  <w:endnote w:type="continuationSeparator" w:id="0">
    <w:p w14:paraId="37781956" w14:textId="77777777" w:rsidR="00525103" w:rsidRDefault="00525103" w:rsidP="00231103">
      <w:pPr>
        <w:spacing w:after="0" w:line="240" w:lineRule="auto"/>
      </w:pPr>
      <w:r>
        <w:continuationSeparator/>
      </w:r>
    </w:p>
  </w:endnote>
  <w:endnote w:type="continuationNotice" w:id="1">
    <w:p w14:paraId="253DD589" w14:textId="77777777" w:rsidR="00525103" w:rsidRDefault="005251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AFAB9" w14:textId="77777777" w:rsidR="009E0B65" w:rsidRDefault="009E0B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5878915"/>
      <w:docPartObj>
        <w:docPartGallery w:val="Page Numbers (Bottom of Page)"/>
        <w:docPartUnique/>
      </w:docPartObj>
    </w:sdtPr>
    <w:sdtEndPr>
      <w:rPr>
        <w:noProof/>
      </w:rPr>
    </w:sdtEndPr>
    <w:sdtContent>
      <w:p w14:paraId="0D149475" w14:textId="53E0776A" w:rsidR="00632AEC" w:rsidRDefault="00632AE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BA7089" w14:textId="77777777" w:rsidR="00632AEC" w:rsidRDefault="00632A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33782" w14:textId="77777777" w:rsidR="009E0B65" w:rsidRDefault="009E0B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E53EB" w14:textId="77777777" w:rsidR="00525103" w:rsidRDefault="00525103" w:rsidP="00231103">
      <w:pPr>
        <w:spacing w:after="0" w:line="240" w:lineRule="auto"/>
      </w:pPr>
      <w:r>
        <w:separator/>
      </w:r>
    </w:p>
  </w:footnote>
  <w:footnote w:type="continuationSeparator" w:id="0">
    <w:p w14:paraId="6C1F3F29" w14:textId="77777777" w:rsidR="00525103" w:rsidRDefault="00525103" w:rsidP="00231103">
      <w:pPr>
        <w:spacing w:after="0" w:line="240" w:lineRule="auto"/>
      </w:pPr>
      <w:r>
        <w:continuationSeparator/>
      </w:r>
    </w:p>
  </w:footnote>
  <w:footnote w:type="continuationNotice" w:id="1">
    <w:p w14:paraId="3E6C25F7" w14:textId="77777777" w:rsidR="00525103" w:rsidRDefault="00525103">
      <w:pPr>
        <w:spacing w:after="0" w:line="240" w:lineRule="auto"/>
      </w:pPr>
    </w:p>
  </w:footnote>
  <w:footnote w:id="2">
    <w:p w14:paraId="650F3943" w14:textId="7ABBE11A" w:rsidR="00561074" w:rsidRPr="00BC0680" w:rsidRDefault="00561074">
      <w:pPr>
        <w:pStyle w:val="FootnoteText"/>
        <w:rPr>
          <w:sz w:val="18"/>
          <w:szCs w:val="18"/>
        </w:rPr>
      </w:pPr>
      <w:r w:rsidRPr="00BC0680">
        <w:rPr>
          <w:rStyle w:val="FootnoteReference"/>
          <w:sz w:val="18"/>
          <w:szCs w:val="18"/>
        </w:rPr>
        <w:footnoteRef/>
      </w:r>
      <w:r w:rsidRPr="00BC0680">
        <w:rPr>
          <w:sz w:val="18"/>
          <w:szCs w:val="18"/>
        </w:rPr>
        <w:t xml:space="preserve"> Including Coronary Care Unit and Burn Unit beds. </w:t>
      </w:r>
    </w:p>
  </w:footnote>
  <w:footnote w:id="3">
    <w:p w14:paraId="58D1BFDC" w14:textId="4A72FDA9" w:rsidR="00245F1C" w:rsidRPr="00BC0680" w:rsidRDefault="00245F1C">
      <w:pPr>
        <w:pStyle w:val="FootnoteText"/>
        <w:rPr>
          <w:sz w:val="18"/>
          <w:szCs w:val="18"/>
        </w:rPr>
      </w:pPr>
      <w:r w:rsidRPr="00BC0680">
        <w:rPr>
          <w:rStyle w:val="FootnoteReference"/>
          <w:sz w:val="18"/>
          <w:szCs w:val="18"/>
        </w:rPr>
        <w:footnoteRef/>
      </w:r>
      <w:r w:rsidRPr="00BC0680">
        <w:rPr>
          <w:sz w:val="18"/>
          <w:szCs w:val="18"/>
        </w:rPr>
        <w:t xml:space="preserve"> Inclusive of </w:t>
      </w:r>
      <w:r w:rsidRPr="00BC0680">
        <w:rPr>
          <w:rStyle w:val="cf01"/>
          <w:rFonts w:asciiTheme="minorHAnsi" w:hAnsiTheme="minorHAnsi" w:cstheme="minorHAnsi"/>
        </w:rPr>
        <w:t>Pediatric, Pediatric ICU, Maternal Newborn, Neonatal ICU, and Psychiatric.</w:t>
      </w:r>
    </w:p>
  </w:footnote>
  <w:footnote w:id="4">
    <w:p w14:paraId="5901E888" w14:textId="77777777" w:rsidR="007F3973" w:rsidRPr="00BC0680" w:rsidRDefault="007F3973" w:rsidP="007F3973">
      <w:pPr>
        <w:pStyle w:val="FootnoteText"/>
        <w:rPr>
          <w:sz w:val="18"/>
          <w:szCs w:val="18"/>
        </w:rPr>
      </w:pPr>
      <w:r w:rsidRPr="00BC0680">
        <w:rPr>
          <w:rStyle w:val="FootnoteReference"/>
          <w:sz w:val="18"/>
          <w:szCs w:val="18"/>
        </w:rPr>
        <w:footnoteRef/>
      </w:r>
      <w:r w:rsidRPr="00BC0680">
        <w:rPr>
          <w:sz w:val="18"/>
          <w:szCs w:val="18"/>
        </w:rPr>
        <w:t xml:space="preserve"> MGH is currently licensed for 1,045 total beds. Since the time of the </w:t>
      </w:r>
      <w:proofErr w:type="spellStart"/>
      <w:r w:rsidRPr="00BC0680">
        <w:rPr>
          <w:sz w:val="18"/>
          <w:szCs w:val="18"/>
        </w:rPr>
        <w:t>DoN’s</w:t>
      </w:r>
      <w:proofErr w:type="spellEnd"/>
      <w:r w:rsidRPr="00BC0680">
        <w:rPr>
          <w:sz w:val="18"/>
          <w:szCs w:val="18"/>
        </w:rPr>
        <w:t xml:space="preserve"> filing in 2021, MGH received licensure approval for two (2) additional pediatric beds in 2023 bringing the total number of licensed beds to 1,045 from 1,043. </w:t>
      </w:r>
    </w:p>
  </w:footnote>
  <w:footnote w:id="5">
    <w:p w14:paraId="2DEDD9B7" w14:textId="332E754D" w:rsidR="00245F1C" w:rsidRDefault="00245F1C" w:rsidP="00A573AA">
      <w:pPr>
        <w:pStyle w:val="Default"/>
      </w:pPr>
      <w:r w:rsidRPr="00BC0680">
        <w:rPr>
          <w:rStyle w:val="FootnoteReference"/>
          <w:sz w:val="18"/>
          <w:szCs w:val="18"/>
        </w:rPr>
        <w:footnoteRef/>
      </w:r>
      <w:r w:rsidRPr="00BC0680">
        <w:rPr>
          <w:sz w:val="18"/>
          <w:szCs w:val="18"/>
        </w:rPr>
        <w:t xml:space="preserve"> DRGs are a patient classification scheme which provides a means of relating the type of patients a hospital treats (i.e., its case mix) to the costs incurred by the hospital. </w:t>
      </w:r>
      <w:hyperlink r:id="rId1" w:history="1">
        <w:r w:rsidRPr="00BC0680">
          <w:rPr>
            <w:rStyle w:val="Hyperlink"/>
            <w:sz w:val="18"/>
            <w:szCs w:val="18"/>
          </w:rPr>
          <w:t>https://www.cms.gov/icd10m/version37-fullcode-cms/fullcode_cms/Design_and_development_of_the_Diagnosis_Related_Group_(DRGs).pdf</w:t>
        </w:r>
      </w:hyperlink>
      <w:r>
        <w:rPr>
          <w:sz w:val="20"/>
          <w:szCs w:val="20"/>
        </w:rPr>
        <w:t xml:space="preserve"> </w:t>
      </w:r>
    </w:p>
  </w:footnote>
  <w:footnote w:id="6">
    <w:p w14:paraId="1775D395" w14:textId="6DE059C2" w:rsidR="00BC0680" w:rsidRDefault="00BC0680">
      <w:pPr>
        <w:pStyle w:val="FootnoteText"/>
      </w:pPr>
      <w:r>
        <w:rPr>
          <w:rStyle w:val="FootnoteReference"/>
        </w:rPr>
        <w:footnoteRef/>
      </w:r>
      <w:r>
        <w:t xml:space="preserve"> </w:t>
      </w:r>
      <w:r w:rsidRPr="00BC0680">
        <w:rPr>
          <w:sz w:val="18"/>
          <w:szCs w:val="18"/>
        </w:rPr>
        <w:t xml:space="preserve">The number of </w:t>
      </w:r>
      <w:r>
        <w:rPr>
          <w:sz w:val="18"/>
          <w:szCs w:val="18"/>
        </w:rPr>
        <w:t>patients</w:t>
      </w:r>
      <w:r w:rsidRPr="00BC0680">
        <w:rPr>
          <w:sz w:val="18"/>
          <w:szCs w:val="18"/>
        </w:rPr>
        <w:t xml:space="preserve"> in the Level of Care Table varies slightly from the Change in Service Form because the table is based on the discharge DRG of the patient and therefore likely includes some young adult patients who had a medical DRG but were cared for on the pediatric unit.  </w:t>
      </w:r>
    </w:p>
  </w:footnote>
  <w:footnote w:id="7">
    <w:p w14:paraId="6CA58C67" w14:textId="19702CC6" w:rsidR="008C4DCE" w:rsidRPr="00BC0680" w:rsidRDefault="008C4DCE" w:rsidP="00BC0680">
      <w:pPr>
        <w:pStyle w:val="Default"/>
        <w:rPr>
          <w:sz w:val="22"/>
          <w:szCs w:val="22"/>
        </w:rPr>
      </w:pPr>
      <w:r>
        <w:rPr>
          <w:rStyle w:val="FootnoteReference"/>
        </w:rPr>
        <w:footnoteRef/>
      </w:r>
      <w:r>
        <w:t xml:space="preserve"> </w:t>
      </w:r>
      <w:r w:rsidRPr="00BC0680">
        <w:rPr>
          <w:sz w:val="18"/>
          <w:szCs w:val="18"/>
        </w:rPr>
        <w:t xml:space="preserve">High end secondary cases are those patients whose diagnosis related group could be treated in the community hospital if the hospital had the capability to do so (e.g., access to cardiac catheterization). Secondary cases are patients with acuity levels that typically are treated in a community hospital. </w:t>
      </w:r>
    </w:p>
  </w:footnote>
  <w:footnote w:id="8">
    <w:p w14:paraId="37E4204A" w14:textId="02CC509F" w:rsidR="00783AEC" w:rsidRDefault="00783AEC">
      <w:pPr>
        <w:pStyle w:val="FootnoteText"/>
      </w:pPr>
      <w:r>
        <w:rPr>
          <w:rStyle w:val="FootnoteReference"/>
        </w:rPr>
        <w:footnoteRef/>
      </w:r>
      <w:r>
        <w:t xml:space="preserve"> </w:t>
      </w:r>
      <w:r w:rsidRPr="00BC0680">
        <w:rPr>
          <w:sz w:val="18"/>
          <w:szCs w:val="18"/>
        </w:rPr>
        <w:t xml:space="preserve">Brigham &amp; Women’s Faulkner Hospital, Salem Hospital, and Newton Wellesley Hospital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8864D" w14:textId="77777777" w:rsidR="009E0B65" w:rsidRDefault="009E0B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C7675" w14:textId="6900429E" w:rsidR="00153D99" w:rsidRPr="00153D99" w:rsidRDefault="00A71D28" w:rsidP="00D223EB">
    <w:pPr>
      <w:pStyle w:val="Header"/>
      <w:pBdr>
        <w:bottom w:val="single" w:sz="4" w:space="1" w:color="auto"/>
      </w:pBdr>
      <w:jc w:val="center"/>
      <w:rPr>
        <w:rFonts w:cstheme="minorHAnsi"/>
        <w:b/>
        <w:bCs/>
        <w:sz w:val="36"/>
        <w:szCs w:val="36"/>
      </w:rPr>
    </w:pPr>
    <w:r>
      <w:rPr>
        <w:rFonts w:cstheme="minorHAnsi"/>
        <w:b/>
        <w:bCs/>
        <w:sz w:val="36"/>
        <w:szCs w:val="36"/>
      </w:rPr>
      <w:t>Mass General Brigham</w:t>
    </w:r>
    <w:r w:rsidR="006A4735">
      <w:rPr>
        <w:rFonts w:cstheme="minorHAnsi"/>
        <w:b/>
        <w:bCs/>
        <w:sz w:val="36"/>
        <w:szCs w:val="36"/>
      </w:rPr>
      <w:t xml:space="preserve"> Incorporated</w:t>
    </w:r>
  </w:p>
  <w:p w14:paraId="78DC6D8E" w14:textId="0AC4410C" w:rsidR="00D223EB" w:rsidRPr="008F67D8" w:rsidRDefault="008F67D8" w:rsidP="008F67D8">
    <w:pPr>
      <w:pStyle w:val="Header"/>
      <w:pBdr>
        <w:bottom w:val="single" w:sz="4" w:space="1" w:color="auto"/>
      </w:pBdr>
      <w:jc w:val="center"/>
      <w:rPr>
        <w:sz w:val="24"/>
        <w:szCs w:val="24"/>
      </w:rPr>
    </w:pPr>
    <w:r w:rsidRPr="008F67D8">
      <w:rPr>
        <w:rFonts w:ascii="Arial-BoldMT" w:hAnsi="Arial-BoldMT" w:cs="Arial-BoldMT"/>
        <w:b/>
        <w:bCs/>
        <w:sz w:val="24"/>
        <w:szCs w:val="24"/>
      </w:rPr>
      <w:t xml:space="preserve">DON # </w:t>
    </w:r>
    <w:r w:rsidR="009E0B65" w:rsidRPr="009E0B65">
      <w:rPr>
        <w:rFonts w:ascii="Arial-BoldMT" w:hAnsi="Arial-BoldMT" w:cs="Arial-BoldMT"/>
        <w:b/>
        <w:bCs/>
        <w:sz w:val="24"/>
        <w:szCs w:val="24"/>
      </w:rPr>
      <w:t>MGB-23120414-AM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AC92C" w14:textId="77777777" w:rsidR="009E0B65" w:rsidRDefault="009E0B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72048"/>
    <w:multiLevelType w:val="hybridMultilevel"/>
    <w:tmpl w:val="6D70E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00EDA"/>
    <w:multiLevelType w:val="hybridMultilevel"/>
    <w:tmpl w:val="E7DEAF9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E75551"/>
    <w:multiLevelType w:val="hybridMultilevel"/>
    <w:tmpl w:val="81BA4D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F7EC0"/>
    <w:multiLevelType w:val="hybridMultilevel"/>
    <w:tmpl w:val="D81A1848"/>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CF13078"/>
    <w:multiLevelType w:val="hybridMultilevel"/>
    <w:tmpl w:val="5AFAB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A9071D"/>
    <w:multiLevelType w:val="hybridMultilevel"/>
    <w:tmpl w:val="080AD0B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2E637B8"/>
    <w:multiLevelType w:val="hybridMultilevel"/>
    <w:tmpl w:val="2F0C5E92"/>
    <w:lvl w:ilvl="0" w:tplc="82C403A8">
      <w:start w:val="1"/>
      <w:numFmt w:val="decimal"/>
      <w:lvlText w:val="%1."/>
      <w:lvlJc w:val="left"/>
      <w:pPr>
        <w:ind w:left="720" w:hanging="360"/>
      </w:pPr>
      <w:rPr>
        <w:rFonts w:hint="default"/>
        <w:b w:val="0"/>
        <w:bCs w:val="0"/>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377D48"/>
    <w:multiLevelType w:val="hybridMultilevel"/>
    <w:tmpl w:val="EFE0F6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9CD09B6"/>
    <w:multiLevelType w:val="hybridMultilevel"/>
    <w:tmpl w:val="0F1E72C8"/>
    <w:lvl w:ilvl="0" w:tplc="C3E49AEA">
      <w:start w:val="1"/>
      <w:numFmt w:val="lowerLetter"/>
      <w:lvlText w:val="%1."/>
      <w:lvlJc w:val="left"/>
      <w:pPr>
        <w:ind w:left="720" w:hanging="360"/>
      </w:pPr>
      <w:rPr>
        <w:rFonts w:asciiTheme="minorHAnsi" w:eastAsiaTheme="minorHAnsi" w:hAnsiTheme="minorHAnsi" w:cstheme="minorHAnsi"/>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AC6B40"/>
    <w:multiLevelType w:val="hybridMultilevel"/>
    <w:tmpl w:val="147E6D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7D0C41"/>
    <w:multiLevelType w:val="hybridMultilevel"/>
    <w:tmpl w:val="8F1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926CA4"/>
    <w:multiLevelType w:val="hybridMultilevel"/>
    <w:tmpl w:val="2BB67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3D19D3"/>
    <w:multiLevelType w:val="hybridMultilevel"/>
    <w:tmpl w:val="8FE0EBA0"/>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701037D"/>
    <w:multiLevelType w:val="hybridMultilevel"/>
    <w:tmpl w:val="0BE4AD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B094B7"/>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9AC7226"/>
    <w:multiLevelType w:val="hybridMultilevel"/>
    <w:tmpl w:val="0F4A08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FC2470"/>
    <w:multiLevelType w:val="hybridMultilevel"/>
    <w:tmpl w:val="06401D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0C94ED2"/>
    <w:multiLevelType w:val="hybridMultilevel"/>
    <w:tmpl w:val="A75E2A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054EFB"/>
    <w:multiLevelType w:val="hybridMultilevel"/>
    <w:tmpl w:val="009E2C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6A5BC3"/>
    <w:multiLevelType w:val="hybridMultilevel"/>
    <w:tmpl w:val="02FCE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953CC0"/>
    <w:multiLevelType w:val="hybridMultilevel"/>
    <w:tmpl w:val="3F2031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7544439"/>
    <w:multiLevelType w:val="hybridMultilevel"/>
    <w:tmpl w:val="2158B0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B0A36C3"/>
    <w:multiLevelType w:val="hybridMultilevel"/>
    <w:tmpl w:val="2F3EEE18"/>
    <w:lvl w:ilvl="0" w:tplc="04090017">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BEE535A"/>
    <w:multiLevelType w:val="hybridMultilevel"/>
    <w:tmpl w:val="B436F6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B05379"/>
    <w:multiLevelType w:val="hybridMultilevel"/>
    <w:tmpl w:val="40B6E1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104E1E"/>
    <w:multiLevelType w:val="hybridMultilevel"/>
    <w:tmpl w:val="3462D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1A57DE"/>
    <w:multiLevelType w:val="hybridMultilevel"/>
    <w:tmpl w:val="717E7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7C0444"/>
    <w:multiLevelType w:val="hybridMultilevel"/>
    <w:tmpl w:val="F8AEB012"/>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A9913E1"/>
    <w:multiLevelType w:val="hybridMultilevel"/>
    <w:tmpl w:val="BA92F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0F1F74"/>
    <w:multiLevelType w:val="hybridMultilevel"/>
    <w:tmpl w:val="CC5C6B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5260C3"/>
    <w:multiLevelType w:val="hybridMultilevel"/>
    <w:tmpl w:val="A30EE014"/>
    <w:lvl w:ilvl="0" w:tplc="F3521924">
      <w:start w:val="1"/>
      <w:numFmt w:val="lowerLetter"/>
      <w:lvlText w:val="%1."/>
      <w:lvlJc w:val="left"/>
      <w:pPr>
        <w:ind w:left="720" w:hanging="360"/>
      </w:pPr>
      <w:rPr>
        <w:rFonts w:hint="default"/>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9C42DB"/>
    <w:multiLevelType w:val="hybridMultilevel"/>
    <w:tmpl w:val="CF4C1016"/>
    <w:lvl w:ilvl="0" w:tplc="72CC744C">
      <w:start w:val="1"/>
      <w:numFmt w:val="decimal"/>
      <w:lvlText w:val="%1."/>
      <w:lvlJc w:val="left"/>
      <w:pPr>
        <w:ind w:left="360" w:hanging="360"/>
      </w:pPr>
      <w:rPr>
        <w:rFonts w:hint="default"/>
        <w:b w:val="0"/>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7FC39C4"/>
    <w:multiLevelType w:val="hybridMultilevel"/>
    <w:tmpl w:val="C95C6D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A20EA3"/>
    <w:multiLevelType w:val="hybridMultilevel"/>
    <w:tmpl w:val="2F0C5E92"/>
    <w:lvl w:ilvl="0" w:tplc="82C403A8">
      <w:start w:val="1"/>
      <w:numFmt w:val="decimal"/>
      <w:lvlText w:val="%1."/>
      <w:lvlJc w:val="left"/>
      <w:pPr>
        <w:ind w:left="720" w:hanging="360"/>
      </w:pPr>
      <w:rPr>
        <w:rFonts w:hint="default"/>
        <w:b w:val="0"/>
        <w:bCs w:val="0"/>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D32E57"/>
    <w:multiLevelType w:val="hybridMultilevel"/>
    <w:tmpl w:val="AFC83F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107233B"/>
    <w:multiLevelType w:val="hybridMultilevel"/>
    <w:tmpl w:val="ABB0FE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B2208C"/>
    <w:multiLevelType w:val="hybridMultilevel"/>
    <w:tmpl w:val="C254B4B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CF7196D"/>
    <w:multiLevelType w:val="hybridMultilevel"/>
    <w:tmpl w:val="6310DA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C85BAA"/>
    <w:multiLevelType w:val="hybridMultilevel"/>
    <w:tmpl w:val="9ED4B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511235"/>
    <w:multiLevelType w:val="hybridMultilevel"/>
    <w:tmpl w:val="51E4F1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8A1390"/>
    <w:multiLevelType w:val="hybridMultilevel"/>
    <w:tmpl w:val="7ADA6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0B4C97"/>
    <w:multiLevelType w:val="hybridMultilevel"/>
    <w:tmpl w:val="9FD63E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D4693B"/>
    <w:multiLevelType w:val="hybridMultilevel"/>
    <w:tmpl w:val="0450D3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BF1893"/>
    <w:multiLevelType w:val="hybridMultilevel"/>
    <w:tmpl w:val="E8627D2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ED45180"/>
    <w:multiLevelType w:val="hybridMultilevel"/>
    <w:tmpl w:val="C3787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8899068">
    <w:abstractNumId w:val="28"/>
  </w:num>
  <w:num w:numId="2" w16cid:durableId="1353843505">
    <w:abstractNumId w:val="44"/>
  </w:num>
  <w:num w:numId="3" w16cid:durableId="1279526035">
    <w:abstractNumId w:val="38"/>
  </w:num>
  <w:num w:numId="4" w16cid:durableId="1378551702">
    <w:abstractNumId w:val="10"/>
  </w:num>
  <w:num w:numId="5" w16cid:durableId="848327212">
    <w:abstractNumId w:val="33"/>
  </w:num>
  <w:num w:numId="6" w16cid:durableId="1139688139">
    <w:abstractNumId w:val="20"/>
  </w:num>
  <w:num w:numId="7" w16cid:durableId="657195646">
    <w:abstractNumId w:val="12"/>
  </w:num>
  <w:num w:numId="8" w16cid:durableId="110832496">
    <w:abstractNumId w:val="8"/>
  </w:num>
  <w:num w:numId="9" w16cid:durableId="387649668">
    <w:abstractNumId w:val="17"/>
  </w:num>
  <w:num w:numId="10" w16cid:durableId="1999535959">
    <w:abstractNumId w:val="30"/>
  </w:num>
  <w:num w:numId="11" w16cid:durableId="1854033332">
    <w:abstractNumId w:val="19"/>
  </w:num>
  <w:num w:numId="12" w16cid:durableId="1587693421">
    <w:abstractNumId w:val="29"/>
  </w:num>
  <w:num w:numId="13" w16cid:durableId="1094132952">
    <w:abstractNumId w:val="9"/>
  </w:num>
  <w:num w:numId="14" w16cid:durableId="913203945">
    <w:abstractNumId w:val="13"/>
  </w:num>
  <w:num w:numId="15" w16cid:durableId="839344708">
    <w:abstractNumId w:val="37"/>
  </w:num>
  <w:num w:numId="16" w16cid:durableId="876431696">
    <w:abstractNumId w:val="7"/>
  </w:num>
  <w:num w:numId="17" w16cid:durableId="806820403">
    <w:abstractNumId w:val="15"/>
  </w:num>
  <w:num w:numId="18" w16cid:durableId="1078599987">
    <w:abstractNumId w:val="6"/>
  </w:num>
  <w:num w:numId="19" w16cid:durableId="1698239086">
    <w:abstractNumId w:val="5"/>
  </w:num>
  <w:num w:numId="20" w16cid:durableId="1851749367">
    <w:abstractNumId w:val="42"/>
  </w:num>
  <w:num w:numId="21" w16cid:durableId="1761026085">
    <w:abstractNumId w:val="35"/>
  </w:num>
  <w:num w:numId="22" w16cid:durableId="1720126088">
    <w:abstractNumId w:val="41"/>
  </w:num>
  <w:num w:numId="23" w16cid:durableId="1722703916">
    <w:abstractNumId w:val="43"/>
  </w:num>
  <w:num w:numId="24" w16cid:durableId="754984576">
    <w:abstractNumId w:val="22"/>
  </w:num>
  <w:num w:numId="25" w16cid:durableId="1784617036">
    <w:abstractNumId w:val="24"/>
  </w:num>
  <w:num w:numId="26" w16cid:durableId="1548058589">
    <w:abstractNumId w:val="23"/>
  </w:num>
  <w:num w:numId="27" w16cid:durableId="1593852056">
    <w:abstractNumId w:val="0"/>
  </w:num>
  <w:num w:numId="28" w16cid:durableId="1336036520">
    <w:abstractNumId w:val="1"/>
  </w:num>
  <w:num w:numId="29" w16cid:durableId="1759598195">
    <w:abstractNumId w:val="31"/>
  </w:num>
  <w:num w:numId="30" w16cid:durableId="203442492">
    <w:abstractNumId w:val="3"/>
  </w:num>
  <w:num w:numId="31" w16cid:durableId="905454452">
    <w:abstractNumId w:val="36"/>
  </w:num>
  <w:num w:numId="32" w16cid:durableId="913900956">
    <w:abstractNumId w:val="39"/>
  </w:num>
  <w:num w:numId="33" w16cid:durableId="459230438">
    <w:abstractNumId w:val="21"/>
  </w:num>
  <w:num w:numId="34" w16cid:durableId="49697358">
    <w:abstractNumId w:val="16"/>
  </w:num>
  <w:num w:numId="35" w16cid:durableId="926427677">
    <w:abstractNumId w:val="14"/>
  </w:num>
  <w:num w:numId="36" w16cid:durableId="2102220202">
    <w:abstractNumId w:val="11"/>
  </w:num>
  <w:num w:numId="37" w16cid:durableId="235669879">
    <w:abstractNumId w:val="25"/>
  </w:num>
  <w:num w:numId="38" w16cid:durableId="1567373231">
    <w:abstractNumId w:val="27"/>
  </w:num>
  <w:num w:numId="39" w16cid:durableId="1621300414">
    <w:abstractNumId w:val="32"/>
  </w:num>
  <w:num w:numId="40" w16cid:durableId="1148015354">
    <w:abstractNumId w:val="2"/>
  </w:num>
  <w:num w:numId="41" w16cid:durableId="2111656432">
    <w:abstractNumId w:val="18"/>
  </w:num>
  <w:num w:numId="42" w16cid:durableId="493227715">
    <w:abstractNumId w:val="40"/>
  </w:num>
  <w:num w:numId="43" w16cid:durableId="475218780">
    <w:abstractNumId w:val="34"/>
  </w:num>
  <w:num w:numId="44" w16cid:durableId="904602861">
    <w:abstractNumId w:val="26"/>
  </w:num>
  <w:num w:numId="45" w16cid:durableId="19039829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C5C"/>
    <w:rsid w:val="00000463"/>
    <w:rsid w:val="000012DD"/>
    <w:rsid w:val="000027EE"/>
    <w:rsid w:val="000037BD"/>
    <w:rsid w:val="000038CE"/>
    <w:rsid w:val="00005930"/>
    <w:rsid w:val="00005E23"/>
    <w:rsid w:val="00011385"/>
    <w:rsid w:val="00011556"/>
    <w:rsid w:val="00012264"/>
    <w:rsid w:val="00012279"/>
    <w:rsid w:val="00013335"/>
    <w:rsid w:val="000168C2"/>
    <w:rsid w:val="00016E99"/>
    <w:rsid w:val="00021A01"/>
    <w:rsid w:val="0002235E"/>
    <w:rsid w:val="00025521"/>
    <w:rsid w:val="00027FBC"/>
    <w:rsid w:val="0003012E"/>
    <w:rsid w:val="00032FF5"/>
    <w:rsid w:val="0003598B"/>
    <w:rsid w:val="00040965"/>
    <w:rsid w:val="000413D6"/>
    <w:rsid w:val="0004380F"/>
    <w:rsid w:val="0004645C"/>
    <w:rsid w:val="00054FF4"/>
    <w:rsid w:val="0005525D"/>
    <w:rsid w:val="000558ED"/>
    <w:rsid w:val="00055942"/>
    <w:rsid w:val="00055F9E"/>
    <w:rsid w:val="00056D5B"/>
    <w:rsid w:val="000627ED"/>
    <w:rsid w:val="00063414"/>
    <w:rsid w:val="00064206"/>
    <w:rsid w:val="0006445F"/>
    <w:rsid w:val="00071162"/>
    <w:rsid w:val="00072EE3"/>
    <w:rsid w:val="00073932"/>
    <w:rsid w:val="00073DC9"/>
    <w:rsid w:val="00074092"/>
    <w:rsid w:val="000766DC"/>
    <w:rsid w:val="00076728"/>
    <w:rsid w:val="00076A84"/>
    <w:rsid w:val="00076CB2"/>
    <w:rsid w:val="000775B1"/>
    <w:rsid w:val="00080AC6"/>
    <w:rsid w:val="000826CB"/>
    <w:rsid w:val="0008493D"/>
    <w:rsid w:val="000862E1"/>
    <w:rsid w:val="0008681F"/>
    <w:rsid w:val="000906E1"/>
    <w:rsid w:val="000907F9"/>
    <w:rsid w:val="00091C4C"/>
    <w:rsid w:val="00092910"/>
    <w:rsid w:val="000952FD"/>
    <w:rsid w:val="00095621"/>
    <w:rsid w:val="00096ACB"/>
    <w:rsid w:val="00097762"/>
    <w:rsid w:val="00097B2C"/>
    <w:rsid w:val="00097C62"/>
    <w:rsid w:val="000A5495"/>
    <w:rsid w:val="000A56D4"/>
    <w:rsid w:val="000A691D"/>
    <w:rsid w:val="000A7A45"/>
    <w:rsid w:val="000B1438"/>
    <w:rsid w:val="000B1AD5"/>
    <w:rsid w:val="000B1D01"/>
    <w:rsid w:val="000B69B2"/>
    <w:rsid w:val="000B7E8B"/>
    <w:rsid w:val="000C4405"/>
    <w:rsid w:val="000C6277"/>
    <w:rsid w:val="000C7F71"/>
    <w:rsid w:val="000D0D41"/>
    <w:rsid w:val="000E0B48"/>
    <w:rsid w:val="000E2F30"/>
    <w:rsid w:val="000E3622"/>
    <w:rsid w:val="000E4B6D"/>
    <w:rsid w:val="000E5EC9"/>
    <w:rsid w:val="000E7E1B"/>
    <w:rsid w:val="000F0EDD"/>
    <w:rsid w:val="000F4FA3"/>
    <w:rsid w:val="000F5BAD"/>
    <w:rsid w:val="000F5CC4"/>
    <w:rsid w:val="00101646"/>
    <w:rsid w:val="001017F6"/>
    <w:rsid w:val="001018CF"/>
    <w:rsid w:val="00104288"/>
    <w:rsid w:val="00104374"/>
    <w:rsid w:val="001050F4"/>
    <w:rsid w:val="001059C1"/>
    <w:rsid w:val="00106D23"/>
    <w:rsid w:val="001101AB"/>
    <w:rsid w:val="00112BDF"/>
    <w:rsid w:val="00112E92"/>
    <w:rsid w:val="001204FE"/>
    <w:rsid w:val="00120FB5"/>
    <w:rsid w:val="00122099"/>
    <w:rsid w:val="0012232D"/>
    <w:rsid w:val="00123EE2"/>
    <w:rsid w:val="00125F6B"/>
    <w:rsid w:val="00126E85"/>
    <w:rsid w:val="001332C7"/>
    <w:rsid w:val="00133CF7"/>
    <w:rsid w:val="00137A46"/>
    <w:rsid w:val="00137C36"/>
    <w:rsid w:val="00140EA7"/>
    <w:rsid w:val="0014505C"/>
    <w:rsid w:val="001459CB"/>
    <w:rsid w:val="00152CFB"/>
    <w:rsid w:val="001538B2"/>
    <w:rsid w:val="00153D99"/>
    <w:rsid w:val="00154A10"/>
    <w:rsid w:val="00162A72"/>
    <w:rsid w:val="00166158"/>
    <w:rsid w:val="00166D4B"/>
    <w:rsid w:val="00167F71"/>
    <w:rsid w:val="001701AE"/>
    <w:rsid w:val="00170D7F"/>
    <w:rsid w:val="00173BC9"/>
    <w:rsid w:val="00174CFB"/>
    <w:rsid w:val="00176547"/>
    <w:rsid w:val="00176C56"/>
    <w:rsid w:val="00180580"/>
    <w:rsid w:val="00182533"/>
    <w:rsid w:val="00185A10"/>
    <w:rsid w:val="00190646"/>
    <w:rsid w:val="0019184A"/>
    <w:rsid w:val="00191B78"/>
    <w:rsid w:val="00191DAC"/>
    <w:rsid w:val="001926A6"/>
    <w:rsid w:val="00192CFC"/>
    <w:rsid w:val="00193CD7"/>
    <w:rsid w:val="001A0425"/>
    <w:rsid w:val="001A11D0"/>
    <w:rsid w:val="001A170B"/>
    <w:rsid w:val="001A511B"/>
    <w:rsid w:val="001A66A9"/>
    <w:rsid w:val="001A710A"/>
    <w:rsid w:val="001A767E"/>
    <w:rsid w:val="001B1155"/>
    <w:rsid w:val="001B32E1"/>
    <w:rsid w:val="001B3A91"/>
    <w:rsid w:val="001B517F"/>
    <w:rsid w:val="001B569F"/>
    <w:rsid w:val="001B5845"/>
    <w:rsid w:val="001B7F98"/>
    <w:rsid w:val="001C2783"/>
    <w:rsid w:val="001C2A01"/>
    <w:rsid w:val="001C5BF3"/>
    <w:rsid w:val="001C6B00"/>
    <w:rsid w:val="001C6D93"/>
    <w:rsid w:val="001C7D8A"/>
    <w:rsid w:val="001D0111"/>
    <w:rsid w:val="001D01BF"/>
    <w:rsid w:val="001D1521"/>
    <w:rsid w:val="001D1813"/>
    <w:rsid w:val="001D5A6E"/>
    <w:rsid w:val="001D7C2C"/>
    <w:rsid w:val="001E0B77"/>
    <w:rsid w:val="001E0B94"/>
    <w:rsid w:val="001E19D7"/>
    <w:rsid w:val="001E21D7"/>
    <w:rsid w:val="001E2EA3"/>
    <w:rsid w:val="001E3BCA"/>
    <w:rsid w:val="001E4503"/>
    <w:rsid w:val="001E5650"/>
    <w:rsid w:val="001E5807"/>
    <w:rsid w:val="001E678C"/>
    <w:rsid w:val="001F02F3"/>
    <w:rsid w:val="001F27B7"/>
    <w:rsid w:val="001F5FDD"/>
    <w:rsid w:val="001F667D"/>
    <w:rsid w:val="001F687E"/>
    <w:rsid w:val="001F78D3"/>
    <w:rsid w:val="00200334"/>
    <w:rsid w:val="00201A31"/>
    <w:rsid w:val="00201F6E"/>
    <w:rsid w:val="00202AD7"/>
    <w:rsid w:val="0020315F"/>
    <w:rsid w:val="002037DF"/>
    <w:rsid w:val="002050B9"/>
    <w:rsid w:val="00205E02"/>
    <w:rsid w:val="002068C9"/>
    <w:rsid w:val="002069DD"/>
    <w:rsid w:val="002102EF"/>
    <w:rsid w:val="00210336"/>
    <w:rsid w:val="00212619"/>
    <w:rsid w:val="002131E4"/>
    <w:rsid w:val="00214FAA"/>
    <w:rsid w:val="002155ED"/>
    <w:rsid w:val="0021563E"/>
    <w:rsid w:val="00216777"/>
    <w:rsid w:val="002179D1"/>
    <w:rsid w:val="00224770"/>
    <w:rsid w:val="00225B1E"/>
    <w:rsid w:val="00226A63"/>
    <w:rsid w:val="00227005"/>
    <w:rsid w:val="00227BD5"/>
    <w:rsid w:val="00230C3B"/>
    <w:rsid w:val="00230EF5"/>
    <w:rsid w:val="00231103"/>
    <w:rsid w:val="002314FF"/>
    <w:rsid w:val="00231E3B"/>
    <w:rsid w:val="00233AFE"/>
    <w:rsid w:val="00234272"/>
    <w:rsid w:val="002364A1"/>
    <w:rsid w:val="0023769C"/>
    <w:rsid w:val="00240DEF"/>
    <w:rsid w:val="00241F2C"/>
    <w:rsid w:val="00241F52"/>
    <w:rsid w:val="0024261D"/>
    <w:rsid w:val="00245F1C"/>
    <w:rsid w:val="00251BEF"/>
    <w:rsid w:val="002533DB"/>
    <w:rsid w:val="0025349C"/>
    <w:rsid w:val="00253AF3"/>
    <w:rsid w:val="00253B0A"/>
    <w:rsid w:val="00254265"/>
    <w:rsid w:val="002542A0"/>
    <w:rsid w:val="0025780A"/>
    <w:rsid w:val="0025792F"/>
    <w:rsid w:val="00262131"/>
    <w:rsid w:val="00262E53"/>
    <w:rsid w:val="002643AF"/>
    <w:rsid w:val="00264588"/>
    <w:rsid w:val="0026558B"/>
    <w:rsid w:val="00267859"/>
    <w:rsid w:val="00270B47"/>
    <w:rsid w:val="00271BF5"/>
    <w:rsid w:val="00271D85"/>
    <w:rsid w:val="0027221A"/>
    <w:rsid w:val="0027284F"/>
    <w:rsid w:val="002750A6"/>
    <w:rsid w:val="0027783A"/>
    <w:rsid w:val="00277B36"/>
    <w:rsid w:val="002808F0"/>
    <w:rsid w:val="00282902"/>
    <w:rsid w:val="002865E8"/>
    <w:rsid w:val="002906CE"/>
    <w:rsid w:val="002912FB"/>
    <w:rsid w:val="00291912"/>
    <w:rsid w:val="00292B13"/>
    <w:rsid w:val="00293147"/>
    <w:rsid w:val="00294BD6"/>
    <w:rsid w:val="00294D49"/>
    <w:rsid w:val="00296F21"/>
    <w:rsid w:val="0029738B"/>
    <w:rsid w:val="002A36DF"/>
    <w:rsid w:val="002A4110"/>
    <w:rsid w:val="002A47FE"/>
    <w:rsid w:val="002A518F"/>
    <w:rsid w:val="002A540F"/>
    <w:rsid w:val="002A5E73"/>
    <w:rsid w:val="002B3476"/>
    <w:rsid w:val="002B4234"/>
    <w:rsid w:val="002B5ADB"/>
    <w:rsid w:val="002C0C55"/>
    <w:rsid w:val="002C0C71"/>
    <w:rsid w:val="002C3C86"/>
    <w:rsid w:val="002C568C"/>
    <w:rsid w:val="002C5E88"/>
    <w:rsid w:val="002D012B"/>
    <w:rsid w:val="002D034F"/>
    <w:rsid w:val="002D06F7"/>
    <w:rsid w:val="002D18BF"/>
    <w:rsid w:val="002D1CC3"/>
    <w:rsid w:val="002D39AC"/>
    <w:rsid w:val="002D5E75"/>
    <w:rsid w:val="002D5F7A"/>
    <w:rsid w:val="002D6D33"/>
    <w:rsid w:val="002E3CEF"/>
    <w:rsid w:val="002E5CA9"/>
    <w:rsid w:val="002F3CDD"/>
    <w:rsid w:val="002F5878"/>
    <w:rsid w:val="002F7B99"/>
    <w:rsid w:val="00302D3F"/>
    <w:rsid w:val="003030AA"/>
    <w:rsid w:val="00303DD8"/>
    <w:rsid w:val="00303EE3"/>
    <w:rsid w:val="00305754"/>
    <w:rsid w:val="00306307"/>
    <w:rsid w:val="003078B4"/>
    <w:rsid w:val="003079EC"/>
    <w:rsid w:val="00307F98"/>
    <w:rsid w:val="003103B0"/>
    <w:rsid w:val="00312739"/>
    <w:rsid w:val="00312A19"/>
    <w:rsid w:val="00312F5C"/>
    <w:rsid w:val="003132A1"/>
    <w:rsid w:val="0031436B"/>
    <w:rsid w:val="003164F7"/>
    <w:rsid w:val="00317580"/>
    <w:rsid w:val="00320371"/>
    <w:rsid w:val="0032484D"/>
    <w:rsid w:val="003261B4"/>
    <w:rsid w:val="00327903"/>
    <w:rsid w:val="00327EAC"/>
    <w:rsid w:val="00331E8E"/>
    <w:rsid w:val="003346AB"/>
    <w:rsid w:val="00335360"/>
    <w:rsid w:val="00335F54"/>
    <w:rsid w:val="0034004E"/>
    <w:rsid w:val="00342240"/>
    <w:rsid w:val="00344DAC"/>
    <w:rsid w:val="00346884"/>
    <w:rsid w:val="00350118"/>
    <w:rsid w:val="003506AE"/>
    <w:rsid w:val="003533CA"/>
    <w:rsid w:val="00354D26"/>
    <w:rsid w:val="0035653B"/>
    <w:rsid w:val="00357756"/>
    <w:rsid w:val="00357BA6"/>
    <w:rsid w:val="003602C2"/>
    <w:rsid w:val="003620FB"/>
    <w:rsid w:val="00364225"/>
    <w:rsid w:val="00366505"/>
    <w:rsid w:val="00366648"/>
    <w:rsid w:val="0036671D"/>
    <w:rsid w:val="00366918"/>
    <w:rsid w:val="00366DCC"/>
    <w:rsid w:val="00373908"/>
    <w:rsid w:val="003741E5"/>
    <w:rsid w:val="00375BDF"/>
    <w:rsid w:val="00375F14"/>
    <w:rsid w:val="003764DE"/>
    <w:rsid w:val="003769AF"/>
    <w:rsid w:val="00380361"/>
    <w:rsid w:val="00380B28"/>
    <w:rsid w:val="00380E08"/>
    <w:rsid w:val="003813A0"/>
    <w:rsid w:val="00381CBF"/>
    <w:rsid w:val="00382217"/>
    <w:rsid w:val="0038255C"/>
    <w:rsid w:val="00387527"/>
    <w:rsid w:val="00391569"/>
    <w:rsid w:val="00392D76"/>
    <w:rsid w:val="00393F8C"/>
    <w:rsid w:val="00394105"/>
    <w:rsid w:val="0039698B"/>
    <w:rsid w:val="003A1793"/>
    <w:rsid w:val="003A2B5B"/>
    <w:rsid w:val="003A36B2"/>
    <w:rsid w:val="003A44FB"/>
    <w:rsid w:val="003A4882"/>
    <w:rsid w:val="003A4DC6"/>
    <w:rsid w:val="003A5564"/>
    <w:rsid w:val="003A56A8"/>
    <w:rsid w:val="003A5F8B"/>
    <w:rsid w:val="003A7217"/>
    <w:rsid w:val="003B0073"/>
    <w:rsid w:val="003B0D30"/>
    <w:rsid w:val="003B1445"/>
    <w:rsid w:val="003B4C05"/>
    <w:rsid w:val="003B575F"/>
    <w:rsid w:val="003B5953"/>
    <w:rsid w:val="003C1787"/>
    <w:rsid w:val="003C2495"/>
    <w:rsid w:val="003C28D0"/>
    <w:rsid w:val="003C3117"/>
    <w:rsid w:val="003C38F5"/>
    <w:rsid w:val="003C3B18"/>
    <w:rsid w:val="003C3FFC"/>
    <w:rsid w:val="003C6F58"/>
    <w:rsid w:val="003C7C67"/>
    <w:rsid w:val="003C7D2A"/>
    <w:rsid w:val="003D0F39"/>
    <w:rsid w:val="003D14BA"/>
    <w:rsid w:val="003D2A24"/>
    <w:rsid w:val="003D31FD"/>
    <w:rsid w:val="003D3D7D"/>
    <w:rsid w:val="003D50D2"/>
    <w:rsid w:val="003D7315"/>
    <w:rsid w:val="003D7942"/>
    <w:rsid w:val="003E0045"/>
    <w:rsid w:val="003E4BD2"/>
    <w:rsid w:val="003E4F87"/>
    <w:rsid w:val="003E5576"/>
    <w:rsid w:val="003E5688"/>
    <w:rsid w:val="003E5C9B"/>
    <w:rsid w:val="003F1211"/>
    <w:rsid w:val="003F159E"/>
    <w:rsid w:val="003F5EF2"/>
    <w:rsid w:val="003F7754"/>
    <w:rsid w:val="00402AC2"/>
    <w:rsid w:val="004032C0"/>
    <w:rsid w:val="004035C4"/>
    <w:rsid w:val="00407E19"/>
    <w:rsid w:val="00411D30"/>
    <w:rsid w:val="004141A0"/>
    <w:rsid w:val="0041637A"/>
    <w:rsid w:val="004163EF"/>
    <w:rsid w:val="0042031C"/>
    <w:rsid w:val="00421844"/>
    <w:rsid w:val="00421B81"/>
    <w:rsid w:val="00421C21"/>
    <w:rsid w:val="00422255"/>
    <w:rsid w:val="004253AA"/>
    <w:rsid w:val="00426884"/>
    <w:rsid w:val="00432D19"/>
    <w:rsid w:val="00436DA5"/>
    <w:rsid w:val="00441F3E"/>
    <w:rsid w:val="004449E1"/>
    <w:rsid w:val="00444A21"/>
    <w:rsid w:val="00445B4E"/>
    <w:rsid w:val="00447333"/>
    <w:rsid w:val="0045317B"/>
    <w:rsid w:val="004537FA"/>
    <w:rsid w:val="00454F32"/>
    <w:rsid w:val="00455504"/>
    <w:rsid w:val="00456B10"/>
    <w:rsid w:val="00461706"/>
    <w:rsid w:val="00464ACB"/>
    <w:rsid w:val="00470202"/>
    <w:rsid w:val="004739A3"/>
    <w:rsid w:val="00480049"/>
    <w:rsid w:val="00480BA1"/>
    <w:rsid w:val="00481ADC"/>
    <w:rsid w:val="004821A3"/>
    <w:rsid w:val="00484231"/>
    <w:rsid w:val="00484A85"/>
    <w:rsid w:val="00485EEB"/>
    <w:rsid w:val="0048722A"/>
    <w:rsid w:val="004873F3"/>
    <w:rsid w:val="004901A5"/>
    <w:rsid w:val="004921DF"/>
    <w:rsid w:val="004938F0"/>
    <w:rsid w:val="0049470D"/>
    <w:rsid w:val="00495B73"/>
    <w:rsid w:val="00497513"/>
    <w:rsid w:val="0049782E"/>
    <w:rsid w:val="00497C2D"/>
    <w:rsid w:val="004A0DDC"/>
    <w:rsid w:val="004A1907"/>
    <w:rsid w:val="004A1BB1"/>
    <w:rsid w:val="004A1D25"/>
    <w:rsid w:val="004A3C27"/>
    <w:rsid w:val="004A5502"/>
    <w:rsid w:val="004A6568"/>
    <w:rsid w:val="004A7A25"/>
    <w:rsid w:val="004B1CE6"/>
    <w:rsid w:val="004B3151"/>
    <w:rsid w:val="004B3555"/>
    <w:rsid w:val="004B39F2"/>
    <w:rsid w:val="004B46F4"/>
    <w:rsid w:val="004B53D6"/>
    <w:rsid w:val="004B582E"/>
    <w:rsid w:val="004B5A76"/>
    <w:rsid w:val="004B5EF9"/>
    <w:rsid w:val="004B678F"/>
    <w:rsid w:val="004B6C8F"/>
    <w:rsid w:val="004C0484"/>
    <w:rsid w:val="004C0998"/>
    <w:rsid w:val="004C2AE3"/>
    <w:rsid w:val="004C2EFC"/>
    <w:rsid w:val="004C3627"/>
    <w:rsid w:val="004C3AB7"/>
    <w:rsid w:val="004C7C09"/>
    <w:rsid w:val="004D036D"/>
    <w:rsid w:val="004D0BF9"/>
    <w:rsid w:val="004D293C"/>
    <w:rsid w:val="004D75AC"/>
    <w:rsid w:val="004D7C5C"/>
    <w:rsid w:val="004E0E90"/>
    <w:rsid w:val="004E166A"/>
    <w:rsid w:val="004E6482"/>
    <w:rsid w:val="004E6DDA"/>
    <w:rsid w:val="004F432A"/>
    <w:rsid w:val="004F590F"/>
    <w:rsid w:val="004F6BB4"/>
    <w:rsid w:val="005006E2"/>
    <w:rsid w:val="00507039"/>
    <w:rsid w:val="0050715B"/>
    <w:rsid w:val="00510EC8"/>
    <w:rsid w:val="00512FDF"/>
    <w:rsid w:val="005145C3"/>
    <w:rsid w:val="00514968"/>
    <w:rsid w:val="00514ECB"/>
    <w:rsid w:val="005155C5"/>
    <w:rsid w:val="0051617E"/>
    <w:rsid w:val="00520941"/>
    <w:rsid w:val="00520CE7"/>
    <w:rsid w:val="005218C7"/>
    <w:rsid w:val="00522D14"/>
    <w:rsid w:val="00522F5F"/>
    <w:rsid w:val="00524144"/>
    <w:rsid w:val="005248A7"/>
    <w:rsid w:val="00525103"/>
    <w:rsid w:val="00525292"/>
    <w:rsid w:val="005257D0"/>
    <w:rsid w:val="00527788"/>
    <w:rsid w:val="00527DB5"/>
    <w:rsid w:val="005301FC"/>
    <w:rsid w:val="00530477"/>
    <w:rsid w:val="00530E56"/>
    <w:rsid w:val="00532D6E"/>
    <w:rsid w:val="005338A0"/>
    <w:rsid w:val="00534C78"/>
    <w:rsid w:val="00535A15"/>
    <w:rsid w:val="00536A69"/>
    <w:rsid w:val="00536B22"/>
    <w:rsid w:val="00536FFD"/>
    <w:rsid w:val="005370F4"/>
    <w:rsid w:val="005379D8"/>
    <w:rsid w:val="005430C8"/>
    <w:rsid w:val="0054339D"/>
    <w:rsid w:val="00543F0C"/>
    <w:rsid w:val="00546917"/>
    <w:rsid w:val="00547324"/>
    <w:rsid w:val="005475AF"/>
    <w:rsid w:val="005506E6"/>
    <w:rsid w:val="00551569"/>
    <w:rsid w:val="00554544"/>
    <w:rsid w:val="00554CF4"/>
    <w:rsid w:val="00555A05"/>
    <w:rsid w:val="005560CC"/>
    <w:rsid w:val="00556966"/>
    <w:rsid w:val="00556FE0"/>
    <w:rsid w:val="00557976"/>
    <w:rsid w:val="00561074"/>
    <w:rsid w:val="00561790"/>
    <w:rsid w:val="00561BCC"/>
    <w:rsid w:val="0056282F"/>
    <w:rsid w:val="00564F33"/>
    <w:rsid w:val="0056515A"/>
    <w:rsid w:val="00566687"/>
    <w:rsid w:val="00567A48"/>
    <w:rsid w:val="00573656"/>
    <w:rsid w:val="00575AE4"/>
    <w:rsid w:val="005768C9"/>
    <w:rsid w:val="00577B19"/>
    <w:rsid w:val="00580A60"/>
    <w:rsid w:val="00580E2B"/>
    <w:rsid w:val="0058155B"/>
    <w:rsid w:val="00581E7E"/>
    <w:rsid w:val="00582855"/>
    <w:rsid w:val="00586473"/>
    <w:rsid w:val="00587600"/>
    <w:rsid w:val="00587CA5"/>
    <w:rsid w:val="00590FA9"/>
    <w:rsid w:val="0059124F"/>
    <w:rsid w:val="005921B2"/>
    <w:rsid w:val="0059393C"/>
    <w:rsid w:val="005941A3"/>
    <w:rsid w:val="005946AB"/>
    <w:rsid w:val="00595A74"/>
    <w:rsid w:val="00596226"/>
    <w:rsid w:val="00596309"/>
    <w:rsid w:val="00596F2D"/>
    <w:rsid w:val="00597369"/>
    <w:rsid w:val="005977E8"/>
    <w:rsid w:val="005A081D"/>
    <w:rsid w:val="005A11D8"/>
    <w:rsid w:val="005A2505"/>
    <w:rsid w:val="005A2F6B"/>
    <w:rsid w:val="005A390D"/>
    <w:rsid w:val="005A3A68"/>
    <w:rsid w:val="005A5F29"/>
    <w:rsid w:val="005A71F5"/>
    <w:rsid w:val="005B05D9"/>
    <w:rsid w:val="005B31C8"/>
    <w:rsid w:val="005C04E6"/>
    <w:rsid w:val="005C1E0B"/>
    <w:rsid w:val="005C3394"/>
    <w:rsid w:val="005C4433"/>
    <w:rsid w:val="005C5476"/>
    <w:rsid w:val="005C7A48"/>
    <w:rsid w:val="005C7D0C"/>
    <w:rsid w:val="005D4244"/>
    <w:rsid w:val="005E07A8"/>
    <w:rsid w:val="005E11DA"/>
    <w:rsid w:val="005E1AEF"/>
    <w:rsid w:val="005E3669"/>
    <w:rsid w:val="005E72B7"/>
    <w:rsid w:val="005F0A3C"/>
    <w:rsid w:val="005F5F80"/>
    <w:rsid w:val="005F62ED"/>
    <w:rsid w:val="005F7339"/>
    <w:rsid w:val="00605067"/>
    <w:rsid w:val="006054A8"/>
    <w:rsid w:val="00605AB6"/>
    <w:rsid w:val="00607E0F"/>
    <w:rsid w:val="00610F50"/>
    <w:rsid w:val="00611212"/>
    <w:rsid w:val="00612D41"/>
    <w:rsid w:val="00621087"/>
    <w:rsid w:val="00623AD7"/>
    <w:rsid w:val="006269A1"/>
    <w:rsid w:val="006303FF"/>
    <w:rsid w:val="00631200"/>
    <w:rsid w:val="006325B1"/>
    <w:rsid w:val="00632AEC"/>
    <w:rsid w:val="00636A3D"/>
    <w:rsid w:val="006403D2"/>
    <w:rsid w:val="00643D57"/>
    <w:rsid w:val="0064499E"/>
    <w:rsid w:val="006453C9"/>
    <w:rsid w:val="00645592"/>
    <w:rsid w:val="006520E7"/>
    <w:rsid w:val="006533A2"/>
    <w:rsid w:val="0065372D"/>
    <w:rsid w:val="006560F8"/>
    <w:rsid w:val="00663964"/>
    <w:rsid w:val="0066694A"/>
    <w:rsid w:val="006705F7"/>
    <w:rsid w:val="00671E87"/>
    <w:rsid w:val="006733D5"/>
    <w:rsid w:val="00674E0A"/>
    <w:rsid w:val="00680AD8"/>
    <w:rsid w:val="006814E7"/>
    <w:rsid w:val="00682275"/>
    <w:rsid w:val="006826AF"/>
    <w:rsid w:val="00684458"/>
    <w:rsid w:val="00687E3F"/>
    <w:rsid w:val="006906F3"/>
    <w:rsid w:val="00693E98"/>
    <w:rsid w:val="00693FC0"/>
    <w:rsid w:val="00694F39"/>
    <w:rsid w:val="006A0764"/>
    <w:rsid w:val="006A1400"/>
    <w:rsid w:val="006A1C97"/>
    <w:rsid w:val="006A25D2"/>
    <w:rsid w:val="006A2BD7"/>
    <w:rsid w:val="006A4735"/>
    <w:rsid w:val="006A4D5B"/>
    <w:rsid w:val="006A6E7E"/>
    <w:rsid w:val="006A7EAE"/>
    <w:rsid w:val="006B0549"/>
    <w:rsid w:val="006B0C48"/>
    <w:rsid w:val="006B0F22"/>
    <w:rsid w:val="006B5BEF"/>
    <w:rsid w:val="006B68C4"/>
    <w:rsid w:val="006B7171"/>
    <w:rsid w:val="006C1B8D"/>
    <w:rsid w:val="006C3ED5"/>
    <w:rsid w:val="006C552B"/>
    <w:rsid w:val="006D00FA"/>
    <w:rsid w:val="006D01D3"/>
    <w:rsid w:val="006D6315"/>
    <w:rsid w:val="006D650D"/>
    <w:rsid w:val="006D6994"/>
    <w:rsid w:val="006E112C"/>
    <w:rsid w:val="006E1D4C"/>
    <w:rsid w:val="006E279C"/>
    <w:rsid w:val="006E29DE"/>
    <w:rsid w:val="006E4E00"/>
    <w:rsid w:val="006E5304"/>
    <w:rsid w:val="006E5B8A"/>
    <w:rsid w:val="006E5CDF"/>
    <w:rsid w:val="006E6DA9"/>
    <w:rsid w:val="006F0472"/>
    <w:rsid w:val="006F2350"/>
    <w:rsid w:val="006F4EF5"/>
    <w:rsid w:val="006F555A"/>
    <w:rsid w:val="006F7519"/>
    <w:rsid w:val="007013CB"/>
    <w:rsid w:val="0070409F"/>
    <w:rsid w:val="0070648A"/>
    <w:rsid w:val="007108C3"/>
    <w:rsid w:val="007113DC"/>
    <w:rsid w:val="00712FA6"/>
    <w:rsid w:val="0071402E"/>
    <w:rsid w:val="00714B62"/>
    <w:rsid w:val="0071563E"/>
    <w:rsid w:val="00715918"/>
    <w:rsid w:val="00722D33"/>
    <w:rsid w:val="00722F8A"/>
    <w:rsid w:val="007230BC"/>
    <w:rsid w:val="00723E74"/>
    <w:rsid w:val="007242B4"/>
    <w:rsid w:val="00724754"/>
    <w:rsid w:val="0073005B"/>
    <w:rsid w:val="007303BA"/>
    <w:rsid w:val="00730E81"/>
    <w:rsid w:val="00731045"/>
    <w:rsid w:val="00732878"/>
    <w:rsid w:val="00733081"/>
    <w:rsid w:val="00733BA9"/>
    <w:rsid w:val="00733BDE"/>
    <w:rsid w:val="00733E21"/>
    <w:rsid w:val="0073404F"/>
    <w:rsid w:val="00734362"/>
    <w:rsid w:val="00734A0C"/>
    <w:rsid w:val="00737848"/>
    <w:rsid w:val="00740B16"/>
    <w:rsid w:val="00742E67"/>
    <w:rsid w:val="00743F50"/>
    <w:rsid w:val="00747EF6"/>
    <w:rsid w:val="007508EF"/>
    <w:rsid w:val="00750B62"/>
    <w:rsid w:val="0075159B"/>
    <w:rsid w:val="00751C28"/>
    <w:rsid w:val="00752BE0"/>
    <w:rsid w:val="007531D5"/>
    <w:rsid w:val="0075373D"/>
    <w:rsid w:val="00753F14"/>
    <w:rsid w:val="00757106"/>
    <w:rsid w:val="00761997"/>
    <w:rsid w:val="00766B76"/>
    <w:rsid w:val="00771621"/>
    <w:rsid w:val="00774FA6"/>
    <w:rsid w:val="00775A18"/>
    <w:rsid w:val="00775E3C"/>
    <w:rsid w:val="00777580"/>
    <w:rsid w:val="00783AEC"/>
    <w:rsid w:val="00787CB4"/>
    <w:rsid w:val="00791B92"/>
    <w:rsid w:val="007934D2"/>
    <w:rsid w:val="00795B9D"/>
    <w:rsid w:val="00795E61"/>
    <w:rsid w:val="007966DB"/>
    <w:rsid w:val="007A5463"/>
    <w:rsid w:val="007A6AA1"/>
    <w:rsid w:val="007B12C9"/>
    <w:rsid w:val="007B3A5E"/>
    <w:rsid w:val="007B529A"/>
    <w:rsid w:val="007B57B1"/>
    <w:rsid w:val="007B5C83"/>
    <w:rsid w:val="007B689C"/>
    <w:rsid w:val="007C02F9"/>
    <w:rsid w:val="007C108B"/>
    <w:rsid w:val="007C2DF7"/>
    <w:rsid w:val="007C302D"/>
    <w:rsid w:val="007C3FFF"/>
    <w:rsid w:val="007C6B4E"/>
    <w:rsid w:val="007D023F"/>
    <w:rsid w:val="007D127A"/>
    <w:rsid w:val="007D1376"/>
    <w:rsid w:val="007D16C5"/>
    <w:rsid w:val="007D25EE"/>
    <w:rsid w:val="007D3BF6"/>
    <w:rsid w:val="007E0AC9"/>
    <w:rsid w:val="007E1E88"/>
    <w:rsid w:val="007E5FE7"/>
    <w:rsid w:val="007E6854"/>
    <w:rsid w:val="007F1021"/>
    <w:rsid w:val="007F3973"/>
    <w:rsid w:val="007F43D4"/>
    <w:rsid w:val="007F4AEB"/>
    <w:rsid w:val="007F5301"/>
    <w:rsid w:val="007F5C97"/>
    <w:rsid w:val="007F5DD1"/>
    <w:rsid w:val="007F6742"/>
    <w:rsid w:val="008006D1"/>
    <w:rsid w:val="0080319B"/>
    <w:rsid w:val="008031C1"/>
    <w:rsid w:val="00803785"/>
    <w:rsid w:val="008061A3"/>
    <w:rsid w:val="00810C49"/>
    <w:rsid w:val="008124F5"/>
    <w:rsid w:val="00813262"/>
    <w:rsid w:val="00813ECA"/>
    <w:rsid w:val="00815464"/>
    <w:rsid w:val="00820074"/>
    <w:rsid w:val="00820C2B"/>
    <w:rsid w:val="008217B2"/>
    <w:rsid w:val="008218EF"/>
    <w:rsid w:val="008222C5"/>
    <w:rsid w:val="008263DF"/>
    <w:rsid w:val="00826574"/>
    <w:rsid w:val="00830723"/>
    <w:rsid w:val="0083116D"/>
    <w:rsid w:val="0083393C"/>
    <w:rsid w:val="00835493"/>
    <w:rsid w:val="00837CC1"/>
    <w:rsid w:val="00842E61"/>
    <w:rsid w:val="00843356"/>
    <w:rsid w:val="0084410F"/>
    <w:rsid w:val="008443E7"/>
    <w:rsid w:val="008449E3"/>
    <w:rsid w:val="008464B2"/>
    <w:rsid w:val="00847665"/>
    <w:rsid w:val="00847BE1"/>
    <w:rsid w:val="00851136"/>
    <w:rsid w:val="00851EBF"/>
    <w:rsid w:val="00854496"/>
    <w:rsid w:val="008552B3"/>
    <w:rsid w:val="0086021D"/>
    <w:rsid w:val="00862AF4"/>
    <w:rsid w:val="008634B7"/>
    <w:rsid w:val="00863F89"/>
    <w:rsid w:val="008643F3"/>
    <w:rsid w:val="008719A2"/>
    <w:rsid w:val="00874C86"/>
    <w:rsid w:val="00875EDB"/>
    <w:rsid w:val="00876CE8"/>
    <w:rsid w:val="008804B6"/>
    <w:rsid w:val="00881DF6"/>
    <w:rsid w:val="00882805"/>
    <w:rsid w:val="00885BDE"/>
    <w:rsid w:val="008868E6"/>
    <w:rsid w:val="00886E11"/>
    <w:rsid w:val="008870FD"/>
    <w:rsid w:val="0088717E"/>
    <w:rsid w:val="00890231"/>
    <w:rsid w:val="008922CA"/>
    <w:rsid w:val="00893003"/>
    <w:rsid w:val="00894377"/>
    <w:rsid w:val="008955B8"/>
    <w:rsid w:val="00897A92"/>
    <w:rsid w:val="00897CB8"/>
    <w:rsid w:val="008A0455"/>
    <w:rsid w:val="008A1722"/>
    <w:rsid w:val="008A1BCF"/>
    <w:rsid w:val="008A3550"/>
    <w:rsid w:val="008A7920"/>
    <w:rsid w:val="008A7D64"/>
    <w:rsid w:val="008B18BD"/>
    <w:rsid w:val="008B57E2"/>
    <w:rsid w:val="008B7668"/>
    <w:rsid w:val="008B7B80"/>
    <w:rsid w:val="008C07AB"/>
    <w:rsid w:val="008C121E"/>
    <w:rsid w:val="008C1253"/>
    <w:rsid w:val="008C4DCE"/>
    <w:rsid w:val="008C5471"/>
    <w:rsid w:val="008C5D7E"/>
    <w:rsid w:val="008C698B"/>
    <w:rsid w:val="008C6C17"/>
    <w:rsid w:val="008D0B54"/>
    <w:rsid w:val="008D2B88"/>
    <w:rsid w:val="008D2D7E"/>
    <w:rsid w:val="008D5182"/>
    <w:rsid w:val="008D51A8"/>
    <w:rsid w:val="008D5359"/>
    <w:rsid w:val="008D6D5E"/>
    <w:rsid w:val="008D7435"/>
    <w:rsid w:val="008E0484"/>
    <w:rsid w:val="008E187B"/>
    <w:rsid w:val="008E234D"/>
    <w:rsid w:val="008E39DC"/>
    <w:rsid w:val="008E3C7A"/>
    <w:rsid w:val="008E455C"/>
    <w:rsid w:val="008E4FB8"/>
    <w:rsid w:val="008E6DF2"/>
    <w:rsid w:val="008E7355"/>
    <w:rsid w:val="008E7E5A"/>
    <w:rsid w:val="008F1860"/>
    <w:rsid w:val="008F4E1B"/>
    <w:rsid w:val="008F5981"/>
    <w:rsid w:val="008F5C89"/>
    <w:rsid w:val="008F67D8"/>
    <w:rsid w:val="00900ED6"/>
    <w:rsid w:val="00901BE4"/>
    <w:rsid w:val="0090264F"/>
    <w:rsid w:val="009027A6"/>
    <w:rsid w:val="009032E4"/>
    <w:rsid w:val="00905794"/>
    <w:rsid w:val="00906CCD"/>
    <w:rsid w:val="00907842"/>
    <w:rsid w:val="00911747"/>
    <w:rsid w:val="009143F1"/>
    <w:rsid w:val="00914855"/>
    <w:rsid w:val="009153E0"/>
    <w:rsid w:val="00915C11"/>
    <w:rsid w:val="00915F05"/>
    <w:rsid w:val="009171CE"/>
    <w:rsid w:val="009178DF"/>
    <w:rsid w:val="00923879"/>
    <w:rsid w:val="00924A83"/>
    <w:rsid w:val="009250A0"/>
    <w:rsid w:val="00930A61"/>
    <w:rsid w:val="00931374"/>
    <w:rsid w:val="009317D3"/>
    <w:rsid w:val="00934706"/>
    <w:rsid w:val="0093616A"/>
    <w:rsid w:val="0093644B"/>
    <w:rsid w:val="009366A5"/>
    <w:rsid w:val="00936CCC"/>
    <w:rsid w:val="009376A5"/>
    <w:rsid w:val="00937C51"/>
    <w:rsid w:val="00937DF4"/>
    <w:rsid w:val="00940929"/>
    <w:rsid w:val="0094168C"/>
    <w:rsid w:val="00943EBF"/>
    <w:rsid w:val="0094400A"/>
    <w:rsid w:val="009448F4"/>
    <w:rsid w:val="0094528E"/>
    <w:rsid w:val="00950BA9"/>
    <w:rsid w:val="00951254"/>
    <w:rsid w:val="00951485"/>
    <w:rsid w:val="00951D09"/>
    <w:rsid w:val="009528C0"/>
    <w:rsid w:val="0095389E"/>
    <w:rsid w:val="00953A67"/>
    <w:rsid w:val="00955D10"/>
    <w:rsid w:val="00960DBC"/>
    <w:rsid w:val="00963347"/>
    <w:rsid w:val="009637E5"/>
    <w:rsid w:val="00963B87"/>
    <w:rsid w:val="009656E3"/>
    <w:rsid w:val="00965AEA"/>
    <w:rsid w:val="009672C2"/>
    <w:rsid w:val="00970D87"/>
    <w:rsid w:val="00971435"/>
    <w:rsid w:val="009723AD"/>
    <w:rsid w:val="009739F8"/>
    <w:rsid w:val="00974468"/>
    <w:rsid w:val="0097656A"/>
    <w:rsid w:val="0097742B"/>
    <w:rsid w:val="00980BED"/>
    <w:rsid w:val="00982829"/>
    <w:rsid w:val="00985A22"/>
    <w:rsid w:val="009865DB"/>
    <w:rsid w:val="00986A89"/>
    <w:rsid w:val="00987B47"/>
    <w:rsid w:val="009910CE"/>
    <w:rsid w:val="009A3911"/>
    <w:rsid w:val="009A4EC4"/>
    <w:rsid w:val="009B0139"/>
    <w:rsid w:val="009B034D"/>
    <w:rsid w:val="009B122A"/>
    <w:rsid w:val="009B1C56"/>
    <w:rsid w:val="009B23D4"/>
    <w:rsid w:val="009B287F"/>
    <w:rsid w:val="009B36CA"/>
    <w:rsid w:val="009B62C3"/>
    <w:rsid w:val="009B6916"/>
    <w:rsid w:val="009B74DA"/>
    <w:rsid w:val="009B7881"/>
    <w:rsid w:val="009B7A81"/>
    <w:rsid w:val="009C0E83"/>
    <w:rsid w:val="009C1D85"/>
    <w:rsid w:val="009C2396"/>
    <w:rsid w:val="009C271D"/>
    <w:rsid w:val="009D0E59"/>
    <w:rsid w:val="009D1897"/>
    <w:rsid w:val="009D2065"/>
    <w:rsid w:val="009D2DC7"/>
    <w:rsid w:val="009D301F"/>
    <w:rsid w:val="009D3AB6"/>
    <w:rsid w:val="009D4034"/>
    <w:rsid w:val="009D46AB"/>
    <w:rsid w:val="009D4BE3"/>
    <w:rsid w:val="009E0B65"/>
    <w:rsid w:val="009E1C94"/>
    <w:rsid w:val="009E2663"/>
    <w:rsid w:val="009E2754"/>
    <w:rsid w:val="009E3746"/>
    <w:rsid w:val="009F10DE"/>
    <w:rsid w:val="009F1128"/>
    <w:rsid w:val="009F2325"/>
    <w:rsid w:val="009F2E45"/>
    <w:rsid w:val="009F3886"/>
    <w:rsid w:val="009F64C9"/>
    <w:rsid w:val="009F7E10"/>
    <w:rsid w:val="00A04393"/>
    <w:rsid w:val="00A05AE5"/>
    <w:rsid w:val="00A06D85"/>
    <w:rsid w:val="00A07020"/>
    <w:rsid w:val="00A0707E"/>
    <w:rsid w:val="00A07187"/>
    <w:rsid w:val="00A0730F"/>
    <w:rsid w:val="00A07682"/>
    <w:rsid w:val="00A144A7"/>
    <w:rsid w:val="00A14B99"/>
    <w:rsid w:val="00A159D5"/>
    <w:rsid w:val="00A15C5C"/>
    <w:rsid w:val="00A15FC6"/>
    <w:rsid w:val="00A1708E"/>
    <w:rsid w:val="00A17E54"/>
    <w:rsid w:val="00A24747"/>
    <w:rsid w:val="00A256D6"/>
    <w:rsid w:val="00A266C5"/>
    <w:rsid w:val="00A27237"/>
    <w:rsid w:val="00A27C1B"/>
    <w:rsid w:val="00A32048"/>
    <w:rsid w:val="00A33B33"/>
    <w:rsid w:val="00A350ED"/>
    <w:rsid w:val="00A41584"/>
    <w:rsid w:val="00A44911"/>
    <w:rsid w:val="00A5157A"/>
    <w:rsid w:val="00A52BF6"/>
    <w:rsid w:val="00A52D05"/>
    <w:rsid w:val="00A530E9"/>
    <w:rsid w:val="00A550CF"/>
    <w:rsid w:val="00A573AA"/>
    <w:rsid w:val="00A628AF"/>
    <w:rsid w:val="00A63B2C"/>
    <w:rsid w:val="00A63B34"/>
    <w:rsid w:val="00A71D28"/>
    <w:rsid w:val="00A72577"/>
    <w:rsid w:val="00A7342F"/>
    <w:rsid w:val="00A74634"/>
    <w:rsid w:val="00A7645F"/>
    <w:rsid w:val="00A771DB"/>
    <w:rsid w:val="00A82823"/>
    <w:rsid w:val="00A83C91"/>
    <w:rsid w:val="00A8439B"/>
    <w:rsid w:val="00A84E87"/>
    <w:rsid w:val="00A864E1"/>
    <w:rsid w:val="00A9164D"/>
    <w:rsid w:val="00A91AB7"/>
    <w:rsid w:val="00A941F2"/>
    <w:rsid w:val="00A94C41"/>
    <w:rsid w:val="00A94DFA"/>
    <w:rsid w:val="00A9512F"/>
    <w:rsid w:val="00A97218"/>
    <w:rsid w:val="00A979E2"/>
    <w:rsid w:val="00AA0462"/>
    <w:rsid w:val="00AA04A0"/>
    <w:rsid w:val="00AA12C8"/>
    <w:rsid w:val="00AA35A1"/>
    <w:rsid w:val="00AA5AD2"/>
    <w:rsid w:val="00AB0CDE"/>
    <w:rsid w:val="00AB1643"/>
    <w:rsid w:val="00AB49B8"/>
    <w:rsid w:val="00AB56AA"/>
    <w:rsid w:val="00AC08F8"/>
    <w:rsid w:val="00AC2CEE"/>
    <w:rsid w:val="00AC3823"/>
    <w:rsid w:val="00AC7702"/>
    <w:rsid w:val="00AD068E"/>
    <w:rsid w:val="00AD2C45"/>
    <w:rsid w:val="00AD31E3"/>
    <w:rsid w:val="00AD3921"/>
    <w:rsid w:val="00AD3FD8"/>
    <w:rsid w:val="00AD7A33"/>
    <w:rsid w:val="00AE0BB9"/>
    <w:rsid w:val="00AE0C95"/>
    <w:rsid w:val="00AE1619"/>
    <w:rsid w:val="00AE1E9E"/>
    <w:rsid w:val="00AE1F14"/>
    <w:rsid w:val="00AE2E70"/>
    <w:rsid w:val="00AE3E40"/>
    <w:rsid w:val="00AE72CC"/>
    <w:rsid w:val="00AE7CBF"/>
    <w:rsid w:val="00AF01F5"/>
    <w:rsid w:val="00AF1414"/>
    <w:rsid w:val="00AF2AD0"/>
    <w:rsid w:val="00AF2C4C"/>
    <w:rsid w:val="00AF3336"/>
    <w:rsid w:val="00AF4579"/>
    <w:rsid w:val="00AF6075"/>
    <w:rsid w:val="00B00949"/>
    <w:rsid w:val="00B0197E"/>
    <w:rsid w:val="00B01D37"/>
    <w:rsid w:val="00B01E81"/>
    <w:rsid w:val="00B0435F"/>
    <w:rsid w:val="00B04766"/>
    <w:rsid w:val="00B06DF0"/>
    <w:rsid w:val="00B079A7"/>
    <w:rsid w:val="00B10DB9"/>
    <w:rsid w:val="00B11DF8"/>
    <w:rsid w:val="00B15D82"/>
    <w:rsid w:val="00B17A76"/>
    <w:rsid w:val="00B2056A"/>
    <w:rsid w:val="00B231D9"/>
    <w:rsid w:val="00B23AE4"/>
    <w:rsid w:val="00B24C4E"/>
    <w:rsid w:val="00B271C5"/>
    <w:rsid w:val="00B303DD"/>
    <w:rsid w:val="00B34854"/>
    <w:rsid w:val="00B34BE7"/>
    <w:rsid w:val="00B34EA4"/>
    <w:rsid w:val="00B3678C"/>
    <w:rsid w:val="00B37E4B"/>
    <w:rsid w:val="00B42417"/>
    <w:rsid w:val="00B42880"/>
    <w:rsid w:val="00B440D9"/>
    <w:rsid w:val="00B45034"/>
    <w:rsid w:val="00B45447"/>
    <w:rsid w:val="00B473EC"/>
    <w:rsid w:val="00B47B6B"/>
    <w:rsid w:val="00B47C7E"/>
    <w:rsid w:val="00B512E6"/>
    <w:rsid w:val="00B521C9"/>
    <w:rsid w:val="00B53AB1"/>
    <w:rsid w:val="00B54078"/>
    <w:rsid w:val="00B55C4B"/>
    <w:rsid w:val="00B605C6"/>
    <w:rsid w:val="00B65FB4"/>
    <w:rsid w:val="00B66394"/>
    <w:rsid w:val="00B70B72"/>
    <w:rsid w:val="00B7113C"/>
    <w:rsid w:val="00B715B4"/>
    <w:rsid w:val="00B73CA9"/>
    <w:rsid w:val="00B75516"/>
    <w:rsid w:val="00B75AFF"/>
    <w:rsid w:val="00B765CA"/>
    <w:rsid w:val="00B77CBD"/>
    <w:rsid w:val="00B77DF7"/>
    <w:rsid w:val="00B851A8"/>
    <w:rsid w:val="00B8543F"/>
    <w:rsid w:val="00B856DA"/>
    <w:rsid w:val="00B8765D"/>
    <w:rsid w:val="00B96371"/>
    <w:rsid w:val="00BA1F76"/>
    <w:rsid w:val="00BA2559"/>
    <w:rsid w:val="00BA5DC1"/>
    <w:rsid w:val="00BA76C0"/>
    <w:rsid w:val="00BA78C1"/>
    <w:rsid w:val="00BB0119"/>
    <w:rsid w:val="00BB0F4E"/>
    <w:rsid w:val="00BB2D8B"/>
    <w:rsid w:val="00BB372A"/>
    <w:rsid w:val="00BB7252"/>
    <w:rsid w:val="00BB758B"/>
    <w:rsid w:val="00BC0680"/>
    <w:rsid w:val="00BC1DD2"/>
    <w:rsid w:val="00BC5571"/>
    <w:rsid w:val="00BC5676"/>
    <w:rsid w:val="00BC689E"/>
    <w:rsid w:val="00BC6CF1"/>
    <w:rsid w:val="00BD1BBA"/>
    <w:rsid w:val="00BD2346"/>
    <w:rsid w:val="00BD2FF4"/>
    <w:rsid w:val="00BD3B34"/>
    <w:rsid w:val="00BD4859"/>
    <w:rsid w:val="00BD5D70"/>
    <w:rsid w:val="00BD66E6"/>
    <w:rsid w:val="00BD782E"/>
    <w:rsid w:val="00BE1885"/>
    <w:rsid w:val="00BE30DE"/>
    <w:rsid w:val="00BE47F4"/>
    <w:rsid w:val="00BE67C3"/>
    <w:rsid w:val="00BE7434"/>
    <w:rsid w:val="00BF0682"/>
    <w:rsid w:val="00BF1147"/>
    <w:rsid w:val="00BF23D2"/>
    <w:rsid w:val="00BF349C"/>
    <w:rsid w:val="00BF4BB3"/>
    <w:rsid w:val="00BF5696"/>
    <w:rsid w:val="00BF57F0"/>
    <w:rsid w:val="00BF6A10"/>
    <w:rsid w:val="00BF728C"/>
    <w:rsid w:val="00C00011"/>
    <w:rsid w:val="00C010A7"/>
    <w:rsid w:val="00C048DB"/>
    <w:rsid w:val="00C079EF"/>
    <w:rsid w:val="00C1251F"/>
    <w:rsid w:val="00C143F4"/>
    <w:rsid w:val="00C173F7"/>
    <w:rsid w:val="00C176D2"/>
    <w:rsid w:val="00C17CC6"/>
    <w:rsid w:val="00C20168"/>
    <w:rsid w:val="00C239AF"/>
    <w:rsid w:val="00C27067"/>
    <w:rsid w:val="00C27682"/>
    <w:rsid w:val="00C354EB"/>
    <w:rsid w:val="00C40A1F"/>
    <w:rsid w:val="00C41902"/>
    <w:rsid w:val="00C41ABA"/>
    <w:rsid w:val="00C42388"/>
    <w:rsid w:val="00C4285D"/>
    <w:rsid w:val="00C44809"/>
    <w:rsid w:val="00C44C22"/>
    <w:rsid w:val="00C465B1"/>
    <w:rsid w:val="00C46878"/>
    <w:rsid w:val="00C46BCC"/>
    <w:rsid w:val="00C5224B"/>
    <w:rsid w:val="00C52979"/>
    <w:rsid w:val="00C52F6D"/>
    <w:rsid w:val="00C539F0"/>
    <w:rsid w:val="00C53E4E"/>
    <w:rsid w:val="00C55E4A"/>
    <w:rsid w:val="00C55E62"/>
    <w:rsid w:val="00C562BF"/>
    <w:rsid w:val="00C56FD7"/>
    <w:rsid w:val="00C625DD"/>
    <w:rsid w:val="00C67F93"/>
    <w:rsid w:val="00C70920"/>
    <w:rsid w:val="00C70D92"/>
    <w:rsid w:val="00C70E22"/>
    <w:rsid w:val="00C70F9B"/>
    <w:rsid w:val="00C75012"/>
    <w:rsid w:val="00C76518"/>
    <w:rsid w:val="00C77B17"/>
    <w:rsid w:val="00C814D9"/>
    <w:rsid w:val="00C8280E"/>
    <w:rsid w:val="00C83FA6"/>
    <w:rsid w:val="00C843B2"/>
    <w:rsid w:val="00C85712"/>
    <w:rsid w:val="00C86045"/>
    <w:rsid w:val="00C8665D"/>
    <w:rsid w:val="00C86A46"/>
    <w:rsid w:val="00C8763F"/>
    <w:rsid w:val="00C90FB6"/>
    <w:rsid w:val="00C91802"/>
    <w:rsid w:val="00C921DF"/>
    <w:rsid w:val="00C93E8E"/>
    <w:rsid w:val="00C946CC"/>
    <w:rsid w:val="00C95555"/>
    <w:rsid w:val="00C95F6B"/>
    <w:rsid w:val="00CA3412"/>
    <w:rsid w:val="00CA49B1"/>
    <w:rsid w:val="00CA4F7B"/>
    <w:rsid w:val="00CA5DC6"/>
    <w:rsid w:val="00CA691E"/>
    <w:rsid w:val="00CA6EEC"/>
    <w:rsid w:val="00CA7E20"/>
    <w:rsid w:val="00CB139E"/>
    <w:rsid w:val="00CB3C43"/>
    <w:rsid w:val="00CB4136"/>
    <w:rsid w:val="00CB6E3F"/>
    <w:rsid w:val="00CB7D84"/>
    <w:rsid w:val="00CC17CB"/>
    <w:rsid w:val="00CC2555"/>
    <w:rsid w:val="00CC38FF"/>
    <w:rsid w:val="00CC4C68"/>
    <w:rsid w:val="00CC576D"/>
    <w:rsid w:val="00CC61A0"/>
    <w:rsid w:val="00CC6C74"/>
    <w:rsid w:val="00CC71D1"/>
    <w:rsid w:val="00CD0ECF"/>
    <w:rsid w:val="00CD1315"/>
    <w:rsid w:val="00CD1D46"/>
    <w:rsid w:val="00CD2F8C"/>
    <w:rsid w:val="00CD48D5"/>
    <w:rsid w:val="00CD5EE9"/>
    <w:rsid w:val="00CE2263"/>
    <w:rsid w:val="00CE304C"/>
    <w:rsid w:val="00CE41C5"/>
    <w:rsid w:val="00CE6956"/>
    <w:rsid w:val="00CE7C72"/>
    <w:rsid w:val="00CF0F40"/>
    <w:rsid w:val="00CF1A54"/>
    <w:rsid w:val="00CF1D95"/>
    <w:rsid w:val="00CF2AD9"/>
    <w:rsid w:val="00CF3097"/>
    <w:rsid w:val="00CF3442"/>
    <w:rsid w:val="00CF45D7"/>
    <w:rsid w:val="00CF5DDA"/>
    <w:rsid w:val="00CF6171"/>
    <w:rsid w:val="00CF63EB"/>
    <w:rsid w:val="00D00CC7"/>
    <w:rsid w:val="00D01766"/>
    <w:rsid w:val="00D02802"/>
    <w:rsid w:val="00D03465"/>
    <w:rsid w:val="00D03F15"/>
    <w:rsid w:val="00D054A2"/>
    <w:rsid w:val="00D05578"/>
    <w:rsid w:val="00D11BF8"/>
    <w:rsid w:val="00D12AEB"/>
    <w:rsid w:val="00D13800"/>
    <w:rsid w:val="00D142B2"/>
    <w:rsid w:val="00D1440E"/>
    <w:rsid w:val="00D15494"/>
    <w:rsid w:val="00D15AA5"/>
    <w:rsid w:val="00D1799E"/>
    <w:rsid w:val="00D223EB"/>
    <w:rsid w:val="00D22B1B"/>
    <w:rsid w:val="00D23E55"/>
    <w:rsid w:val="00D24403"/>
    <w:rsid w:val="00D248EF"/>
    <w:rsid w:val="00D24AF2"/>
    <w:rsid w:val="00D25722"/>
    <w:rsid w:val="00D27182"/>
    <w:rsid w:val="00D279F2"/>
    <w:rsid w:val="00D33210"/>
    <w:rsid w:val="00D364C9"/>
    <w:rsid w:val="00D37C74"/>
    <w:rsid w:val="00D37D26"/>
    <w:rsid w:val="00D37EAE"/>
    <w:rsid w:val="00D4103C"/>
    <w:rsid w:val="00D41E4A"/>
    <w:rsid w:val="00D422E3"/>
    <w:rsid w:val="00D436C9"/>
    <w:rsid w:val="00D43842"/>
    <w:rsid w:val="00D506CF"/>
    <w:rsid w:val="00D51950"/>
    <w:rsid w:val="00D54B26"/>
    <w:rsid w:val="00D60585"/>
    <w:rsid w:val="00D6142C"/>
    <w:rsid w:val="00D6254B"/>
    <w:rsid w:val="00D63B4A"/>
    <w:rsid w:val="00D64B28"/>
    <w:rsid w:val="00D64C10"/>
    <w:rsid w:val="00D653C6"/>
    <w:rsid w:val="00D65EDC"/>
    <w:rsid w:val="00D753F8"/>
    <w:rsid w:val="00D75C50"/>
    <w:rsid w:val="00D76F97"/>
    <w:rsid w:val="00D81AD1"/>
    <w:rsid w:val="00D84061"/>
    <w:rsid w:val="00D849A9"/>
    <w:rsid w:val="00D851C5"/>
    <w:rsid w:val="00D85B70"/>
    <w:rsid w:val="00D866CA"/>
    <w:rsid w:val="00D93BBE"/>
    <w:rsid w:val="00D95A4C"/>
    <w:rsid w:val="00DA30C7"/>
    <w:rsid w:val="00DA633B"/>
    <w:rsid w:val="00DA6574"/>
    <w:rsid w:val="00DA6F3F"/>
    <w:rsid w:val="00DB2E40"/>
    <w:rsid w:val="00DB499A"/>
    <w:rsid w:val="00DB53EB"/>
    <w:rsid w:val="00DB6498"/>
    <w:rsid w:val="00DB685D"/>
    <w:rsid w:val="00DB6A78"/>
    <w:rsid w:val="00DC16CC"/>
    <w:rsid w:val="00DC2981"/>
    <w:rsid w:val="00DC3F91"/>
    <w:rsid w:val="00DD0C1E"/>
    <w:rsid w:val="00DD1419"/>
    <w:rsid w:val="00DD15B6"/>
    <w:rsid w:val="00DD2D39"/>
    <w:rsid w:val="00DD707B"/>
    <w:rsid w:val="00DD7384"/>
    <w:rsid w:val="00DD74BE"/>
    <w:rsid w:val="00DE083F"/>
    <w:rsid w:val="00DE2B2E"/>
    <w:rsid w:val="00DE53D8"/>
    <w:rsid w:val="00DE5787"/>
    <w:rsid w:val="00DE7675"/>
    <w:rsid w:val="00DF07AB"/>
    <w:rsid w:val="00DF17D2"/>
    <w:rsid w:val="00DF2366"/>
    <w:rsid w:val="00DF2716"/>
    <w:rsid w:val="00DF3BCD"/>
    <w:rsid w:val="00DF40C8"/>
    <w:rsid w:val="00DF61D9"/>
    <w:rsid w:val="00DF7DD6"/>
    <w:rsid w:val="00E0011C"/>
    <w:rsid w:val="00E001B4"/>
    <w:rsid w:val="00E0057B"/>
    <w:rsid w:val="00E016A6"/>
    <w:rsid w:val="00E0173C"/>
    <w:rsid w:val="00E0201D"/>
    <w:rsid w:val="00E0307B"/>
    <w:rsid w:val="00E053D2"/>
    <w:rsid w:val="00E06845"/>
    <w:rsid w:val="00E0696A"/>
    <w:rsid w:val="00E07CD1"/>
    <w:rsid w:val="00E07F6A"/>
    <w:rsid w:val="00E07F7B"/>
    <w:rsid w:val="00E10890"/>
    <w:rsid w:val="00E12891"/>
    <w:rsid w:val="00E144CC"/>
    <w:rsid w:val="00E15BF1"/>
    <w:rsid w:val="00E15C5B"/>
    <w:rsid w:val="00E20E96"/>
    <w:rsid w:val="00E25B24"/>
    <w:rsid w:val="00E26DEC"/>
    <w:rsid w:val="00E27352"/>
    <w:rsid w:val="00E27539"/>
    <w:rsid w:val="00E27A52"/>
    <w:rsid w:val="00E27C97"/>
    <w:rsid w:val="00E27FDA"/>
    <w:rsid w:val="00E33041"/>
    <w:rsid w:val="00E33B25"/>
    <w:rsid w:val="00E34127"/>
    <w:rsid w:val="00E34361"/>
    <w:rsid w:val="00E36A96"/>
    <w:rsid w:val="00E375B1"/>
    <w:rsid w:val="00E412EE"/>
    <w:rsid w:val="00E43880"/>
    <w:rsid w:val="00E44060"/>
    <w:rsid w:val="00E4579E"/>
    <w:rsid w:val="00E46C03"/>
    <w:rsid w:val="00E479B7"/>
    <w:rsid w:val="00E51913"/>
    <w:rsid w:val="00E54D9E"/>
    <w:rsid w:val="00E54E73"/>
    <w:rsid w:val="00E5594A"/>
    <w:rsid w:val="00E56B19"/>
    <w:rsid w:val="00E6000D"/>
    <w:rsid w:val="00E600FC"/>
    <w:rsid w:val="00E6165E"/>
    <w:rsid w:val="00E61DF7"/>
    <w:rsid w:val="00E6271C"/>
    <w:rsid w:val="00E6768A"/>
    <w:rsid w:val="00E701D0"/>
    <w:rsid w:val="00E708EC"/>
    <w:rsid w:val="00E71F1D"/>
    <w:rsid w:val="00E72C72"/>
    <w:rsid w:val="00E73075"/>
    <w:rsid w:val="00E765E9"/>
    <w:rsid w:val="00E806BC"/>
    <w:rsid w:val="00E84BDB"/>
    <w:rsid w:val="00E85FDE"/>
    <w:rsid w:val="00E86ACC"/>
    <w:rsid w:val="00E8740C"/>
    <w:rsid w:val="00E9046F"/>
    <w:rsid w:val="00E9257E"/>
    <w:rsid w:val="00E92D51"/>
    <w:rsid w:val="00E932CC"/>
    <w:rsid w:val="00E9443F"/>
    <w:rsid w:val="00E94723"/>
    <w:rsid w:val="00E951C0"/>
    <w:rsid w:val="00E973AC"/>
    <w:rsid w:val="00E97A22"/>
    <w:rsid w:val="00EA0562"/>
    <w:rsid w:val="00EA1894"/>
    <w:rsid w:val="00EA63D9"/>
    <w:rsid w:val="00EA7C1B"/>
    <w:rsid w:val="00EB3372"/>
    <w:rsid w:val="00EB373A"/>
    <w:rsid w:val="00EB63FE"/>
    <w:rsid w:val="00EC03BF"/>
    <w:rsid w:val="00EC102F"/>
    <w:rsid w:val="00EC2145"/>
    <w:rsid w:val="00EC3FB5"/>
    <w:rsid w:val="00EC5F2B"/>
    <w:rsid w:val="00EC7F18"/>
    <w:rsid w:val="00ED11A7"/>
    <w:rsid w:val="00ED4A6A"/>
    <w:rsid w:val="00ED55BC"/>
    <w:rsid w:val="00EE0262"/>
    <w:rsid w:val="00EE0E26"/>
    <w:rsid w:val="00EE15A4"/>
    <w:rsid w:val="00EE3E1B"/>
    <w:rsid w:val="00EE5976"/>
    <w:rsid w:val="00EF1AF6"/>
    <w:rsid w:val="00EF43C6"/>
    <w:rsid w:val="00EF5821"/>
    <w:rsid w:val="00EF60A6"/>
    <w:rsid w:val="00EF7B23"/>
    <w:rsid w:val="00F022DC"/>
    <w:rsid w:val="00F03B3D"/>
    <w:rsid w:val="00F03E69"/>
    <w:rsid w:val="00F055F8"/>
    <w:rsid w:val="00F065A1"/>
    <w:rsid w:val="00F06B13"/>
    <w:rsid w:val="00F101A5"/>
    <w:rsid w:val="00F12B4F"/>
    <w:rsid w:val="00F13D4E"/>
    <w:rsid w:val="00F13EC8"/>
    <w:rsid w:val="00F14288"/>
    <w:rsid w:val="00F15C16"/>
    <w:rsid w:val="00F160CC"/>
    <w:rsid w:val="00F20844"/>
    <w:rsid w:val="00F21CEC"/>
    <w:rsid w:val="00F22692"/>
    <w:rsid w:val="00F23FE9"/>
    <w:rsid w:val="00F2425E"/>
    <w:rsid w:val="00F2668C"/>
    <w:rsid w:val="00F273E5"/>
    <w:rsid w:val="00F327BD"/>
    <w:rsid w:val="00F33195"/>
    <w:rsid w:val="00F358C6"/>
    <w:rsid w:val="00F35DC5"/>
    <w:rsid w:val="00F37114"/>
    <w:rsid w:val="00F375D5"/>
    <w:rsid w:val="00F442EE"/>
    <w:rsid w:val="00F4475A"/>
    <w:rsid w:val="00F44AC8"/>
    <w:rsid w:val="00F50CED"/>
    <w:rsid w:val="00F51EAF"/>
    <w:rsid w:val="00F5350B"/>
    <w:rsid w:val="00F5589B"/>
    <w:rsid w:val="00F5646B"/>
    <w:rsid w:val="00F564AF"/>
    <w:rsid w:val="00F648BC"/>
    <w:rsid w:val="00F65C63"/>
    <w:rsid w:val="00F66071"/>
    <w:rsid w:val="00F66881"/>
    <w:rsid w:val="00F67D62"/>
    <w:rsid w:val="00F72A83"/>
    <w:rsid w:val="00F747E9"/>
    <w:rsid w:val="00F75B25"/>
    <w:rsid w:val="00F76C99"/>
    <w:rsid w:val="00F804A0"/>
    <w:rsid w:val="00F805AF"/>
    <w:rsid w:val="00F8212F"/>
    <w:rsid w:val="00F84D44"/>
    <w:rsid w:val="00F90453"/>
    <w:rsid w:val="00F9073C"/>
    <w:rsid w:val="00F90C54"/>
    <w:rsid w:val="00F92D3B"/>
    <w:rsid w:val="00F956B0"/>
    <w:rsid w:val="00F965BD"/>
    <w:rsid w:val="00FA0244"/>
    <w:rsid w:val="00FA207E"/>
    <w:rsid w:val="00FA20DF"/>
    <w:rsid w:val="00FA2294"/>
    <w:rsid w:val="00FA24C1"/>
    <w:rsid w:val="00FA2790"/>
    <w:rsid w:val="00FA42F0"/>
    <w:rsid w:val="00FA59CA"/>
    <w:rsid w:val="00FA5F90"/>
    <w:rsid w:val="00FA5FDB"/>
    <w:rsid w:val="00FA6513"/>
    <w:rsid w:val="00FA72F4"/>
    <w:rsid w:val="00FA7C14"/>
    <w:rsid w:val="00FB1E9F"/>
    <w:rsid w:val="00FB3938"/>
    <w:rsid w:val="00FB5624"/>
    <w:rsid w:val="00FB6B1B"/>
    <w:rsid w:val="00FB7800"/>
    <w:rsid w:val="00FC0FF6"/>
    <w:rsid w:val="00FC3E50"/>
    <w:rsid w:val="00FC40E5"/>
    <w:rsid w:val="00FC498E"/>
    <w:rsid w:val="00FC6EEA"/>
    <w:rsid w:val="00FC7AAE"/>
    <w:rsid w:val="00FD0471"/>
    <w:rsid w:val="00FD1088"/>
    <w:rsid w:val="00FD11F6"/>
    <w:rsid w:val="00FD1CC4"/>
    <w:rsid w:val="00FD4BAD"/>
    <w:rsid w:val="00FE0B49"/>
    <w:rsid w:val="00FE0F68"/>
    <w:rsid w:val="00FE3604"/>
    <w:rsid w:val="00FE4B35"/>
    <w:rsid w:val="00FF03A3"/>
    <w:rsid w:val="00FF1221"/>
    <w:rsid w:val="00FF375A"/>
    <w:rsid w:val="00FF39CF"/>
    <w:rsid w:val="00FF4BA9"/>
    <w:rsid w:val="00FF71FF"/>
    <w:rsid w:val="01CEC757"/>
    <w:rsid w:val="07DB7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D1842"/>
  <w15:chartTrackingRefBased/>
  <w15:docId w15:val="{E83D3C62-79E5-4C43-B170-D3FC06CBD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1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31103"/>
    <w:pPr>
      <w:spacing w:after="0" w:line="240" w:lineRule="auto"/>
    </w:pPr>
    <w:rPr>
      <w:sz w:val="20"/>
      <w:szCs w:val="20"/>
    </w:rPr>
  </w:style>
  <w:style w:type="character" w:customStyle="1" w:styleId="FootnoteTextChar">
    <w:name w:val="Footnote Text Char"/>
    <w:basedOn w:val="DefaultParagraphFont"/>
    <w:link w:val="FootnoteText"/>
    <w:uiPriority w:val="99"/>
    <w:rsid w:val="00231103"/>
    <w:rPr>
      <w:sz w:val="20"/>
      <w:szCs w:val="20"/>
    </w:rPr>
  </w:style>
  <w:style w:type="character" w:styleId="FootnoteReference">
    <w:name w:val="footnote reference"/>
    <w:basedOn w:val="DefaultParagraphFont"/>
    <w:uiPriority w:val="99"/>
    <w:unhideWhenUsed/>
    <w:rsid w:val="00231103"/>
    <w:rPr>
      <w:vertAlign w:val="superscript"/>
    </w:rPr>
  </w:style>
  <w:style w:type="table" w:styleId="TableGrid">
    <w:name w:val="Table Grid"/>
    <w:basedOn w:val="TableNormal"/>
    <w:uiPriority w:val="59"/>
    <w:rsid w:val="00231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64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45C"/>
  </w:style>
  <w:style w:type="paragraph" w:styleId="NoSpacing">
    <w:name w:val="No Spacing"/>
    <w:uiPriority w:val="1"/>
    <w:qFormat/>
    <w:rsid w:val="0004645C"/>
    <w:pPr>
      <w:spacing w:after="0" w:line="240" w:lineRule="auto"/>
    </w:pPr>
  </w:style>
  <w:style w:type="paragraph" w:styleId="ListParagraph">
    <w:name w:val="List Paragraph"/>
    <w:basedOn w:val="Normal"/>
    <w:link w:val="ListParagraphChar"/>
    <w:uiPriority w:val="34"/>
    <w:qFormat/>
    <w:rsid w:val="00BB0F4E"/>
    <w:pPr>
      <w:ind w:left="720"/>
      <w:contextualSpacing/>
    </w:pPr>
  </w:style>
  <w:style w:type="character" w:styleId="CommentReference">
    <w:name w:val="annotation reference"/>
    <w:basedOn w:val="DefaultParagraphFont"/>
    <w:uiPriority w:val="99"/>
    <w:semiHidden/>
    <w:unhideWhenUsed/>
    <w:rsid w:val="008C1253"/>
    <w:rPr>
      <w:sz w:val="16"/>
      <w:szCs w:val="16"/>
    </w:rPr>
  </w:style>
  <w:style w:type="paragraph" w:styleId="CommentText">
    <w:name w:val="annotation text"/>
    <w:basedOn w:val="Normal"/>
    <w:link w:val="CommentTextChar"/>
    <w:uiPriority w:val="99"/>
    <w:unhideWhenUsed/>
    <w:rsid w:val="008C1253"/>
    <w:pPr>
      <w:spacing w:line="240" w:lineRule="auto"/>
    </w:pPr>
    <w:rPr>
      <w:sz w:val="20"/>
      <w:szCs w:val="20"/>
    </w:rPr>
  </w:style>
  <w:style w:type="character" w:customStyle="1" w:styleId="CommentTextChar">
    <w:name w:val="Comment Text Char"/>
    <w:basedOn w:val="DefaultParagraphFont"/>
    <w:link w:val="CommentText"/>
    <w:uiPriority w:val="99"/>
    <w:rsid w:val="008C1253"/>
    <w:rPr>
      <w:sz w:val="20"/>
      <w:szCs w:val="20"/>
    </w:rPr>
  </w:style>
  <w:style w:type="paragraph" w:styleId="CommentSubject">
    <w:name w:val="annotation subject"/>
    <w:basedOn w:val="CommentText"/>
    <w:next w:val="CommentText"/>
    <w:link w:val="CommentSubjectChar"/>
    <w:uiPriority w:val="99"/>
    <w:semiHidden/>
    <w:unhideWhenUsed/>
    <w:rsid w:val="008C1253"/>
    <w:rPr>
      <w:b/>
      <w:bCs/>
    </w:rPr>
  </w:style>
  <w:style w:type="character" w:customStyle="1" w:styleId="CommentSubjectChar">
    <w:name w:val="Comment Subject Char"/>
    <w:basedOn w:val="CommentTextChar"/>
    <w:link w:val="CommentSubject"/>
    <w:uiPriority w:val="99"/>
    <w:semiHidden/>
    <w:rsid w:val="008C1253"/>
    <w:rPr>
      <w:b/>
      <w:bCs/>
      <w:sz w:val="20"/>
      <w:szCs w:val="20"/>
    </w:rPr>
  </w:style>
  <w:style w:type="character" w:styleId="Hyperlink">
    <w:name w:val="Hyperlink"/>
    <w:basedOn w:val="DefaultParagraphFont"/>
    <w:uiPriority w:val="99"/>
    <w:unhideWhenUsed/>
    <w:rsid w:val="00D223EB"/>
    <w:rPr>
      <w:color w:val="0563C1" w:themeColor="hyperlink"/>
      <w:u w:val="single"/>
    </w:rPr>
  </w:style>
  <w:style w:type="paragraph" w:styleId="Footer">
    <w:name w:val="footer"/>
    <w:basedOn w:val="Normal"/>
    <w:link w:val="FooterChar"/>
    <w:uiPriority w:val="99"/>
    <w:unhideWhenUsed/>
    <w:rsid w:val="00D223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23EB"/>
  </w:style>
  <w:style w:type="paragraph" w:styleId="BalloonText">
    <w:name w:val="Balloon Text"/>
    <w:basedOn w:val="Normal"/>
    <w:link w:val="BalloonTextChar"/>
    <w:uiPriority w:val="99"/>
    <w:semiHidden/>
    <w:unhideWhenUsed/>
    <w:rsid w:val="00567A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A48"/>
    <w:rPr>
      <w:rFonts w:ascii="Segoe UI" w:hAnsi="Segoe UI" w:cs="Segoe UI"/>
      <w:sz w:val="18"/>
      <w:szCs w:val="18"/>
    </w:rPr>
  </w:style>
  <w:style w:type="paragraph" w:styleId="NormalWeb">
    <w:name w:val="Normal (Web)"/>
    <w:basedOn w:val="Normal"/>
    <w:uiPriority w:val="99"/>
    <w:semiHidden/>
    <w:unhideWhenUsed/>
    <w:rsid w:val="00055F9E"/>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E0307B"/>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E0307B"/>
    <w:rPr>
      <w:rFonts w:ascii="Calibri" w:eastAsia="Calibri" w:hAnsi="Calibri" w:cs="Calibri"/>
    </w:rPr>
  </w:style>
  <w:style w:type="paragraph" w:customStyle="1" w:styleId="TableParagraph">
    <w:name w:val="Table Paragraph"/>
    <w:basedOn w:val="Normal"/>
    <w:uiPriority w:val="1"/>
    <w:qFormat/>
    <w:rsid w:val="00E0307B"/>
    <w:pPr>
      <w:widowControl w:val="0"/>
      <w:autoSpaceDE w:val="0"/>
      <w:autoSpaceDN w:val="0"/>
      <w:spacing w:after="0" w:line="240" w:lineRule="auto"/>
    </w:pPr>
    <w:rPr>
      <w:rFonts w:ascii="Calibri" w:eastAsia="Calibri" w:hAnsi="Calibri" w:cs="Calibri"/>
    </w:rPr>
  </w:style>
  <w:style w:type="paragraph" w:customStyle="1" w:styleId="xmsonormal">
    <w:name w:val="x_msonormal"/>
    <w:basedOn w:val="Normal"/>
    <w:rsid w:val="00C048DB"/>
    <w:pPr>
      <w:spacing w:after="0" w:line="240" w:lineRule="auto"/>
    </w:pPr>
    <w:rPr>
      <w:rFonts w:ascii="Calibri" w:hAnsi="Calibri" w:cs="Calibri"/>
    </w:rPr>
  </w:style>
  <w:style w:type="character" w:styleId="UnresolvedMention">
    <w:name w:val="Unresolved Mention"/>
    <w:basedOn w:val="DefaultParagraphFont"/>
    <w:uiPriority w:val="99"/>
    <w:semiHidden/>
    <w:unhideWhenUsed/>
    <w:rsid w:val="006325B1"/>
    <w:rPr>
      <w:color w:val="605E5C"/>
      <w:shd w:val="clear" w:color="auto" w:fill="E1DFDD"/>
    </w:rPr>
  </w:style>
  <w:style w:type="character" w:customStyle="1" w:styleId="cf01">
    <w:name w:val="cf01"/>
    <w:basedOn w:val="DefaultParagraphFont"/>
    <w:rsid w:val="00D51950"/>
    <w:rPr>
      <w:rFonts w:ascii="Segoe UI" w:hAnsi="Segoe UI" w:cs="Segoe UI" w:hint="default"/>
      <w:sz w:val="18"/>
      <w:szCs w:val="18"/>
    </w:rPr>
  </w:style>
  <w:style w:type="paragraph" w:customStyle="1" w:styleId="pf0">
    <w:name w:val="pf0"/>
    <w:basedOn w:val="Normal"/>
    <w:rsid w:val="00F15C16"/>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CD1315"/>
    <w:pPr>
      <w:spacing w:after="0" w:line="240" w:lineRule="auto"/>
    </w:pPr>
  </w:style>
  <w:style w:type="character" w:customStyle="1" w:styleId="ListParagraphChar">
    <w:name w:val="List Paragraph Char"/>
    <w:basedOn w:val="DefaultParagraphFont"/>
    <w:link w:val="ListParagraph"/>
    <w:uiPriority w:val="34"/>
    <w:rsid w:val="00344DAC"/>
  </w:style>
  <w:style w:type="paragraph" w:customStyle="1" w:styleId="Default">
    <w:name w:val="Default"/>
    <w:rsid w:val="007B689C"/>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A06D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31287">
      <w:bodyDiv w:val="1"/>
      <w:marLeft w:val="0"/>
      <w:marRight w:val="0"/>
      <w:marTop w:val="0"/>
      <w:marBottom w:val="0"/>
      <w:divBdr>
        <w:top w:val="none" w:sz="0" w:space="0" w:color="auto"/>
        <w:left w:val="none" w:sz="0" w:space="0" w:color="auto"/>
        <w:bottom w:val="none" w:sz="0" w:space="0" w:color="auto"/>
        <w:right w:val="none" w:sz="0" w:space="0" w:color="auto"/>
      </w:divBdr>
    </w:div>
    <w:div w:id="340863976">
      <w:bodyDiv w:val="1"/>
      <w:marLeft w:val="0"/>
      <w:marRight w:val="0"/>
      <w:marTop w:val="0"/>
      <w:marBottom w:val="0"/>
      <w:divBdr>
        <w:top w:val="none" w:sz="0" w:space="0" w:color="auto"/>
        <w:left w:val="none" w:sz="0" w:space="0" w:color="auto"/>
        <w:bottom w:val="none" w:sz="0" w:space="0" w:color="auto"/>
        <w:right w:val="none" w:sz="0" w:space="0" w:color="auto"/>
      </w:divBdr>
    </w:div>
    <w:div w:id="513031321">
      <w:bodyDiv w:val="1"/>
      <w:marLeft w:val="0"/>
      <w:marRight w:val="0"/>
      <w:marTop w:val="0"/>
      <w:marBottom w:val="0"/>
      <w:divBdr>
        <w:top w:val="none" w:sz="0" w:space="0" w:color="auto"/>
        <w:left w:val="none" w:sz="0" w:space="0" w:color="auto"/>
        <w:bottom w:val="none" w:sz="0" w:space="0" w:color="auto"/>
        <w:right w:val="none" w:sz="0" w:space="0" w:color="auto"/>
      </w:divBdr>
    </w:div>
    <w:div w:id="538010224">
      <w:bodyDiv w:val="1"/>
      <w:marLeft w:val="0"/>
      <w:marRight w:val="0"/>
      <w:marTop w:val="0"/>
      <w:marBottom w:val="0"/>
      <w:divBdr>
        <w:top w:val="none" w:sz="0" w:space="0" w:color="auto"/>
        <w:left w:val="none" w:sz="0" w:space="0" w:color="auto"/>
        <w:bottom w:val="none" w:sz="0" w:space="0" w:color="auto"/>
        <w:right w:val="none" w:sz="0" w:space="0" w:color="auto"/>
      </w:divBdr>
    </w:div>
    <w:div w:id="546599813">
      <w:bodyDiv w:val="1"/>
      <w:marLeft w:val="0"/>
      <w:marRight w:val="0"/>
      <w:marTop w:val="0"/>
      <w:marBottom w:val="0"/>
      <w:divBdr>
        <w:top w:val="none" w:sz="0" w:space="0" w:color="auto"/>
        <w:left w:val="none" w:sz="0" w:space="0" w:color="auto"/>
        <w:bottom w:val="none" w:sz="0" w:space="0" w:color="auto"/>
        <w:right w:val="none" w:sz="0" w:space="0" w:color="auto"/>
      </w:divBdr>
    </w:div>
    <w:div w:id="566721004">
      <w:bodyDiv w:val="1"/>
      <w:marLeft w:val="0"/>
      <w:marRight w:val="0"/>
      <w:marTop w:val="0"/>
      <w:marBottom w:val="0"/>
      <w:divBdr>
        <w:top w:val="none" w:sz="0" w:space="0" w:color="auto"/>
        <w:left w:val="none" w:sz="0" w:space="0" w:color="auto"/>
        <w:bottom w:val="none" w:sz="0" w:space="0" w:color="auto"/>
        <w:right w:val="none" w:sz="0" w:space="0" w:color="auto"/>
      </w:divBdr>
    </w:div>
    <w:div w:id="666444826">
      <w:bodyDiv w:val="1"/>
      <w:marLeft w:val="0"/>
      <w:marRight w:val="0"/>
      <w:marTop w:val="0"/>
      <w:marBottom w:val="0"/>
      <w:divBdr>
        <w:top w:val="none" w:sz="0" w:space="0" w:color="auto"/>
        <w:left w:val="none" w:sz="0" w:space="0" w:color="auto"/>
        <w:bottom w:val="none" w:sz="0" w:space="0" w:color="auto"/>
        <w:right w:val="none" w:sz="0" w:space="0" w:color="auto"/>
      </w:divBdr>
    </w:div>
    <w:div w:id="1074426049">
      <w:bodyDiv w:val="1"/>
      <w:marLeft w:val="0"/>
      <w:marRight w:val="0"/>
      <w:marTop w:val="0"/>
      <w:marBottom w:val="0"/>
      <w:divBdr>
        <w:top w:val="none" w:sz="0" w:space="0" w:color="auto"/>
        <w:left w:val="none" w:sz="0" w:space="0" w:color="auto"/>
        <w:bottom w:val="none" w:sz="0" w:space="0" w:color="auto"/>
        <w:right w:val="none" w:sz="0" w:space="0" w:color="auto"/>
      </w:divBdr>
    </w:div>
    <w:div w:id="1102413742">
      <w:bodyDiv w:val="1"/>
      <w:marLeft w:val="0"/>
      <w:marRight w:val="0"/>
      <w:marTop w:val="0"/>
      <w:marBottom w:val="0"/>
      <w:divBdr>
        <w:top w:val="none" w:sz="0" w:space="0" w:color="auto"/>
        <w:left w:val="none" w:sz="0" w:space="0" w:color="auto"/>
        <w:bottom w:val="none" w:sz="0" w:space="0" w:color="auto"/>
        <w:right w:val="none" w:sz="0" w:space="0" w:color="auto"/>
      </w:divBdr>
    </w:div>
    <w:div w:id="1350716724">
      <w:bodyDiv w:val="1"/>
      <w:marLeft w:val="0"/>
      <w:marRight w:val="0"/>
      <w:marTop w:val="0"/>
      <w:marBottom w:val="0"/>
      <w:divBdr>
        <w:top w:val="none" w:sz="0" w:space="0" w:color="auto"/>
        <w:left w:val="none" w:sz="0" w:space="0" w:color="auto"/>
        <w:bottom w:val="none" w:sz="0" w:space="0" w:color="auto"/>
        <w:right w:val="none" w:sz="0" w:space="0" w:color="auto"/>
      </w:divBdr>
    </w:div>
    <w:div w:id="1410541836">
      <w:bodyDiv w:val="1"/>
      <w:marLeft w:val="0"/>
      <w:marRight w:val="0"/>
      <w:marTop w:val="0"/>
      <w:marBottom w:val="0"/>
      <w:divBdr>
        <w:top w:val="none" w:sz="0" w:space="0" w:color="auto"/>
        <w:left w:val="none" w:sz="0" w:space="0" w:color="auto"/>
        <w:bottom w:val="none" w:sz="0" w:space="0" w:color="auto"/>
        <w:right w:val="none" w:sz="0" w:space="0" w:color="auto"/>
      </w:divBdr>
    </w:div>
    <w:div w:id="1478499901">
      <w:bodyDiv w:val="1"/>
      <w:marLeft w:val="0"/>
      <w:marRight w:val="0"/>
      <w:marTop w:val="0"/>
      <w:marBottom w:val="0"/>
      <w:divBdr>
        <w:top w:val="none" w:sz="0" w:space="0" w:color="auto"/>
        <w:left w:val="none" w:sz="0" w:space="0" w:color="auto"/>
        <w:bottom w:val="none" w:sz="0" w:space="0" w:color="auto"/>
        <w:right w:val="none" w:sz="0" w:space="0" w:color="auto"/>
      </w:divBdr>
    </w:div>
    <w:div w:id="1575435056">
      <w:bodyDiv w:val="1"/>
      <w:marLeft w:val="0"/>
      <w:marRight w:val="0"/>
      <w:marTop w:val="0"/>
      <w:marBottom w:val="0"/>
      <w:divBdr>
        <w:top w:val="none" w:sz="0" w:space="0" w:color="auto"/>
        <w:left w:val="none" w:sz="0" w:space="0" w:color="auto"/>
        <w:bottom w:val="none" w:sz="0" w:space="0" w:color="auto"/>
        <w:right w:val="none" w:sz="0" w:space="0" w:color="auto"/>
      </w:divBdr>
    </w:div>
    <w:div w:id="1768768947">
      <w:bodyDiv w:val="1"/>
      <w:marLeft w:val="0"/>
      <w:marRight w:val="0"/>
      <w:marTop w:val="0"/>
      <w:marBottom w:val="0"/>
      <w:divBdr>
        <w:top w:val="none" w:sz="0" w:space="0" w:color="auto"/>
        <w:left w:val="none" w:sz="0" w:space="0" w:color="auto"/>
        <w:bottom w:val="none" w:sz="0" w:space="0" w:color="auto"/>
        <w:right w:val="none" w:sz="0" w:space="0" w:color="auto"/>
      </w:divBdr>
    </w:div>
    <w:div w:id="1883790227">
      <w:bodyDiv w:val="1"/>
      <w:marLeft w:val="0"/>
      <w:marRight w:val="0"/>
      <w:marTop w:val="0"/>
      <w:marBottom w:val="0"/>
      <w:divBdr>
        <w:top w:val="none" w:sz="0" w:space="0" w:color="auto"/>
        <w:left w:val="none" w:sz="0" w:space="0" w:color="auto"/>
        <w:bottom w:val="none" w:sz="0" w:space="0" w:color="auto"/>
        <w:right w:val="none" w:sz="0" w:space="0" w:color="auto"/>
      </w:divBdr>
    </w:div>
    <w:div w:id="1924417191">
      <w:bodyDiv w:val="1"/>
      <w:marLeft w:val="0"/>
      <w:marRight w:val="0"/>
      <w:marTop w:val="0"/>
      <w:marBottom w:val="0"/>
      <w:divBdr>
        <w:top w:val="none" w:sz="0" w:space="0" w:color="auto"/>
        <w:left w:val="none" w:sz="0" w:space="0" w:color="auto"/>
        <w:bottom w:val="none" w:sz="0" w:space="0" w:color="auto"/>
        <w:right w:val="none" w:sz="0" w:space="0" w:color="auto"/>
      </w:divBdr>
    </w:div>
    <w:div w:id="1945067716">
      <w:bodyDiv w:val="1"/>
      <w:marLeft w:val="0"/>
      <w:marRight w:val="0"/>
      <w:marTop w:val="0"/>
      <w:marBottom w:val="0"/>
      <w:divBdr>
        <w:top w:val="none" w:sz="0" w:space="0" w:color="auto"/>
        <w:left w:val="none" w:sz="0" w:space="0" w:color="auto"/>
        <w:bottom w:val="none" w:sz="0" w:space="0" w:color="auto"/>
        <w:right w:val="none" w:sz="0" w:space="0" w:color="auto"/>
      </w:divBdr>
    </w:div>
    <w:div w:id="210325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ass.gov/doc/mass-general-brigham-incorporated-mgh-staff-report/download"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H.DON@State.MA.U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cms.gov/icd10m/version37-fullcode-cms/fullcode_cms/Design_and_development_of_the_Diagnosis_Related_Group_(DRG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FCC5F2C8880F45B59EA6BBBA4E1A66" ma:contentTypeVersion="9" ma:contentTypeDescription="Create a new document." ma:contentTypeScope="" ma:versionID="6034ed3ccd04fd089959b9760f1bf6e4">
  <xsd:schema xmlns:xsd="http://www.w3.org/2001/XMLSchema" xmlns:xs="http://www.w3.org/2001/XMLSchema" xmlns:p="http://schemas.microsoft.com/office/2006/metadata/properties" xmlns:ns2="fb1e1941-e971-4fcd-9647-5c92aa44abc0" xmlns:ns3="c5e887a9-3264-4a11-98fe-00f96354db3e" targetNamespace="http://schemas.microsoft.com/office/2006/metadata/properties" ma:root="true" ma:fieldsID="e1569c82de055a1f5a51e24a78a393fd" ns2:_="" ns3:_="">
    <xsd:import namespace="fb1e1941-e971-4fcd-9647-5c92aa44abc0"/>
    <xsd:import namespace="c5e887a9-3264-4a11-98fe-00f96354db3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1e1941-e971-4fcd-9647-5c92aa44abc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e887a9-3264-4a11-98fe-00f96354db3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01DF7D-3AB0-486D-B7B5-24625E164B16}">
  <ds:schemaRefs>
    <ds:schemaRef ds:uri="http://schemas.microsoft.com/sharepoint/v3/contenttype/forms"/>
  </ds:schemaRefs>
</ds:datastoreItem>
</file>

<file path=customXml/itemProps2.xml><?xml version="1.0" encoding="utf-8"?>
<ds:datastoreItem xmlns:ds="http://schemas.openxmlformats.org/officeDocument/2006/customXml" ds:itemID="{7A9EFB92-AB3E-4650-B87D-2F7432D342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1e1941-e971-4fcd-9647-5c92aa44abc0"/>
    <ds:schemaRef ds:uri="c5e887a9-3264-4a11-98fe-00f96354db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481688-260E-4C70-9CB3-828486135F31}">
  <ds:schemaRefs>
    <ds:schemaRef ds:uri="http://schemas.openxmlformats.org/officeDocument/2006/bibliography"/>
  </ds:schemaRefs>
</ds:datastoreItem>
</file>

<file path=customXml/itemProps4.xml><?xml version="1.0" encoding="utf-8"?>
<ds:datastoreItem xmlns:ds="http://schemas.openxmlformats.org/officeDocument/2006/customXml" ds:itemID="{CB6414E6-33A8-411E-B2D8-218C7B6E1D5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1469</Words>
  <Characters>8376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dc:creator>
  <cp:keywords/>
  <dc:description/>
  <cp:lastModifiedBy>Marks, Brett (DPH)</cp:lastModifiedBy>
  <cp:revision>5</cp:revision>
  <cp:lastPrinted>2022-04-08T14:57:00Z</cp:lastPrinted>
  <dcterms:created xsi:type="dcterms:W3CDTF">2024-03-04T22:15:00Z</dcterms:created>
  <dcterms:modified xsi:type="dcterms:W3CDTF">2024-03-07T17:04:00Z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0x01010041FCC5F2C8880F45B59EA6BBBA4E1A66</vt:lpwstr>
  </property>
</Properties>
</file>