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7A9F092E" w:rsidR="00D223EB" w:rsidRPr="00F4310F" w:rsidRDefault="00D223EB" w:rsidP="01CEC757">
      <w:pPr>
        <w:jc w:val="center"/>
        <w:rPr>
          <w:rFonts w:ascii="Aptos" w:hAnsi="Aptos"/>
          <w:b/>
          <w:bCs/>
        </w:rPr>
      </w:pPr>
      <w:r w:rsidRPr="00F4310F">
        <w:rPr>
          <w:rFonts w:ascii="Aptos" w:hAnsi="Aptos"/>
          <w:b/>
          <w:bCs/>
        </w:rPr>
        <w:t xml:space="preserve">APPLICANT </w:t>
      </w:r>
      <w:r w:rsidR="00E524B4" w:rsidRPr="00F4310F">
        <w:rPr>
          <w:rFonts w:ascii="Aptos" w:hAnsi="Aptos"/>
          <w:b/>
          <w:bCs/>
        </w:rPr>
        <w:t>RESPONSES #</w:t>
      </w:r>
      <w:r w:rsidR="00183D7F" w:rsidRPr="00F4310F">
        <w:rPr>
          <w:rFonts w:ascii="Aptos" w:hAnsi="Aptos"/>
          <w:b/>
          <w:bCs/>
        </w:rPr>
        <w:t>1</w:t>
      </w:r>
    </w:p>
    <w:p w14:paraId="71F6355D" w14:textId="0EB083F5" w:rsidR="00D223EB" w:rsidRPr="00F4310F" w:rsidRDefault="00D223EB" w:rsidP="00D223EB">
      <w:pPr>
        <w:jc w:val="center"/>
        <w:rPr>
          <w:rFonts w:ascii="Aptos" w:hAnsi="Aptos" w:cstheme="minorHAnsi"/>
        </w:rPr>
      </w:pPr>
      <w:r w:rsidRPr="00F4310F">
        <w:rPr>
          <w:rFonts w:ascii="Aptos" w:hAnsi="Aptos" w:cstheme="minorHAnsi"/>
          <w:i/>
          <w:iCs/>
        </w:rPr>
        <w:t xml:space="preserve">Responses should be sent to DoN staff at </w:t>
      </w:r>
      <w:hyperlink r:id="rId7" w:history="1">
        <w:r w:rsidR="005C4EB9" w:rsidRPr="00F4310F">
          <w:rPr>
            <w:rStyle w:val="Hyperlink"/>
            <w:rFonts w:ascii="Aptos" w:hAnsi="Apto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F4310F" w14:paraId="57106F2B" w14:textId="77777777" w:rsidTr="008B5D5E">
        <w:trPr>
          <w:jc w:val="center"/>
        </w:trPr>
        <w:tc>
          <w:tcPr>
            <w:tcW w:w="9350" w:type="dxa"/>
          </w:tcPr>
          <w:p w14:paraId="0D6A2228" w14:textId="77777777" w:rsidR="00D223EB" w:rsidRPr="00F4310F" w:rsidRDefault="00D223EB" w:rsidP="008B5D5E">
            <w:pPr>
              <w:rPr>
                <w:rFonts w:ascii="Aptos" w:hAnsi="Aptos" w:cstheme="minorHAnsi"/>
                <w:bCs/>
              </w:rPr>
            </w:pPr>
            <w:r w:rsidRPr="00F4310F">
              <w:rPr>
                <w:rFonts w:ascii="Aptos" w:hAnsi="Aptos" w:cstheme="minorHAnsi"/>
                <w:bCs/>
              </w:rPr>
              <w:t xml:space="preserve">While you may submit each answer as available, please </w:t>
            </w:r>
          </w:p>
          <w:p w14:paraId="3BAD0544" w14:textId="77777777" w:rsidR="00D223EB" w:rsidRPr="00F4310F" w:rsidRDefault="00D223EB" w:rsidP="00D748A1">
            <w:pPr>
              <w:pStyle w:val="ListParagraph"/>
              <w:numPr>
                <w:ilvl w:val="0"/>
                <w:numId w:val="1"/>
              </w:numPr>
              <w:rPr>
                <w:rFonts w:ascii="Aptos" w:hAnsi="Aptos" w:cstheme="minorHAnsi"/>
                <w:bCs/>
              </w:rPr>
            </w:pPr>
            <w:r w:rsidRPr="00F4310F">
              <w:rPr>
                <w:rFonts w:ascii="Aptos" w:hAnsi="Aptos" w:cstheme="minorHAnsi"/>
                <w:bCs/>
              </w:rPr>
              <w:t xml:space="preserve">List question number and question for each answer you provide </w:t>
            </w:r>
          </w:p>
          <w:p w14:paraId="77AFC609" w14:textId="1F813011" w:rsidR="00D223EB" w:rsidRPr="00F4310F" w:rsidRDefault="00D223EB" w:rsidP="00D748A1">
            <w:pPr>
              <w:pStyle w:val="ListParagraph"/>
              <w:numPr>
                <w:ilvl w:val="0"/>
                <w:numId w:val="1"/>
              </w:numPr>
              <w:rPr>
                <w:rFonts w:ascii="Aptos" w:hAnsi="Aptos" w:cstheme="minorHAnsi"/>
                <w:bCs/>
              </w:rPr>
            </w:pPr>
            <w:r w:rsidRPr="00F4310F">
              <w:rPr>
                <w:rFonts w:ascii="Aptos" w:hAnsi="Aptos" w:cstheme="minorHAnsi"/>
                <w:bCs/>
              </w:rPr>
              <w:t xml:space="preserve">Submit responses as a separate word document, using the above application title and number as a running header and page numbers in the footer </w:t>
            </w:r>
          </w:p>
          <w:p w14:paraId="2D4D3A49" w14:textId="7AF2D827" w:rsidR="00D223EB" w:rsidRPr="00F4310F" w:rsidRDefault="001E0B94" w:rsidP="00D748A1">
            <w:pPr>
              <w:pStyle w:val="ListParagraph"/>
              <w:numPr>
                <w:ilvl w:val="0"/>
                <w:numId w:val="1"/>
              </w:numPr>
              <w:rPr>
                <w:rFonts w:ascii="Aptos" w:hAnsi="Aptos" w:cstheme="minorHAnsi"/>
                <w:bCs/>
              </w:rPr>
            </w:pPr>
            <w:r w:rsidRPr="00F4310F">
              <w:rPr>
                <w:rFonts w:ascii="Aptos" w:hAnsi="Aptos" w:cstheme="minorHAnsi"/>
                <w:bCs/>
              </w:rPr>
              <w:t>We accept answers on a rolling basis however, w</w:t>
            </w:r>
            <w:r w:rsidR="00D223EB" w:rsidRPr="00F4310F">
              <w:rPr>
                <w:rFonts w:ascii="Aptos" w:hAnsi="Aptos" w:cstheme="minorHAnsi"/>
                <w:bCs/>
              </w:rPr>
              <w:t>hen providing the answer to the final question, submit all questions and answers in</w:t>
            </w:r>
            <w:r w:rsidRPr="00F4310F">
              <w:rPr>
                <w:rFonts w:ascii="Aptos" w:hAnsi="Aptos" w:cstheme="minorHAnsi"/>
                <w:bCs/>
              </w:rPr>
              <w:t xml:space="preserve"> order in</w:t>
            </w:r>
            <w:r w:rsidR="00D223EB" w:rsidRPr="00F4310F">
              <w:rPr>
                <w:rFonts w:ascii="Aptos" w:hAnsi="Aptos" w:cstheme="minorHAnsi"/>
                <w:bCs/>
              </w:rPr>
              <w:t xml:space="preserve"> one final document</w:t>
            </w:r>
            <w:r w:rsidRPr="00F4310F">
              <w:rPr>
                <w:rFonts w:ascii="Aptos" w:hAnsi="Aptos" w:cstheme="minorHAnsi"/>
                <w:bCs/>
              </w:rPr>
              <w:t>.</w:t>
            </w:r>
          </w:p>
          <w:p w14:paraId="552712FE" w14:textId="2E737CA2" w:rsidR="00D223EB" w:rsidRPr="00F4310F" w:rsidRDefault="00D223EB" w:rsidP="00D748A1">
            <w:pPr>
              <w:pStyle w:val="ListParagraph"/>
              <w:numPr>
                <w:ilvl w:val="0"/>
                <w:numId w:val="1"/>
              </w:numPr>
              <w:rPr>
                <w:rFonts w:ascii="Aptos" w:hAnsi="Aptos" w:cstheme="minorHAnsi"/>
                <w:b/>
              </w:rPr>
            </w:pPr>
            <w:r w:rsidRPr="00F4310F">
              <w:rPr>
                <w:rFonts w:ascii="Aptos" w:hAnsi="Aptos" w:cstheme="minorHAnsi"/>
                <w:bCs/>
              </w:rPr>
              <w:t xml:space="preserve">Submit responses in WORD or EXCEL; only use PDF’s if </w:t>
            </w:r>
            <w:proofErr w:type="gramStart"/>
            <w:r w:rsidRPr="00F4310F">
              <w:rPr>
                <w:rFonts w:ascii="Aptos" w:hAnsi="Aptos" w:cstheme="minorHAnsi"/>
                <w:bCs/>
              </w:rPr>
              <w:t>absolutely necessary</w:t>
            </w:r>
            <w:proofErr w:type="gramEnd"/>
            <w:r w:rsidRPr="00F4310F">
              <w:rPr>
                <w:rFonts w:ascii="Aptos" w:hAnsi="Aptos" w:cstheme="minorHAnsi"/>
                <w:bCs/>
              </w:rPr>
              <w:t xml:space="preserve">. </w:t>
            </w:r>
            <w:r w:rsidRPr="00F4310F">
              <w:rPr>
                <w:rFonts w:ascii="Aptos" w:hAnsi="Aptos" w:cstheme="minorHAnsi"/>
                <w:b/>
              </w:rPr>
              <w:t>Whenever possible, include a</w:t>
            </w:r>
            <w:r w:rsidR="001E0B94" w:rsidRPr="00F4310F">
              <w:rPr>
                <w:rFonts w:ascii="Aptos" w:hAnsi="Aptos" w:cstheme="minorHAnsi"/>
                <w:b/>
              </w:rPr>
              <w:t xml:space="preserve"> </w:t>
            </w:r>
            <w:r w:rsidRPr="00F4310F">
              <w:rPr>
                <w:rFonts w:ascii="Aptos" w:hAnsi="Aptos" w:cstheme="minorHAnsi"/>
                <w:b/>
              </w:rPr>
              <w:t>table</w:t>
            </w:r>
            <w:r w:rsidR="001E0B94" w:rsidRPr="00F4310F">
              <w:rPr>
                <w:rFonts w:ascii="Aptos" w:hAnsi="Aptos" w:cstheme="minorHAnsi"/>
                <w:b/>
              </w:rPr>
              <w:t xml:space="preserve"> in</w:t>
            </w:r>
            <w:r w:rsidRPr="00F4310F">
              <w:rPr>
                <w:rFonts w:ascii="Aptos" w:hAnsi="Aptos" w:cstheme="minorHAnsi"/>
                <w:b/>
              </w:rPr>
              <w:t xml:space="preserve"> </w:t>
            </w:r>
            <w:r w:rsidR="001E0B94" w:rsidRPr="00F4310F">
              <w:rPr>
                <w:rFonts w:ascii="Aptos" w:hAnsi="Aptos" w:cstheme="minorHAnsi"/>
                <w:b/>
              </w:rPr>
              <w:t xml:space="preserve">data format (NOT pdf or picture) </w:t>
            </w:r>
            <w:r w:rsidRPr="00F4310F">
              <w:rPr>
                <w:rFonts w:ascii="Aptos" w:hAnsi="Aptos" w:cstheme="minorHAnsi"/>
                <w:b/>
              </w:rPr>
              <w:t>with the response</w:t>
            </w:r>
            <w:r w:rsidR="001E0B94" w:rsidRPr="00F4310F">
              <w:rPr>
                <w:rFonts w:ascii="Aptos" w:hAnsi="Aptos" w:cstheme="minorHAnsi"/>
                <w:b/>
              </w:rPr>
              <w:t>.</w:t>
            </w:r>
          </w:p>
        </w:tc>
      </w:tr>
    </w:tbl>
    <w:p w14:paraId="2758094D" w14:textId="1C1631B9" w:rsidR="00032FF5" w:rsidRPr="00F4310F" w:rsidRDefault="00032FF5">
      <w:pPr>
        <w:rPr>
          <w:rFonts w:ascii="Aptos" w:hAnsi="Aptos"/>
        </w:rPr>
      </w:pPr>
    </w:p>
    <w:p w14:paraId="5A02A878" w14:textId="240A4B55" w:rsidR="000967C9" w:rsidRPr="00F4310F" w:rsidRDefault="00380E08" w:rsidP="00382F9A">
      <w:pPr>
        <w:rPr>
          <w:rStyle w:val="cf01"/>
          <w:rFonts w:ascii="Aptos" w:hAnsi="Aptos" w:cstheme="minorBidi"/>
          <w:sz w:val="22"/>
          <w:szCs w:val="22"/>
          <w:highlight w:val="yellow"/>
        </w:rPr>
      </w:pPr>
      <w:proofErr w:type="gramStart"/>
      <w:r w:rsidRPr="00F4310F">
        <w:rPr>
          <w:rFonts w:ascii="Aptos" w:hAnsi="Aptos"/>
        </w:rPr>
        <w:t>In order for</w:t>
      </w:r>
      <w:proofErr w:type="gramEnd"/>
      <w:r w:rsidRPr="00F4310F">
        <w:rPr>
          <w:rFonts w:ascii="Aptos" w:hAnsi="Aptos"/>
        </w:rPr>
        <w:t xml:space="preserve"> us to review this project in a timely manner, pleas</w:t>
      </w:r>
      <w:r w:rsidR="00684458" w:rsidRPr="00F4310F">
        <w:rPr>
          <w:rFonts w:ascii="Aptos" w:hAnsi="Aptos"/>
        </w:rPr>
        <w:t>e</w:t>
      </w:r>
      <w:r w:rsidRPr="00F4310F">
        <w:rPr>
          <w:rFonts w:ascii="Aptos" w:hAnsi="Aptos"/>
        </w:rPr>
        <w:t xml:space="preserve"> provide the responses by </w:t>
      </w:r>
      <w:r w:rsidR="0005444B" w:rsidRPr="00F4310F">
        <w:rPr>
          <w:rFonts w:ascii="Aptos" w:hAnsi="Aptos"/>
          <w:b/>
          <w:bCs/>
        </w:rPr>
        <w:t xml:space="preserve">February </w:t>
      </w:r>
      <w:r w:rsidR="008E2D6B" w:rsidRPr="00F4310F">
        <w:rPr>
          <w:rFonts w:ascii="Aptos" w:hAnsi="Aptos"/>
          <w:b/>
          <w:bCs/>
        </w:rPr>
        <w:t>13</w:t>
      </w:r>
      <w:r w:rsidR="00B57406" w:rsidRPr="00F4310F">
        <w:rPr>
          <w:rFonts w:ascii="Aptos" w:hAnsi="Aptos"/>
          <w:b/>
          <w:bCs/>
        </w:rPr>
        <w:t>, 2025</w:t>
      </w:r>
      <w:r w:rsidRPr="00F4310F">
        <w:rPr>
          <w:rFonts w:ascii="Aptos" w:hAnsi="Aptos"/>
        </w:rPr>
        <w:t>.</w:t>
      </w:r>
    </w:p>
    <w:p w14:paraId="22A11000" w14:textId="5A15219F" w:rsidR="005379D8" w:rsidRPr="00F4310F" w:rsidRDefault="00382F9A" w:rsidP="00184DF8">
      <w:pPr>
        <w:rPr>
          <w:rFonts w:ascii="Aptos" w:hAnsi="Aptos" w:cstheme="minorHAnsi"/>
          <w:b/>
          <w:bCs/>
        </w:rPr>
      </w:pPr>
      <w:r w:rsidRPr="00F4310F">
        <w:rPr>
          <w:rFonts w:ascii="Aptos" w:hAnsi="Aptos" w:cstheme="minorHAnsi"/>
          <w:b/>
          <w:bCs/>
        </w:rPr>
        <w:t>Factor 1a</w:t>
      </w:r>
      <w:r w:rsidR="00F017A9" w:rsidRPr="00F4310F">
        <w:rPr>
          <w:rFonts w:ascii="Aptos" w:hAnsi="Aptos" w:cstheme="minorHAnsi"/>
          <w:b/>
          <w:bCs/>
        </w:rPr>
        <w:t>i</w:t>
      </w:r>
      <w:r w:rsidRPr="00F4310F">
        <w:rPr>
          <w:rFonts w:ascii="Aptos" w:hAnsi="Aptos" w:cstheme="minorHAnsi"/>
          <w:b/>
          <w:bCs/>
        </w:rPr>
        <w:t xml:space="preserve">: Patient Panel </w:t>
      </w:r>
    </w:p>
    <w:p w14:paraId="7346F364" w14:textId="2A0B486F" w:rsidR="00624939" w:rsidRPr="00F4310F" w:rsidRDefault="00DB4244" w:rsidP="00D748A1">
      <w:pPr>
        <w:pStyle w:val="ListParagraph"/>
        <w:numPr>
          <w:ilvl w:val="0"/>
          <w:numId w:val="2"/>
        </w:numPr>
        <w:spacing w:after="0" w:line="240" w:lineRule="auto"/>
        <w:jc w:val="both"/>
        <w:rPr>
          <w:rFonts w:ascii="Aptos" w:hAnsi="Aptos" w:cs="Arial"/>
        </w:rPr>
      </w:pPr>
      <w:r w:rsidRPr="00F4310F">
        <w:rPr>
          <w:rFonts w:ascii="Aptos" w:hAnsi="Aptos" w:cs="Arial"/>
        </w:rPr>
        <w:t>The geographic origins of the Patient Panel and patient populations are aggregated into general headings.</w:t>
      </w:r>
    </w:p>
    <w:p w14:paraId="4369E27A" w14:textId="487BF02B" w:rsidR="00A2029D" w:rsidRPr="00F4310F" w:rsidRDefault="00DB4244" w:rsidP="00D748A1">
      <w:pPr>
        <w:pStyle w:val="ListParagraph"/>
        <w:numPr>
          <w:ilvl w:val="1"/>
          <w:numId w:val="2"/>
        </w:numPr>
        <w:spacing w:after="0" w:line="240" w:lineRule="auto"/>
        <w:jc w:val="both"/>
        <w:rPr>
          <w:rFonts w:ascii="Aptos" w:hAnsi="Aptos" w:cstheme="minorHAnsi"/>
        </w:rPr>
      </w:pPr>
      <w:r w:rsidRPr="00F4310F">
        <w:rPr>
          <w:rFonts w:ascii="Aptos" w:hAnsi="Aptos" w:cstheme="minorHAnsi"/>
        </w:rPr>
        <w:t>Tables 1 and 3 of the Narrative refer to patient origins as H</w:t>
      </w:r>
      <w:r w:rsidR="00DA640E" w:rsidRPr="00F4310F">
        <w:rPr>
          <w:rFonts w:ascii="Aptos" w:hAnsi="Aptos" w:cstheme="minorHAnsi"/>
        </w:rPr>
        <w:t>SA</w:t>
      </w:r>
      <w:r w:rsidRPr="00F4310F">
        <w:rPr>
          <w:rFonts w:ascii="Aptos" w:hAnsi="Aptos" w:cstheme="minorHAnsi"/>
        </w:rPr>
        <w:t xml:space="preserve"> 1-6. Please verify that this link accurately defines these patient origins. (If not, please provide accurate definitions of HSA 1-6)</w:t>
      </w:r>
      <w:r w:rsidR="00A2029D" w:rsidRPr="00F4310F">
        <w:rPr>
          <w:rFonts w:ascii="Aptos" w:hAnsi="Aptos" w:cstheme="minorHAnsi"/>
        </w:rPr>
        <w:t xml:space="preserve">   </w:t>
      </w:r>
      <w:hyperlink r:id="rId8" w:history="1">
        <w:r w:rsidR="00A2029D" w:rsidRPr="00F4310F">
          <w:rPr>
            <w:rStyle w:val="Hyperlink"/>
            <w:rFonts w:ascii="Aptos" w:hAnsi="Aptos" w:cstheme="minorHAnsi"/>
          </w:rPr>
          <w:t>https://matracking.ehs.state.ma.us/eohhs_regions/eohhs_regions.html</w:t>
        </w:r>
      </w:hyperlink>
      <w:r w:rsidR="00A2029D" w:rsidRPr="00F4310F">
        <w:rPr>
          <w:rFonts w:ascii="Aptos" w:hAnsi="Aptos" w:cstheme="minorHAnsi"/>
        </w:rPr>
        <w:t xml:space="preserve"> </w:t>
      </w:r>
    </w:p>
    <w:p w14:paraId="0E4D8978" w14:textId="77777777" w:rsidR="00096892" w:rsidRPr="00F4310F" w:rsidRDefault="00096892" w:rsidP="00096892">
      <w:pPr>
        <w:pStyle w:val="ListParagraph"/>
        <w:spacing w:after="0" w:line="240" w:lineRule="auto"/>
        <w:ind w:left="1440"/>
        <w:jc w:val="both"/>
        <w:rPr>
          <w:rFonts w:ascii="Aptos" w:hAnsi="Aptos" w:cstheme="minorHAnsi"/>
        </w:rPr>
      </w:pPr>
    </w:p>
    <w:p w14:paraId="0774D003" w14:textId="09A019F1" w:rsidR="00096892" w:rsidRPr="008132B5" w:rsidRDefault="00096892" w:rsidP="00096892">
      <w:pPr>
        <w:pStyle w:val="ListParagraph"/>
        <w:spacing w:after="0" w:line="240" w:lineRule="auto"/>
        <w:ind w:left="1440"/>
        <w:jc w:val="both"/>
        <w:rPr>
          <w:rFonts w:ascii="Aptos" w:hAnsi="Aptos" w:cstheme="minorHAnsi"/>
          <w:b/>
          <w:bCs/>
        </w:rPr>
      </w:pPr>
      <w:r w:rsidRPr="008132B5">
        <w:rPr>
          <w:rFonts w:ascii="Aptos" w:hAnsi="Aptos" w:cstheme="minorHAnsi"/>
          <w:b/>
          <w:bCs/>
        </w:rPr>
        <w:t xml:space="preserve">Yes. </w:t>
      </w:r>
      <w:r w:rsidR="008132B5" w:rsidRPr="008132B5">
        <w:rPr>
          <w:rFonts w:ascii="Aptos" w:hAnsi="Aptos" w:cstheme="minorHAnsi"/>
          <w:b/>
          <w:bCs/>
        </w:rPr>
        <w:t>The link accurately defines the HSA definitions.</w:t>
      </w:r>
    </w:p>
    <w:p w14:paraId="35DDE990" w14:textId="77777777" w:rsidR="00096892" w:rsidRPr="00F4310F" w:rsidRDefault="00096892" w:rsidP="00096892">
      <w:pPr>
        <w:pStyle w:val="ListParagraph"/>
        <w:spacing w:after="0" w:line="240" w:lineRule="auto"/>
        <w:ind w:left="1440"/>
        <w:jc w:val="both"/>
        <w:rPr>
          <w:rFonts w:ascii="Aptos" w:hAnsi="Aptos" w:cstheme="minorHAnsi"/>
        </w:rPr>
      </w:pPr>
    </w:p>
    <w:p w14:paraId="7041B856" w14:textId="1C2FB1A9" w:rsidR="00DB4244" w:rsidRDefault="00DB4244" w:rsidP="00D748A1">
      <w:pPr>
        <w:pStyle w:val="ListParagraph"/>
        <w:numPr>
          <w:ilvl w:val="1"/>
          <w:numId w:val="2"/>
        </w:numPr>
        <w:spacing w:after="0" w:line="240" w:lineRule="auto"/>
        <w:jc w:val="both"/>
        <w:rPr>
          <w:rFonts w:ascii="Aptos" w:hAnsi="Aptos" w:cstheme="minorHAnsi"/>
        </w:rPr>
      </w:pPr>
      <w:r w:rsidRPr="00F4310F">
        <w:rPr>
          <w:rFonts w:ascii="Aptos" w:hAnsi="Aptos" w:cstheme="minorHAnsi"/>
        </w:rPr>
        <w:t>Table 5 of the Narrative describes Patient Origins as Primary, Secondary, and Tertiary. Please provide a definition of the cities/towns covered by each of these headings.</w:t>
      </w:r>
    </w:p>
    <w:p w14:paraId="540B5EF3" w14:textId="77777777" w:rsidR="008132B5" w:rsidRDefault="008132B5" w:rsidP="008132B5">
      <w:pPr>
        <w:spacing w:after="0" w:line="240" w:lineRule="auto"/>
        <w:jc w:val="both"/>
        <w:rPr>
          <w:rFonts w:ascii="Aptos" w:hAnsi="Aptos" w:cstheme="minorHAnsi"/>
        </w:rPr>
      </w:pPr>
    </w:p>
    <w:p w14:paraId="0FE410CC" w14:textId="4EAD8118" w:rsidR="008132B5" w:rsidRPr="008132B5" w:rsidRDefault="008132B5" w:rsidP="008132B5">
      <w:pPr>
        <w:spacing w:after="0" w:line="240" w:lineRule="auto"/>
        <w:ind w:left="1440"/>
        <w:jc w:val="both"/>
        <w:rPr>
          <w:rFonts w:ascii="Aptos" w:hAnsi="Aptos" w:cstheme="minorHAnsi"/>
          <w:b/>
          <w:bCs/>
        </w:rPr>
      </w:pPr>
      <w:r>
        <w:rPr>
          <w:rFonts w:ascii="Aptos" w:hAnsi="Aptos" w:cstheme="minorHAnsi"/>
          <w:b/>
          <w:bCs/>
        </w:rPr>
        <w:t>The following towns comprise the primary, secondary and tertiary service areas.</w:t>
      </w:r>
    </w:p>
    <w:p w14:paraId="061C3999" w14:textId="77777777" w:rsidR="00DB4244" w:rsidRDefault="00DB4244" w:rsidP="008C66FD">
      <w:pPr>
        <w:spacing w:after="0" w:line="240" w:lineRule="auto"/>
        <w:jc w:val="both"/>
        <w:rPr>
          <w:rFonts w:ascii="Aptos" w:hAnsi="Aptos" w:cstheme="minorHAnsi"/>
          <w:b/>
          <w:bCs/>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2638"/>
        <w:gridCol w:w="2639"/>
      </w:tblGrid>
      <w:tr w:rsidR="00AC4797" w14:paraId="56488489" w14:textId="77777777" w:rsidTr="0093037B">
        <w:trPr>
          <w:cantSplit/>
          <w:tblHeader/>
        </w:trPr>
        <w:tc>
          <w:tcPr>
            <w:tcW w:w="2638" w:type="dxa"/>
            <w:tcBorders>
              <w:bottom w:val="single" w:sz="4" w:space="0" w:color="auto"/>
            </w:tcBorders>
          </w:tcPr>
          <w:p w14:paraId="42FF477C" w14:textId="77777777" w:rsidR="00AC4797" w:rsidRPr="00AC4797" w:rsidRDefault="00AC4797" w:rsidP="00EC4FF0">
            <w:pPr>
              <w:rPr>
                <w:b/>
                <w:bCs/>
              </w:rPr>
            </w:pPr>
            <w:r w:rsidRPr="00AC4797">
              <w:rPr>
                <w:b/>
                <w:bCs/>
              </w:rPr>
              <w:t>Primary</w:t>
            </w:r>
          </w:p>
        </w:tc>
        <w:tc>
          <w:tcPr>
            <w:tcW w:w="2638" w:type="dxa"/>
            <w:tcBorders>
              <w:bottom w:val="single" w:sz="4" w:space="0" w:color="auto"/>
            </w:tcBorders>
          </w:tcPr>
          <w:p w14:paraId="56662B33" w14:textId="77777777" w:rsidR="00AC4797" w:rsidRPr="00AC4797" w:rsidRDefault="00AC4797" w:rsidP="00EC4FF0">
            <w:pPr>
              <w:rPr>
                <w:b/>
                <w:bCs/>
              </w:rPr>
            </w:pPr>
            <w:r w:rsidRPr="00AC4797">
              <w:rPr>
                <w:b/>
                <w:bCs/>
              </w:rPr>
              <w:t>Secondary</w:t>
            </w:r>
          </w:p>
        </w:tc>
        <w:tc>
          <w:tcPr>
            <w:tcW w:w="2639" w:type="dxa"/>
            <w:tcBorders>
              <w:bottom w:val="single" w:sz="4" w:space="0" w:color="auto"/>
            </w:tcBorders>
          </w:tcPr>
          <w:p w14:paraId="2894247C" w14:textId="77777777" w:rsidR="00AC4797" w:rsidRPr="00AC4797" w:rsidRDefault="00AC4797" w:rsidP="00EC4FF0">
            <w:pPr>
              <w:rPr>
                <w:b/>
                <w:bCs/>
              </w:rPr>
            </w:pPr>
            <w:r w:rsidRPr="00AC4797">
              <w:rPr>
                <w:b/>
                <w:bCs/>
              </w:rPr>
              <w:t>Tertiary</w:t>
            </w:r>
          </w:p>
        </w:tc>
      </w:tr>
      <w:tr w:rsidR="00AC4797" w14:paraId="65E30123" w14:textId="77777777" w:rsidTr="0093037B">
        <w:trPr>
          <w:cantSplit/>
        </w:trPr>
        <w:tc>
          <w:tcPr>
            <w:tcW w:w="2638" w:type="dxa"/>
            <w:tcBorders>
              <w:top w:val="single" w:sz="4" w:space="0" w:color="auto"/>
            </w:tcBorders>
            <w:vAlign w:val="center"/>
          </w:tcPr>
          <w:p w14:paraId="37114D4B" w14:textId="77777777" w:rsidR="00AC4797" w:rsidRDefault="00AC4797" w:rsidP="00EC4FF0">
            <w:r w:rsidRPr="00F87EA6">
              <w:t xml:space="preserve">Salem </w:t>
            </w:r>
          </w:p>
        </w:tc>
        <w:tc>
          <w:tcPr>
            <w:tcW w:w="2638" w:type="dxa"/>
            <w:tcBorders>
              <w:top w:val="single" w:sz="4" w:space="0" w:color="auto"/>
            </w:tcBorders>
            <w:vAlign w:val="center"/>
          </w:tcPr>
          <w:p w14:paraId="2DCF01B3" w14:textId="77777777" w:rsidR="00AC4797" w:rsidRDefault="00AC4797" w:rsidP="00EC4FF0">
            <w:r w:rsidRPr="00F87EA6">
              <w:t>Beverly</w:t>
            </w:r>
          </w:p>
        </w:tc>
        <w:tc>
          <w:tcPr>
            <w:tcW w:w="2639" w:type="dxa"/>
            <w:tcBorders>
              <w:top w:val="single" w:sz="4" w:space="0" w:color="auto"/>
            </w:tcBorders>
            <w:vAlign w:val="center"/>
          </w:tcPr>
          <w:p w14:paraId="7981067E" w14:textId="77777777" w:rsidR="00AC4797" w:rsidRDefault="00AC4797" w:rsidP="00EC4FF0">
            <w:r w:rsidRPr="00F87EA6">
              <w:t>Stoneham</w:t>
            </w:r>
          </w:p>
        </w:tc>
      </w:tr>
      <w:tr w:rsidR="00AC4797" w14:paraId="7947AD03" w14:textId="77777777" w:rsidTr="0093037B">
        <w:trPr>
          <w:cantSplit/>
        </w:trPr>
        <w:tc>
          <w:tcPr>
            <w:tcW w:w="2638" w:type="dxa"/>
            <w:vAlign w:val="center"/>
          </w:tcPr>
          <w:p w14:paraId="50AF952C" w14:textId="77777777" w:rsidR="00AC4797" w:rsidRDefault="00AC4797" w:rsidP="00EC4FF0">
            <w:r w:rsidRPr="00F87EA6">
              <w:t xml:space="preserve">Lynn </w:t>
            </w:r>
          </w:p>
        </w:tc>
        <w:tc>
          <w:tcPr>
            <w:tcW w:w="2638" w:type="dxa"/>
            <w:vAlign w:val="center"/>
          </w:tcPr>
          <w:p w14:paraId="7AFAA3AE" w14:textId="77777777" w:rsidR="00AC4797" w:rsidRDefault="00AC4797" w:rsidP="00EC4FF0">
            <w:r w:rsidRPr="00F87EA6">
              <w:t xml:space="preserve">Wenham </w:t>
            </w:r>
          </w:p>
        </w:tc>
        <w:tc>
          <w:tcPr>
            <w:tcW w:w="2639" w:type="dxa"/>
            <w:vAlign w:val="center"/>
          </w:tcPr>
          <w:p w14:paraId="7C663D39" w14:textId="77777777" w:rsidR="00AC4797" w:rsidRDefault="00AC4797" w:rsidP="00EC4FF0">
            <w:r w:rsidRPr="00F87EA6">
              <w:t>Reading</w:t>
            </w:r>
          </w:p>
        </w:tc>
      </w:tr>
      <w:tr w:rsidR="00AC4797" w14:paraId="56A64311" w14:textId="77777777" w:rsidTr="0093037B">
        <w:trPr>
          <w:cantSplit/>
        </w:trPr>
        <w:tc>
          <w:tcPr>
            <w:tcW w:w="2638" w:type="dxa"/>
            <w:vAlign w:val="center"/>
          </w:tcPr>
          <w:p w14:paraId="4DC54F4A" w14:textId="77777777" w:rsidR="00AC4797" w:rsidRDefault="00AC4797" w:rsidP="00EC4FF0">
            <w:r w:rsidRPr="00F87EA6">
              <w:t xml:space="preserve">Marblehead </w:t>
            </w:r>
          </w:p>
        </w:tc>
        <w:tc>
          <w:tcPr>
            <w:tcW w:w="2638" w:type="dxa"/>
            <w:vAlign w:val="center"/>
          </w:tcPr>
          <w:p w14:paraId="257FA5D2" w14:textId="77777777" w:rsidR="00AC4797" w:rsidRDefault="00AC4797" w:rsidP="00EC4FF0">
            <w:r w:rsidRPr="00F87EA6">
              <w:t>Middleton</w:t>
            </w:r>
          </w:p>
        </w:tc>
        <w:tc>
          <w:tcPr>
            <w:tcW w:w="2639" w:type="dxa"/>
            <w:vAlign w:val="center"/>
          </w:tcPr>
          <w:p w14:paraId="2D093E42" w14:textId="77777777" w:rsidR="00AC4797" w:rsidRDefault="00AC4797" w:rsidP="00EC4FF0">
            <w:r w:rsidRPr="00F87EA6">
              <w:t>North Reading</w:t>
            </w:r>
          </w:p>
        </w:tc>
      </w:tr>
      <w:tr w:rsidR="00AC4797" w14:paraId="7BB259C9" w14:textId="77777777" w:rsidTr="0093037B">
        <w:trPr>
          <w:cantSplit/>
        </w:trPr>
        <w:tc>
          <w:tcPr>
            <w:tcW w:w="2638" w:type="dxa"/>
            <w:vAlign w:val="center"/>
          </w:tcPr>
          <w:p w14:paraId="4367BBE4" w14:textId="77777777" w:rsidR="00AC4797" w:rsidRDefault="00AC4797" w:rsidP="00EC4FF0">
            <w:r w:rsidRPr="00F87EA6">
              <w:t xml:space="preserve">Danvers </w:t>
            </w:r>
          </w:p>
        </w:tc>
        <w:tc>
          <w:tcPr>
            <w:tcW w:w="2638" w:type="dxa"/>
            <w:vAlign w:val="center"/>
          </w:tcPr>
          <w:p w14:paraId="7D9FF610" w14:textId="77777777" w:rsidR="00AC4797" w:rsidRDefault="00AC4797" w:rsidP="00EC4FF0">
            <w:r w:rsidRPr="00F87EA6">
              <w:t xml:space="preserve">Manchester </w:t>
            </w:r>
          </w:p>
        </w:tc>
        <w:tc>
          <w:tcPr>
            <w:tcW w:w="2639" w:type="dxa"/>
            <w:vAlign w:val="center"/>
          </w:tcPr>
          <w:p w14:paraId="7CAFB4A7" w14:textId="77777777" w:rsidR="00AC4797" w:rsidRDefault="00AC4797" w:rsidP="00EC4FF0">
            <w:r w:rsidRPr="00F87EA6">
              <w:t>North Andover</w:t>
            </w:r>
          </w:p>
        </w:tc>
      </w:tr>
      <w:tr w:rsidR="00AC4797" w14:paraId="23B031B9" w14:textId="77777777" w:rsidTr="0093037B">
        <w:trPr>
          <w:cantSplit/>
        </w:trPr>
        <w:tc>
          <w:tcPr>
            <w:tcW w:w="2638" w:type="dxa"/>
            <w:vAlign w:val="center"/>
          </w:tcPr>
          <w:p w14:paraId="042B5C40" w14:textId="77777777" w:rsidR="00AC4797" w:rsidRDefault="00AC4797" w:rsidP="00EC4FF0">
            <w:r w:rsidRPr="00F87EA6">
              <w:t xml:space="preserve">Peabody </w:t>
            </w:r>
          </w:p>
        </w:tc>
        <w:tc>
          <w:tcPr>
            <w:tcW w:w="2638" w:type="dxa"/>
            <w:vAlign w:val="center"/>
          </w:tcPr>
          <w:p w14:paraId="0E7EA9D7" w14:textId="77777777" w:rsidR="00AC4797" w:rsidRDefault="00AC4797" w:rsidP="00EC4FF0">
            <w:r w:rsidRPr="00F87EA6">
              <w:t xml:space="preserve">Gloucester </w:t>
            </w:r>
          </w:p>
        </w:tc>
        <w:tc>
          <w:tcPr>
            <w:tcW w:w="2639" w:type="dxa"/>
            <w:vAlign w:val="center"/>
          </w:tcPr>
          <w:p w14:paraId="2C46657D" w14:textId="77777777" w:rsidR="00AC4797" w:rsidRDefault="00AC4797" w:rsidP="00EC4FF0">
            <w:r w:rsidRPr="00F87EA6">
              <w:t>Rowley</w:t>
            </w:r>
          </w:p>
        </w:tc>
      </w:tr>
      <w:tr w:rsidR="00AC4797" w14:paraId="7F5AE5D7" w14:textId="77777777" w:rsidTr="0093037B">
        <w:trPr>
          <w:cantSplit/>
        </w:trPr>
        <w:tc>
          <w:tcPr>
            <w:tcW w:w="2638" w:type="dxa"/>
            <w:vAlign w:val="center"/>
          </w:tcPr>
          <w:p w14:paraId="39703A5C" w14:textId="77777777" w:rsidR="00AC4797" w:rsidRDefault="00AC4797" w:rsidP="00EC4FF0">
            <w:r w:rsidRPr="00F87EA6">
              <w:t xml:space="preserve">Swampscott </w:t>
            </w:r>
          </w:p>
        </w:tc>
        <w:tc>
          <w:tcPr>
            <w:tcW w:w="2638" w:type="dxa"/>
            <w:vAlign w:val="center"/>
          </w:tcPr>
          <w:p w14:paraId="217B9F16" w14:textId="77777777" w:rsidR="00AC4797" w:rsidRDefault="00AC4797" w:rsidP="00EC4FF0">
            <w:r w:rsidRPr="00F87EA6">
              <w:t xml:space="preserve">Rockport </w:t>
            </w:r>
          </w:p>
        </w:tc>
        <w:tc>
          <w:tcPr>
            <w:tcW w:w="2639" w:type="dxa"/>
            <w:vAlign w:val="center"/>
          </w:tcPr>
          <w:p w14:paraId="1E92C34B" w14:textId="77777777" w:rsidR="00AC4797" w:rsidRDefault="00AC4797" w:rsidP="00EC4FF0">
            <w:r w:rsidRPr="00F87EA6">
              <w:t>Georgetown</w:t>
            </w:r>
          </w:p>
        </w:tc>
      </w:tr>
      <w:tr w:rsidR="00AC4797" w14:paraId="33FEFE12" w14:textId="77777777" w:rsidTr="0093037B">
        <w:trPr>
          <w:cantSplit/>
        </w:trPr>
        <w:tc>
          <w:tcPr>
            <w:tcW w:w="2638" w:type="dxa"/>
            <w:vAlign w:val="center"/>
          </w:tcPr>
          <w:p w14:paraId="5D3061E3" w14:textId="77777777" w:rsidR="00AC4797" w:rsidRDefault="00AC4797" w:rsidP="00EC4FF0">
            <w:r w:rsidRPr="00F87EA6">
              <w:t xml:space="preserve">Nahant </w:t>
            </w:r>
          </w:p>
        </w:tc>
        <w:tc>
          <w:tcPr>
            <w:tcW w:w="2638" w:type="dxa"/>
            <w:vAlign w:val="center"/>
          </w:tcPr>
          <w:p w14:paraId="24283A2D" w14:textId="77777777" w:rsidR="00AC4797" w:rsidRDefault="00AC4797" w:rsidP="00EC4FF0">
            <w:r w:rsidRPr="00F87EA6">
              <w:t xml:space="preserve">Essex </w:t>
            </w:r>
          </w:p>
        </w:tc>
        <w:tc>
          <w:tcPr>
            <w:tcW w:w="2639" w:type="dxa"/>
            <w:vAlign w:val="center"/>
          </w:tcPr>
          <w:p w14:paraId="364C9BBA" w14:textId="77777777" w:rsidR="00AC4797" w:rsidRDefault="00AC4797" w:rsidP="00EC4FF0">
            <w:r w:rsidRPr="00F87EA6">
              <w:t>Groveland</w:t>
            </w:r>
          </w:p>
        </w:tc>
      </w:tr>
      <w:tr w:rsidR="00AC4797" w14:paraId="36D85280" w14:textId="77777777" w:rsidTr="0093037B">
        <w:trPr>
          <w:cantSplit/>
        </w:trPr>
        <w:tc>
          <w:tcPr>
            <w:tcW w:w="2638" w:type="dxa"/>
            <w:vAlign w:val="center"/>
          </w:tcPr>
          <w:p w14:paraId="5865C7AA" w14:textId="77777777" w:rsidR="00AC4797" w:rsidRDefault="00AC4797" w:rsidP="00EC4FF0">
            <w:r w:rsidRPr="00F87EA6">
              <w:t>Lynnfield</w:t>
            </w:r>
          </w:p>
        </w:tc>
        <w:tc>
          <w:tcPr>
            <w:tcW w:w="2638" w:type="dxa"/>
            <w:vAlign w:val="center"/>
          </w:tcPr>
          <w:p w14:paraId="53A99767" w14:textId="77777777" w:rsidR="00AC4797" w:rsidRDefault="00AC4797" w:rsidP="00EC4FF0">
            <w:r w:rsidRPr="00F87EA6">
              <w:t xml:space="preserve">Hamilton </w:t>
            </w:r>
          </w:p>
        </w:tc>
        <w:tc>
          <w:tcPr>
            <w:tcW w:w="2639" w:type="dxa"/>
            <w:vAlign w:val="center"/>
          </w:tcPr>
          <w:p w14:paraId="2C2231AC" w14:textId="77777777" w:rsidR="00AC4797" w:rsidRDefault="00AC4797" w:rsidP="00EC4FF0">
            <w:r w:rsidRPr="00F87EA6">
              <w:t>Byfield</w:t>
            </w:r>
          </w:p>
        </w:tc>
      </w:tr>
      <w:tr w:rsidR="00AC4797" w14:paraId="51F4C65C" w14:textId="77777777" w:rsidTr="0093037B">
        <w:trPr>
          <w:cantSplit/>
        </w:trPr>
        <w:tc>
          <w:tcPr>
            <w:tcW w:w="2638" w:type="dxa"/>
            <w:vAlign w:val="center"/>
          </w:tcPr>
          <w:p w14:paraId="23E1C920" w14:textId="77777777" w:rsidR="00AC4797" w:rsidRDefault="00AC4797" w:rsidP="00EC4FF0">
            <w:r w:rsidRPr="00F87EA6">
              <w:t xml:space="preserve">Saugus </w:t>
            </w:r>
          </w:p>
        </w:tc>
        <w:tc>
          <w:tcPr>
            <w:tcW w:w="2638" w:type="dxa"/>
            <w:vAlign w:val="center"/>
          </w:tcPr>
          <w:p w14:paraId="27ED9530" w14:textId="77777777" w:rsidR="00AC4797" w:rsidRDefault="00AC4797" w:rsidP="00EC4FF0">
            <w:r w:rsidRPr="00F87EA6">
              <w:t xml:space="preserve">Ipswich </w:t>
            </w:r>
          </w:p>
        </w:tc>
        <w:tc>
          <w:tcPr>
            <w:tcW w:w="2639" w:type="dxa"/>
            <w:vAlign w:val="center"/>
          </w:tcPr>
          <w:p w14:paraId="60810DA1" w14:textId="77777777" w:rsidR="00AC4797" w:rsidRDefault="00AC4797" w:rsidP="00EC4FF0">
            <w:r w:rsidRPr="00F87EA6">
              <w:t>Newbury</w:t>
            </w:r>
          </w:p>
        </w:tc>
      </w:tr>
      <w:tr w:rsidR="00AC4797" w14:paraId="05573201" w14:textId="77777777" w:rsidTr="0093037B">
        <w:trPr>
          <w:cantSplit/>
        </w:trPr>
        <w:tc>
          <w:tcPr>
            <w:tcW w:w="2638" w:type="dxa"/>
          </w:tcPr>
          <w:p w14:paraId="366A8E57" w14:textId="77777777" w:rsidR="00AC4797" w:rsidRDefault="00AC4797" w:rsidP="00EC4FF0"/>
        </w:tc>
        <w:tc>
          <w:tcPr>
            <w:tcW w:w="2638" w:type="dxa"/>
            <w:vAlign w:val="center"/>
          </w:tcPr>
          <w:p w14:paraId="30E36E0E" w14:textId="77777777" w:rsidR="00AC4797" w:rsidRDefault="00AC4797" w:rsidP="00EC4FF0">
            <w:r w:rsidRPr="00F87EA6">
              <w:t xml:space="preserve">Topsfield </w:t>
            </w:r>
          </w:p>
        </w:tc>
        <w:tc>
          <w:tcPr>
            <w:tcW w:w="2639" w:type="dxa"/>
            <w:vAlign w:val="center"/>
          </w:tcPr>
          <w:p w14:paraId="2001EFBF" w14:textId="77777777" w:rsidR="00AC4797" w:rsidRDefault="00AC4797" w:rsidP="00EC4FF0">
            <w:r w:rsidRPr="00F87EA6">
              <w:t>West Newbury</w:t>
            </w:r>
          </w:p>
        </w:tc>
      </w:tr>
      <w:tr w:rsidR="00AC4797" w14:paraId="20A14CC6" w14:textId="77777777" w:rsidTr="0093037B">
        <w:trPr>
          <w:cantSplit/>
        </w:trPr>
        <w:tc>
          <w:tcPr>
            <w:tcW w:w="2638" w:type="dxa"/>
          </w:tcPr>
          <w:p w14:paraId="7D260C01" w14:textId="77777777" w:rsidR="00AC4797" w:rsidRDefault="00AC4797" w:rsidP="00EC4FF0"/>
        </w:tc>
        <w:tc>
          <w:tcPr>
            <w:tcW w:w="2638" w:type="dxa"/>
            <w:vAlign w:val="center"/>
          </w:tcPr>
          <w:p w14:paraId="37A772AE" w14:textId="77777777" w:rsidR="00AC4797" w:rsidRDefault="00AC4797" w:rsidP="00EC4FF0">
            <w:r w:rsidRPr="00F87EA6">
              <w:t xml:space="preserve">Boxford </w:t>
            </w:r>
          </w:p>
        </w:tc>
        <w:tc>
          <w:tcPr>
            <w:tcW w:w="2639" w:type="dxa"/>
            <w:vAlign w:val="center"/>
          </w:tcPr>
          <w:p w14:paraId="2DE761D7" w14:textId="77777777" w:rsidR="00AC4797" w:rsidRDefault="00AC4797" w:rsidP="00EC4FF0">
            <w:r w:rsidRPr="00F87EA6">
              <w:t>Newburyport</w:t>
            </w:r>
          </w:p>
        </w:tc>
      </w:tr>
      <w:tr w:rsidR="00AC4797" w14:paraId="71D0BA91" w14:textId="77777777" w:rsidTr="0093037B">
        <w:trPr>
          <w:cantSplit/>
        </w:trPr>
        <w:tc>
          <w:tcPr>
            <w:tcW w:w="2638" w:type="dxa"/>
          </w:tcPr>
          <w:p w14:paraId="670B0F56" w14:textId="77777777" w:rsidR="00AC4797" w:rsidRDefault="00AC4797" w:rsidP="00EC4FF0"/>
        </w:tc>
        <w:tc>
          <w:tcPr>
            <w:tcW w:w="2638" w:type="dxa"/>
            <w:vAlign w:val="center"/>
          </w:tcPr>
          <w:p w14:paraId="2E58340E" w14:textId="77777777" w:rsidR="00AC4797" w:rsidRDefault="00AC4797" w:rsidP="00EC4FF0">
            <w:r w:rsidRPr="00F87EA6">
              <w:t xml:space="preserve">Revere </w:t>
            </w:r>
          </w:p>
        </w:tc>
        <w:tc>
          <w:tcPr>
            <w:tcW w:w="2639" w:type="dxa"/>
            <w:vAlign w:val="center"/>
          </w:tcPr>
          <w:p w14:paraId="08D1C073" w14:textId="77777777" w:rsidR="00AC4797" w:rsidRDefault="00AC4797" w:rsidP="00EC4FF0">
            <w:r w:rsidRPr="00F87EA6">
              <w:t>Salisbury</w:t>
            </w:r>
          </w:p>
        </w:tc>
      </w:tr>
      <w:tr w:rsidR="00AC4797" w14:paraId="79FEDC3E" w14:textId="77777777" w:rsidTr="0093037B">
        <w:trPr>
          <w:cantSplit/>
        </w:trPr>
        <w:tc>
          <w:tcPr>
            <w:tcW w:w="2638" w:type="dxa"/>
          </w:tcPr>
          <w:p w14:paraId="6F922EC1" w14:textId="77777777" w:rsidR="00AC4797" w:rsidRDefault="00AC4797" w:rsidP="00EC4FF0"/>
        </w:tc>
        <w:tc>
          <w:tcPr>
            <w:tcW w:w="2638" w:type="dxa"/>
            <w:vAlign w:val="center"/>
          </w:tcPr>
          <w:p w14:paraId="56189979" w14:textId="77777777" w:rsidR="00AC4797" w:rsidRDefault="00AC4797" w:rsidP="00EC4FF0">
            <w:r w:rsidRPr="00F87EA6">
              <w:t xml:space="preserve">Malden </w:t>
            </w:r>
          </w:p>
        </w:tc>
        <w:tc>
          <w:tcPr>
            <w:tcW w:w="2639" w:type="dxa"/>
            <w:vAlign w:val="center"/>
          </w:tcPr>
          <w:p w14:paraId="08C49E70" w14:textId="77777777" w:rsidR="00AC4797" w:rsidRDefault="00AC4797" w:rsidP="00EC4FF0">
            <w:r w:rsidRPr="00F87EA6">
              <w:t>Amesbury</w:t>
            </w:r>
          </w:p>
        </w:tc>
      </w:tr>
      <w:tr w:rsidR="00AC4797" w14:paraId="734DCCB9" w14:textId="77777777" w:rsidTr="0093037B">
        <w:trPr>
          <w:cantSplit/>
        </w:trPr>
        <w:tc>
          <w:tcPr>
            <w:tcW w:w="2638" w:type="dxa"/>
          </w:tcPr>
          <w:p w14:paraId="41542126" w14:textId="77777777" w:rsidR="00AC4797" w:rsidRDefault="00AC4797" w:rsidP="00EC4FF0"/>
        </w:tc>
        <w:tc>
          <w:tcPr>
            <w:tcW w:w="2638" w:type="dxa"/>
            <w:vAlign w:val="center"/>
          </w:tcPr>
          <w:p w14:paraId="53887490" w14:textId="77777777" w:rsidR="00AC4797" w:rsidRDefault="00AC4797" w:rsidP="00EC4FF0">
            <w:r w:rsidRPr="00F87EA6">
              <w:t>Melrose</w:t>
            </w:r>
          </w:p>
        </w:tc>
        <w:tc>
          <w:tcPr>
            <w:tcW w:w="2639" w:type="dxa"/>
          </w:tcPr>
          <w:p w14:paraId="34EC9646" w14:textId="77777777" w:rsidR="00AC4797" w:rsidRDefault="00AC4797" w:rsidP="00EC4FF0"/>
        </w:tc>
      </w:tr>
      <w:tr w:rsidR="00AC4797" w14:paraId="632E46F6" w14:textId="77777777" w:rsidTr="0093037B">
        <w:trPr>
          <w:cantSplit/>
        </w:trPr>
        <w:tc>
          <w:tcPr>
            <w:tcW w:w="2638" w:type="dxa"/>
          </w:tcPr>
          <w:p w14:paraId="0AB3D87C" w14:textId="77777777" w:rsidR="00AC4797" w:rsidRDefault="00AC4797" w:rsidP="00EC4FF0"/>
        </w:tc>
        <w:tc>
          <w:tcPr>
            <w:tcW w:w="2638" w:type="dxa"/>
            <w:vAlign w:val="center"/>
          </w:tcPr>
          <w:p w14:paraId="3084C984" w14:textId="77777777" w:rsidR="00AC4797" w:rsidRDefault="00AC4797" w:rsidP="00EC4FF0">
            <w:r w:rsidRPr="00F87EA6">
              <w:t xml:space="preserve">Wakefield </w:t>
            </w:r>
          </w:p>
        </w:tc>
        <w:tc>
          <w:tcPr>
            <w:tcW w:w="2639" w:type="dxa"/>
          </w:tcPr>
          <w:p w14:paraId="713396D4" w14:textId="77777777" w:rsidR="00AC4797" w:rsidRDefault="00AC4797" w:rsidP="00EC4FF0"/>
        </w:tc>
      </w:tr>
    </w:tbl>
    <w:p w14:paraId="6C8A8419" w14:textId="77777777" w:rsidR="00AC4797" w:rsidRDefault="00AC4797" w:rsidP="008C66FD">
      <w:pPr>
        <w:spacing w:after="0" w:line="240" w:lineRule="auto"/>
        <w:jc w:val="both"/>
        <w:rPr>
          <w:rFonts w:ascii="Aptos" w:hAnsi="Aptos" w:cstheme="minorHAnsi"/>
          <w:b/>
          <w:bCs/>
        </w:rPr>
      </w:pPr>
    </w:p>
    <w:p w14:paraId="602DBDC5" w14:textId="77777777" w:rsidR="00AC4797" w:rsidRDefault="00AC4797" w:rsidP="008C66FD">
      <w:pPr>
        <w:spacing w:after="0" w:line="240" w:lineRule="auto"/>
        <w:jc w:val="both"/>
        <w:rPr>
          <w:rFonts w:ascii="Aptos" w:hAnsi="Aptos" w:cstheme="minorHAnsi"/>
          <w:b/>
          <w:bCs/>
        </w:rPr>
      </w:pPr>
    </w:p>
    <w:p w14:paraId="2625E79E" w14:textId="77777777" w:rsidR="008132B5" w:rsidRPr="00F4310F" w:rsidRDefault="008132B5" w:rsidP="008C66FD">
      <w:pPr>
        <w:spacing w:after="0" w:line="240" w:lineRule="auto"/>
        <w:jc w:val="both"/>
        <w:rPr>
          <w:rFonts w:ascii="Aptos" w:hAnsi="Aptos" w:cstheme="minorHAnsi"/>
          <w:b/>
          <w:bCs/>
        </w:rPr>
      </w:pPr>
    </w:p>
    <w:p w14:paraId="37F3E4A9" w14:textId="77777777" w:rsidR="00DB4244" w:rsidRPr="00F4310F" w:rsidRDefault="00AE7335" w:rsidP="00D748A1">
      <w:pPr>
        <w:pStyle w:val="ListParagraph"/>
        <w:numPr>
          <w:ilvl w:val="0"/>
          <w:numId w:val="2"/>
        </w:numPr>
        <w:spacing w:after="0" w:line="240" w:lineRule="auto"/>
        <w:jc w:val="both"/>
        <w:rPr>
          <w:rFonts w:ascii="Aptos" w:hAnsi="Aptos" w:cstheme="minorHAnsi"/>
        </w:rPr>
      </w:pPr>
      <w:r w:rsidRPr="00F4310F">
        <w:rPr>
          <w:rFonts w:ascii="Aptos" w:hAnsi="Aptos" w:cstheme="minorHAnsi"/>
        </w:rPr>
        <w:t xml:space="preserve">Please provide the </w:t>
      </w:r>
      <w:r w:rsidR="00624939" w:rsidRPr="00F4310F">
        <w:rPr>
          <w:rFonts w:ascii="Aptos" w:hAnsi="Aptos" w:cstheme="minorHAnsi"/>
        </w:rPr>
        <w:t xml:space="preserve">FY2024 </w:t>
      </w:r>
      <w:r w:rsidRPr="00F4310F">
        <w:rPr>
          <w:rFonts w:ascii="Aptos" w:hAnsi="Aptos" w:cstheme="minorHAnsi"/>
        </w:rPr>
        <w:t>Payer Mix for</w:t>
      </w:r>
      <w:r w:rsidR="00DB4244" w:rsidRPr="00F4310F">
        <w:rPr>
          <w:rFonts w:ascii="Aptos" w:hAnsi="Aptos" w:cstheme="minorHAnsi"/>
        </w:rPr>
        <w:t>:</w:t>
      </w:r>
    </w:p>
    <w:p w14:paraId="66B1C256" w14:textId="5CFF63D0" w:rsidR="00AE7335" w:rsidRPr="00F4310F" w:rsidRDefault="00DB4244" w:rsidP="00D748A1">
      <w:pPr>
        <w:pStyle w:val="ListParagraph"/>
        <w:numPr>
          <w:ilvl w:val="1"/>
          <w:numId w:val="2"/>
        </w:numPr>
        <w:spacing w:after="0" w:line="240" w:lineRule="auto"/>
        <w:jc w:val="both"/>
        <w:rPr>
          <w:rFonts w:ascii="Aptos" w:hAnsi="Aptos" w:cstheme="minorHAnsi"/>
        </w:rPr>
      </w:pPr>
      <w:r w:rsidRPr="00F4310F">
        <w:rPr>
          <w:rFonts w:ascii="Aptos" w:hAnsi="Aptos" w:cstheme="minorHAnsi"/>
        </w:rPr>
        <w:t>Mass General Brigham overall Patient Panel</w:t>
      </w:r>
      <w:r w:rsidR="00184DF8" w:rsidRPr="00F4310F">
        <w:rPr>
          <w:rFonts w:ascii="Aptos" w:hAnsi="Aptos" w:cstheme="minorHAnsi"/>
        </w:rPr>
        <w:t xml:space="preserve"> </w:t>
      </w:r>
    </w:p>
    <w:p w14:paraId="43C2EDE4" w14:textId="6A495009" w:rsidR="00DB4244" w:rsidRPr="00F4310F" w:rsidRDefault="00DB4244" w:rsidP="00D748A1">
      <w:pPr>
        <w:pStyle w:val="ListParagraph"/>
        <w:numPr>
          <w:ilvl w:val="1"/>
          <w:numId w:val="2"/>
        </w:numPr>
        <w:spacing w:after="0" w:line="240" w:lineRule="auto"/>
        <w:jc w:val="both"/>
        <w:rPr>
          <w:rFonts w:ascii="Aptos" w:hAnsi="Aptos" w:cstheme="minorHAnsi"/>
        </w:rPr>
      </w:pPr>
      <w:r w:rsidRPr="00F4310F">
        <w:rPr>
          <w:rFonts w:ascii="Aptos" w:hAnsi="Aptos" w:cstheme="minorHAnsi"/>
        </w:rPr>
        <w:t xml:space="preserve">Salem Hospital Outpatient CT patient population. </w:t>
      </w:r>
    </w:p>
    <w:p w14:paraId="394A6615" w14:textId="77777777" w:rsidR="00985B30" w:rsidRPr="00AC4797" w:rsidRDefault="00985B30" w:rsidP="00AC4797">
      <w:pPr>
        <w:spacing w:after="0" w:line="240" w:lineRule="auto"/>
        <w:jc w:val="both"/>
        <w:rPr>
          <w:rFonts w:ascii="Aptos" w:hAnsi="Aptos" w:cstheme="minorHAnsi"/>
        </w:rPr>
      </w:pPr>
    </w:p>
    <w:tbl>
      <w:tblPr>
        <w:tblW w:w="0" w:type="auto"/>
        <w:tblInd w:w="1430" w:type="dxa"/>
        <w:tblCellMar>
          <w:left w:w="0" w:type="dxa"/>
          <w:right w:w="0" w:type="dxa"/>
        </w:tblCellMar>
        <w:tblLook w:val="04A0" w:firstRow="1" w:lastRow="0" w:firstColumn="1" w:lastColumn="0" w:noHBand="0" w:noVBand="1"/>
      </w:tblPr>
      <w:tblGrid>
        <w:gridCol w:w="3684"/>
        <w:gridCol w:w="2345"/>
        <w:gridCol w:w="2296"/>
      </w:tblGrid>
      <w:tr w:rsidR="00096892" w:rsidRPr="00F4310F" w14:paraId="6E828FB0" w14:textId="77777777" w:rsidTr="0093037B">
        <w:trPr>
          <w:cantSplit/>
          <w:tblHeader/>
        </w:trPr>
        <w:tc>
          <w:tcPr>
            <w:tcW w:w="3684"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vAlign w:val="bottom"/>
            <w:hideMark/>
          </w:tcPr>
          <w:p w14:paraId="2F81D239" w14:textId="19D2721C" w:rsidR="00096892" w:rsidRPr="00F4310F" w:rsidRDefault="00096892" w:rsidP="00096892">
            <w:pPr>
              <w:pStyle w:val="ListParagraph"/>
              <w:spacing w:after="0" w:line="240" w:lineRule="auto"/>
              <w:ind w:left="1590" w:hanging="1380"/>
              <w:contextualSpacing w:val="0"/>
              <w:jc w:val="both"/>
              <w:rPr>
                <w:rFonts w:ascii="Aptos" w:hAnsi="Aptos" w:cstheme="minorHAnsi"/>
                <w:b/>
                <w:bCs/>
              </w:rPr>
            </w:pPr>
            <w:r w:rsidRPr="00F4310F">
              <w:rPr>
                <w:rFonts w:ascii="Aptos" w:hAnsi="Aptos" w:cstheme="minorHAnsi"/>
                <w:b/>
                <w:bCs/>
              </w:rPr>
              <w:t>Payer Group</w:t>
            </w:r>
          </w:p>
        </w:tc>
        <w:tc>
          <w:tcPr>
            <w:tcW w:w="2345"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vAlign w:val="bottom"/>
          </w:tcPr>
          <w:p w14:paraId="6ECBA427" w14:textId="39705D83" w:rsidR="00096892" w:rsidRPr="00F4310F" w:rsidRDefault="00096892" w:rsidP="00096892">
            <w:pPr>
              <w:pStyle w:val="ListParagraph"/>
              <w:spacing w:after="0" w:line="240" w:lineRule="auto"/>
              <w:ind w:left="1440" w:hanging="1190"/>
              <w:contextualSpacing w:val="0"/>
              <w:jc w:val="both"/>
              <w:rPr>
                <w:rFonts w:ascii="Aptos" w:hAnsi="Aptos" w:cstheme="minorHAnsi"/>
                <w:b/>
                <w:bCs/>
              </w:rPr>
            </w:pPr>
            <w:r w:rsidRPr="00F4310F">
              <w:rPr>
                <w:rFonts w:ascii="Aptos" w:hAnsi="Aptos" w:cstheme="minorHAnsi"/>
                <w:b/>
                <w:bCs/>
              </w:rPr>
              <w:t>Salem OP CT FY24</w:t>
            </w:r>
          </w:p>
        </w:tc>
        <w:tc>
          <w:tcPr>
            <w:tcW w:w="2296"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vAlign w:val="bottom"/>
            <w:hideMark/>
          </w:tcPr>
          <w:p w14:paraId="1565693A" w14:textId="358D29FC" w:rsidR="00096892" w:rsidRPr="00F4310F" w:rsidRDefault="00096892" w:rsidP="00096892">
            <w:pPr>
              <w:pStyle w:val="ListParagraph"/>
              <w:spacing w:after="0" w:line="240" w:lineRule="auto"/>
              <w:ind w:left="1440" w:hanging="1020"/>
              <w:contextualSpacing w:val="0"/>
              <w:jc w:val="both"/>
              <w:rPr>
                <w:rFonts w:ascii="Aptos" w:hAnsi="Aptos" w:cstheme="minorHAnsi"/>
                <w:b/>
                <w:bCs/>
              </w:rPr>
            </w:pPr>
            <w:r w:rsidRPr="00F4310F">
              <w:rPr>
                <w:rFonts w:ascii="Aptos" w:hAnsi="Aptos" w:cstheme="minorHAnsi"/>
                <w:b/>
                <w:bCs/>
              </w:rPr>
              <w:t>MGB FY24</w:t>
            </w:r>
          </w:p>
        </w:tc>
      </w:tr>
      <w:tr w:rsidR="00096892" w:rsidRPr="00F4310F" w14:paraId="43218A04" w14:textId="77777777" w:rsidTr="0093037B">
        <w:trPr>
          <w:cantSplit/>
        </w:trPr>
        <w:tc>
          <w:tcPr>
            <w:tcW w:w="3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1CF46EE" w14:textId="570CC27C" w:rsidR="00096892" w:rsidRPr="00F4310F" w:rsidRDefault="00096892" w:rsidP="00096892">
            <w:pPr>
              <w:pStyle w:val="ListParagraph"/>
              <w:spacing w:after="0" w:line="240" w:lineRule="auto"/>
              <w:ind w:left="1590" w:hanging="1380"/>
              <w:contextualSpacing w:val="0"/>
              <w:jc w:val="both"/>
              <w:rPr>
                <w:rFonts w:ascii="Aptos" w:hAnsi="Aptos" w:cstheme="minorHAnsi"/>
                <w:b/>
                <w:bCs/>
              </w:rPr>
            </w:pPr>
            <w:r w:rsidRPr="00F4310F">
              <w:rPr>
                <w:rFonts w:ascii="Aptos" w:hAnsi="Aptos" w:cstheme="minorHAnsi"/>
                <w:b/>
                <w:bCs/>
              </w:rPr>
              <w:t>Commercial (PPO/</w:t>
            </w:r>
            <w:proofErr w:type="gramStart"/>
            <w:r w:rsidRPr="00F4310F">
              <w:rPr>
                <w:rFonts w:ascii="Aptos" w:hAnsi="Aptos" w:cstheme="minorHAnsi"/>
                <w:b/>
                <w:bCs/>
              </w:rPr>
              <w:t>Indemnity)</w:t>
            </w:r>
            <w:r w:rsidRPr="00F4310F">
              <w:rPr>
                <w:rFonts w:ascii="Aptos" w:hAnsi="Aptos" w:cstheme="minorHAnsi"/>
                <w:b/>
                <w:bCs/>
                <w:vertAlign w:val="superscript"/>
              </w:rPr>
              <w:footnoteReference w:customMarkFollows="1" w:id="2"/>
              <w:t>[</w:t>
            </w:r>
            <w:proofErr w:type="gramEnd"/>
            <w:r w:rsidRPr="00F4310F">
              <w:rPr>
                <w:rFonts w:ascii="Aptos" w:hAnsi="Aptos" w:cstheme="minorHAnsi"/>
                <w:b/>
                <w:bCs/>
                <w:vertAlign w:val="superscript"/>
              </w:rPr>
              <w:t>1]</w:t>
            </w:r>
          </w:p>
        </w:tc>
        <w:tc>
          <w:tcPr>
            <w:tcW w:w="2345" w:type="dxa"/>
            <w:tcBorders>
              <w:top w:val="nil"/>
              <w:left w:val="nil"/>
              <w:bottom w:val="single" w:sz="8" w:space="0" w:color="auto"/>
              <w:right w:val="single" w:sz="8" w:space="0" w:color="auto"/>
            </w:tcBorders>
            <w:tcMar>
              <w:top w:w="0" w:type="dxa"/>
              <w:left w:w="108" w:type="dxa"/>
              <w:bottom w:w="0" w:type="dxa"/>
              <w:right w:w="108" w:type="dxa"/>
            </w:tcMar>
          </w:tcPr>
          <w:p w14:paraId="7704FBF5" w14:textId="23BE8C08" w:rsidR="00096892" w:rsidRPr="00F4310F" w:rsidRDefault="00096892" w:rsidP="00096892">
            <w:pPr>
              <w:pStyle w:val="ListParagraph"/>
              <w:spacing w:after="0" w:line="240" w:lineRule="auto"/>
              <w:ind w:left="1440" w:hanging="1190"/>
              <w:contextualSpacing w:val="0"/>
              <w:jc w:val="both"/>
              <w:rPr>
                <w:rFonts w:ascii="Aptos" w:hAnsi="Aptos" w:cstheme="minorHAnsi"/>
                <w:b/>
                <w:bCs/>
              </w:rPr>
            </w:pPr>
            <w:r w:rsidRPr="00F4310F">
              <w:rPr>
                <w:rFonts w:ascii="Aptos" w:hAnsi="Aptos" w:cstheme="minorHAnsi"/>
                <w:b/>
                <w:bCs/>
              </w:rPr>
              <w:t>13.72%</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1542EA41" w14:textId="36B8FC6C" w:rsidR="00096892" w:rsidRPr="00F4310F" w:rsidRDefault="00096892" w:rsidP="00096892">
            <w:pPr>
              <w:pStyle w:val="ListParagraph"/>
              <w:spacing w:after="0" w:line="240" w:lineRule="auto"/>
              <w:ind w:left="1440" w:hanging="1020"/>
              <w:contextualSpacing w:val="0"/>
              <w:jc w:val="both"/>
              <w:rPr>
                <w:rFonts w:ascii="Aptos" w:hAnsi="Aptos" w:cstheme="minorHAnsi"/>
                <w:b/>
                <w:bCs/>
              </w:rPr>
            </w:pPr>
            <w:r w:rsidRPr="00F4310F">
              <w:rPr>
                <w:rFonts w:ascii="Aptos" w:hAnsi="Aptos" w:cstheme="minorHAnsi"/>
                <w:b/>
                <w:bCs/>
              </w:rPr>
              <w:t>38.30%</w:t>
            </w:r>
          </w:p>
        </w:tc>
      </w:tr>
      <w:tr w:rsidR="00096892" w:rsidRPr="00F4310F" w14:paraId="1CFCC890" w14:textId="77777777" w:rsidTr="0093037B">
        <w:trPr>
          <w:cantSplit/>
        </w:trPr>
        <w:tc>
          <w:tcPr>
            <w:tcW w:w="3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B8A373" w14:textId="4FF9DA0F" w:rsidR="00096892" w:rsidRPr="00F4310F" w:rsidRDefault="00096892" w:rsidP="00096892">
            <w:pPr>
              <w:pStyle w:val="ListParagraph"/>
              <w:spacing w:after="0" w:line="240" w:lineRule="auto"/>
              <w:ind w:left="1590" w:hanging="1380"/>
              <w:contextualSpacing w:val="0"/>
              <w:jc w:val="both"/>
              <w:rPr>
                <w:rFonts w:ascii="Aptos" w:hAnsi="Aptos" w:cstheme="minorHAnsi"/>
                <w:b/>
                <w:bCs/>
              </w:rPr>
            </w:pPr>
            <w:r w:rsidRPr="00F4310F">
              <w:rPr>
                <w:rFonts w:ascii="Aptos" w:hAnsi="Aptos" w:cstheme="minorHAnsi"/>
                <w:b/>
                <w:bCs/>
              </w:rPr>
              <w:t>Commercial (HMO/POS)</w:t>
            </w:r>
            <w:r w:rsidRPr="00F4310F">
              <w:rPr>
                <w:rFonts w:ascii="Aptos" w:hAnsi="Aptos" w:cstheme="minorHAnsi"/>
                <w:b/>
                <w:bCs/>
                <w:vertAlign w:val="superscript"/>
              </w:rPr>
              <w:t xml:space="preserve"> </w:t>
            </w:r>
            <w:r w:rsidRPr="00F4310F">
              <w:rPr>
                <w:rFonts w:ascii="Aptos" w:hAnsi="Aptos" w:cstheme="minorHAnsi"/>
                <w:b/>
                <w:bCs/>
                <w:vertAlign w:val="superscript"/>
              </w:rPr>
              <w:footnoteReference w:customMarkFollows="1" w:id="3"/>
              <w:t>[2]</w:t>
            </w:r>
          </w:p>
        </w:tc>
        <w:tc>
          <w:tcPr>
            <w:tcW w:w="2345" w:type="dxa"/>
            <w:tcBorders>
              <w:top w:val="nil"/>
              <w:left w:val="nil"/>
              <w:bottom w:val="single" w:sz="8" w:space="0" w:color="auto"/>
              <w:right w:val="single" w:sz="8" w:space="0" w:color="auto"/>
            </w:tcBorders>
            <w:tcMar>
              <w:top w:w="0" w:type="dxa"/>
              <w:left w:w="108" w:type="dxa"/>
              <w:bottom w:w="0" w:type="dxa"/>
              <w:right w:w="108" w:type="dxa"/>
            </w:tcMar>
          </w:tcPr>
          <w:p w14:paraId="28EB512C" w14:textId="148AA601" w:rsidR="00096892" w:rsidRPr="00F4310F" w:rsidRDefault="00096892" w:rsidP="00096892">
            <w:pPr>
              <w:pStyle w:val="ListParagraph"/>
              <w:spacing w:after="0" w:line="240" w:lineRule="auto"/>
              <w:ind w:left="1440" w:hanging="1190"/>
              <w:contextualSpacing w:val="0"/>
              <w:jc w:val="both"/>
              <w:rPr>
                <w:rFonts w:ascii="Aptos" w:hAnsi="Aptos" w:cstheme="minorHAnsi"/>
                <w:b/>
                <w:bCs/>
              </w:rPr>
            </w:pPr>
            <w:r w:rsidRPr="00F4310F">
              <w:rPr>
                <w:rFonts w:ascii="Aptos" w:hAnsi="Aptos" w:cstheme="minorHAnsi"/>
                <w:b/>
                <w:bCs/>
              </w:rPr>
              <w:t>17.73%</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6695D442" w14:textId="327D467B" w:rsidR="00096892" w:rsidRPr="00F4310F" w:rsidRDefault="00096892" w:rsidP="00096892">
            <w:pPr>
              <w:pStyle w:val="ListParagraph"/>
              <w:spacing w:after="0" w:line="240" w:lineRule="auto"/>
              <w:ind w:left="1440" w:hanging="1020"/>
              <w:contextualSpacing w:val="0"/>
              <w:jc w:val="both"/>
              <w:rPr>
                <w:rFonts w:ascii="Aptos" w:hAnsi="Aptos" w:cstheme="minorHAnsi"/>
                <w:b/>
                <w:bCs/>
              </w:rPr>
            </w:pPr>
            <w:r w:rsidRPr="00F4310F">
              <w:rPr>
                <w:rFonts w:ascii="Aptos" w:hAnsi="Aptos" w:cstheme="minorHAnsi"/>
                <w:b/>
                <w:bCs/>
              </w:rPr>
              <w:t>17.58%</w:t>
            </w:r>
          </w:p>
        </w:tc>
      </w:tr>
      <w:tr w:rsidR="00096892" w:rsidRPr="00F4310F" w14:paraId="12B26513" w14:textId="77777777" w:rsidTr="0093037B">
        <w:trPr>
          <w:cantSplit/>
        </w:trPr>
        <w:tc>
          <w:tcPr>
            <w:tcW w:w="3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8A6F4F6" w14:textId="72862363" w:rsidR="00096892" w:rsidRPr="00F4310F" w:rsidRDefault="00096892" w:rsidP="00096892">
            <w:pPr>
              <w:pStyle w:val="ListParagraph"/>
              <w:spacing w:after="0" w:line="240" w:lineRule="auto"/>
              <w:ind w:left="1590" w:hanging="1380"/>
              <w:contextualSpacing w:val="0"/>
              <w:jc w:val="both"/>
              <w:rPr>
                <w:rFonts w:ascii="Aptos" w:hAnsi="Aptos" w:cstheme="minorHAnsi"/>
                <w:b/>
                <w:bCs/>
              </w:rPr>
            </w:pPr>
            <w:proofErr w:type="gramStart"/>
            <w:r w:rsidRPr="00F4310F">
              <w:rPr>
                <w:rFonts w:ascii="Aptos" w:hAnsi="Aptos" w:cstheme="minorHAnsi"/>
                <w:b/>
                <w:bCs/>
              </w:rPr>
              <w:t>Medicare</w:t>
            </w:r>
            <w:r w:rsidRPr="00F4310F">
              <w:rPr>
                <w:rFonts w:ascii="Aptos" w:hAnsi="Aptos" w:cstheme="minorHAnsi"/>
                <w:b/>
                <w:bCs/>
                <w:vertAlign w:val="superscript"/>
              </w:rPr>
              <w:footnoteReference w:customMarkFollows="1" w:id="4"/>
              <w:t>[</w:t>
            </w:r>
            <w:proofErr w:type="gramEnd"/>
            <w:r w:rsidRPr="00F4310F">
              <w:rPr>
                <w:rFonts w:ascii="Aptos" w:hAnsi="Aptos" w:cstheme="minorHAnsi"/>
                <w:b/>
                <w:bCs/>
                <w:vertAlign w:val="superscript"/>
              </w:rPr>
              <w:t>3]</w:t>
            </w:r>
          </w:p>
        </w:tc>
        <w:tc>
          <w:tcPr>
            <w:tcW w:w="2345" w:type="dxa"/>
            <w:tcBorders>
              <w:top w:val="nil"/>
              <w:left w:val="nil"/>
              <w:bottom w:val="single" w:sz="8" w:space="0" w:color="auto"/>
              <w:right w:val="single" w:sz="8" w:space="0" w:color="auto"/>
            </w:tcBorders>
            <w:tcMar>
              <w:top w:w="0" w:type="dxa"/>
              <w:left w:w="108" w:type="dxa"/>
              <w:bottom w:w="0" w:type="dxa"/>
              <w:right w:w="108" w:type="dxa"/>
            </w:tcMar>
          </w:tcPr>
          <w:p w14:paraId="129F7EEF" w14:textId="24C94BA1" w:rsidR="00096892" w:rsidRPr="00F4310F" w:rsidRDefault="00096892" w:rsidP="00096892">
            <w:pPr>
              <w:pStyle w:val="ListParagraph"/>
              <w:spacing w:after="0" w:line="240" w:lineRule="auto"/>
              <w:ind w:left="1440" w:hanging="1190"/>
              <w:contextualSpacing w:val="0"/>
              <w:jc w:val="both"/>
              <w:rPr>
                <w:rFonts w:ascii="Aptos" w:hAnsi="Aptos" w:cstheme="minorHAnsi"/>
                <w:b/>
                <w:bCs/>
              </w:rPr>
            </w:pPr>
            <w:r w:rsidRPr="00F4310F">
              <w:rPr>
                <w:rFonts w:ascii="Aptos" w:hAnsi="Aptos" w:cstheme="minorHAnsi"/>
                <w:b/>
                <w:bCs/>
              </w:rPr>
              <w:t>37.54%</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0BD5588A" w14:textId="672C0767" w:rsidR="00096892" w:rsidRPr="00F4310F" w:rsidRDefault="00096892" w:rsidP="00096892">
            <w:pPr>
              <w:pStyle w:val="ListParagraph"/>
              <w:spacing w:after="0" w:line="240" w:lineRule="auto"/>
              <w:ind w:left="1440" w:hanging="1020"/>
              <w:contextualSpacing w:val="0"/>
              <w:jc w:val="both"/>
              <w:rPr>
                <w:rFonts w:ascii="Aptos" w:hAnsi="Aptos" w:cstheme="minorHAnsi"/>
                <w:b/>
                <w:bCs/>
              </w:rPr>
            </w:pPr>
            <w:r w:rsidRPr="00F4310F">
              <w:rPr>
                <w:rFonts w:ascii="Aptos" w:hAnsi="Aptos" w:cstheme="minorHAnsi"/>
                <w:b/>
                <w:bCs/>
              </w:rPr>
              <w:t>20.39%</w:t>
            </w:r>
          </w:p>
        </w:tc>
      </w:tr>
      <w:tr w:rsidR="00096892" w:rsidRPr="00F4310F" w14:paraId="6F7056FB" w14:textId="77777777" w:rsidTr="0093037B">
        <w:trPr>
          <w:cantSplit/>
        </w:trPr>
        <w:tc>
          <w:tcPr>
            <w:tcW w:w="3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0DC538E" w14:textId="65AA3A38" w:rsidR="00096892" w:rsidRPr="00F4310F" w:rsidRDefault="00096892" w:rsidP="00096892">
            <w:pPr>
              <w:pStyle w:val="ListParagraph"/>
              <w:spacing w:after="0" w:line="240" w:lineRule="auto"/>
              <w:ind w:left="1590" w:hanging="1380"/>
              <w:contextualSpacing w:val="0"/>
              <w:jc w:val="both"/>
              <w:rPr>
                <w:rFonts w:ascii="Aptos" w:hAnsi="Aptos" w:cstheme="minorHAnsi"/>
                <w:b/>
                <w:bCs/>
              </w:rPr>
            </w:pPr>
            <w:r w:rsidRPr="00F4310F">
              <w:rPr>
                <w:rFonts w:ascii="Aptos" w:hAnsi="Aptos" w:cstheme="minorHAnsi"/>
                <w:b/>
                <w:bCs/>
              </w:rPr>
              <w:t>Commercial Medicare</w:t>
            </w:r>
          </w:p>
        </w:tc>
        <w:tc>
          <w:tcPr>
            <w:tcW w:w="2345" w:type="dxa"/>
            <w:tcBorders>
              <w:top w:val="nil"/>
              <w:left w:val="nil"/>
              <w:bottom w:val="single" w:sz="8" w:space="0" w:color="auto"/>
              <w:right w:val="single" w:sz="8" w:space="0" w:color="auto"/>
            </w:tcBorders>
            <w:tcMar>
              <w:top w:w="0" w:type="dxa"/>
              <w:left w:w="108" w:type="dxa"/>
              <w:bottom w:w="0" w:type="dxa"/>
              <w:right w:w="108" w:type="dxa"/>
            </w:tcMar>
          </w:tcPr>
          <w:p w14:paraId="2DDACAAC" w14:textId="4E887220" w:rsidR="00096892" w:rsidRPr="00F4310F" w:rsidRDefault="00096892" w:rsidP="00096892">
            <w:pPr>
              <w:pStyle w:val="ListParagraph"/>
              <w:spacing w:after="0" w:line="240" w:lineRule="auto"/>
              <w:ind w:left="1440" w:hanging="1190"/>
              <w:contextualSpacing w:val="0"/>
              <w:jc w:val="both"/>
              <w:rPr>
                <w:rFonts w:ascii="Aptos" w:hAnsi="Aptos" w:cstheme="minorHAnsi"/>
                <w:b/>
                <w:bCs/>
              </w:rPr>
            </w:pPr>
            <w:r w:rsidRPr="00F4310F">
              <w:rPr>
                <w:rFonts w:ascii="Aptos" w:hAnsi="Aptos" w:cstheme="minorHAnsi"/>
                <w:b/>
                <w:bCs/>
              </w:rPr>
              <w:t>18.17 %</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3D9DF297" w14:textId="02B89540" w:rsidR="00096892" w:rsidRPr="00F4310F" w:rsidRDefault="00096892" w:rsidP="00096892">
            <w:pPr>
              <w:pStyle w:val="ListParagraph"/>
              <w:spacing w:after="0" w:line="240" w:lineRule="auto"/>
              <w:ind w:left="1440" w:hanging="1020"/>
              <w:contextualSpacing w:val="0"/>
              <w:jc w:val="both"/>
              <w:rPr>
                <w:rFonts w:ascii="Aptos" w:hAnsi="Aptos" w:cstheme="minorHAnsi"/>
                <w:b/>
                <w:bCs/>
              </w:rPr>
            </w:pPr>
            <w:r w:rsidRPr="00F4310F">
              <w:rPr>
                <w:rFonts w:ascii="Aptos" w:hAnsi="Aptos" w:cstheme="minorHAnsi"/>
                <w:b/>
                <w:bCs/>
              </w:rPr>
              <w:t>8.66%</w:t>
            </w:r>
          </w:p>
        </w:tc>
      </w:tr>
      <w:tr w:rsidR="00096892" w:rsidRPr="00F4310F" w14:paraId="778A621D" w14:textId="77777777" w:rsidTr="0093037B">
        <w:trPr>
          <w:cantSplit/>
        </w:trPr>
        <w:tc>
          <w:tcPr>
            <w:tcW w:w="3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3C5CA01" w14:textId="55DDC83A" w:rsidR="00096892" w:rsidRPr="00F4310F" w:rsidRDefault="00096892" w:rsidP="00096892">
            <w:pPr>
              <w:pStyle w:val="ListParagraph"/>
              <w:spacing w:after="0" w:line="240" w:lineRule="auto"/>
              <w:ind w:left="1590" w:hanging="1380"/>
              <w:contextualSpacing w:val="0"/>
              <w:jc w:val="both"/>
              <w:rPr>
                <w:rFonts w:ascii="Aptos" w:hAnsi="Aptos" w:cstheme="minorHAnsi"/>
                <w:b/>
                <w:bCs/>
              </w:rPr>
            </w:pPr>
            <w:r w:rsidRPr="00F4310F">
              <w:rPr>
                <w:rFonts w:ascii="Aptos" w:hAnsi="Aptos" w:cstheme="minorHAnsi"/>
                <w:b/>
                <w:bCs/>
              </w:rPr>
              <w:t>MassHealth</w:t>
            </w:r>
          </w:p>
        </w:tc>
        <w:tc>
          <w:tcPr>
            <w:tcW w:w="2345" w:type="dxa"/>
            <w:tcBorders>
              <w:top w:val="nil"/>
              <w:left w:val="nil"/>
              <w:bottom w:val="single" w:sz="8" w:space="0" w:color="auto"/>
              <w:right w:val="single" w:sz="8" w:space="0" w:color="auto"/>
            </w:tcBorders>
            <w:tcMar>
              <w:top w:w="0" w:type="dxa"/>
              <w:left w:w="108" w:type="dxa"/>
              <w:bottom w:w="0" w:type="dxa"/>
              <w:right w:w="108" w:type="dxa"/>
            </w:tcMar>
          </w:tcPr>
          <w:p w14:paraId="4D35CDD7" w14:textId="38573036" w:rsidR="00096892" w:rsidRPr="00F4310F" w:rsidRDefault="00096892" w:rsidP="00096892">
            <w:pPr>
              <w:pStyle w:val="ListParagraph"/>
              <w:spacing w:after="0" w:line="240" w:lineRule="auto"/>
              <w:ind w:left="1440" w:hanging="1190"/>
              <w:contextualSpacing w:val="0"/>
              <w:jc w:val="both"/>
              <w:rPr>
                <w:rFonts w:ascii="Aptos" w:hAnsi="Aptos" w:cstheme="minorHAnsi"/>
                <w:b/>
                <w:bCs/>
              </w:rPr>
            </w:pPr>
            <w:r w:rsidRPr="00F4310F">
              <w:rPr>
                <w:rFonts w:ascii="Aptos" w:hAnsi="Aptos" w:cstheme="minorHAnsi"/>
                <w:b/>
                <w:bCs/>
              </w:rPr>
              <w:t xml:space="preserve">  4.66%</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24269762" w14:textId="79D1A6C0" w:rsidR="00096892" w:rsidRPr="00F4310F" w:rsidRDefault="00096892" w:rsidP="00096892">
            <w:pPr>
              <w:pStyle w:val="ListParagraph"/>
              <w:spacing w:after="0" w:line="240" w:lineRule="auto"/>
              <w:ind w:left="1440" w:hanging="1020"/>
              <w:contextualSpacing w:val="0"/>
              <w:jc w:val="both"/>
              <w:rPr>
                <w:rFonts w:ascii="Aptos" w:hAnsi="Aptos" w:cstheme="minorHAnsi"/>
                <w:b/>
                <w:bCs/>
              </w:rPr>
            </w:pPr>
            <w:r w:rsidRPr="00F4310F">
              <w:rPr>
                <w:rFonts w:ascii="Aptos" w:hAnsi="Aptos" w:cstheme="minorHAnsi"/>
                <w:b/>
                <w:bCs/>
              </w:rPr>
              <w:t>3.92%</w:t>
            </w:r>
          </w:p>
        </w:tc>
      </w:tr>
      <w:tr w:rsidR="00096892" w:rsidRPr="00F4310F" w14:paraId="5EF623CB" w14:textId="77777777" w:rsidTr="0093037B">
        <w:trPr>
          <w:cantSplit/>
        </w:trPr>
        <w:tc>
          <w:tcPr>
            <w:tcW w:w="3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2E2F8BC" w14:textId="700254A2" w:rsidR="00096892" w:rsidRPr="00F4310F" w:rsidRDefault="00096892" w:rsidP="00096892">
            <w:pPr>
              <w:pStyle w:val="ListParagraph"/>
              <w:spacing w:after="0" w:line="240" w:lineRule="auto"/>
              <w:ind w:left="1590" w:hanging="1380"/>
              <w:contextualSpacing w:val="0"/>
              <w:jc w:val="both"/>
              <w:rPr>
                <w:rFonts w:ascii="Aptos" w:hAnsi="Aptos" w:cstheme="minorHAnsi"/>
                <w:b/>
                <w:bCs/>
              </w:rPr>
            </w:pPr>
            <w:r w:rsidRPr="00F4310F">
              <w:rPr>
                <w:rFonts w:ascii="Aptos" w:hAnsi="Aptos" w:cstheme="minorHAnsi"/>
                <w:b/>
                <w:bCs/>
              </w:rPr>
              <w:t>Managed Medicaid</w:t>
            </w:r>
          </w:p>
        </w:tc>
        <w:tc>
          <w:tcPr>
            <w:tcW w:w="2345" w:type="dxa"/>
            <w:tcBorders>
              <w:top w:val="nil"/>
              <w:left w:val="nil"/>
              <w:bottom w:val="single" w:sz="8" w:space="0" w:color="auto"/>
              <w:right w:val="single" w:sz="8" w:space="0" w:color="auto"/>
            </w:tcBorders>
            <w:tcMar>
              <w:top w:w="0" w:type="dxa"/>
              <w:left w:w="108" w:type="dxa"/>
              <w:bottom w:w="0" w:type="dxa"/>
              <w:right w:w="108" w:type="dxa"/>
            </w:tcMar>
          </w:tcPr>
          <w:p w14:paraId="7941A364" w14:textId="2475CA28" w:rsidR="00096892" w:rsidRPr="00F4310F" w:rsidRDefault="00096892" w:rsidP="00096892">
            <w:pPr>
              <w:pStyle w:val="ListParagraph"/>
              <w:spacing w:after="0" w:line="240" w:lineRule="auto"/>
              <w:ind w:left="1440" w:hanging="1190"/>
              <w:contextualSpacing w:val="0"/>
              <w:jc w:val="both"/>
              <w:rPr>
                <w:rFonts w:ascii="Aptos" w:hAnsi="Aptos" w:cstheme="minorHAnsi"/>
                <w:b/>
                <w:bCs/>
              </w:rPr>
            </w:pPr>
            <w:r w:rsidRPr="00F4310F">
              <w:rPr>
                <w:rFonts w:ascii="Aptos" w:hAnsi="Aptos" w:cstheme="minorHAnsi"/>
                <w:b/>
                <w:bCs/>
              </w:rPr>
              <w:t xml:space="preserve">  5.01%</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66261B67" w14:textId="07623A0D" w:rsidR="00096892" w:rsidRPr="00F4310F" w:rsidRDefault="00096892" w:rsidP="00096892">
            <w:pPr>
              <w:pStyle w:val="ListParagraph"/>
              <w:spacing w:after="0" w:line="240" w:lineRule="auto"/>
              <w:ind w:left="1440" w:hanging="1020"/>
              <w:contextualSpacing w:val="0"/>
              <w:jc w:val="both"/>
              <w:rPr>
                <w:rFonts w:ascii="Aptos" w:hAnsi="Aptos" w:cstheme="minorHAnsi"/>
                <w:b/>
                <w:bCs/>
              </w:rPr>
            </w:pPr>
            <w:r w:rsidRPr="00F4310F">
              <w:rPr>
                <w:rFonts w:ascii="Aptos" w:hAnsi="Aptos" w:cstheme="minorHAnsi"/>
                <w:b/>
                <w:bCs/>
              </w:rPr>
              <w:t>4.85%</w:t>
            </w:r>
          </w:p>
        </w:tc>
      </w:tr>
      <w:tr w:rsidR="00096892" w:rsidRPr="00F4310F" w14:paraId="4D6121B3" w14:textId="77777777" w:rsidTr="0093037B">
        <w:trPr>
          <w:cantSplit/>
        </w:trPr>
        <w:tc>
          <w:tcPr>
            <w:tcW w:w="3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3C819BC" w14:textId="35B3EEE7" w:rsidR="00096892" w:rsidRPr="00F4310F" w:rsidRDefault="00096892" w:rsidP="00096892">
            <w:pPr>
              <w:pStyle w:val="ListParagraph"/>
              <w:spacing w:after="0" w:line="240" w:lineRule="auto"/>
              <w:ind w:left="1590" w:hanging="1380"/>
              <w:contextualSpacing w:val="0"/>
              <w:jc w:val="both"/>
              <w:rPr>
                <w:rFonts w:ascii="Aptos" w:hAnsi="Aptos" w:cstheme="minorHAnsi"/>
                <w:b/>
                <w:bCs/>
              </w:rPr>
            </w:pPr>
            <w:proofErr w:type="gramStart"/>
            <w:r w:rsidRPr="00F4310F">
              <w:rPr>
                <w:rFonts w:ascii="Aptos" w:hAnsi="Aptos" w:cstheme="minorHAnsi"/>
                <w:b/>
                <w:bCs/>
              </w:rPr>
              <w:t>Other</w:t>
            </w:r>
            <w:r w:rsidRPr="00F4310F">
              <w:rPr>
                <w:rFonts w:ascii="Aptos" w:hAnsi="Aptos" w:cstheme="minorHAnsi"/>
                <w:b/>
                <w:bCs/>
                <w:vertAlign w:val="superscript"/>
              </w:rPr>
              <w:footnoteReference w:customMarkFollows="1" w:id="5"/>
              <w:t>[</w:t>
            </w:r>
            <w:proofErr w:type="gramEnd"/>
            <w:r w:rsidRPr="00F4310F">
              <w:rPr>
                <w:rFonts w:ascii="Aptos" w:hAnsi="Aptos" w:cstheme="minorHAnsi"/>
                <w:b/>
                <w:bCs/>
                <w:vertAlign w:val="superscript"/>
              </w:rPr>
              <w:t>4]</w:t>
            </w:r>
          </w:p>
        </w:tc>
        <w:tc>
          <w:tcPr>
            <w:tcW w:w="2345" w:type="dxa"/>
            <w:tcBorders>
              <w:top w:val="nil"/>
              <w:left w:val="nil"/>
              <w:bottom w:val="single" w:sz="8" w:space="0" w:color="auto"/>
              <w:right w:val="single" w:sz="8" w:space="0" w:color="auto"/>
            </w:tcBorders>
            <w:tcMar>
              <w:top w:w="0" w:type="dxa"/>
              <w:left w:w="108" w:type="dxa"/>
              <w:bottom w:w="0" w:type="dxa"/>
              <w:right w:w="108" w:type="dxa"/>
            </w:tcMar>
          </w:tcPr>
          <w:p w14:paraId="063D841E" w14:textId="1A027DAB" w:rsidR="00096892" w:rsidRPr="00F4310F" w:rsidRDefault="00096892" w:rsidP="00096892">
            <w:pPr>
              <w:pStyle w:val="ListParagraph"/>
              <w:spacing w:after="0" w:line="240" w:lineRule="auto"/>
              <w:ind w:left="1440" w:hanging="1190"/>
              <w:contextualSpacing w:val="0"/>
              <w:jc w:val="both"/>
              <w:rPr>
                <w:rFonts w:ascii="Aptos" w:hAnsi="Aptos" w:cstheme="minorHAnsi"/>
                <w:b/>
                <w:bCs/>
              </w:rPr>
            </w:pPr>
            <w:r w:rsidRPr="00F4310F">
              <w:rPr>
                <w:rFonts w:ascii="Aptos" w:hAnsi="Aptos" w:cstheme="minorHAnsi"/>
                <w:b/>
                <w:bCs/>
              </w:rPr>
              <w:t xml:space="preserve">  3.17%</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01023969" w14:textId="30062F94" w:rsidR="00096892" w:rsidRPr="00F4310F" w:rsidRDefault="00096892" w:rsidP="00096892">
            <w:pPr>
              <w:pStyle w:val="ListParagraph"/>
              <w:spacing w:after="0" w:line="240" w:lineRule="auto"/>
              <w:ind w:left="1440" w:hanging="1020"/>
              <w:contextualSpacing w:val="0"/>
              <w:jc w:val="both"/>
              <w:rPr>
                <w:rFonts w:ascii="Aptos" w:hAnsi="Aptos" w:cstheme="minorHAnsi"/>
                <w:b/>
                <w:bCs/>
              </w:rPr>
            </w:pPr>
            <w:r w:rsidRPr="00F4310F">
              <w:rPr>
                <w:rFonts w:ascii="Aptos" w:hAnsi="Aptos" w:cstheme="minorHAnsi"/>
                <w:b/>
                <w:bCs/>
              </w:rPr>
              <w:t>6.31%</w:t>
            </w:r>
          </w:p>
        </w:tc>
      </w:tr>
      <w:tr w:rsidR="00096892" w:rsidRPr="00F4310F" w14:paraId="0B4F1D9F" w14:textId="77777777" w:rsidTr="0093037B">
        <w:trPr>
          <w:cantSplit/>
        </w:trPr>
        <w:tc>
          <w:tcPr>
            <w:tcW w:w="3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569E7B" w14:textId="00757DFC" w:rsidR="00096892" w:rsidRPr="00F4310F" w:rsidRDefault="00096892" w:rsidP="00096892">
            <w:pPr>
              <w:pStyle w:val="ListParagraph"/>
              <w:spacing w:after="0" w:line="240" w:lineRule="auto"/>
              <w:ind w:left="1590" w:hanging="1380"/>
              <w:contextualSpacing w:val="0"/>
              <w:jc w:val="both"/>
              <w:rPr>
                <w:rFonts w:ascii="Aptos" w:hAnsi="Aptos" w:cstheme="minorHAnsi"/>
                <w:b/>
                <w:bCs/>
              </w:rPr>
            </w:pPr>
            <w:r w:rsidRPr="00F4310F">
              <w:rPr>
                <w:rFonts w:ascii="Aptos" w:hAnsi="Aptos" w:cstheme="minorHAnsi"/>
                <w:b/>
                <w:bCs/>
              </w:rPr>
              <w:t>Total</w:t>
            </w:r>
          </w:p>
        </w:tc>
        <w:tc>
          <w:tcPr>
            <w:tcW w:w="234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D3BF02" w14:textId="366EDFB9" w:rsidR="00096892" w:rsidRPr="00F4310F" w:rsidRDefault="00096892" w:rsidP="00096892">
            <w:pPr>
              <w:pStyle w:val="ListParagraph"/>
              <w:spacing w:after="0" w:line="240" w:lineRule="auto"/>
              <w:ind w:left="1440" w:hanging="1190"/>
              <w:contextualSpacing w:val="0"/>
              <w:jc w:val="both"/>
              <w:rPr>
                <w:rFonts w:ascii="Aptos" w:hAnsi="Aptos" w:cstheme="minorHAnsi"/>
                <w:b/>
                <w:bCs/>
              </w:rPr>
            </w:pPr>
            <w:r w:rsidRPr="00F4310F">
              <w:rPr>
                <w:rFonts w:ascii="Aptos" w:hAnsi="Aptos" w:cstheme="minorHAnsi"/>
                <w:b/>
                <w:bCs/>
              </w:rPr>
              <w:t>100.00%</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53A78A" w14:textId="77A7437C" w:rsidR="00096892" w:rsidRPr="00F4310F" w:rsidRDefault="00096892" w:rsidP="00096892">
            <w:pPr>
              <w:pStyle w:val="ListParagraph"/>
              <w:spacing w:after="0" w:line="240" w:lineRule="auto"/>
              <w:ind w:left="1440" w:hanging="1020"/>
              <w:contextualSpacing w:val="0"/>
              <w:jc w:val="both"/>
              <w:rPr>
                <w:rFonts w:ascii="Aptos" w:hAnsi="Aptos" w:cstheme="minorHAnsi"/>
                <w:b/>
                <w:bCs/>
              </w:rPr>
            </w:pPr>
            <w:r w:rsidRPr="00F4310F">
              <w:rPr>
                <w:rFonts w:ascii="Aptos" w:hAnsi="Aptos" w:cstheme="minorHAnsi"/>
                <w:b/>
                <w:bCs/>
              </w:rPr>
              <w:t>100.00%</w:t>
            </w:r>
          </w:p>
        </w:tc>
      </w:tr>
    </w:tbl>
    <w:p w14:paraId="419043C0" w14:textId="77777777" w:rsidR="00184DF8" w:rsidRPr="00F4310F" w:rsidRDefault="00184DF8" w:rsidP="00184DF8">
      <w:pPr>
        <w:pStyle w:val="ListParagraph"/>
        <w:spacing w:after="0" w:line="240" w:lineRule="auto"/>
        <w:ind w:left="1440"/>
        <w:jc w:val="both"/>
        <w:rPr>
          <w:rFonts w:ascii="Aptos" w:hAnsi="Aptos" w:cstheme="minorHAnsi"/>
        </w:rPr>
      </w:pPr>
    </w:p>
    <w:p w14:paraId="5CDC1ED2" w14:textId="77777777" w:rsidR="00184DF8" w:rsidRPr="00F4310F" w:rsidRDefault="00184DF8" w:rsidP="008C66FD">
      <w:pPr>
        <w:spacing w:after="0" w:line="240" w:lineRule="auto"/>
        <w:rPr>
          <w:rFonts w:ascii="Aptos" w:hAnsi="Aptos" w:cstheme="minorHAnsi"/>
          <w:b/>
          <w:bCs/>
        </w:rPr>
      </w:pPr>
    </w:p>
    <w:p w14:paraId="74694E05" w14:textId="03975282" w:rsidR="00BD7B31" w:rsidRPr="00F4310F" w:rsidRDefault="00495674" w:rsidP="008C66FD">
      <w:pPr>
        <w:spacing w:after="0" w:line="240" w:lineRule="auto"/>
        <w:rPr>
          <w:rFonts w:ascii="Aptos" w:hAnsi="Aptos" w:cstheme="minorHAnsi"/>
          <w:b/>
          <w:bCs/>
        </w:rPr>
      </w:pPr>
      <w:r w:rsidRPr="00F4310F">
        <w:rPr>
          <w:rFonts w:ascii="Aptos" w:hAnsi="Aptos" w:cstheme="minorHAnsi"/>
          <w:b/>
          <w:bCs/>
        </w:rPr>
        <w:t>Factor 1aii: Patient Panel Need</w:t>
      </w:r>
    </w:p>
    <w:p w14:paraId="79B4307A" w14:textId="7B89EEE6" w:rsidR="008C5EBA" w:rsidRPr="00F4310F" w:rsidRDefault="008C5EBA" w:rsidP="00D748A1">
      <w:pPr>
        <w:pStyle w:val="ListParagraph"/>
        <w:numPr>
          <w:ilvl w:val="0"/>
          <w:numId w:val="2"/>
        </w:numPr>
        <w:spacing w:after="0" w:line="240" w:lineRule="auto"/>
        <w:rPr>
          <w:rFonts w:ascii="Aptos" w:hAnsi="Aptos" w:cstheme="minorHAnsi"/>
        </w:rPr>
      </w:pPr>
      <w:r w:rsidRPr="00F4310F">
        <w:rPr>
          <w:rFonts w:ascii="Aptos" w:hAnsi="Aptos" w:cs="Arial"/>
        </w:rPr>
        <w:t xml:space="preserve">Page </w:t>
      </w:r>
      <w:r w:rsidR="000C43B6" w:rsidRPr="00F4310F">
        <w:rPr>
          <w:rFonts w:ascii="Aptos" w:hAnsi="Aptos" w:cs="Arial"/>
        </w:rPr>
        <w:t>8</w:t>
      </w:r>
      <w:r w:rsidRPr="00F4310F">
        <w:rPr>
          <w:rFonts w:ascii="Aptos" w:hAnsi="Aptos" w:cs="Arial"/>
        </w:rPr>
        <w:t xml:space="preserve"> </w:t>
      </w:r>
      <w:r w:rsidRPr="00F4310F">
        <w:rPr>
          <w:rFonts w:ascii="Aptos" w:hAnsi="Aptos" w:cstheme="minorHAnsi"/>
        </w:rPr>
        <w:t>of the Narrative states, “</w:t>
      </w:r>
      <w:r w:rsidR="000C43B6" w:rsidRPr="00F4310F">
        <w:rPr>
          <w:rFonts w:ascii="Aptos" w:hAnsi="Aptos" w:cstheme="minorHAnsi"/>
          <w:bCs/>
        </w:rPr>
        <w:t xml:space="preserve">Even with extended hours of operation, the units are operating above 90% capacity and outpatient appointments have a wait time of 30 days.” </w:t>
      </w:r>
      <w:r w:rsidR="000C43B6" w:rsidRPr="00F4310F">
        <w:rPr>
          <w:rFonts w:ascii="Aptos" w:hAnsi="Aptos" w:cstheme="minorHAnsi"/>
          <w:bCs/>
        </w:rPr>
        <w:tab/>
      </w:r>
    </w:p>
    <w:p w14:paraId="690F7ACA" w14:textId="77777777" w:rsidR="00C9177F" w:rsidRPr="00F4310F" w:rsidRDefault="000C43B6" w:rsidP="00D748A1">
      <w:pPr>
        <w:pStyle w:val="ListParagraph"/>
        <w:numPr>
          <w:ilvl w:val="1"/>
          <w:numId w:val="2"/>
        </w:numPr>
        <w:spacing w:after="0" w:line="240" w:lineRule="auto"/>
        <w:rPr>
          <w:rFonts w:ascii="Aptos" w:hAnsi="Aptos" w:cstheme="minorHAnsi"/>
        </w:rPr>
      </w:pPr>
      <w:r w:rsidRPr="00F4310F">
        <w:rPr>
          <w:rFonts w:ascii="Aptos" w:hAnsi="Aptos" w:cstheme="minorHAnsi"/>
          <w:bCs/>
        </w:rPr>
        <w:t xml:space="preserve">How does this wait time compare </w:t>
      </w:r>
      <w:r w:rsidR="008C66FD" w:rsidRPr="00F4310F">
        <w:rPr>
          <w:rFonts w:ascii="Aptos" w:hAnsi="Aptos" w:cstheme="minorHAnsi"/>
          <w:bCs/>
        </w:rPr>
        <w:t>with the average wait time for CT appointments at MGB community hospital outpatient settings?</w:t>
      </w:r>
      <w:r w:rsidR="00DE2A4A" w:rsidRPr="00F4310F">
        <w:rPr>
          <w:rFonts w:ascii="Aptos" w:hAnsi="Aptos" w:cstheme="minorHAnsi"/>
          <w:bCs/>
        </w:rPr>
        <w:t xml:space="preserve"> </w:t>
      </w:r>
    </w:p>
    <w:p w14:paraId="23095145" w14:textId="77777777" w:rsidR="008132B5" w:rsidRDefault="008132B5" w:rsidP="00C9177F">
      <w:pPr>
        <w:pStyle w:val="ListParagraph"/>
        <w:spacing w:after="0" w:line="240" w:lineRule="auto"/>
        <w:ind w:left="1440"/>
        <w:rPr>
          <w:rFonts w:ascii="Aptos" w:hAnsi="Aptos" w:cstheme="minorHAnsi"/>
          <w:b/>
        </w:rPr>
      </w:pPr>
    </w:p>
    <w:p w14:paraId="1278A08C" w14:textId="432950B0" w:rsidR="00F4310F" w:rsidRPr="00F4310F" w:rsidRDefault="00DE2A4A" w:rsidP="00C9177F">
      <w:pPr>
        <w:pStyle w:val="ListParagraph"/>
        <w:spacing w:after="0" w:line="240" w:lineRule="auto"/>
        <w:ind w:left="1440"/>
        <w:rPr>
          <w:rFonts w:ascii="Aptos" w:hAnsi="Aptos" w:cstheme="minorHAnsi"/>
          <w:b/>
        </w:rPr>
      </w:pPr>
      <w:r w:rsidRPr="00F4310F">
        <w:rPr>
          <w:rFonts w:ascii="Aptos" w:hAnsi="Aptos" w:cstheme="minorHAnsi"/>
          <w:b/>
        </w:rPr>
        <w:t>N</w:t>
      </w:r>
      <w:r w:rsidR="00C9177F" w:rsidRPr="00F4310F">
        <w:rPr>
          <w:rFonts w:ascii="Aptos" w:hAnsi="Aptos" w:cstheme="minorHAnsi"/>
          <w:b/>
        </w:rPr>
        <w:t>ewton Wellsley Hospital</w:t>
      </w:r>
      <w:r w:rsidR="00F4310F" w:rsidRPr="00F4310F">
        <w:rPr>
          <w:rFonts w:ascii="Aptos" w:hAnsi="Aptos" w:cstheme="minorHAnsi"/>
          <w:b/>
        </w:rPr>
        <w:t xml:space="preserve">: </w:t>
      </w:r>
      <w:r w:rsidRPr="00F4310F">
        <w:rPr>
          <w:rFonts w:ascii="Aptos" w:hAnsi="Aptos" w:cstheme="minorHAnsi"/>
          <w:b/>
        </w:rPr>
        <w:t xml:space="preserve">29 days </w:t>
      </w:r>
    </w:p>
    <w:p w14:paraId="6BF1AA5C" w14:textId="2F045F8C" w:rsidR="000C43B6" w:rsidRPr="00F4310F" w:rsidRDefault="00C9177F" w:rsidP="00C9177F">
      <w:pPr>
        <w:pStyle w:val="ListParagraph"/>
        <w:spacing w:after="0" w:line="240" w:lineRule="auto"/>
        <w:ind w:left="1440"/>
        <w:rPr>
          <w:rFonts w:ascii="Aptos" w:hAnsi="Aptos" w:cstheme="minorHAnsi"/>
          <w:b/>
        </w:rPr>
      </w:pPr>
      <w:r w:rsidRPr="00F4310F">
        <w:rPr>
          <w:rFonts w:ascii="Aptos" w:hAnsi="Aptos" w:cstheme="minorHAnsi"/>
          <w:b/>
        </w:rPr>
        <w:t>Cooley Dickinson Hospital</w:t>
      </w:r>
      <w:r w:rsidR="00F4310F" w:rsidRPr="00F4310F">
        <w:rPr>
          <w:rFonts w:ascii="Aptos" w:hAnsi="Aptos" w:cstheme="minorHAnsi"/>
          <w:b/>
        </w:rPr>
        <w:t xml:space="preserve">: </w:t>
      </w:r>
      <w:r w:rsidRPr="00F4310F">
        <w:rPr>
          <w:rFonts w:ascii="Aptos" w:hAnsi="Aptos" w:cstheme="minorHAnsi"/>
          <w:b/>
        </w:rPr>
        <w:t>45 days</w:t>
      </w:r>
    </w:p>
    <w:p w14:paraId="3F236A7A" w14:textId="77777777" w:rsidR="00C9177F" w:rsidRPr="00F4310F" w:rsidRDefault="00C9177F" w:rsidP="00C9177F">
      <w:pPr>
        <w:pStyle w:val="ListParagraph"/>
        <w:spacing w:after="0" w:line="240" w:lineRule="auto"/>
        <w:ind w:left="1440"/>
        <w:rPr>
          <w:rFonts w:ascii="Aptos" w:hAnsi="Aptos" w:cstheme="minorHAnsi"/>
          <w:b/>
        </w:rPr>
      </w:pPr>
    </w:p>
    <w:p w14:paraId="2F2B5A1E" w14:textId="77777777" w:rsidR="00F4310F" w:rsidRPr="00F4310F" w:rsidRDefault="000C43B6" w:rsidP="00D748A1">
      <w:pPr>
        <w:pStyle w:val="ListParagraph"/>
        <w:numPr>
          <w:ilvl w:val="1"/>
          <w:numId w:val="2"/>
        </w:numPr>
        <w:rPr>
          <w:rFonts w:ascii="Aptos" w:hAnsi="Aptos" w:cstheme="minorHAnsi"/>
          <w:bCs/>
        </w:rPr>
      </w:pPr>
      <w:r w:rsidRPr="00F4310F">
        <w:rPr>
          <w:rFonts w:ascii="Aptos" w:hAnsi="Aptos" w:cstheme="minorHAnsi"/>
          <w:bCs/>
        </w:rPr>
        <w:t xml:space="preserve">How does this wait time compare with the average wait time for CT appointments </w:t>
      </w:r>
      <w:r w:rsidR="00C9177F" w:rsidRPr="00F4310F">
        <w:rPr>
          <w:rFonts w:ascii="Aptos" w:hAnsi="Aptos" w:cstheme="minorHAnsi"/>
          <w:bCs/>
        </w:rPr>
        <w:t>n</w:t>
      </w:r>
      <w:r w:rsidRPr="00F4310F">
        <w:rPr>
          <w:rFonts w:ascii="Aptos" w:hAnsi="Aptos" w:cstheme="minorHAnsi"/>
          <w:bCs/>
        </w:rPr>
        <w:t>ationally?</w:t>
      </w:r>
      <w:r w:rsidR="003A2E8F" w:rsidRPr="00F4310F">
        <w:rPr>
          <w:rFonts w:ascii="Aptos" w:hAnsi="Aptos" w:cstheme="minorHAnsi"/>
          <w:bCs/>
        </w:rPr>
        <w:t xml:space="preserve"> </w:t>
      </w:r>
    </w:p>
    <w:p w14:paraId="3591C230" w14:textId="77777777" w:rsidR="008132B5" w:rsidRDefault="008132B5" w:rsidP="00AC4797">
      <w:pPr>
        <w:pStyle w:val="ListParagraph"/>
        <w:ind w:left="1440"/>
        <w:jc w:val="both"/>
        <w:rPr>
          <w:rFonts w:ascii="Aptos" w:hAnsi="Aptos"/>
          <w:b/>
          <w:bCs/>
        </w:rPr>
      </w:pPr>
    </w:p>
    <w:p w14:paraId="63B799F6" w14:textId="377F9C08" w:rsidR="000C43B6" w:rsidRDefault="00C9177F" w:rsidP="00AC4797">
      <w:pPr>
        <w:pStyle w:val="ListParagraph"/>
        <w:ind w:left="1440"/>
        <w:jc w:val="both"/>
        <w:rPr>
          <w:rFonts w:ascii="Aptos" w:hAnsi="Aptos"/>
          <w:b/>
          <w:bCs/>
        </w:rPr>
      </w:pPr>
      <w:r w:rsidRPr="008E2E6D">
        <w:rPr>
          <w:rFonts w:ascii="Aptos" w:hAnsi="Aptos"/>
          <w:b/>
          <w:bCs/>
        </w:rPr>
        <w:t xml:space="preserve">The </w:t>
      </w:r>
      <w:r w:rsidR="008E2E6D">
        <w:rPr>
          <w:rFonts w:ascii="Aptos" w:hAnsi="Aptos"/>
          <w:b/>
          <w:bCs/>
        </w:rPr>
        <w:t>American College of Radiology</w:t>
      </w:r>
      <w:r w:rsidRPr="008E2E6D">
        <w:rPr>
          <w:rFonts w:ascii="Aptos" w:hAnsi="Aptos"/>
          <w:b/>
          <w:bCs/>
        </w:rPr>
        <w:t xml:space="preserve"> </w:t>
      </w:r>
      <w:r w:rsidR="008E2E6D">
        <w:rPr>
          <w:rFonts w:ascii="Aptos" w:hAnsi="Aptos"/>
          <w:b/>
          <w:bCs/>
        </w:rPr>
        <w:t>recommends</w:t>
      </w:r>
      <w:r w:rsidRPr="008E2E6D">
        <w:rPr>
          <w:rFonts w:ascii="Aptos" w:hAnsi="Aptos"/>
          <w:b/>
          <w:bCs/>
        </w:rPr>
        <w:t xml:space="preserve"> that non-urgent imaging should generally not be delayed </w:t>
      </w:r>
      <w:r w:rsidRPr="008E2E6D">
        <w:rPr>
          <w:rStyle w:val="Strong"/>
          <w:rFonts w:ascii="Aptos" w:hAnsi="Aptos"/>
        </w:rPr>
        <w:t>beyond a few</w:t>
      </w:r>
      <w:r w:rsidRPr="008E2E6D">
        <w:rPr>
          <w:rStyle w:val="Strong"/>
          <w:rFonts w:ascii="Aptos" w:hAnsi="Aptos"/>
          <w:b w:val="0"/>
          <w:bCs w:val="0"/>
        </w:rPr>
        <w:t xml:space="preserve"> </w:t>
      </w:r>
      <w:r w:rsidRPr="008E2E6D">
        <w:rPr>
          <w:rStyle w:val="Strong"/>
          <w:rFonts w:ascii="Aptos" w:hAnsi="Aptos"/>
        </w:rPr>
        <w:t>weeks</w:t>
      </w:r>
      <w:r w:rsidRPr="008E2E6D">
        <w:rPr>
          <w:rFonts w:ascii="Aptos" w:hAnsi="Aptos"/>
        </w:rPr>
        <w:t>,</w:t>
      </w:r>
      <w:r w:rsidRPr="008E2E6D">
        <w:rPr>
          <w:rFonts w:ascii="Aptos" w:hAnsi="Aptos"/>
          <w:b/>
          <w:bCs/>
        </w:rPr>
        <w:t xml:space="preserve"> with some guidelines indicating a typical target wait time of </w:t>
      </w:r>
      <w:r w:rsidRPr="008E2E6D">
        <w:rPr>
          <w:rStyle w:val="Strong"/>
          <w:rFonts w:ascii="Aptos" w:hAnsi="Aptos"/>
        </w:rPr>
        <w:t>2-4 weeks</w:t>
      </w:r>
      <w:r w:rsidRPr="008E2E6D">
        <w:rPr>
          <w:rFonts w:ascii="Aptos" w:hAnsi="Aptos"/>
          <w:b/>
          <w:bCs/>
        </w:rPr>
        <w:t xml:space="preserve"> for routine imaging needs</w:t>
      </w:r>
      <w:r w:rsidR="008E2E6D">
        <w:rPr>
          <w:rFonts w:ascii="Aptos" w:hAnsi="Aptos"/>
          <w:b/>
          <w:bCs/>
        </w:rPr>
        <w:t xml:space="preserve">. </w:t>
      </w:r>
      <w:r w:rsidR="00AC4797">
        <w:rPr>
          <w:rStyle w:val="FootnoteReference"/>
          <w:rFonts w:ascii="Aptos" w:hAnsi="Aptos"/>
          <w:b/>
          <w:bCs/>
        </w:rPr>
        <w:footnoteReference w:id="6"/>
      </w:r>
    </w:p>
    <w:p w14:paraId="67A0B87A" w14:textId="77777777" w:rsidR="00AC4797" w:rsidRPr="00AC4797" w:rsidRDefault="00AC4797" w:rsidP="00AC4797">
      <w:pPr>
        <w:pStyle w:val="ListParagraph"/>
        <w:ind w:left="1440"/>
        <w:jc w:val="both"/>
        <w:rPr>
          <w:rFonts w:ascii="Aptos" w:hAnsi="Aptos" w:cstheme="minorHAnsi"/>
          <w:bCs/>
        </w:rPr>
      </w:pPr>
    </w:p>
    <w:p w14:paraId="5476CEC4" w14:textId="3CE1C9E5" w:rsidR="008713F9" w:rsidRPr="00F4310F" w:rsidRDefault="008713F9" w:rsidP="00D748A1">
      <w:pPr>
        <w:pStyle w:val="ListParagraph"/>
        <w:numPr>
          <w:ilvl w:val="0"/>
          <w:numId w:val="2"/>
        </w:numPr>
        <w:spacing w:after="0" w:line="240" w:lineRule="auto"/>
        <w:rPr>
          <w:rFonts w:ascii="Aptos" w:hAnsi="Aptos" w:cs="Arial"/>
        </w:rPr>
      </w:pPr>
      <w:r w:rsidRPr="00F4310F">
        <w:rPr>
          <w:rFonts w:ascii="Aptos" w:hAnsi="Aptos" w:cs="Arial"/>
        </w:rPr>
        <w:t xml:space="preserve">Page 9 of the Narrative </w:t>
      </w:r>
      <w:r w:rsidR="000C43B6" w:rsidRPr="00F4310F">
        <w:rPr>
          <w:rFonts w:ascii="Aptos" w:hAnsi="Aptos" w:cs="Arial"/>
        </w:rPr>
        <w:t>states that the existing CT units are being overutilized due to the expanded hours.</w:t>
      </w:r>
    </w:p>
    <w:p w14:paraId="0DE45727" w14:textId="77777777" w:rsidR="00EE274E" w:rsidRPr="00F4310F" w:rsidRDefault="000C43B6" w:rsidP="00D748A1">
      <w:pPr>
        <w:pStyle w:val="ListParagraph"/>
        <w:numPr>
          <w:ilvl w:val="1"/>
          <w:numId w:val="2"/>
        </w:numPr>
        <w:spacing w:after="0" w:line="240" w:lineRule="auto"/>
        <w:rPr>
          <w:rFonts w:ascii="Aptos" w:hAnsi="Aptos" w:cs="Arial"/>
        </w:rPr>
      </w:pPr>
      <w:bookmarkStart w:id="0" w:name="_Hlk189125411"/>
      <w:r w:rsidRPr="00F4310F">
        <w:rPr>
          <w:rFonts w:ascii="Aptos" w:hAnsi="Aptos" w:cs="Arial"/>
        </w:rPr>
        <w:t>What is the recommended utilization for the current machines?</w:t>
      </w:r>
      <w:r w:rsidR="00F63D04" w:rsidRPr="00F4310F">
        <w:rPr>
          <w:rFonts w:ascii="Aptos" w:hAnsi="Aptos" w:cs="Arial"/>
        </w:rPr>
        <w:t xml:space="preserve"> </w:t>
      </w:r>
    </w:p>
    <w:p w14:paraId="52CCBC10" w14:textId="77777777" w:rsidR="008132B5" w:rsidRDefault="008132B5" w:rsidP="00EE274E">
      <w:pPr>
        <w:pStyle w:val="ListParagraph"/>
        <w:spacing w:after="0" w:line="240" w:lineRule="auto"/>
        <w:ind w:left="1440"/>
        <w:rPr>
          <w:rFonts w:ascii="Aptos" w:hAnsi="Aptos" w:cs="Arial"/>
          <w:b/>
          <w:bCs/>
        </w:rPr>
      </w:pPr>
    </w:p>
    <w:p w14:paraId="6E64556D" w14:textId="33D378C4" w:rsidR="000C43B6" w:rsidRDefault="00F63D04" w:rsidP="00EE274E">
      <w:pPr>
        <w:pStyle w:val="ListParagraph"/>
        <w:spacing w:after="0" w:line="240" w:lineRule="auto"/>
        <w:ind w:left="1440"/>
        <w:rPr>
          <w:rFonts w:ascii="Aptos" w:hAnsi="Aptos" w:cs="Arial"/>
          <w:b/>
          <w:bCs/>
        </w:rPr>
      </w:pPr>
      <w:r w:rsidRPr="00F4310F">
        <w:rPr>
          <w:rFonts w:ascii="Aptos" w:hAnsi="Aptos" w:cs="Arial"/>
          <w:b/>
          <w:bCs/>
        </w:rPr>
        <w:t>Target utilization</w:t>
      </w:r>
      <w:r w:rsidR="00EE274E" w:rsidRPr="00F4310F">
        <w:rPr>
          <w:rFonts w:ascii="Aptos" w:hAnsi="Aptos" w:cs="Arial"/>
          <w:b/>
          <w:bCs/>
        </w:rPr>
        <w:t xml:space="preserve"> is</w:t>
      </w:r>
      <w:r w:rsidRPr="00F4310F">
        <w:rPr>
          <w:rFonts w:ascii="Aptos" w:hAnsi="Aptos" w:cs="Arial"/>
          <w:b/>
          <w:bCs/>
        </w:rPr>
        <w:t xml:space="preserve"> 80%</w:t>
      </w:r>
      <w:r w:rsidR="00EE274E" w:rsidRPr="00F4310F">
        <w:rPr>
          <w:rFonts w:ascii="Aptos" w:hAnsi="Aptos" w:cs="Arial"/>
          <w:b/>
          <w:bCs/>
        </w:rPr>
        <w:t xml:space="preserve">. </w:t>
      </w:r>
    </w:p>
    <w:p w14:paraId="202AFC21" w14:textId="77777777" w:rsidR="008132B5" w:rsidRPr="00F4310F" w:rsidRDefault="008132B5" w:rsidP="00EE274E">
      <w:pPr>
        <w:pStyle w:val="ListParagraph"/>
        <w:spacing w:after="0" w:line="240" w:lineRule="auto"/>
        <w:ind w:left="1440"/>
        <w:rPr>
          <w:rFonts w:ascii="Aptos" w:hAnsi="Aptos" w:cs="Arial"/>
          <w:b/>
          <w:bCs/>
        </w:rPr>
      </w:pPr>
    </w:p>
    <w:p w14:paraId="5F6952B6" w14:textId="77777777" w:rsidR="00EE274E" w:rsidRPr="00F4310F" w:rsidRDefault="00EE274E" w:rsidP="00EE274E">
      <w:pPr>
        <w:pStyle w:val="ListParagraph"/>
        <w:spacing w:after="0" w:line="240" w:lineRule="auto"/>
        <w:ind w:left="1440"/>
        <w:rPr>
          <w:rFonts w:ascii="Aptos" w:hAnsi="Aptos" w:cs="Arial"/>
          <w:b/>
          <w:bCs/>
        </w:rPr>
      </w:pPr>
    </w:p>
    <w:p w14:paraId="4A32044B" w14:textId="77777777" w:rsidR="00EE274E" w:rsidRPr="00F4310F" w:rsidRDefault="000C43B6" w:rsidP="00D748A1">
      <w:pPr>
        <w:pStyle w:val="ListParagraph"/>
        <w:numPr>
          <w:ilvl w:val="1"/>
          <w:numId w:val="2"/>
        </w:numPr>
        <w:spacing w:after="0" w:line="240" w:lineRule="auto"/>
        <w:rPr>
          <w:rFonts w:ascii="Aptos" w:hAnsi="Aptos" w:cs="Arial"/>
        </w:rPr>
      </w:pPr>
      <w:r w:rsidRPr="00F4310F">
        <w:rPr>
          <w:rFonts w:ascii="Aptos" w:hAnsi="Aptos" w:cs="Arial"/>
        </w:rPr>
        <w:lastRenderedPageBreak/>
        <w:t>Please cite references for the recommended utilization.</w:t>
      </w:r>
      <w:r w:rsidR="00F63D04" w:rsidRPr="00F4310F">
        <w:rPr>
          <w:rFonts w:ascii="Aptos" w:hAnsi="Aptos" w:cs="Arial"/>
        </w:rPr>
        <w:t xml:space="preserve">  </w:t>
      </w:r>
    </w:p>
    <w:p w14:paraId="109AD65D" w14:textId="77777777" w:rsidR="008132B5" w:rsidRDefault="008132B5" w:rsidP="00F4310F">
      <w:pPr>
        <w:pStyle w:val="ListParagraph"/>
        <w:spacing w:after="0" w:line="240" w:lineRule="auto"/>
        <w:ind w:left="1440"/>
        <w:jc w:val="both"/>
        <w:rPr>
          <w:rFonts w:ascii="Aptos" w:hAnsi="Aptos" w:cs="Arial"/>
          <w:b/>
          <w:bCs/>
        </w:rPr>
      </w:pPr>
    </w:p>
    <w:p w14:paraId="0BD1C0B7" w14:textId="2C17300B" w:rsidR="000C43B6" w:rsidRPr="00F4310F" w:rsidRDefault="00F63D04" w:rsidP="00F4310F">
      <w:pPr>
        <w:pStyle w:val="ListParagraph"/>
        <w:spacing w:after="0" w:line="240" w:lineRule="auto"/>
        <w:ind w:left="1440"/>
        <w:jc w:val="both"/>
        <w:rPr>
          <w:rFonts w:ascii="Aptos" w:hAnsi="Aptos" w:cs="Arial"/>
          <w:b/>
          <w:bCs/>
        </w:rPr>
      </w:pPr>
      <w:r w:rsidRPr="00F4310F">
        <w:rPr>
          <w:rFonts w:ascii="Aptos" w:hAnsi="Aptos" w:cs="Arial"/>
          <w:b/>
          <w:bCs/>
        </w:rPr>
        <w:t>MGB established</w:t>
      </w:r>
      <w:r w:rsidR="00EE274E" w:rsidRPr="00F4310F">
        <w:rPr>
          <w:rFonts w:ascii="Aptos" w:hAnsi="Aptos" w:cs="Arial"/>
          <w:b/>
          <w:bCs/>
        </w:rPr>
        <w:t xml:space="preserve"> a system-wide</w:t>
      </w:r>
      <w:r w:rsidRPr="00F4310F">
        <w:rPr>
          <w:rFonts w:ascii="Aptos" w:hAnsi="Aptos" w:cs="Arial"/>
          <w:b/>
          <w:bCs/>
        </w:rPr>
        <w:t xml:space="preserve"> </w:t>
      </w:r>
      <w:r w:rsidR="00EE274E" w:rsidRPr="00F4310F">
        <w:rPr>
          <w:rFonts w:ascii="Aptos" w:hAnsi="Aptos" w:cs="Arial"/>
          <w:b/>
          <w:bCs/>
        </w:rPr>
        <w:t xml:space="preserve">utilization </w:t>
      </w:r>
      <w:r w:rsidR="00F4310F" w:rsidRPr="00F4310F">
        <w:rPr>
          <w:rFonts w:ascii="Aptos" w:hAnsi="Aptos" w:cs="Arial"/>
          <w:b/>
          <w:bCs/>
        </w:rPr>
        <w:t xml:space="preserve">target </w:t>
      </w:r>
      <w:r w:rsidR="00EE274E" w:rsidRPr="00F4310F">
        <w:rPr>
          <w:rFonts w:ascii="Aptos" w:hAnsi="Aptos" w:cs="Arial"/>
          <w:b/>
          <w:bCs/>
        </w:rPr>
        <w:t xml:space="preserve">for CT </w:t>
      </w:r>
      <w:r w:rsidR="00831DE1" w:rsidRPr="00F4310F">
        <w:rPr>
          <w:rFonts w:ascii="Aptos" w:hAnsi="Aptos" w:cs="Arial"/>
          <w:b/>
          <w:bCs/>
        </w:rPr>
        <w:t xml:space="preserve">focused on patient satisfaction that </w:t>
      </w:r>
      <w:r w:rsidR="00F4310F" w:rsidRPr="00F4310F">
        <w:rPr>
          <w:rFonts w:ascii="Aptos" w:hAnsi="Aptos" w:cs="Arial"/>
          <w:b/>
          <w:bCs/>
        </w:rPr>
        <w:t>improves</w:t>
      </w:r>
      <w:r w:rsidR="00831DE1" w:rsidRPr="00F4310F">
        <w:rPr>
          <w:rFonts w:ascii="Aptos" w:hAnsi="Aptos" w:cs="Arial"/>
          <w:b/>
          <w:bCs/>
        </w:rPr>
        <w:t xml:space="preserve"> access </w:t>
      </w:r>
      <w:r w:rsidR="00DB706B" w:rsidRPr="00F4310F">
        <w:rPr>
          <w:rFonts w:ascii="Aptos" w:hAnsi="Aptos" w:cs="Arial"/>
          <w:b/>
          <w:bCs/>
        </w:rPr>
        <w:t>and</w:t>
      </w:r>
      <w:r w:rsidR="00831DE1" w:rsidRPr="00F4310F">
        <w:rPr>
          <w:rFonts w:ascii="Aptos" w:hAnsi="Aptos" w:cs="Arial"/>
          <w:b/>
          <w:bCs/>
        </w:rPr>
        <w:t xml:space="preserve"> </w:t>
      </w:r>
      <w:r w:rsidR="00F4310F" w:rsidRPr="00F4310F">
        <w:rPr>
          <w:rFonts w:ascii="Aptos" w:hAnsi="Aptos" w:cs="Arial"/>
          <w:b/>
          <w:bCs/>
        </w:rPr>
        <w:t xml:space="preserve">creates </w:t>
      </w:r>
      <w:r w:rsidR="00831DE1" w:rsidRPr="00F4310F">
        <w:rPr>
          <w:rFonts w:ascii="Aptos" w:hAnsi="Aptos" w:cs="Arial"/>
          <w:b/>
          <w:bCs/>
        </w:rPr>
        <w:t>better throughput efficiency</w:t>
      </w:r>
      <w:r w:rsidR="00EE274E" w:rsidRPr="00F4310F">
        <w:rPr>
          <w:rFonts w:ascii="Aptos" w:hAnsi="Aptos" w:cs="Arial"/>
          <w:b/>
          <w:bCs/>
        </w:rPr>
        <w:t xml:space="preserve">. </w:t>
      </w:r>
      <w:r w:rsidR="00F4310F" w:rsidRPr="00F4310F">
        <w:rPr>
          <w:rFonts w:ascii="Aptos" w:hAnsi="Aptos" w:cs="Arial"/>
          <w:b/>
          <w:bCs/>
        </w:rPr>
        <w:t>When utilization is around 80%,</w:t>
      </w:r>
      <w:r w:rsidR="00831DE1" w:rsidRPr="00F4310F">
        <w:rPr>
          <w:rFonts w:ascii="Aptos" w:hAnsi="Aptos" w:cs="Arial"/>
          <w:b/>
          <w:bCs/>
        </w:rPr>
        <w:t xml:space="preserve"> </w:t>
      </w:r>
      <w:r w:rsidR="00F4310F" w:rsidRPr="00F4310F">
        <w:rPr>
          <w:rFonts w:ascii="Aptos" w:hAnsi="Aptos" w:cs="Arial"/>
          <w:b/>
          <w:bCs/>
        </w:rPr>
        <w:t xml:space="preserve">providers </w:t>
      </w:r>
      <w:proofErr w:type="gramStart"/>
      <w:r w:rsidR="00F4310F" w:rsidRPr="00F4310F">
        <w:rPr>
          <w:rFonts w:ascii="Aptos" w:hAnsi="Aptos" w:cs="Arial"/>
          <w:b/>
          <w:bCs/>
        </w:rPr>
        <w:t>are able to</w:t>
      </w:r>
      <w:proofErr w:type="gramEnd"/>
      <w:r w:rsidR="00F4310F" w:rsidRPr="00F4310F">
        <w:rPr>
          <w:rFonts w:ascii="Aptos" w:hAnsi="Aptos" w:cs="Arial"/>
          <w:b/>
          <w:bCs/>
        </w:rPr>
        <w:t xml:space="preserve"> schedule </w:t>
      </w:r>
      <w:r w:rsidR="00831DE1" w:rsidRPr="00F4310F">
        <w:rPr>
          <w:rFonts w:ascii="Aptos" w:hAnsi="Aptos" w:cs="Arial"/>
          <w:b/>
          <w:bCs/>
        </w:rPr>
        <w:t>same</w:t>
      </w:r>
      <w:r w:rsidR="00F4310F" w:rsidRPr="00F4310F">
        <w:rPr>
          <w:rFonts w:ascii="Aptos" w:hAnsi="Aptos" w:cs="Arial"/>
          <w:b/>
          <w:bCs/>
        </w:rPr>
        <w:t>-</w:t>
      </w:r>
      <w:r w:rsidR="00831DE1" w:rsidRPr="00F4310F">
        <w:rPr>
          <w:rFonts w:ascii="Aptos" w:hAnsi="Aptos" w:cs="Arial"/>
          <w:b/>
          <w:bCs/>
        </w:rPr>
        <w:t>day urgent add</w:t>
      </w:r>
      <w:r w:rsidR="00F4310F" w:rsidRPr="00F4310F">
        <w:rPr>
          <w:rFonts w:ascii="Aptos" w:hAnsi="Aptos" w:cs="Arial"/>
          <w:b/>
          <w:bCs/>
        </w:rPr>
        <w:t>-</w:t>
      </w:r>
      <w:r w:rsidR="00831DE1" w:rsidRPr="00F4310F">
        <w:rPr>
          <w:rFonts w:ascii="Aptos" w:hAnsi="Aptos" w:cs="Arial"/>
          <w:b/>
          <w:bCs/>
        </w:rPr>
        <w:t xml:space="preserve">ons that </w:t>
      </w:r>
      <w:r w:rsidR="00F4310F" w:rsidRPr="00F4310F">
        <w:rPr>
          <w:rFonts w:ascii="Aptos" w:hAnsi="Aptos" w:cs="Arial"/>
          <w:b/>
          <w:bCs/>
        </w:rPr>
        <w:t>mitigate reliance on imaging in the ED while also accounting for patient no-shows.</w:t>
      </w:r>
      <w:r w:rsidR="00AC4797" w:rsidRPr="00AC4797">
        <w:rPr>
          <w:rStyle w:val="FootnoteReference"/>
          <w:rFonts w:ascii="Aptos" w:hAnsi="Aptos" w:cs="Arial"/>
          <w:b/>
          <w:bCs/>
        </w:rPr>
        <w:t xml:space="preserve"> </w:t>
      </w:r>
      <w:r w:rsidR="00AC4797" w:rsidRPr="00F4310F">
        <w:rPr>
          <w:rStyle w:val="FootnoteReference"/>
          <w:rFonts w:ascii="Aptos" w:hAnsi="Aptos" w:cs="Arial"/>
          <w:b/>
          <w:bCs/>
        </w:rPr>
        <w:footnoteReference w:id="7"/>
      </w:r>
    </w:p>
    <w:bookmarkEnd w:id="0"/>
    <w:p w14:paraId="1A2D4CA8" w14:textId="77777777" w:rsidR="00BD7B31" w:rsidRPr="00F4310F" w:rsidRDefault="00BD7B31" w:rsidP="008C66FD">
      <w:pPr>
        <w:spacing w:after="0" w:line="240" w:lineRule="auto"/>
        <w:rPr>
          <w:rFonts w:ascii="Aptos" w:hAnsi="Aptos" w:cs="Arial"/>
          <w:highlight w:val="yellow"/>
        </w:rPr>
      </w:pPr>
    </w:p>
    <w:p w14:paraId="5159347B" w14:textId="35527CB4" w:rsidR="00A33E32" w:rsidRPr="00F4310F" w:rsidRDefault="000C43B6" w:rsidP="00D748A1">
      <w:pPr>
        <w:pStyle w:val="ListParagraph"/>
        <w:numPr>
          <w:ilvl w:val="0"/>
          <w:numId w:val="2"/>
        </w:numPr>
        <w:spacing w:after="0" w:line="240" w:lineRule="auto"/>
        <w:rPr>
          <w:rFonts w:ascii="Aptos" w:hAnsi="Aptos" w:cstheme="minorHAnsi"/>
        </w:rPr>
      </w:pPr>
      <w:r w:rsidRPr="00F4310F">
        <w:rPr>
          <w:rFonts w:ascii="Aptos" w:hAnsi="Aptos" w:cstheme="minorHAnsi"/>
        </w:rPr>
        <w:t>On Page 9 of the Narrative, it is noted that, “The number of downtime hours increased 65% in FY2024 to 227 hours.”</w:t>
      </w:r>
    </w:p>
    <w:p w14:paraId="2A87B397" w14:textId="6B4413AF" w:rsidR="000C43B6" w:rsidRPr="00F4310F" w:rsidRDefault="000C43B6" w:rsidP="00D748A1">
      <w:pPr>
        <w:pStyle w:val="ListParagraph"/>
        <w:numPr>
          <w:ilvl w:val="1"/>
          <w:numId w:val="2"/>
        </w:numPr>
        <w:spacing w:after="0" w:line="240" w:lineRule="auto"/>
        <w:rPr>
          <w:rFonts w:ascii="Aptos" w:hAnsi="Aptos" w:cstheme="minorHAnsi"/>
        </w:rPr>
      </w:pPr>
      <w:r w:rsidRPr="00F4310F">
        <w:rPr>
          <w:rFonts w:ascii="Aptos" w:hAnsi="Aptos" w:cstheme="minorHAnsi"/>
        </w:rPr>
        <w:t xml:space="preserve">Please provide a table of data on the number of downtime hours for both outpatient units from </w:t>
      </w:r>
      <w:r w:rsidR="00A323C0" w:rsidRPr="00F4310F">
        <w:rPr>
          <w:rFonts w:ascii="Aptos" w:hAnsi="Aptos" w:cstheme="minorHAnsi"/>
        </w:rPr>
        <w:t>FY2022-</w:t>
      </w:r>
      <w:r w:rsidRPr="00F4310F">
        <w:rPr>
          <w:rFonts w:ascii="Aptos" w:hAnsi="Aptos" w:cstheme="minorHAnsi"/>
        </w:rPr>
        <w:t>FY2024.</w:t>
      </w:r>
    </w:p>
    <w:p w14:paraId="13A8BF36" w14:textId="77777777" w:rsidR="00EE274E" w:rsidRPr="00F4310F" w:rsidRDefault="00EE274E" w:rsidP="00EE274E">
      <w:pPr>
        <w:spacing w:after="0" w:line="240" w:lineRule="auto"/>
        <w:rPr>
          <w:rFonts w:ascii="Aptos" w:hAnsi="Aptos" w:cstheme="minorHAnsi"/>
        </w:rPr>
      </w:pPr>
    </w:p>
    <w:tbl>
      <w:tblPr>
        <w:tblStyle w:val="TableGrid"/>
        <w:tblW w:w="0" w:type="auto"/>
        <w:jc w:val="center"/>
        <w:tblLook w:val="04A0" w:firstRow="1" w:lastRow="0" w:firstColumn="1" w:lastColumn="0" w:noHBand="0" w:noVBand="1"/>
      </w:tblPr>
      <w:tblGrid>
        <w:gridCol w:w="2876"/>
        <w:gridCol w:w="2877"/>
      </w:tblGrid>
      <w:tr w:rsidR="00C267A1" w:rsidRPr="00F4310F" w14:paraId="3653D7CF" w14:textId="77777777" w:rsidTr="0093037B">
        <w:trPr>
          <w:cantSplit/>
          <w:tblHeader/>
          <w:jc w:val="center"/>
        </w:trPr>
        <w:tc>
          <w:tcPr>
            <w:tcW w:w="2876" w:type="dxa"/>
          </w:tcPr>
          <w:p w14:paraId="575B3CEC" w14:textId="35FC1919" w:rsidR="00C267A1" w:rsidRPr="00F4310F" w:rsidRDefault="00EE274E" w:rsidP="00EE274E">
            <w:pPr>
              <w:pStyle w:val="ListParagraph"/>
              <w:ind w:left="0"/>
              <w:rPr>
                <w:rFonts w:ascii="Aptos" w:hAnsi="Aptos" w:cstheme="minorHAnsi"/>
                <w:b/>
                <w:bCs/>
              </w:rPr>
            </w:pPr>
            <w:r w:rsidRPr="00F4310F">
              <w:rPr>
                <w:rFonts w:ascii="Aptos" w:hAnsi="Aptos" w:cstheme="minorHAnsi"/>
                <w:b/>
                <w:bCs/>
              </w:rPr>
              <w:t xml:space="preserve">Year </w:t>
            </w:r>
          </w:p>
        </w:tc>
        <w:tc>
          <w:tcPr>
            <w:tcW w:w="2877" w:type="dxa"/>
          </w:tcPr>
          <w:p w14:paraId="623D06A5" w14:textId="0DAFF925" w:rsidR="00C267A1" w:rsidRPr="00F4310F" w:rsidRDefault="00EE274E" w:rsidP="00DB706B">
            <w:pPr>
              <w:pStyle w:val="ListParagraph"/>
              <w:ind w:left="0"/>
              <w:jc w:val="center"/>
              <w:rPr>
                <w:rFonts w:ascii="Aptos" w:hAnsi="Aptos" w:cstheme="minorHAnsi"/>
                <w:b/>
                <w:bCs/>
              </w:rPr>
            </w:pPr>
            <w:r w:rsidRPr="00F4310F">
              <w:rPr>
                <w:rFonts w:ascii="Aptos" w:hAnsi="Aptos" w:cstheme="minorHAnsi"/>
                <w:b/>
                <w:bCs/>
              </w:rPr>
              <w:t xml:space="preserve">Downtime Hours </w:t>
            </w:r>
          </w:p>
        </w:tc>
      </w:tr>
      <w:tr w:rsidR="00C267A1" w:rsidRPr="00F4310F" w14:paraId="0C619803" w14:textId="77777777" w:rsidTr="0093037B">
        <w:trPr>
          <w:cantSplit/>
          <w:jc w:val="center"/>
        </w:trPr>
        <w:tc>
          <w:tcPr>
            <w:tcW w:w="2876" w:type="dxa"/>
          </w:tcPr>
          <w:p w14:paraId="498AFDC9" w14:textId="5BABC21C" w:rsidR="00C267A1" w:rsidRPr="00F4310F" w:rsidRDefault="00C267A1" w:rsidP="00C267A1">
            <w:pPr>
              <w:pStyle w:val="ListParagraph"/>
              <w:ind w:left="0"/>
              <w:rPr>
                <w:rFonts w:ascii="Aptos" w:hAnsi="Aptos" w:cstheme="minorHAnsi"/>
                <w:b/>
                <w:bCs/>
              </w:rPr>
            </w:pPr>
            <w:r w:rsidRPr="00F4310F">
              <w:rPr>
                <w:rFonts w:ascii="Aptos" w:hAnsi="Aptos" w:cstheme="minorHAnsi"/>
                <w:b/>
                <w:bCs/>
              </w:rPr>
              <w:t>FY22</w:t>
            </w:r>
          </w:p>
        </w:tc>
        <w:tc>
          <w:tcPr>
            <w:tcW w:w="2877" w:type="dxa"/>
          </w:tcPr>
          <w:p w14:paraId="7436DCD6" w14:textId="6B415E7D" w:rsidR="00C267A1" w:rsidRPr="009A0AFD" w:rsidRDefault="00DB706B" w:rsidP="00DB706B">
            <w:pPr>
              <w:pStyle w:val="ListParagraph"/>
              <w:ind w:left="0"/>
              <w:jc w:val="center"/>
              <w:rPr>
                <w:rFonts w:ascii="Aptos" w:hAnsi="Aptos" w:cstheme="minorHAnsi"/>
                <w:b/>
                <w:bCs/>
              </w:rPr>
            </w:pPr>
            <w:r w:rsidRPr="009A0AFD">
              <w:rPr>
                <w:rFonts w:ascii="Aptos" w:hAnsi="Aptos" w:cstheme="minorHAnsi"/>
                <w:b/>
                <w:bCs/>
              </w:rPr>
              <w:t>145</w:t>
            </w:r>
          </w:p>
        </w:tc>
      </w:tr>
      <w:tr w:rsidR="00C267A1" w:rsidRPr="00F4310F" w14:paraId="177CB3F5" w14:textId="77777777" w:rsidTr="0093037B">
        <w:trPr>
          <w:cantSplit/>
          <w:jc w:val="center"/>
        </w:trPr>
        <w:tc>
          <w:tcPr>
            <w:tcW w:w="2876" w:type="dxa"/>
          </w:tcPr>
          <w:p w14:paraId="17116743" w14:textId="674292D3" w:rsidR="00C267A1" w:rsidRPr="00F4310F" w:rsidRDefault="00C267A1" w:rsidP="00C267A1">
            <w:pPr>
              <w:pStyle w:val="ListParagraph"/>
              <w:ind w:left="0"/>
              <w:rPr>
                <w:rFonts w:ascii="Aptos" w:hAnsi="Aptos" w:cstheme="minorHAnsi"/>
                <w:b/>
                <w:bCs/>
              </w:rPr>
            </w:pPr>
            <w:r w:rsidRPr="00F4310F">
              <w:rPr>
                <w:rFonts w:ascii="Aptos" w:hAnsi="Aptos" w:cstheme="minorHAnsi"/>
                <w:b/>
                <w:bCs/>
              </w:rPr>
              <w:t>FY23</w:t>
            </w:r>
          </w:p>
        </w:tc>
        <w:tc>
          <w:tcPr>
            <w:tcW w:w="2877" w:type="dxa"/>
          </w:tcPr>
          <w:p w14:paraId="11B32359" w14:textId="03BD2CAB" w:rsidR="00C267A1" w:rsidRPr="009A0AFD" w:rsidRDefault="00C267A1" w:rsidP="00DB706B">
            <w:pPr>
              <w:pStyle w:val="ListParagraph"/>
              <w:ind w:left="0"/>
              <w:jc w:val="center"/>
              <w:rPr>
                <w:rFonts w:ascii="Aptos" w:hAnsi="Aptos" w:cstheme="minorHAnsi"/>
                <w:b/>
                <w:bCs/>
              </w:rPr>
            </w:pPr>
            <w:r w:rsidRPr="009A0AFD">
              <w:rPr>
                <w:rFonts w:ascii="Aptos" w:hAnsi="Aptos" w:cstheme="minorHAnsi"/>
                <w:b/>
                <w:bCs/>
              </w:rPr>
              <w:t>138</w:t>
            </w:r>
          </w:p>
        </w:tc>
      </w:tr>
      <w:tr w:rsidR="00C267A1" w:rsidRPr="00F4310F" w14:paraId="1F260962" w14:textId="77777777" w:rsidTr="0093037B">
        <w:trPr>
          <w:cantSplit/>
          <w:jc w:val="center"/>
        </w:trPr>
        <w:tc>
          <w:tcPr>
            <w:tcW w:w="2876" w:type="dxa"/>
          </w:tcPr>
          <w:p w14:paraId="261070E2" w14:textId="00078B0A" w:rsidR="00C267A1" w:rsidRPr="00F4310F" w:rsidRDefault="00C267A1" w:rsidP="00C267A1">
            <w:pPr>
              <w:pStyle w:val="ListParagraph"/>
              <w:ind w:left="0"/>
              <w:rPr>
                <w:rFonts w:ascii="Aptos" w:hAnsi="Aptos" w:cstheme="minorHAnsi"/>
                <w:b/>
                <w:bCs/>
              </w:rPr>
            </w:pPr>
            <w:r w:rsidRPr="00F4310F">
              <w:rPr>
                <w:rFonts w:ascii="Aptos" w:hAnsi="Aptos" w:cstheme="minorHAnsi"/>
                <w:b/>
                <w:bCs/>
              </w:rPr>
              <w:t>FY24</w:t>
            </w:r>
          </w:p>
        </w:tc>
        <w:tc>
          <w:tcPr>
            <w:tcW w:w="2877" w:type="dxa"/>
          </w:tcPr>
          <w:p w14:paraId="5FC74E63" w14:textId="31918C7C" w:rsidR="00C267A1" w:rsidRPr="009A0AFD" w:rsidRDefault="00DB706B" w:rsidP="00DB706B">
            <w:pPr>
              <w:pStyle w:val="ListParagraph"/>
              <w:ind w:left="0"/>
              <w:jc w:val="center"/>
              <w:rPr>
                <w:rFonts w:ascii="Aptos" w:hAnsi="Aptos" w:cstheme="minorHAnsi"/>
                <w:b/>
                <w:bCs/>
              </w:rPr>
            </w:pPr>
            <w:r w:rsidRPr="009A0AFD">
              <w:rPr>
                <w:rFonts w:ascii="Aptos" w:hAnsi="Aptos" w:cstheme="minorHAnsi"/>
                <w:b/>
                <w:bCs/>
              </w:rPr>
              <w:t>227</w:t>
            </w:r>
          </w:p>
        </w:tc>
      </w:tr>
    </w:tbl>
    <w:p w14:paraId="649F8D72" w14:textId="77777777" w:rsidR="00C267A1" w:rsidRPr="00F4310F" w:rsidRDefault="00C267A1" w:rsidP="00C267A1">
      <w:pPr>
        <w:pStyle w:val="ListParagraph"/>
        <w:spacing w:after="0" w:line="240" w:lineRule="auto"/>
        <w:ind w:left="1440"/>
        <w:rPr>
          <w:rFonts w:ascii="Aptos" w:hAnsi="Aptos" w:cstheme="minorHAnsi"/>
        </w:rPr>
      </w:pPr>
    </w:p>
    <w:p w14:paraId="2A59C7F8" w14:textId="77777777" w:rsidR="00A33E32" w:rsidRPr="00F4310F" w:rsidRDefault="00A33E32" w:rsidP="008C66FD">
      <w:pPr>
        <w:spacing w:after="0" w:line="240" w:lineRule="auto"/>
        <w:rPr>
          <w:rFonts w:ascii="Aptos" w:hAnsi="Aptos" w:cstheme="minorHAnsi"/>
          <w:b/>
          <w:bCs/>
          <w:highlight w:val="yellow"/>
        </w:rPr>
      </w:pPr>
    </w:p>
    <w:p w14:paraId="6B156661" w14:textId="3222734D" w:rsidR="00CD09C0" w:rsidRPr="00F4310F" w:rsidRDefault="00CD09C0" w:rsidP="00D748A1">
      <w:pPr>
        <w:pStyle w:val="ListParagraph"/>
        <w:numPr>
          <w:ilvl w:val="0"/>
          <w:numId w:val="2"/>
        </w:numPr>
        <w:spacing w:after="0" w:line="240" w:lineRule="auto"/>
        <w:rPr>
          <w:rFonts w:ascii="Aptos" w:hAnsi="Aptos" w:cstheme="minorHAnsi"/>
        </w:rPr>
      </w:pPr>
      <w:r w:rsidRPr="00F4310F">
        <w:rPr>
          <w:rFonts w:ascii="Aptos" w:hAnsi="Aptos" w:cstheme="minorHAnsi"/>
        </w:rPr>
        <w:t xml:space="preserve">Page 9 of the Narrative states, “patients for lung cancer screenings or cardiac CT have wait times of six weeks out.” </w:t>
      </w:r>
    </w:p>
    <w:p w14:paraId="00E616F3" w14:textId="77777777" w:rsidR="008132B5" w:rsidRPr="008132B5" w:rsidRDefault="0089541D" w:rsidP="00D748A1">
      <w:pPr>
        <w:pStyle w:val="ListParagraph"/>
        <w:numPr>
          <w:ilvl w:val="1"/>
          <w:numId w:val="2"/>
        </w:numPr>
        <w:spacing w:after="0" w:line="240" w:lineRule="auto"/>
        <w:rPr>
          <w:rFonts w:ascii="Aptos" w:hAnsi="Aptos"/>
        </w:rPr>
      </w:pPr>
      <w:r w:rsidRPr="00F4310F">
        <w:rPr>
          <w:rFonts w:ascii="Aptos" w:hAnsi="Aptos"/>
        </w:rPr>
        <w:t xml:space="preserve">How does this wait time compare with </w:t>
      </w:r>
      <w:r w:rsidRPr="008E2E6D">
        <w:rPr>
          <w:rFonts w:ascii="Aptos" w:hAnsi="Aptos"/>
        </w:rPr>
        <w:t xml:space="preserve">the average wait time for CT appointments at MGB community hospital outpatient settings?  </w:t>
      </w:r>
      <w:r w:rsidRPr="008E2E6D">
        <w:rPr>
          <w:rFonts w:ascii="Aptos" w:hAnsi="Aptos"/>
          <w:color w:val="000000"/>
        </w:rPr>
        <w:t> </w:t>
      </w:r>
    </w:p>
    <w:p w14:paraId="43348CC9" w14:textId="77777777" w:rsidR="008132B5" w:rsidRDefault="008132B5" w:rsidP="008132B5">
      <w:pPr>
        <w:pStyle w:val="ListParagraph"/>
        <w:spacing w:after="0" w:line="240" w:lineRule="auto"/>
        <w:ind w:left="1440"/>
        <w:rPr>
          <w:rFonts w:ascii="Aptos" w:hAnsi="Aptos"/>
          <w:color w:val="000000"/>
        </w:rPr>
      </w:pPr>
    </w:p>
    <w:p w14:paraId="4B0D8A2B" w14:textId="10985B73" w:rsidR="0089541D" w:rsidRPr="009A0AFD" w:rsidRDefault="0089541D" w:rsidP="008132B5">
      <w:pPr>
        <w:pStyle w:val="ListParagraph"/>
        <w:spacing w:after="0" w:line="240" w:lineRule="auto"/>
        <w:ind w:left="1440"/>
        <w:rPr>
          <w:rFonts w:ascii="Aptos" w:hAnsi="Aptos"/>
        </w:rPr>
      </w:pPr>
      <w:r w:rsidRPr="008E2E6D">
        <w:rPr>
          <w:rFonts w:ascii="Aptos" w:hAnsi="Aptos"/>
          <w:b/>
          <w:bCs/>
        </w:rPr>
        <w:t xml:space="preserve">Most MGB community hospital locations can schedule </w:t>
      </w:r>
      <w:r w:rsidR="008132B5">
        <w:rPr>
          <w:rFonts w:ascii="Aptos" w:hAnsi="Aptos"/>
          <w:b/>
          <w:bCs/>
        </w:rPr>
        <w:t>lung cancer screening</w:t>
      </w:r>
      <w:r w:rsidRPr="008E2E6D">
        <w:rPr>
          <w:rFonts w:ascii="Aptos" w:hAnsi="Aptos"/>
          <w:b/>
          <w:bCs/>
        </w:rPr>
        <w:t xml:space="preserve"> exams </w:t>
      </w:r>
      <w:r w:rsidR="008132B5">
        <w:rPr>
          <w:rFonts w:ascii="Aptos" w:hAnsi="Aptos"/>
          <w:b/>
          <w:bCs/>
        </w:rPr>
        <w:t xml:space="preserve">within </w:t>
      </w:r>
      <w:r w:rsidRPr="008E2E6D">
        <w:rPr>
          <w:rFonts w:ascii="Aptos" w:hAnsi="Aptos"/>
          <w:b/>
          <w:bCs/>
        </w:rPr>
        <w:t xml:space="preserve">2-3 days.  </w:t>
      </w:r>
      <w:r w:rsidR="008E2E6D">
        <w:rPr>
          <w:rFonts w:ascii="Aptos" w:hAnsi="Aptos"/>
          <w:b/>
          <w:bCs/>
        </w:rPr>
        <w:t>However, due to the size of Salem Hospital’s service area</w:t>
      </w:r>
      <w:r w:rsidR="009A0AFD">
        <w:rPr>
          <w:rFonts w:ascii="Aptos" w:hAnsi="Aptos"/>
          <w:b/>
          <w:bCs/>
        </w:rPr>
        <w:t xml:space="preserve">, the demand for </w:t>
      </w:r>
      <w:r w:rsidR="008132B5">
        <w:rPr>
          <w:rFonts w:ascii="Aptos" w:hAnsi="Aptos"/>
          <w:b/>
          <w:bCs/>
        </w:rPr>
        <w:t>lung cancer screening</w:t>
      </w:r>
      <w:r w:rsidR="009A0AFD">
        <w:rPr>
          <w:rFonts w:ascii="Aptos" w:hAnsi="Aptos"/>
          <w:b/>
          <w:bCs/>
        </w:rPr>
        <w:t xml:space="preserve">, and the limited number of </w:t>
      </w:r>
      <w:r w:rsidR="008132B5">
        <w:rPr>
          <w:rFonts w:ascii="Aptos" w:hAnsi="Aptos"/>
          <w:b/>
          <w:bCs/>
        </w:rPr>
        <w:t xml:space="preserve">hospital </w:t>
      </w:r>
      <w:r w:rsidR="009A0AFD">
        <w:rPr>
          <w:rFonts w:ascii="Aptos" w:hAnsi="Aptos"/>
          <w:b/>
          <w:bCs/>
        </w:rPr>
        <w:t>CT units</w:t>
      </w:r>
      <w:r w:rsidR="008E2E6D">
        <w:rPr>
          <w:rFonts w:ascii="Aptos" w:hAnsi="Aptos"/>
          <w:b/>
          <w:bCs/>
        </w:rPr>
        <w:t xml:space="preserve">, </w:t>
      </w:r>
      <w:r w:rsidR="009A0AFD">
        <w:rPr>
          <w:rFonts w:ascii="Aptos" w:hAnsi="Aptos"/>
          <w:b/>
          <w:bCs/>
        </w:rPr>
        <w:t>Salem Hospital is not able to book</w:t>
      </w:r>
      <w:r w:rsidR="008132B5">
        <w:rPr>
          <w:rFonts w:ascii="Aptos" w:hAnsi="Aptos"/>
          <w:b/>
          <w:bCs/>
        </w:rPr>
        <w:t xml:space="preserve"> lung cancer screening exams</w:t>
      </w:r>
      <w:r w:rsidR="009A0AFD">
        <w:rPr>
          <w:rFonts w:ascii="Aptos" w:hAnsi="Aptos"/>
          <w:b/>
          <w:bCs/>
        </w:rPr>
        <w:t xml:space="preserve"> as quickly without reducing access for more urgently needed CT. </w:t>
      </w:r>
    </w:p>
    <w:p w14:paraId="6D3B7D6D" w14:textId="77777777" w:rsidR="009A0AFD" w:rsidRPr="008E2E6D" w:rsidRDefault="009A0AFD" w:rsidP="009A0AFD">
      <w:pPr>
        <w:pStyle w:val="ListParagraph"/>
        <w:spacing w:after="0" w:line="240" w:lineRule="auto"/>
        <w:ind w:left="1440"/>
        <w:rPr>
          <w:rFonts w:ascii="Aptos" w:hAnsi="Aptos"/>
        </w:rPr>
      </w:pPr>
    </w:p>
    <w:p w14:paraId="3294E4B8" w14:textId="6A452534" w:rsidR="0089541D" w:rsidRPr="008E2E6D" w:rsidRDefault="0089541D" w:rsidP="00D748A1">
      <w:pPr>
        <w:pStyle w:val="ListParagraph"/>
        <w:numPr>
          <w:ilvl w:val="1"/>
          <w:numId w:val="2"/>
        </w:numPr>
        <w:spacing w:after="0" w:line="240" w:lineRule="auto"/>
        <w:rPr>
          <w:rFonts w:ascii="Aptos" w:hAnsi="Aptos"/>
        </w:rPr>
      </w:pPr>
      <w:r w:rsidRPr="008E2E6D">
        <w:rPr>
          <w:rFonts w:ascii="Aptos" w:hAnsi="Aptos"/>
        </w:rPr>
        <w:t xml:space="preserve">How does this wait time compare with the average wait time for lung cancer screenings or cardiac CT appointments Nationally?  </w:t>
      </w:r>
    </w:p>
    <w:p w14:paraId="4EC8CF14" w14:textId="77777777" w:rsidR="008132B5" w:rsidRDefault="008132B5" w:rsidP="00EE274E">
      <w:pPr>
        <w:ind w:left="1440"/>
        <w:rPr>
          <w:rFonts w:ascii="Aptos" w:hAnsi="Aptos"/>
          <w:b/>
          <w:bCs/>
        </w:rPr>
      </w:pPr>
      <w:bookmarkStart w:id="1" w:name="_Hlk190159333"/>
    </w:p>
    <w:p w14:paraId="151734EC" w14:textId="72C9C9C4" w:rsidR="0089541D" w:rsidRPr="00F4310F" w:rsidRDefault="009A0AFD" w:rsidP="00EE274E">
      <w:pPr>
        <w:ind w:left="1440"/>
        <w:rPr>
          <w:rFonts w:ascii="Aptos" w:hAnsi="Aptos"/>
          <w:b/>
          <w:bCs/>
        </w:rPr>
      </w:pPr>
      <w:r>
        <w:rPr>
          <w:rFonts w:ascii="Aptos" w:hAnsi="Aptos"/>
          <w:b/>
          <w:bCs/>
        </w:rPr>
        <w:t xml:space="preserve">As stated in the response to </w:t>
      </w:r>
      <w:r w:rsidR="005B48AF">
        <w:rPr>
          <w:rFonts w:ascii="Aptos" w:hAnsi="Aptos"/>
          <w:b/>
          <w:bCs/>
        </w:rPr>
        <w:t>3</w:t>
      </w:r>
      <w:r>
        <w:rPr>
          <w:rFonts w:ascii="Aptos" w:hAnsi="Aptos"/>
          <w:b/>
          <w:bCs/>
        </w:rPr>
        <w:t>.b., t</w:t>
      </w:r>
      <w:r w:rsidR="0089541D" w:rsidRPr="00F4310F">
        <w:rPr>
          <w:rFonts w:ascii="Aptos" w:hAnsi="Aptos"/>
          <w:b/>
          <w:bCs/>
        </w:rPr>
        <w:t xml:space="preserve">he ACR </w:t>
      </w:r>
      <w:r>
        <w:rPr>
          <w:rFonts w:ascii="Aptos" w:hAnsi="Aptos"/>
          <w:b/>
          <w:bCs/>
        </w:rPr>
        <w:t xml:space="preserve">recommends a wait time of 2-4 weeks for </w:t>
      </w:r>
      <w:r w:rsidR="005B48AF">
        <w:rPr>
          <w:rFonts w:ascii="Aptos" w:hAnsi="Aptos"/>
          <w:b/>
          <w:bCs/>
        </w:rPr>
        <w:t xml:space="preserve">routine screenings, including </w:t>
      </w:r>
      <w:r w:rsidR="008132B5">
        <w:rPr>
          <w:rFonts w:ascii="Aptos" w:hAnsi="Aptos"/>
          <w:b/>
          <w:bCs/>
        </w:rPr>
        <w:t>lung cancer screening</w:t>
      </w:r>
      <w:r>
        <w:rPr>
          <w:rFonts w:ascii="Aptos" w:hAnsi="Aptos"/>
          <w:b/>
          <w:bCs/>
        </w:rPr>
        <w:t xml:space="preserve">. </w:t>
      </w:r>
    </w:p>
    <w:bookmarkEnd w:id="1"/>
    <w:p w14:paraId="6CB10FAC" w14:textId="77777777" w:rsidR="008C66FD" w:rsidRPr="00F4310F" w:rsidRDefault="008C66FD" w:rsidP="008C66FD">
      <w:pPr>
        <w:spacing w:after="0" w:line="240" w:lineRule="auto"/>
        <w:ind w:left="1080"/>
        <w:rPr>
          <w:rFonts w:ascii="Aptos" w:hAnsi="Aptos" w:cstheme="minorHAnsi"/>
        </w:rPr>
      </w:pPr>
    </w:p>
    <w:p w14:paraId="214BC495" w14:textId="5BFF9D66" w:rsidR="00CD09C0" w:rsidRPr="00F4310F" w:rsidRDefault="00CD09C0" w:rsidP="00D748A1">
      <w:pPr>
        <w:pStyle w:val="ListParagraph"/>
        <w:numPr>
          <w:ilvl w:val="0"/>
          <w:numId w:val="2"/>
        </w:numPr>
        <w:spacing w:after="0" w:line="240" w:lineRule="auto"/>
        <w:rPr>
          <w:rFonts w:ascii="Aptos" w:hAnsi="Aptos" w:cstheme="minorHAnsi"/>
        </w:rPr>
      </w:pPr>
      <w:r w:rsidRPr="00F4310F">
        <w:rPr>
          <w:rFonts w:ascii="Aptos" w:hAnsi="Aptos" w:cstheme="minorHAnsi"/>
        </w:rPr>
        <w:t>Page 9 of the Narrative states, “In FY2024, Salem Hospital’s outpatient CT department’s missed appointment rate was 7%”</w:t>
      </w:r>
    </w:p>
    <w:p w14:paraId="3707923A" w14:textId="71D2F0F3" w:rsidR="00CD09C0" w:rsidRPr="00F4310F" w:rsidRDefault="00CD09C0" w:rsidP="00D748A1">
      <w:pPr>
        <w:pStyle w:val="ListParagraph"/>
        <w:numPr>
          <w:ilvl w:val="1"/>
          <w:numId w:val="2"/>
        </w:numPr>
        <w:spacing w:after="0" w:line="240" w:lineRule="auto"/>
        <w:rPr>
          <w:rFonts w:ascii="Aptos" w:hAnsi="Aptos" w:cstheme="minorHAnsi"/>
        </w:rPr>
      </w:pPr>
      <w:r w:rsidRPr="00F4310F">
        <w:rPr>
          <w:rFonts w:ascii="Aptos" w:hAnsi="Aptos" w:cstheme="minorHAnsi"/>
        </w:rPr>
        <w:t>Please provide Salem Hospital Outpatient CT Department’s missed appointment rate for FY20</w:t>
      </w:r>
      <w:r w:rsidR="00A323C0" w:rsidRPr="00F4310F">
        <w:rPr>
          <w:rFonts w:ascii="Aptos" w:hAnsi="Aptos" w:cstheme="minorHAnsi"/>
        </w:rPr>
        <w:t>22</w:t>
      </w:r>
      <w:r w:rsidRPr="00F4310F">
        <w:rPr>
          <w:rFonts w:ascii="Aptos" w:hAnsi="Aptos" w:cstheme="minorHAnsi"/>
        </w:rPr>
        <w:t>-FY2023</w:t>
      </w:r>
      <w:r w:rsidR="00F63D04" w:rsidRPr="00F4310F">
        <w:rPr>
          <w:rFonts w:ascii="Aptos" w:hAnsi="Aptos" w:cstheme="minorHAnsi"/>
        </w:rPr>
        <w:t xml:space="preserve">.  </w:t>
      </w:r>
    </w:p>
    <w:p w14:paraId="3BE042A4" w14:textId="77777777" w:rsidR="00985B30" w:rsidRPr="00F4310F" w:rsidRDefault="00985B30" w:rsidP="00985B30">
      <w:pPr>
        <w:spacing w:after="0" w:line="240" w:lineRule="auto"/>
        <w:rPr>
          <w:rFonts w:ascii="Aptos" w:hAnsi="Aptos" w:cstheme="minorHAnsi"/>
        </w:rPr>
      </w:pPr>
    </w:p>
    <w:tbl>
      <w:tblPr>
        <w:tblStyle w:val="TableGrid"/>
        <w:tblW w:w="0" w:type="auto"/>
        <w:tblInd w:w="1435" w:type="dxa"/>
        <w:tblLook w:val="04A0" w:firstRow="1" w:lastRow="0" w:firstColumn="1" w:lastColumn="0" w:noHBand="0" w:noVBand="1"/>
      </w:tblPr>
      <w:tblGrid>
        <w:gridCol w:w="3330"/>
        <w:gridCol w:w="1265"/>
        <w:gridCol w:w="1265"/>
        <w:gridCol w:w="1160"/>
        <w:gridCol w:w="1371"/>
      </w:tblGrid>
      <w:tr w:rsidR="00985B30" w:rsidRPr="00F4310F" w14:paraId="051F9AA5" w14:textId="77777777" w:rsidTr="00985B30">
        <w:tc>
          <w:tcPr>
            <w:tcW w:w="3330" w:type="dxa"/>
          </w:tcPr>
          <w:p w14:paraId="476360A2" w14:textId="77777777" w:rsidR="00985B30" w:rsidRPr="00F4310F" w:rsidRDefault="00985B30" w:rsidP="00985B30">
            <w:pPr>
              <w:rPr>
                <w:rFonts w:ascii="Aptos" w:hAnsi="Aptos" w:cstheme="minorHAnsi"/>
                <w:b/>
                <w:bCs/>
              </w:rPr>
            </w:pPr>
          </w:p>
        </w:tc>
        <w:tc>
          <w:tcPr>
            <w:tcW w:w="1265" w:type="dxa"/>
          </w:tcPr>
          <w:p w14:paraId="4A7F0423" w14:textId="63EF63C2" w:rsidR="00985B30" w:rsidRPr="00F4310F" w:rsidRDefault="00985B30" w:rsidP="00985B30">
            <w:pPr>
              <w:rPr>
                <w:rFonts w:ascii="Aptos" w:hAnsi="Aptos" w:cstheme="minorHAnsi"/>
                <w:b/>
                <w:bCs/>
              </w:rPr>
            </w:pPr>
            <w:r w:rsidRPr="00F4310F">
              <w:rPr>
                <w:rFonts w:ascii="Aptos" w:hAnsi="Aptos" w:cstheme="minorHAnsi"/>
                <w:b/>
                <w:bCs/>
              </w:rPr>
              <w:t>FY22</w:t>
            </w:r>
          </w:p>
        </w:tc>
        <w:tc>
          <w:tcPr>
            <w:tcW w:w="1265" w:type="dxa"/>
          </w:tcPr>
          <w:p w14:paraId="05CE9207" w14:textId="04C92178" w:rsidR="00985B30" w:rsidRPr="00F4310F" w:rsidRDefault="00985B30" w:rsidP="00985B30">
            <w:pPr>
              <w:rPr>
                <w:rFonts w:ascii="Aptos" w:hAnsi="Aptos" w:cstheme="minorHAnsi"/>
                <w:b/>
                <w:bCs/>
              </w:rPr>
            </w:pPr>
            <w:r w:rsidRPr="00F4310F">
              <w:rPr>
                <w:rFonts w:ascii="Aptos" w:hAnsi="Aptos" w:cstheme="minorHAnsi"/>
                <w:b/>
                <w:bCs/>
              </w:rPr>
              <w:t>FY23</w:t>
            </w:r>
          </w:p>
        </w:tc>
        <w:tc>
          <w:tcPr>
            <w:tcW w:w="1160" w:type="dxa"/>
          </w:tcPr>
          <w:p w14:paraId="60C4CBD1" w14:textId="2BF88CA5" w:rsidR="00985B30" w:rsidRPr="00F4310F" w:rsidRDefault="00985B30" w:rsidP="00985B30">
            <w:pPr>
              <w:rPr>
                <w:rFonts w:ascii="Aptos" w:hAnsi="Aptos" w:cstheme="minorHAnsi"/>
                <w:b/>
                <w:bCs/>
              </w:rPr>
            </w:pPr>
            <w:r w:rsidRPr="00F4310F">
              <w:rPr>
                <w:rFonts w:ascii="Aptos" w:hAnsi="Aptos" w:cstheme="minorHAnsi"/>
                <w:b/>
                <w:bCs/>
              </w:rPr>
              <w:t>FY24</w:t>
            </w:r>
          </w:p>
        </w:tc>
        <w:tc>
          <w:tcPr>
            <w:tcW w:w="1371" w:type="dxa"/>
          </w:tcPr>
          <w:p w14:paraId="78CBF062" w14:textId="3BA477EC" w:rsidR="00985B30" w:rsidRPr="00F4310F" w:rsidRDefault="00985B30" w:rsidP="00985B30">
            <w:pPr>
              <w:rPr>
                <w:rFonts w:ascii="Aptos" w:hAnsi="Aptos" w:cstheme="minorHAnsi"/>
                <w:b/>
                <w:bCs/>
              </w:rPr>
            </w:pPr>
            <w:r w:rsidRPr="00F4310F">
              <w:rPr>
                <w:rFonts w:ascii="Aptos" w:hAnsi="Aptos" w:cstheme="minorHAnsi"/>
                <w:b/>
                <w:bCs/>
              </w:rPr>
              <w:t>FY25 YTD</w:t>
            </w:r>
          </w:p>
        </w:tc>
      </w:tr>
      <w:tr w:rsidR="00985B30" w:rsidRPr="00F4310F" w14:paraId="58ACB72B" w14:textId="77777777" w:rsidTr="00985B30">
        <w:tc>
          <w:tcPr>
            <w:tcW w:w="3330" w:type="dxa"/>
          </w:tcPr>
          <w:p w14:paraId="287C5082" w14:textId="2B24D8E1" w:rsidR="00985B30" w:rsidRPr="00F4310F" w:rsidRDefault="00985B30" w:rsidP="00985B30">
            <w:pPr>
              <w:rPr>
                <w:rFonts w:ascii="Aptos" w:hAnsi="Aptos" w:cstheme="minorHAnsi"/>
                <w:b/>
                <w:bCs/>
              </w:rPr>
            </w:pPr>
            <w:r w:rsidRPr="00F4310F">
              <w:rPr>
                <w:rFonts w:ascii="Aptos" w:hAnsi="Aptos" w:cstheme="minorHAnsi"/>
                <w:b/>
                <w:bCs/>
              </w:rPr>
              <w:t xml:space="preserve">Missed Appointment Rate </w:t>
            </w:r>
          </w:p>
        </w:tc>
        <w:tc>
          <w:tcPr>
            <w:tcW w:w="1265" w:type="dxa"/>
          </w:tcPr>
          <w:p w14:paraId="44295747" w14:textId="746C0E1F" w:rsidR="00985B30" w:rsidRPr="00F4310F" w:rsidRDefault="00985B30" w:rsidP="00985B30">
            <w:pPr>
              <w:rPr>
                <w:rFonts w:ascii="Aptos" w:hAnsi="Aptos" w:cstheme="minorHAnsi"/>
                <w:b/>
                <w:bCs/>
              </w:rPr>
            </w:pPr>
            <w:r w:rsidRPr="00F4310F">
              <w:rPr>
                <w:rFonts w:ascii="Aptos" w:hAnsi="Aptos" w:cstheme="minorHAnsi"/>
                <w:b/>
                <w:bCs/>
              </w:rPr>
              <w:t>7.3%</w:t>
            </w:r>
          </w:p>
        </w:tc>
        <w:tc>
          <w:tcPr>
            <w:tcW w:w="1265" w:type="dxa"/>
          </w:tcPr>
          <w:p w14:paraId="010626A6" w14:textId="1B38B8B9" w:rsidR="00985B30" w:rsidRPr="00F4310F" w:rsidRDefault="00985B30" w:rsidP="00985B30">
            <w:pPr>
              <w:rPr>
                <w:rFonts w:ascii="Aptos" w:hAnsi="Aptos" w:cstheme="minorHAnsi"/>
                <w:b/>
                <w:bCs/>
              </w:rPr>
            </w:pPr>
            <w:r w:rsidRPr="00F4310F">
              <w:rPr>
                <w:rFonts w:ascii="Aptos" w:hAnsi="Aptos" w:cstheme="minorHAnsi"/>
                <w:b/>
                <w:bCs/>
              </w:rPr>
              <w:t>7.4%</w:t>
            </w:r>
          </w:p>
        </w:tc>
        <w:tc>
          <w:tcPr>
            <w:tcW w:w="1160" w:type="dxa"/>
          </w:tcPr>
          <w:p w14:paraId="64055856" w14:textId="58A64B17" w:rsidR="00985B30" w:rsidRPr="00F4310F" w:rsidRDefault="00985B30" w:rsidP="00985B30">
            <w:pPr>
              <w:rPr>
                <w:rFonts w:ascii="Aptos" w:hAnsi="Aptos" w:cstheme="minorHAnsi"/>
                <w:b/>
                <w:bCs/>
              </w:rPr>
            </w:pPr>
            <w:r w:rsidRPr="00F4310F">
              <w:rPr>
                <w:rFonts w:ascii="Aptos" w:hAnsi="Aptos" w:cstheme="minorHAnsi"/>
                <w:b/>
                <w:bCs/>
              </w:rPr>
              <w:t>7.0%</w:t>
            </w:r>
          </w:p>
        </w:tc>
        <w:tc>
          <w:tcPr>
            <w:tcW w:w="1371" w:type="dxa"/>
          </w:tcPr>
          <w:p w14:paraId="3C1AD7A0" w14:textId="21FCCCC3" w:rsidR="00985B30" w:rsidRPr="00F4310F" w:rsidRDefault="00985B30" w:rsidP="00985B30">
            <w:pPr>
              <w:rPr>
                <w:rFonts w:ascii="Aptos" w:hAnsi="Aptos" w:cstheme="minorHAnsi"/>
                <w:b/>
                <w:bCs/>
              </w:rPr>
            </w:pPr>
            <w:r w:rsidRPr="00F4310F">
              <w:rPr>
                <w:rFonts w:ascii="Aptos" w:hAnsi="Aptos" w:cstheme="minorHAnsi"/>
                <w:b/>
                <w:bCs/>
              </w:rPr>
              <w:t>7.9%</w:t>
            </w:r>
          </w:p>
        </w:tc>
      </w:tr>
    </w:tbl>
    <w:p w14:paraId="457CFC56" w14:textId="77777777" w:rsidR="00985B30" w:rsidRPr="00F4310F" w:rsidRDefault="00985B30" w:rsidP="00985B30">
      <w:pPr>
        <w:spacing w:after="0" w:line="240" w:lineRule="auto"/>
        <w:rPr>
          <w:rFonts w:ascii="Aptos" w:hAnsi="Aptos" w:cstheme="minorHAnsi"/>
        </w:rPr>
      </w:pPr>
    </w:p>
    <w:p w14:paraId="57304721" w14:textId="77777777" w:rsidR="008C66FD" w:rsidRPr="00F4310F" w:rsidRDefault="008C66FD" w:rsidP="008C66FD">
      <w:pPr>
        <w:spacing w:after="0" w:line="240" w:lineRule="auto"/>
        <w:ind w:left="1080"/>
        <w:rPr>
          <w:rFonts w:ascii="Aptos" w:hAnsi="Aptos" w:cstheme="minorHAnsi"/>
        </w:rPr>
      </w:pPr>
    </w:p>
    <w:p w14:paraId="4CFA7448" w14:textId="2862448B" w:rsidR="000D77CD" w:rsidRPr="00F4310F" w:rsidRDefault="00732386" w:rsidP="00D748A1">
      <w:pPr>
        <w:pStyle w:val="ListParagraph"/>
        <w:numPr>
          <w:ilvl w:val="0"/>
          <w:numId w:val="2"/>
        </w:numPr>
        <w:spacing w:after="0" w:line="240" w:lineRule="auto"/>
        <w:rPr>
          <w:rFonts w:ascii="Aptos" w:hAnsi="Aptos" w:cstheme="minorHAnsi"/>
        </w:rPr>
      </w:pPr>
      <w:r w:rsidRPr="00F4310F">
        <w:rPr>
          <w:rFonts w:ascii="Aptos" w:hAnsi="Aptos" w:cstheme="minorHAnsi"/>
        </w:rPr>
        <w:lastRenderedPageBreak/>
        <w:t xml:space="preserve">For Table </w:t>
      </w:r>
      <w:r w:rsidR="00CD09C0" w:rsidRPr="00F4310F">
        <w:rPr>
          <w:rFonts w:ascii="Aptos" w:hAnsi="Aptos" w:cstheme="minorHAnsi"/>
        </w:rPr>
        <w:t>7</w:t>
      </w:r>
      <w:r w:rsidRPr="00F4310F">
        <w:rPr>
          <w:rFonts w:ascii="Aptos" w:hAnsi="Aptos" w:cstheme="minorHAnsi"/>
        </w:rPr>
        <w:t xml:space="preserve"> of the Narra</w:t>
      </w:r>
      <w:r w:rsidR="00BB55F4" w:rsidRPr="00F4310F">
        <w:rPr>
          <w:rFonts w:ascii="Aptos" w:hAnsi="Aptos" w:cstheme="minorHAnsi"/>
        </w:rPr>
        <w:t>ti</w:t>
      </w:r>
      <w:r w:rsidRPr="00F4310F">
        <w:rPr>
          <w:rFonts w:ascii="Aptos" w:hAnsi="Aptos" w:cstheme="minorHAnsi"/>
        </w:rPr>
        <w:t>ve</w:t>
      </w:r>
      <w:r w:rsidR="00CD09C0" w:rsidRPr="00F4310F">
        <w:rPr>
          <w:rFonts w:ascii="Aptos" w:hAnsi="Aptos" w:cstheme="minorHAnsi"/>
        </w:rPr>
        <w:t xml:space="preserve"> is labeled as “Annual Scans – Lynn Only” projections</w:t>
      </w:r>
      <w:r w:rsidR="006F5026" w:rsidRPr="00F4310F">
        <w:rPr>
          <w:rFonts w:ascii="Aptos" w:hAnsi="Aptos" w:cstheme="minorHAnsi"/>
        </w:rPr>
        <w:t xml:space="preserve">: </w:t>
      </w:r>
    </w:p>
    <w:p w14:paraId="47377AA0" w14:textId="185BBC61" w:rsidR="00985B30" w:rsidRPr="00F4310F" w:rsidRDefault="00CD09C0" w:rsidP="00D748A1">
      <w:pPr>
        <w:pStyle w:val="ListParagraph"/>
        <w:numPr>
          <w:ilvl w:val="1"/>
          <w:numId w:val="2"/>
        </w:numPr>
        <w:spacing w:after="0" w:line="240" w:lineRule="auto"/>
        <w:rPr>
          <w:rFonts w:ascii="Aptos" w:hAnsi="Aptos" w:cstheme="minorHAnsi"/>
        </w:rPr>
      </w:pPr>
      <w:r w:rsidRPr="00F4310F">
        <w:rPr>
          <w:rFonts w:ascii="Aptos" w:hAnsi="Aptos" w:cstheme="minorHAnsi"/>
        </w:rPr>
        <w:t xml:space="preserve">Does this title </w:t>
      </w:r>
      <w:r w:rsidR="00A2029D" w:rsidRPr="00F4310F">
        <w:rPr>
          <w:rFonts w:ascii="Aptos" w:hAnsi="Aptos" w:cstheme="minorHAnsi"/>
        </w:rPr>
        <w:t xml:space="preserve">mean </w:t>
      </w:r>
      <w:r w:rsidRPr="00F4310F">
        <w:rPr>
          <w:rFonts w:ascii="Aptos" w:hAnsi="Aptos" w:cstheme="minorHAnsi"/>
        </w:rPr>
        <w:t>that the projections are based only on Salem Hospital’s CT patients originating from Lynn?</w:t>
      </w:r>
    </w:p>
    <w:p w14:paraId="6BB13712" w14:textId="77777777" w:rsidR="008132B5" w:rsidRDefault="008132B5" w:rsidP="00985B30">
      <w:pPr>
        <w:pStyle w:val="ListParagraph"/>
        <w:spacing w:after="0" w:line="240" w:lineRule="auto"/>
        <w:ind w:left="1440"/>
        <w:rPr>
          <w:rFonts w:ascii="Aptos" w:hAnsi="Aptos" w:cstheme="minorHAnsi"/>
          <w:b/>
          <w:bCs/>
        </w:rPr>
      </w:pPr>
    </w:p>
    <w:p w14:paraId="27ADB75E" w14:textId="1F1E6263" w:rsidR="00985B30" w:rsidRPr="00F4310F" w:rsidRDefault="00EE274E" w:rsidP="00985B30">
      <w:pPr>
        <w:pStyle w:val="ListParagraph"/>
        <w:spacing w:after="0" w:line="240" w:lineRule="auto"/>
        <w:ind w:left="1440"/>
        <w:rPr>
          <w:rFonts w:ascii="Aptos" w:hAnsi="Aptos" w:cstheme="minorHAnsi"/>
          <w:b/>
          <w:bCs/>
        </w:rPr>
      </w:pPr>
      <w:r w:rsidRPr="00F4310F">
        <w:rPr>
          <w:rFonts w:ascii="Aptos" w:hAnsi="Aptos" w:cstheme="minorHAnsi"/>
          <w:b/>
          <w:bCs/>
        </w:rPr>
        <w:t>Table 7</w:t>
      </w:r>
      <w:r w:rsidR="00985B30" w:rsidRPr="00F4310F">
        <w:rPr>
          <w:rFonts w:ascii="Aptos" w:hAnsi="Aptos" w:cstheme="minorHAnsi"/>
          <w:b/>
          <w:bCs/>
        </w:rPr>
        <w:t xml:space="preserve"> illustrates CT projections for the proposed CT unit at the Healthcare Center in Lynn. </w:t>
      </w:r>
    </w:p>
    <w:p w14:paraId="56E6AAFC" w14:textId="77777777" w:rsidR="00985B30" w:rsidRPr="00F4310F" w:rsidRDefault="00985B30" w:rsidP="00985B30">
      <w:pPr>
        <w:pStyle w:val="ListParagraph"/>
        <w:spacing w:after="0" w:line="240" w:lineRule="auto"/>
        <w:ind w:left="1440"/>
        <w:rPr>
          <w:rFonts w:ascii="Aptos" w:hAnsi="Aptos" w:cstheme="minorHAnsi"/>
        </w:rPr>
      </w:pPr>
    </w:p>
    <w:p w14:paraId="735189FE" w14:textId="208491F7" w:rsidR="00985B30" w:rsidRPr="009A0AFD" w:rsidRDefault="00CD09C0" w:rsidP="009A0AFD">
      <w:pPr>
        <w:pStyle w:val="ListParagraph"/>
        <w:numPr>
          <w:ilvl w:val="1"/>
          <w:numId w:val="2"/>
        </w:numPr>
        <w:spacing w:after="0" w:line="240" w:lineRule="auto"/>
        <w:rPr>
          <w:rFonts w:ascii="Aptos" w:hAnsi="Aptos" w:cstheme="minorHAnsi"/>
        </w:rPr>
      </w:pPr>
      <w:r w:rsidRPr="00F4310F">
        <w:rPr>
          <w:rFonts w:ascii="Aptos" w:hAnsi="Aptos" w:cstheme="minorHAnsi"/>
        </w:rPr>
        <w:t>Please explain the methodology used for these projections.</w:t>
      </w:r>
      <w:r w:rsidR="00DB706B" w:rsidRPr="00F4310F">
        <w:rPr>
          <w:rFonts w:ascii="Aptos" w:hAnsi="Aptos" w:cstheme="minorHAnsi"/>
        </w:rPr>
        <w:t xml:space="preserve">  </w:t>
      </w:r>
    </w:p>
    <w:p w14:paraId="2D732CF4" w14:textId="77777777" w:rsidR="008132B5" w:rsidRDefault="008132B5" w:rsidP="00DB706B">
      <w:pPr>
        <w:pStyle w:val="ListParagraph"/>
        <w:spacing w:after="0" w:line="240" w:lineRule="auto"/>
        <w:ind w:left="1440"/>
        <w:rPr>
          <w:rFonts w:ascii="Aptos" w:hAnsi="Aptos" w:cstheme="minorHAnsi"/>
          <w:b/>
          <w:bCs/>
        </w:rPr>
      </w:pPr>
    </w:p>
    <w:p w14:paraId="58C05710" w14:textId="24047FB2" w:rsidR="00A52F4F" w:rsidRDefault="00695BD7" w:rsidP="00A52F4F">
      <w:pPr>
        <w:pStyle w:val="ListParagraph"/>
        <w:spacing w:after="0" w:line="240" w:lineRule="auto"/>
        <w:ind w:left="1440"/>
        <w:jc w:val="both"/>
        <w:rPr>
          <w:rFonts w:ascii="Aptos" w:hAnsi="Aptos" w:cstheme="minorHAnsi"/>
          <w:b/>
          <w:bCs/>
        </w:rPr>
      </w:pPr>
      <w:bookmarkStart w:id="2" w:name="_Hlk190949987"/>
      <w:r w:rsidRPr="00695BD7">
        <w:rPr>
          <w:rFonts w:ascii="Aptos" w:hAnsi="Aptos" w:cstheme="minorHAnsi"/>
          <w:b/>
          <w:bCs/>
        </w:rPr>
        <w:t>To develop projections for the Proposed Project</w:t>
      </w:r>
      <w:r w:rsidR="008132B5">
        <w:rPr>
          <w:rFonts w:ascii="Aptos" w:hAnsi="Aptos" w:cstheme="minorHAnsi"/>
          <w:b/>
          <w:bCs/>
        </w:rPr>
        <w:t xml:space="preserve">, </w:t>
      </w:r>
      <w:r w:rsidR="00985B30" w:rsidRPr="00F4310F">
        <w:rPr>
          <w:rFonts w:ascii="Aptos" w:hAnsi="Aptos" w:cstheme="minorHAnsi"/>
          <w:b/>
          <w:bCs/>
        </w:rPr>
        <w:t>Salem Hospital r</w:t>
      </w:r>
      <w:r w:rsidR="00DB706B" w:rsidRPr="00F4310F">
        <w:rPr>
          <w:rFonts w:ascii="Aptos" w:hAnsi="Aptos" w:cstheme="minorHAnsi"/>
          <w:b/>
          <w:bCs/>
        </w:rPr>
        <w:t xml:space="preserve">eviewed </w:t>
      </w:r>
      <w:r w:rsidR="00A52F4F">
        <w:rPr>
          <w:rFonts w:ascii="Aptos" w:hAnsi="Aptos" w:cstheme="minorHAnsi"/>
          <w:b/>
          <w:bCs/>
        </w:rPr>
        <w:t>c</w:t>
      </w:r>
      <w:r w:rsidR="00DB706B" w:rsidRPr="009A0AFD">
        <w:rPr>
          <w:rFonts w:ascii="Aptos" w:hAnsi="Aptos" w:cstheme="minorHAnsi"/>
          <w:b/>
          <w:bCs/>
        </w:rPr>
        <w:t xml:space="preserve">urrent volume and </w:t>
      </w:r>
      <w:r w:rsidR="00A52F4F">
        <w:rPr>
          <w:rFonts w:ascii="Aptos" w:hAnsi="Aptos" w:cstheme="minorHAnsi"/>
          <w:b/>
          <w:bCs/>
        </w:rPr>
        <w:t xml:space="preserve">wait times, including missed appointments. </w:t>
      </w:r>
      <w:r w:rsidR="0058770B">
        <w:rPr>
          <w:rFonts w:ascii="Aptos" w:hAnsi="Aptos" w:cstheme="minorHAnsi"/>
          <w:b/>
          <w:bCs/>
        </w:rPr>
        <w:t xml:space="preserve">Based on the existing need for CT, coupled with the growing need for CT in the community for age-related and lung cancer screening, urgently needed CT, </w:t>
      </w:r>
      <w:r w:rsidR="0058770B" w:rsidRPr="0058770B">
        <w:rPr>
          <w:rFonts w:ascii="Aptos" w:hAnsi="Aptos" w:cstheme="minorHAnsi"/>
          <w:b/>
          <w:bCs/>
        </w:rPr>
        <w:t xml:space="preserve">and </w:t>
      </w:r>
      <w:r w:rsidR="0058770B" w:rsidRPr="0058770B">
        <w:rPr>
          <w:rFonts w:ascii="Aptos" w:hAnsi="Aptos" w:cs="Arial"/>
          <w:b/>
          <w:bCs/>
        </w:rPr>
        <w:t>cardiac coronary CT angiography</w:t>
      </w:r>
      <w:r w:rsidR="0058770B" w:rsidRPr="0058770B">
        <w:rPr>
          <w:rFonts w:ascii="Aptos" w:hAnsi="Aptos" w:cstheme="minorHAnsi"/>
          <w:b/>
          <w:bCs/>
        </w:rPr>
        <w:t>, Salem</w:t>
      </w:r>
      <w:r w:rsidR="0058770B">
        <w:rPr>
          <w:rFonts w:ascii="Aptos" w:hAnsi="Aptos" w:cstheme="minorHAnsi"/>
          <w:b/>
          <w:bCs/>
        </w:rPr>
        <w:t xml:space="preserve"> Hospital determined that an additional CT unit running 14 hours a day, seven days a week would be required to ensure timely access. In line with other MGB CT services, the projections in Table 7 include a ramp up of utilization from 75% to 95% of the service’s maximum capacity. As noted in the response to #4, target utilization is 80% and it is likely that utilization at Salem Hospital will exceed this target with the scanners available, including the Proposed Project.</w:t>
      </w:r>
    </w:p>
    <w:bookmarkEnd w:id="2"/>
    <w:p w14:paraId="6E011F32" w14:textId="77777777" w:rsidR="008C66FD" w:rsidRPr="00F4310F" w:rsidRDefault="008C66FD" w:rsidP="008C66FD">
      <w:pPr>
        <w:spacing w:after="0" w:line="240" w:lineRule="auto"/>
        <w:ind w:left="1080"/>
        <w:rPr>
          <w:rFonts w:ascii="Aptos" w:hAnsi="Aptos" w:cstheme="minorHAnsi"/>
        </w:rPr>
      </w:pPr>
    </w:p>
    <w:p w14:paraId="59F87ADD" w14:textId="7B219FFD" w:rsidR="004D684B" w:rsidRPr="00F4310F" w:rsidRDefault="007107AD" w:rsidP="008C66FD">
      <w:pPr>
        <w:spacing w:after="0" w:line="240" w:lineRule="auto"/>
        <w:rPr>
          <w:rFonts w:ascii="Aptos" w:hAnsi="Aptos" w:cstheme="minorHAnsi"/>
          <w:b/>
          <w:bCs/>
        </w:rPr>
      </w:pPr>
      <w:r w:rsidRPr="00F4310F">
        <w:rPr>
          <w:rFonts w:ascii="Aptos" w:hAnsi="Aptos" w:cstheme="minorHAnsi"/>
          <w:b/>
          <w:bCs/>
        </w:rPr>
        <w:t>Factor 1a</w:t>
      </w:r>
      <w:r w:rsidR="00A1667B" w:rsidRPr="00F4310F">
        <w:rPr>
          <w:rFonts w:ascii="Aptos" w:hAnsi="Aptos" w:cstheme="minorHAnsi"/>
          <w:b/>
          <w:bCs/>
        </w:rPr>
        <w:t xml:space="preserve">iii - </w:t>
      </w:r>
      <w:r w:rsidRPr="00F4310F">
        <w:rPr>
          <w:rFonts w:ascii="Aptos" w:hAnsi="Aptos" w:cstheme="minorHAnsi"/>
          <w:b/>
          <w:bCs/>
        </w:rPr>
        <w:t>Competition</w:t>
      </w:r>
    </w:p>
    <w:p w14:paraId="764DD097" w14:textId="77777777" w:rsidR="008A1CC4" w:rsidRPr="00F4310F" w:rsidRDefault="004D684B" w:rsidP="00D748A1">
      <w:pPr>
        <w:pStyle w:val="ListParagraph"/>
        <w:numPr>
          <w:ilvl w:val="0"/>
          <w:numId w:val="2"/>
        </w:numPr>
        <w:spacing w:after="0" w:line="240" w:lineRule="auto"/>
        <w:rPr>
          <w:rFonts w:ascii="Aptos" w:hAnsi="Aptos" w:cstheme="minorHAnsi"/>
        </w:rPr>
      </w:pPr>
      <w:bookmarkStart w:id="3" w:name="_Hlk190158316"/>
      <w:r w:rsidRPr="00F4310F">
        <w:rPr>
          <w:rFonts w:ascii="Aptos" w:hAnsi="Aptos" w:cstheme="minorHAnsi"/>
        </w:rPr>
        <w:t xml:space="preserve">The Narrative Page 11 </w:t>
      </w:r>
      <w:r w:rsidR="008A1CC4" w:rsidRPr="00F4310F">
        <w:rPr>
          <w:rFonts w:ascii="Aptos" w:hAnsi="Aptos" w:cstheme="minorHAnsi"/>
        </w:rPr>
        <w:t>makes the following statements – please cite a reference supporting each of these statements</w:t>
      </w:r>
    </w:p>
    <w:p w14:paraId="7497ED74" w14:textId="42359DA9" w:rsidR="00BD4F4F" w:rsidRDefault="004D684B" w:rsidP="00D748A1">
      <w:pPr>
        <w:pStyle w:val="ListParagraph"/>
        <w:numPr>
          <w:ilvl w:val="1"/>
          <w:numId w:val="2"/>
        </w:numPr>
        <w:spacing w:after="0" w:line="240" w:lineRule="auto"/>
        <w:rPr>
          <w:rFonts w:ascii="Aptos" w:hAnsi="Aptos" w:cstheme="minorHAnsi"/>
        </w:rPr>
      </w:pPr>
      <w:r w:rsidRPr="00F4310F">
        <w:rPr>
          <w:rFonts w:ascii="Aptos" w:hAnsi="Aptos" w:cstheme="minorHAnsi"/>
        </w:rPr>
        <w:t xml:space="preserve"> “</w:t>
      </w:r>
      <w:r w:rsidR="00BD4F4F" w:rsidRPr="00F4310F">
        <w:rPr>
          <w:rFonts w:ascii="Aptos" w:hAnsi="Aptos" w:cstheme="minorHAnsi"/>
        </w:rPr>
        <w:t>Moreover, delayed diagnosis often not only results in delayed treatment, but also treatment of a more advanced concern.</w:t>
      </w:r>
      <w:r w:rsidRPr="00F4310F">
        <w:rPr>
          <w:rFonts w:ascii="Aptos" w:hAnsi="Aptos" w:cstheme="minorHAnsi"/>
        </w:rPr>
        <w:t xml:space="preserve">” </w:t>
      </w:r>
    </w:p>
    <w:p w14:paraId="6BE8672C" w14:textId="77777777" w:rsidR="00E546E6" w:rsidRDefault="00E546E6" w:rsidP="00E546E6">
      <w:pPr>
        <w:pStyle w:val="ListParagraph"/>
        <w:spacing w:after="0" w:line="240" w:lineRule="auto"/>
        <w:ind w:left="1440"/>
        <w:rPr>
          <w:rFonts w:ascii="Aptos" w:hAnsi="Aptos" w:cstheme="minorHAnsi"/>
        </w:rPr>
      </w:pPr>
    </w:p>
    <w:p w14:paraId="59DBAEB0" w14:textId="2842A59C" w:rsidR="00146EDB" w:rsidRPr="00146EDB" w:rsidRDefault="001E2F9A" w:rsidP="00146EDB">
      <w:pPr>
        <w:pStyle w:val="ListParagraph"/>
        <w:spacing w:after="0" w:line="240" w:lineRule="auto"/>
        <w:ind w:left="1440"/>
        <w:contextualSpacing w:val="0"/>
        <w:rPr>
          <w:rFonts w:ascii="Calibri" w:eastAsia="Times New Roman" w:hAnsi="Calibri" w:cs="Calibri"/>
          <w:b/>
          <w:bCs/>
        </w:rPr>
      </w:pPr>
      <w:hyperlink r:id="rId9" w:history="1">
        <w:r w:rsidR="00146EDB" w:rsidRPr="001E2F9A">
          <w:rPr>
            <w:rStyle w:val="Hyperlink"/>
            <w:rFonts w:ascii="Calibri" w:eastAsia="Times New Roman" w:hAnsi="Calibri" w:cs="Calibri"/>
            <w:b/>
            <w:bCs/>
            <w:i/>
            <w:iCs/>
            <w:color w:val="000000" w:themeColor="text1"/>
            <w:u w:val="none"/>
          </w:rPr>
          <w:t>Improving Access to Medical Imaging for More Patients</w:t>
        </w:r>
      </w:hyperlink>
      <w:r w:rsidR="00146EDB" w:rsidRPr="001E2F9A">
        <w:rPr>
          <w:rFonts w:ascii="Calibri" w:eastAsia="Times New Roman" w:hAnsi="Calibri" w:cs="Calibri"/>
          <w:b/>
          <w:bCs/>
          <w:color w:val="000000" w:themeColor="text1"/>
        </w:rPr>
        <w:t xml:space="preserve">, GE </w:t>
      </w:r>
      <w:r w:rsidR="00146EDB" w:rsidRPr="00146EDB">
        <w:rPr>
          <w:rFonts w:ascii="Calibri" w:eastAsia="Times New Roman" w:hAnsi="Calibri" w:cs="Calibri"/>
          <w:b/>
          <w:bCs/>
        </w:rPr>
        <w:t xml:space="preserve">Healthcare (Nov. 27, 2022), </w:t>
      </w:r>
      <w:hyperlink r:id="rId10" w:history="1">
        <w:r w:rsidR="00146EDB" w:rsidRPr="00146EDB">
          <w:rPr>
            <w:rStyle w:val="Hyperlink"/>
            <w:rFonts w:ascii="Calibri" w:eastAsia="Times New Roman" w:hAnsi="Calibri" w:cs="Calibri"/>
            <w:b/>
            <w:bCs/>
          </w:rPr>
          <w:t>https://www.gehealthcare.com/insights/article/improving-access-to-medical-imaging-for-more-patients?srsltid=AfmBOorzocXYUd0Dix_fTAOrxPVUA5wF5qHZPvCE0bnTRtDtUUR5yCN6</w:t>
        </w:r>
      </w:hyperlink>
      <w:r w:rsidR="00146EDB" w:rsidRPr="00146EDB">
        <w:rPr>
          <w:rFonts w:ascii="Calibri" w:eastAsia="Times New Roman" w:hAnsi="Calibri" w:cs="Calibri"/>
          <w:b/>
          <w:bCs/>
        </w:rPr>
        <w:t>.</w:t>
      </w:r>
    </w:p>
    <w:p w14:paraId="44446B06" w14:textId="77777777" w:rsidR="00146EDB" w:rsidRPr="00F4310F" w:rsidRDefault="00146EDB" w:rsidP="00146EDB">
      <w:pPr>
        <w:pStyle w:val="ListParagraph"/>
        <w:spacing w:after="0" w:line="240" w:lineRule="auto"/>
        <w:ind w:left="1440"/>
        <w:rPr>
          <w:rFonts w:ascii="Aptos" w:hAnsi="Aptos" w:cstheme="minorHAnsi"/>
        </w:rPr>
      </w:pPr>
    </w:p>
    <w:p w14:paraId="246C9032" w14:textId="611401E5" w:rsidR="008A1CC4" w:rsidRPr="00E546E6" w:rsidRDefault="008A1CC4" w:rsidP="00D748A1">
      <w:pPr>
        <w:pStyle w:val="ListParagraph"/>
        <w:numPr>
          <w:ilvl w:val="1"/>
          <w:numId w:val="2"/>
        </w:numPr>
        <w:spacing w:after="0" w:line="240" w:lineRule="auto"/>
        <w:rPr>
          <w:rFonts w:ascii="Aptos" w:hAnsi="Aptos" w:cstheme="minorHAnsi"/>
        </w:rPr>
      </w:pPr>
      <w:r w:rsidRPr="00F4310F">
        <w:rPr>
          <w:rFonts w:ascii="Aptos" w:eastAsia="Calibri" w:hAnsi="Aptos" w:cstheme="minorHAnsi"/>
        </w:rPr>
        <w:t>“In turn, the overall cost of care increases significantly as the patient’s medical condition worsens.”</w:t>
      </w:r>
    </w:p>
    <w:p w14:paraId="6E501C99" w14:textId="77777777" w:rsidR="00E546E6" w:rsidRDefault="00E546E6" w:rsidP="00E546E6">
      <w:pPr>
        <w:pStyle w:val="ListParagraph"/>
        <w:spacing w:after="0" w:line="240" w:lineRule="auto"/>
        <w:ind w:left="1440"/>
        <w:rPr>
          <w:rFonts w:ascii="Aptos" w:eastAsia="Calibri" w:hAnsi="Aptos" w:cstheme="minorHAnsi"/>
        </w:rPr>
      </w:pPr>
    </w:p>
    <w:p w14:paraId="1D3CBDCF" w14:textId="5F26B5BD" w:rsidR="00E546E6" w:rsidRPr="00E546E6" w:rsidRDefault="00E546E6" w:rsidP="00E546E6">
      <w:pPr>
        <w:pStyle w:val="ListParagraph"/>
        <w:spacing w:after="0" w:line="240" w:lineRule="auto"/>
        <w:ind w:left="1440"/>
        <w:rPr>
          <w:rFonts w:ascii="Aptos" w:eastAsia="Calibri" w:hAnsi="Aptos" w:cstheme="minorHAnsi"/>
          <w:b/>
          <w:bCs/>
        </w:rPr>
      </w:pPr>
      <w:r w:rsidRPr="00E546E6">
        <w:rPr>
          <w:rFonts w:ascii="Aptos" w:eastAsia="Calibri" w:hAnsi="Aptos" w:cstheme="minorHAnsi"/>
          <w:b/>
          <w:bCs/>
        </w:rPr>
        <w:t xml:space="preserve">Reddy, S. R., Broder, M. S., Chang, E., Paydar, C., Chung, K. C., &amp; Kansal, A. R. (2022). </w:t>
      </w:r>
      <w:hyperlink r:id="rId11" w:history="1">
        <w:r w:rsidRPr="001E2F9A">
          <w:rPr>
            <w:rStyle w:val="Hyperlink"/>
            <w:rFonts w:ascii="Aptos" w:eastAsia="Calibri" w:hAnsi="Aptos" w:cstheme="minorHAnsi"/>
            <w:b/>
            <w:bCs/>
            <w:color w:val="000000" w:themeColor="text1"/>
            <w:u w:val="none"/>
          </w:rPr>
          <w:t>Cost of cancer management by stage at diagnosis among Medicare beneficiaries</w:t>
        </w:r>
      </w:hyperlink>
      <w:r w:rsidRPr="001E2F9A">
        <w:rPr>
          <w:rFonts w:ascii="Aptos" w:eastAsia="Calibri" w:hAnsi="Aptos" w:cstheme="minorHAnsi"/>
          <w:b/>
          <w:bCs/>
          <w:color w:val="000000" w:themeColor="text1"/>
        </w:rPr>
        <w:t>. </w:t>
      </w:r>
      <w:r w:rsidRPr="00E546E6">
        <w:rPr>
          <w:rFonts w:ascii="Aptos" w:eastAsia="Calibri" w:hAnsi="Aptos" w:cstheme="minorHAnsi"/>
          <w:b/>
          <w:bCs/>
          <w:i/>
          <w:iCs/>
        </w:rPr>
        <w:t>Current Medical Research and Opinion</w:t>
      </w:r>
      <w:r w:rsidRPr="00E546E6">
        <w:rPr>
          <w:rFonts w:ascii="Aptos" w:eastAsia="Calibri" w:hAnsi="Aptos" w:cstheme="minorHAnsi"/>
          <w:b/>
          <w:bCs/>
        </w:rPr>
        <w:t>, </w:t>
      </w:r>
      <w:r w:rsidRPr="00E546E6">
        <w:rPr>
          <w:rFonts w:ascii="Aptos" w:eastAsia="Calibri" w:hAnsi="Aptos" w:cstheme="minorHAnsi"/>
          <w:b/>
          <w:bCs/>
          <w:i/>
          <w:iCs/>
        </w:rPr>
        <w:t>38</w:t>
      </w:r>
      <w:r w:rsidRPr="00E546E6">
        <w:rPr>
          <w:rFonts w:ascii="Aptos" w:eastAsia="Calibri" w:hAnsi="Aptos" w:cstheme="minorHAnsi"/>
          <w:b/>
          <w:bCs/>
        </w:rPr>
        <w:t xml:space="preserve">(8), 1285–1294. </w:t>
      </w:r>
      <w:hyperlink r:id="rId12" w:history="1">
        <w:r w:rsidRPr="00B72C9E">
          <w:rPr>
            <w:rStyle w:val="Hyperlink"/>
            <w:rFonts w:ascii="Aptos" w:eastAsia="Calibri" w:hAnsi="Aptos" w:cstheme="minorHAnsi"/>
            <w:b/>
            <w:bCs/>
          </w:rPr>
          <w:t>https://doi.org/10.1080/03007995.2022.2047536</w:t>
        </w:r>
      </w:hyperlink>
      <w:r>
        <w:rPr>
          <w:rFonts w:ascii="Aptos" w:eastAsia="Calibri" w:hAnsi="Aptos" w:cstheme="minorHAnsi"/>
          <w:b/>
          <w:bCs/>
        </w:rPr>
        <w:t xml:space="preserve"> </w:t>
      </w:r>
    </w:p>
    <w:bookmarkEnd w:id="3"/>
    <w:p w14:paraId="52794017" w14:textId="77777777" w:rsidR="00595D7F" w:rsidRPr="00F4310F" w:rsidRDefault="00595D7F" w:rsidP="008C66FD">
      <w:pPr>
        <w:spacing w:after="0" w:line="240" w:lineRule="auto"/>
        <w:rPr>
          <w:rFonts w:ascii="Aptos" w:hAnsi="Aptos" w:cstheme="minorHAnsi"/>
          <w:highlight w:val="yellow"/>
        </w:rPr>
      </w:pPr>
    </w:p>
    <w:p w14:paraId="75C4FE96" w14:textId="7F8E7BF1" w:rsidR="002458BA" w:rsidRPr="00146EDB" w:rsidRDefault="002458BA" w:rsidP="008C66FD">
      <w:pPr>
        <w:spacing w:after="0" w:line="240" w:lineRule="auto"/>
        <w:rPr>
          <w:rFonts w:ascii="Aptos" w:hAnsi="Aptos" w:cstheme="minorHAnsi"/>
          <w:b/>
          <w:bCs/>
        </w:rPr>
      </w:pPr>
      <w:r w:rsidRPr="00146EDB">
        <w:rPr>
          <w:rFonts w:ascii="Aptos" w:hAnsi="Aptos" w:cstheme="minorHAnsi"/>
          <w:b/>
          <w:bCs/>
        </w:rPr>
        <w:t>Factor 5: Relative Merit</w:t>
      </w:r>
    </w:p>
    <w:p w14:paraId="41E816A5" w14:textId="3CA1F8FF" w:rsidR="00F22098" w:rsidRDefault="0084640D" w:rsidP="00D748A1">
      <w:pPr>
        <w:pStyle w:val="ListParagraph"/>
        <w:numPr>
          <w:ilvl w:val="0"/>
          <w:numId w:val="2"/>
        </w:numPr>
        <w:spacing w:after="0" w:line="240" w:lineRule="auto"/>
        <w:rPr>
          <w:rStyle w:val="cf01"/>
          <w:rFonts w:ascii="Aptos" w:hAnsi="Aptos" w:cstheme="minorHAnsi"/>
          <w:sz w:val="22"/>
          <w:szCs w:val="22"/>
        </w:rPr>
      </w:pPr>
      <w:r w:rsidRPr="00146EDB">
        <w:rPr>
          <w:rFonts w:ascii="Aptos" w:hAnsi="Aptos" w:cstheme="minorHAnsi"/>
        </w:rPr>
        <w:t xml:space="preserve">Page </w:t>
      </w:r>
      <w:r w:rsidR="00E26239" w:rsidRPr="00146EDB">
        <w:rPr>
          <w:rFonts w:ascii="Aptos" w:hAnsi="Aptos" w:cstheme="minorHAnsi"/>
        </w:rPr>
        <w:t>2</w:t>
      </w:r>
      <w:r w:rsidR="0005444B" w:rsidRPr="00146EDB">
        <w:rPr>
          <w:rFonts w:ascii="Aptos" w:hAnsi="Aptos" w:cstheme="minorHAnsi"/>
        </w:rPr>
        <w:t xml:space="preserve">0 </w:t>
      </w:r>
      <w:r w:rsidR="006513CC" w:rsidRPr="00146EDB">
        <w:rPr>
          <w:rFonts w:ascii="Aptos" w:hAnsi="Aptos" w:cstheme="minorHAnsi"/>
        </w:rPr>
        <w:t>of the Narrative states that only one alternative option to the project was considered.</w:t>
      </w:r>
      <w:r w:rsidR="00A54E73" w:rsidRPr="00146EDB">
        <w:rPr>
          <w:rFonts w:ascii="Aptos" w:hAnsi="Aptos" w:cstheme="minorHAnsi"/>
        </w:rPr>
        <w:t xml:space="preserve"> </w:t>
      </w:r>
      <w:r w:rsidR="00F22098" w:rsidRPr="00146EDB">
        <w:rPr>
          <w:rStyle w:val="cf01"/>
          <w:rFonts w:ascii="Aptos" w:hAnsi="Aptos" w:cstheme="minorHAnsi"/>
          <w:sz w:val="22"/>
          <w:szCs w:val="22"/>
        </w:rPr>
        <w:t xml:space="preserve">Please provide </w:t>
      </w:r>
      <w:r w:rsidR="00A54E73" w:rsidRPr="00146EDB">
        <w:rPr>
          <w:rStyle w:val="cf01"/>
          <w:rFonts w:ascii="Aptos" w:hAnsi="Aptos" w:cstheme="minorHAnsi"/>
          <w:sz w:val="22"/>
          <w:szCs w:val="22"/>
        </w:rPr>
        <w:t>a second</w:t>
      </w:r>
      <w:r w:rsidR="00F22098" w:rsidRPr="00146EDB">
        <w:rPr>
          <w:rStyle w:val="cf01"/>
          <w:rFonts w:ascii="Aptos" w:hAnsi="Aptos" w:cstheme="minorHAnsi"/>
          <w:sz w:val="22"/>
          <w:szCs w:val="22"/>
        </w:rPr>
        <w:t xml:space="preserve"> alternative option that w</w:t>
      </w:r>
      <w:r w:rsidR="00A54E73" w:rsidRPr="00146EDB">
        <w:rPr>
          <w:rStyle w:val="cf01"/>
          <w:rFonts w:ascii="Aptos" w:hAnsi="Aptos" w:cstheme="minorHAnsi"/>
          <w:sz w:val="22"/>
          <w:szCs w:val="22"/>
        </w:rPr>
        <w:t>as</w:t>
      </w:r>
      <w:r w:rsidR="00F22098" w:rsidRPr="00146EDB">
        <w:rPr>
          <w:rStyle w:val="cf01"/>
          <w:rFonts w:ascii="Aptos" w:hAnsi="Aptos" w:cstheme="minorHAnsi"/>
          <w:sz w:val="22"/>
          <w:szCs w:val="22"/>
        </w:rPr>
        <w:t xml:space="preserve"> not reflected in the Narrative.</w:t>
      </w:r>
    </w:p>
    <w:p w14:paraId="41C97DC5" w14:textId="77777777" w:rsidR="00146EDB" w:rsidRDefault="00146EDB" w:rsidP="00146EDB">
      <w:pPr>
        <w:pStyle w:val="ListParagraph"/>
        <w:spacing w:after="0" w:line="240" w:lineRule="auto"/>
        <w:rPr>
          <w:rStyle w:val="cf01"/>
          <w:rFonts w:ascii="Aptos" w:hAnsi="Aptos" w:cstheme="minorHAnsi"/>
          <w:sz w:val="22"/>
          <w:szCs w:val="22"/>
        </w:rPr>
      </w:pPr>
    </w:p>
    <w:p w14:paraId="2F978648" w14:textId="448B954C" w:rsidR="00080282" w:rsidRPr="00080282" w:rsidRDefault="00080282" w:rsidP="00080282">
      <w:pPr>
        <w:pStyle w:val="ListParagraph"/>
        <w:jc w:val="both"/>
        <w:rPr>
          <w:rFonts w:ascii="Aptos" w:hAnsi="Aptos" w:cstheme="minorHAnsi"/>
          <w:b/>
          <w:bCs/>
        </w:rPr>
      </w:pPr>
      <w:proofErr w:type="gramStart"/>
      <w:r w:rsidRPr="00080282">
        <w:rPr>
          <w:rFonts w:ascii="Aptos" w:hAnsi="Aptos" w:cstheme="minorHAnsi"/>
          <w:b/>
          <w:bCs/>
        </w:rPr>
        <w:t>In order to</w:t>
      </w:r>
      <w:proofErr w:type="gramEnd"/>
      <w:r w:rsidRPr="00080282">
        <w:rPr>
          <w:rFonts w:ascii="Aptos" w:hAnsi="Aptos" w:cstheme="minorHAnsi"/>
          <w:b/>
          <w:bCs/>
        </w:rPr>
        <w:t xml:space="preserve"> improve access to CT in Salem Hospital’s service area, additional capacity is required</w:t>
      </w:r>
      <w:r w:rsidR="001800CB">
        <w:rPr>
          <w:rFonts w:ascii="Aptos" w:hAnsi="Aptos" w:cstheme="minorHAnsi"/>
          <w:b/>
          <w:bCs/>
        </w:rPr>
        <w:t xml:space="preserve">. One option is to add </w:t>
      </w:r>
      <w:r w:rsidR="00666A55">
        <w:rPr>
          <w:rFonts w:ascii="Aptos" w:hAnsi="Aptos" w:cstheme="minorHAnsi"/>
          <w:b/>
          <w:bCs/>
        </w:rPr>
        <w:t>an additional</w:t>
      </w:r>
      <w:r w:rsidRPr="00080282">
        <w:rPr>
          <w:rFonts w:ascii="Aptos" w:hAnsi="Aptos" w:cstheme="minorHAnsi"/>
          <w:b/>
          <w:bCs/>
        </w:rPr>
        <w:t xml:space="preserve"> CT unit at the main campus or</w:t>
      </w:r>
      <w:r w:rsidR="001800CB">
        <w:rPr>
          <w:rFonts w:ascii="Aptos" w:hAnsi="Aptos" w:cstheme="minorHAnsi"/>
          <w:b/>
          <w:bCs/>
        </w:rPr>
        <w:t xml:space="preserve"> at one</w:t>
      </w:r>
      <w:r w:rsidRPr="00080282">
        <w:rPr>
          <w:rFonts w:ascii="Aptos" w:hAnsi="Aptos" w:cstheme="minorHAnsi"/>
          <w:b/>
          <w:bCs/>
        </w:rPr>
        <w:t xml:space="preserve"> of the hospital’s satellites, such as the Mass General Brigham Healthcare Center at Danvers. The Danvers location currently offers CT with wait times comparable to Salem Hospital. Given that Danvers is within the hospital’s primary service area, it would be a convenient location for </w:t>
      </w:r>
      <w:r w:rsidRPr="00080282">
        <w:rPr>
          <w:rFonts w:ascii="Aptos" w:hAnsi="Aptos" w:cstheme="minorHAnsi"/>
          <w:b/>
          <w:bCs/>
        </w:rPr>
        <w:lastRenderedPageBreak/>
        <w:t xml:space="preserve">some of the hospital's patients. However, Danvers is located about 15 minutes north of Salem Hospital and 20 minutes north of Lynn. Because it is located at the northern edge of Salem Hospital’s service area, it would not improve access to CT for patients to the south. Moreover, the </w:t>
      </w:r>
      <w:r w:rsidR="001800CB">
        <w:rPr>
          <w:rFonts w:ascii="Aptos" w:hAnsi="Aptos" w:cstheme="minorHAnsi"/>
          <w:b/>
          <w:bCs/>
        </w:rPr>
        <w:t>H</w:t>
      </w:r>
      <w:r w:rsidRPr="00080282">
        <w:rPr>
          <w:rFonts w:ascii="Aptos" w:hAnsi="Aptos" w:cstheme="minorHAnsi"/>
          <w:b/>
          <w:bCs/>
        </w:rPr>
        <w:t xml:space="preserve">ealthcare </w:t>
      </w:r>
      <w:r w:rsidR="001800CB">
        <w:rPr>
          <w:rFonts w:ascii="Aptos" w:hAnsi="Aptos" w:cstheme="minorHAnsi"/>
          <w:b/>
          <w:bCs/>
        </w:rPr>
        <w:t>C</w:t>
      </w:r>
      <w:r w:rsidRPr="00080282">
        <w:rPr>
          <w:rFonts w:ascii="Aptos" w:hAnsi="Aptos" w:cstheme="minorHAnsi"/>
          <w:b/>
          <w:bCs/>
        </w:rPr>
        <w:t xml:space="preserve">enter in Danvers already </w:t>
      </w:r>
      <w:r w:rsidR="001800CB">
        <w:rPr>
          <w:rFonts w:ascii="Aptos" w:hAnsi="Aptos" w:cstheme="minorHAnsi"/>
          <w:b/>
          <w:bCs/>
        </w:rPr>
        <w:t>offers CT</w:t>
      </w:r>
      <w:r w:rsidRPr="00080282">
        <w:rPr>
          <w:rFonts w:ascii="Aptos" w:hAnsi="Aptos" w:cstheme="minorHAnsi"/>
          <w:b/>
          <w:bCs/>
        </w:rPr>
        <w:t xml:space="preserve"> whereas there is no advanced imaging current</w:t>
      </w:r>
      <w:r w:rsidR="00B54559">
        <w:rPr>
          <w:rFonts w:ascii="Aptos" w:hAnsi="Aptos" w:cstheme="minorHAnsi"/>
          <w:b/>
          <w:bCs/>
        </w:rPr>
        <w:t>ly</w:t>
      </w:r>
      <w:r w:rsidRPr="00080282">
        <w:rPr>
          <w:rFonts w:ascii="Aptos" w:hAnsi="Aptos" w:cstheme="minorHAnsi"/>
          <w:b/>
          <w:bCs/>
        </w:rPr>
        <w:t xml:space="preserve"> at the Healthcare Center in Lynn. </w:t>
      </w:r>
      <w:r w:rsidR="005B48AF">
        <w:rPr>
          <w:rFonts w:ascii="Aptos" w:hAnsi="Aptos" w:cstheme="minorHAnsi"/>
          <w:b/>
          <w:bCs/>
        </w:rPr>
        <w:t xml:space="preserve">The Proposed Project specifically addresses the need for greater availability of healthcare services in Lynn. By offering CT services at the Healthcare Center, patients will have access to more comprehensive healthcare in their community, co-located with their primary, specialty, and urgent care.  Further, the provision of CT in Lynn will reduce some of the transportation and time related barriers that make accessing care harder for historically under-resourced communities like Lynn. </w:t>
      </w:r>
      <w:r w:rsidRPr="00080282">
        <w:rPr>
          <w:rFonts w:ascii="Aptos" w:hAnsi="Aptos" w:cstheme="minorHAnsi"/>
          <w:b/>
          <w:bCs/>
        </w:rPr>
        <w:t xml:space="preserve">Therefore, providing additional capacity for CT in Danvers is not an alternative that would benefit Salem Hospital’s patients to the same extent as the Proposed Project. </w:t>
      </w:r>
    </w:p>
    <w:p w14:paraId="6E4DD881" w14:textId="78AD68B9" w:rsidR="00146EDB" w:rsidRPr="00146EDB" w:rsidRDefault="00146EDB" w:rsidP="00080282">
      <w:pPr>
        <w:pStyle w:val="ListParagraph"/>
        <w:spacing w:after="0" w:line="240" w:lineRule="auto"/>
        <w:jc w:val="both"/>
        <w:rPr>
          <w:rFonts w:ascii="Aptos" w:hAnsi="Aptos" w:cstheme="minorHAnsi"/>
          <w:b/>
          <w:bCs/>
        </w:rPr>
      </w:pPr>
    </w:p>
    <w:sectPr w:rsidR="00146EDB" w:rsidRPr="00146EDB" w:rsidSect="00C938D8">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1EED" w14:textId="77777777" w:rsidR="002D6418" w:rsidRDefault="002D6418" w:rsidP="00231103">
      <w:pPr>
        <w:spacing w:after="0" w:line="240" w:lineRule="auto"/>
      </w:pPr>
      <w:r>
        <w:separator/>
      </w:r>
    </w:p>
  </w:endnote>
  <w:endnote w:type="continuationSeparator" w:id="0">
    <w:p w14:paraId="7E8918D4" w14:textId="77777777" w:rsidR="002D6418" w:rsidRDefault="002D6418" w:rsidP="00231103">
      <w:pPr>
        <w:spacing w:after="0" w:line="240" w:lineRule="auto"/>
      </w:pPr>
      <w:r>
        <w:continuationSeparator/>
      </w:r>
    </w:p>
  </w:endnote>
  <w:endnote w:type="continuationNotice" w:id="1">
    <w:p w14:paraId="17B641E2" w14:textId="77777777" w:rsidR="002D6418" w:rsidRDefault="002D6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262C" w14:textId="77777777" w:rsidR="00B87E29" w:rsidRDefault="00B8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9754" w14:textId="77777777" w:rsidR="00B87E29" w:rsidRDefault="00B8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8457" w14:textId="77777777" w:rsidR="002D6418" w:rsidRDefault="002D6418" w:rsidP="00231103">
      <w:pPr>
        <w:spacing w:after="0" w:line="240" w:lineRule="auto"/>
      </w:pPr>
      <w:r>
        <w:separator/>
      </w:r>
    </w:p>
  </w:footnote>
  <w:footnote w:type="continuationSeparator" w:id="0">
    <w:p w14:paraId="3285F071" w14:textId="77777777" w:rsidR="002D6418" w:rsidRDefault="002D6418" w:rsidP="00231103">
      <w:pPr>
        <w:spacing w:after="0" w:line="240" w:lineRule="auto"/>
      </w:pPr>
      <w:r>
        <w:continuationSeparator/>
      </w:r>
    </w:p>
  </w:footnote>
  <w:footnote w:type="continuationNotice" w:id="1">
    <w:p w14:paraId="7D88BA51" w14:textId="77777777" w:rsidR="002D6418" w:rsidRDefault="002D6418">
      <w:pPr>
        <w:spacing w:after="0" w:line="240" w:lineRule="auto"/>
      </w:pPr>
    </w:p>
  </w:footnote>
  <w:footnote w:id="2">
    <w:p w14:paraId="1F8DF361" w14:textId="77777777" w:rsidR="00096892" w:rsidRPr="00F4310F" w:rsidRDefault="00096892" w:rsidP="00184DF8">
      <w:pPr>
        <w:spacing w:after="0" w:line="240" w:lineRule="auto"/>
        <w:rPr>
          <w:rFonts w:ascii="Aptos" w:hAnsi="Aptos" w:cs="Calibri"/>
          <w:sz w:val="20"/>
          <w:szCs w:val="20"/>
        </w:rPr>
      </w:pPr>
      <w:r w:rsidRPr="00F4310F">
        <w:rPr>
          <w:rStyle w:val="FootnoteReference"/>
          <w:rFonts w:ascii="Aptos" w:hAnsi="Aptos" w:cs="Arial"/>
          <w:sz w:val="16"/>
          <w:szCs w:val="16"/>
        </w:rPr>
        <w:t>[1]</w:t>
      </w:r>
      <w:r w:rsidRPr="00F4310F">
        <w:rPr>
          <w:rFonts w:ascii="Aptos" w:hAnsi="Aptos" w:cs="Arial"/>
          <w:sz w:val="16"/>
          <w:szCs w:val="16"/>
        </w:rPr>
        <w:t xml:space="preserve"> </w:t>
      </w:r>
      <w:r w:rsidRPr="00F4310F">
        <w:rPr>
          <w:rFonts w:ascii="Aptos" w:hAnsi="Aptos" w:cs="Arial"/>
          <w:color w:val="000000"/>
          <w:sz w:val="16"/>
          <w:szCs w:val="16"/>
        </w:rPr>
        <w:t>Commercial plans without an identified product type were included in the PPO/Indemnity product category.</w:t>
      </w:r>
    </w:p>
  </w:footnote>
  <w:footnote w:id="3">
    <w:p w14:paraId="3F2F4C30" w14:textId="77777777" w:rsidR="00096892" w:rsidRPr="00F4310F" w:rsidRDefault="00096892" w:rsidP="00184DF8">
      <w:pPr>
        <w:pStyle w:val="FootnoteText"/>
        <w:rPr>
          <w:rFonts w:ascii="Aptos" w:hAnsi="Aptos"/>
          <w:sz w:val="18"/>
          <w:szCs w:val="18"/>
        </w:rPr>
      </w:pPr>
      <w:r w:rsidRPr="00F4310F">
        <w:rPr>
          <w:rStyle w:val="FootnoteReference"/>
          <w:rFonts w:ascii="Aptos" w:hAnsi="Aptos" w:cs="Arial"/>
          <w:sz w:val="16"/>
          <w:szCs w:val="16"/>
        </w:rPr>
        <w:t>[2]</w:t>
      </w:r>
      <w:r w:rsidRPr="00F4310F">
        <w:rPr>
          <w:rFonts w:ascii="Aptos" w:hAnsi="Aptos" w:cs="Arial"/>
          <w:sz w:val="16"/>
          <w:szCs w:val="16"/>
        </w:rPr>
        <w:t xml:space="preserve"> Includes </w:t>
      </w:r>
      <w:proofErr w:type="spellStart"/>
      <w:r w:rsidRPr="00F4310F">
        <w:rPr>
          <w:rFonts w:ascii="Aptos" w:hAnsi="Aptos" w:cs="Arial"/>
          <w:sz w:val="16"/>
          <w:szCs w:val="16"/>
        </w:rPr>
        <w:t>ConnectorCare</w:t>
      </w:r>
      <w:proofErr w:type="spellEnd"/>
      <w:r w:rsidRPr="00F4310F">
        <w:rPr>
          <w:rFonts w:ascii="Aptos" w:hAnsi="Aptos" w:cs="Arial"/>
          <w:sz w:val="16"/>
          <w:szCs w:val="16"/>
        </w:rPr>
        <w:t xml:space="preserve"> plans.</w:t>
      </w:r>
    </w:p>
  </w:footnote>
  <w:footnote w:id="4">
    <w:p w14:paraId="1F088454" w14:textId="77777777" w:rsidR="00096892" w:rsidRPr="00F4310F" w:rsidRDefault="00096892" w:rsidP="00184DF8">
      <w:pPr>
        <w:pStyle w:val="FootnoteText"/>
        <w:rPr>
          <w:rFonts w:ascii="Aptos" w:hAnsi="Aptos"/>
          <w:sz w:val="18"/>
          <w:szCs w:val="18"/>
        </w:rPr>
      </w:pPr>
      <w:r w:rsidRPr="00F4310F">
        <w:rPr>
          <w:rStyle w:val="FootnoteReference"/>
          <w:rFonts w:ascii="Aptos" w:hAnsi="Aptos" w:cs="Arial"/>
          <w:sz w:val="16"/>
          <w:szCs w:val="16"/>
        </w:rPr>
        <w:t>[3]</w:t>
      </w:r>
      <w:r w:rsidRPr="00F4310F">
        <w:rPr>
          <w:rFonts w:ascii="Aptos" w:hAnsi="Aptos" w:cs="Arial"/>
          <w:sz w:val="16"/>
          <w:szCs w:val="16"/>
        </w:rPr>
        <w:t xml:space="preserve"> Includes Medicare supplements.</w:t>
      </w:r>
    </w:p>
  </w:footnote>
  <w:footnote w:id="5">
    <w:p w14:paraId="52E0ED75" w14:textId="77777777" w:rsidR="00096892" w:rsidRDefault="00096892" w:rsidP="00184DF8">
      <w:pPr>
        <w:pStyle w:val="FootnoteText"/>
      </w:pPr>
      <w:r w:rsidRPr="00F4310F">
        <w:rPr>
          <w:rStyle w:val="FootnoteReference"/>
          <w:rFonts w:ascii="Aptos" w:hAnsi="Aptos" w:cs="Arial"/>
          <w:sz w:val="16"/>
          <w:szCs w:val="16"/>
        </w:rPr>
        <w:t>[4]</w:t>
      </w:r>
      <w:r w:rsidRPr="00F4310F">
        <w:rPr>
          <w:rFonts w:ascii="Aptos" w:hAnsi="Aptos" w:cs="Arial"/>
          <w:sz w:val="16"/>
          <w:szCs w:val="16"/>
        </w:rPr>
        <w:t xml:space="preserve"> Includes Free Care, </w:t>
      </w:r>
      <w:proofErr w:type="spellStart"/>
      <w:r w:rsidRPr="00F4310F">
        <w:rPr>
          <w:rFonts w:ascii="Aptos" w:hAnsi="Aptos" w:cs="Arial"/>
          <w:sz w:val="16"/>
          <w:szCs w:val="16"/>
        </w:rPr>
        <w:t>TriCare</w:t>
      </w:r>
      <w:proofErr w:type="spellEnd"/>
      <w:r w:rsidRPr="00F4310F">
        <w:rPr>
          <w:rFonts w:ascii="Aptos" w:hAnsi="Aptos" w:cs="Arial"/>
          <w:sz w:val="16"/>
          <w:szCs w:val="16"/>
        </w:rPr>
        <w:t>, VA, Uninsured COVID-19 tests, Workers Compensation, International, and other uncategorized plans.</w:t>
      </w:r>
    </w:p>
  </w:footnote>
  <w:footnote w:id="6">
    <w:p w14:paraId="6659304F" w14:textId="16E29496" w:rsidR="00AC4797" w:rsidRPr="00AC4797" w:rsidRDefault="00AC4797" w:rsidP="00AC4797">
      <w:pPr>
        <w:pStyle w:val="FootnoteText"/>
        <w:rPr>
          <w:rFonts w:ascii="Aptos" w:hAnsi="Aptos"/>
          <w:sz w:val="16"/>
          <w:szCs w:val="16"/>
        </w:rPr>
      </w:pPr>
      <w:r w:rsidRPr="00AC4797">
        <w:rPr>
          <w:rStyle w:val="FootnoteReference"/>
          <w:rFonts w:ascii="Aptos" w:hAnsi="Aptos"/>
          <w:sz w:val="16"/>
          <w:szCs w:val="16"/>
        </w:rPr>
        <w:footnoteRef/>
      </w:r>
      <w:r w:rsidRPr="00AC4797">
        <w:rPr>
          <w:rFonts w:ascii="Aptos" w:hAnsi="Aptos"/>
          <w:sz w:val="16"/>
          <w:szCs w:val="16"/>
        </w:rPr>
        <w:t xml:space="preserve"> Sandler, K. L., Henry, T. S., Amini, A., Saeed </w:t>
      </w:r>
      <w:proofErr w:type="spellStart"/>
      <w:r w:rsidRPr="00AC4797">
        <w:rPr>
          <w:rFonts w:ascii="Aptos" w:hAnsi="Aptos"/>
          <w:sz w:val="16"/>
          <w:szCs w:val="16"/>
        </w:rPr>
        <w:t>Elojeimy</w:t>
      </w:r>
      <w:proofErr w:type="spellEnd"/>
      <w:r w:rsidRPr="00AC4797">
        <w:rPr>
          <w:rFonts w:ascii="Aptos" w:hAnsi="Aptos"/>
          <w:sz w:val="16"/>
          <w:szCs w:val="16"/>
        </w:rPr>
        <w:t xml:space="preserve">, Aine Marie Kelly, Kuzniewski, C. T., Lee, E., Martin, M. D., Morris, M. F., Peterson, N. B., Raptis, C. A., Silvestri, </w:t>
      </w:r>
      <w:r w:rsidRPr="0093037B">
        <w:rPr>
          <w:rFonts w:ascii="Aptos" w:hAnsi="Aptos"/>
          <w:color w:val="000000" w:themeColor="text1"/>
          <w:sz w:val="16"/>
          <w:szCs w:val="16"/>
        </w:rPr>
        <w:t xml:space="preserve">G. A., Sirajuddin, A., Tong, B. C., Renda </w:t>
      </w:r>
      <w:proofErr w:type="spellStart"/>
      <w:r w:rsidRPr="0093037B">
        <w:rPr>
          <w:rFonts w:ascii="Aptos" w:hAnsi="Aptos"/>
          <w:color w:val="000000" w:themeColor="text1"/>
          <w:sz w:val="16"/>
          <w:szCs w:val="16"/>
        </w:rPr>
        <w:t>Soylemez</w:t>
      </w:r>
      <w:proofErr w:type="spellEnd"/>
      <w:r w:rsidRPr="0093037B">
        <w:rPr>
          <w:rFonts w:ascii="Aptos" w:hAnsi="Aptos"/>
          <w:color w:val="000000" w:themeColor="text1"/>
          <w:sz w:val="16"/>
          <w:szCs w:val="16"/>
        </w:rPr>
        <w:t xml:space="preserve"> Wiener, Witt, L. J., &amp; Donnelly, E. F. (2023). </w:t>
      </w:r>
      <w:hyperlink r:id="rId1" w:history="1">
        <w:r w:rsidRPr="0093037B">
          <w:rPr>
            <w:rStyle w:val="Hyperlink"/>
            <w:rFonts w:ascii="Aptos" w:hAnsi="Aptos"/>
            <w:color w:val="000000" w:themeColor="text1"/>
            <w:sz w:val="16"/>
            <w:szCs w:val="16"/>
            <w:u w:val="none"/>
          </w:rPr>
          <w:t>ACR Appropriateness Criteria® Lung Cancer Screening:</w:t>
        </w:r>
      </w:hyperlink>
      <w:r w:rsidRPr="0093037B">
        <w:rPr>
          <w:rFonts w:ascii="Aptos" w:hAnsi="Aptos"/>
          <w:color w:val="000000" w:themeColor="text1"/>
          <w:sz w:val="16"/>
          <w:szCs w:val="16"/>
        </w:rPr>
        <w:t xml:space="preserve"> 2022 </w:t>
      </w:r>
      <w:r w:rsidRPr="00AC4797">
        <w:rPr>
          <w:rFonts w:ascii="Aptos" w:hAnsi="Aptos"/>
          <w:sz w:val="16"/>
          <w:szCs w:val="16"/>
        </w:rPr>
        <w:t>Update. </w:t>
      </w:r>
      <w:r w:rsidRPr="00AC4797">
        <w:rPr>
          <w:rFonts w:ascii="Aptos" w:hAnsi="Aptos"/>
          <w:i/>
          <w:iCs/>
          <w:sz w:val="16"/>
          <w:szCs w:val="16"/>
        </w:rPr>
        <w:t>Journal of the American College of Radiology</w:t>
      </w:r>
      <w:r w:rsidRPr="00AC4797">
        <w:rPr>
          <w:rFonts w:ascii="Aptos" w:hAnsi="Aptos"/>
          <w:sz w:val="16"/>
          <w:szCs w:val="16"/>
        </w:rPr>
        <w:t>, </w:t>
      </w:r>
      <w:r w:rsidRPr="00AC4797">
        <w:rPr>
          <w:rFonts w:ascii="Aptos" w:hAnsi="Aptos"/>
          <w:i/>
          <w:iCs/>
          <w:sz w:val="16"/>
          <w:szCs w:val="16"/>
        </w:rPr>
        <w:t>20</w:t>
      </w:r>
      <w:r w:rsidRPr="00AC4797">
        <w:rPr>
          <w:rFonts w:ascii="Aptos" w:hAnsi="Aptos"/>
          <w:sz w:val="16"/>
          <w:szCs w:val="16"/>
        </w:rPr>
        <w:t xml:space="preserve">(5), S94–S101. </w:t>
      </w:r>
      <w:hyperlink r:id="rId2" w:history="1">
        <w:r w:rsidRPr="00AC4797">
          <w:rPr>
            <w:rStyle w:val="Hyperlink"/>
            <w:rFonts w:ascii="Aptos" w:hAnsi="Aptos"/>
            <w:sz w:val="16"/>
            <w:szCs w:val="16"/>
          </w:rPr>
          <w:t>https://doi.org/10.1016/j.jacr.2023.02.014</w:t>
        </w:r>
      </w:hyperlink>
    </w:p>
  </w:footnote>
  <w:footnote w:id="7">
    <w:p w14:paraId="58FDA15F" w14:textId="6E728A21" w:rsidR="00AC4797" w:rsidRDefault="00AC4797" w:rsidP="00AC4797">
      <w:pPr>
        <w:pStyle w:val="FootnoteText"/>
      </w:pPr>
      <w:r>
        <w:rPr>
          <w:rStyle w:val="FootnoteReference"/>
        </w:rPr>
        <w:footnoteRef/>
      </w:r>
      <w:r>
        <w:t xml:space="preserve"> </w:t>
      </w:r>
      <w:r w:rsidRPr="00F4310F">
        <w:rPr>
          <w:rFonts w:ascii="Aptos" w:hAnsi="Aptos" w:cs="Arial"/>
          <w:sz w:val="16"/>
          <w:szCs w:val="16"/>
        </w:rPr>
        <w:t xml:space="preserve">On average approximately 12 patients </w:t>
      </w:r>
      <w:r w:rsidR="008132B5">
        <w:rPr>
          <w:rFonts w:ascii="Aptos" w:hAnsi="Aptos" w:cs="Arial"/>
          <w:sz w:val="16"/>
          <w:szCs w:val="16"/>
        </w:rPr>
        <w:t>per</w:t>
      </w:r>
      <w:r w:rsidRPr="00F4310F">
        <w:rPr>
          <w:rFonts w:ascii="Aptos" w:hAnsi="Aptos" w:cs="Arial"/>
          <w:sz w:val="16"/>
          <w:szCs w:val="16"/>
        </w:rPr>
        <w:t xml:space="preserve"> day are urgently scheduled</w:t>
      </w:r>
      <w:r w:rsidR="008132B5">
        <w:rPr>
          <w:rFonts w:ascii="Aptos" w:hAnsi="Aptos" w:cs="Arial"/>
          <w:sz w:val="16"/>
          <w:szCs w:val="16"/>
        </w:rPr>
        <w:t xml:space="preserve"> for</w:t>
      </w:r>
      <w:r w:rsidRPr="00F4310F">
        <w:rPr>
          <w:rFonts w:ascii="Aptos" w:hAnsi="Aptos" w:cs="Arial"/>
          <w:sz w:val="16"/>
          <w:szCs w:val="16"/>
        </w:rPr>
        <w:t xml:space="preserve"> a same day appointment at Salem Hospital.</w:t>
      </w:r>
      <w:r w:rsidRPr="00EE274E">
        <w:rPr>
          <w:rFonts w:cs="Arial"/>
          <w:b/>
          <w:bCs/>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6E98" w14:textId="77777777" w:rsidR="00B87E29" w:rsidRDefault="00B8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75" w14:textId="6C1BD17C" w:rsidR="00153D99" w:rsidRPr="001C1A06" w:rsidRDefault="00B87E29" w:rsidP="00D223EB">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Mass General Brigham</w:t>
    </w:r>
    <w:r w:rsidR="00183D7F">
      <w:rPr>
        <w:rFonts w:ascii="Arial-BoldMT" w:hAnsi="Arial-BoldMT" w:cs="Arial-BoldMT"/>
        <w:b/>
        <w:bCs/>
        <w:sz w:val="28"/>
        <w:szCs w:val="28"/>
      </w:rPr>
      <w:t>, Inc</w:t>
    </w:r>
  </w:p>
  <w:p w14:paraId="78DC6D8E" w14:textId="3E3D42AF"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B87E29" w:rsidRPr="00B87E29">
      <w:rPr>
        <w:rFonts w:ascii="Arial-BoldMT" w:hAnsi="Arial-BoldMT" w:cs="Arial-BoldMT"/>
        <w:b/>
        <w:bCs/>
        <w:sz w:val="24"/>
        <w:szCs w:val="24"/>
      </w:rPr>
      <w:t>MGB-24120209-RE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5039" w14:textId="77777777" w:rsidR="00B87E29" w:rsidRDefault="00B8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A3308"/>
    <w:multiLevelType w:val="hybridMultilevel"/>
    <w:tmpl w:val="27068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FF6173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0"/>
  </w:num>
  <w:num w:numId="2" w16cid:durableId="16651581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498C"/>
    <w:rsid w:val="00005930"/>
    <w:rsid w:val="00011385"/>
    <w:rsid w:val="00012264"/>
    <w:rsid w:val="00012279"/>
    <w:rsid w:val="000168C2"/>
    <w:rsid w:val="00016E8C"/>
    <w:rsid w:val="00016E99"/>
    <w:rsid w:val="00021A01"/>
    <w:rsid w:val="0002235E"/>
    <w:rsid w:val="00024C6C"/>
    <w:rsid w:val="00025521"/>
    <w:rsid w:val="00026B6F"/>
    <w:rsid w:val="00027FBC"/>
    <w:rsid w:val="0003012E"/>
    <w:rsid w:val="0003035A"/>
    <w:rsid w:val="00030F72"/>
    <w:rsid w:val="00032FF5"/>
    <w:rsid w:val="00040965"/>
    <w:rsid w:val="000413D6"/>
    <w:rsid w:val="0004380F"/>
    <w:rsid w:val="0004645C"/>
    <w:rsid w:val="0005444B"/>
    <w:rsid w:val="00054FF4"/>
    <w:rsid w:val="0005525D"/>
    <w:rsid w:val="00055942"/>
    <w:rsid w:val="00055F9E"/>
    <w:rsid w:val="00056D5B"/>
    <w:rsid w:val="00057A92"/>
    <w:rsid w:val="000618A4"/>
    <w:rsid w:val="00063414"/>
    <w:rsid w:val="00064206"/>
    <w:rsid w:val="0006445F"/>
    <w:rsid w:val="00065C01"/>
    <w:rsid w:val="00071162"/>
    <w:rsid w:val="00072EE3"/>
    <w:rsid w:val="00073DC9"/>
    <w:rsid w:val="00074092"/>
    <w:rsid w:val="00076535"/>
    <w:rsid w:val="000766DC"/>
    <w:rsid w:val="00076A84"/>
    <w:rsid w:val="00076CB2"/>
    <w:rsid w:val="000775B1"/>
    <w:rsid w:val="00080282"/>
    <w:rsid w:val="00080AC6"/>
    <w:rsid w:val="000826CB"/>
    <w:rsid w:val="00083193"/>
    <w:rsid w:val="0008493D"/>
    <w:rsid w:val="000862E1"/>
    <w:rsid w:val="0009039F"/>
    <w:rsid w:val="000906E1"/>
    <w:rsid w:val="000907F9"/>
    <w:rsid w:val="00091C4C"/>
    <w:rsid w:val="00092910"/>
    <w:rsid w:val="000952FD"/>
    <w:rsid w:val="00095621"/>
    <w:rsid w:val="00095FAB"/>
    <w:rsid w:val="000967C9"/>
    <w:rsid w:val="00096892"/>
    <w:rsid w:val="00096ACB"/>
    <w:rsid w:val="00097B2C"/>
    <w:rsid w:val="000A56D4"/>
    <w:rsid w:val="000A5A22"/>
    <w:rsid w:val="000A5CA4"/>
    <w:rsid w:val="000A691D"/>
    <w:rsid w:val="000A7A26"/>
    <w:rsid w:val="000A7A45"/>
    <w:rsid w:val="000B0A7F"/>
    <w:rsid w:val="000B1438"/>
    <w:rsid w:val="000B1D01"/>
    <w:rsid w:val="000C0B84"/>
    <w:rsid w:val="000C1CF9"/>
    <w:rsid w:val="000C2766"/>
    <w:rsid w:val="000C43B6"/>
    <w:rsid w:val="000C4405"/>
    <w:rsid w:val="000C4D33"/>
    <w:rsid w:val="000C6277"/>
    <w:rsid w:val="000C6F48"/>
    <w:rsid w:val="000C7F71"/>
    <w:rsid w:val="000D0D41"/>
    <w:rsid w:val="000D77CD"/>
    <w:rsid w:val="000E0B48"/>
    <w:rsid w:val="000E2F30"/>
    <w:rsid w:val="000E3622"/>
    <w:rsid w:val="000E5EC9"/>
    <w:rsid w:val="000E7E1B"/>
    <w:rsid w:val="000F0EDD"/>
    <w:rsid w:val="000F4FA3"/>
    <w:rsid w:val="000F5BAD"/>
    <w:rsid w:val="000F5CC4"/>
    <w:rsid w:val="000F6503"/>
    <w:rsid w:val="00101353"/>
    <w:rsid w:val="00101646"/>
    <w:rsid w:val="001017F6"/>
    <w:rsid w:val="001018CF"/>
    <w:rsid w:val="00104288"/>
    <w:rsid w:val="001050F4"/>
    <w:rsid w:val="00105768"/>
    <w:rsid w:val="00106D23"/>
    <w:rsid w:val="00106F2E"/>
    <w:rsid w:val="00112BDF"/>
    <w:rsid w:val="00112E92"/>
    <w:rsid w:val="00113110"/>
    <w:rsid w:val="00116F10"/>
    <w:rsid w:val="001204FE"/>
    <w:rsid w:val="00120FB5"/>
    <w:rsid w:val="00121A3F"/>
    <w:rsid w:val="00122099"/>
    <w:rsid w:val="0012232D"/>
    <w:rsid w:val="00123EE2"/>
    <w:rsid w:val="00125F6B"/>
    <w:rsid w:val="00126E85"/>
    <w:rsid w:val="0013225C"/>
    <w:rsid w:val="001332C7"/>
    <w:rsid w:val="00133CF7"/>
    <w:rsid w:val="00137A46"/>
    <w:rsid w:val="00137C36"/>
    <w:rsid w:val="0014505C"/>
    <w:rsid w:val="001459CB"/>
    <w:rsid w:val="00146EDB"/>
    <w:rsid w:val="0014727D"/>
    <w:rsid w:val="00147ED6"/>
    <w:rsid w:val="00150337"/>
    <w:rsid w:val="00152CFB"/>
    <w:rsid w:val="001538B2"/>
    <w:rsid w:val="00153D99"/>
    <w:rsid w:val="00154A10"/>
    <w:rsid w:val="00161599"/>
    <w:rsid w:val="00162A72"/>
    <w:rsid w:val="00164EAE"/>
    <w:rsid w:val="00166158"/>
    <w:rsid w:val="0016771E"/>
    <w:rsid w:val="001679DC"/>
    <w:rsid w:val="00167F71"/>
    <w:rsid w:val="001701AE"/>
    <w:rsid w:val="00170D7F"/>
    <w:rsid w:val="00174CFB"/>
    <w:rsid w:val="00176547"/>
    <w:rsid w:val="00176C56"/>
    <w:rsid w:val="001800CB"/>
    <w:rsid w:val="001802AE"/>
    <w:rsid w:val="00180580"/>
    <w:rsid w:val="00182533"/>
    <w:rsid w:val="00183D7F"/>
    <w:rsid w:val="00184DF8"/>
    <w:rsid w:val="00185A10"/>
    <w:rsid w:val="00190646"/>
    <w:rsid w:val="0019184A"/>
    <w:rsid w:val="00191B78"/>
    <w:rsid w:val="00191DAC"/>
    <w:rsid w:val="001926A6"/>
    <w:rsid w:val="00192CFC"/>
    <w:rsid w:val="00193CD7"/>
    <w:rsid w:val="001A0425"/>
    <w:rsid w:val="001A0FB0"/>
    <w:rsid w:val="001A11D0"/>
    <w:rsid w:val="001A170B"/>
    <w:rsid w:val="001A35DC"/>
    <w:rsid w:val="001A511B"/>
    <w:rsid w:val="001A66A9"/>
    <w:rsid w:val="001A6E92"/>
    <w:rsid w:val="001A767E"/>
    <w:rsid w:val="001B32E1"/>
    <w:rsid w:val="001B3A91"/>
    <w:rsid w:val="001B517F"/>
    <w:rsid w:val="001B569F"/>
    <w:rsid w:val="001B5845"/>
    <w:rsid w:val="001B5C12"/>
    <w:rsid w:val="001B7F98"/>
    <w:rsid w:val="001C1986"/>
    <w:rsid w:val="001C1A06"/>
    <w:rsid w:val="001C2783"/>
    <w:rsid w:val="001C2A01"/>
    <w:rsid w:val="001C44D2"/>
    <w:rsid w:val="001C5BF3"/>
    <w:rsid w:val="001C6B00"/>
    <w:rsid w:val="001C6D93"/>
    <w:rsid w:val="001D0111"/>
    <w:rsid w:val="001D01BF"/>
    <w:rsid w:val="001D1521"/>
    <w:rsid w:val="001D1813"/>
    <w:rsid w:val="001D7C2C"/>
    <w:rsid w:val="001E0B77"/>
    <w:rsid w:val="001E0B94"/>
    <w:rsid w:val="001E19D7"/>
    <w:rsid w:val="001E21D7"/>
    <w:rsid w:val="001E2EA3"/>
    <w:rsid w:val="001E2F9A"/>
    <w:rsid w:val="001E4503"/>
    <w:rsid w:val="001E5650"/>
    <w:rsid w:val="001E5807"/>
    <w:rsid w:val="001F02F3"/>
    <w:rsid w:val="001F27B7"/>
    <w:rsid w:val="001F30FB"/>
    <w:rsid w:val="001F5FDD"/>
    <w:rsid w:val="001F667D"/>
    <w:rsid w:val="001F687E"/>
    <w:rsid w:val="00200334"/>
    <w:rsid w:val="00201CCD"/>
    <w:rsid w:val="00201F6E"/>
    <w:rsid w:val="00202AD7"/>
    <w:rsid w:val="002037DF"/>
    <w:rsid w:val="00203E5A"/>
    <w:rsid w:val="002050B9"/>
    <w:rsid w:val="00205E02"/>
    <w:rsid w:val="002069DD"/>
    <w:rsid w:val="002102EF"/>
    <w:rsid w:val="00212619"/>
    <w:rsid w:val="002131E4"/>
    <w:rsid w:val="00213F4A"/>
    <w:rsid w:val="00214FAA"/>
    <w:rsid w:val="002155ED"/>
    <w:rsid w:val="0021563E"/>
    <w:rsid w:val="00216777"/>
    <w:rsid w:val="002179D1"/>
    <w:rsid w:val="00220641"/>
    <w:rsid w:val="00224770"/>
    <w:rsid w:val="00225057"/>
    <w:rsid w:val="00225259"/>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3B7F"/>
    <w:rsid w:val="002643AF"/>
    <w:rsid w:val="00264588"/>
    <w:rsid w:val="0026558B"/>
    <w:rsid w:val="00267859"/>
    <w:rsid w:val="00270B47"/>
    <w:rsid w:val="00271BF5"/>
    <w:rsid w:val="00271D85"/>
    <w:rsid w:val="0027221A"/>
    <w:rsid w:val="0027284F"/>
    <w:rsid w:val="002750A6"/>
    <w:rsid w:val="002750C0"/>
    <w:rsid w:val="0027619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A7DA1"/>
    <w:rsid w:val="002B3476"/>
    <w:rsid w:val="002B4234"/>
    <w:rsid w:val="002B5ADB"/>
    <w:rsid w:val="002C0C55"/>
    <w:rsid w:val="002C0C71"/>
    <w:rsid w:val="002C3C86"/>
    <w:rsid w:val="002C568C"/>
    <w:rsid w:val="002C5E88"/>
    <w:rsid w:val="002D012B"/>
    <w:rsid w:val="002D06F7"/>
    <w:rsid w:val="002D18BF"/>
    <w:rsid w:val="002D1CC3"/>
    <w:rsid w:val="002D39AC"/>
    <w:rsid w:val="002D5E75"/>
    <w:rsid w:val="002D5F7A"/>
    <w:rsid w:val="002D6418"/>
    <w:rsid w:val="002E3CEF"/>
    <w:rsid w:val="002E46AB"/>
    <w:rsid w:val="002E5CA9"/>
    <w:rsid w:val="002F0337"/>
    <w:rsid w:val="002F3CDD"/>
    <w:rsid w:val="002F5878"/>
    <w:rsid w:val="002F7B99"/>
    <w:rsid w:val="00301D82"/>
    <w:rsid w:val="00302D3F"/>
    <w:rsid w:val="003030AA"/>
    <w:rsid w:val="00303DD8"/>
    <w:rsid w:val="00303EE3"/>
    <w:rsid w:val="00304B82"/>
    <w:rsid w:val="00306307"/>
    <w:rsid w:val="0030785A"/>
    <w:rsid w:val="003078B4"/>
    <w:rsid w:val="003079EC"/>
    <w:rsid w:val="00307F98"/>
    <w:rsid w:val="003103B0"/>
    <w:rsid w:val="00312739"/>
    <w:rsid w:val="00312A19"/>
    <w:rsid w:val="00314845"/>
    <w:rsid w:val="00317580"/>
    <w:rsid w:val="0032026C"/>
    <w:rsid w:val="00320371"/>
    <w:rsid w:val="00324696"/>
    <w:rsid w:val="0032484D"/>
    <w:rsid w:val="00325C01"/>
    <w:rsid w:val="00327903"/>
    <w:rsid w:val="00327EAC"/>
    <w:rsid w:val="00331E8E"/>
    <w:rsid w:val="00332A40"/>
    <w:rsid w:val="00332C4B"/>
    <w:rsid w:val="00333E04"/>
    <w:rsid w:val="00335F54"/>
    <w:rsid w:val="00336346"/>
    <w:rsid w:val="00342240"/>
    <w:rsid w:val="00344402"/>
    <w:rsid w:val="0034454C"/>
    <w:rsid w:val="00344DAC"/>
    <w:rsid w:val="00345F1B"/>
    <w:rsid w:val="00346884"/>
    <w:rsid w:val="00346FEF"/>
    <w:rsid w:val="00347395"/>
    <w:rsid w:val="003506AE"/>
    <w:rsid w:val="003522D7"/>
    <w:rsid w:val="00352497"/>
    <w:rsid w:val="003533CA"/>
    <w:rsid w:val="00354D26"/>
    <w:rsid w:val="00356283"/>
    <w:rsid w:val="0035653B"/>
    <w:rsid w:val="00357756"/>
    <w:rsid w:val="00357BA6"/>
    <w:rsid w:val="003602C2"/>
    <w:rsid w:val="0036030D"/>
    <w:rsid w:val="003620FB"/>
    <w:rsid w:val="00364225"/>
    <w:rsid w:val="00366505"/>
    <w:rsid w:val="0036671D"/>
    <w:rsid w:val="00366918"/>
    <w:rsid w:val="00366DCC"/>
    <w:rsid w:val="003675D5"/>
    <w:rsid w:val="00367AAB"/>
    <w:rsid w:val="003741E5"/>
    <w:rsid w:val="00375F14"/>
    <w:rsid w:val="003764DE"/>
    <w:rsid w:val="003769AF"/>
    <w:rsid w:val="00380361"/>
    <w:rsid w:val="00380B28"/>
    <w:rsid w:val="00380BB5"/>
    <w:rsid w:val="00380E08"/>
    <w:rsid w:val="003813A0"/>
    <w:rsid w:val="00381CBF"/>
    <w:rsid w:val="00382217"/>
    <w:rsid w:val="00382F9A"/>
    <w:rsid w:val="00384767"/>
    <w:rsid w:val="0038699A"/>
    <w:rsid w:val="00387527"/>
    <w:rsid w:val="00392D76"/>
    <w:rsid w:val="00393F8C"/>
    <w:rsid w:val="00394105"/>
    <w:rsid w:val="00395F3D"/>
    <w:rsid w:val="0039698B"/>
    <w:rsid w:val="003A101E"/>
    <w:rsid w:val="003A1793"/>
    <w:rsid w:val="003A2B5B"/>
    <w:rsid w:val="003A2E8F"/>
    <w:rsid w:val="003A36B2"/>
    <w:rsid w:val="003A4882"/>
    <w:rsid w:val="003A4DC6"/>
    <w:rsid w:val="003A5F8B"/>
    <w:rsid w:val="003A7217"/>
    <w:rsid w:val="003A7AB8"/>
    <w:rsid w:val="003B0073"/>
    <w:rsid w:val="003B0D30"/>
    <w:rsid w:val="003B1445"/>
    <w:rsid w:val="003B575F"/>
    <w:rsid w:val="003B5953"/>
    <w:rsid w:val="003C1787"/>
    <w:rsid w:val="003C2495"/>
    <w:rsid w:val="003C28D0"/>
    <w:rsid w:val="003C3117"/>
    <w:rsid w:val="003C38F5"/>
    <w:rsid w:val="003C3B18"/>
    <w:rsid w:val="003C3BFC"/>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040E"/>
    <w:rsid w:val="003E4BD2"/>
    <w:rsid w:val="003E4F87"/>
    <w:rsid w:val="003E5576"/>
    <w:rsid w:val="003E5688"/>
    <w:rsid w:val="003F1211"/>
    <w:rsid w:val="003F159E"/>
    <w:rsid w:val="003F5EF2"/>
    <w:rsid w:val="003F665D"/>
    <w:rsid w:val="003F7754"/>
    <w:rsid w:val="00402AC2"/>
    <w:rsid w:val="004035C4"/>
    <w:rsid w:val="00404913"/>
    <w:rsid w:val="00407E19"/>
    <w:rsid w:val="004102C5"/>
    <w:rsid w:val="00411D30"/>
    <w:rsid w:val="004141A0"/>
    <w:rsid w:val="0041770C"/>
    <w:rsid w:val="0042031C"/>
    <w:rsid w:val="00421844"/>
    <w:rsid w:val="00421B81"/>
    <w:rsid w:val="00421C21"/>
    <w:rsid w:val="00422255"/>
    <w:rsid w:val="004253AA"/>
    <w:rsid w:val="00426884"/>
    <w:rsid w:val="00431EC4"/>
    <w:rsid w:val="00432D19"/>
    <w:rsid w:val="0043468F"/>
    <w:rsid w:val="00435E97"/>
    <w:rsid w:val="004365EF"/>
    <w:rsid w:val="00436DA5"/>
    <w:rsid w:val="00441ECA"/>
    <w:rsid w:val="00441F3E"/>
    <w:rsid w:val="004449E1"/>
    <w:rsid w:val="00444A21"/>
    <w:rsid w:val="00445B4E"/>
    <w:rsid w:val="00447333"/>
    <w:rsid w:val="0045317B"/>
    <w:rsid w:val="004537FA"/>
    <w:rsid w:val="00455504"/>
    <w:rsid w:val="00455939"/>
    <w:rsid w:val="00456B10"/>
    <w:rsid w:val="00456FCF"/>
    <w:rsid w:val="00463824"/>
    <w:rsid w:val="00464ACB"/>
    <w:rsid w:val="00465F4D"/>
    <w:rsid w:val="00470202"/>
    <w:rsid w:val="004739A3"/>
    <w:rsid w:val="00480049"/>
    <w:rsid w:val="00481ADC"/>
    <w:rsid w:val="004821A3"/>
    <w:rsid w:val="00484231"/>
    <w:rsid w:val="00484A85"/>
    <w:rsid w:val="004873F3"/>
    <w:rsid w:val="004901A5"/>
    <w:rsid w:val="00490846"/>
    <w:rsid w:val="004921DF"/>
    <w:rsid w:val="004931F9"/>
    <w:rsid w:val="00495674"/>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892"/>
    <w:rsid w:val="004C0998"/>
    <w:rsid w:val="004C2AE3"/>
    <w:rsid w:val="004C2EFC"/>
    <w:rsid w:val="004C3AB7"/>
    <w:rsid w:val="004C6358"/>
    <w:rsid w:val="004C7C09"/>
    <w:rsid w:val="004D036D"/>
    <w:rsid w:val="004D0BF9"/>
    <w:rsid w:val="004D293C"/>
    <w:rsid w:val="004D684B"/>
    <w:rsid w:val="004D7C5C"/>
    <w:rsid w:val="004E166A"/>
    <w:rsid w:val="004E6482"/>
    <w:rsid w:val="004F432A"/>
    <w:rsid w:val="004F590F"/>
    <w:rsid w:val="004F6BB4"/>
    <w:rsid w:val="004F6D37"/>
    <w:rsid w:val="005006E2"/>
    <w:rsid w:val="00502404"/>
    <w:rsid w:val="00507039"/>
    <w:rsid w:val="00510EC8"/>
    <w:rsid w:val="00512FDF"/>
    <w:rsid w:val="005145C3"/>
    <w:rsid w:val="00514968"/>
    <w:rsid w:val="00514ECB"/>
    <w:rsid w:val="00515340"/>
    <w:rsid w:val="0051617E"/>
    <w:rsid w:val="00517104"/>
    <w:rsid w:val="00517D5A"/>
    <w:rsid w:val="00520833"/>
    <w:rsid w:val="00520941"/>
    <w:rsid w:val="00520CE7"/>
    <w:rsid w:val="0052159D"/>
    <w:rsid w:val="005218C7"/>
    <w:rsid w:val="00522D14"/>
    <w:rsid w:val="00522F5F"/>
    <w:rsid w:val="00524144"/>
    <w:rsid w:val="005248A7"/>
    <w:rsid w:val="00525292"/>
    <w:rsid w:val="005257D0"/>
    <w:rsid w:val="00527788"/>
    <w:rsid w:val="005301FC"/>
    <w:rsid w:val="00530477"/>
    <w:rsid w:val="00531180"/>
    <w:rsid w:val="00532D6E"/>
    <w:rsid w:val="005338A0"/>
    <w:rsid w:val="00534C78"/>
    <w:rsid w:val="005356C2"/>
    <w:rsid w:val="00535A15"/>
    <w:rsid w:val="00536A69"/>
    <w:rsid w:val="00536B22"/>
    <w:rsid w:val="005379D8"/>
    <w:rsid w:val="00540589"/>
    <w:rsid w:val="00541E48"/>
    <w:rsid w:val="00542020"/>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A48"/>
    <w:rsid w:val="00570873"/>
    <w:rsid w:val="00573656"/>
    <w:rsid w:val="005759B7"/>
    <w:rsid w:val="005768C9"/>
    <w:rsid w:val="00577B19"/>
    <w:rsid w:val="00580CB5"/>
    <w:rsid w:val="00580E2B"/>
    <w:rsid w:val="0058155B"/>
    <w:rsid w:val="00581E7E"/>
    <w:rsid w:val="00587600"/>
    <w:rsid w:val="0058770B"/>
    <w:rsid w:val="0059124F"/>
    <w:rsid w:val="005921B2"/>
    <w:rsid w:val="00592CEF"/>
    <w:rsid w:val="005941A3"/>
    <w:rsid w:val="005946AB"/>
    <w:rsid w:val="00595372"/>
    <w:rsid w:val="00595A74"/>
    <w:rsid w:val="00595D7F"/>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B48AF"/>
    <w:rsid w:val="005C1745"/>
    <w:rsid w:val="005C1922"/>
    <w:rsid w:val="005C1E0B"/>
    <w:rsid w:val="005C3394"/>
    <w:rsid w:val="005C4433"/>
    <w:rsid w:val="005C4EB9"/>
    <w:rsid w:val="005C5476"/>
    <w:rsid w:val="005C7D0C"/>
    <w:rsid w:val="005D233F"/>
    <w:rsid w:val="005D4244"/>
    <w:rsid w:val="005D543B"/>
    <w:rsid w:val="005E07A8"/>
    <w:rsid w:val="005E1AEF"/>
    <w:rsid w:val="005E3669"/>
    <w:rsid w:val="005E72B7"/>
    <w:rsid w:val="005F2E76"/>
    <w:rsid w:val="005F5F80"/>
    <w:rsid w:val="005F62ED"/>
    <w:rsid w:val="005F7339"/>
    <w:rsid w:val="00600634"/>
    <w:rsid w:val="00605067"/>
    <w:rsid w:val="006054A8"/>
    <w:rsid w:val="00605AB6"/>
    <w:rsid w:val="00607855"/>
    <w:rsid w:val="00607E0F"/>
    <w:rsid w:val="00610F50"/>
    <w:rsid w:val="006113E0"/>
    <w:rsid w:val="0061268C"/>
    <w:rsid w:val="00612D41"/>
    <w:rsid w:val="00615C75"/>
    <w:rsid w:val="0061636A"/>
    <w:rsid w:val="00621087"/>
    <w:rsid w:val="00623AD7"/>
    <w:rsid w:val="00624939"/>
    <w:rsid w:val="00624F1A"/>
    <w:rsid w:val="006269A1"/>
    <w:rsid w:val="00627A68"/>
    <w:rsid w:val="006303FF"/>
    <w:rsid w:val="00631829"/>
    <w:rsid w:val="006325B1"/>
    <w:rsid w:val="00632AEC"/>
    <w:rsid w:val="00636A3D"/>
    <w:rsid w:val="006403D2"/>
    <w:rsid w:val="00643D57"/>
    <w:rsid w:val="0064499E"/>
    <w:rsid w:val="00645592"/>
    <w:rsid w:val="006513CC"/>
    <w:rsid w:val="0065176F"/>
    <w:rsid w:val="006520E7"/>
    <w:rsid w:val="006533A2"/>
    <w:rsid w:val="0065372D"/>
    <w:rsid w:val="006553F9"/>
    <w:rsid w:val="006560F8"/>
    <w:rsid w:val="00657876"/>
    <w:rsid w:val="006650CD"/>
    <w:rsid w:val="0066694A"/>
    <w:rsid w:val="00666A55"/>
    <w:rsid w:val="006705F7"/>
    <w:rsid w:val="006708F8"/>
    <w:rsid w:val="006733D5"/>
    <w:rsid w:val="00674E0A"/>
    <w:rsid w:val="00675DD7"/>
    <w:rsid w:val="00680AD8"/>
    <w:rsid w:val="006814E7"/>
    <w:rsid w:val="00682275"/>
    <w:rsid w:val="006826AF"/>
    <w:rsid w:val="00684458"/>
    <w:rsid w:val="00687E3F"/>
    <w:rsid w:val="006906B7"/>
    <w:rsid w:val="006906F3"/>
    <w:rsid w:val="00692BAB"/>
    <w:rsid w:val="00693E98"/>
    <w:rsid w:val="0069542D"/>
    <w:rsid w:val="00695BD7"/>
    <w:rsid w:val="006969C6"/>
    <w:rsid w:val="006A11AA"/>
    <w:rsid w:val="006A1400"/>
    <w:rsid w:val="006A21E4"/>
    <w:rsid w:val="006A25D2"/>
    <w:rsid w:val="006A2BD7"/>
    <w:rsid w:val="006A3466"/>
    <w:rsid w:val="006A4D5B"/>
    <w:rsid w:val="006A5179"/>
    <w:rsid w:val="006A7EAE"/>
    <w:rsid w:val="006B0549"/>
    <w:rsid w:val="006B0698"/>
    <w:rsid w:val="006B0C48"/>
    <w:rsid w:val="006B0F22"/>
    <w:rsid w:val="006B55C6"/>
    <w:rsid w:val="006B5BEF"/>
    <w:rsid w:val="006B68C4"/>
    <w:rsid w:val="006B7171"/>
    <w:rsid w:val="006C1B8D"/>
    <w:rsid w:val="006C353D"/>
    <w:rsid w:val="006C3A63"/>
    <w:rsid w:val="006C3ED5"/>
    <w:rsid w:val="006C552B"/>
    <w:rsid w:val="006D01D3"/>
    <w:rsid w:val="006D501C"/>
    <w:rsid w:val="006D6315"/>
    <w:rsid w:val="006D636E"/>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3C43"/>
    <w:rsid w:val="006F4EF5"/>
    <w:rsid w:val="006F5026"/>
    <w:rsid w:val="006F5D61"/>
    <w:rsid w:val="006F7519"/>
    <w:rsid w:val="007013CB"/>
    <w:rsid w:val="00703ED5"/>
    <w:rsid w:val="0070409F"/>
    <w:rsid w:val="007107AD"/>
    <w:rsid w:val="007113DC"/>
    <w:rsid w:val="00711700"/>
    <w:rsid w:val="00712FA6"/>
    <w:rsid w:val="0071352B"/>
    <w:rsid w:val="0071402E"/>
    <w:rsid w:val="0071563E"/>
    <w:rsid w:val="00715918"/>
    <w:rsid w:val="007172F6"/>
    <w:rsid w:val="007200B2"/>
    <w:rsid w:val="007200B7"/>
    <w:rsid w:val="00722F8A"/>
    <w:rsid w:val="007230BC"/>
    <w:rsid w:val="00723188"/>
    <w:rsid w:val="00723E74"/>
    <w:rsid w:val="007242B4"/>
    <w:rsid w:val="00724BED"/>
    <w:rsid w:val="00726E9F"/>
    <w:rsid w:val="0073005B"/>
    <w:rsid w:val="00730E81"/>
    <w:rsid w:val="007317EC"/>
    <w:rsid w:val="00732386"/>
    <w:rsid w:val="00733BDE"/>
    <w:rsid w:val="00733E21"/>
    <w:rsid w:val="0073404F"/>
    <w:rsid w:val="00734A0C"/>
    <w:rsid w:val="00740B16"/>
    <w:rsid w:val="00742E67"/>
    <w:rsid w:val="0074357F"/>
    <w:rsid w:val="00743F50"/>
    <w:rsid w:val="00747EF6"/>
    <w:rsid w:val="007508EF"/>
    <w:rsid w:val="00750B62"/>
    <w:rsid w:val="0075159B"/>
    <w:rsid w:val="007525CA"/>
    <w:rsid w:val="007531D5"/>
    <w:rsid w:val="0075373D"/>
    <w:rsid w:val="00753F14"/>
    <w:rsid w:val="00757106"/>
    <w:rsid w:val="00761997"/>
    <w:rsid w:val="00762CA1"/>
    <w:rsid w:val="00766B76"/>
    <w:rsid w:val="00771621"/>
    <w:rsid w:val="00774A60"/>
    <w:rsid w:val="00774FA6"/>
    <w:rsid w:val="00775A18"/>
    <w:rsid w:val="00777580"/>
    <w:rsid w:val="007871AD"/>
    <w:rsid w:val="00787CB4"/>
    <w:rsid w:val="00791B92"/>
    <w:rsid w:val="00792DB0"/>
    <w:rsid w:val="007931E8"/>
    <w:rsid w:val="007934D2"/>
    <w:rsid w:val="00795B9D"/>
    <w:rsid w:val="00795E61"/>
    <w:rsid w:val="00795E6A"/>
    <w:rsid w:val="007966DB"/>
    <w:rsid w:val="007B3A5E"/>
    <w:rsid w:val="007B5180"/>
    <w:rsid w:val="007B529A"/>
    <w:rsid w:val="007B57B1"/>
    <w:rsid w:val="007B5C83"/>
    <w:rsid w:val="007B689C"/>
    <w:rsid w:val="007C02F9"/>
    <w:rsid w:val="007C108B"/>
    <w:rsid w:val="007C2436"/>
    <w:rsid w:val="007C2DF7"/>
    <w:rsid w:val="007C302D"/>
    <w:rsid w:val="007C3FFF"/>
    <w:rsid w:val="007C60E1"/>
    <w:rsid w:val="007C6B4E"/>
    <w:rsid w:val="007D023F"/>
    <w:rsid w:val="007D127A"/>
    <w:rsid w:val="007D1376"/>
    <w:rsid w:val="007D16C5"/>
    <w:rsid w:val="007D25EE"/>
    <w:rsid w:val="007D3BF6"/>
    <w:rsid w:val="007D3C65"/>
    <w:rsid w:val="007D5979"/>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61A3"/>
    <w:rsid w:val="00807E32"/>
    <w:rsid w:val="00810C49"/>
    <w:rsid w:val="008124F5"/>
    <w:rsid w:val="0081262E"/>
    <w:rsid w:val="00813262"/>
    <w:rsid w:val="008132B5"/>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1DE1"/>
    <w:rsid w:val="00833925"/>
    <w:rsid w:val="0083393C"/>
    <w:rsid w:val="00834FAB"/>
    <w:rsid w:val="00835493"/>
    <w:rsid w:val="00836FF8"/>
    <w:rsid w:val="00842E61"/>
    <w:rsid w:val="00843356"/>
    <w:rsid w:val="008440E4"/>
    <w:rsid w:val="008443E7"/>
    <w:rsid w:val="008449E3"/>
    <w:rsid w:val="0084640D"/>
    <w:rsid w:val="008464B2"/>
    <w:rsid w:val="00847665"/>
    <w:rsid w:val="00847BE1"/>
    <w:rsid w:val="00851136"/>
    <w:rsid w:val="008519A8"/>
    <w:rsid w:val="00851EBF"/>
    <w:rsid w:val="00852964"/>
    <w:rsid w:val="00854496"/>
    <w:rsid w:val="008549E8"/>
    <w:rsid w:val="008552B3"/>
    <w:rsid w:val="0086021D"/>
    <w:rsid w:val="00862AF4"/>
    <w:rsid w:val="008634B7"/>
    <w:rsid w:val="00863F89"/>
    <w:rsid w:val="00863FC5"/>
    <w:rsid w:val="008643F3"/>
    <w:rsid w:val="008713F9"/>
    <w:rsid w:val="00874C86"/>
    <w:rsid w:val="0087518D"/>
    <w:rsid w:val="00875EDB"/>
    <w:rsid w:val="00876CE8"/>
    <w:rsid w:val="00880057"/>
    <w:rsid w:val="00881DF6"/>
    <w:rsid w:val="0088227A"/>
    <w:rsid w:val="00882805"/>
    <w:rsid w:val="00883C3A"/>
    <w:rsid w:val="00885BDE"/>
    <w:rsid w:val="008868E6"/>
    <w:rsid w:val="00886E11"/>
    <w:rsid w:val="00890231"/>
    <w:rsid w:val="0089063F"/>
    <w:rsid w:val="008906F3"/>
    <w:rsid w:val="008922CA"/>
    <w:rsid w:val="0089541D"/>
    <w:rsid w:val="008955B8"/>
    <w:rsid w:val="00895B40"/>
    <w:rsid w:val="00897A92"/>
    <w:rsid w:val="008A0455"/>
    <w:rsid w:val="008A0B8C"/>
    <w:rsid w:val="008A1722"/>
    <w:rsid w:val="008A1BCF"/>
    <w:rsid w:val="008A1CC4"/>
    <w:rsid w:val="008A4AEA"/>
    <w:rsid w:val="008A5A08"/>
    <w:rsid w:val="008A6BAF"/>
    <w:rsid w:val="008A7920"/>
    <w:rsid w:val="008A7D64"/>
    <w:rsid w:val="008B18BD"/>
    <w:rsid w:val="008B2718"/>
    <w:rsid w:val="008B59A4"/>
    <w:rsid w:val="008B7668"/>
    <w:rsid w:val="008C07AB"/>
    <w:rsid w:val="008C121E"/>
    <w:rsid w:val="008C1253"/>
    <w:rsid w:val="008C1E2D"/>
    <w:rsid w:val="008C5D7E"/>
    <w:rsid w:val="008C5EBA"/>
    <w:rsid w:val="008C66FD"/>
    <w:rsid w:val="008C698B"/>
    <w:rsid w:val="008D0B54"/>
    <w:rsid w:val="008D2B88"/>
    <w:rsid w:val="008D2D7E"/>
    <w:rsid w:val="008D5182"/>
    <w:rsid w:val="008D5359"/>
    <w:rsid w:val="008D6D5E"/>
    <w:rsid w:val="008D7435"/>
    <w:rsid w:val="008E0484"/>
    <w:rsid w:val="008E187B"/>
    <w:rsid w:val="008E234D"/>
    <w:rsid w:val="008E2D6B"/>
    <w:rsid w:val="008E2E6D"/>
    <w:rsid w:val="008E39DC"/>
    <w:rsid w:val="008E3C7A"/>
    <w:rsid w:val="008E455C"/>
    <w:rsid w:val="008E4FB8"/>
    <w:rsid w:val="008E6DF2"/>
    <w:rsid w:val="008E7355"/>
    <w:rsid w:val="008E7E5A"/>
    <w:rsid w:val="008F1860"/>
    <w:rsid w:val="008F2137"/>
    <w:rsid w:val="008F4640"/>
    <w:rsid w:val="008F4E1B"/>
    <w:rsid w:val="008F5981"/>
    <w:rsid w:val="008F67D8"/>
    <w:rsid w:val="008F6CD7"/>
    <w:rsid w:val="00900ED6"/>
    <w:rsid w:val="00901BE4"/>
    <w:rsid w:val="0090264F"/>
    <w:rsid w:val="009032E4"/>
    <w:rsid w:val="00906CCD"/>
    <w:rsid w:val="0090727A"/>
    <w:rsid w:val="009101A1"/>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037B"/>
    <w:rsid w:val="00931374"/>
    <w:rsid w:val="009317D3"/>
    <w:rsid w:val="00931AA1"/>
    <w:rsid w:val="00934706"/>
    <w:rsid w:val="0093560B"/>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28C0"/>
    <w:rsid w:val="0095559B"/>
    <w:rsid w:val="00955D10"/>
    <w:rsid w:val="00956F13"/>
    <w:rsid w:val="00960DBC"/>
    <w:rsid w:val="00962634"/>
    <w:rsid w:val="00963347"/>
    <w:rsid w:val="0096360A"/>
    <w:rsid w:val="009637E5"/>
    <w:rsid w:val="00963B87"/>
    <w:rsid w:val="009656E3"/>
    <w:rsid w:val="00965AEA"/>
    <w:rsid w:val="009672C2"/>
    <w:rsid w:val="00967D55"/>
    <w:rsid w:val="00970D87"/>
    <w:rsid w:val="009723AD"/>
    <w:rsid w:val="00974468"/>
    <w:rsid w:val="0097656A"/>
    <w:rsid w:val="0097742B"/>
    <w:rsid w:val="00982647"/>
    <w:rsid w:val="00982829"/>
    <w:rsid w:val="00982B4D"/>
    <w:rsid w:val="0098335F"/>
    <w:rsid w:val="00984BE6"/>
    <w:rsid w:val="009859C9"/>
    <w:rsid w:val="00985A22"/>
    <w:rsid w:val="00985B30"/>
    <w:rsid w:val="009865DB"/>
    <w:rsid w:val="00986A89"/>
    <w:rsid w:val="00987B47"/>
    <w:rsid w:val="009910CE"/>
    <w:rsid w:val="00994000"/>
    <w:rsid w:val="009A0AFD"/>
    <w:rsid w:val="009A4BB1"/>
    <w:rsid w:val="009A5373"/>
    <w:rsid w:val="009B0139"/>
    <w:rsid w:val="009B0CF8"/>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D7BC6"/>
    <w:rsid w:val="009E1C94"/>
    <w:rsid w:val="009E2663"/>
    <w:rsid w:val="009E2754"/>
    <w:rsid w:val="009E3746"/>
    <w:rsid w:val="009F10DE"/>
    <w:rsid w:val="009F2325"/>
    <w:rsid w:val="009F3886"/>
    <w:rsid w:val="00A04393"/>
    <w:rsid w:val="00A05AE5"/>
    <w:rsid w:val="00A07020"/>
    <w:rsid w:val="00A0707E"/>
    <w:rsid w:val="00A07187"/>
    <w:rsid w:val="00A071D8"/>
    <w:rsid w:val="00A0730F"/>
    <w:rsid w:val="00A07682"/>
    <w:rsid w:val="00A109EC"/>
    <w:rsid w:val="00A144A7"/>
    <w:rsid w:val="00A14B99"/>
    <w:rsid w:val="00A15C5C"/>
    <w:rsid w:val="00A15FC6"/>
    <w:rsid w:val="00A1667B"/>
    <w:rsid w:val="00A1708E"/>
    <w:rsid w:val="00A17248"/>
    <w:rsid w:val="00A17E54"/>
    <w:rsid w:val="00A2029D"/>
    <w:rsid w:val="00A23736"/>
    <w:rsid w:val="00A256D6"/>
    <w:rsid w:val="00A266C5"/>
    <w:rsid w:val="00A27237"/>
    <w:rsid w:val="00A27C1B"/>
    <w:rsid w:val="00A32048"/>
    <w:rsid w:val="00A323C0"/>
    <w:rsid w:val="00A33B33"/>
    <w:rsid w:val="00A33E32"/>
    <w:rsid w:val="00A350ED"/>
    <w:rsid w:val="00A35384"/>
    <w:rsid w:val="00A359A1"/>
    <w:rsid w:val="00A40089"/>
    <w:rsid w:val="00A40ACC"/>
    <w:rsid w:val="00A41584"/>
    <w:rsid w:val="00A42F5D"/>
    <w:rsid w:val="00A43080"/>
    <w:rsid w:val="00A43B47"/>
    <w:rsid w:val="00A44911"/>
    <w:rsid w:val="00A4674F"/>
    <w:rsid w:val="00A50902"/>
    <w:rsid w:val="00A50B75"/>
    <w:rsid w:val="00A52BF6"/>
    <w:rsid w:val="00A52D05"/>
    <w:rsid w:val="00A52F4F"/>
    <w:rsid w:val="00A530E9"/>
    <w:rsid w:val="00A54E73"/>
    <w:rsid w:val="00A550CF"/>
    <w:rsid w:val="00A628AF"/>
    <w:rsid w:val="00A63B2C"/>
    <w:rsid w:val="00A63B34"/>
    <w:rsid w:val="00A65D21"/>
    <w:rsid w:val="00A71F8B"/>
    <w:rsid w:val="00A72A1B"/>
    <w:rsid w:val="00A7342F"/>
    <w:rsid w:val="00A73660"/>
    <w:rsid w:val="00A74634"/>
    <w:rsid w:val="00A74669"/>
    <w:rsid w:val="00A7645F"/>
    <w:rsid w:val="00A82823"/>
    <w:rsid w:val="00A83C91"/>
    <w:rsid w:val="00A8439B"/>
    <w:rsid w:val="00A84E87"/>
    <w:rsid w:val="00A864E1"/>
    <w:rsid w:val="00A9164D"/>
    <w:rsid w:val="00A91AB7"/>
    <w:rsid w:val="00A92183"/>
    <w:rsid w:val="00A941F2"/>
    <w:rsid w:val="00A94BDA"/>
    <w:rsid w:val="00A94C41"/>
    <w:rsid w:val="00A94DFA"/>
    <w:rsid w:val="00A97218"/>
    <w:rsid w:val="00A979E2"/>
    <w:rsid w:val="00AA009C"/>
    <w:rsid w:val="00AA0462"/>
    <w:rsid w:val="00AA04A0"/>
    <w:rsid w:val="00AA12C8"/>
    <w:rsid w:val="00AA35A1"/>
    <w:rsid w:val="00AA5086"/>
    <w:rsid w:val="00AA5848"/>
    <w:rsid w:val="00AA5AD2"/>
    <w:rsid w:val="00AB004E"/>
    <w:rsid w:val="00AB0B0A"/>
    <w:rsid w:val="00AB0CDE"/>
    <w:rsid w:val="00AB1643"/>
    <w:rsid w:val="00AB525B"/>
    <w:rsid w:val="00AB56AA"/>
    <w:rsid w:val="00AC08F8"/>
    <w:rsid w:val="00AC09D9"/>
    <w:rsid w:val="00AC2CEE"/>
    <w:rsid w:val="00AC34FD"/>
    <w:rsid w:val="00AC3823"/>
    <w:rsid w:val="00AC4797"/>
    <w:rsid w:val="00AC7702"/>
    <w:rsid w:val="00AD2C45"/>
    <w:rsid w:val="00AD3281"/>
    <w:rsid w:val="00AD3FD8"/>
    <w:rsid w:val="00AD4D0A"/>
    <w:rsid w:val="00AD7A33"/>
    <w:rsid w:val="00AE0C95"/>
    <w:rsid w:val="00AE1619"/>
    <w:rsid w:val="00AE1C26"/>
    <w:rsid w:val="00AE1E9E"/>
    <w:rsid w:val="00AE1F14"/>
    <w:rsid w:val="00AE2E70"/>
    <w:rsid w:val="00AE3E40"/>
    <w:rsid w:val="00AE72CC"/>
    <w:rsid w:val="00AE7335"/>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DF0"/>
    <w:rsid w:val="00B079A7"/>
    <w:rsid w:val="00B10DB9"/>
    <w:rsid w:val="00B11DF8"/>
    <w:rsid w:val="00B15D82"/>
    <w:rsid w:val="00B17A76"/>
    <w:rsid w:val="00B2056A"/>
    <w:rsid w:val="00B20D4C"/>
    <w:rsid w:val="00B231D9"/>
    <w:rsid w:val="00B23473"/>
    <w:rsid w:val="00B23AE4"/>
    <w:rsid w:val="00B24C4E"/>
    <w:rsid w:val="00B271C5"/>
    <w:rsid w:val="00B303DD"/>
    <w:rsid w:val="00B34854"/>
    <w:rsid w:val="00B34BE7"/>
    <w:rsid w:val="00B3678C"/>
    <w:rsid w:val="00B37E4B"/>
    <w:rsid w:val="00B4039E"/>
    <w:rsid w:val="00B40EAB"/>
    <w:rsid w:val="00B41B3F"/>
    <w:rsid w:val="00B42417"/>
    <w:rsid w:val="00B42880"/>
    <w:rsid w:val="00B440D9"/>
    <w:rsid w:val="00B45060"/>
    <w:rsid w:val="00B45447"/>
    <w:rsid w:val="00B473EC"/>
    <w:rsid w:val="00B47B6B"/>
    <w:rsid w:val="00B47C7E"/>
    <w:rsid w:val="00B50946"/>
    <w:rsid w:val="00B512E6"/>
    <w:rsid w:val="00B5326E"/>
    <w:rsid w:val="00B53AB1"/>
    <w:rsid w:val="00B54559"/>
    <w:rsid w:val="00B57406"/>
    <w:rsid w:val="00B605C6"/>
    <w:rsid w:val="00B608E6"/>
    <w:rsid w:val="00B63DE0"/>
    <w:rsid w:val="00B65FB4"/>
    <w:rsid w:val="00B70B72"/>
    <w:rsid w:val="00B715B4"/>
    <w:rsid w:val="00B73CA9"/>
    <w:rsid w:val="00B7599B"/>
    <w:rsid w:val="00B75AFF"/>
    <w:rsid w:val="00B75DA5"/>
    <w:rsid w:val="00B765CA"/>
    <w:rsid w:val="00B772BD"/>
    <w:rsid w:val="00B77980"/>
    <w:rsid w:val="00B77DF7"/>
    <w:rsid w:val="00B851A8"/>
    <w:rsid w:val="00B856DA"/>
    <w:rsid w:val="00B8765D"/>
    <w:rsid w:val="00B87E29"/>
    <w:rsid w:val="00B96371"/>
    <w:rsid w:val="00B97B4C"/>
    <w:rsid w:val="00BA1261"/>
    <w:rsid w:val="00BA1F76"/>
    <w:rsid w:val="00BA2559"/>
    <w:rsid w:val="00BA3C48"/>
    <w:rsid w:val="00BA5DC1"/>
    <w:rsid w:val="00BA6C3B"/>
    <w:rsid w:val="00BB0119"/>
    <w:rsid w:val="00BB0F4E"/>
    <w:rsid w:val="00BB2D8B"/>
    <w:rsid w:val="00BB372A"/>
    <w:rsid w:val="00BB42EF"/>
    <w:rsid w:val="00BB55F4"/>
    <w:rsid w:val="00BB758B"/>
    <w:rsid w:val="00BC09B3"/>
    <w:rsid w:val="00BC1DD2"/>
    <w:rsid w:val="00BC5571"/>
    <w:rsid w:val="00BC5676"/>
    <w:rsid w:val="00BC689E"/>
    <w:rsid w:val="00BD1BBA"/>
    <w:rsid w:val="00BD1E7E"/>
    <w:rsid w:val="00BD2346"/>
    <w:rsid w:val="00BD2FF4"/>
    <w:rsid w:val="00BD3B34"/>
    <w:rsid w:val="00BD4C23"/>
    <w:rsid w:val="00BD4F4F"/>
    <w:rsid w:val="00BD5D70"/>
    <w:rsid w:val="00BD6622"/>
    <w:rsid w:val="00BD66E6"/>
    <w:rsid w:val="00BD75B5"/>
    <w:rsid w:val="00BD782E"/>
    <w:rsid w:val="00BD7B31"/>
    <w:rsid w:val="00BE0723"/>
    <w:rsid w:val="00BE1885"/>
    <w:rsid w:val="00BE30DE"/>
    <w:rsid w:val="00BE39FD"/>
    <w:rsid w:val="00BE47F4"/>
    <w:rsid w:val="00BE5B4B"/>
    <w:rsid w:val="00BE67C3"/>
    <w:rsid w:val="00BE7434"/>
    <w:rsid w:val="00BF0682"/>
    <w:rsid w:val="00BF1147"/>
    <w:rsid w:val="00BF23D2"/>
    <w:rsid w:val="00BF349C"/>
    <w:rsid w:val="00BF3831"/>
    <w:rsid w:val="00BF4BB3"/>
    <w:rsid w:val="00BF57F0"/>
    <w:rsid w:val="00BF6A10"/>
    <w:rsid w:val="00BF6BC8"/>
    <w:rsid w:val="00C010A7"/>
    <w:rsid w:val="00C015DC"/>
    <w:rsid w:val="00C048DB"/>
    <w:rsid w:val="00C143F4"/>
    <w:rsid w:val="00C14DDD"/>
    <w:rsid w:val="00C16717"/>
    <w:rsid w:val="00C16FD9"/>
    <w:rsid w:val="00C173CA"/>
    <w:rsid w:val="00C173F7"/>
    <w:rsid w:val="00C176D2"/>
    <w:rsid w:val="00C17C3A"/>
    <w:rsid w:val="00C17CC6"/>
    <w:rsid w:val="00C20009"/>
    <w:rsid w:val="00C20168"/>
    <w:rsid w:val="00C239AF"/>
    <w:rsid w:val="00C25E62"/>
    <w:rsid w:val="00C267A1"/>
    <w:rsid w:val="00C27682"/>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BF"/>
    <w:rsid w:val="00C56FD7"/>
    <w:rsid w:val="00C60878"/>
    <w:rsid w:val="00C625DD"/>
    <w:rsid w:val="00C678DF"/>
    <w:rsid w:val="00C70920"/>
    <w:rsid w:val="00C70D92"/>
    <w:rsid w:val="00C72E70"/>
    <w:rsid w:val="00C75012"/>
    <w:rsid w:val="00C763C6"/>
    <w:rsid w:val="00C77B17"/>
    <w:rsid w:val="00C80AF1"/>
    <w:rsid w:val="00C814D9"/>
    <w:rsid w:val="00C821F5"/>
    <w:rsid w:val="00C8223F"/>
    <w:rsid w:val="00C8280E"/>
    <w:rsid w:val="00C83FA6"/>
    <w:rsid w:val="00C843B2"/>
    <w:rsid w:val="00C850B6"/>
    <w:rsid w:val="00C85712"/>
    <w:rsid w:val="00C86045"/>
    <w:rsid w:val="00C8665D"/>
    <w:rsid w:val="00C86A46"/>
    <w:rsid w:val="00C8763F"/>
    <w:rsid w:val="00C90FB6"/>
    <w:rsid w:val="00C9177F"/>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139E"/>
    <w:rsid w:val="00CB1CCD"/>
    <w:rsid w:val="00CB3DC0"/>
    <w:rsid w:val="00CB4136"/>
    <w:rsid w:val="00CB573E"/>
    <w:rsid w:val="00CB7D84"/>
    <w:rsid w:val="00CC11B8"/>
    <w:rsid w:val="00CC2555"/>
    <w:rsid w:val="00CC38FF"/>
    <w:rsid w:val="00CC4C68"/>
    <w:rsid w:val="00CC576D"/>
    <w:rsid w:val="00CC61A0"/>
    <w:rsid w:val="00CC6C74"/>
    <w:rsid w:val="00CC71D1"/>
    <w:rsid w:val="00CD09C0"/>
    <w:rsid w:val="00CD1315"/>
    <w:rsid w:val="00CD2F8C"/>
    <w:rsid w:val="00CD48D5"/>
    <w:rsid w:val="00CD5EE9"/>
    <w:rsid w:val="00CE2263"/>
    <w:rsid w:val="00CE304C"/>
    <w:rsid w:val="00CE6956"/>
    <w:rsid w:val="00CE782C"/>
    <w:rsid w:val="00CE7C72"/>
    <w:rsid w:val="00CF0F40"/>
    <w:rsid w:val="00CF1A54"/>
    <w:rsid w:val="00CF20FD"/>
    <w:rsid w:val="00CF2AD9"/>
    <w:rsid w:val="00CF3097"/>
    <w:rsid w:val="00CF3442"/>
    <w:rsid w:val="00CF3BA4"/>
    <w:rsid w:val="00CF3E33"/>
    <w:rsid w:val="00CF5DDA"/>
    <w:rsid w:val="00CF63EB"/>
    <w:rsid w:val="00D00CC7"/>
    <w:rsid w:val="00D016B4"/>
    <w:rsid w:val="00D01766"/>
    <w:rsid w:val="00D02802"/>
    <w:rsid w:val="00D03465"/>
    <w:rsid w:val="00D054A2"/>
    <w:rsid w:val="00D05578"/>
    <w:rsid w:val="00D11BF8"/>
    <w:rsid w:val="00D124F9"/>
    <w:rsid w:val="00D12AEB"/>
    <w:rsid w:val="00D13800"/>
    <w:rsid w:val="00D142B2"/>
    <w:rsid w:val="00D1440E"/>
    <w:rsid w:val="00D15494"/>
    <w:rsid w:val="00D15AA5"/>
    <w:rsid w:val="00D1799E"/>
    <w:rsid w:val="00D17C2F"/>
    <w:rsid w:val="00D223EB"/>
    <w:rsid w:val="00D234A6"/>
    <w:rsid w:val="00D23E55"/>
    <w:rsid w:val="00D24403"/>
    <w:rsid w:val="00D248EF"/>
    <w:rsid w:val="00D24AF2"/>
    <w:rsid w:val="00D25722"/>
    <w:rsid w:val="00D27182"/>
    <w:rsid w:val="00D279F2"/>
    <w:rsid w:val="00D30218"/>
    <w:rsid w:val="00D3234B"/>
    <w:rsid w:val="00D33210"/>
    <w:rsid w:val="00D33B9C"/>
    <w:rsid w:val="00D35DF3"/>
    <w:rsid w:val="00D37D26"/>
    <w:rsid w:val="00D37EAE"/>
    <w:rsid w:val="00D4103C"/>
    <w:rsid w:val="00D41E4A"/>
    <w:rsid w:val="00D422E3"/>
    <w:rsid w:val="00D436C9"/>
    <w:rsid w:val="00D506CF"/>
    <w:rsid w:val="00D51950"/>
    <w:rsid w:val="00D54B26"/>
    <w:rsid w:val="00D60585"/>
    <w:rsid w:val="00D6142C"/>
    <w:rsid w:val="00D6254B"/>
    <w:rsid w:val="00D63B4A"/>
    <w:rsid w:val="00D64C10"/>
    <w:rsid w:val="00D653C6"/>
    <w:rsid w:val="00D67AD8"/>
    <w:rsid w:val="00D711D0"/>
    <w:rsid w:val="00D748A1"/>
    <w:rsid w:val="00D753F8"/>
    <w:rsid w:val="00D75C50"/>
    <w:rsid w:val="00D76F97"/>
    <w:rsid w:val="00D849A9"/>
    <w:rsid w:val="00D851C5"/>
    <w:rsid w:val="00D85B70"/>
    <w:rsid w:val="00D86248"/>
    <w:rsid w:val="00D866CA"/>
    <w:rsid w:val="00D87847"/>
    <w:rsid w:val="00D93BBE"/>
    <w:rsid w:val="00D94501"/>
    <w:rsid w:val="00D95A4C"/>
    <w:rsid w:val="00DA30C7"/>
    <w:rsid w:val="00DA349F"/>
    <w:rsid w:val="00DA612B"/>
    <w:rsid w:val="00DA640E"/>
    <w:rsid w:val="00DA6574"/>
    <w:rsid w:val="00DA68A8"/>
    <w:rsid w:val="00DA6F3F"/>
    <w:rsid w:val="00DB181C"/>
    <w:rsid w:val="00DB2E40"/>
    <w:rsid w:val="00DB4244"/>
    <w:rsid w:val="00DB499A"/>
    <w:rsid w:val="00DB53EB"/>
    <w:rsid w:val="00DB6498"/>
    <w:rsid w:val="00DB685D"/>
    <w:rsid w:val="00DB6A78"/>
    <w:rsid w:val="00DB706B"/>
    <w:rsid w:val="00DB78F7"/>
    <w:rsid w:val="00DC3F91"/>
    <w:rsid w:val="00DD0C1E"/>
    <w:rsid w:val="00DD1419"/>
    <w:rsid w:val="00DD15B6"/>
    <w:rsid w:val="00DD707B"/>
    <w:rsid w:val="00DD7384"/>
    <w:rsid w:val="00DD74BE"/>
    <w:rsid w:val="00DE083F"/>
    <w:rsid w:val="00DE2A4A"/>
    <w:rsid w:val="00DE53D8"/>
    <w:rsid w:val="00DE6121"/>
    <w:rsid w:val="00DE7675"/>
    <w:rsid w:val="00DF07AB"/>
    <w:rsid w:val="00DF2366"/>
    <w:rsid w:val="00DF2716"/>
    <w:rsid w:val="00DF3BCD"/>
    <w:rsid w:val="00DF40C8"/>
    <w:rsid w:val="00DF61D9"/>
    <w:rsid w:val="00DF733C"/>
    <w:rsid w:val="00DF7544"/>
    <w:rsid w:val="00DF7DD6"/>
    <w:rsid w:val="00DF7F14"/>
    <w:rsid w:val="00E0011C"/>
    <w:rsid w:val="00E001B4"/>
    <w:rsid w:val="00E0057B"/>
    <w:rsid w:val="00E014BE"/>
    <w:rsid w:val="00E016A6"/>
    <w:rsid w:val="00E0173C"/>
    <w:rsid w:val="00E0201D"/>
    <w:rsid w:val="00E0307B"/>
    <w:rsid w:val="00E053D2"/>
    <w:rsid w:val="00E0607C"/>
    <w:rsid w:val="00E06845"/>
    <w:rsid w:val="00E0696A"/>
    <w:rsid w:val="00E069DE"/>
    <w:rsid w:val="00E07CD1"/>
    <w:rsid w:val="00E07F6A"/>
    <w:rsid w:val="00E07F7B"/>
    <w:rsid w:val="00E10890"/>
    <w:rsid w:val="00E1328E"/>
    <w:rsid w:val="00E14CF2"/>
    <w:rsid w:val="00E15BF1"/>
    <w:rsid w:val="00E15C5B"/>
    <w:rsid w:val="00E20E96"/>
    <w:rsid w:val="00E25B24"/>
    <w:rsid w:val="00E26239"/>
    <w:rsid w:val="00E27352"/>
    <w:rsid w:val="00E274A3"/>
    <w:rsid w:val="00E311C2"/>
    <w:rsid w:val="00E33041"/>
    <w:rsid w:val="00E34127"/>
    <w:rsid w:val="00E34361"/>
    <w:rsid w:val="00E36A96"/>
    <w:rsid w:val="00E36FE4"/>
    <w:rsid w:val="00E375B1"/>
    <w:rsid w:val="00E44060"/>
    <w:rsid w:val="00E45650"/>
    <w:rsid w:val="00E4579E"/>
    <w:rsid w:val="00E46C03"/>
    <w:rsid w:val="00E51913"/>
    <w:rsid w:val="00E524B4"/>
    <w:rsid w:val="00E546E6"/>
    <w:rsid w:val="00E54D9E"/>
    <w:rsid w:val="00E54E73"/>
    <w:rsid w:val="00E5594A"/>
    <w:rsid w:val="00E55FD8"/>
    <w:rsid w:val="00E56B19"/>
    <w:rsid w:val="00E6000D"/>
    <w:rsid w:val="00E6165E"/>
    <w:rsid w:val="00E61DF7"/>
    <w:rsid w:val="00E66076"/>
    <w:rsid w:val="00E70166"/>
    <w:rsid w:val="00E701D0"/>
    <w:rsid w:val="00E716F0"/>
    <w:rsid w:val="00E71ED3"/>
    <w:rsid w:val="00E71F1D"/>
    <w:rsid w:val="00E72C72"/>
    <w:rsid w:val="00E73075"/>
    <w:rsid w:val="00E73907"/>
    <w:rsid w:val="00E765E9"/>
    <w:rsid w:val="00E806BC"/>
    <w:rsid w:val="00E834ED"/>
    <w:rsid w:val="00E84BDB"/>
    <w:rsid w:val="00E85FDE"/>
    <w:rsid w:val="00E86ACC"/>
    <w:rsid w:val="00E8740C"/>
    <w:rsid w:val="00E9046F"/>
    <w:rsid w:val="00E9257E"/>
    <w:rsid w:val="00E92D51"/>
    <w:rsid w:val="00E932CC"/>
    <w:rsid w:val="00E94723"/>
    <w:rsid w:val="00E951C0"/>
    <w:rsid w:val="00E973AC"/>
    <w:rsid w:val="00EA0562"/>
    <w:rsid w:val="00EA177F"/>
    <w:rsid w:val="00EA5364"/>
    <w:rsid w:val="00EA589C"/>
    <w:rsid w:val="00EA63D9"/>
    <w:rsid w:val="00EA6462"/>
    <w:rsid w:val="00EB1FF0"/>
    <w:rsid w:val="00EB3372"/>
    <w:rsid w:val="00EB3A91"/>
    <w:rsid w:val="00EB63FE"/>
    <w:rsid w:val="00EC0FF2"/>
    <w:rsid w:val="00EC102F"/>
    <w:rsid w:val="00EC2145"/>
    <w:rsid w:val="00EC39D3"/>
    <w:rsid w:val="00EC5F2B"/>
    <w:rsid w:val="00EC6E95"/>
    <w:rsid w:val="00EC7F18"/>
    <w:rsid w:val="00ED11A7"/>
    <w:rsid w:val="00ED4A6A"/>
    <w:rsid w:val="00ED55BC"/>
    <w:rsid w:val="00EE0262"/>
    <w:rsid w:val="00EE0E26"/>
    <w:rsid w:val="00EE15A4"/>
    <w:rsid w:val="00EE274E"/>
    <w:rsid w:val="00EE5466"/>
    <w:rsid w:val="00EE5976"/>
    <w:rsid w:val="00EE6DC2"/>
    <w:rsid w:val="00EF1AF6"/>
    <w:rsid w:val="00EF43C6"/>
    <w:rsid w:val="00EF7B23"/>
    <w:rsid w:val="00F017A9"/>
    <w:rsid w:val="00F01AFF"/>
    <w:rsid w:val="00F038A9"/>
    <w:rsid w:val="00F055F8"/>
    <w:rsid w:val="00F065A1"/>
    <w:rsid w:val="00F06B13"/>
    <w:rsid w:val="00F0780E"/>
    <w:rsid w:val="00F101A5"/>
    <w:rsid w:val="00F12B4F"/>
    <w:rsid w:val="00F13D4E"/>
    <w:rsid w:val="00F15C16"/>
    <w:rsid w:val="00F160CC"/>
    <w:rsid w:val="00F2008B"/>
    <w:rsid w:val="00F21CEC"/>
    <w:rsid w:val="00F22098"/>
    <w:rsid w:val="00F227CC"/>
    <w:rsid w:val="00F23FE9"/>
    <w:rsid w:val="00F2425E"/>
    <w:rsid w:val="00F2668C"/>
    <w:rsid w:val="00F273E5"/>
    <w:rsid w:val="00F327BD"/>
    <w:rsid w:val="00F33195"/>
    <w:rsid w:val="00F358C6"/>
    <w:rsid w:val="00F35DC5"/>
    <w:rsid w:val="00F36E10"/>
    <w:rsid w:val="00F37114"/>
    <w:rsid w:val="00F375D5"/>
    <w:rsid w:val="00F377FC"/>
    <w:rsid w:val="00F4310F"/>
    <w:rsid w:val="00F442EE"/>
    <w:rsid w:val="00F44AC8"/>
    <w:rsid w:val="00F4550A"/>
    <w:rsid w:val="00F45BF7"/>
    <w:rsid w:val="00F50CED"/>
    <w:rsid w:val="00F51EAF"/>
    <w:rsid w:val="00F54F74"/>
    <w:rsid w:val="00F5589B"/>
    <w:rsid w:val="00F5646B"/>
    <w:rsid w:val="00F564AF"/>
    <w:rsid w:val="00F60895"/>
    <w:rsid w:val="00F63D04"/>
    <w:rsid w:val="00F648BC"/>
    <w:rsid w:val="00F65C63"/>
    <w:rsid w:val="00F65D14"/>
    <w:rsid w:val="00F66881"/>
    <w:rsid w:val="00F729F3"/>
    <w:rsid w:val="00F747E9"/>
    <w:rsid w:val="00F75B25"/>
    <w:rsid w:val="00F76C99"/>
    <w:rsid w:val="00F804A0"/>
    <w:rsid w:val="00F805AF"/>
    <w:rsid w:val="00F8212F"/>
    <w:rsid w:val="00F84D44"/>
    <w:rsid w:val="00F85E32"/>
    <w:rsid w:val="00F90453"/>
    <w:rsid w:val="00F9073C"/>
    <w:rsid w:val="00F90C54"/>
    <w:rsid w:val="00F92D3B"/>
    <w:rsid w:val="00F95028"/>
    <w:rsid w:val="00F956B0"/>
    <w:rsid w:val="00F965BD"/>
    <w:rsid w:val="00F969C7"/>
    <w:rsid w:val="00F970D1"/>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C2674"/>
    <w:rsid w:val="00FC3E50"/>
    <w:rsid w:val="00FC40E5"/>
    <w:rsid w:val="00FC4760"/>
    <w:rsid w:val="00FC498E"/>
    <w:rsid w:val="00FC549D"/>
    <w:rsid w:val="00FC6EEA"/>
    <w:rsid w:val="00FD0471"/>
    <w:rsid w:val="00FD1088"/>
    <w:rsid w:val="00FD1CC4"/>
    <w:rsid w:val="00FD4BAD"/>
    <w:rsid w:val="00FE0B49"/>
    <w:rsid w:val="00FE3604"/>
    <w:rsid w:val="00FE4B35"/>
    <w:rsid w:val="00FF03A3"/>
    <w:rsid w:val="00FF1221"/>
    <w:rsid w:val="00FF2FAD"/>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0C43B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C43B6"/>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rsid w:val="000C43B6"/>
    <w:rPr>
      <w:rFonts w:eastAsiaTheme="minorHAnsi"/>
      <w:kern w:val="0"/>
      <w:sz w:val="20"/>
      <w:szCs w:val="20"/>
      <w14:ligatures w14:val="none"/>
    </w:rPr>
  </w:style>
  <w:style w:type="paragraph" w:customStyle="1" w:styleId="DocID">
    <w:name w:val="DocID"/>
    <w:basedOn w:val="Normal"/>
    <w:qFormat/>
    <w:rsid w:val="000A7A26"/>
    <w:pPr>
      <w:suppressAutoHyphens/>
      <w:spacing w:after="0" w:line="240" w:lineRule="auto"/>
    </w:pPr>
    <w:rPr>
      <w:rFonts w:ascii="Times New Roman" w:eastAsia="Times New Roman" w:hAnsi="Times New Roman" w:cs="Times New Roman"/>
      <w:sz w:val="16"/>
      <w:szCs w:val="16"/>
    </w:rPr>
  </w:style>
  <w:style w:type="character" w:styleId="Strong">
    <w:name w:val="Strong"/>
    <w:basedOn w:val="DefaultParagraphFont"/>
    <w:uiPriority w:val="22"/>
    <w:qFormat/>
    <w:rsid w:val="00895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95044364">
      <w:bodyDiv w:val="1"/>
      <w:marLeft w:val="0"/>
      <w:marRight w:val="0"/>
      <w:marTop w:val="0"/>
      <w:marBottom w:val="0"/>
      <w:divBdr>
        <w:top w:val="none" w:sz="0" w:space="0" w:color="auto"/>
        <w:left w:val="none" w:sz="0" w:space="0" w:color="auto"/>
        <w:bottom w:val="none" w:sz="0" w:space="0" w:color="auto"/>
        <w:right w:val="none" w:sz="0" w:space="0" w:color="auto"/>
      </w:divBdr>
    </w:div>
    <w:div w:id="223297622">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749085407">
      <w:bodyDiv w:val="1"/>
      <w:marLeft w:val="0"/>
      <w:marRight w:val="0"/>
      <w:marTop w:val="0"/>
      <w:marBottom w:val="0"/>
      <w:divBdr>
        <w:top w:val="none" w:sz="0" w:space="0" w:color="auto"/>
        <w:left w:val="none" w:sz="0" w:space="0" w:color="auto"/>
        <w:bottom w:val="none" w:sz="0" w:space="0" w:color="auto"/>
        <w:right w:val="none" w:sz="0" w:space="0" w:color="auto"/>
      </w:divBdr>
    </w:div>
    <w:div w:id="879435289">
      <w:bodyDiv w:val="1"/>
      <w:marLeft w:val="0"/>
      <w:marRight w:val="0"/>
      <w:marTop w:val="0"/>
      <w:marBottom w:val="0"/>
      <w:divBdr>
        <w:top w:val="none" w:sz="0" w:space="0" w:color="auto"/>
        <w:left w:val="none" w:sz="0" w:space="0" w:color="auto"/>
        <w:bottom w:val="none" w:sz="0" w:space="0" w:color="auto"/>
        <w:right w:val="none" w:sz="0" w:space="0" w:color="auto"/>
      </w:divBdr>
    </w:div>
    <w:div w:id="1007556114">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176772479">
      <w:bodyDiv w:val="1"/>
      <w:marLeft w:val="0"/>
      <w:marRight w:val="0"/>
      <w:marTop w:val="0"/>
      <w:marBottom w:val="0"/>
      <w:divBdr>
        <w:top w:val="none" w:sz="0" w:space="0" w:color="auto"/>
        <w:left w:val="none" w:sz="0" w:space="0" w:color="auto"/>
        <w:bottom w:val="none" w:sz="0" w:space="0" w:color="auto"/>
        <w:right w:val="none" w:sz="0" w:space="0" w:color="auto"/>
      </w:divBdr>
    </w:div>
    <w:div w:id="1311400087">
      <w:bodyDiv w:val="1"/>
      <w:marLeft w:val="0"/>
      <w:marRight w:val="0"/>
      <w:marTop w:val="0"/>
      <w:marBottom w:val="0"/>
      <w:divBdr>
        <w:top w:val="none" w:sz="0" w:space="0" w:color="auto"/>
        <w:left w:val="none" w:sz="0" w:space="0" w:color="auto"/>
        <w:bottom w:val="none" w:sz="0" w:space="0" w:color="auto"/>
        <w:right w:val="none" w:sz="0" w:space="0" w:color="auto"/>
      </w:divBdr>
    </w:div>
    <w:div w:id="1319264199">
      <w:bodyDiv w:val="1"/>
      <w:marLeft w:val="0"/>
      <w:marRight w:val="0"/>
      <w:marTop w:val="0"/>
      <w:marBottom w:val="0"/>
      <w:divBdr>
        <w:top w:val="none" w:sz="0" w:space="0" w:color="auto"/>
        <w:left w:val="none" w:sz="0" w:space="0" w:color="auto"/>
        <w:bottom w:val="none" w:sz="0" w:space="0" w:color="auto"/>
        <w:right w:val="none" w:sz="0" w:space="0" w:color="auto"/>
      </w:divBdr>
    </w:div>
    <w:div w:id="1356613341">
      <w:bodyDiv w:val="1"/>
      <w:marLeft w:val="0"/>
      <w:marRight w:val="0"/>
      <w:marTop w:val="0"/>
      <w:marBottom w:val="0"/>
      <w:divBdr>
        <w:top w:val="none" w:sz="0" w:space="0" w:color="auto"/>
        <w:left w:val="none" w:sz="0" w:space="0" w:color="auto"/>
        <w:bottom w:val="none" w:sz="0" w:space="0" w:color="auto"/>
        <w:right w:val="none" w:sz="0" w:space="0" w:color="auto"/>
      </w:divBdr>
    </w:div>
    <w:div w:id="1420441695">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5222993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638337863">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racking.ehs.state.ma.us/eohhs_regions/eohhs_regions.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mass.gov" TargetMode="External"/><Relationship Id="rId12" Type="http://schemas.openxmlformats.org/officeDocument/2006/relationships/hyperlink" Target="https://doi.org/10.1080/03007995.2022.204753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007995.2022.204753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ehealthcare.com/insights/article/improving-access-to-medical-imaging-for-more-patients?srsltid=AfmBOorzocXYUd0Dix_fTAOrxPVUA5wF5qHZPvCE0bnTRtDtUUR5yCN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healthcare.com/insights/article/improving-access-to-medical-imaging-for-more-patients?srsltid=AfmBOorzocXYUd0Dix_fTAOrxPVUA5wF5qHZPvCE0bnTRtDtUUR5yCN6"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16/j.jacr.2023.02.014" TargetMode="External"/><Relationship Id="rId1" Type="http://schemas.openxmlformats.org/officeDocument/2006/relationships/hyperlink" Target="https://doi.org/10.1016/j.jacr.2023.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1417</Words>
  <Characters>8078</Characters>
  <Application>Microsoft Office Word</Application>
  <DocSecurity>0</DocSecurity>
  <Lines>67</Lines>
  <Paragraphs>18</Paragraphs>
  <ScaleCrop>false</ScaleCrop>
  <Company>Commonwealth of Massachusetts</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3</cp:revision>
  <cp:lastPrinted>1900-01-01T06:00:00Z</cp:lastPrinted>
  <dcterms:created xsi:type="dcterms:W3CDTF">1900-01-01T06:00:00Z</dcterms:created>
  <dcterms:modified xsi:type="dcterms:W3CDTF">2025-02-21T13:12:00Z</dcterms:modified>
</cp:coreProperties>
</file>