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6D4F" w14:textId="1397124D" w:rsidR="00A323EE" w:rsidRPr="00E940CF" w:rsidRDefault="00FA5884" w:rsidP="00971A2B">
      <w:pPr>
        <w:pStyle w:val="Heading1"/>
        <w:rPr>
          <w:rFonts w:ascii="Aptos" w:hAnsi="Aptos"/>
          <w:sz w:val="24"/>
          <w:szCs w:val="24"/>
        </w:rPr>
      </w:pPr>
      <w:r w:rsidRPr="00E940CF">
        <w:rPr>
          <w:rFonts w:ascii="Aptos" w:hAnsi="Aptos"/>
          <w:sz w:val="24"/>
          <w:szCs w:val="24"/>
        </w:rPr>
        <w:t xml:space="preserve">Response of Applicant Southcoast Health System, Inc. to </w:t>
      </w:r>
      <w:r w:rsidR="001D3492" w:rsidRPr="00E940CF">
        <w:rPr>
          <w:rFonts w:ascii="Aptos" w:hAnsi="Aptos"/>
          <w:sz w:val="24"/>
          <w:szCs w:val="24"/>
        </w:rPr>
        <w:t>Determination of Need (</w:t>
      </w:r>
      <w:proofErr w:type="spellStart"/>
      <w:r w:rsidR="00C04ECC" w:rsidRPr="00E940CF">
        <w:rPr>
          <w:rFonts w:ascii="Aptos" w:hAnsi="Aptos"/>
          <w:sz w:val="24"/>
          <w:szCs w:val="24"/>
        </w:rPr>
        <w:t>DoN</w:t>
      </w:r>
      <w:proofErr w:type="spellEnd"/>
      <w:r w:rsidR="001D3492" w:rsidRPr="00E940CF">
        <w:rPr>
          <w:rFonts w:ascii="Aptos" w:hAnsi="Aptos"/>
          <w:sz w:val="24"/>
          <w:szCs w:val="24"/>
        </w:rPr>
        <w:t>)</w:t>
      </w:r>
      <w:r w:rsidRPr="00E940CF">
        <w:rPr>
          <w:rFonts w:ascii="Aptos" w:hAnsi="Aptos"/>
          <w:sz w:val="24"/>
          <w:szCs w:val="24"/>
        </w:rPr>
        <w:t xml:space="preserve"> Questions </w:t>
      </w:r>
      <w:r w:rsidR="00587F1F" w:rsidRPr="00E940CF">
        <w:rPr>
          <w:rFonts w:ascii="Aptos" w:hAnsi="Aptos"/>
          <w:sz w:val="24"/>
          <w:szCs w:val="24"/>
        </w:rPr>
        <w:t>1</w:t>
      </w:r>
      <w:r w:rsidRPr="00E940CF">
        <w:rPr>
          <w:rFonts w:ascii="Aptos" w:hAnsi="Aptos"/>
          <w:sz w:val="24"/>
          <w:szCs w:val="24"/>
        </w:rPr>
        <w:t xml:space="preserve"> of the Massachusetts Department of Public Health</w:t>
      </w:r>
    </w:p>
    <w:p w14:paraId="2D2ACC01" w14:textId="085DB167" w:rsidR="009B024A" w:rsidRPr="00E940CF" w:rsidRDefault="009B024A" w:rsidP="009B024A">
      <w:pPr>
        <w:rPr>
          <w:rFonts w:ascii="Aptos" w:hAnsi="Aptos"/>
          <w:i/>
          <w:iCs/>
          <w:sz w:val="24"/>
          <w:szCs w:val="24"/>
        </w:rPr>
      </w:pPr>
      <w:r w:rsidRPr="00E940CF">
        <w:rPr>
          <w:rFonts w:ascii="Aptos" w:hAnsi="Aptos"/>
          <w:b/>
          <w:bCs/>
          <w:i/>
          <w:iCs/>
          <w:sz w:val="24"/>
          <w:szCs w:val="24"/>
        </w:rPr>
        <w:t>Please see below for t</w:t>
      </w:r>
      <w:r w:rsidR="007E128D" w:rsidRPr="00E940CF">
        <w:rPr>
          <w:rFonts w:ascii="Aptos" w:hAnsi="Aptos"/>
          <w:b/>
          <w:bCs/>
          <w:i/>
          <w:iCs/>
          <w:sz w:val="24"/>
          <w:szCs w:val="24"/>
        </w:rPr>
        <w:t>he Responses of the Applicant, Southcoast Health System, Inc. (“Applicant” or “SHS”)</w:t>
      </w:r>
      <w:r w:rsidRPr="00E940CF">
        <w:rPr>
          <w:rFonts w:ascii="Aptos" w:hAnsi="Aptos"/>
          <w:b/>
          <w:bCs/>
          <w:i/>
          <w:iCs/>
          <w:sz w:val="24"/>
          <w:szCs w:val="24"/>
        </w:rPr>
        <w:t xml:space="preserve"> </w:t>
      </w:r>
      <w:r w:rsidR="007E128D" w:rsidRPr="00E940CF">
        <w:rPr>
          <w:rFonts w:ascii="Aptos" w:hAnsi="Aptos"/>
          <w:b/>
          <w:bCs/>
          <w:i/>
          <w:iCs/>
          <w:sz w:val="24"/>
          <w:szCs w:val="24"/>
        </w:rPr>
        <w:t xml:space="preserve">to </w:t>
      </w:r>
      <w:r w:rsidR="000C2A26" w:rsidRPr="00E940CF">
        <w:rPr>
          <w:rFonts w:ascii="Aptos" w:hAnsi="Aptos"/>
          <w:b/>
          <w:bCs/>
          <w:i/>
          <w:iCs/>
          <w:sz w:val="24"/>
          <w:szCs w:val="24"/>
        </w:rPr>
        <w:t>the Determination of Need (“</w:t>
      </w:r>
      <w:proofErr w:type="spellStart"/>
      <w:r w:rsidR="000C2A26" w:rsidRPr="00E940CF">
        <w:rPr>
          <w:rFonts w:ascii="Aptos" w:hAnsi="Aptos"/>
          <w:b/>
          <w:bCs/>
          <w:i/>
          <w:iCs/>
          <w:sz w:val="24"/>
          <w:szCs w:val="24"/>
        </w:rPr>
        <w:t>DoN</w:t>
      </w:r>
      <w:proofErr w:type="spellEnd"/>
      <w:r w:rsidR="000C2A26" w:rsidRPr="00E940CF">
        <w:rPr>
          <w:rFonts w:ascii="Aptos" w:hAnsi="Aptos"/>
          <w:b/>
          <w:bCs/>
          <w:i/>
          <w:iCs/>
          <w:sz w:val="24"/>
          <w:szCs w:val="24"/>
        </w:rPr>
        <w:t xml:space="preserve">”) Program </w:t>
      </w:r>
      <w:proofErr w:type="spellStart"/>
      <w:r w:rsidR="000C2A26" w:rsidRPr="00E940CF">
        <w:rPr>
          <w:rFonts w:ascii="Aptos" w:hAnsi="Aptos"/>
          <w:b/>
          <w:bCs/>
          <w:i/>
          <w:iCs/>
          <w:sz w:val="24"/>
          <w:szCs w:val="24"/>
        </w:rPr>
        <w:t>D</w:t>
      </w:r>
      <w:r w:rsidR="007E128D" w:rsidRPr="00E940CF">
        <w:rPr>
          <w:rFonts w:ascii="Aptos" w:hAnsi="Aptos"/>
          <w:b/>
          <w:bCs/>
          <w:i/>
          <w:iCs/>
          <w:sz w:val="24"/>
          <w:szCs w:val="24"/>
        </w:rPr>
        <w:t>oN</w:t>
      </w:r>
      <w:proofErr w:type="spellEnd"/>
      <w:r w:rsidR="007E128D" w:rsidRPr="00E940CF">
        <w:rPr>
          <w:rFonts w:ascii="Aptos" w:hAnsi="Aptos"/>
          <w:b/>
          <w:bCs/>
          <w:i/>
          <w:iCs/>
          <w:sz w:val="24"/>
          <w:szCs w:val="24"/>
        </w:rPr>
        <w:t xml:space="preserve"> Questions 1</w:t>
      </w:r>
      <w:r w:rsidRPr="00E940CF">
        <w:rPr>
          <w:rFonts w:ascii="Aptos" w:hAnsi="Aptos"/>
          <w:b/>
          <w:bCs/>
          <w:i/>
          <w:iCs/>
          <w:sz w:val="24"/>
          <w:szCs w:val="24"/>
        </w:rPr>
        <w:t>.</w:t>
      </w:r>
    </w:p>
    <w:p w14:paraId="5C09ACC6" w14:textId="483BEF4E" w:rsidR="007D766E" w:rsidRPr="00E940CF" w:rsidRDefault="007D766E" w:rsidP="009E7373">
      <w:pPr>
        <w:pStyle w:val="Heading2"/>
        <w:rPr>
          <w:rFonts w:ascii="Aptos" w:hAnsi="Aptos"/>
          <w:sz w:val="24"/>
          <w:szCs w:val="24"/>
        </w:rPr>
      </w:pPr>
      <w:r w:rsidRPr="00E940CF">
        <w:rPr>
          <w:rFonts w:ascii="Aptos" w:hAnsi="Aptos"/>
          <w:sz w:val="24"/>
          <w:szCs w:val="24"/>
        </w:rPr>
        <w:t xml:space="preserve">The comparable demographic information to the Patient </w:t>
      </w:r>
      <w:proofErr w:type="gramStart"/>
      <w:r w:rsidRPr="00E940CF">
        <w:rPr>
          <w:rFonts w:ascii="Aptos" w:hAnsi="Aptos"/>
          <w:sz w:val="24"/>
          <w:szCs w:val="24"/>
        </w:rPr>
        <w:t>Panel,</w:t>
      </w:r>
      <w:proofErr w:type="gramEnd"/>
      <w:r w:rsidRPr="00E940CF">
        <w:rPr>
          <w:rFonts w:ascii="Aptos" w:hAnsi="Aptos"/>
          <w:sz w:val="24"/>
          <w:szCs w:val="24"/>
        </w:rPr>
        <w:t xml:space="preserve"> is not provided for SHS’s cancer patient population. Please provide comparable information (in years and format to that in tables 1-4) for SHS’s cancer patients with an accompanying narrative.</w:t>
      </w:r>
    </w:p>
    <w:p w14:paraId="0BB86455" w14:textId="77777777" w:rsidR="009C56EC" w:rsidRPr="00603982" w:rsidRDefault="007D766E" w:rsidP="009C56EC">
      <w:pPr>
        <w:ind w:left="360"/>
        <w:rPr>
          <w:rFonts w:ascii="Aptos" w:hAnsi="Aptos" w:cs="Times New Roman"/>
          <w:color w:val="1F4E79" w:themeColor="accent5" w:themeShade="80"/>
          <w:sz w:val="24"/>
          <w:szCs w:val="24"/>
        </w:rPr>
      </w:pPr>
      <w:r w:rsidRPr="00603982">
        <w:rPr>
          <w:rFonts w:ascii="Aptos" w:hAnsi="Aptos" w:cs="Times New Roman"/>
          <w:b/>
          <w:bCs/>
          <w:color w:val="1F4E79" w:themeColor="accent5" w:themeShade="80"/>
          <w:sz w:val="24"/>
          <w:szCs w:val="24"/>
        </w:rPr>
        <w:t>Response</w:t>
      </w:r>
      <w:r w:rsidRPr="00603982">
        <w:rPr>
          <w:rFonts w:ascii="Aptos" w:hAnsi="Aptos" w:cs="Times New Roman"/>
          <w:color w:val="1F4E79" w:themeColor="accent5" w:themeShade="80"/>
          <w:sz w:val="24"/>
          <w:szCs w:val="24"/>
        </w:rPr>
        <w:t xml:space="preserve">: </w:t>
      </w:r>
    </w:p>
    <w:p w14:paraId="1C34CC04" w14:textId="3F2E436D" w:rsidR="007E128D" w:rsidRPr="00E940CF" w:rsidRDefault="00ED38EC" w:rsidP="009C56EC">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Below please find comparable demographic information for the cancer patient population of Southcoast Health System, Inc. (“SHS” or the “Applicant”) to that provided in the Application Narrative in response to Factor F1.a.i, consisting of </w:t>
      </w:r>
      <w:r w:rsidR="0077088D" w:rsidRPr="00E940CF">
        <w:rPr>
          <w:rFonts w:ascii="Aptos" w:hAnsi="Aptos" w:cs="Times New Roman"/>
          <w:color w:val="1F4E79" w:themeColor="accent5" w:themeShade="80"/>
          <w:sz w:val="24"/>
          <w:szCs w:val="24"/>
        </w:rPr>
        <w:t xml:space="preserve">new versions </w:t>
      </w:r>
      <w:r w:rsidRPr="00E940CF">
        <w:rPr>
          <w:rFonts w:ascii="Aptos" w:hAnsi="Aptos" w:cs="Times New Roman"/>
          <w:color w:val="1F4E79" w:themeColor="accent5" w:themeShade="80"/>
          <w:sz w:val="24"/>
          <w:szCs w:val="24"/>
        </w:rPr>
        <w:t>Tables 1-</w:t>
      </w:r>
      <w:r w:rsidR="00615ED6" w:rsidRPr="00E940CF">
        <w:rPr>
          <w:rFonts w:ascii="Aptos" w:hAnsi="Aptos" w:cs="Times New Roman"/>
          <w:color w:val="1F4E79" w:themeColor="accent5" w:themeShade="80"/>
          <w:sz w:val="24"/>
          <w:szCs w:val="24"/>
        </w:rPr>
        <w:t>6</w:t>
      </w:r>
      <w:r w:rsidR="00E432C2" w:rsidRPr="00E940CF">
        <w:rPr>
          <w:rFonts w:ascii="Aptos" w:hAnsi="Aptos" w:cs="Times New Roman"/>
          <w:color w:val="1F4E79" w:themeColor="accent5" w:themeShade="80"/>
          <w:sz w:val="24"/>
          <w:szCs w:val="24"/>
        </w:rPr>
        <w:t xml:space="preserve"> and 8</w:t>
      </w:r>
      <w:r w:rsidR="0077088D" w:rsidRPr="00E940CF">
        <w:rPr>
          <w:rFonts w:ascii="Aptos" w:hAnsi="Aptos" w:cs="Times New Roman"/>
          <w:color w:val="1F4E79" w:themeColor="accent5" w:themeShade="80"/>
          <w:sz w:val="24"/>
          <w:szCs w:val="24"/>
        </w:rPr>
        <w:t xml:space="preserve"> (marked as 1a, 2a, etc.)</w:t>
      </w:r>
      <w:r w:rsidRPr="00E940CF">
        <w:rPr>
          <w:rFonts w:ascii="Aptos" w:hAnsi="Aptos" w:cs="Times New Roman"/>
          <w:color w:val="1F4E79" w:themeColor="accent5" w:themeShade="80"/>
          <w:sz w:val="24"/>
          <w:szCs w:val="24"/>
        </w:rPr>
        <w:t xml:space="preserve"> with data specific to unique patients with an encounter within the Applicant’s medical oncology, radiation oncology, or gynecologic oncology departments within the time periods listed (Fiscal Years 2023 through 2025).</w:t>
      </w:r>
    </w:p>
    <w:p w14:paraId="3AC46CCE" w14:textId="106F62FA" w:rsidR="00ED38EC" w:rsidRPr="00E940CF" w:rsidRDefault="00ED38EC" w:rsidP="009C56EC">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The Applicant’s Fiscal Year runs October 1 through September 30.  Fiscal Year 2023</w:t>
      </w:r>
      <w:r w:rsidR="00DD34BF" w:rsidRPr="00E940CF">
        <w:rPr>
          <w:rFonts w:ascii="Aptos" w:hAnsi="Aptos" w:cs="Times New Roman"/>
          <w:color w:val="1F4E79" w:themeColor="accent5" w:themeShade="80"/>
          <w:sz w:val="24"/>
          <w:szCs w:val="24"/>
        </w:rPr>
        <w:t xml:space="preserve"> (“FY23”)</w:t>
      </w:r>
      <w:r w:rsidRPr="00E940CF">
        <w:rPr>
          <w:rFonts w:ascii="Aptos" w:hAnsi="Aptos" w:cs="Times New Roman"/>
          <w:color w:val="1F4E79" w:themeColor="accent5" w:themeShade="80"/>
          <w:sz w:val="24"/>
          <w:szCs w:val="24"/>
        </w:rPr>
        <w:t xml:space="preserve"> reflects data between October 1, </w:t>
      </w:r>
      <w:proofErr w:type="gramStart"/>
      <w:r w:rsidRPr="00E940CF">
        <w:rPr>
          <w:rFonts w:ascii="Aptos" w:hAnsi="Aptos" w:cs="Times New Roman"/>
          <w:color w:val="1F4E79" w:themeColor="accent5" w:themeShade="80"/>
          <w:sz w:val="24"/>
          <w:szCs w:val="24"/>
        </w:rPr>
        <w:t>2022</w:t>
      </w:r>
      <w:proofErr w:type="gramEnd"/>
      <w:r w:rsidRPr="00E940CF">
        <w:rPr>
          <w:rFonts w:ascii="Aptos" w:hAnsi="Aptos" w:cs="Times New Roman"/>
          <w:color w:val="1F4E79" w:themeColor="accent5" w:themeShade="80"/>
          <w:sz w:val="24"/>
          <w:szCs w:val="24"/>
        </w:rPr>
        <w:t xml:space="preserve"> through September 30, 2023; Fiscal Year 2024</w:t>
      </w:r>
      <w:r w:rsidR="00DD34BF" w:rsidRPr="00E940CF">
        <w:rPr>
          <w:rFonts w:ascii="Aptos" w:hAnsi="Aptos" w:cs="Times New Roman"/>
          <w:color w:val="1F4E79" w:themeColor="accent5" w:themeShade="80"/>
          <w:sz w:val="24"/>
          <w:szCs w:val="24"/>
        </w:rPr>
        <w:t xml:space="preserve"> (“FY24”)</w:t>
      </w:r>
      <w:r w:rsidRPr="00E940CF">
        <w:rPr>
          <w:rFonts w:ascii="Aptos" w:hAnsi="Aptos" w:cs="Times New Roman"/>
          <w:color w:val="1F4E79" w:themeColor="accent5" w:themeShade="80"/>
          <w:sz w:val="24"/>
          <w:szCs w:val="24"/>
        </w:rPr>
        <w:t xml:space="preserve"> reflects data between October 1, </w:t>
      </w:r>
      <w:proofErr w:type="gramStart"/>
      <w:r w:rsidRPr="00E940CF">
        <w:rPr>
          <w:rFonts w:ascii="Aptos" w:hAnsi="Aptos" w:cs="Times New Roman"/>
          <w:color w:val="1F4E79" w:themeColor="accent5" w:themeShade="80"/>
          <w:sz w:val="24"/>
          <w:szCs w:val="24"/>
        </w:rPr>
        <w:t>2023</w:t>
      </w:r>
      <w:proofErr w:type="gramEnd"/>
      <w:r w:rsidRPr="00E940CF">
        <w:rPr>
          <w:rFonts w:ascii="Aptos" w:hAnsi="Aptos" w:cs="Times New Roman"/>
          <w:color w:val="1F4E79" w:themeColor="accent5" w:themeShade="80"/>
          <w:sz w:val="24"/>
          <w:szCs w:val="24"/>
        </w:rPr>
        <w:t xml:space="preserve"> through September 30, 2024; and Fiscal Year 2025</w:t>
      </w:r>
      <w:r w:rsidR="00DD34BF" w:rsidRPr="00E940CF">
        <w:rPr>
          <w:rFonts w:ascii="Aptos" w:hAnsi="Aptos" w:cs="Times New Roman"/>
          <w:color w:val="1F4E79" w:themeColor="accent5" w:themeShade="80"/>
          <w:sz w:val="24"/>
          <w:szCs w:val="24"/>
        </w:rPr>
        <w:t xml:space="preserve"> (“FY25”)</w:t>
      </w:r>
      <w:r w:rsidRPr="00E940CF">
        <w:rPr>
          <w:rFonts w:ascii="Aptos" w:hAnsi="Aptos" w:cs="Times New Roman"/>
          <w:color w:val="1F4E79" w:themeColor="accent5" w:themeShade="80"/>
          <w:sz w:val="24"/>
          <w:szCs w:val="24"/>
        </w:rPr>
        <w:t xml:space="preserve"> reflects data between October 1, </w:t>
      </w:r>
      <w:proofErr w:type="gramStart"/>
      <w:r w:rsidRPr="00E940CF">
        <w:rPr>
          <w:rFonts w:ascii="Aptos" w:hAnsi="Aptos" w:cs="Times New Roman"/>
          <w:color w:val="1F4E79" w:themeColor="accent5" w:themeShade="80"/>
          <w:sz w:val="24"/>
          <w:szCs w:val="24"/>
        </w:rPr>
        <w:t>2024</w:t>
      </w:r>
      <w:proofErr w:type="gramEnd"/>
      <w:r w:rsidRPr="00E940CF">
        <w:rPr>
          <w:rFonts w:ascii="Aptos" w:hAnsi="Aptos" w:cs="Times New Roman"/>
          <w:color w:val="1F4E79" w:themeColor="accent5" w:themeShade="80"/>
          <w:sz w:val="24"/>
          <w:szCs w:val="24"/>
        </w:rPr>
        <w:t xml:space="preserve"> through September 30, 2025.</w:t>
      </w:r>
    </w:p>
    <w:p w14:paraId="7A9544F9" w14:textId="7508A7BC" w:rsidR="00D021BA" w:rsidRPr="00E940CF" w:rsidRDefault="00D021BA" w:rsidP="009C56EC">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Notably, the data show year-over-year increases in the Applicant’s cancer patient population, and further show </w:t>
      </w:r>
      <w:r w:rsidR="00DD34BF" w:rsidRPr="00E940CF">
        <w:rPr>
          <w:rFonts w:ascii="Aptos" w:hAnsi="Aptos" w:cs="Times New Roman"/>
          <w:color w:val="1F4E79" w:themeColor="accent5" w:themeShade="80"/>
          <w:sz w:val="24"/>
          <w:szCs w:val="24"/>
        </w:rPr>
        <w:t>that the Applicant’s cancer patient panel is older and more likely to be female and white than its overall Patient Panel.</w:t>
      </w:r>
    </w:p>
    <w:p w14:paraId="5192A7BA" w14:textId="2C46186A" w:rsidR="009C56EC" w:rsidRPr="00E940CF" w:rsidRDefault="009C56EC" w:rsidP="00ED38EC">
      <w:pPr>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u w:val="single"/>
        </w:rPr>
        <w:t>Table 1a.</w:t>
      </w:r>
      <w:r w:rsidRPr="00E940CF">
        <w:rPr>
          <w:rFonts w:ascii="Aptos" w:hAnsi="Aptos" w:cs="Times New Roman"/>
          <w:b/>
          <w:bCs/>
          <w:color w:val="1F4E79" w:themeColor="accent5" w:themeShade="80"/>
          <w:sz w:val="24"/>
          <w:szCs w:val="24"/>
        </w:rPr>
        <w:t xml:space="preserve"> Southcoast Health Oncology</w:t>
      </w:r>
      <w:r w:rsidR="007E43A0" w:rsidRPr="00E940CF">
        <w:rPr>
          <w:rFonts w:ascii="Aptos" w:hAnsi="Aptos" w:cs="Times New Roman"/>
          <w:b/>
          <w:bCs/>
          <w:color w:val="1F4E79" w:themeColor="accent5" w:themeShade="80"/>
          <w:sz w:val="24"/>
          <w:szCs w:val="24"/>
        </w:rPr>
        <w:t>:</w:t>
      </w:r>
      <w:r w:rsidRPr="00E940CF">
        <w:rPr>
          <w:rFonts w:ascii="Aptos" w:hAnsi="Aptos" w:cs="Times New Roman"/>
          <w:b/>
          <w:bCs/>
          <w:color w:val="1F4E79" w:themeColor="accent5" w:themeShade="80"/>
          <w:sz w:val="24"/>
          <w:szCs w:val="24"/>
        </w:rPr>
        <w:t xml:space="preserve"> </w:t>
      </w:r>
      <w:r w:rsidR="007E43A0" w:rsidRPr="00E940CF">
        <w:rPr>
          <w:rFonts w:ascii="Aptos" w:hAnsi="Aptos" w:cs="Times New Roman"/>
          <w:b/>
          <w:bCs/>
          <w:color w:val="1F4E79" w:themeColor="accent5" w:themeShade="80"/>
          <w:sz w:val="24"/>
          <w:szCs w:val="24"/>
        </w:rPr>
        <w:t xml:space="preserve">Fiscal Year 2023 – Fiscal Year 2025 </w:t>
      </w:r>
      <w:r w:rsidRPr="00E940CF">
        <w:rPr>
          <w:rFonts w:ascii="Aptos" w:hAnsi="Aptos" w:cs="Times New Roman"/>
          <w:b/>
          <w:bCs/>
          <w:color w:val="1F4E79" w:themeColor="accent5" w:themeShade="80"/>
          <w:sz w:val="24"/>
          <w:szCs w:val="24"/>
        </w:rPr>
        <w:t>Patient Panel by Age</w:t>
      </w:r>
      <w:r w:rsidR="00615ED6" w:rsidRPr="00E940CF">
        <w:rPr>
          <w:rStyle w:val="FootnoteReference"/>
          <w:rFonts w:ascii="Aptos" w:hAnsi="Aptos" w:cs="Times New Roman"/>
          <w:b/>
          <w:bCs/>
          <w:color w:val="1F4E79" w:themeColor="accent5" w:themeShade="80"/>
          <w:sz w:val="24"/>
          <w:szCs w:val="24"/>
        </w:rPr>
        <w:footnoteReference w:id="1"/>
      </w:r>
    </w:p>
    <w:tbl>
      <w:tblPr>
        <w:tblW w:w="9445" w:type="dxa"/>
        <w:tblLook w:val="04A0" w:firstRow="1" w:lastRow="0" w:firstColumn="1" w:lastColumn="0" w:noHBand="0" w:noVBand="1"/>
        <w:tblCaption w:val="Fiscal Year 2023 – Fiscal Year 2025 Patient Panel by Age"/>
      </w:tblPr>
      <w:tblGrid>
        <w:gridCol w:w="1615"/>
        <w:gridCol w:w="1530"/>
        <w:gridCol w:w="1440"/>
        <w:gridCol w:w="1260"/>
        <w:gridCol w:w="1170"/>
        <w:gridCol w:w="1170"/>
        <w:gridCol w:w="1260"/>
      </w:tblGrid>
      <w:tr w:rsidR="00D021BA" w:rsidRPr="00E940CF" w14:paraId="65B9E4C9" w14:textId="77777777" w:rsidTr="008A3F54">
        <w:trPr>
          <w:cantSplit/>
          <w:trHeight w:val="615"/>
          <w:tblHeader/>
        </w:trPr>
        <w:tc>
          <w:tcPr>
            <w:tcW w:w="16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98A0F49" w14:textId="77777777" w:rsidR="00D021BA" w:rsidRPr="00E940CF" w:rsidRDefault="00D021BA" w:rsidP="00D021BA">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lastRenderedPageBreak/>
              <w:t>Age Cohort</w:t>
            </w:r>
          </w:p>
        </w:tc>
        <w:tc>
          <w:tcPr>
            <w:tcW w:w="1530" w:type="dxa"/>
            <w:tcBorders>
              <w:top w:val="single" w:sz="4" w:space="0" w:color="auto"/>
              <w:left w:val="nil"/>
              <w:bottom w:val="single" w:sz="4" w:space="0" w:color="auto"/>
              <w:right w:val="single" w:sz="4" w:space="0" w:color="auto"/>
            </w:tcBorders>
            <w:shd w:val="clear" w:color="D9E1F2" w:fill="D9E1F2"/>
            <w:vAlign w:val="center"/>
            <w:hideMark/>
          </w:tcPr>
          <w:p w14:paraId="50792D19" w14:textId="77777777" w:rsidR="00D021BA" w:rsidRPr="00E940CF" w:rsidRDefault="00D021BA" w:rsidP="00D021BA">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FY23</w:t>
            </w:r>
            <w:r w:rsidRPr="00E940CF">
              <w:rPr>
                <w:rFonts w:ascii="Aptos" w:eastAsia="Times New Roman" w:hAnsi="Aptos" w:cs="Times New Roman"/>
                <w:b/>
                <w:bCs/>
                <w:color w:val="1F4E79" w:themeColor="accent5" w:themeShade="80"/>
                <w:sz w:val="24"/>
                <w:szCs w:val="24"/>
              </w:rPr>
              <w:br/>
            </w:r>
            <w:r w:rsidRPr="00E940CF">
              <w:rPr>
                <w:rFonts w:ascii="Aptos" w:eastAsia="Times New Roman" w:hAnsi="Aptos" w:cs="Times New Roman"/>
                <w:color w:val="1F4E79" w:themeColor="accent5" w:themeShade="80"/>
                <w:sz w:val="24"/>
                <w:szCs w:val="24"/>
              </w:rPr>
              <w:t>(Count)</w:t>
            </w:r>
          </w:p>
        </w:tc>
        <w:tc>
          <w:tcPr>
            <w:tcW w:w="1440" w:type="dxa"/>
            <w:tcBorders>
              <w:top w:val="single" w:sz="4" w:space="0" w:color="auto"/>
              <w:left w:val="nil"/>
              <w:bottom w:val="single" w:sz="4" w:space="0" w:color="auto"/>
              <w:right w:val="single" w:sz="4" w:space="0" w:color="auto"/>
            </w:tcBorders>
            <w:shd w:val="clear" w:color="D9E1F2" w:fill="D9E1F2"/>
            <w:vAlign w:val="center"/>
            <w:hideMark/>
          </w:tcPr>
          <w:p w14:paraId="53C40028" w14:textId="4CEAC633" w:rsidR="00D021BA" w:rsidRPr="00E940CF" w:rsidRDefault="00D021BA" w:rsidP="00D021BA">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FY23</w:t>
            </w:r>
            <w:r w:rsidRPr="00E940CF">
              <w:rPr>
                <w:rFonts w:ascii="Aptos" w:eastAsia="Times New Roman" w:hAnsi="Aptos" w:cs="Times New Roman"/>
                <w:b/>
                <w:bCs/>
                <w:color w:val="1F4E79" w:themeColor="accent5" w:themeShade="80"/>
                <w:sz w:val="24"/>
                <w:szCs w:val="24"/>
              </w:rPr>
              <w:br/>
            </w:r>
            <w:r w:rsidRPr="00E940CF">
              <w:rPr>
                <w:rFonts w:ascii="Aptos" w:eastAsia="Times New Roman" w:hAnsi="Aptos" w:cs="Times New Roman"/>
                <w:color w:val="1F4E79" w:themeColor="accent5" w:themeShade="80"/>
                <w:sz w:val="24"/>
                <w:szCs w:val="24"/>
              </w:rPr>
              <w:t>(</w:t>
            </w:r>
            <w:r w:rsidR="00DE0177">
              <w:rPr>
                <w:rFonts w:ascii="Aptos" w:eastAsia="Times New Roman" w:hAnsi="Aptos" w:cs="Times New Roman"/>
                <w:color w:val="1F4E79" w:themeColor="accent5" w:themeShade="80"/>
                <w:sz w:val="24"/>
                <w:szCs w:val="24"/>
              </w:rPr>
              <w:t>percent</w:t>
            </w:r>
            <w:r w:rsidRPr="00E940CF">
              <w:rPr>
                <w:rFonts w:ascii="Aptos" w:eastAsia="Times New Roman" w:hAnsi="Aptos" w:cs="Times New Roman"/>
                <w:color w:val="1F4E79" w:themeColor="accent5" w:themeShade="80"/>
                <w:sz w:val="24"/>
                <w:szCs w:val="24"/>
              </w:rPr>
              <w:t xml:space="preserve"> Total</w:t>
            </w:r>
            <w:r w:rsidRPr="00E940CF">
              <w:rPr>
                <w:rFonts w:ascii="Aptos" w:eastAsia="Times New Roman" w:hAnsi="Aptos" w:cs="Times New Roman"/>
                <w:b/>
                <w:bCs/>
                <w:color w:val="1F4E79" w:themeColor="accent5" w:themeShade="80"/>
                <w:sz w:val="24"/>
                <w:szCs w:val="24"/>
              </w:rPr>
              <w:t>)</w:t>
            </w:r>
          </w:p>
        </w:tc>
        <w:tc>
          <w:tcPr>
            <w:tcW w:w="1260" w:type="dxa"/>
            <w:tcBorders>
              <w:top w:val="single" w:sz="4" w:space="0" w:color="auto"/>
              <w:left w:val="nil"/>
              <w:bottom w:val="single" w:sz="4" w:space="0" w:color="auto"/>
              <w:right w:val="single" w:sz="4" w:space="0" w:color="auto"/>
            </w:tcBorders>
            <w:shd w:val="clear" w:color="D9E1F2" w:fill="D9E1F2"/>
            <w:vAlign w:val="center"/>
            <w:hideMark/>
          </w:tcPr>
          <w:p w14:paraId="2146E3D6" w14:textId="77777777" w:rsidR="00D021BA" w:rsidRPr="00E940CF" w:rsidRDefault="00D021BA" w:rsidP="00D021BA">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FY24</w:t>
            </w:r>
            <w:r w:rsidRPr="00E940CF">
              <w:rPr>
                <w:rFonts w:ascii="Aptos" w:eastAsia="Times New Roman" w:hAnsi="Aptos" w:cs="Times New Roman"/>
                <w:b/>
                <w:bCs/>
                <w:color w:val="1F4E79" w:themeColor="accent5" w:themeShade="80"/>
                <w:sz w:val="24"/>
                <w:szCs w:val="24"/>
              </w:rPr>
              <w:br/>
            </w:r>
            <w:r w:rsidRPr="00E940CF">
              <w:rPr>
                <w:rFonts w:ascii="Aptos" w:eastAsia="Times New Roman" w:hAnsi="Aptos" w:cs="Times New Roman"/>
                <w:color w:val="1F4E79" w:themeColor="accent5" w:themeShade="80"/>
                <w:sz w:val="24"/>
                <w:szCs w:val="24"/>
              </w:rPr>
              <w:t>(Count)</w:t>
            </w:r>
          </w:p>
        </w:tc>
        <w:tc>
          <w:tcPr>
            <w:tcW w:w="1170" w:type="dxa"/>
            <w:tcBorders>
              <w:top w:val="single" w:sz="4" w:space="0" w:color="auto"/>
              <w:left w:val="nil"/>
              <w:bottom w:val="single" w:sz="4" w:space="0" w:color="auto"/>
              <w:right w:val="single" w:sz="4" w:space="0" w:color="auto"/>
            </w:tcBorders>
            <w:shd w:val="clear" w:color="D9E1F2" w:fill="D9E1F2"/>
            <w:vAlign w:val="center"/>
            <w:hideMark/>
          </w:tcPr>
          <w:p w14:paraId="379F5266" w14:textId="591F6B3B" w:rsidR="00D021BA" w:rsidRPr="00E940CF" w:rsidRDefault="00D021BA" w:rsidP="00D021BA">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FY24</w:t>
            </w:r>
            <w:r w:rsidRPr="00E940CF">
              <w:rPr>
                <w:rFonts w:ascii="Aptos" w:eastAsia="Times New Roman" w:hAnsi="Aptos" w:cs="Times New Roman"/>
                <w:b/>
                <w:bCs/>
                <w:color w:val="1F4E79" w:themeColor="accent5" w:themeShade="80"/>
                <w:sz w:val="24"/>
                <w:szCs w:val="24"/>
              </w:rPr>
              <w:br/>
            </w:r>
            <w:r w:rsidRPr="00E940CF">
              <w:rPr>
                <w:rFonts w:ascii="Aptos" w:eastAsia="Times New Roman" w:hAnsi="Aptos" w:cs="Times New Roman"/>
                <w:color w:val="1F4E79" w:themeColor="accent5" w:themeShade="80"/>
                <w:sz w:val="24"/>
                <w:szCs w:val="24"/>
              </w:rPr>
              <w:t>(</w:t>
            </w:r>
            <w:r w:rsidR="00030C1E">
              <w:rPr>
                <w:rFonts w:ascii="Aptos" w:eastAsia="Times New Roman" w:hAnsi="Aptos" w:cs="Times New Roman"/>
                <w:color w:val="1F4E79" w:themeColor="accent5" w:themeShade="80"/>
                <w:sz w:val="24"/>
                <w:szCs w:val="24"/>
              </w:rPr>
              <w:t>percent</w:t>
            </w:r>
            <w:r w:rsidRPr="00E940CF">
              <w:rPr>
                <w:rFonts w:ascii="Aptos" w:eastAsia="Times New Roman" w:hAnsi="Aptos" w:cs="Times New Roman"/>
                <w:color w:val="1F4E79" w:themeColor="accent5" w:themeShade="80"/>
                <w:sz w:val="24"/>
                <w:szCs w:val="24"/>
              </w:rPr>
              <w:t xml:space="preserve"> Total</w:t>
            </w:r>
            <w:r w:rsidRPr="00E940CF">
              <w:rPr>
                <w:rFonts w:ascii="Aptos" w:eastAsia="Times New Roman" w:hAnsi="Aptos" w:cs="Times New Roman"/>
                <w:b/>
                <w:bCs/>
                <w:color w:val="1F4E79" w:themeColor="accent5" w:themeShade="80"/>
                <w:sz w:val="24"/>
                <w:szCs w:val="24"/>
              </w:rPr>
              <w:t>)</w:t>
            </w:r>
          </w:p>
        </w:tc>
        <w:tc>
          <w:tcPr>
            <w:tcW w:w="1170" w:type="dxa"/>
            <w:tcBorders>
              <w:top w:val="single" w:sz="4" w:space="0" w:color="auto"/>
              <w:left w:val="nil"/>
              <w:bottom w:val="single" w:sz="4" w:space="0" w:color="auto"/>
              <w:right w:val="single" w:sz="4" w:space="0" w:color="auto"/>
            </w:tcBorders>
            <w:shd w:val="clear" w:color="D9E1F2" w:fill="D9E1F2"/>
            <w:vAlign w:val="center"/>
            <w:hideMark/>
          </w:tcPr>
          <w:p w14:paraId="7628DBBB" w14:textId="77777777" w:rsidR="00D021BA" w:rsidRPr="00E940CF" w:rsidRDefault="00D021BA" w:rsidP="00D021BA">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FY25</w:t>
            </w:r>
            <w:r w:rsidRPr="00E940CF">
              <w:rPr>
                <w:rFonts w:ascii="Aptos" w:eastAsia="Times New Roman" w:hAnsi="Aptos" w:cs="Times New Roman"/>
                <w:b/>
                <w:bCs/>
                <w:color w:val="1F4E79" w:themeColor="accent5" w:themeShade="80"/>
                <w:sz w:val="24"/>
                <w:szCs w:val="24"/>
              </w:rPr>
              <w:br/>
            </w:r>
            <w:r w:rsidRPr="00E940CF">
              <w:rPr>
                <w:rFonts w:ascii="Aptos" w:eastAsia="Times New Roman" w:hAnsi="Aptos" w:cs="Times New Roman"/>
                <w:color w:val="1F4E79" w:themeColor="accent5" w:themeShade="80"/>
                <w:sz w:val="24"/>
                <w:szCs w:val="24"/>
              </w:rPr>
              <w:t>(Count)</w:t>
            </w:r>
          </w:p>
        </w:tc>
        <w:tc>
          <w:tcPr>
            <w:tcW w:w="1260" w:type="dxa"/>
            <w:tcBorders>
              <w:top w:val="single" w:sz="4" w:space="0" w:color="auto"/>
              <w:left w:val="nil"/>
              <w:bottom w:val="single" w:sz="4" w:space="0" w:color="auto"/>
              <w:right w:val="single" w:sz="4" w:space="0" w:color="auto"/>
            </w:tcBorders>
            <w:shd w:val="clear" w:color="D9E1F2" w:fill="D9E1F2"/>
            <w:vAlign w:val="center"/>
            <w:hideMark/>
          </w:tcPr>
          <w:p w14:paraId="18829C7B" w14:textId="2EA2F42B" w:rsidR="00D021BA" w:rsidRPr="00E940CF" w:rsidRDefault="00D021BA" w:rsidP="00D021BA">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FY25</w:t>
            </w:r>
            <w:r w:rsidRPr="00E940CF">
              <w:rPr>
                <w:rFonts w:ascii="Aptos" w:eastAsia="Times New Roman" w:hAnsi="Aptos" w:cs="Times New Roman"/>
                <w:b/>
                <w:bCs/>
                <w:color w:val="1F4E79" w:themeColor="accent5" w:themeShade="80"/>
                <w:sz w:val="24"/>
                <w:szCs w:val="24"/>
              </w:rPr>
              <w:br/>
            </w:r>
            <w:r w:rsidRPr="00E940CF">
              <w:rPr>
                <w:rFonts w:ascii="Aptos" w:eastAsia="Times New Roman" w:hAnsi="Aptos" w:cs="Times New Roman"/>
                <w:color w:val="1F4E79" w:themeColor="accent5" w:themeShade="80"/>
                <w:sz w:val="24"/>
                <w:szCs w:val="24"/>
              </w:rPr>
              <w:t>(</w:t>
            </w:r>
            <w:r w:rsidR="00030C1E">
              <w:rPr>
                <w:rFonts w:ascii="Aptos" w:eastAsia="Times New Roman" w:hAnsi="Aptos" w:cs="Times New Roman"/>
                <w:color w:val="1F4E79" w:themeColor="accent5" w:themeShade="80"/>
                <w:sz w:val="24"/>
                <w:szCs w:val="24"/>
              </w:rPr>
              <w:t>percent</w:t>
            </w:r>
            <w:r w:rsidRPr="00E940CF">
              <w:rPr>
                <w:rFonts w:ascii="Aptos" w:eastAsia="Times New Roman" w:hAnsi="Aptos" w:cs="Times New Roman"/>
                <w:color w:val="1F4E79" w:themeColor="accent5" w:themeShade="80"/>
                <w:sz w:val="24"/>
                <w:szCs w:val="24"/>
              </w:rPr>
              <w:t xml:space="preserve"> Total)</w:t>
            </w:r>
          </w:p>
        </w:tc>
      </w:tr>
      <w:tr w:rsidR="00D021BA" w:rsidRPr="00E940CF" w14:paraId="0EB2FB07" w14:textId="77777777" w:rsidTr="008A3F54">
        <w:trPr>
          <w:cantSplit/>
          <w:trHeight w:val="290"/>
        </w:trPr>
        <w:tc>
          <w:tcPr>
            <w:tcW w:w="1615" w:type="dxa"/>
            <w:tcBorders>
              <w:top w:val="nil"/>
              <w:left w:val="single" w:sz="4" w:space="0" w:color="auto"/>
              <w:bottom w:val="single" w:sz="4" w:space="0" w:color="auto"/>
              <w:right w:val="single" w:sz="4" w:space="0" w:color="auto"/>
            </w:tcBorders>
            <w:noWrap/>
            <w:vAlign w:val="center"/>
            <w:hideMark/>
          </w:tcPr>
          <w:p w14:paraId="278AE583" w14:textId="77777777" w:rsidR="00D021BA" w:rsidRPr="00E940CF" w:rsidRDefault="00D021BA" w:rsidP="00D021BA">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0-17</w:t>
            </w:r>
          </w:p>
        </w:tc>
        <w:tc>
          <w:tcPr>
            <w:tcW w:w="1530" w:type="dxa"/>
            <w:tcBorders>
              <w:top w:val="nil"/>
              <w:left w:val="nil"/>
              <w:bottom w:val="single" w:sz="4" w:space="0" w:color="auto"/>
              <w:right w:val="single" w:sz="4" w:space="0" w:color="auto"/>
            </w:tcBorders>
            <w:noWrap/>
            <w:vAlign w:val="center"/>
            <w:hideMark/>
          </w:tcPr>
          <w:p w14:paraId="16939B0C" w14:textId="3291D726" w:rsidR="00D021BA" w:rsidRPr="00E940CF" w:rsidRDefault="00C04ECC" w:rsidP="00D021BA">
            <w:pPr>
              <w:spacing w:after="0" w:line="240" w:lineRule="auto"/>
              <w:jc w:val="center"/>
              <w:rPr>
                <w:rFonts w:ascii="Aptos" w:eastAsia="Times New Roman" w:hAnsi="Aptos" w:cs="Times New Roman"/>
                <w:i/>
                <w:iCs/>
                <w:color w:val="1F4E79" w:themeColor="accent5" w:themeShade="80"/>
                <w:sz w:val="24"/>
                <w:szCs w:val="24"/>
              </w:rPr>
            </w:pPr>
            <w:r w:rsidRPr="00E940CF">
              <w:rPr>
                <w:rFonts w:ascii="Aptos" w:eastAsia="Times New Roman" w:hAnsi="Aptos" w:cs="Times New Roman"/>
                <w:i/>
                <w:iCs/>
                <w:color w:val="1F4E79" w:themeColor="accent5" w:themeShade="80"/>
                <w:sz w:val="24"/>
                <w:szCs w:val="24"/>
              </w:rPr>
              <w:t>&lt;10</w:t>
            </w:r>
            <w:r w:rsidR="00924A71" w:rsidRPr="00E940CF">
              <w:rPr>
                <w:rStyle w:val="FootnoteReference"/>
                <w:rFonts w:ascii="Aptos" w:eastAsia="Times New Roman" w:hAnsi="Aptos" w:cs="Times New Roman"/>
                <w:i/>
                <w:iCs/>
                <w:color w:val="1F4E79" w:themeColor="accent5" w:themeShade="80"/>
                <w:sz w:val="24"/>
                <w:szCs w:val="24"/>
              </w:rPr>
              <w:footnoteReference w:id="2"/>
            </w:r>
          </w:p>
        </w:tc>
        <w:tc>
          <w:tcPr>
            <w:tcW w:w="1440" w:type="dxa"/>
            <w:tcBorders>
              <w:top w:val="nil"/>
              <w:left w:val="nil"/>
              <w:bottom w:val="single" w:sz="4" w:space="0" w:color="auto"/>
              <w:right w:val="single" w:sz="4" w:space="0" w:color="auto"/>
            </w:tcBorders>
            <w:noWrap/>
            <w:vAlign w:val="center"/>
            <w:hideMark/>
          </w:tcPr>
          <w:p w14:paraId="37AFE7A3" w14:textId="77777777" w:rsidR="00D021BA" w:rsidRPr="00E940CF" w:rsidRDefault="00D021BA" w:rsidP="00D021BA">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0%</w:t>
            </w:r>
          </w:p>
        </w:tc>
        <w:tc>
          <w:tcPr>
            <w:tcW w:w="1260" w:type="dxa"/>
            <w:tcBorders>
              <w:top w:val="nil"/>
              <w:left w:val="nil"/>
              <w:bottom w:val="single" w:sz="4" w:space="0" w:color="auto"/>
              <w:right w:val="single" w:sz="4" w:space="0" w:color="auto"/>
            </w:tcBorders>
            <w:noWrap/>
            <w:vAlign w:val="center"/>
            <w:hideMark/>
          </w:tcPr>
          <w:p w14:paraId="72562E9B" w14:textId="77777777" w:rsidR="00D021BA" w:rsidRPr="00E940CF" w:rsidRDefault="00D021BA" w:rsidP="00D021BA">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10</w:t>
            </w:r>
          </w:p>
        </w:tc>
        <w:tc>
          <w:tcPr>
            <w:tcW w:w="1170" w:type="dxa"/>
            <w:tcBorders>
              <w:top w:val="nil"/>
              <w:left w:val="nil"/>
              <w:bottom w:val="single" w:sz="4" w:space="0" w:color="auto"/>
              <w:right w:val="single" w:sz="4" w:space="0" w:color="auto"/>
            </w:tcBorders>
            <w:noWrap/>
            <w:vAlign w:val="center"/>
            <w:hideMark/>
          </w:tcPr>
          <w:p w14:paraId="6F46DAB4" w14:textId="77777777" w:rsidR="00D021BA" w:rsidRPr="00E940CF" w:rsidRDefault="00D021BA" w:rsidP="00D021BA">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0%</w:t>
            </w:r>
          </w:p>
        </w:tc>
        <w:tc>
          <w:tcPr>
            <w:tcW w:w="1170" w:type="dxa"/>
            <w:tcBorders>
              <w:top w:val="nil"/>
              <w:left w:val="nil"/>
              <w:bottom w:val="single" w:sz="4" w:space="0" w:color="auto"/>
              <w:right w:val="single" w:sz="4" w:space="0" w:color="auto"/>
            </w:tcBorders>
            <w:noWrap/>
            <w:vAlign w:val="center"/>
            <w:hideMark/>
          </w:tcPr>
          <w:p w14:paraId="0C4128E6" w14:textId="77777777" w:rsidR="00D021BA" w:rsidRPr="00E940CF" w:rsidRDefault="00D021BA" w:rsidP="00D021BA">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15</w:t>
            </w:r>
          </w:p>
        </w:tc>
        <w:tc>
          <w:tcPr>
            <w:tcW w:w="1260" w:type="dxa"/>
            <w:tcBorders>
              <w:top w:val="nil"/>
              <w:left w:val="nil"/>
              <w:bottom w:val="single" w:sz="4" w:space="0" w:color="auto"/>
              <w:right w:val="single" w:sz="4" w:space="0" w:color="auto"/>
            </w:tcBorders>
            <w:noWrap/>
            <w:vAlign w:val="center"/>
            <w:hideMark/>
          </w:tcPr>
          <w:p w14:paraId="3ACABC9F" w14:textId="761250FB" w:rsidR="00D021BA" w:rsidRPr="00E940CF" w:rsidRDefault="00401E30" w:rsidP="00D021BA">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&lt;1</w:t>
            </w:r>
            <w:r w:rsidR="00D021BA" w:rsidRPr="00E940CF">
              <w:rPr>
                <w:rFonts w:ascii="Aptos" w:eastAsia="Times New Roman" w:hAnsi="Aptos" w:cs="Times New Roman"/>
                <w:color w:val="1F4E79" w:themeColor="accent5" w:themeShade="80"/>
                <w:sz w:val="24"/>
                <w:szCs w:val="24"/>
              </w:rPr>
              <w:t>%</w:t>
            </w:r>
          </w:p>
        </w:tc>
      </w:tr>
      <w:tr w:rsidR="00D021BA" w:rsidRPr="00E940CF" w14:paraId="5D8502B7" w14:textId="77777777" w:rsidTr="008A3F54">
        <w:trPr>
          <w:cantSplit/>
          <w:trHeight w:val="290"/>
        </w:trPr>
        <w:tc>
          <w:tcPr>
            <w:tcW w:w="1615" w:type="dxa"/>
            <w:tcBorders>
              <w:top w:val="nil"/>
              <w:left w:val="single" w:sz="4" w:space="0" w:color="auto"/>
              <w:bottom w:val="single" w:sz="4" w:space="0" w:color="auto"/>
              <w:right w:val="single" w:sz="4" w:space="0" w:color="auto"/>
            </w:tcBorders>
            <w:noWrap/>
            <w:vAlign w:val="center"/>
            <w:hideMark/>
          </w:tcPr>
          <w:p w14:paraId="0354F82A" w14:textId="77777777" w:rsidR="00D021BA" w:rsidRPr="00E940CF" w:rsidRDefault="00D021BA" w:rsidP="00D021BA">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18-64</w:t>
            </w:r>
          </w:p>
        </w:tc>
        <w:tc>
          <w:tcPr>
            <w:tcW w:w="1530" w:type="dxa"/>
            <w:tcBorders>
              <w:top w:val="nil"/>
              <w:left w:val="nil"/>
              <w:bottom w:val="single" w:sz="4" w:space="0" w:color="auto"/>
              <w:right w:val="single" w:sz="4" w:space="0" w:color="auto"/>
            </w:tcBorders>
            <w:noWrap/>
            <w:vAlign w:val="center"/>
            <w:hideMark/>
          </w:tcPr>
          <w:p w14:paraId="6DC114B5" w14:textId="77777777" w:rsidR="00D021BA" w:rsidRPr="00E940CF" w:rsidRDefault="00D021BA" w:rsidP="00D021BA">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6,687</w:t>
            </w:r>
          </w:p>
        </w:tc>
        <w:tc>
          <w:tcPr>
            <w:tcW w:w="1440" w:type="dxa"/>
            <w:tcBorders>
              <w:top w:val="nil"/>
              <w:left w:val="nil"/>
              <w:bottom w:val="single" w:sz="4" w:space="0" w:color="auto"/>
              <w:right w:val="single" w:sz="4" w:space="0" w:color="auto"/>
            </w:tcBorders>
            <w:noWrap/>
            <w:vAlign w:val="center"/>
            <w:hideMark/>
          </w:tcPr>
          <w:p w14:paraId="23445F77" w14:textId="77777777" w:rsidR="00D021BA" w:rsidRPr="00E940CF" w:rsidRDefault="00D021BA" w:rsidP="00D021BA">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51%</w:t>
            </w:r>
          </w:p>
        </w:tc>
        <w:tc>
          <w:tcPr>
            <w:tcW w:w="1260" w:type="dxa"/>
            <w:tcBorders>
              <w:top w:val="nil"/>
              <w:left w:val="nil"/>
              <w:bottom w:val="single" w:sz="4" w:space="0" w:color="auto"/>
              <w:right w:val="single" w:sz="4" w:space="0" w:color="auto"/>
            </w:tcBorders>
            <w:noWrap/>
            <w:vAlign w:val="center"/>
            <w:hideMark/>
          </w:tcPr>
          <w:p w14:paraId="110F1E71" w14:textId="77777777" w:rsidR="00D021BA" w:rsidRPr="00E940CF" w:rsidRDefault="00D021BA" w:rsidP="00D021BA">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7,616</w:t>
            </w:r>
          </w:p>
        </w:tc>
        <w:tc>
          <w:tcPr>
            <w:tcW w:w="1170" w:type="dxa"/>
            <w:tcBorders>
              <w:top w:val="nil"/>
              <w:left w:val="nil"/>
              <w:bottom w:val="single" w:sz="4" w:space="0" w:color="auto"/>
              <w:right w:val="single" w:sz="4" w:space="0" w:color="auto"/>
            </w:tcBorders>
            <w:noWrap/>
            <w:vAlign w:val="center"/>
            <w:hideMark/>
          </w:tcPr>
          <w:p w14:paraId="0C0F9019" w14:textId="77777777" w:rsidR="00D021BA" w:rsidRPr="00E940CF" w:rsidRDefault="00D021BA" w:rsidP="00D021BA">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51%</w:t>
            </w:r>
          </w:p>
        </w:tc>
        <w:tc>
          <w:tcPr>
            <w:tcW w:w="1170" w:type="dxa"/>
            <w:tcBorders>
              <w:top w:val="nil"/>
              <w:left w:val="nil"/>
              <w:bottom w:val="single" w:sz="4" w:space="0" w:color="auto"/>
              <w:right w:val="single" w:sz="4" w:space="0" w:color="auto"/>
            </w:tcBorders>
            <w:noWrap/>
            <w:vAlign w:val="center"/>
            <w:hideMark/>
          </w:tcPr>
          <w:p w14:paraId="4C17C7A7" w14:textId="77777777" w:rsidR="00D021BA" w:rsidRPr="00E940CF" w:rsidRDefault="00D021BA" w:rsidP="00D021BA">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8,669</w:t>
            </w:r>
          </w:p>
        </w:tc>
        <w:tc>
          <w:tcPr>
            <w:tcW w:w="1260" w:type="dxa"/>
            <w:tcBorders>
              <w:top w:val="nil"/>
              <w:left w:val="nil"/>
              <w:bottom w:val="single" w:sz="4" w:space="0" w:color="auto"/>
              <w:right w:val="single" w:sz="4" w:space="0" w:color="auto"/>
            </w:tcBorders>
            <w:noWrap/>
            <w:vAlign w:val="center"/>
            <w:hideMark/>
          </w:tcPr>
          <w:p w14:paraId="475330D4" w14:textId="77777777" w:rsidR="00D021BA" w:rsidRPr="00E940CF" w:rsidRDefault="00D021BA" w:rsidP="00D021BA">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52%</w:t>
            </w:r>
          </w:p>
        </w:tc>
      </w:tr>
      <w:tr w:rsidR="00D021BA" w:rsidRPr="00E940CF" w14:paraId="479B78E8" w14:textId="77777777" w:rsidTr="008A3F54">
        <w:trPr>
          <w:cantSplit/>
          <w:trHeight w:val="290"/>
        </w:trPr>
        <w:tc>
          <w:tcPr>
            <w:tcW w:w="1615" w:type="dxa"/>
            <w:tcBorders>
              <w:top w:val="nil"/>
              <w:left w:val="single" w:sz="4" w:space="0" w:color="auto"/>
              <w:bottom w:val="single" w:sz="4" w:space="0" w:color="auto"/>
              <w:right w:val="single" w:sz="4" w:space="0" w:color="auto"/>
            </w:tcBorders>
            <w:noWrap/>
            <w:vAlign w:val="center"/>
            <w:hideMark/>
          </w:tcPr>
          <w:p w14:paraId="52C60E2E" w14:textId="77777777" w:rsidR="00D021BA" w:rsidRPr="00E940CF" w:rsidRDefault="00D021BA" w:rsidP="00D021BA">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65+</w:t>
            </w:r>
          </w:p>
        </w:tc>
        <w:tc>
          <w:tcPr>
            <w:tcW w:w="1530" w:type="dxa"/>
            <w:tcBorders>
              <w:top w:val="nil"/>
              <w:left w:val="nil"/>
              <w:bottom w:val="single" w:sz="4" w:space="0" w:color="auto"/>
              <w:right w:val="single" w:sz="4" w:space="0" w:color="auto"/>
            </w:tcBorders>
            <w:noWrap/>
            <w:vAlign w:val="center"/>
            <w:hideMark/>
          </w:tcPr>
          <w:p w14:paraId="131AE38A" w14:textId="77777777" w:rsidR="00D021BA" w:rsidRPr="00E940CF" w:rsidRDefault="00D021BA" w:rsidP="00D021BA">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6,326</w:t>
            </w:r>
          </w:p>
        </w:tc>
        <w:tc>
          <w:tcPr>
            <w:tcW w:w="1440" w:type="dxa"/>
            <w:tcBorders>
              <w:top w:val="nil"/>
              <w:left w:val="nil"/>
              <w:bottom w:val="single" w:sz="4" w:space="0" w:color="auto"/>
              <w:right w:val="single" w:sz="4" w:space="0" w:color="auto"/>
            </w:tcBorders>
            <w:noWrap/>
            <w:vAlign w:val="center"/>
            <w:hideMark/>
          </w:tcPr>
          <w:p w14:paraId="0997DD08" w14:textId="77777777" w:rsidR="00D021BA" w:rsidRPr="00E940CF" w:rsidRDefault="00D021BA" w:rsidP="00D021BA">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49%</w:t>
            </w:r>
          </w:p>
        </w:tc>
        <w:tc>
          <w:tcPr>
            <w:tcW w:w="1260" w:type="dxa"/>
            <w:tcBorders>
              <w:top w:val="nil"/>
              <w:left w:val="nil"/>
              <w:bottom w:val="single" w:sz="4" w:space="0" w:color="auto"/>
              <w:right w:val="single" w:sz="4" w:space="0" w:color="auto"/>
            </w:tcBorders>
            <w:noWrap/>
            <w:vAlign w:val="center"/>
            <w:hideMark/>
          </w:tcPr>
          <w:p w14:paraId="220742B7" w14:textId="77777777" w:rsidR="00D021BA" w:rsidRPr="00E940CF" w:rsidRDefault="00D021BA" w:rsidP="00D021BA">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7,305</w:t>
            </w:r>
          </w:p>
        </w:tc>
        <w:tc>
          <w:tcPr>
            <w:tcW w:w="1170" w:type="dxa"/>
            <w:tcBorders>
              <w:top w:val="nil"/>
              <w:left w:val="nil"/>
              <w:bottom w:val="single" w:sz="4" w:space="0" w:color="auto"/>
              <w:right w:val="single" w:sz="4" w:space="0" w:color="auto"/>
            </w:tcBorders>
            <w:noWrap/>
            <w:vAlign w:val="center"/>
            <w:hideMark/>
          </w:tcPr>
          <w:p w14:paraId="0B9732E9" w14:textId="77777777" w:rsidR="00D021BA" w:rsidRPr="00E940CF" w:rsidRDefault="00D021BA" w:rsidP="00D021BA">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49%</w:t>
            </w:r>
          </w:p>
        </w:tc>
        <w:tc>
          <w:tcPr>
            <w:tcW w:w="1170" w:type="dxa"/>
            <w:tcBorders>
              <w:top w:val="nil"/>
              <w:left w:val="nil"/>
              <w:bottom w:val="single" w:sz="4" w:space="0" w:color="auto"/>
              <w:right w:val="single" w:sz="4" w:space="0" w:color="auto"/>
            </w:tcBorders>
            <w:noWrap/>
            <w:vAlign w:val="center"/>
            <w:hideMark/>
          </w:tcPr>
          <w:p w14:paraId="4288D29C" w14:textId="77777777" w:rsidR="00D021BA" w:rsidRPr="00E940CF" w:rsidRDefault="00D021BA" w:rsidP="00D021BA">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7,850</w:t>
            </w:r>
          </w:p>
        </w:tc>
        <w:tc>
          <w:tcPr>
            <w:tcW w:w="1260" w:type="dxa"/>
            <w:tcBorders>
              <w:top w:val="nil"/>
              <w:left w:val="nil"/>
              <w:bottom w:val="single" w:sz="4" w:space="0" w:color="auto"/>
              <w:right w:val="single" w:sz="4" w:space="0" w:color="auto"/>
            </w:tcBorders>
            <w:noWrap/>
            <w:vAlign w:val="center"/>
            <w:hideMark/>
          </w:tcPr>
          <w:p w14:paraId="16048CD5" w14:textId="77777777" w:rsidR="00D021BA" w:rsidRPr="00E940CF" w:rsidRDefault="00D021BA" w:rsidP="00D021BA">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47%</w:t>
            </w:r>
          </w:p>
        </w:tc>
      </w:tr>
      <w:tr w:rsidR="00D021BA" w:rsidRPr="00E940CF" w14:paraId="682F7969" w14:textId="77777777" w:rsidTr="008A3F54">
        <w:trPr>
          <w:cantSplit/>
          <w:trHeight w:val="290"/>
        </w:trPr>
        <w:tc>
          <w:tcPr>
            <w:tcW w:w="1615" w:type="dxa"/>
            <w:tcBorders>
              <w:top w:val="nil"/>
              <w:left w:val="single" w:sz="4" w:space="0" w:color="auto"/>
              <w:bottom w:val="single" w:sz="4" w:space="0" w:color="auto"/>
              <w:right w:val="single" w:sz="4" w:space="0" w:color="auto"/>
            </w:tcBorders>
            <w:noWrap/>
            <w:vAlign w:val="center"/>
            <w:hideMark/>
          </w:tcPr>
          <w:p w14:paraId="327A3898" w14:textId="52CE7DD3" w:rsidR="00D021BA" w:rsidRPr="00E940CF" w:rsidRDefault="00A82487" w:rsidP="00D021BA">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Total</w:t>
            </w:r>
          </w:p>
        </w:tc>
        <w:tc>
          <w:tcPr>
            <w:tcW w:w="1530" w:type="dxa"/>
            <w:tcBorders>
              <w:top w:val="nil"/>
              <w:left w:val="nil"/>
              <w:bottom w:val="single" w:sz="4" w:space="0" w:color="auto"/>
              <w:right w:val="single" w:sz="4" w:space="0" w:color="auto"/>
            </w:tcBorders>
            <w:noWrap/>
            <w:vAlign w:val="center"/>
            <w:hideMark/>
          </w:tcPr>
          <w:p w14:paraId="15D9F0AB" w14:textId="77777777" w:rsidR="00D021BA" w:rsidRPr="00E940CF" w:rsidRDefault="00D021BA" w:rsidP="00D021BA">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13,021</w:t>
            </w:r>
          </w:p>
        </w:tc>
        <w:tc>
          <w:tcPr>
            <w:tcW w:w="1440" w:type="dxa"/>
            <w:tcBorders>
              <w:top w:val="nil"/>
              <w:left w:val="nil"/>
              <w:bottom w:val="single" w:sz="4" w:space="0" w:color="auto"/>
              <w:right w:val="single" w:sz="4" w:space="0" w:color="auto"/>
            </w:tcBorders>
            <w:noWrap/>
            <w:vAlign w:val="center"/>
            <w:hideMark/>
          </w:tcPr>
          <w:p w14:paraId="64F2949B" w14:textId="77777777" w:rsidR="00D021BA" w:rsidRPr="00E940CF" w:rsidRDefault="00D021BA" w:rsidP="00D021BA">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100%</w:t>
            </w:r>
          </w:p>
        </w:tc>
        <w:tc>
          <w:tcPr>
            <w:tcW w:w="1260" w:type="dxa"/>
            <w:tcBorders>
              <w:top w:val="nil"/>
              <w:left w:val="nil"/>
              <w:bottom w:val="single" w:sz="4" w:space="0" w:color="auto"/>
              <w:right w:val="single" w:sz="4" w:space="0" w:color="auto"/>
            </w:tcBorders>
            <w:noWrap/>
            <w:vAlign w:val="center"/>
            <w:hideMark/>
          </w:tcPr>
          <w:p w14:paraId="493BD8E6" w14:textId="77777777" w:rsidR="00D021BA" w:rsidRPr="00E940CF" w:rsidRDefault="00D021BA" w:rsidP="00D021BA">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14,931</w:t>
            </w:r>
          </w:p>
        </w:tc>
        <w:tc>
          <w:tcPr>
            <w:tcW w:w="1170" w:type="dxa"/>
            <w:tcBorders>
              <w:top w:val="nil"/>
              <w:left w:val="nil"/>
              <w:bottom w:val="single" w:sz="4" w:space="0" w:color="auto"/>
              <w:right w:val="single" w:sz="4" w:space="0" w:color="auto"/>
            </w:tcBorders>
            <w:noWrap/>
            <w:vAlign w:val="center"/>
            <w:hideMark/>
          </w:tcPr>
          <w:p w14:paraId="17FCBA30" w14:textId="77777777" w:rsidR="00D021BA" w:rsidRPr="00E940CF" w:rsidRDefault="00D021BA" w:rsidP="00D021BA">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100%</w:t>
            </w:r>
          </w:p>
        </w:tc>
        <w:tc>
          <w:tcPr>
            <w:tcW w:w="1170" w:type="dxa"/>
            <w:tcBorders>
              <w:top w:val="nil"/>
              <w:left w:val="nil"/>
              <w:bottom w:val="single" w:sz="4" w:space="0" w:color="auto"/>
              <w:right w:val="single" w:sz="4" w:space="0" w:color="auto"/>
            </w:tcBorders>
            <w:noWrap/>
            <w:vAlign w:val="center"/>
            <w:hideMark/>
          </w:tcPr>
          <w:p w14:paraId="557F739E" w14:textId="77777777" w:rsidR="00D021BA" w:rsidRPr="00E940CF" w:rsidRDefault="00D021BA" w:rsidP="00D021BA">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16,534</w:t>
            </w:r>
          </w:p>
        </w:tc>
        <w:tc>
          <w:tcPr>
            <w:tcW w:w="1260" w:type="dxa"/>
            <w:tcBorders>
              <w:top w:val="nil"/>
              <w:left w:val="nil"/>
              <w:bottom w:val="single" w:sz="4" w:space="0" w:color="auto"/>
              <w:right w:val="single" w:sz="4" w:space="0" w:color="auto"/>
            </w:tcBorders>
            <w:noWrap/>
            <w:vAlign w:val="center"/>
            <w:hideMark/>
          </w:tcPr>
          <w:p w14:paraId="1583465F" w14:textId="77777777" w:rsidR="00D021BA" w:rsidRPr="00E940CF" w:rsidRDefault="00D021BA" w:rsidP="00D021BA">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100%</w:t>
            </w:r>
          </w:p>
        </w:tc>
      </w:tr>
    </w:tbl>
    <w:p w14:paraId="5D8DF6FE" w14:textId="77777777" w:rsidR="009C56EC" w:rsidRPr="00E940CF" w:rsidRDefault="009C56EC" w:rsidP="009C56EC">
      <w:pPr>
        <w:ind w:left="360"/>
        <w:rPr>
          <w:rFonts w:ascii="Aptos" w:hAnsi="Aptos" w:cs="Times New Roman"/>
          <w:b/>
          <w:bCs/>
          <w:color w:val="1F4E79" w:themeColor="accent5" w:themeShade="80"/>
          <w:sz w:val="24"/>
          <w:szCs w:val="24"/>
        </w:rPr>
      </w:pPr>
    </w:p>
    <w:p w14:paraId="5AC77688" w14:textId="01B6B0C8" w:rsidR="009C56EC" w:rsidRPr="00E940CF" w:rsidRDefault="009C56EC" w:rsidP="00ED38EC">
      <w:pPr>
        <w:keepNext/>
        <w:keepLines/>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u w:val="single"/>
        </w:rPr>
        <w:t>Table 2a.</w:t>
      </w:r>
      <w:r w:rsidRPr="00E940CF">
        <w:rPr>
          <w:rFonts w:ascii="Aptos" w:hAnsi="Aptos" w:cs="Times New Roman"/>
          <w:b/>
          <w:bCs/>
          <w:color w:val="1F4E79" w:themeColor="accent5" w:themeShade="80"/>
          <w:sz w:val="24"/>
          <w:szCs w:val="24"/>
        </w:rPr>
        <w:t xml:space="preserve"> Southcoast Health Oncology</w:t>
      </w:r>
      <w:r w:rsidR="007E43A0" w:rsidRPr="00E940CF">
        <w:rPr>
          <w:rFonts w:ascii="Aptos" w:hAnsi="Aptos" w:cs="Times New Roman"/>
          <w:b/>
          <w:bCs/>
          <w:color w:val="1F4E79" w:themeColor="accent5" w:themeShade="80"/>
          <w:sz w:val="24"/>
          <w:szCs w:val="24"/>
        </w:rPr>
        <w:t>:</w:t>
      </w:r>
      <w:r w:rsidRPr="00E940CF">
        <w:rPr>
          <w:rFonts w:ascii="Aptos" w:hAnsi="Aptos" w:cs="Times New Roman"/>
          <w:b/>
          <w:bCs/>
          <w:color w:val="1F4E79" w:themeColor="accent5" w:themeShade="80"/>
          <w:sz w:val="24"/>
          <w:szCs w:val="24"/>
        </w:rPr>
        <w:t xml:space="preserve"> </w:t>
      </w:r>
      <w:r w:rsidR="007E43A0" w:rsidRPr="00E940CF">
        <w:rPr>
          <w:rFonts w:ascii="Aptos" w:hAnsi="Aptos" w:cs="Times New Roman"/>
          <w:b/>
          <w:bCs/>
          <w:color w:val="1F4E79" w:themeColor="accent5" w:themeShade="80"/>
          <w:sz w:val="24"/>
          <w:szCs w:val="24"/>
        </w:rPr>
        <w:t xml:space="preserve">Fiscal Year 2023 – Fiscal Year 2025 </w:t>
      </w:r>
      <w:r w:rsidRPr="00E940CF">
        <w:rPr>
          <w:rFonts w:ascii="Aptos" w:hAnsi="Aptos" w:cs="Times New Roman"/>
          <w:b/>
          <w:bCs/>
          <w:color w:val="1F4E79" w:themeColor="accent5" w:themeShade="80"/>
          <w:sz w:val="24"/>
          <w:szCs w:val="24"/>
        </w:rPr>
        <w:t>Patient Panel by Gender</w:t>
      </w:r>
    </w:p>
    <w:tbl>
      <w:tblPr>
        <w:tblW w:w="4955" w:type="pct"/>
        <w:tblLook w:val="04A0" w:firstRow="1" w:lastRow="0" w:firstColumn="1" w:lastColumn="0" w:noHBand="0" w:noVBand="1"/>
        <w:tblCaption w:val="Fiscal Year 2023 – Fiscal Year 2025 Patient Panel by Gender"/>
      </w:tblPr>
      <w:tblGrid>
        <w:gridCol w:w="3106"/>
        <w:gridCol w:w="1501"/>
        <w:gridCol w:w="1622"/>
        <w:gridCol w:w="1620"/>
        <w:gridCol w:w="1620"/>
        <w:gridCol w:w="1496"/>
        <w:gridCol w:w="1868"/>
      </w:tblGrid>
      <w:tr w:rsidR="0016742F" w:rsidRPr="00E940CF" w14:paraId="7E60D824" w14:textId="77777777" w:rsidTr="00AF7AF9">
        <w:trPr>
          <w:cantSplit/>
          <w:trHeight w:val="615"/>
          <w:tblHeader/>
        </w:trPr>
        <w:tc>
          <w:tcPr>
            <w:tcW w:w="1210" w:type="pct"/>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311B193F" w14:textId="77777777" w:rsidR="009C56EC" w:rsidRPr="00E940CF" w:rsidRDefault="009C56EC" w:rsidP="00ED38EC">
            <w:pPr>
              <w:keepNext/>
              <w:keepLines/>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Gender</w:t>
            </w:r>
          </w:p>
        </w:tc>
        <w:tc>
          <w:tcPr>
            <w:tcW w:w="585" w:type="pct"/>
            <w:tcBorders>
              <w:top w:val="single" w:sz="4" w:space="0" w:color="auto"/>
              <w:left w:val="nil"/>
              <w:bottom w:val="single" w:sz="4" w:space="0" w:color="auto"/>
              <w:right w:val="single" w:sz="4" w:space="0" w:color="auto"/>
            </w:tcBorders>
            <w:shd w:val="clear" w:color="auto" w:fill="D9E1F2"/>
            <w:vAlign w:val="center"/>
            <w:hideMark/>
          </w:tcPr>
          <w:p w14:paraId="77A4578E" w14:textId="77777777" w:rsidR="009C56EC" w:rsidRPr="00E940CF" w:rsidRDefault="009C56EC" w:rsidP="00C968D4">
            <w:pPr>
              <w:keepNext/>
              <w:keepLines/>
              <w:ind w:left="76"/>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FY23</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(Count)</w:t>
            </w:r>
          </w:p>
        </w:tc>
        <w:tc>
          <w:tcPr>
            <w:tcW w:w="632" w:type="pct"/>
            <w:tcBorders>
              <w:top w:val="single" w:sz="4" w:space="0" w:color="auto"/>
              <w:left w:val="nil"/>
              <w:bottom w:val="single" w:sz="4" w:space="0" w:color="auto"/>
              <w:right w:val="single" w:sz="4" w:space="0" w:color="auto"/>
            </w:tcBorders>
            <w:shd w:val="clear" w:color="auto" w:fill="D9E1F2"/>
            <w:vAlign w:val="center"/>
            <w:hideMark/>
          </w:tcPr>
          <w:p w14:paraId="76BFE256" w14:textId="4275C049" w:rsidR="009C56EC" w:rsidRPr="00E940CF" w:rsidRDefault="009C56EC" w:rsidP="00C968D4">
            <w:pPr>
              <w:keepNext/>
              <w:keepLines/>
              <w:ind w:left="80"/>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FY23</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w:t>
            </w:r>
            <w:r w:rsidR="00030C1E">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Total</w:t>
            </w:r>
            <w:r w:rsidRPr="00E940CF">
              <w:rPr>
                <w:rFonts w:ascii="Aptos" w:hAnsi="Aptos" w:cs="Times New Roman"/>
                <w:b/>
                <w:bCs/>
                <w:color w:val="1F4E79" w:themeColor="accent5" w:themeShade="80"/>
                <w:sz w:val="24"/>
                <w:szCs w:val="24"/>
              </w:rPr>
              <w:t>)</w:t>
            </w:r>
          </w:p>
        </w:tc>
        <w:tc>
          <w:tcPr>
            <w:tcW w:w="631" w:type="pct"/>
            <w:tcBorders>
              <w:top w:val="single" w:sz="4" w:space="0" w:color="auto"/>
              <w:left w:val="nil"/>
              <w:bottom w:val="single" w:sz="4" w:space="0" w:color="auto"/>
              <w:right w:val="single" w:sz="4" w:space="0" w:color="auto"/>
            </w:tcBorders>
            <w:shd w:val="clear" w:color="auto" w:fill="D9E1F2"/>
            <w:vAlign w:val="center"/>
            <w:hideMark/>
          </w:tcPr>
          <w:p w14:paraId="3A5AF1E8" w14:textId="77777777" w:rsidR="009C56EC" w:rsidRPr="00E940CF" w:rsidRDefault="009C56EC" w:rsidP="00C968D4">
            <w:pPr>
              <w:keepNext/>
              <w:keepLines/>
              <w:ind w:left="72"/>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FY24</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(Count)</w:t>
            </w:r>
          </w:p>
        </w:tc>
        <w:tc>
          <w:tcPr>
            <w:tcW w:w="631" w:type="pct"/>
            <w:tcBorders>
              <w:top w:val="single" w:sz="4" w:space="0" w:color="auto"/>
              <w:left w:val="nil"/>
              <w:bottom w:val="single" w:sz="4" w:space="0" w:color="auto"/>
              <w:right w:val="single" w:sz="4" w:space="0" w:color="auto"/>
            </w:tcBorders>
            <w:shd w:val="clear" w:color="auto" w:fill="D9E1F2"/>
            <w:vAlign w:val="center"/>
            <w:hideMark/>
          </w:tcPr>
          <w:p w14:paraId="4DFF2414" w14:textId="58D4B2BF" w:rsidR="009C56EC" w:rsidRPr="00E940CF" w:rsidRDefault="009C56EC" w:rsidP="00C968D4">
            <w:pPr>
              <w:keepNext/>
              <w:keepLines/>
              <w:ind w:left="78"/>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FY24</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w:t>
            </w:r>
            <w:r w:rsidR="00030C1E">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Total</w:t>
            </w:r>
            <w:r w:rsidRPr="00E940CF">
              <w:rPr>
                <w:rFonts w:ascii="Aptos" w:hAnsi="Aptos" w:cs="Times New Roman"/>
                <w:b/>
                <w:bCs/>
                <w:color w:val="1F4E79" w:themeColor="accent5" w:themeShade="80"/>
                <w:sz w:val="24"/>
                <w:szCs w:val="24"/>
              </w:rPr>
              <w:t>)</w:t>
            </w:r>
          </w:p>
        </w:tc>
        <w:tc>
          <w:tcPr>
            <w:tcW w:w="583" w:type="pct"/>
            <w:tcBorders>
              <w:top w:val="single" w:sz="4" w:space="0" w:color="auto"/>
              <w:left w:val="nil"/>
              <w:bottom w:val="single" w:sz="4" w:space="0" w:color="auto"/>
              <w:right w:val="single" w:sz="4" w:space="0" w:color="auto"/>
            </w:tcBorders>
            <w:shd w:val="clear" w:color="auto" w:fill="D9E1F2"/>
            <w:vAlign w:val="center"/>
            <w:hideMark/>
          </w:tcPr>
          <w:p w14:paraId="5017E217" w14:textId="77777777" w:rsidR="009C56EC" w:rsidRPr="00E940CF" w:rsidRDefault="009C56EC" w:rsidP="00C968D4">
            <w:pPr>
              <w:keepNext/>
              <w:keepLines/>
              <w:ind w:left="71"/>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FY25</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(Count)</w:t>
            </w:r>
          </w:p>
        </w:tc>
        <w:tc>
          <w:tcPr>
            <w:tcW w:w="729" w:type="pct"/>
            <w:tcBorders>
              <w:top w:val="single" w:sz="4" w:space="0" w:color="auto"/>
              <w:left w:val="nil"/>
              <w:bottom w:val="single" w:sz="4" w:space="0" w:color="auto"/>
              <w:right w:val="single" w:sz="4" w:space="0" w:color="auto"/>
            </w:tcBorders>
            <w:shd w:val="clear" w:color="auto" w:fill="D9E1F2"/>
            <w:vAlign w:val="center"/>
            <w:hideMark/>
          </w:tcPr>
          <w:p w14:paraId="3F49697E" w14:textId="37CADF9F" w:rsidR="009C56EC" w:rsidRPr="00E940CF" w:rsidRDefault="009C56EC" w:rsidP="00C968D4">
            <w:pPr>
              <w:keepNext/>
              <w:keepLines/>
              <w:ind w:left="121"/>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FY25</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w:t>
            </w:r>
            <w:r w:rsidR="00030C1E">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Total)</w:t>
            </w:r>
          </w:p>
        </w:tc>
      </w:tr>
      <w:tr w:rsidR="009C56EC" w:rsidRPr="00E940CF" w14:paraId="7A24D029" w14:textId="77777777" w:rsidTr="00AF7AF9">
        <w:trPr>
          <w:cantSplit/>
          <w:trHeight w:val="300"/>
        </w:trPr>
        <w:tc>
          <w:tcPr>
            <w:tcW w:w="1210" w:type="pct"/>
            <w:tcBorders>
              <w:top w:val="nil"/>
              <w:left w:val="single" w:sz="4" w:space="0" w:color="auto"/>
              <w:bottom w:val="single" w:sz="4" w:space="0" w:color="auto"/>
              <w:right w:val="single" w:sz="4" w:space="0" w:color="auto"/>
            </w:tcBorders>
            <w:noWrap/>
            <w:vAlign w:val="center"/>
            <w:hideMark/>
          </w:tcPr>
          <w:p w14:paraId="6450E752" w14:textId="77777777" w:rsidR="009C56EC" w:rsidRPr="00E940CF" w:rsidRDefault="009C56EC" w:rsidP="009C56EC">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Female</w:t>
            </w:r>
          </w:p>
        </w:tc>
        <w:tc>
          <w:tcPr>
            <w:tcW w:w="585" w:type="pct"/>
            <w:tcBorders>
              <w:top w:val="nil"/>
              <w:left w:val="nil"/>
              <w:bottom w:val="single" w:sz="4" w:space="0" w:color="auto"/>
              <w:right w:val="single" w:sz="4" w:space="0" w:color="auto"/>
            </w:tcBorders>
            <w:noWrap/>
            <w:vAlign w:val="center"/>
            <w:hideMark/>
          </w:tcPr>
          <w:p w14:paraId="0EC71394" w14:textId="77777777" w:rsidR="009C56EC" w:rsidRPr="00E940CF" w:rsidRDefault="009C56EC" w:rsidP="00C968D4">
            <w:pPr>
              <w:ind w:left="76"/>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8,312</w:t>
            </w:r>
          </w:p>
        </w:tc>
        <w:tc>
          <w:tcPr>
            <w:tcW w:w="632" w:type="pct"/>
            <w:tcBorders>
              <w:top w:val="nil"/>
              <w:left w:val="nil"/>
              <w:bottom w:val="single" w:sz="4" w:space="0" w:color="auto"/>
              <w:right w:val="single" w:sz="4" w:space="0" w:color="auto"/>
            </w:tcBorders>
            <w:noWrap/>
            <w:vAlign w:val="center"/>
            <w:hideMark/>
          </w:tcPr>
          <w:p w14:paraId="0646BFA1" w14:textId="77777777" w:rsidR="009C56EC" w:rsidRPr="00E940CF" w:rsidRDefault="009C56EC" w:rsidP="00C968D4">
            <w:pPr>
              <w:ind w:left="80"/>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64%</w:t>
            </w:r>
          </w:p>
        </w:tc>
        <w:tc>
          <w:tcPr>
            <w:tcW w:w="631" w:type="pct"/>
            <w:tcBorders>
              <w:top w:val="nil"/>
              <w:left w:val="nil"/>
              <w:bottom w:val="single" w:sz="4" w:space="0" w:color="auto"/>
              <w:right w:val="single" w:sz="4" w:space="0" w:color="auto"/>
            </w:tcBorders>
            <w:noWrap/>
            <w:vAlign w:val="center"/>
            <w:hideMark/>
          </w:tcPr>
          <w:p w14:paraId="63323311" w14:textId="77777777" w:rsidR="009C56EC" w:rsidRPr="00E940CF" w:rsidRDefault="009C56EC" w:rsidP="00C968D4">
            <w:pPr>
              <w:ind w:left="72"/>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9,688</w:t>
            </w:r>
          </w:p>
        </w:tc>
        <w:tc>
          <w:tcPr>
            <w:tcW w:w="631" w:type="pct"/>
            <w:tcBorders>
              <w:top w:val="nil"/>
              <w:left w:val="nil"/>
              <w:bottom w:val="single" w:sz="4" w:space="0" w:color="auto"/>
              <w:right w:val="single" w:sz="4" w:space="0" w:color="auto"/>
            </w:tcBorders>
            <w:noWrap/>
            <w:vAlign w:val="center"/>
            <w:hideMark/>
          </w:tcPr>
          <w:p w14:paraId="17DDFA21" w14:textId="77777777" w:rsidR="009C56EC" w:rsidRPr="00E940CF" w:rsidRDefault="009C56EC" w:rsidP="00C968D4">
            <w:pPr>
              <w:ind w:left="78"/>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65%</w:t>
            </w:r>
          </w:p>
        </w:tc>
        <w:tc>
          <w:tcPr>
            <w:tcW w:w="583" w:type="pct"/>
            <w:tcBorders>
              <w:top w:val="nil"/>
              <w:left w:val="nil"/>
              <w:bottom w:val="single" w:sz="4" w:space="0" w:color="auto"/>
              <w:right w:val="single" w:sz="4" w:space="0" w:color="auto"/>
            </w:tcBorders>
            <w:noWrap/>
            <w:vAlign w:val="center"/>
            <w:hideMark/>
          </w:tcPr>
          <w:p w14:paraId="39D18D7E" w14:textId="77777777" w:rsidR="009C56EC" w:rsidRPr="00E940CF" w:rsidRDefault="009C56EC" w:rsidP="00C968D4">
            <w:pPr>
              <w:ind w:left="71"/>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10,805</w:t>
            </w:r>
          </w:p>
        </w:tc>
        <w:tc>
          <w:tcPr>
            <w:tcW w:w="729" w:type="pct"/>
            <w:tcBorders>
              <w:top w:val="nil"/>
              <w:left w:val="nil"/>
              <w:bottom w:val="single" w:sz="4" w:space="0" w:color="auto"/>
              <w:right w:val="single" w:sz="4" w:space="0" w:color="auto"/>
            </w:tcBorders>
            <w:noWrap/>
            <w:vAlign w:val="center"/>
            <w:hideMark/>
          </w:tcPr>
          <w:p w14:paraId="372DFBE2" w14:textId="77777777" w:rsidR="009C56EC" w:rsidRPr="00E940CF" w:rsidRDefault="009C56EC" w:rsidP="00C968D4">
            <w:pPr>
              <w:ind w:left="121"/>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65%</w:t>
            </w:r>
          </w:p>
        </w:tc>
      </w:tr>
      <w:tr w:rsidR="009C56EC" w:rsidRPr="00E940CF" w14:paraId="2B233AAB" w14:textId="77777777" w:rsidTr="00AF7AF9">
        <w:trPr>
          <w:cantSplit/>
          <w:trHeight w:val="300"/>
        </w:trPr>
        <w:tc>
          <w:tcPr>
            <w:tcW w:w="1210" w:type="pct"/>
            <w:tcBorders>
              <w:top w:val="nil"/>
              <w:left w:val="single" w:sz="4" w:space="0" w:color="auto"/>
              <w:bottom w:val="single" w:sz="4" w:space="0" w:color="auto"/>
              <w:right w:val="single" w:sz="4" w:space="0" w:color="auto"/>
            </w:tcBorders>
            <w:noWrap/>
            <w:vAlign w:val="center"/>
            <w:hideMark/>
          </w:tcPr>
          <w:p w14:paraId="7152A489" w14:textId="77777777" w:rsidR="009C56EC" w:rsidRPr="00E940CF" w:rsidRDefault="009C56EC" w:rsidP="009C56EC">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Male</w:t>
            </w:r>
          </w:p>
        </w:tc>
        <w:tc>
          <w:tcPr>
            <w:tcW w:w="585" w:type="pct"/>
            <w:tcBorders>
              <w:top w:val="nil"/>
              <w:left w:val="nil"/>
              <w:bottom w:val="single" w:sz="4" w:space="0" w:color="auto"/>
              <w:right w:val="single" w:sz="4" w:space="0" w:color="auto"/>
            </w:tcBorders>
            <w:noWrap/>
            <w:vAlign w:val="center"/>
            <w:hideMark/>
          </w:tcPr>
          <w:p w14:paraId="0A7F0E7D" w14:textId="77777777" w:rsidR="009C56EC" w:rsidRPr="00E940CF" w:rsidRDefault="009C56EC" w:rsidP="00C968D4">
            <w:pPr>
              <w:ind w:left="76"/>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4,708</w:t>
            </w:r>
          </w:p>
        </w:tc>
        <w:tc>
          <w:tcPr>
            <w:tcW w:w="632" w:type="pct"/>
            <w:tcBorders>
              <w:top w:val="nil"/>
              <w:left w:val="nil"/>
              <w:bottom w:val="single" w:sz="4" w:space="0" w:color="auto"/>
              <w:right w:val="single" w:sz="4" w:space="0" w:color="auto"/>
            </w:tcBorders>
            <w:noWrap/>
            <w:vAlign w:val="center"/>
            <w:hideMark/>
          </w:tcPr>
          <w:p w14:paraId="475B887B" w14:textId="77777777" w:rsidR="009C56EC" w:rsidRPr="00E940CF" w:rsidRDefault="009C56EC" w:rsidP="00C968D4">
            <w:pPr>
              <w:ind w:left="80"/>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36%</w:t>
            </w:r>
          </w:p>
        </w:tc>
        <w:tc>
          <w:tcPr>
            <w:tcW w:w="631" w:type="pct"/>
            <w:tcBorders>
              <w:top w:val="nil"/>
              <w:left w:val="nil"/>
              <w:bottom w:val="single" w:sz="4" w:space="0" w:color="auto"/>
              <w:right w:val="single" w:sz="4" w:space="0" w:color="auto"/>
            </w:tcBorders>
            <w:noWrap/>
            <w:vAlign w:val="center"/>
            <w:hideMark/>
          </w:tcPr>
          <w:p w14:paraId="1D8FC3EE" w14:textId="77777777" w:rsidR="009C56EC" w:rsidRPr="00E940CF" w:rsidRDefault="009C56EC" w:rsidP="00C968D4">
            <w:pPr>
              <w:ind w:left="72"/>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5,239</w:t>
            </w:r>
          </w:p>
        </w:tc>
        <w:tc>
          <w:tcPr>
            <w:tcW w:w="631" w:type="pct"/>
            <w:tcBorders>
              <w:top w:val="nil"/>
              <w:left w:val="nil"/>
              <w:bottom w:val="single" w:sz="4" w:space="0" w:color="auto"/>
              <w:right w:val="single" w:sz="4" w:space="0" w:color="auto"/>
            </w:tcBorders>
            <w:noWrap/>
            <w:vAlign w:val="center"/>
            <w:hideMark/>
          </w:tcPr>
          <w:p w14:paraId="2F5C54DC" w14:textId="77777777" w:rsidR="009C56EC" w:rsidRPr="00E940CF" w:rsidRDefault="009C56EC" w:rsidP="00C968D4">
            <w:pPr>
              <w:ind w:left="78"/>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35%</w:t>
            </w:r>
          </w:p>
        </w:tc>
        <w:tc>
          <w:tcPr>
            <w:tcW w:w="583" w:type="pct"/>
            <w:tcBorders>
              <w:top w:val="nil"/>
              <w:left w:val="nil"/>
              <w:bottom w:val="single" w:sz="4" w:space="0" w:color="auto"/>
              <w:right w:val="single" w:sz="4" w:space="0" w:color="auto"/>
            </w:tcBorders>
            <w:noWrap/>
            <w:vAlign w:val="center"/>
            <w:hideMark/>
          </w:tcPr>
          <w:p w14:paraId="043035C5" w14:textId="77777777" w:rsidR="009C56EC" w:rsidRPr="00E940CF" w:rsidRDefault="009C56EC" w:rsidP="00C968D4">
            <w:pPr>
              <w:ind w:left="71"/>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5,724</w:t>
            </w:r>
          </w:p>
        </w:tc>
        <w:tc>
          <w:tcPr>
            <w:tcW w:w="729" w:type="pct"/>
            <w:tcBorders>
              <w:top w:val="nil"/>
              <w:left w:val="nil"/>
              <w:bottom w:val="single" w:sz="4" w:space="0" w:color="auto"/>
              <w:right w:val="single" w:sz="4" w:space="0" w:color="auto"/>
            </w:tcBorders>
            <w:noWrap/>
            <w:vAlign w:val="center"/>
            <w:hideMark/>
          </w:tcPr>
          <w:p w14:paraId="488B82BC" w14:textId="77777777" w:rsidR="009C56EC" w:rsidRPr="00E940CF" w:rsidRDefault="009C56EC" w:rsidP="00C968D4">
            <w:pPr>
              <w:ind w:left="121"/>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35%</w:t>
            </w:r>
          </w:p>
        </w:tc>
      </w:tr>
      <w:tr w:rsidR="009C56EC" w:rsidRPr="00E940CF" w14:paraId="5BDB0ECC" w14:textId="77777777" w:rsidTr="00AF7AF9">
        <w:trPr>
          <w:cantSplit/>
          <w:trHeight w:val="300"/>
        </w:trPr>
        <w:tc>
          <w:tcPr>
            <w:tcW w:w="1210" w:type="pct"/>
            <w:tcBorders>
              <w:top w:val="nil"/>
              <w:left w:val="single" w:sz="4" w:space="0" w:color="auto"/>
              <w:bottom w:val="single" w:sz="4" w:space="0" w:color="auto"/>
              <w:right w:val="single" w:sz="4" w:space="0" w:color="auto"/>
            </w:tcBorders>
            <w:noWrap/>
            <w:vAlign w:val="center"/>
            <w:hideMark/>
          </w:tcPr>
          <w:p w14:paraId="018E79D5" w14:textId="77777777" w:rsidR="009C56EC" w:rsidRPr="00E940CF" w:rsidRDefault="009C56EC" w:rsidP="009C56EC">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Unknown</w:t>
            </w:r>
          </w:p>
        </w:tc>
        <w:tc>
          <w:tcPr>
            <w:tcW w:w="585" w:type="pct"/>
            <w:tcBorders>
              <w:top w:val="nil"/>
              <w:left w:val="nil"/>
              <w:bottom w:val="single" w:sz="4" w:space="0" w:color="auto"/>
              <w:right w:val="single" w:sz="4" w:space="0" w:color="auto"/>
            </w:tcBorders>
            <w:noWrap/>
            <w:vAlign w:val="center"/>
            <w:hideMark/>
          </w:tcPr>
          <w:p w14:paraId="51E48D56" w14:textId="76266219" w:rsidR="009C56EC" w:rsidRPr="00E940CF" w:rsidRDefault="00924A71" w:rsidP="00C968D4">
            <w:pPr>
              <w:ind w:left="76"/>
              <w:jc w:val="center"/>
              <w:rPr>
                <w:rFonts w:ascii="Aptos" w:hAnsi="Aptos" w:cs="Times New Roman"/>
                <w:i/>
                <w:iCs/>
                <w:color w:val="1F4E79" w:themeColor="accent5" w:themeShade="80"/>
                <w:sz w:val="24"/>
                <w:szCs w:val="24"/>
              </w:rPr>
            </w:pPr>
            <w:r w:rsidRPr="00E940CF">
              <w:rPr>
                <w:rFonts w:ascii="Aptos" w:hAnsi="Aptos" w:cs="Times New Roman"/>
                <w:i/>
                <w:iCs/>
                <w:color w:val="1F4E79" w:themeColor="accent5" w:themeShade="80"/>
                <w:sz w:val="24"/>
                <w:szCs w:val="24"/>
              </w:rPr>
              <w:t>&lt;10</w:t>
            </w:r>
          </w:p>
        </w:tc>
        <w:tc>
          <w:tcPr>
            <w:tcW w:w="632" w:type="pct"/>
            <w:tcBorders>
              <w:top w:val="nil"/>
              <w:left w:val="nil"/>
              <w:bottom w:val="single" w:sz="4" w:space="0" w:color="auto"/>
              <w:right w:val="single" w:sz="4" w:space="0" w:color="auto"/>
            </w:tcBorders>
            <w:noWrap/>
            <w:vAlign w:val="center"/>
            <w:hideMark/>
          </w:tcPr>
          <w:p w14:paraId="480EF57C" w14:textId="77777777" w:rsidR="009C56EC" w:rsidRPr="00E940CF" w:rsidRDefault="009C56EC" w:rsidP="00C968D4">
            <w:pPr>
              <w:ind w:left="80"/>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0%</w:t>
            </w:r>
          </w:p>
        </w:tc>
        <w:tc>
          <w:tcPr>
            <w:tcW w:w="631" w:type="pct"/>
            <w:tcBorders>
              <w:top w:val="nil"/>
              <w:left w:val="nil"/>
              <w:bottom w:val="single" w:sz="4" w:space="0" w:color="auto"/>
              <w:right w:val="single" w:sz="4" w:space="0" w:color="auto"/>
            </w:tcBorders>
            <w:noWrap/>
            <w:vAlign w:val="center"/>
            <w:hideMark/>
          </w:tcPr>
          <w:p w14:paraId="00EC61CE" w14:textId="58B69C48" w:rsidR="009C56EC" w:rsidRPr="00E940CF" w:rsidRDefault="00924A71" w:rsidP="00C968D4">
            <w:pPr>
              <w:ind w:left="72"/>
              <w:jc w:val="center"/>
              <w:rPr>
                <w:rFonts w:ascii="Aptos" w:hAnsi="Aptos" w:cs="Times New Roman"/>
                <w:color w:val="1F4E79" w:themeColor="accent5" w:themeShade="80"/>
                <w:sz w:val="24"/>
                <w:szCs w:val="24"/>
              </w:rPr>
            </w:pPr>
            <w:r w:rsidRPr="00E940CF">
              <w:rPr>
                <w:rFonts w:ascii="Aptos" w:hAnsi="Aptos" w:cs="Times New Roman"/>
                <w:i/>
                <w:iCs/>
                <w:color w:val="1F4E79" w:themeColor="accent5" w:themeShade="80"/>
                <w:sz w:val="24"/>
                <w:szCs w:val="24"/>
              </w:rPr>
              <w:t>&lt;10</w:t>
            </w:r>
          </w:p>
        </w:tc>
        <w:tc>
          <w:tcPr>
            <w:tcW w:w="631" w:type="pct"/>
            <w:tcBorders>
              <w:top w:val="nil"/>
              <w:left w:val="nil"/>
              <w:bottom w:val="single" w:sz="4" w:space="0" w:color="auto"/>
              <w:right w:val="single" w:sz="4" w:space="0" w:color="auto"/>
            </w:tcBorders>
            <w:noWrap/>
            <w:vAlign w:val="center"/>
            <w:hideMark/>
          </w:tcPr>
          <w:p w14:paraId="0770C174" w14:textId="77777777" w:rsidR="009C56EC" w:rsidRPr="00E940CF" w:rsidRDefault="009C56EC" w:rsidP="00C968D4">
            <w:pPr>
              <w:ind w:left="78"/>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0%</w:t>
            </w:r>
          </w:p>
        </w:tc>
        <w:tc>
          <w:tcPr>
            <w:tcW w:w="583" w:type="pct"/>
            <w:tcBorders>
              <w:top w:val="nil"/>
              <w:left w:val="nil"/>
              <w:bottom w:val="single" w:sz="4" w:space="0" w:color="auto"/>
              <w:right w:val="single" w:sz="4" w:space="0" w:color="auto"/>
            </w:tcBorders>
            <w:noWrap/>
            <w:vAlign w:val="center"/>
            <w:hideMark/>
          </w:tcPr>
          <w:p w14:paraId="0BBA39AA" w14:textId="524572C6" w:rsidR="009C56EC" w:rsidRPr="00E940CF" w:rsidRDefault="00924A71" w:rsidP="00C968D4">
            <w:pPr>
              <w:ind w:left="71"/>
              <w:jc w:val="center"/>
              <w:rPr>
                <w:rFonts w:ascii="Aptos" w:hAnsi="Aptos" w:cs="Times New Roman"/>
                <w:color w:val="1F4E79" w:themeColor="accent5" w:themeShade="80"/>
                <w:sz w:val="24"/>
                <w:szCs w:val="24"/>
              </w:rPr>
            </w:pPr>
            <w:r w:rsidRPr="00E940CF">
              <w:rPr>
                <w:rFonts w:ascii="Aptos" w:hAnsi="Aptos" w:cs="Times New Roman"/>
                <w:i/>
                <w:iCs/>
                <w:color w:val="1F4E79" w:themeColor="accent5" w:themeShade="80"/>
                <w:sz w:val="24"/>
                <w:szCs w:val="24"/>
              </w:rPr>
              <w:t>&lt;10</w:t>
            </w:r>
          </w:p>
        </w:tc>
        <w:tc>
          <w:tcPr>
            <w:tcW w:w="729" w:type="pct"/>
            <w:tcBorders>
              <w:top w:val="nil"/>
              <w:left w:val="nil"/>
              <w:bottom w:val="single" w:sz="4" w:space="0" w:color="auto"/>
              <w:right w:val="single" w:sz="4" w:space="0" w:color="auto"/>
            </w:tcBorders>
            <w:noWrap/>
            <w:vAlign w:val="center"/>
            <w:hideMark/>
          </w:tcPr>
          <w:p w14:paraId="0242E86B" w14:textId="77777777" w:rsidR="009C56EC" w:rsidRPr="00E940CF" w:rsidRDefault="009C56EC" w:rsidP="00C968D4">
            <w:pPr>
              <w:ind w:left="121"/>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0%</w:t>
            </w:r>
          </w:p>
        </w:tc>
      </w:tr>
      <w:tr w:rsidR="009C56EC" w:rsidRPr="00E940CF" w14:paraId="22088D56" w14:textId="77777777" w:rsidTr="00AF7AF9">
        <w:trPr>
          <w:cantSplit/>
          <w:trHeight w:val="300"/>
        </w:trPr>
        <w:tc>
          <w:tcPr>
            <w:tcW w:w="1210" w:type="pct"/>
            <w:tcBorders>
              <w:top w:val="nil"/>
              <w:left w:val="single" w:sz="4" w:space="0" w:color="auto"/>
              <w:bottom w:val="single" w:sz="4" w:space="0" w:color="auto"/>
              <w:right w:val="single" w:sz="4" w:space="0" w:color="auto"/>
            </w:tcBorders>
            <w:noWrap/>
            <w:vAlign w:val="center"/>
            <w:hideMark/>
          </w:tcPr>
          <w:p w14:paraId="7DD399F6" w14:textId="4C529E06" w:rsidR="009C56EC" w:rsidRPr="00E940CF" w:rsidRDefault="00A82487" w:rsidP="009C56EC">
            <w:pPr>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Total</w:t>
            </w:r>
          </w:p>
        </w:tc>
        <w:tc>
          <w:tcPr>
            <w:tcW w:w="585" w:type="pct"/>
            <w:tcBorders>
              <w:top w:val="nil"/>
              <w:left w:val="nil"/>
              <w:bottom w:val="single" w:sz="4" w:space="0" w:color="auto"/>
              <w:right w:val="single" w:sz="4" w:space="0" w:color="auto"/>
            </w:tcBorders>
            <w:noWrap/>
            <w:vAlign w:val="center"/>
            <w:hideMark/>
          </w:tcPr>
          <w:p w14:paraId="39C67677" w14:textId="77777777" w:rsidR="009C56EC" w:rsidRPr="00E940CF" w:rsidRDefault="009C56EC" w:rsidP="00C968D4">
            <w:pPr>
              <w:ind w:left="76"/>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13,021</w:t>
            </w:r>
          </w:p>
        </w:tc>
        <w:tc>
          <w:tcPr>
            <w:tcW w:w="632" w:type="pct"/>
            <w:tcBorders>
              <w:top w:val="nil"/>
              <w:left w:val="nil"/>
              <w:bottom w:val="single" w:sz="4" w:space="0" w:color="auto"/>
              <w:right w:val="single" w:sz="4" w:space="0" w:color="auto"/>
            </w:tcBorders>
            <w:noWrap/>
            <w:vAlign w:val="center"/>
            <w:hideMark/>
          </w:tcPr>
          <w:p w14:paraId="0DBB9610" w14:textId="77777777" w:rsidR="009C56EC" w:rsidRPr="00E940CF" w:rsidRDefault="009C56EC" w:rsidP="00C968D4">
            <w:pPr>
              <w:ind w:left="80"/>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100%</w:t>
            </w:r>
          </w:p>
        </w:tc>
        <w:tc>
          <w:tcPr>
            <w:tcW w:w="631" w:type="pct"/>
            <w:tcBorders>
              <w:top w:val="nil"/>
              <w:left w:val="nil"/>
              <w:bottom w:val="single" w:sz="4" w:space="0" w:color="auto"/>
              <w:right w:val="single" w:sz="4" w:space="0" w:color="auto"/>
            </w:tcBorders>
            <w:noWrap/>
            <w:vAlign w:val="center"/>
            <w:hideMark/>
          </w:tcPr>
          <w:p w14:paraId="7078ADB0" w14:textId="77777777" w:rsidR="009C56EC" w:rsidRPr="00E940CF" w:rsidRDefault="009C56EC" w:rsidP="00C968D4">
            <w:pPr>
              <w:ind w:left="72"/>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14,931</w:t>
            </w:r>
          </w:p>
        </w:tc>
        <w:tc>
          <w:tcPr>
            <w:tcW w:w="631" w:type="pct"/>
            <w:tcBorders>
              <w:top w:val="nil"/>
              <w:left w:val="nil"/>
              <w:bottom w:val="single" w:sz="4" w:space="0" w:color="auto"/>
              <w:right w:val="single" w:sz="4" w:space="0" w:color="auto"/>
            </w:tcBorders>
            <w:noWrap/>
            <w:vAlign w:val="center"/>
            <w:hideMark/>
          </w:tcPr>
          <w:p w14:paraId="60AC3CE2" w14:textId="77777777" w:rsidR="009C56EC" w:rsidRPr="00E940CF" w:rsidRDefault="009C56EC" w:rsidP="00C968D4">
            <w:pPr>
              <w:ind w:left="78"/>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100%</w:t>
            </w:r>
          </w:p>
        </w:tc>
        <w:tc>
          <w:tcPr>
            <w:tcW w:w="583" w:type="pct"/>
            <w:tcBorders>
              <w:top w:val="nil"/>
              <w:left w:val="nil"/>
              <w:bottom w:val="single" w:sz="4" w:space="0" w:color="auto"/>
              <w:right w:val="single" w:sz="4" w:space="0" w:color="auto"/>
            </w:tcBorders>
            <w:noWrap/>
            <w:vAlign w:val="center"/>
            <w:hideMark/>
          </w:tcPr>
          <w:p w14:paraId="4AA8A55C" w14:textId="77777777" w:rsidR="009C56EC" w:rsidRPr="00E940CF" w:rsidRDefault="009C56EC" w:rsidP="00C968D4">
            <w:pPr>
              <w:ind w:left="71"/>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16,534</w:t>
            </w:r>
          </w:p>
        </w:tc>
        <w:tc>
          <w:tcPr>
            <w:tcW w:w="729" w:type="pct"/>
            <w:tcBorders>
              <w:top w:val="nil"/>
              <w:left w:val="nil"/>
              <w:bottom w:val="single" w:sz="4" w:space="0" w:color="auto"/>
              <w:right w:val="single" w:sz="4" w:space="0" w:color="auto"/>
            </w:tcBorders>
            <w:noWrap/>
            <w:vAlign w:val="center"/>
            <w:hideMark/>
          </w:tcPr>
          <w:p w14:paraId="42DC8C8B" w14:textId="77777777" w:rsidR="009C56EC" w:rsidRPr="00E940CF" w:rsidRDefault="009C56EC" w:rsidP="00C968D4">
            <w:pPr>
              <w:ind w:left="121"/>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100%</w:t>
            </w:r>
          </w:p>
        </w:tc>
      </w:tr>
    </w:tbl>
    <w:p w14:paraId="2A8C723A" w14:textId="77777777" w:rsidR="009C56EC" w:rsidRPr="00E940CF" w:rsidRDefault="009C56EC" w:rsidP="009C56EC">
      <w:pPr>
        <w:ind w:left="360"/>
        <w:rPr>
          <w:rFonts w:ascii="Aptos" w:hAnsi="Aptos" w:cs="Times New Roman"/>
          <w:b/>
          <w:bCs/>
          <w:color w:val="1F4E79" w:themeColor="accent5" w:themeShade="80"/>
          <w:sz w:val="24"/>
          <w:szCs w:val="24"/>
          <w:u w:val="single"/>
        </w:rPr>
      </w:pPr>
    </w:p>
    <w:p w14:paraId="4A8CA4B7" w14:textId="12833B01" w:rsidR="009C56EC" w:rsidRPr="00E940CF" w:rsidRDefault="009C56EC" w:rsidP="00ED38EC">
      <w:pPr>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u w:val="single"/>
        </w:rPr>
        <w:t>Table 3a.</w:t>
      </w:r>
      <w:r w:rsidRPr="00E940CF">
        <w:rPr>
          <w:rFonts w:ascii="Aptos" w:hAnsi="Aptos" w:cs="Times New Roman"/>
          <w:b/>
          <w:bCs/>
          <w:color w:val="1F4E79" w:themeColor="accent5" w:themeShade="80"/>
          <w:sz w:val="24"/>
          <w:szCs w:val="24"/>
        </w:rPr>
        <w:t xml:space="preserve"> Southcoast Health Oncology</w:t>
      </w:r>
      <w:r w:rsidR="007E43A0" w:rsidRPr="00E940CF">
        <w:rPr>
          <w:rFonts w:ascii="Aptos" w:hAnsi="Aptos" w:cs="Times New Roman"/>
          <w:b/>
          <w:bCs/>
          <w:color w:val="1F4E79" w:themeColor="accent5" w:themeShade="80"/>
          <w:sz w:val="24"/>
          <w:szCs w:val="24"/>
        </w:rPr>
        <w:t>:</w:t>
      </w:r>
      <w:r w:rsidRPr="00E940CF">
        <w:rPr>
          <w:rFonts w:ascii="Aptos" w:hAnsi="Aptos" w:cs="Times New Roman"/>
          <w:b/>
          <w:bCs/>
          <w:color w:val="1F4E79" w:themeColor="accent5" w:themeShade="80"/>
          <w:sz w:val="24"/>
          <w:szCs w:val="24"/>
        </w:rPr>
        <w:t xml:space="preserve"> </w:t>
      </w:r>
      <w:r w:rsidR="007E43A0" w:rsidRPr="00E940CF">
        <w:rPr>
          <w:rFonts w:ascii="Aptos" w:hAnsi="Aptos" w:cs="Times New Roman"/>
          <w:b/>
          <w:bCs/>
          <w:color w:val="1F4E79" w:themeColor="accent5" w:themeShade="80"/>
          <w:sz w:val="24"/>
          <w:szCs w:val="24"/>
        </w:rPr>
        <w:t xml:space="preserve">Fiscal Year 2023 – Fiscal Year 2025 </w:t>
      </w:r>
      <w:r w:rsidRPr="00E940CF">
        <w:rPr>
          <w:rFonts w:ascii="Aptos" w:hAnsi="Aptos" w:cs="Times New Roman"/>
          <w:b/>
          <w:bCs/>
          <w:color w:val="1F4E79" w:themeColor="accent5" w:themeShade="80"/>
          <w:sz w:val="24"/>
          <w:szCs w:val="24"/>
        </w:rPr>
        <w:t>Patient Panel by Race</w:t>
      </w:r>
    </w:p>
    <w:tbl>
      <w:tblPr>
        <w:tblW w:w="5000" w:type="pct"/>
        <w:tblLayout w:type="fixed"/>
        <w:tblLook w:val="04A0" w:firstRow="1" w:lastRow="0" w:firstColumn="1" w:lastColumn="0" w:noHBand="0" w:noVBand="1"/>
        <w:tblCaption w:val="Fiscal Year 2023 – Fiscal Year 2025 Patient Panel by Race"/>
      </w:tblPr>
      <w:tblGrid>
        <w:gridCol w:w="4606"/>
        <w:gridCol w:w="1423"/>
        <w:gridCol w:w="1323"/>
        <w:gridCol w:w="1476"/>
        <w:gridCol w:w="1323"/>
        <w:gridCol w:w="1476"/>
        <w:gridCol w:w="1323"/>
      </w:tblGrid>
      <w:tr w:rsidR="0016742F" w:rsidRPr="00E940CF" w14:paraId="6A801A47" w14:textId="77777777" w:rsidTr="00AF7AF9">
        <w:trPr>
          <w:cantSplit/>
          <w:trHeight w:val="615"/>
          <w:tblHeader/>
        </w:trPr>
        <w:tc>
          <w:tcPr>
            <w:tcW w:w="1778" w:type="pct"/>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1097CC89" w14:textId="77777777" w:rsidR="009C56EC" w:rsidRPr="00E940CF" w:rsidRDefault="009C56EC" w:rsidP="009C56EC">
            <w:pPr>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Race</w:t>
            </w:r>
          </w:p>
        </w:tc>
        <w:tc>
          <w:tcPr>
            <w:tcW w:w="549" w:type="pct"/>
            <w:tcBorders>
              <w:top w:val="single" w:sz="4" w:space="0" w:color="auto"/>
              <w:left w:val="nil"/>
              <w:bottom w:val="single" w:sz="4" w:space="0" w:color="auto"/>
              <w:right w:val="single" w:sz="4" w:space="0" w:color="auto"/>
            </w:tcBorders>
            <w:shd w:val="clear" w:color="auto" w:fill="D9E1F2"/>
            <w:vAlign w:val="center"/>
            <w:hideMark/>
          </w:tcPr>
          <w:p w14:paraId="2A8E6542" w14:textId="5044E5FF" w:rsidR="009C56EC" w:rsidRPr="00E940CF" w:rsidRDefault="009C56EC" w:rsidP="00C968D4">
            <w:pPr>
              <w:ind w:left="71" w:hanging="25"/>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FY23</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(Count)</w:t>
            </w:r>
          </w:p>
        </w:tc>
        <w:tc>
          <w:tcPr>
            <w:tcW w:w="511" w:type="pct"/>
            <w:tcBorders>
              <w:top w:val="single" w:sz="4" w:space="0" w:color="auto"/>
              <w:left w:val="nil"/>
              <w:bottom w:val="single" w:sz="4" w:space="0" w:color="auto"/>
              <w:right w:val="single" w:sz="4" w:space="0" w:color="auto"/>
            </w:tcBorders>
            <w:shd w:val="clear" w:color="auto" w:fill="D9E1F2"/>
            <w:vAlign w:val="center"/>
            <w:hideMark/>
          </w:tcPr>
          <w:p w14:paraId="33CF6560" w14:textId="3EAB0A09" w:rsidR="009C56EC" w:rsidRPr="00E940CF" w:rsidRDefault="009C56EC" w:rsidP="00C968D4">
            <w:pPr>
              <w:ind w:left="133"/>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FY23</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w:t>
            </w:r>
            <w:r w:rsidR="00030C1E">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Total</w:t>
            </w:r>
            <w:r w:rsidRPr="00E940CF">
              <w:rPr>
                <w:rFonts w:ascii="Aptos" w:hAnsi="Aptos" w:cs="Times New Roman"/>
                <w:b/>
                <w:bCs/>
                <w:color w:val="1F4E79" w:themeColor="accent5" w:themeShade="80"/>
                <w:sz w:val="24"/>
                <w:szCs w:val="24"/>
              </w:rPr>
              <w:t>)</w:t>
            </w:r>
          </w:p>
        </w:tc>
        <w:tc>
          <w:tcPr>
            <w:tcW w:w="570" w:type="pct"/>
            <w:tcBorders>
              <w:top w:val="single" w:sz="4" w:space="0" w:color="auto"/>
              <w:left w:val="nil"/>
              <w:bottom w:val="single" w:sz="4" w:space="0" w:color="auto"/>
              <w:right w:val="single" w:sz="4" w:space="0" w:color="auto"/>
            </w:tcBorders>
            <w:shd w:val="clear" w:color="auto" w:fill="D9E1F2"/>
            <w:vAlign w:val="center"/>
            <w:hideMark/>
          </w:tcPr>
          <w:p w14:paraId="3670E9E5" w14:textId="77777777" w:rsidR="009C56EC" w:rsidRPr="00E940CF" w:rsidRDefault="009C56EC" w:rsidP="00C968D4">
            <w:pPr>
              <w:ind w:left="68"/>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FY24</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(Count)</w:t>
            </w:r>
          </w:p>
        </w:tc>
        <w:tc>
          <w:tcPr>
            <w:tcW w:w="511" w:type="pct"/>
            <w:tcBorders>
              <w:top w:val="single" w:sz="4" w:space="0" w:color="auto"/>
              <w:left w:val="nil"/>
              <w:bottom w:val="single" w:sz="4" w:space="0" w:color="auto"/>
              <w:right w:val="single" w:sz="4" w:space="0" w:color="auto"/>
            </w:tcBorders>
            <w:shd w:val="clear" w:color="auto" w:fill="D9E1F2"/>
            <w:vAlign w:val="center"/>
            <w:hideMark/>
          </w:tcPr>
          <w:p w14:paraId="24C9BDC0" w14:textId="2F4FB48B" w:rsidR="009C56EC" w:rsidRPr="00E940CF" w:rsidRDefault="009C56EC" w:rsidP="00C968D4">
            <w:pPr>
              <w:ind w:left="84"/>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FY24</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w:t>
            </w:r>
            <w:r w:rsidR="00030C1E">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Total</w:t>
            </w:r>
            <w:r w:rsidRPr="00E940CF">
              <w:rPr>
                <w:rFonts w:ascii="Aptos" w:hAnsi="Aptos" w:cs="Times New Roman"/>
                <w:b/>
                <w:bCs/>
                <w:color w:val="1F4E79" w:themeColor="accent5" w:themeShade="80"/>
                <w:sz w:val="24"/>
                <w:szCs w:val="24"/>
              </w:rPr>
              <w:t>)</w:t>
            </w:r>
          </w:p>
        </w:tc>
        <w:tc>
          <w:tcPr>
            <w:tcW w:w="570" w:type="pct"/>
            <w:tcBorders>
              <w:top w:val="single" w:sz="4" w:space="0" w:color="auto"/>
              <w:left w:val="nil"/>
              <w:bottom w:val="single" w:sz="4" w:space="0" w:color="auto"/>
              <w:right w:val="single" w:sz="4" w:space="0" w:color="auto"/>
            </w:tcBorders>
            <w:shd w:val="clear" w:color="auto" w:fill="D9E1F2"/>
            <w:vAlign w:val="center"/>
            <w:hideMark/>
          </w:tcPr>
          <w:p w14:paraId="6A813422" w14:textId="77777777" w:rsidR="009C56EC" w:rsidRPr="00E940CF" w:rsidRDefault="009C56EC" w:rsidP="00C968D4">
            <w:pPr>
              <w:ind w:left="123"/>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FY25</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(Count)</w:t>
            </w:r>
          </w:p>
        </w:tc>
        <w:tc>
          <w:tcPr>
            <w:tcW w:w="511" w:type="pct"/>
            <w:tcBorders>
              <w:top w:val="single" w:sz="4" w:space="0" w:color="auto"/>
              <w:left w:val="nil"/>
              <w:bottom w:val="single" w:sz="4" w:space="0" w:color="auto"/>
              <w:right w:val="single" w:sz="4" w:space="0" w:color="auto"/>
            </w:tcBorders>
            <w:shd w:val="clear" w:color="auto" w:fill="D9E1F2"/>
            <w:vAlign w:val="center"/>
            <w:hideMark/>
          </w:tcPr>
          <w:p w14:paraId="79B9DDD4" w14:textId="5AFA84B1" w:rsidR="009C56EC" w:rsidRPr="00E940CF" w:rsidRDefault="009C56EC" w:rsidP="00C968D4">
            <w:pPr>
              <w:ind w:left="138"/>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FY25</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w:t>
            </w:r>
            <w:r w:rsidR="00030C1E">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Total)</w:t>
            </w:r>
          </w:p>
        </w:tc>
      </w:tr>
      <w:tr w:rsidR="009C56EC" w:rsidRPr="00E940CF" w14:paraId="00777B19" w14:textId="77777777" w:rsidTr="00AF7AF9">
        <w:trPr>
          <w:cantSplit/>
          <w:trHeight w:val="315"/>
        </w:trPr>
        <w:tc>
          <w:tcPr>
            <w:tcW w:w="1778" w:type="pct"/>
            <w:tcBorders>
              <w:top w:val="nil"/>
              <w:left w:val="single" w:sz="4" w:space="0" w:color="auto"/>
              <w:bottom w:val="single" w:sz="4" w:space="0" w:color="auto"/>
              <w:right w:val="single" w:sz="4" w:space="0" w:color="auto"/>
            </w:tcBorders>
            <w:noWrap/>
            <w:vAlign w:val="center"/>
            <w:hideMark/>
          </w:tcPr>
          <w:p w14:paraId="4F7D1732" w14:textId="77777777" w:rsidR="009C56EC" w:rsidRPr="00E940CF" w:rsidRDefault="009C56EC" w:rsidP="009C56EC">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White</w:t>
            </w:r>
          </w:p>
        </w:tc>
        <w:tc>
          <w:tcPr>
            <w:tcW w:w="549" w:type="pct"/>
            <w:tcBorders>
              <w:top w:val="nil"/>
              <w:left w:val="nil"/>
              <w:bottom w:val="single" w:sz="4" w:space="0" w:color="auto"/>
              <w:right w:val="single" w:sz="4" w:space="0" w:color="auto"/>
            </w:tcBorders>
            <w:noWrap/>
            <w:vAlign w:val="bottom"/>
            <w:hideMark/>
          </w:tcPr>
          <w:p w14:paraId="0CEFA73E" w14:textId="77777777" w:rsidR="009C56EC" w:rsidRPr="00E940CF" w:rsidRDefault="009C56EC" w:rsidP="00C968D4">
            <w:pPr>
              <w:ind w:left="71" w:hanging="25"/>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11,012</w:t>
            </w:r>
          </w:p>
        </w:tc>
        <w:tc>
          <w:tcPr>
            <w:tcW w:w="511" w:type="pct"/>
            <w:tcBorders>
              <w:top w:val="nil"/>
              <w:left w:val="nil"/>
              <w:bottom w:val="single" w:sz="4" w:space="0" w:color="auto"/>
              <w:right w:val="single" w:sz="4" w:space="0" w:color="auto"/>
            </w:tcBorders>
            <w:noWrap/>
            <w:vAlign w:val="center"/>
            <w:hideMark/>
          </w:tcPr>
          <w:p w14:paraId="60EFB356" w14:textId="77777777" w:rsidR="009C56EC" w:rsidRPr="00E940CF" w:rsidRDefault="009C56EC" w:rsidP="00C968D4">
            <w:pPr>
              <w:ind w:left="133"/>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85%</w:t>
            </w:r>
          </w:p>
        </w:tc>
        <w:tc>
          <w:tcPr>
            <w:tcW w:w="570" w:type="pct"/>
            <w:tcBorders>
              <w:top w:val="nil"/>
              <w:left w:val="nil"/>
              <w:bottom w:val="single" w:sz="4" w:space="0" w:color="auto"/>
              <w:right w:val="single" w:sz="4" w:space="0" w:color="auto"/>
            </w:tcBorders>
            <w:noWrap/>
            <w:vAlign w:val="center"/>
            <w:hideMark/>
          </w:tcPr>
          <w:p w14:paraId="66BFE4D3" w14:textId="77777777" w:rsidR="009C56EC" w:rsidRPr="00E940CF" w:rsidRDefault="009C56EC" w:rsidP="00C968D4">
            <w:pPr>
              <w:ind w:left="68"/>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12,511</w:t>
            </w:r>
          </w:p>
        </w:tc>
        <w:tc>
          <w:tcPr>
            <w:tcW w:w="511" w:type="pct"/>
            <w:tcBorders>
              <w:top w:val="nil"/>
              <w:left w:val="nil"/>
              <w:bottom w:val="single" w:sz="4" w:space="0" w:color="auto"/>
              <w:right w:val="single" w:sz="4" w:space="0" w:color="auto"/>
            </w:tcBorders>
            <w:noWrap/>
            <w:vAlign w:val="center"/>
            <w:hideMark/>
          </w:tcPr>
          <w:p w14:paraId="6ABA52C8" w14:textId="77777777" w:rsidR="009C56EC" w:rsidRPr="00E940CF" w:rsidRDefault="009C56EC" w:rsidP="00C968D4">
            <w:pPr>
              <w:ind w:left="84"/>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84%</w:t>
            </w:r>
          </w:p>
        </w:tc>
        <w:tc>
          <w:tcPr>
            <w:tcW w:w="570" w:type="pct"/>
            <w:tcBorders>
              <w:top w:val="nil"/>
              <w:left w:val="nil"/>
              <w:bottom w:val="single" w:sz="4" w:space="0" w:color="auto"/>
              <w:right w:val="single" w:sz="4" w:space="0" w:color="auto"/>
            </w:tcBorders>
            <w:noWrap/>
            <w:vAlign w:val="center"/>
            <w:hideMark/>
          </w:tcPr>
          <w:p w14:paraId="0906C496" w14:textId="77777777" w:rsidR="009C56EC" w:rsidRPr="00E940CF" w:rsidRDefault="009C56EC" w:rsidP="00C968D4">
            <w:pPr>
              <w:ind w:left="123"/>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13,785</w:t>
            </w:r>
          </w:p>
        </w:tc>
        <w:tc>
          <w:tcPr>
            <w:tcW w:w="511" w:type="pct"/>
            <w:tcBorders>
              <w:top w:val="nil"/>
              <w:left w:val="nil"/>
              <w:bottom w:val="single" w:sz="4" w:space="0" w:color="auto"/>
              <w:right w:val="single" w:sz="4" w:space="0" w:color="auto"/>
            </w:tcBorders>
            <w:noWrap/>
            <w:vAlign w:val="center"/>
            <w:hideMark/>
          </w:tcPr>
          <w:p w14:paraId="63B0609E" w14:textId="77777777" w:rsidR="009C56EC" w:rsidRPr="00E940CF" w:rsidRDefault="009C56EC" w:rsidP="00C968D4">
            <w:pPr>
              <w:ind w:left="138"/>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83%</w:t>
            </w:r>
          </w:p>
        </w:tc>
      </w:tr>
      <w:tr w:rsidR="009C56EC" w:rsidRPr="00E940CF" w14:paraId="74A89DF4" w14:textId="77777777" w:rsidTr="00AF7AF9">
        <w:trPr>
          <w:cantSplit/>
          <w:trHeight w:val="315"/>
        </w:trPr>
        <w:tc>
          <w:tcPr>
            <w:tcW w:w="1778" w:type="pct"/>
            <w:tcBorders>
              <w:top w:val="nil"/>
              <w:left w:val="single" w:sz="4" w:space="0" w:color="auto"/>
              <w:bottom w:val="single" w:sz="4" w:space="0" w:color="auto"/>
              <w:right w:val="single" w:sz="4" w:space="0" w:color="auto"/>
            </w:tcBorders>
            <w:noWrap/>
            <w:vAlign w:val="center"/>
            <w:hideMark/>
          </w:tcPr>
          <w:p w14:paraId="02BA1E91" w14:textId="77777777" w:rsidR="009C56EC" w:rsidRPr="00E940CF" w:rsidRDefault="009C56EC" w:rsidP="009C56EC">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lastRenderedPageBreak/>
              <w:t>Black or African American</w:t>
            </w:r>
          </w:p>
        </w:tc>
        <w:tc>
          <w:tcPr>
            <w:tcW w:w="549" w:type="pct"/>
            <w:tcBorders>
              <w:top w:val="nil"/>
              <w:left w:val="nil"/>
              <w:bottom w:val="single" w:sz="4" w:space="0" w:color="auto"/>
              <w:right w:val="single" w:sz="4" w:space="0" w:color="auto"/>
            </w:tcBorders>
            <w:noWrap/>
            <w:vAlign w:val="bottom"/>
            <w:hideMark/>
          </w:tcPr>
          <w:p w14:paraId="393341CC" w14:textId="77777777" w:rsidR="009C56EC" w:rsidRPr="00E940CF" w:rsidRDefault="009C56EC" w:rsidP="00C968D4">
            <w:pPr>
              <w:ind w:left="71" w:hanging="25"/>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640</w:t>
            </w:r>
          </w:p>
        </w:tc>
        <w:tc>
          <w:tcPr>
            <w:tcW w:w="511" w:type="pct"/>
            <w:tcBorders>
              <w:top w:val="nil"/>
              <w:left w:val="nil"/>
              <w:bottom w:val="single" w:sz="4" w:space="0" w:color="auto"/>
              <w:right w:val="single" w:sz="4" w:space="0" w:color="auto"/>
            </w:tcBorders>
            <w:noWrap/>
            <w:vAlign w:val="center"/>
            <w:hideMark/>
          </w:tcPr>
          <w:p w14:paraId="7E6FF905" w14:textId="77777777" w:rsidR="009C56EC" w:rsidRPr="00E940CF" w:rsidRDefault="009C56EC" w:rsidP="00C968D4">
            <w:pPr>
              <w:ind w:left="133"/>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w:t>
            </w:r>
          </w:p>
        </w:tc>
        <w:tc>
          <w:tcPr>
            <w:tcW w:w="570" w:type="pct"/>
            <w:tcBorders>
              <w:top w:val="nil"/>
              <w:left w:val="nil"/>
              <w:bottom w:val="single" w:sz="4" w:space="0" w:color="auto"/>
              <w:right w:val="single" w:sz="4" w:space="0" w:color="auto"/>
            </w:tcBorders>
            <w:noWrap/>
            <w:vAlign w:val="center"/>
            <w:hideMark/>
          </w:tcPr>
          <w:p w14:paraId="28B13878" w14:textId="77777777" w:rsidR="009C56EC" w:rsidRPr="00E940CF" w:rsidRDefault="009C56EC" w:rsidP="00C968D4">
            <w:pPr>
              <w:ind w:left="68"/>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766</w:t>
            </w:r>
          </w:p>
        </w:tc>
        <w:tc>
          <w:tcPr>
            <w:tcW w:w="511" w:type="pct"/>
            <w:tcBorders>
              <w:top w:val="nil"/>
              <w:left w:val="nil"/>
              <w:bottom w:val="single" w:sz="4" w:space="0" w:color="auto"/>
              <w:right w:val="single" w:sz="4" w:space="0" w:color="auto"/>
            </w:tcBorders>
            <w:noWrap/>
            <w:vAlign w:val="center"/>
            <w:hideMark/>
          </w:tcPr>
          <w:p w14:paraId="31D00C9E" w14:textId="77777777" w:rsidR="009C56EC" w:rsidRPr="00E940CF" w:rsidRDefault="009C56EC" w:rsidP="00C968D4">
            <w:pPr>
              <w:ind w:left="84"/>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w:t>
            </w:r>
          </w:p>
        </w:tc>
        <w:tc>
          <w:tcPr>
            <w:tcW w:w="570" w:type="pct"/>
            <w:tcBorders>
              <w:top w:val="nil"/>
              <w:left w:val="nil"/>
              <w:bottom w:val="single" w:sz="4" w:space="0" w:color="auto"/>
              <w:right w:val="single" w:sz="4" w:space="0" w:color="auto"/>
            </w:tcBorders>
            <w:noWrap/>
            <w:vAlign w:val="center"/>
            <w:hideMark/>
          </w:tcPr>
          <w:p w14:paraId="1580C5A5" w14:textId="77777777" w:rsidR="009C56EC" w:rsidRPr="00E940CF" w:rsidRDefault="009C56EC" w:rsidP="00C968D4">
            <w:pPr>
              <w:ind w:left="123"/>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912</w:t>
            </w:r>
          </w:p>
        </w:tc>
        <w:tc>
          <w:tcPr>
            <w:tcW w:w="511" w:type="pct"/>
            <w:tcBorders>
              <w:top w:val="nil"/>
              <w:left w:val="nil"/>
              <w:bottom w:val="single" w:sz="4" w:space="0" w:color="auto"/>
              <w:right w:val="single" w:sz="4" w:space="0" w:color="auto"/>
            </w:tcBorders>
            <w:noWrap/>
            <w:vAlign w:val="center"/>
            <w:hideMark/>
          </w:tcPr>
          <w:p w14:paraId="082AFFEB" w14:textId="77777777" w:rsidR="009C56EC" w:rsidRPr="00E940CF" w:rsidRDefault="009C56EC" w:rsidP="00C968D4">
            <w:pPr>
              <w:ind w:left="138"/>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w:t>
            </w:r>
          </w:p>
        </w:tc>
      </w:tr>
      <w:tr w:rsidR="009C56EC" w:rsidRPr="00E940CF" w14:paraId="0C48B075" w14:textId="77777777" w:rsidTr="00AF7AF9">
        <w:trPr>
          <w:cantSplit/>
          <w:trHeight w:val="315"/>
        </w:trPr>
        <w:tc>
          <w:tcPr>
            <w:tcW w:w="1778" w:type="pct"/>
            <w:tcBorders>
              <w:top w:val="nil"/>
              <w:left w:val="single" w:sz="4" w:space="0" w:color="auto"/>
              <w:bottom w:val="single" w:sz="4" w:space="0" w:color="auto"/>
              <w:right w:val="single" w:sz="4" w:space="0" w:color="auto"/>
            </w:tcBorders>
            <w:noWrap/>
            <w:vAlign w:val="center"/>
            <w:hideMark/>
          </w:tcPr>
          <w:p w14:paraId="03C093B4" w14:textId="77777777" w:rsidR="009C56EC" w:rsidRPr="00E940CF" w:rsidRDefault="009C56EC" w:rsidP="009C56EC">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Some Other Race</w:t>
            </w:r>
          </w:p>
        </w:tc>
        <w:tc>
          <w:tcPr>
            <w:tcW w:w="549" w:type="pct"/>
            <w:tcBorders>
              <w:top w:val="nil"/>
              <w:left w:val="nil"/>
              <w:bottom w:val="single" w:sz="4" w:space="0" w:color="auto"/>
              <w:right w:val="single" w:sz="4" w:space="0" w:color="auto"/>
            </w:tcBorders>
            <w:noWrap/>
            <w:vAlign w:val="bottom"/>
            <w:hideMark/>
          </w:tcPr>
          <w:p w14:paraId="0DEF0FD3" w14:textId="77777777" w:rsidR="009C56EC" w:rsidRPr="00E940CF" w:rsidRDefault="009C56EC" w:rsidP="00C968D4">
            <w:pPr>
              <w:ind w:left="71" w:hanging="25"/>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535</w:t>
            </w:r>
          </w:p>
        </w:tc>
        <w:tc>
          <w:tcPr>
            <w:tcW w:w="511" w:type="pct"/>
            <w:tcBorders>
              <w:top w:val="nil"/>
              <w:left w:val="nil"/>
              <w:bottom w:val="single" w:sz="4" w:space="0" w:color="auto"/>
              <w:right w:val="single" w:sz="4" w:space="0" w:color="auto"/>
            </w:tcBorders>
            <w:noWrap/>
            <w:vAlign w:val="center"/>
            <w:hideMark/>
          </w:tcPr>
          <w:p w14:paraId="273EC44E" w14:textId="77777777" w:rsidR="009C56EC" w:rsidRPr="00E940CF" w:rsidRDefault="009C56EC" w:rsidP="00C968D4">
            <w:pPr>
              <w:ind w:left="133"/>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w:t>
            </w:r>
          </w:p>
        </w:tc>
        <w:tc>
          <w:tcPr>
            <w:tcW w:w="570" w:type="pct"/>
            <w:tcBorders>
              <w:top w:val="nil"/>
              <w:left w:val="nil"/>
              <w:bottom w:val="single" w:sz="4" w:space="0" w:color="auto"/>
              <w:right w:val="single" w:sz="4" w:space="0" w:color="auto"/>
            </w:tcBorders>
            <w:noWrap/>
            <w:vAlign w:val="center"/>
            <w:hideMark/>
          </w:tcPr>
          <w:p w14:paraId="2DFDB616" w14:textId="77777777" w:rsidR="009C56EC" w:rsidRPr="00E940CF" w:rsidRDefault="009C56EC" w:rsidP="00C968D4">
            <w:pPr>
              <w:ind w:left="68"/>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690</w:t>
            </w:r>
          </w:p>
        </w:tc>
        <w:tc>
          <w:tcPr>
            <w:tcW w:w="511" w:type="pct"/>
            <w:tcBorders>
              <w:top w:val="nil"/>
              <w:left w:val="nil"/>
              <w:bottom w:val="single" w:sz="4" w:space="0" w:color="auto"/>
              <w:right w:val="single" w:sz="4" w:space="0" w:color="auto"/>
            </w:tcBorders>
            <w:noWrap/>
            <w:vAlign w:val="center"/>
            <w:hideMark/>
          </w:tcPr>
          <w:p w14:paraId="793F23FC" w14:textId="77777777" w:rsidR="009C56EC" w:rsidRPr="00E940CF" w:rsidRDefault="009C56EC" w:rsidP="00C968D4">
            <w:pPr>
              <w:ind w:left="84"/>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w:t>
            </w:r>
          </w:p>
        </w:tc>
        <w:tc>
          <w:tcPr>
            <w:tcW w:w="570" w:type="pct"/>
            <w:tcBorders>
              <w:top w:val="nil"/>
              <w:left w:val="nil"/>
              <w:bottom w:val="single" w:sz="4" w:space="0" w:color="auto"/>
              <w:right w:val="single" w:sz="4" w:space="0" w:color="auto"/>
            </w:tcBorders>
            <w:noWrap/>
            <w:vAlign w:val="center"/>
            <w:hideMark/>
          </w:tcPr>
          <w:p w14:paraId="06546B05" w14:textId="77777777" w:rsidR="009C56EC" w:rsidRPr="00E940CF" w:rsidRDefault="009C56EC" w:rsidP="00C968D4">
            <w:pPr>
              <w:ind w:left="123"/>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750</w:t>
            </w:r>
          </w:p>
        </w:tc>
        <w:tc>
          <w:tcPr>
            <w:tcW w:w="511" w:type="pct"/>
            <w:tcBorders>
              <w:top w:val="nil"/>
              <w:left w:val="nil"/>
              <w:bottom w:val="single" w:sz="4" w:space="0" w:color="auto"/>
              <w:right w:val="single" w:sz="4" w:space="0" w:color="auto"/>
            </w:tcBorders>
            <w:noWrap/>
            <w:vAlign w:val="center"/>
            <w:hideMark/>
          </w:tcPr>
          <w:p w14:paraId="6F9A44A7" w14:textId="77777777" w:rsidR="009C56EC" w:rsidRPr="00E940CF" w:rsidRDefault="009C56EC" w:rsidP="00C968D4">
            <w:pPr>
              <w:ind w:left="138"/>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w:t>
            </w:r>
          </w:p>
        </w:tc>
      </w:tr>
      <w:tr w:rsidR="009C56EC" w:rsidRPr="00E940CF" w14:paraId="43906C97" w14:textId="77777777" w:rsidTr="00AF7AF9">
        <w:trPr>
          <w:cantSplit/>
          <w:trHeight w:val="315"/>
        </w:trPr>
        <w:tc>
          <w:tcPr>
            <w:tcW w:w="1778" w:type="pct"/>
            <w:tcBorders>
              <w:top w:val="nil"/>
              <w:left w:val="single" w:sz="4" w:space="0" w:color="auto"/>
              <w:bottom w:val="single" w:sz="4" w:space="0" w:color="auto"/>
              <w:right w:val="single" w:sz="4" w:space="0" w:color="auto"/>
            </w:tcBorders>
            <w:noWrap/>
            <w:vAlign w:val="center"/>
            <w:hideMark/>
          </w:tcPr>
          <w:p w14:paraId="5BA640A9" w14:textId="77777777" w:rsidR="009C56EC" w:rsidRPr="00E940CF" w:rsidRDefault="009C56EC" w:rsidP="009C56EC">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Unknown</w:t>
            </w:r>
          </w:p>
        </w:tc>
        <w:tc>
          <w:tcPr>
            <w:tcW w:w="549" w:type="pct"/>
            <w:tcBorders>
              <w:top w:val="nil"/>
              <w:left w:val="nil"/>
              <w:bottom w:val="single" w:sz="4" w:space="0" w:color="auto"/>
              <w:right w:val="single" w:sz="4" w:space="0" w:color="auto"/>
            </w:tcBorders>
            <w:noWrap/>
            <w:vAlign w:val="bottom"/>
            <w:hideMark/>
          </w:tcPr>
          <w:p w14:paraId="140B6A2A" w14:textId="77777777" w:rsidR="009C56EC" w:rsidRPr="00E940CF" w:rsidRDefault="009C56EC" w:rsidP="00C968D4">
            <w:pPr>
              <w:ind w:left="71" w:hanging="25"/>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235</w:t>
            </w:r>
          </w:p>
        </w:tc>
        <w:tc>
          <w:tcPr>
            <w:tcW w:w="511" w:type="pct"/>
            <w:tcBorders>
              <w:top w:val="nil"/>
              <w:left w:val="nil"/>
              <w:bottom w:val="single" w:sz="4" w:space="0" w:color="auto"/>
              <w:right w:val="single" w:sz="4" w:space="0" w:color="auto"/>
            </w:tcBorders>
            <w:noWrap/>
            <w:vAlign w:val="center"/>
            <w:hideMark/>
          </w:tcPr>
          <w:p w14:paraId="14F48DC6" w14:textId="77777777" w:rsidR="009C56EC" w:rsidRPr="00E940CF" w:rsidRDefault="009C56EC" w:rsidP="00C968D4">
            <w:pPr>
              <w:ind w:left="133"/>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w:t>
            </w:r>
          </w:p>
        </w:tc>
        <w:tc>
          <w:tcPr>
            <w:tcW w:w="570" w:type="pct"/>
            <w:tcBorders>
              <w:top w:val="nil"/>
              <w:left w:val="nil"/>
              <w:bottom w:val="single" w:sz="4" w:space="0" w:color="auto"/>
              <w:right w:val="single" w:sz="4" w:space="0" w:color="auto"/>
            </w:tcBorders>
            <w:noWrap/>
            <w:vAlign w:val="center"/>
            <w:hideMark/>
          </w:tcPr>
          <w:p w14:paraId="04EFA778" w14:textId="77777777" w:rsidR="009C56EC" w:rsidRPr="00E940CF" w:rsidRDefault="009C56EC" w:rsidP="00C968D4">
            <w:pPr>
              <w:ind w:left="68"/>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228</w:t>
            </w:r>
          </w:p>
        </w:tc>
        <w:tc>
          <w:tcPr>
            <w:tcW w:w="511" w:type="pct"/>
            <w:tcBorders>
              <w:top w:val="nil"/>
              <w:left w:val="nil"/>
              <w:bottom w:val="single" w:sz="4" w:space="0" w:color="auto"/>
              <w:right w:val="single" w:sz="4" w:space="0" w:color="auto"/>
            </w:tcBorders>
            <w:noWrap/>
            <w:vAlign w:val="center"/>
            <w:hideMark/>
          </w:tcPr>
          <w:p w14:paraId="78F86575" w14:textId="77777777" w:rsidR="009C56EC" w:rsidRPr="00E940CF" w:rsidRDefault="009C56EC" w:rsidP="00C968D4">
            <w:pPr>
              <w:ind w:left="84"/>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w:t>
            </w:r>
          </w:p>
        </w:tc>
        <w:tc>
          <w:tcPr>
            <w:tcW w:w="570" w:type="pct"/>
            <w:tcBorders>
              <w:top w:val="nil"/>
              <w:left w:val="nil"/>
              <w:bottom w:val="single" w:sz="4" w:space="0" w:color="auto"/>
              <w:right w:val="single" w:sz="4" w:space="0" w:color="auto"/>
            </w:tcBorders>
            <w:noWrap/>
            <w:vAlign w:val="center"/>
            <w:hideMark/>
          </w:tcPr>
          <w:p w14:paraId="6C59228D" w14:textId="77777777" w:rsidR="009C56EC" w:rsidRPr="00E940CF" w:rsidRDefault="009C56EC" w:rsidP="00C968D4">
            <w:pPr>
              <w:ind w:left="123"/>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238</w:t>
            </w:r>
          </w:p>
        </w:tc>
        <w:tc>
          <w:tcPr>
            <w:tcW w:w="511" w:type="pct"/>
            <w:tcBorders>
              <w:top w:val="nil"/>
              <w:left w:val="nil"/>
              <w:bottom w:val="single" w:sz="4" w:space="0" w:color="auto"/>
              <w:right w:val="single" w:sz="4" w:space="0" w:color="auto"/>
            </w:tcBorders>
            <w:noWrap/>
            <w:vAlign w:val="center"/>
            <w:hideMark/>
          </w:tcPr>
          <w:p w14:paraId="328F6E8A" w14:textId="77777777" w:rsidR="009C56EC" w:rsidRPr="00E940CF" w:rsidRDefault="009C56EC" w:rsidP="00C968D4">
            <w:pPr>
              <w:ind w:left="138"/>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w:t>
            </w:r>
          </w:p>
        </w:tc>
      </w:tr>
      <w:tr w:rsidR="009C56EC" w:rsidRPr="00E940CF" w14:paraId="1121A8DC" w14:textId="77777777" w:rsidTr="00AF7AF9">
        <w:trPr>
          <w:cantSplit/>
          <w:trHeight w:val="315"/>
        </w:trPr>
        <w:tc>
          <w:tcPr>
            <w:tcW w:w="1778" w:type="pct"/>
            <w:tcBorders>
              <w:top w:val="nil"/>
              <w:left w:val="single" w:sz="4" w:space="0" w:color="auto"/>
              <w:bottom w:val="single" w:sz="4" w:space="0" w:color="auto"/>
              <w:right w:val="single" w:sz="4" w:space="0" w:color="auto"/>
            </w:tcBorders>
            <w:noWrap/>
            <w:vAlign w:val="center"/>
            <w:hideMark/>
          </w:tcPr>
          <w:p w14:paraId="16A2A923" w14:textId="77777777" w:rsidR="009C56EC" w:rsidRPr="00E940CF" w:rsidRDefault="009C56EC" w:rsidP="009C56EC">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Asked but No Answer</w:t>
            </w:r>
          </w:p>
        </w:tc>
        <w:tc>
          <w:tcPr>
            <w:tcW w:w="549" w:type="pct"/>
            <w:tcBorders>
              <w:top w:val="nil"/>
              <w:left w:val="nil"/>
              <w:bottom w:val="single" w:sz="4" w:space="0" w:color="auto"/>
              <w:right w:val="single" w:sz="4" w:space="0" w:color="auto"/>
            </w:tcBorders>
            <w:noWrap/>
            <w:vAlign w:val="bottom"/>
            <w:hideMark/>
          </w:tcPr>
          <w:p w14:paraId="793F53BE" w14:textId="77777777" w:rsidR="009C56EC" w:rsidRPr="00E940CF" w:rsidRDefault="009C56EC" w:rsidP="00C968D4">
            <w:pPr>
              <w:ind w:left="71" w:hanging="25"/>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233</w:t>
            </w:r>
          </w:p>
        </w:tc>
        <w:tc>
          <w:tcPr>
            <w:tcW w:w="511" w:type="pct"/>
            <w:tcBorders>
              <w:top w:val="nil"/>
              <w:left w:val="nil"/>
              <w:bottom w:val="single" w:sz="4" w:space="0" w:color="auto"/>
              <w:right w:val="single" w:sz="4" w:space="0" w:color="auto"/>
            </w:tcBorders>
            <w:noWrap/>
            <w:vAlign w:val="center"/>
            <w:hideMark/>
          </w:tcPr>
          <w:p w14:paraId="0D7C8A6D" w14:textId="77777777" w:rsidR="009C56EC" w:rsidRPr="00E940CF" w:rsidRDefault="009C56EC" w:rsidP="00C968D4">
            <w:pPr>
              <w:ind w:left="133"/>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w:t>
            </w:r>
          </w:p>
        </w:tc>
        <w:tc>
          <w:tcPr>
            <w:tcW w:w="570" w:type="pct"/>
            <w:tcBorders>
              <w:top w:val="nil"/>
              <w:left w:val="nil"/>
              <w:bottom w:val="single" w:sz="4" w:space="0" w:color="auto"/>
              <w:right w:val="single" w:sz="4" w:space="0" w:color="auto"/>
            </w:tcBorders>
            <w:noWrap/>
            <w:vAlign w:val="center"/>
            <w:hideMark/>
          </w:tcPr>
          <w:p w14:paraId="7DD7285F" w14:textId="77777777" w:rsidR="009C56EC" w:rsidRPr="00E940CF" w:rsidRDefault="009C56EC" w:rsidP="00C968D4">
            <w:pPr>
              <w:ind w:left="68"/>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303</w:t>
            </w:r>
          </w:p>
        </w:tc>
        <w:tc>
          <w:tcPr>
            <w:tcW w:w="511" w:type="pct"/>
            <w:tcBorders>
              <w:top w:val="nil"/>
              <w:left w:val="nil"/>
              <w:bottom w:val="single" w:sz="4" w:space="0" w:color="auto"/>
              <w:right w:val="single" w:sz="4" w:space="0" w:color="auto"/>
            </w:tcBorders>
            <w:noWrap/>
            <w:vAlign w:val="center"/>
            <w:hideMark/>
          </w:tcPr>
          <w:p w14:paraId="4234CE3B" w14:textId="77777777" w:rsidR="009C56EC" w:rsidRPr="00E940CF" w:rsidRDefault="009C56EC" w:rsidP="00C968D4">
            <w:pPr>
              <w:ind w:left="84"/>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w:t>
            </w:r>
          </w:p>
        </w:tc>
        <w:tc>
          <w:tcPr>
            <w:tcW w:w="570" w:type="pct"/>
            <w:tcBorders>
              <w:top w:val="nil"/>
              <w:left w:val="nil"/>
              <w:bottom w:val="single" w:sz="4" w:space="0" w:color="auto"/>
              <w:right w:val="single" w:sz="4" w:space="0" w:color="auto"/>
            </w:tcBorders>
            <w:noWrap/>
            <w:vAlign w:val="center"/>
            <w:hideMark/>
          </w:tcPr>
          <w:p w14:paraId="7ED881E0" w14:textId="77777777" w:rsidR="009C56EC" w:rsidRPr="00E940CF" w:rsidRDefault="009C56EC" w:rsidP="00C968D4">
            <w:pPr>
              <w:ind w:left="123"/>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378</w:t>
            </w:r>
          </w:p>
        </w:tc>
        <w:tc>
          <w:tcPr>
            <w:tcW w:w="511" w:type="pct"/>
            <w:tcBorders>
              <w:top w:val="nil"/>
              <w:left w:val="nil"/>
              <w:bottom w:val="single" w:sz="4" w:space="0" w:color="auto"/>
              <w:right w:val="single" w:sz="4" w:space="0" w:color="auto"/>
            </w:tcBorders>
            <w:noWrap/>
            <w:vAlign w:val="center"/>
            <w:hideMark/>
          </w:tcPr>
          <w:p w14:paraId="52FB636A" w14:textId="77777777" w:rsidR="009C56EC" w:rsidRPr="00E940CF" w:rsidRDefault="009C56EC" w:rsidP="00C968D4">
            <w:pPr>
              <w:ind w:left="138"/>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w:t>
            </w:r>
          </w:p>
        </w:tc>
      </w:tr>
      <w:tr w:rsidR="009C56EC" w:rsidRPr="00E940CF" w14:paraId="4E3FCF7B" w14:textId="77777777" w:rsidTr="00AF7AF9">
        <w:trPr>
          <w:cantSplit/>
          <w:trHeight w:val="315"/>
        </w:trPr>
        <w:tc>
          <w:tcPr>
            <w:tcW w:w="1778" w:type="pct"/>
            <w:tcBorders>
              <w:top w:val="nil"/>
              <w:left w:val="single" w:sz="4" w:space="0" w:color="auto"/>
              <w:bottom w:val="single" w:sz="4" w:space="0" w:color="auto"/>
              <w:right w:val="single" w:sz="4" w:space="0" w:color="auto"/>
            </w:tcBorders>
            <w:noWrap/>
            <w:vAlign w:val="center"/>
            <w:hideMark/>
          </w:tcPr>
          <w:p w14:paraId="5357C11C" w14:textId="77777777" w:rsidR="009C56EC" w:rsidRPr="00E940CF" w:rsidRDefault="009C56EC" w:rsidP="009C56EC">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Two or More Races</w:t>
            </w:r>
          </w:p>
        </w:tc>
        <w:tc>
          <w:tcPr>
            <w:tcW w:w="549" w:type="pct"/>
            <w:tcBorders>
              <w:top w:val="nil"/>
              <w:left w:val="nil"/>
              <w:bottom w:val="single" w:sz="4" w:space="0" w:color="auto"/>
              <w:right w:val="single" w:sz="4" w:space="0" w:color="auto"/>
            </w:tcBorders>
            <w:noWrap/>
            <w:vAlign w:val="bottom"/>
            <w:hideMark/>
          </w:tcPr>
          <w:p w14:paraId="68982A0F" w14:textId="77777777" w:rsidR="009C56EC" w:rsidRPr="00E940CF" w:rsidRDefault="009C56EC" w:rsidP="00C968D4">
            <w:pPr>
              <w:ind w:left="71" w:hanging="25"/>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187</w:t>
            </w:r>
          </w:p>
        </w:tc>
        <w:tc>
          <w:tcPr>
            <w:tcW w:w="511" w:type="pct"/>
            <w:tcBorders>
              <w:top w:val="nil"/>
              <w:left w:val="nil"/>
              <w:bottom w:val="single" w:sz="4" w:space="0" w:color="auto"/>
              <w:right w:val="single" w:sz="4" w:space="0" w:color="auto"/>
            </w:tcBorders>
            <w:noWrap/>
            <w:vAlign w:val="center"/>
            <w:hideMark/>
          </w:tcPr>
          <w:p w14:paraId="309267F4" w14:textId="77777777" w:rsidR="009C56EC" w:rsidRPr="00E940CF" w:rsidRDefault="009C56EC" w:rsidP="00C968D4">
            <w:pPr>
              <w:ind w:left="133"/>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w:t>
            </w:r>
          </w:p>
        </w:tc>
        <w:tc>
          <w:tcPr>
            <w:tcW w:w="570" w:type="pct"/>
            <w:tcBorders>
              <w:top w:val="nil"/>
              <w:left w:val="nil"/>
              <w:bottom w:val="single" w:sz="4" w:space="0" w:color="auto"/>
              <w:right w:val="single" w:sz="4" w:space="0" w:color="auto"/>
            </w:tcBorders>
            <w:noWrap/>
            <w:vAlign w:val="center"/>
            <w:hideMark/>
          </w:tcPr>
          <w:p w14:paraId="7BAAC1B2" w14:textId="77777777" w:rsidR="009C56EC" w:rsidRPr="00E940CF" w:rsidRDefault="009C56EC" w:rsidP="00C968D4">
            <w:pPr>
              <w:ind w:left="68"/>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229</w:t>
            </w:r>
          </w:p>
        </w:tc>
        <w:tc>
          <w:tcPr>
            <w:tcW w:w="511" w:type="pct"/>
            <w:tcBorders>
              <w:top w:val="nil"/>
              <w:left w:val="nil"/>
              <w:bottom w:val="single" w:sz="4" w:space="0" w:color="auto"/>
              <w:right w:val="single" w:sz="4" w:space="0" w:color="auto"/>
            </w:tcBorders>
            <w:noWrap/>
            <w:vAlign w:val="center"/>
            <w:hideMark/>
          </w:tcPr>
          <w:p w14:paraId="60D5C37F" w14:textId="77777777" w:rsidR="009C56EC" w:rsidRPr="00E940CF" w:rsidRDefault="009C56EC" w:rsidP="00C968D4">
            <w:pPr>
              <w:ind w:left="84"/>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w:t>
            </w:r>
          </w:p>
        </w:tc>
        <w:tc>
          <w:tcPr>
            <w:tcW w:w="570" w:type="pct"/>
            <w:tcBorders>
              <w:top w:val="nil"/>
              <w:left w:val="nil"/>
              <w:bottom w:val="single" w:sz="4" w:space="0" w:color="auto"/>
              <w:right w:val="single" w:sz="4" w:space="0" w:color="auto"/>
            </w:tcBorders>
            <w:noWrap/>
            <w:vAlign w:val="center"/>
            <w:hideMark/>
          </w:tcPr>
          <w:p w14:paraId="03B9C678" w14:textId="77777777" w:rsidR="009C56EC" w:rsidRPr="00E940CF" w:rsidRDefault="009C56EC" w:rsidP="00C968D4">
            <w:pPr>
              <w:ind w:left="123"/>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250</w:t>
            </w:r>
          </w:p>
        </w:tc>
        <w:tc>
          <w:tcPr>
            <w:tcW w:w="511" w:type="pct"/>
            <w:tcBorders>
              <w:top w:val="nil"/>
              <w:left w:val="nil"/>
              <w:bottom w:val="single" w:sz="4" w:space="0" w:color="auto"/>
              <w:right w:val="single" w:sz="4" w:space="0" w:color="auto"/>
            </w:tcBorders>
            <w:noWrap/>
            <w:vAlign w:val="center"/>
            <w:hideMark/>
          </w:tcPr>
          <w:p w14:paraId="08FF8938" w14:textId="77777777" w:rsidR="009C56EC" w:rsidRPr="00E940CF" w:rsidRDefault="009C56EC" w:rsidP="00C968D4">
            <w:pPr>
              <w:ind w:left="138"/>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w:t>
            </w:r>
          </w:p>
        </w:tc>
      </w:tr>
      <w:tr w:rsidR="009C56EC" w:rsidRPr="00E940CF" w14:paraId="040757BA" w14:textId="77777777" w:rsidTr="00AF7AF9">
        <w:trPr>
          <w:cantSplit/>
          <w:trHeight w:val="315"/>
        </w:trPr>
        <w:tc>
          <w:tcPr>
            <w:tcW w:w="1778" w:type="pct"/>
            <w:tcBorders>
              <w:top w:val="nil"/>
              <w:left w:val="single" w:sz="4" w:space="0" w:color="auto"/>
              <w:bottom w:val="single" w:sz="4" w:space="0" w:color="auto"/>
              <w:right w:val="single" w:sz="4" w:space="0" w:color="auto"/>
            </w:tcBorders>
            <w:noWrap/>
            <w:vAlign w:val="center"/>
            <w:hideMark/>
          </w:tcPr>
          <w:p w14:paraId="01078CFC" w14:textId="77777777" w:rsidR="009C56EC" w:rsidRPr="00E940CF" w:rsidRDefault="009C56EC" w:rsidP="009C56EC">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Asian</w:t>
            </w:r>
          </w:p>
        </w:tc>
        <w:tc>
          <w:tcPr>
            <w:tcW w:w="549" w:type="pct"/>
            <w:tcBorders>
              <w:top w:val="nil"/>
              <w:left w:val="nil"/>
              <w:bottom w:val="single" w:sz="4" w:space="0" w:color="auto"/>
              <w:right w:val="single" w:sz="4" w:space="0" w:color="auto"/>
            </w:tcBorders>
            <w:noWrap/>
            <w:vAlign w:val="bottom"/>
            <w:hideMark/>
          </w:tcPr>
          <w:p w14:paraId="19B85739" w14:textId="77777777" w:rsidR="009C56EC" w:rsidRPr="00E940CF" w:rsidRDefault="009C56EC" w:rsidP="00C968D4">
            <w:pPr>
              <w:ind w:left="71" w:hanging="25"/>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139</w:t>
            </w:r>
          </w:p>
        </w:tc>
        <w:tc>
          <w:tcPr>
            <w:tcW w:w="511" w:type="pct"/>
            <w:tcBorders>
              <w:top w:val="nil"/>
              <w:left w:val="nil"/>
              <w:bottom w:val="single" w:sz="4" w:space="0" w:color="auto"/>
              <w:right w:val="single" w:sz="4" w:space="0" w:color="auto"/>
            </w:tcBorders>
            <w:noWrap/>
            <w:vAlign w:val="center"/>
            <w:hideMark/>
          </w:tcPr>
          <w:p w14:paraId="4FF6D79C" w14:textId="77777777" w:rsidR="009C56EC" w:rsidRPr="00E940CF" w:rsidRDefault="009C56EC" w:rsidP="00C968D4">
            <w:pPr>
              <w:ind w:left="133"/>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w:t>
            </w:r>
          </w:p>
        </w:tc>
        <w:tc>
          <w:tcPr>
            <w:tcW w:w="570" w:type="pct"/>
            <w:tcBorders>
              <w:top w:val="nil"/>
              <w:left w:val="nil"/>
              <w:bottom w:val="single" w:sz="4" w:space="0" w:color="auto"/>
              <w:right w:val="single" w:sz="4" w:space="0" w:color="auto"/>
            </w:tcBorders>
            <w:noWrap/>
            <w:vAlign w:val="center"/>
            <w:hideMark/>
          </w:tcPr>
          <w:p w14:paraId="4BBA5FF7" w14:textId="77777777" w:rsidR="009C56EC" w:rsidRPr="00E940CF" w:rsidRDefault="009C56EC" w:rsidP="00C968D4">
            <w:pPr>
              <w:ind w:left="68"/>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161</w:t>
            </w:r>
          </w:p>
        </w:tc>
        <w:tc>
          <w:tcPr>
            <w:tcW w:w="511" w:type="pct"/>
            <w:tcBorders>
              <w:top w:val="nil"/>
              <w:left w:val="nil"/>
              <w:bottom w:val="single" w:sz="4" w:space="0" w:color="auto"/>
              <w:right w:val="single" w:sz="4" w:space="0" w:color="auto"/>
            </w:tcBorders>
            <w:noWrap/>
            <w:vAlign w:val="center"/>
            <w:hideMark/>
          </w:tcPr>
          <w:p w14:paraId="48005242" w14:textId="77777777" w:rsidR="009C56EC" w:rsidRPr="00E940CF" w:rsidRDefault="009C56EC" w:rsidP="00C968D4">
            <w:pPr>
              <w:ind w:left="84"/>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w:t>
            </w:r>
          </w:p>
        </w:tc>
        <w:tc>
          <w:tcPr>
            <w:tcW w:w="570" w:type="pct"/>
            <w:tcBorders>
              <w:top w:val="nil"/>
              <w:left w:val="nil"/>
              <w:bottom w:val="single" w:sz="4" w:space="0" w:color="auto"/>
              <w:right w:val="single" w:sz="4" w:space="0" w:color="auto"/>
            </w:tcBorders>
            <w:noWrap/>
            <w:vAlign w:val="center"/>
            <w:hideMark/>
          </w:tcPr>
          <w:p w14:paraId="4F608B69" w14:textId="77777777" w:rsidR="009C56EC" w:rsidRPr="00E940CF" w:rsidRDefault="009C56EC" w:rsidP="00C968D4">
            <w:pPr>
              <w:ind w:left="123"/>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177</w:t>
            </w:r>
          </w:p>
        </w:tc>
        <w:tc>
          <w:tcPr>
            <w:tcW w:w="511" w:type="pct"/>
            <w:tcBorders>
              <w:top w:val="nil"/>
              <w:left w:val="nil"/>
              <w:bottom w:val="single" w:sz="4" w:space="0" w:color="auto"/>
              <w:right w:val="single" w:sz="4" w:space="0" w:color="auto"/>
            </w:tcBorders>
            <w:noWrap/>
            <w:vAlign w:val="center"/>
            <w:hideMark/>
          </w:tcPr>
          <w:p w14:paraId="45D12864" w14:textId="77777777" w:rsidR="009C56EC" w:rsidRPr="00E940CF" w:rsidRDefault="009C56EC" w:rsidP="00C968D4">
            <w:pPr>
              <w:ind w:left="138"/>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w:t>
            </w:r>
          </w:p>
        </w:tc>
      </w:tr>
      <w:tr w:rsidR="009C56EC" w:rsidRPr="00E940CF" w14:paraId="7E20C197" w14:textId="77777777" w:rsidTr="00AF7AF9">
        <w:trPr>
          <w:cantSplit/>
          <w:trHeight w:val="315"/>
        </w:trPr>
        <w:tc>
          <w:tcPr>
            <w:tcW w:w="1778" w:type="pct"/>
            <w:tcBorders>
              <w:top w:val="nil"/>
              <w:left w:val="single" w:sz="4" w:space="0" w:color="auto"/>
              <w:bottom w:val="single" w:sz="4" w:space="0" w:color="auto"/>
              <w:right w:val="single" w:sz="4" w:space="0" w:color="auto"/>
            </w:tcBorders>
            <w:noWrap/>
            <w:vAlign w:val="center"/>
            <w:hideMark/>
          </w:tcPr>
          <w:p w14:paraId="28BD346B" w14:textId="77777777" w:rsidR="009C56EC" w:rsidRPr="00E940CF" w:rsidRDefault="009C56EC" w:rsidP="009C56EC">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American Indian or Alaska Native</w:t>
            </w:r>
          </w:p>
        </w:tc>
        <w:tc>
          <w:tcPr>
            <w:tcW w:w="549" w:type="pct"/>
            <w:tcBorders>
              <w:top w:val="nil"/>
              <w:left w:val="nil"/>
              <w:bottom w:val="single" w:sz="4" w:space="0" w:color="auto"/>
              <w:right w:val="single" w:sz="4" w:space="0" w:color="auto"/>
            </w:tcBorders>
            <w:noWrap/>
            <w:vAlign w:val="bottom"/>
            <w:hideMark/>
          </w:tcPr>
          <w:p w14:paraId="7D90A909" w14:textId="77777777" w:rsidR="009C56EC" w:rsidRPr="00E940CF" w:rsidRDefault="009C56EC" w:rsidP="00C968D4">
            <w:pPr>
              <w:ind w:left="71" w:hanging="25"/>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29</w:t>
            </w:r>
          </w:p>
        </w:tc>
        <w:tc>
          <w:tcPr>
            <w:tcW w:w="511" w:type="pct"/>
            <w:tcBorders>
              <w:top w:val="nil"/>
              <w:left w:val="nil"/>
              <w:bottom w:val="single" w:sz="4" w:space="0" w:color="auto"/>
              <w:right w:val="single" w:sz="4" w:space="0" w:color="auto"/>
            </w:tcBorders>
            <w:noWrap/>
            <w:vAlign w:val="center"/>
            <w:hideMark/>
          </w:tcPr>
          <w:p w14:paraId="31B1B901" w14:textId="77777777" w:rsidR="009C56EC" w:rsidRPr="00E940CF" w:rsidRDefault="009C56EC" w:rsidP="00C968D4">
            <w:pPr>
              <w:ind w:left="133"/>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0%</w:t>
            </w:r>
          </w:p>
        </w:tc>
        <w:tc>
          <w:tcPr>
            <w:tcW w:w="570" w:type="pct"/>
            <w:tcBorders>
              <w:top w:val="nil"/>
              <w:left w:val="nil"/>
              <w:bottom w:val="single" w:sz="4" w:space="0" w:color="auto"/>
              <w:right w:val="single" w:sz="4" w:space="0" w:color="auto"/>
            </w:tcBorders>
            <w:noWrap/>
            <w:vAlign w:val="center"/>
            <w:hideMark/>
          </w:tcPr>
          <w:p w14:paraId="0A132339" w14:textId="77777777" w:rsidR="009C56EC" w:rsidRPr="00E940CF" w:rsidRDefault="009C56EC" w:rsidP="00C968D4">
            <w:pPr>
              <w:ind w:left="68"/>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33</w:t>
            </w:r>
          </w:p>
        </w:tc>
        <w:tc>
          <w:tcPr>
            <w:tcW w:w="511" w:type="pct"/>
            <w:tcBorders>
              <w:top w:val="nil"/>
              <w:left w:val="nil"/>
              <w:bottom w:val="single" w:sz="4" w:space="0" w:color="auto"/>
              <w:right w:val="single" w:sz="4" w:space="0" w:color="auto"/>
            </w:tcBorders>
            <w:noWrap/>
            <w:vAlign w:val="center"/>
            <w:hideMark/>
          </w:tcPr>
          <w:p w14:paraId="1B3AFC9A" w14:textId="77777777" w:rsidR="009C56EC" w:rsidRPr="00E940CF" w:rsidRDefault="009C56EC" w:rsidP="00C968D4">
            <w:pPr>
              <w:ind w:left="84"/>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0%</w:t>
            </w:r>
          </w:p>
        </w:tc>
        <w:tc>
          <w:tcPr>
            <w:tcW w:w="570" w:type="pct"/>
            <w:tcBorders>
              <w:top w:val="nil"/>
              <w:left w:val="nil"/>
              <w:bottom w:val="single" w:sz="4" w:space="0" w:color="auto"/>
              <w:right w:val="single" w:sz="4" w:space="0" w:color="auto"/>
            </w:tcBorders>
            <w:noWrap/>
            <w:vAlign w:val="center"/>
            <w:hideMark/>
          </w:tcPr>
          <w:p w14:paraId="40F970F1" w14:textId="77777777" w:rsidR="009C56EC" w:rsidRPr="00E940CF" w:rsidRDefault="009C56EC" w:rsidP="00C968D4">
            <w:pPr>
              <w:ind w:left="123"/>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35</w:t>
            </w:r>
          </w:p>
        </w:tc>
        <w:tc>
          <w:tcPr>
            <w:tcW w:w="511" w:type="pct"/>
            <w:tcBorders>
              <w:top w:val="nil"/>
              <w:left w:val="nil"/>
              <w:bottom w:val="single" w:sz="4" w:space="0" w:color="auto"/>
              <w:right w:val="single" w:sz="4" w:space="0" w:color="auto"/>
            </w:tcBorders>
            <w:noWrap/>
            <w:vAlign w:val="center"/>
            <w:hideMark/>
          </w:tcPr>
          <w:p w14:paraId="3C6EB4F4" w14:textId="77777777" w:rsidR="009C56EC" w:rsidRPr="00E940CF" w:rsidRDefault="009C56EC" w:rsidP="00C968D4">
            <w:pPr>
              <w:ind w:left="138"/>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0%</w:t>
            </w:r>
          </w:p>
        </w:tc>
      </w:tr>
      <w:tr w:rsidR="009C56EC" w:rsidRPr="00E940CF" w14:paraId="41A8319A" w14:textId="77777777" w:rsidTr="00AF7AF9">
        <w:trPr>
          <w:cantSplit/>
          <w:trHeight w:val="315"/>
        </w:trPr>
        <w:tc>
          <w:tcPr>
            <w:tcW w:w="1778" w:type="pct"/>
            <w:tcBorders>
              <w:top w:val="nil"/>
              <w:left w:val="single" w:sz="4" w:space="0" w:color="auto"/>
              <w:bottom w:val="single" w:sz="4" w:space="0" w:color="auto"/>
              <w:right w:val="single" w:sz="4" w:space="0" w:color="auto"/>
            </w:tcBorders>
            <w:noWrap/>
            <w:vAlign w:val="center"/>
            <w:hideMark/>
          </w:tcPr>
          <w:p w14:paraId="49AFAC99" w14:textId="77777777" w:rsidR="009C56EC" w:rsidRPr="00E940CF" w:rsidRDefault="009C56EC" w:rsidP="009C56EC">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Native Hawaiian or Other Pacific Islander</w:t>
            </w:r>
          </w:p>
        </w:tc>
        <w:tc>
          <w:tcPr>
            <w:tcW w:w="549" w:type="pct"/>
            <w:tcBorders>
              <w:top w:val="nil"/>
              <w:left w:val="nil"/>
              <w:bottom w:val="single" w:sz="4" w:space="0" w:color="auto"/>
              <w:right w:val="single" w:sz="4" w:space="0" w:color="auto"/>
            </w:tcBorders>
            <w:noWrap/>
            <w:vAlign w:val="bottom"/>
            <w:hideMark/>
          </w:tcPr>
          <w:p w14:paraId="737D5567" w14:textId="77777777" w:rsidR="009C56EC" w:rsidRPr="00E940CF" w:rsidRDefault="009C56EC" w:rsidP="00C968D4">
            <w:pPr>
              <w:ind w:left="71" w:hanging="25"/>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11</w:t>
            </w:r>
          </w:p>
        </w:tc>
        <w:tc>
          <w:tcPr>
            <w:tcW w:w="511" w:type="pct"/>
            <w:tcBorders>
              <w:top w:val="nil"/>
              <w:left w:val="nil"/>
              <w:bottom w:val="single" w:sz="4" w:space="0" w:color="auto"/>
              <w:right w:val="single" w:sz="4" w:space="0" w:color="auto"/>
            </w:tcBorders>
            <w:noWrap/>
            <w:vAlign w:val="center"/>
            <w:hideMark/>
          </w:tcPr>
          <w:p w14:paraId="2A4238DF" w14:textId="77777777" w:rsidR="009C56EC" w:rsidRPr="00E940CF" w:rsidRDefault="009C56EC" w:rsidP="00C968D4">
            <w:pPr>
              <w:ind w:left="133"/>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0%</w:t>
            </w:r>
          </w:p>
        </w:tc>
        <w:tc>
          <w:tcPr>
            <w:tcW w:w="570" w:type="pct"/>
            <w:tcBorders>
              <w:top w:val="nil"/>
              <w:left w:val="nil"/>
              <w:bottom w:val="single" w:sz="4" w:space="0" w:color="auto"/>
              <w:right w:val="single" w:sz="4" w:space="0" w:color="auto"/>
            </w:tcBorders>
            <w:noWrap/>
            <w:vAlign w:val="center"/>
            <w:hideMark/>
          </w:tcPr>
          <w:p w14:paraId="498C7E94" w14:textId="77777777" w:rsidR="009C56EC" w:rsidRPr="00E940CF" w:rsidRDefault="009C56EC" w:rsidP="00C968D4">
            <w:pPr>
              <w:ind w:left="68"/>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10</w:t>
            </w:r>
          </w:p>
        </w:tc>
        <w:tc>
          <w:tcPr>
            <w:tcW w:w="511" w:type="pct"/>
            <w:tcBorders>
              <w:top w:val="nil"/>
              <w:left w:val="nil"/>
              <w:bottom w:val="single" w:sz="4" w:space="0" w:color="auto"/>
              <w:right w:val="single" w:sz="4" w:space="0" w:color="auto"/>
            </w:tcBorders>
            <w:noWrap/>
            <w:vAlign w:val="center"/>
            <w:hideMark/>
          </w:tcPr>
          <w:p w14:paraId="2DE0DD1E" w14:textId="77777777" w:rsidR="009C56EC" w:rsidRPr="00E940CF" w:rsidRDefault="009C56EC" w:rsidP="00C968D4">
            <w:pPr>
              <w:ind w:left="84"/>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0%</w:t>
            </w:r>
          </w:p>
        </w:tc>
        <w:tc>
          <w:tcPr>
            <w:tcW w:w="570" w:type="pct"/>
            <w:tcBorders>
              <w:top w:val="nil"/>
              <w:left w:val="nil"/>
              <w:bottom w:val="single" w:sz="4" w:space="0" w:color="auto"/>
              <w:right w:val="single" w:sz="4" w:space="0" w:color="auto"/>
            </w:tcBorders>
            <w:noWrap/>
            <w:vAlign w:val="center"/>
            <w:hideMark/>
          </w:tcPr>
          <w:p w14:paraId="268F8A36" w14:textId="3475B0F7" w:rsidR="009C56EC" w:rsidRPr="00E940CF" w:rsidRDefault="00924A71" w:rsidP="00C968D4">
            <w:pPr>
              <w:ind w:left="123"/>
              <w:jc w:val="center"/>
              <w:rPr>
                <w:rFonts w:ascii="Aptos" w:hAnsi="Aptos" w:cs="Times New Roman"/>
                <w:color w:val="1F4E79" w:themeColor="accent5" w:themeShade="80"/>
                <w:sz w:val="24"/>
                <w:szCs w:val="24"/>
              </w:rPr>
            </w:pPr>
            <w:r w:rsidRPr="00E940CF">
              <w:rPr>
                <w:rFonts w:ascii="Aptos" w:hAnsi="Aptos" w:cs="Times New Roman"/>
                <w:i/>
                <w:iCs/>
                <w:color w:val="1F4E79" w:themeColor="accent5" w:themeShade="80"/>
                <w:sz w:val="24"/>
                <w:szCs w:val="24"/>
              </w:rPr>
              <w:t>&lt;10</w:t>
            </w:r>
          </w:p>
        </w:tc>
        <w:tc>
          <w:tcPr>
            <w:tcW w:w="511" w:type="pct"/>
            <w:tcBorders>
              <w:top w:val="nil"/>
              <w:left w:val="nil"/>
              <w:bottom w:val="single" w:sz="4" w:space="0" w:color="auto"/>
              <w:right w:val="single" w:sz="4" w:space="0" w:color="auto"/>
            </w:tcBorders>
            <w:noWrap/>
            <w:vAlign w:val="center"/>
            <w:hideMark/>
          </w:tcPr>
          <w:p w14:paraId="6BB609F0" w14:textId="77777777" w:rsidR="009C56EC" w:rsidRPr="00E940CF" w:rsidRDefault="009C56EC" w:rsidP="00C968D4">
            <w:pPr>
              <w:ind w:left="138"/>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0%</w:t>
            </w:r>
          </w:p>
        </w:tc>
      </w:tr>
      <w:tr w:rsidR="009C56EC" w:rsidRPr="00E940CF" w14:paraId="6E2C0F29" w14:textId="77777777" w:rsidTr="00AF7AF9">
        <w:trPr>
          <w:cantSplit/>
          <w:trHeight w:val="315"/>
        </w:trPr>
        <w:tc>
          <w:tcPr>
            <w:tcW w:w="1778" w:type="pct"/>
            <w:tcBorders>
              <w:top w:val="nil"/>
              <w:left w:val="single" w:sz="4" w:space="0" w:color="auto"/>
              <w:bottom w:val="single" w:sz="4" w:space="0" w:color="auto"/>
              <w:right w:val="single" w:sz="4" w:space="0" w:color="auto"/>
            </w:tcBorders>
            <w:noWrap/>
            <w:vAlign w:val="center"/>
            <w:hideMark/>
          </w:tcPr>
          <w:p w14:paraId="6C83ACB2" w14:textId="489A2DC5" w:rsidR="009C56EC" w:rsidRPr="00E940CF" w:rsidRDefault="00A82487" w:rsidP="009C56EC">
            <w:pPr>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Total</w:t>
            </w:r>
          </w:p>
        </w:tc>
        <w:tc>
          <w:tcPr>
            <w:tcW w:w="549" w:type="pct"/>
            <w:tcBorders>
              <w:top w:val="nil"/>
              <w:left w:val="nil"/>
              <w:bottom w:val="single" w:sz="4" w:space="0" w:color="auto"/>
              <w:right w:val="single" w:sz="4" w:space="0" w:color="auto"/>
            </w:tcBorders>
            <w:noWrap/>
            <w:vAlign w:val="center"/>
            <w:hideMark/>
          </w:tcPr>
          <w:p w14:paraId="12851B02" w14:textId="77777777" w:rsidR="009C56EC" w:rsidRPr="00E940CF" w:rsidRDefault="009C56EC" w:rsidP="00C968D4">
            <w:pPr>
              <w:ind w:left="71" w:hanging="25"/>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13,021</w:t>
            </w:r>
          </w:p>
        </w:tc>
        <w:tc>
          <w:tcPr>
            <w:tcW w:w="511" w:type="pct"/>
            <w:tcBorders>
              <w:top w:val="nil"/>
              <w:left w:val="nil"/>
              <w:bottom w:val="single" w:sz="4" w:space="0" w:color="auto"/>
              <w:right w:val="single" w:sz="4" w:space="0" w:color="auto"/>
            </w:tcBorders>
            <w:noWrap/>
            <w:vAlign w:val="center"/>
            <w:hideMark/>
          </w:tcPr>
          <w:p w14:paraId="1769D666" w14:textId="77777777" w:rsidR="009C56EC" w:rsidRPr="00E940CF" w:rsidRDefault="009C56EC" w:rsidP="00C968D4">
            <w:pPr>
              <w:ind w:left="133"/>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100%</w:t>
            </w:r>
          </w:p>
        </w:tc>
        <w:tc>
          <w:tcPr>
            <w:tcW w:w="570" w:type="pct"/>
            <w:tcBorders>
              <w:top w:val="nil"/>
              <w:left w:val="nil"/>
              <w:bottom w:val="single" w:sz="4" w:space="0" w:color="auto"/>
              <w:right w:val="single" w:sz="4" w:space="0" w:color="auto"/>
            </w:tcBorders>
            <w:noWrap/>
            <w:vAlign w:val="center"/>
            <w:hideMark/>
          </w:tcPr>
          <w:p w14:paraId="5252C325" w14:textId="77777777" w:rsidR="009C56EC" w:rsidRPr="00E940CF" w:rsidRDefault="009C56EC" w:rsidP="00C968D4">
            <w:pPr>
              <w:ind w:left="68"/>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14,931</w:t>
            </w:r>
          </w:p>
        </w:tc>
        <w:tc>
          <w:tcPr>
            <w:tcW w:w="511" w:type="pct"/>
            <w:tcBorders>
              <w:top w:val="nil"/>
              <w:left w:val="nil"/>
              <w:bottom w:val="single" w:sz="4" w:space="0" w:color="auto"/>
              <w:right w:val="single" w:sz="4" w:space="0" w:color="auto"/>
            </w:tcBorders>
            <w:noWrap/>
            <w:vAlign w:val="center"/>
            <w:hideMark/>
          </w:tcPr>
          <w:p w14:paraId="4C155635" w14:textId="77777777" w:rsidR="009C56EC" w:rsidRPr="00E940CF" w:rsidRDefault="009C56EC" w:rsidP="00C968D4">
            <w:pPr>
              <w:ind w:left="84"/>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100%</w:t>
            </w:r>
          </w:p>
        </w:tc>
        <w:tc>
          <w:tcPr>
            <w:tcW w:w="570" w:type="pct"/>
            <w:tcBorders>
              <w:top w:val="nil"/>
              <w:left w:val="nil"/>
              <w:bottom w:val="single" w:sz="4" w:space="0" w:color="auto"/>
              <w:right w:val="single" w:sz="4" w:space="0" w:color="auto"/>
            </w:tcBorders>
            <w:noWrap/>
            <w:vAlign w:val="center"/>
            <w:hideMark/>
          </w:tcPr>
          <w:p w14:paraId="6998FB14" w14:textId="77777777" w:rsidR="009C56EC" w:rsidRPr="00E940CF" w:rsidRDefault="009C56EC" w:rsidP="00C968D4">
            <w:pPr>
              <w:ind w:left="123"/>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16,534</w:t>
            </w:r>
          </w:p>
        </w:tc>
        <w:tc>
          <w:tcPr>
            <w:tcW w:w="511" w:type="pct"/>
            <w:tcBorders>
              <w:top w:val="nil"/>
              <w:left w:val="nil"/>
              <w:bottom w:val="single" w:sz="4" w:space="0" w:color="auto"/>
              <w:right w:val="single" w:sz="4" w:space="0" w:color="auto"/>
            </w:tcBorders>
            <w:noWrap/>
            <w:vAlign w:val="center"/>
            <w:hideMark/>
          </w:tcPr>
          <w:p w14:paraId="2CE52793" w14:textId="77777777" w:rsidR="009C56EC" w:rsidRPr="00E940CF" w:rsidRDefault="009C56EC" w:rsidP="00C968D4">
            <w:pPr>
              <w:ind w:left="138"/>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100%</w:t>
            </w:r>
          </w:p>
        </w:tc>
      </w:tr>
    </w:tbl>
    <w:p w14:paraId="2B4E9327" w14:textId="77777777" w:rsidR="009C56EC" w:rsidRPr="00E940CF" w:rsidRDefault="009C56EC" w:rsidP="009C56EC">
      <w:pPr>
        <w:ind w:left="360"/>
        <w:rPr>
          <w:rFonts w:ascii="Aptos" w:hAnsi="Aptos" w:cs="Times New Roman"/>
          <w:b/>
          <w:bCs/>
          <w:color w:val="1F4E79" w:themeColor="accent5" w:themeShade="80"/>
          <w:sz w:val="24"/>
          <w:szCs w:val="24"/>
        </w:rPr>
      </w:pPr>
    </w:p>
    <w:p w14:paraId="66570096" w14:textId="4B9A0441" w:rsidR="009C56EC" w:rsidRPr="00E940CF" w:rsidRDefault="009C56EC" w:rsidP="00ED38EC">
      <w:pPr>
        <w:keepNext/>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u w:val="single"/>
        </w:rPr>
        <w:t>Table 4a.</w:t>
      </w:r>
      <w:r w:rsidRPr="00E940CF">
        <w:rPr>
          <w:rFonts w:ascii="Aptos" w:hAnsi="Aptos" w:cs="Times New Roman"/>
          <w:b/>
          <w:bCs/>
          <w:color w:val="1F4E79" w:themeColor="accent5" w:themeShade="80"/>
          <w:sz w:val="24"/>
          <w:szCs w:val="24"/>
        </w:rPr>
        <w:t xml:space="preserve"> Southcoast Health Oncology</w:t>
      </w:r>
      <w:r w:rsidR="007E43A0" w:rsidRPr="00E940CF">
        <w:rPr>
          <w:rFonts w:ascii="Aptos" w:hAnsi="Aptos" w:cs="Times New Roman"/>
          <w:b/>
          <w:bCs/>
          <w:color w:val="1F4E79" w:themeColor="accent5" w:themeShade="80"/>
          <w:sz w:val="24"/>
          <w:szCs w:val="24"/>
        </w:rPr>
        <w:t>:</w:t>
      </w:r>
      <w:r w:rsidRPr="00E940CF">
        <w:rPr>
          <w:rFonts w:ascii="Aptos" w:hAnsi="Aptos" w:cs="Times New Roman"/>
          <w:b/>
          <w:bCs/>
          <w:color w:val="1F4E79" w:themeColor="accent5" w:themeShade="80"/>
          <w:sz w:val="24"/>
          <w:szCs w:val="24"/>
        </w:rPr>
        <w:t xml:space="preserve"> F</w:t>
      </w:r>
      <w:r w:rsidR="007E43A0" w:rsidRPr="00E940CF">
        <w:rPr>
          <w:rFonts w:ascii="Aptos" w:hAnsi="Aptos" w:cs="Times New Roman"/>
          <w:b/>
          <w:bCs/>
          <w:color w:val="1F4E79" w:themeColor="accent5" w:themeShade="80"/>
          <w:sz w:val="24"/>
          <w:szCs w:val="24"/>
        </w:rPr>
        <w:t>iscal Year 20</w:t>
      </w:r>
      <w:r w:rsidRPr="00E940CF">
        <w:rPr>
          <w:rFonts w:ascii="Aptos" w:hAnsi="Aptos" w:cs="Times New Roman"/>
          <w:b/>
          <w:bCs/>
          <w:color w:val="1F4E79" w:themeColor="accent5" w:themeShade="80"/>
          <w:sz w:val="24"/>
          <w:szCs w:val="24"/>
        </w:rPr>
        <w:t>23</w:t>
      </w:r>
      <w:r w:rsidR="007E43A0" w:rsidRPr="00E940CF">
        <w:rPr>
          <w:rFonts w:ascii="Aptos" w:hAnsi="Aptos" w:cs="Times New Roman"/>
          <w:b/>
          <w:bCs/>
          <w:color w:val="1F4E79" w:themeColor="accent5" w:themeShade="80"/>
          <w:sz w:val="24"/>
          <w:szCs w:val="24"/>
        </w:rPr>
        <w:t xml:space="preserve"> – </w:t>
      </w:r>
      <w:r w:rsidRPr="00E940CF">
        <w:rPr>
          <w:rFonts w:ascii="Aptos" w:hAnsi="Aptos" w:cs="Times New Roman"/>
          <w:b/>
          <w:bCs/>
          <w:color w:val="1F4E79" w:themeColor="accent5" w:themeShade="80"/>
          <w:sz w:val="24"/>
          <w:szCs w:val="24"/>
        </w:rPr>
        <w:t>F</w:t>
      </w:r>
      <w:r w:rsidR="007E43A0" w:rsidRPr="00E940CF">
        <w:rPr>
          <w:rFonts w:ascii="Aptos" w:hAnsi="Aptos" w:cs="Times New Roman"/>
          <w:b/>
          <w:bCs/>
          <w:color w:val="1F4E79" w:themeColor="accent5" w:themeShade="80"/>
          <w:sz w:val="24"/>
          <w:szCs w:val="24"/>
        </w:rPr>
        <w:t>iscal Year 20</w:t>
      </w:r>
      <w:r w:rsidRPr="00E940CF">
        <w:rPr>
          <w:rFonts w:ascii="Aptos" w:hAnsi="Aptos" w:cs="Times New Roman"/>
          <w:b/>
          <w:bCs/>
          <w:color w:val="1F4E79" w:themeColor="accent5" w:themeShade="80"/>
          <w:sz w:val="24"/>
          <w:szCs w:val="24"/>
        </w:rPr>
        <w:t>25 Patient Panel by Ethnicity</w:t>
      </w:r>
    </w:p>
    <w:tbl>
      <w:tblPr>
        <w:tblW w:w="5000" w:type="pct"/>
        <w:tblLook w:val="04A0" w:firstRow="1" w:lastRow="0" w:firstColumn="1" w:lastColumn="0" w:noHBand="0" w:noVBand="1"/>
        <w:tblCaption w:val="Fiscal Year 2023 – Fiscal Year 2025 Patient Panel by Ethnicity"/>
      </w:tblPr>
      <w:tblGrid>
        <w:gridCol w:w="3542"/>
        <w:gridCol w:w="1606"/>
        <w:gridCol w:w="1702"/>
        <w:gridCol w:w="1435"/>
        <w:gridCol w:w="1531"/>
        <w:gridCol w:w="1606"/>
        <w:gridCol w:w="1528"/>
      </w:tblGrid>
      <w:tr w:rsidR="009C56EC" w:rsidRPr="00E940CF" w14:paraId="001D19CC" w14:textId="77777777" w:rsidTr="006848CD">
        <w:trPr>
          <w:cantSplit/>
          <w:trHeight w:val="615"/>
          <w:tblHeader/>
        </w:trPr>
        <w:tc>
          <w:tcPr>
            <w:tcW w:w="1368" w:type="pct"/>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32BE7899" w14:textId="77777777" w:rsidR="009C56EC" w:rsidRPr="00E940CF" w:rsidRDefault="009C56EC" w:rsidP="009C56EC">
            <w:pPr>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Ethnicity</w:t>
            </w:r>
          </w:p>
        </w:tc>
        <w:tc>
          <w:tcPr>
            <w:tcW w:w="620" w:type="pct"/>
            <w:tcBorders>
              <w:top w:val="single" w:sz="4" w:space="0" w:color="auto"/>
              <w:left w:val="nil"/>
              <w:bottom w:val="single" w:sz="4" w:space="0" w:color="auto"/>
              <w:right w:val="single" w:sz="4" w:space="0" w:color="auto"/>
            </w:tcBorders>
            <w:shd w:val="clear" w:color="auto" w:fill="D9E1F2"/>
            <w:vAlign w:val="center"/>
            <w:hideMark/>
          </w:tcPr>
          <w:p w14:paraId="50255F6C" w14:textId="6B9BF669" w:rsidR="009C56EC" w:rsidRPr="00E940CF" w:rsidRDefault="009C56EC" w:rsidP="00C968D4">
            <w:pPr>
              <w:ind w:left="71"/>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FY23</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(Count)</w:t>
            </w:r>
          </w:p>
        </w:tc>
        <w:tc>
          <w:tcPr>
            <w:tcW w:w="657" w:type="pct"/>
            <w:tcBorders>
              <w:top w:val="single" w:sz="4" w:space="0" w:color="auto"/>
              <w:left w:val="nil"/>
              <w:bottom w:val="single" w:sz="4" w:space="0" w:color="auto"/>
              <w:right w:val="single" w:sz="4" w:space="0" w:color="auto"/>
            </w:tcBorders>
            <w:shd w:val="clear" w:color="auto" w:fill="D9E1F2"/>
            <w:vAlign w:val="center"/>
            <w:hideMark/>
          </w:tcPr>
          <w:p w14:paraId="44CA83E8" w14:textId="7CC5D5D7" w:rsidR="009C56EC" w:rsidRPr="00E940CF" w:rsidRDefault="009C56EC" w:rsidP="00C968D4">
            <w:pPr>
              <w:ind w:left="71"/>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FY23</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w:t>
            </w:r>
            <w:r w:rsidR="00030C1E">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Total</w:t>
            </w:r>
            <w:r w:rsidRPr="00E940CF">
              <w:rPr>
                <w:rFonts w:ascii="Aptos" w:hAnsi="Aptos" w:cs="Times New Roman"/>
                <w:b/>
                <w:bCs/>
                <w:color w:val="1F4E79" w:themeColor="accent5" w:themeShade="80"/>
                <w:sz w:val="24"/>
                <w:szCs w:val="24"/>
              </w:rPr>
              <w:t>)</w:t>
            </w:r>
          </w:p>
        </w:tc>
        <w:tc>
          <w:tcPr>
            <w:tcW w:w="554" w:type="pct"/>
            <w:tcBorders>
              <w:top w:val="single" w:sz="4" w:space="0" w:color="auto"/>
              <w:left w:val="nil"/>
              <w:bottom w:val="single" w:sz="4" w:space="0" w:color="auto"/>
              <w:right w:val="single" w:sz="4" w:space="0" w:color="auto"/>
            </w:tcBorders>
            <w:shd w:val="clear" w:color="auto" w:fill="D9E1F2"/>
            <w:vAlign w:val="center"/>
            <w:hideMark/>
          </w:tcPr>
          <w:p w14:paraId="283334AC" w14:textId="6786BF57" w:rsidR="009C56EC" w:rsidRPr="00E940CF" w:rsidRDefault="009C56EC" w:rsidP="00C968D4">
            <w:pPr>
              <w:ind w:left="71"/>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FY24</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(Count)</w:t>
            </w:r>
          </w:p>
        </w:tc>
        <w:tc>
          <w:tcPr>
            <w:tcW w:w="591" w:type="pct"/>
            <w:tcBorders>
              <w:top w:val="single" w:sz="4" w:space="0" w:color="auto"/>
              <w:left w:val="nil"/>
              <w:bottom w:val="single" w:sz="4" w:space="0" w:color="auto"/>
              <w:right w:val="single" w:sz="4" w:space="0" w:color="auto"/>
            </w:tcBorders>
            <w:shd w:val="clear" w:color="auto" w:fill="D9E1F2"/>
            <w:vAlign w:val="center"/>
            <w:hideMark/>
          </w:tcPr>
          <w:p w14:paraId="4F7878B5" w14:textId="1EB39CBF" w:rsidR="009C56EC" w:rsidRPr="00E940CF" w:rsidRDefault="009C56EC" w:rsidP="00C968D4">
            <w:pPr>
              <w:ind w:left="71"/>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FY24</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w:t>
            </w:r>
            <w:r w:rsidR="00030C1E">
              <w:rPr>
                <w:rFonts w:ascii="Aptos" w:eastAsia="Times New Roman" w:hAnsi="Aptos" w:cs="Times New Roman"/>
                <w:color w:val="1F4E79" w:themeColor="accent5" w:themeShade="80"/>
                <w:sz w:val="24"/>
                <w:szCs w:val="24"/>
              </w:rPr>
              <w:t>percent</w:t>
            </w:r>
            <w:r w:rsidR="0016742F" w:rsidRPr="00E940CF">
              <w:rPr>
                <w:rFonts w:ascii="Aptos" w:hAnsi="Aptos" w:cs="Times New Roman"/>
                <w:color w:val="1F4E79" w:themeColor="accent5" w:themeShade="80"/>
                <w:sz w:val="24"/>
                <w:szCs w:val="24"/>
              </w:rPr>
              <w:t xml:space="preserve"> </w:t>
            </w:r>
            <w:r w:rsidRPr="00E940CF">
              <w:rPr>
                <w:rFonts w:ascii="Aptos" w:hAnsi="Aptos" w:cs="Times New Roman"/>
                <w:color w:val="1F4E79" w:themeColor="accent5" w:themeShade="80"/>
                <w:sz w:val="24"/>
                <w:szCs w:val="24"/>
              </w:rPr>
              <w:t>Total</w:t>
            </w:r>
            <w:r w:rsidRPr="00E940CF">
              <w:rPr>
                <w:rFonts w:ascii="Aptos" w:hAnsi="Aptos" w:cs="Times New Roman"/>
                <w:b/>
                <w:bCs/>
                <w:color w:val="1F4E79" w:themeColor="accent5" w:themeShade="80"/>
                <w:sz w:val="24"/>
                <w:szCs w:val="24"/>
              </w:rPr>
              <w:t>)</w:t>
            </w:r>
          </w:p>
        </w:tc>
        <w:tc>
          <w:tcPr>
            <w:tcW w:w="620" w:type="pct"/>
            <w:tcBorders>
              <w:top w:val="single" w:sz="4" w:space="0" w:color="auto"/>
              <w:left w:val="nil"/>
              <w:bottom w:val="single" w:sz="4" w:space="0" w:color="auto"/>
              <w:right w:val="single" w:sz="4" w:space="0" w:color="auto"/>
            </w:tcBorders>
            <w:shd w:val="clear" w:color="auto" w:fill="D9E1F2"/>
            <w:vAlign w:val="center"/>
            <w:hideMark/>
          </w:tcPr>
          <w:p w14:paraId="5BBBA9DE" w14:textId="08F92097" w:rsidR="009C56EC" w:rsidRPr="00E940CF" w:rsidRDefault="009C56EC" w:rsidP="00C968D4">
            <w:pPr>
              <w:ind w:left="71" w:firstLine="28"/>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FY25</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(Count)</w:t>
            </w:r>
          </w:p>
        </w:tc>
        <w:tc>
          <w:tcPr>
            <w:tcW w:w="591" w:type="pct"/>
            <w:tcBorders>
              <w:top w:val="single" w:sz="4" w:space="0" w:color="auto"/>
              <w:left w:val="nil"/>
              <w:bottom w:val="single" w:sz="4" w:space="0" w:color="auto"/>
              <w:right w:val="single" w:sz="4" w:space="0" w:color="auto"/>
            </w:tcBorders>
            <w:shd w:val="clear" w:color="auto" w:fill="D9E1F2"/>
            <w:vAlign w:val="center"/>
            <w:hideMark/>
          </w:tcPr>
          <w:p w14:paraId="49709BFD" w14:textId="35828AF7" w:rsidR="009C56EC" w:rsidRPr="00E940CF" w:rsidRDefault="009C56EC" w:rsidP="00C968D4">
            <w:pPr>
              <w:ind w:left="71"/>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FY25</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w:t>
            </w:r>
            <w:r w:rsidR="00030C1E">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Total)</w:t>
            </w:r>
          </w:p>
        </w:tc>
      </w:tr>
      <w:tr w:rsidR="009C56EC" w:rsidRPr="00E940CF" w14:paraId="541A611D" w14:textId="77777777" w:rsidTr="006848CD">
        <w:trPr>
          <w:cantSplit/>
          <w:trHeight w:val="300"/>
        </w:trPr>
        <w:tc>
          <w:tcPr>
            <w:tcW w:w="1368" w:type="pct"/>
            <w:tcBorders>
              <w:top w:val="nil"/>
              <w:left w:val="single" w:sz="4" w:space="0" w:color="auto"/>
              <w:bottom w:val="single" w:sz="4" w:space="0" w:color="auto"/>
              <w:right w:val="single" w:sz="4" w:space="0" w:color="auto"/>
            </w:tcBorders>
            <w:noWrap/>
            <w:vAlign w:val="center"/>
            <w:hideMark/>
          </w:tcPr>
          <w:p w14:paraId="77735543" w14:textId="77777777" w:rsidR="009C56EC" w:rsidRPr="00E940CF" w:rsidRDefault="009C56EC" w:rsidP="009C56EC">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Not Hispanic or Latino</w:t>
            </w:r>
          </w:p>
        </w:tc>
        <w:tc>
          <w:tcPr>
            <w:tcW w:w="620" w:type="pct"/>
            <w:tcBorders>
              <w:top w:val="nil"/>
              <w:left w:val="nil"/>
              <w:bottom w:val="single" w:sz="4" w:space="0" w:color="auto"/>
              <w:right w:val="single" w:sz="4" w:space="0" w:color="auto"/>
            </w:tcBorders>
            <w:noWrap/>
            <w:vAlign w:val="center"/>
            <w:hideMark/>
          </w:tcPr>
          <w:p w14:paraId="1E9AE75A" w14:textId="77777777" w:rsidR="009C56EC" w:rsidRPr="00E940CF" w:rsidRDefault="009C56EC" w:rsidP="0016742F">
            <w:pPr>
              <w:ind w:left="71"/>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9,703</w:t>
            </w:r>
          </w:p>
        </w:tc>
        <w:tc>
          <w:tcPr>
            <w:tcW w:w="657" w:type="pct"/>
            <w:tcBorders>
              <w:top w:val="nil"/>
              <w:left w:val="nil"/>
              <w:bottom w:val="single" w:sz="4" w:space="0" w:color="auto"/>
              <w:right w:val="single" w:sz="4" w:space="0" w:color="auto"/>
            </w:tcBorders>
            <w:noWrap/>
            <w:vAlign w:val="center"/>
            <w:hideMark/>
          </w:tcPr>
          <w:p w14:paraId="37AA1ADF" w14:textId="77777777" w:rsidR="009C56EC" w:rsidRPr="00E940CF" w:rsidRDefault="009C56EC" w:rsidP="0016742F">
            <w:pPr>
              <w:ind w:left="360"/>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75%</w:t>
            </w:r>
          </w:p>
        </w:tc>
        <w:tc>
          <w:tcPr>
            <w:tcW w:w="554" w:type="pct"/>
            <w:tcBorders>
              <w:top w:val="nil"/>
              <w:left w:val="nil"/>
              <w:bottom w:val="single" w:sz="4" w:space="0" w:color="auto"/>
              <w:right w:val="single" w:sz="4" w:space="0" w:color="auto"/>
            </w:tcBorders>
            <w:noWrap/>
            <w:vAlign w:val="center"/>
            <w:hideMark/>
          </w:tcPr>
          <w:p w14:paraId="13D5B92D" w14:textId="77777777" w:rsidR="009C56EC" w:rsidRPr="00E940CF" w:rsidRDefault="009C56EC" w:rsidP="0016742F">
            <w:pPr>
              <w:ind w:left="360"/>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12,005</w:t>
            </w:r>
          </w:p>
        </w:tc>
        <w:tc>
          <w:tcPr>
            <w:tcW w:w="591" w:type="pct"/>
            <w:tcBorders>
              <w:top w:val="nil"/>
              <w:left w:val="nil"/>
              <w:bottom w:val="single" w:sz="4" w:space="0" w:color="auto"/>
              <w:right w:val="single" w:sz="4" w:space="0" w:color="auto"/>
            </w:tcBorders>
            <w:noWrap/>
            <w:vAlign w:val="center"/>
            <w:hideMark/>
          </w:tcPr>
          <w:p w14:paraId="092DB6DD" w14:textId="77777777" w:rsidR="009C56EC" w:rsidRPr="00E940CF" w:rsidRDefault="009C56EC" w:rsidP="0016742F">
            <w:pPr>
              <w:ind w:left="360"/>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80%</w:t>
            </w:r>
          </w:p>
        </w:tc>
        <w:tc>
          <w:tcPr>
            <w:tcW w:w="620" w:type="pct"/>
            <w:tcBorders>
              <w:top w:val="nil"/>
              <w:left w:val="nil"/>
              <w:bottom w:val="single" w:sz="4" w:space="0" w:color="auto"/>
              <w:right w:val="single" w:sz="4" w:space="0" w:color="auto"/>
            </w:tcBorders>
            <w:noWrap/>
            <w:vAlign w:val="center"/>
            <w:hideMark/>
          </w:tcPr>
          <w:p w14:paraId="39CCE2A6" w14:textId="77777777" w:rsidR="009C56EC" w:rsidRPr="00E940CF" w:rsidRDefault="009C56EC" w:rsidP="0016742F">
            <w:pPr>
              <w:ind w:left="360"/>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13,446</w:t>
            </w:r>
          </w:p>
        </w:tc>
        <w:tc>
          <w:tcPr>
            <w:tcW w:w="591" w:type="pct"/>
            <w:tcBorders>
              <w:top w:val="nil"/>
              <w:left w:val="nil"/>
              <w:bottom w:val="single" w:sz="4" w:space="0" w:color="auto"/>
              <w:right w:val="single" w:sz="4" w:space="0" w:color="auto"/>
            </w:tcBorders>
            <w:noWrap/>
            <w:vAlign w:val="center"/>
            <w:hideMark/>
          </w:tcPr>
          <w:p w14:paraId="041FD426" w14:textId="77777777" w:rsidR="009C56EC" w:rsidRPr="00E940CF" w:rsidRDefault="009C56EC" w:rsidP="0016742F">
            <w:pPr>
              <w:ind w:left="360"/>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81%</w:t>
            </w:r>
          </w:p>
        </w:tc>
      </w:tr>
      <w:tr w:rsidR="009C56EC" w:rsidRPr="00E940CF" w14:paraId="0DF5E2BF" w14:textId="77777777" w:rsidTr="006848CD">
        <w:trPr>
          <w:cantSplit/>
          <w:trHeight w:val="300"/>
        </w:trPr>
        <w:tc>
          <w:tcPr>
            <w:tcW w:w="1368" w:type="pct"/>
            <w:tcBorders>
              <w:top w:val="nil"/>
              <w:left w:val="single" w:sz="4" w:space="0" w:color="auto"/>
              <w:bottom w:val="single" w:sz="4" w:space="0" w:color="auto"/>
              <w:right w:val="single" w:sz="4" w:space="0" w:color="auto"/>
            </w:tcBorders>
            <w:noWrap/>
            <w:vAlign w:val="center"/>
            <w:hideMark/>
          </w:tcPr>
          <w:p w14:paraId="130C6EED" w14:textId="77777777" w:rsidR="009C56EC" w:rsidRPr="00E940CF" w:rsidRDefault="009C56EC" w:rsidP="009C56EC">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Unknown</w:t>
            </w:r>
          </w:p>
        </w:tc>
        <w:tc>
          <w:tcPr>
            <w:tcW w:w="620" w:type="pct"/>
            <w:tcBorders>
              <w:top w:val="nil"/>
              <w:left w:val="nil"/>
              <w:bottom w:val="single" w:sz="4" w:space="0" w:color="auto"/>
              <w:right w:val="single" w:sz="4" w:space="0" w:color="auto"/>
            </w:tcBorders>
            <w:noWrap/>
            <w:vAlign w:val="center"/>
            <w:hideMark/>
          </w:tcPr>
          <w:p w14:paraId="5F084852" w14:textId="77777777" w:rsidR="009C56EC" w:rsidRPr="00E940CF" w:rsidRDefault="009C56EC" w:rsidP="0016742F">
            <w:pPr>
              <w:ind w:left="71"/>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1,693</w:t>
            </w:r>
          </w:p>
        </w:tc>
        <w:tc>
          <w:tcPr>
            <w:tcW w:w="657" w:type="pct"/>
            <w:tcBorders>
              <w:top w:val="nil"/>
              <w:left w:val="nil"/>
              <w:bottom w:val="single" w:sz="4" w:space="0" w:color="auto"/>
              <w:right w:val="single" w:sz="4" w:space="0" w:color="auto"/>
            </w:tcBorders>
            <w:noWrap/>
            <w:vAlign w:val="center"/>
            <w:hideMark/>
          </w:tcPr>
          <w:p w14:paraId="5BCB63E7" w14:textId="77777777" w:rsidR="009C56EC" w:rsidRPr="00E940CF" w:rsidRDefault="009C56EC" w:rsidP="0016742F">
            <w:pPr>
              <w:ind w:left="360"/>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13%</w:t>
            </w:r>
          </w:p>
        </w:tc>
        <w:tc>
          <w:tcPr>
            <w:tcW w:w="554" w:type="pct"/>
            <w:tcBorders>
              <w:top w:val="nil"/>
              <w:left w:val="nil"/>
              <w:bottom w:val="single" w:sz="4" w:space="0" w:color="auto"/>
              <w:right w:val="single" w:sz="4" w:space="0" w:color="auto"/>
            </w:tcBorders>
            <w:noWrap/>
            <w:vAlign w:val="center"/>
            <w:hideMark/>
          </w:tcPr>
          <w:p w14:paraId="24C48743" w14:textId="77777777" w:rsidR="009C56EC" w:rsidRPr="00E940CF" w:rsidRDefault="009C56EC" w:rsidP="0016742F">
            <w:pPr>
              <w:ind w:left="360"/>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891</w:t>
            </w:r>
          </w:p>
        </w:tc>
        <w:tc>
          <w:tcPr>
            <w:tcW w:w="591" w:type="pct"/>
            <w:tcBorders>
              <w:top w:val="nil"/>
              <w:left w:val="nil"/>
              <w:bottom w:val="single" w:sz="4" w:space="0" w:color="auto"/>
              <w:right w:val="single" w:sz="4" w:space="0" w:color="auto"/>
            </w:tcBorders>
            <w:noWrap/>
            <w:vAlign w:val="center"/>
            <w:hideMark/>
          </w:tcPr>
          <w:p w14:paraId="2285CFDC" w14:textId="77777777" w:rsidR="009C56EC" w:rsidRPr="00E940CF" w:rsidRDefault="009C56EC" w:rsidP="0016742F">
            <w:pPr>
              <w:ind w:left="360"/>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w:t>
            </w:r>
          </w:p>
        </w:tc>
        <w:tc>
          <w:tcPr>
            <w:tcW w:w="620" w:type="pct"/>
            <w:tcBorders>
              <w:top w:val="nil"/>
              <w:left w:val="nil"/>
              <w:bottom w:val="single" w:sz="4" w:space="0" w:color="auto"/>
              <w:right w:val="single" w:sz="4" w:space="0" w:color="auto"/>
            </w:tcBorders>
            <w:noWrap/>
            <w:vAlign w:val="center"/>
            <w:hideMark/>
          </w:tcPr>
          <w:p w14:paraId="0283FF72" w14:textId="77777777" w:rsidR="009C56EC" w:rsidRPr="00E940CF" w:rsidRDefault="009C56EC" w:rsidP="0016742F">
            <w:pPr>
              <w:ind w:left="360"/>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802</w:t>
            </w:r>
          </w:p>
        </w:tc>
        <w:tc>
          <w:tcPr>
            <w:tcW w:w="591" w:type="pct"/>
            <w:tcBorders>
              <w:top w:val="nil"/>
              <w:left w:val="nil"/>
              <w:bottom w:val="single" w:sz="4" w:space="0" w:color="auto"/>
              <w:right w:val="single" w:sz="4" w:space="0" w:color="auto"/>
            </w:tcBorders>
            <w:noWrap/>
            <w:vAlign w:val="center"/>
            <w:hideMark/>
          </w:tcPr>
          <w:p w14:paraId="1CEB67B2" w14:textId="77777777" w:rsidR="009C56EC" w:rsidRPr="00E940CF" w:rsidRDefault="009C56EC" w:rsidP="0016742F">
            <w:pPr>
              <w:ind w:left="360"/>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w:t>
            </w:r>
          </w:p>
        </w:tc>
      </w:tr>
      <w:tr w:rsidR="009C56EC" w:rsidRPr="00E940CF" w14:paraId="12A507C7" w14:textId="77777777" w:rsidTr="006848CD">
        <w:trPr>
          <w:cantSplit/>
          <w:trHeight w:val="300"/>
        </w:trPr>
        <w:tc>
          <w:tcPr>
            <w:tcW w:w="1368" w:type="pct"/>
            <w:tcBorders>
              <w:top w:val="nil"/>
              <w:left w:val="single" w:sz="4" w:space="0" w:color="auto"/>
              <w:bottom w:val="single" w:sz="4" w:space="0" w:color="auto"/>
              <w:right w:val="single" w:sz="4" w:space="0" w:color="auto"/>
            </w:tcBorders>
            <w:noWrap/>
            <w:vAlign w:val="center"/>
            <w:hideMark/>
          </w:tcPr>
          <w:p w14:paraId="2D088404" w14:textId="77777777" w:rsidR="009C56EC" w:rsidRPr="00E940CF" w:rsidRDefault="009C56EC" w:rsidP="009C56EC">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Asked but No Answer</w:t>
            </w:r>
          </w:p>
        </w:tc>
        <w:tc>
          <w:tcPr>
            <w:tcW w:w="620" w:type="pct"/>
            <w:tcBorders>
              <w:top w:val="nil"/>
              <w:left w:val="nil"/>
              <w:bottom w:val="single" w:sz="4" w:space="0" w:color="auto"/>
              <w:right w:val="single" w:sz="4" w:space="0" w:color="auto"/>
            </w:tcBorders>
            <w:noWrap/>
            <w:vAlign w:val="center"/>
            <w:hideMark/>
          </w:tcPr>
          <w:p w14:paraId="3ABD63FF" w14:textId="77777777" w:rsidR="009C56EC" w:rsidRPr="00E940CF" w:rsidRDefault="009C56EC" w:rsidP="0016742F">
            <w:pPr>
              <w:ind w:left="71"/>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869</w:t>
            </w:r>
          </w:p>
        </w:tc>
        <w:tc>
          <w:tcPr>
            <w:tcW w:w="657" w:type="pct"/>
            <w:tcBorders>
              <w:top w:val="nil"/>
              <w:left w:val="nil"/>
              <w:bottom w:val="single" w:sz="4" w:space="0" w:color="auto"/>
              <w:right w:val="single" w:sz="4" w:space="0" w:color="auto"/>
            </w:tcBorders>
            <w:noWrap/>
            <w:vAlign w:val="center"/>
            <w:hideMark/>
          </w:tcPr>
          <w:p w14:paraId="0EB1FF9D" w14:textId="77777777" w:rsidR="009C56EC" w:rsidRPr="00E940CF" w:rsidRDefault="009C56EC" w:rsidP="0016742F">
            <w:pPr>
              <w:ind w:left="360"/>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w:t>
            </w:r>
          </w:p>
        </w:tc>
        <w:tc>
          <w:tcPr>
            <w:tcW w:w="554" w:type="pct"/>
            <w:tcBorders>
              <w:top w:val="nil"/>
              <w:left w:val="nil"/>
              <w:bottom w:val="single" w:sz="4" w:space="0" w:color="auto"/>
              <w:right w:val="single" w:sz="4" w:space="0" w:color="auto"/>
            </w:tcBorders>
            <w:noWrap/>
            <w:vAlign w:val="center"/>
            <w:hideMark/>
          </w:tcPr>
          <w:p w14:paraId="5DA7D292" w14:textId="77777777" w:rsidR="009C56EC" w:rsidRPr="00E940CF" w:rsidRDefault="009C56EC" w:rsidP="0016742F">
            <w:pPr>
              <w:ind w:left="360"/>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1,025</w:t>
            </w:r>
          </w:p>
        </w:tc>
        <w:tc>
          <w:tcPr>
            <w:tcW w:w="591" w:type="pct"/>
            <w:tcBorders>
              <w:top w:val="nil"/>
              <w:left w:val="nil"/>
              <w:bottom w:val="single" w:sz="4" w:space="0" w:color="auto"/>
              <w:right w:val="single" w:sz="4" w:space="0" w:color="auto"/>
            </w:tcBorders>
            <w:noWrap/>
            <w:vAlign w:val="center"/>
            <w:hideMark/>
          </w:tcPr>
          <w:p w14:paraId="0A460F26" w14:textId="77777777" w:rsidR="009C56EC" w:rsidRPr="00E940CF" w:rsidRDefault="009C56EC" w:rsidP="0016742F">
            <w:pPr>
              <w:ind w:left="360"/>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w:t>
            </w:r>
          </w:p>
        </w:tc>
        <w:tc>
          <w:tcPr>
            <w:tcW w:w="620" w:type="pct"/>
            <w:tcBorders>
              <w:top w:val="nil"/>
              <w:left w:val="nil"/>
              <w:bottom w:val="single" w:sz="4" w:space="0" w:color="auto"/>
              <w:right w:val="single" w:sz="4" w:space="0" w:color="auto"/>
            </w:tcBorders>
            <w:noWrap/>
            <w:vAlign w:val="center"/>
            <w:hideMark/>
          </w:tcPr>
          <w:p w14:paraId="3CBFCBB1" w14:textId="77777777" w:rsidR="009C56EC" w:rsidRPr="00E940CF" w:rsidRDefault="009C56EC" w:rsidP="0016742F">
            <w:pPr>
              <w:ind w:left="360"/>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1,142</w:t>
            </w:r>
          </w:p>
        </w:tc>
        <w:tc>
          <w:tcPr>
            <w:tcW w:w="591" w:type="pct"/>
            <w:tcBorders>
              <w:top w:val="nil"/>
              <w:left w:val="nil"/>
              <w:bottom w:val="single" w:sz="4" w:space="0" w:color="auto"/>
              <w:right w:val="single" w:sz="4" w:space="0" w:color="auto"/>
            </w:tcBorders>
            <w:noWrap/>
            <w:vAlign w:val="center"/>
            <w:hideMark/>
          </w:tcPr>
          <w:p w14:paraId="24F6298F" w14:textId="77777777" w:rsidR="009C56EC" w:rsidRPr="00E940CF" w:rsidRDefault="009C56EC" w:rsidP="0016742F">
            <w:pPr>
              <w:ind w:left="360"/>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w:t>
            </w:r>
          </w:p>
        </w:tc>
      </w:tr>
      <w:tr w:rsidR="009C56EC" w:rsidRPr="00E940CF" w14:paraId="747E51B9" w14:textId="77777777" w:rsidTr="006848CD">
        <w:trPr>
          <w:cantSplit/>
          <w:trHeight w:val="300"/>
        </w:trPr>
        <w:tc>
          <w:tcPr>
            <w:tcW w:w="1368" w:type="pct"/>
            <w:tcBorders>
              <w:top w:val="nil"/>
              <w:left w:val="single" w:sz="4" w:space="0" w:color="auto"/>
              <w:bottom w:val="single" w:sz="4" w:space="0" w:color="auto"/>
              <w:right w:val="single" w:sz="4" w:space="0" w:color="auto"/>
            </w:tcBorders>
            <w:noWrap/>
            <w:vAlign w:val="center"/>
            <w:hideMark/>
          </w:tcPr>
          <w:p w14:paraId="602812F1" w14:textId="77777777" w:rsidR="009C56EC" w:rsidRPr="00E940CF" w:rsidRDefault="009C56EC" w:rsidP="009C56EC">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lastRenderedPageBreak/>
              <w:t>Hispanic or Latino</w:t>
            </w:r>
          </w:p>
        </w:tc>
        <w:tc>
          <w:tcPr>
            <w:tcW w:w="620" w:type="pct"/>
            <w:tcBorders>
              <w:top w:val="nil"/>
              <w:left w:val="nil"/>
              <w:bottom w:val="single" w:sz="4" w:space="0" w:color="auto"/>
              <w:right w:val="single" w:sz="4" w:space="0" w:color="auto"/>
            </w:tcBorders>
            <w:noWrap/>
            <w:vAlign w:val="center"/>
            <w:hideMark/>
          </w:tcPr>
          <w:p w14:paraId="7C6B837C" w14:textId="77777777" w:rsidR="009C56EC" w:rsidRPr="00E940CF" w:rsidRDefault="009C56EC" w:rsidP="0016742F">
            <w:pPr>
              <w:ind w:left="71"/>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756</w:t>
            </w:r>
          </w:p>
        </w:tc>
        <w:tc>
          <w:tcPr>
            <w:tcW w:w="657" w:type="pct"/>
            <w:tcBorders>
              <w:top w:val="nil"/>
              <w:left w:val="nil"/>
              <w:bottom w:val="single" w:sz="4" w:space="0" w:color="auto"/>
              <w:right w:val="single" w:sz="4" w:space="0" w:color="auto"/>
            </w:tcBorders>
            <w:noWrap/>
            <w:vAlign w:val="center"/>
            <w:hideMark/>
          </w:tcPr>
          <w:p w14:paraId="43A02761" w14:textId="77777777" w:rsidR="009C56EC" w:rsidRPr="00E940CF" w:rsidRDefault="009C56EC" w:rsidP="0016742F">
            <w:pPr>
              <w:ind w:left="360"/>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w:t>
            </w:r>
          </w:p>
        </w:tc>
        <w:tc>
          <w:tcPr>
            <w:tcW w:w="554" w:type="pct"/>
            <w:tcBorders>
              <w:top w:val="nil"/>
              <w:left w:val="nil"/>
              <w:bottom w:val="single" w:sz="4" w:space="0" w:color="auto"/>
              <w:right w:val="single" w:sz="4" w:space="0" w:color="auto"/>
            </w:tcBorders>
            <w:noWrap/>
            <w:vAlign w:val="center"/>
            <w:hideMark/>
          </w:tcPr>
          <w:p w14:paraId="72138D7A" w14:textId="77777777" w:rsidR="009C56EC" w:rsidRPr="00E940CF" w:rsidRDefault="009C56EC" w:rsidP="0016742F">
            <w:pPr>
              <w:ind w:left="360"/>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1,010</w:t>
            </w:r>
          </w:p>
        </w:tc>
        <w:tc>
          <w:tcPr>
            <w:tcW w:w="591" w:type="pct"/>
            <w:tcBorders>
              <w:top w:val="nil"/>
              <w:left w:val="nil"/>
              <w:bottom w:val="single" w:sz="4" w:space="0" w:color="auto"/>
              <w:right w:val="single" w:sz="4" w:space="0" w:color="auto"/>
            </w:tcBorders>
            <w:noWrap/>
            <w:vAlign w:val="center"/>
            <w:hideMark/>
          </w:tcPr>
          <w:p w14:paraId="732767F8" w14:textId="77777777" w:rsidR="009C56EC" w:rsidRPr="00E940CF" w:rsidRDefault="009C56EC" w:rsidP="0016742F">
            <w:pPr>
              <w:ind w:left="360"/>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w:t>
            </w:r>
          </w:p>
        </w:tc>
        <w:tc>
          <w:tcPr>
            <w:tcW w:w="620" w:type="pct"/>
            <w:tcBorders>
              <w:top w:val="nil"/>
              <w:left w:val="nil"/>
              <w:bottom w:val="single" w:sz="4" w:space="0" w:color="auto"/>
              <w:right w:val="single" w:sz="4" w:space="0" w:color="auto"/>
            </w:tcBorders>
            <w:noWrap/>
            <w:vAlign w:val="center"/>
            <w:hideMark/>
          </w:tcPr>
          <w:p w14:paraId="49CC8F9A" w14:textId="77777777" w:rsidR="009C56EC" w:rsidRPr="00E940CF" w:rsidRDefault="009C56EC" w:rsidP="0016742F">
            <w:pPr>
              <w:ind w:left="360"/>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1,144</w:t>
            </w:r>
          </w:p>
        </w:tc>
        <w:tc>
          <w:tcPr>
            <w:tcW w:w="591" w:type="pct"/>
            <w:tcBorders>
              <w:top w:val="nil"/>
              <w:left w:val="nil"/>
              <w:bottom w:val="single" w:sz="4" w:space="0" w:color="auto"/>
              <w:right w:val="single" w:sz="4" w:space="0" w:color="auto"/>
            </w:tcBorders>
            <w:noWrap/>
            <w:vAlign w:val="center"/>
            <w:hideMark/>
          </w:tcPr>
          <w:p w14:paraId="47ADE02F" w14:textId="77777777" w:rsidR="009C56EC" w:rsidRPr="00E940CF" w:rsidRDefault="009C56EC" w:rsidP="0016742F">
            <w:pPr>
              <w:ind w:left="360"/>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w:t>
            </w:r>
          </w:p>
        </w:tc>
      </w:tr>
      <w:tr w:rsidR="009C56EC" w:rsidRPr="00E940CF" w14:paraId="4815CB2C" w14:textId="77777777" w:rsidTr="006848CD">
        <w:trPr>
          <w:cantSplit/>
          <w:trHeight w:val="300"/>
        </w:trPr>
        <w:tc>
          <w:tcPr>
            <w:tcW w:w="1368" w:type="pct"/>
            <w:tcBorders>
              <w:top w:val="nil"/>
              <w:left w:val="single" w:sz="4" w:space="0" w:color="auto"/>
              <w:bottom w:val="single" w:sz="4" w:space="0" w:color="auto"/>
              <w:right w:val="single" w:sz="4" w:space="0" w:color="auto"/>
            </w:tcBorders>
            <w:noWrap/>
            <w:vAlign w:val="center"/>
            <w:hideMark/>
          </w:tcPr>
          <w:p w14:paraId="2D122091" w14:textId="2C70CD7A" w:rsidR="009C56EC" w:rsidRPr="00E940CF" w:rsidRDefault="00A82487" w:rsidP="009C56EC">
            <w:pPr>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Total</w:t>
            </w:r>
          </w:p>
        </w:tc>
        <w:tc>
          <w:tcPr>
            <w:tcW w:w="620" w:type="pct"/>
            <w:tcBorders>
              <w:top w:val="nil"/>
              <w:left w:val="nil"/>
              <w:bottom w:val="single" w:sz="4" w:space="0" w:color="auto"/>
              <w:right w:val="single" w:sz="4" w:space="0" w:color="auto"/>
            </w:tcBorders>
            <w:noWrap/>
            <w:vAlign w:val="center"/>
            <w:hideMark/>
          </w:tcPr>
          <w:p w14:paraId="2B7825FB" w14:textId="77777777" w:rsidR="009C56EC" w:rsidRPr="00E940CF" w:rsidRDefault="009C56EC" w:rsidP="0016742F">
            <w:pPr>
              <w:ind w:left="71"/>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13,021</w:t>
            </w:r>
          </w:p>
        </w:tc>
        <w:tc>
          <w:tcPr>
            <w:tcW w:w="657" w:type="pct"/>
            <w:tcBorders>
              <w:top w:val="nil"/>
              <w:left w:val="nil"/>
              <w:bottom w:val="single" w:sz="4" w:space="0" w:color="auto"/>
              <w:right w:val="single" w:sz="4" w:space="0" w:color="auto"/>
            </w:tcBorders>
            <w:noWrap/>
            <w:vAlign w:val="center"/>
            <w:hideMark/>
          </w:tcPr>
          <w:p w14:paraId="3B55D6B7" w14:textId="77777777" w:rsidR="009C56EC" w:rsidRPr="00E940CF" w:rsidRDefault="009C56EC" w:rsidP="0016742F">
            <w:pPr>
              <w:ind w:left="360"/>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100%</w:t>
            </w:r>
          </w:p>
        </w:tc>
        <w:tc>
          <w:tcPr>
            <w:tcW w:w="554" w:type="pct"/>
            <w:tcBorders>
              <w:top w:val="nil"/>
              <w:left w:val="nil"/>
              <w:bottom w:val="single" w:sz="4" w:space="0" w:color="auto"/>
              <w:right w:val="single" w:sz="4" w:space="0" w:color="auto"/>
            </w:tcBorders>
            <w:noWrap/>
            <w:vAlign w:val="center"/>
            <w:hideMark/>
          </w:tcPr>
          <w:p w14:paraId="671AFDB9" w14:textId="77777777" w:rsidR="009C56EC" w:rsidRPr="00E940CF" w:rsidRDefault="009C56EC" w:rsidP="0016742F">
            <w:pPr>
              <w:ind w:left="360"/>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14,931</w:t>
            </w:r>
          </w:p>
        </w:tc>
        <w:tc>
          <w:tcPr>
            <w:tcW w:w="591" w:type="pct"/>
            <w:tcBorders>
              <w:top w:val="nil"/>
              <w:left w:val="nil"/>
              <w:bottom w:val="single" w:sz="4" w:space="0" w:color="auto"/>
              <w:right w:val="single" w:sz="4" w:space="0" w:color="auto"/>
            </w:tcBorders>
            <w:noWrap/>
            <w:vAlign w:val="center"/>
            <w:hideMark/>
          </w:tcPr>
          <w:p w14:paraId="11849AD8" w14:textId="77777777" w:rsidR="009C56EC" w:rsidRPr="00E940CF" w:rsidRDefault="009C56EC" w:rsidP="0016742F">
            <w:pPr>
              <w:ind w:left="360"/>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100%</w:t>
            </w:r>
          </w:p>
        </w:tc>
        <w:tc>
          <w:tcPr>
            <w:tcW w:w="620" w:type="pct"/>
            <w:tcBorders>
              <w:top w:val="nil"/>
              <w:left w:val="nil"/>
              <w:bottom w:val="single" w:sz="4" w:space="0" w:color="auto"/>
              <w:right w:val="single" w:sz="4" w:space="0" w:color="auto"/>
            </w:tcBorders>
            <w:noWrap/>
            <w:vAlign w:val="center"/>
            <w:hideMark/>
          </w:tcPr>
          <w:p w14:paraId="273514E1" w14:textId="77777777" w:rsidR="009C56EC" w:rsidRPr="00E940CF" w:rsidRDefault="009C56EC" w:rsidP="0016742F">
            <w:pPr>
              <w:ind w:left="360"/>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16,534</w:t>
            </w:r>
          </w:p>
        </w:tc>
        <w:tc>
          <w:tcPr>
            <w:tcW w:w="591" w:type="pct"/>
            <w:tcBorders>
              <w:top w:val="nil"/>
              <w:left w:val="nil"/>
              <w:bottom w:val="single" w:sz="4" w:space="0" w:color="auto"/>
              <w:right w:val="single" w:sz="4" w:space="0" w:color="auto"/>
            </w:tcBorders>
            <w:noWrap/>
            <w:vAlign w:val="center"/>
            <w:hideMark/>
          </w:tcPr>
          <w:p w14:paraId="3A6ECF5C" w14:textId="77777777" w:rsidR="009C56EC" w:rsidRPr="00E940CF" w:rsidRDefault="009C56EC" w:rsidP="0016742F">
            <w:pPr>
              <w:ind w:left="360"/>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100%</w:t>
            </w:r>
          </w:p>
        </w:tc>
      </w:tr>
    </w:tbl>
    <w:p w14:paraId="757F0F76" w14:textId="77777777" w:rsidR="00C968D4" w:rsidRPr="00E940CF" w:rsidRDefault="00C968D4" w:rsidP="009C56EC">
      <w:pPr>
        <w:ind w:left="360"/>
        <w:rPr>
          <w:rFonts w:ascii="Aptos" w:hAnsi="Aptos" w:cs="Times New Roman"/>
          <w:b/>
          <w:bCs/>
          <w:color w:val="1F4E79" w:themeColor="accent5" w:themeShade="80"/>
          <w:sz w:val="24"/>
          <w:szCs w:val="24"/>
          <w:u w:val="single"/>
        </w:rPr>
      </w:pPr>
    </w:p>
    <w:p w14:paraId="2782B2C7" w14:textId="18685484" w:rsidR="00B67C29" w:rsidRPr="00E940CF" w:rsidRDefault="00B67C29" w:rsidP="009C56EC">
      <w:pPr>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u w:val="single"/>
        </w:rPr>
        <w:t>Table 5a.</w:t>
      </w:r>
      <w:r w:rsidRPr="00E940CF">
        <w:rPr>
          <w:rFonts w:ascii="Aptos" w:hAnsi="Aptos" w:cs="Times New Roman"/>
          <w:b/>
          <w:bCs/>
          <w:color w:val="1F4E79" w:themeColor="accent5" w:themeShade="80"/>
          <w:sz w:val="24"/>
          <w:szCs w:val="24"/>
        </w:rPr>
        <w:t xml:space="preserve"> Southcoast Health Oncology: Fiscal Year 2023 – Fiscal Year 2025 Patient Panel by Patient Origin – Top 15 Communities</w:t>
      </w:r>
    </w:p>
    <w:tbl>
      <w:tblPr>
        <w:tblW w:w="5099" w:type="pct"/>
        <w:tblLook w:val="04A0" w:firstRow="1" w:lastRow="0" w:firstColumn="1" w:lastColumn="0" w:noHBand="0" w:noVBand="1"/>
        <w:tblCaption w:val="Fiscal Year 2023 – Fiscal Year 2025 Patient Panel by Patient Origin – Top 15 Communities"/>
      </w:tblPr>
      <w:tblGrid>
        <w:gridCol w:w="4312"/>
        <w:gridCol w:w="1500"/>
        <w:gridCol w:w="1627"/>
        <w:gridCol w:w="1624"/>
        <w:gridCol w:w="1627"/>
        <w:gridCol w:w="1355"/>
        <w:gridCol w:w="1161"/>
      </w:tblGrid>
      <w:tr w:rsidR="00C968D4" w:rsidRPr="00E940CF" w14:paraId="500DCE93" w14:textId="77777777" w:rsidTr="007E43A6">
        <w:trPr>
          <w:cantSplit/>
          <w:trHeight w:val="615"/>
          <w:tblHeader/>
        </w:trPr>
        <w:tc>
          <w:tcPr>
            <w:tcW w:w="1413" w:type="pct"/>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45153475" w14:textId="75FAA272" w:rsidR="00C968D4" w:rsidRPr="00E940CF" w:rsidRDefault="00C968D4" w:rsidP="00E67CD8">
            <w:pPr>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City/Town</w:t>
            </w:r>
          </w:p>
        </w:tc>
        <w:tc>
          <w:tcPr>
            <w:tcW w:w="613" w:type="pct"/>
            <w:tcBorders>
              <w:top w:val="single" w:sz="4" w:space="0" w:color="auto"/>
              <w:left w:val="nil"/>
              <w:bottom w:val="single" w:sz="4" w:space="0" w:color="auto"/>
              <w:right w:val="single" w:sz="4" w:space="0" w:color="auto"/>
            </w:tcBorders>
            <w:shd w:val="clear" w:color="auto" w:fill="D9E1F2"/>
            <w:vAlign w:val="center"/>
            <w:hideMark/>
          </w:tcPr>
          <w:p w14:paraId="598A3C61" w14:textId="77777777" w:rsidR="00C968D4" w:rsidRPr="00E940CF" w:rsidRDefault="00C968D4" w:rsidP="00E67CD8">
            <w:pPr>
              <w:ind w:left="71"/>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FY23</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(Count)</w:t>
            </w:r>
          </w:p>
        </w:tc>
        <w:tc>
          <w:tcPr>
            <w:tcW w:w="661" w:type="pct"/>
            <w:tcBorders>
              <w:top w:val="single" w:sz="4" w:space="0" w:color="auto"/>
              <w:left w:val="nil"/>
              <w:bottom w:val="single" w:sz="4" w:space="0" w:color="auto"/>
              <w:right w:val="single" w:sz="4" w:space="0" w:color="auto"/>
            </w:tcBorders>
            <w:shd w:val="clear" w:color="auto" w:fill="D9E1F2"/>
            <w:vAlign w:val="center"/>
            <w:hideMark/>
          </w:tcPr>
          <w:p w14:paraId="273B37D9" w14:textId="3B9F5F06" w:rsidR="00C968D4" w:rsidRPr="00E940CF" w:rsidRDefault="00C968D4" w:rsidP="00E67CD8">
            <w:pPr>
              <w:ind w:left="71"/>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FY23</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w:t>
            </w:r>
            <w:r w:rsidR="00030C1E">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Total</w:t>
            </w:r>
            <w:r w:rsidRPr="00E940CF">
              <w:rPr>
                <w:rFonts w:ascii="Aptos" w:hAnsi="Aptos" w:cs="Times New Roman"/>
                <w:b/>
                <w:bCs/>
                <w:color w:val="1F4E79" w:themeColor="accent5" w:themeShade="80"/>
                <w:sz w:val="24"/>
                <w:szCs w:val="24"/>
              </w:rPr>
              <w:t>)</w:t>
            </w:r>
          </w:p>
        </w:tc>
        <w:tc>
          <w:tcPr>
            <w:tcW w:w="660" w:type="pct"/>
            <w:tcBorders>
              <w:top w:val="single" w:sz="4" w:space="0" w:color="auto"/>
              <w:left w:val="nil"/>
              <w:bottom w:val="single" w:sz="4" w:space="0" w:color="auto"/>
              <w:right w:val="single" w:sz="4" w:space="0" w:color="auto"/>
            </w:tcBorders>
            <w:shd w:val="clear" w:color="auto" w:fill="D9E1F2"/>
            <w:vAlign w:val="center"/>
            <w:hideMark/>
          </w:tcPr>
          <w:p w14:paraId="25DA34CF" w14:textId="77777777" w:rsidR="00C968D4" w:rsidRPr="00E940CF" w:rsidRDefault="00C968D4" w:rsidP="00E67CD8">
            <w:pPr>
              <w:ind w:left="71"/>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FY24</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(Count)</w:t>
            </w:r>
          </w:p>
        </w:tc>
        <w:tc>
          <w:tcPr>
            <w:tcW w:w="661" w:type="pct"/>
            <w:tcBorders>
              <w:top w:val="single" w:sz="4" w:space="0" w:color="auto"/>
              <w:left w:val="nil"/>
              <w:bottom w:val="single" w:sz="4" w:space="0" w:color="auto"/>
              <w:right w:val="single" w:sz="4" w:space="0" w:color="auto"/>
            </w:tcBorders>
            <w:shd w:val="clear" w:color="auto" w:fill="D9E1F2"/>
            <w:vAlign w:val="center"/>
            <w:hideMark/>
          </w:tcPr>
          <w:p w14:paraId="3F28ACC9" w14:textId="523E7A98" w:rsidR="00C968D4" w:rsidRPr="00E940CF" w:rsidRDefault="00C968D4" w:rsidP="00E67CD8">
            <w:pPr>
              <w:ind w:left="71"/>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FY24</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w:t>
            </w:r>
            <w:r w:rsidR="00030C1E">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Total</w:t>
            </w:r>
            <w:r w:rsidRPr="00E940CF">
              <w:rPr>
                <w:rFonts w:ascii="Aptos" w:hAnsi="Aptos" w:cs="Times New Roman"/>
                <w:b/>
                <w:bCs/>
                <w:color w:val="1F4E79" w:themeColor="accent5" w:themeShade="80"/>
                <w:sz w:val="24"/>
                <w:szCs w:val="24"/>
              </w:rPr>
              <w:t>)</w:t>
            </w:r>
          </w:p>
        </w:tc>
        <w:tc>
          <w:tcPr>
            <w:tcW w:w="558" w:type="pct"/>
            <w:tcBorders>
              <w:top w:val="single" w:sz="4" w:space="0" w:color="auto"/>
              <w:left w:val="nil"/>
              <w:bottom w:val="single" w:sz="4" w:space="0" w:color="auto"/>
              <w:right w:val="single" w:sz="4" w:space="0" w:color="auto"/>
            </w:tcBorders>
            <w:shd w:val="clear" w:color="auto" w:fill="D9E1F2"/>
            <w:vAlign w:val="center"/>
            <w:hideMark/>
          </w:tcPr>
          <w:p w14:paraId="16796EB8" w14:textId="77777777" w:rsidR="00C968D4" w:rsidRPr="00E940CF" w:rsidRDefault="00C968D4" w:rsidP="00E67CD8">
            <w:pPr>
              <w:ind w:left="71" w:firstLine="28"/>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FY25</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(Count)</w:t>
            </w:r>
          </w:p>
        </w:tc>
        <w:tc>
          <w:tcPr>
            <w:tcW w:w="433" w:type="pct"/>
            <w:tcBorders>
              <w:top w:val="single" w:sz="4" w:space="0" w:color="auto"/>
              <w:left w:val="nil"/>
              <w:bottom w:val="single" w:sz="4" w:space="0" w:color="auto"/>
              <w:right w:val="single" w:sz="4" w:space="0" w:color="auto"/>
            </w:tcBorders>
            <w:shd w:val="clear" w:color="auto" w:fill="D9E1F2"/>
            <w:vAlign w:val="center"/>
            <w:hideMark/>
          </w:tcPr>
          <w:p w14:paraId="4B993833" w14:textId="7A34560C" w:rsidR="00C968D4" w:rsidRPr="00E940CF" w:rsidRDefault="00C968D4" w:rsidP="00E67CD8">
            <w:pPr>
              <w:ind w:left="71"/>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FY25</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w:t>
            </w:r>
            <w:r w:rsidR="00030C1E">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Total)</w:t>
            </w:r>
          </w:p>
        </w:tc>
      </w:tr>
      <w:tr w:rsidR="00EF591E" w:rsidRPr="00E940CF" w14:paraId="0EF697D1" w14:textId="77777777" w:rsidTr="002A76F7">
        <w:trPr>
          <w:cantSplit/>
          <w:trHeight w:val="360"/>
        </w:trPr>
        <w:tc>
          <w:tcPr>
            <w:tcW w:w="1413" w:type="pct"/>
            <w:tcBorders>
              <w:top w:val="single" w:sz="4" w:space="0" w:color="auto"/>
              <w:left w:val="single" w:sz="4" w:space="0" w:color="auto"/>
              <w:bottom w:val="single" w:sz="4" w:space="0" w:color="auto"/>
              <w:right w:val="single" w:sz="4" w:space="0" w:color="auto"/>
            </w:tcBorders>
            <w:shd w:val="clear" w:color="auto" w:fill="D9E1F2"/>
            <w:noWrap/>
          </w:tcPr>
          <w:p w14:paraId="1A6DDB21" w14:textId="3C6220C2" w:rsidR="00EF591E" w:rsidRPr="00E940CF" w:rsidRDefault="00A82487" w:rsidP="00EF591E">
            <w:pPr>
              <w:spacing w:after="0"/>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New Bedford</w:t>
            </w:r>
            <w:r w:rsidR="00EF591E" w:rsidRPr="00E940CF">
              <w:rPr>
                <w:rFonts w:ascii="Aptos" w:hAnsi="Aptos" w:cs="Times New Roman"/>
                <w:b/>
                <w:bCs/>
                <w:color w:val="1F4E79" w:themeColor="accent5" w:themeShade="80"/>
                <w:sz w:val="24"/>
                <w:szCs w:val="24"/>
              </w:rPr>
              <w:t xml:space="preserve">, </w:t>
            </w:r>
            <w:r>
              <w:rPr>
                <w:rFonts w:ascii="Aptos" w:hAnsi="Aptos" w:cs="Times New Roman"/>
                <w:b/>
                <w:bCs/>
                <w:color w:val="1F4E79" w:themeColor="accent5" w:themeShade="80"/>
                <w:sz w:val="24"/>
                <w:szCs w:val="24"/>
              </w:rPr>
              <w:t>Massachusetts (</w:t>
            </w:r>
            <w:r w:rsidR="00EF591E" w:rsidRPr="00E940CF">
              <w:rPr>
                <w:rFonts w:ascii="Aptos" w:hAnsi="Aptos" w:cs="Times New Roman"/>
                <w:b/>
                <w:bCs/>
                <w:color w:val="1F4E79" w:themeColor="accent5" w:themeShade="80"/>
                <w:sz w:val="24"/>
                <w:szCs w:val="24"/>
              </w:rPr>
              <w:t>MA</w:t>
            </w:r>
            <w:r>
              <w:rPr>
                <w:rFonts w:ascii="Aptos" w:hAnsi="Aptos" w:cs="Times New Roman"/>
                <w:b/>
                <w:bCs/>
                <w:color w:val="1F4E79" w:themeColor="accent5" w:themeShade="80"/>
                <w:sz w:val="24"/>
                <w:szCs w:val="24"/>
              </w:rPr>
              <w:t>)</w:t>
            </w:r>
          </w:p>
        </w:tc>
        <w:tc>
          <w:tcPr>
            <w:tcW w:w="613" w:type="pct"/>
            <w:tcBorders>
              <w:top w:val="single" w:sz="4" w:space="0" w:color="auto"/>
              <w:left w:val="nil"/>
              <w:bottom w:val="single" w:sz="4" w:space="0" w:color="auto"/>
              <w:right w:val="single" w:sz="4" w:space="0" w:color="auto"/>
            </w:tcBorders>
            <w:shd w:val="clear" w:color="auto" w:fill="D9E1F2"/>
          </w:tcPr>
          <w:p w14:paraId="037C537D" w14:textId="2DDDFBED" w:rsidR="00EF591E" w:rsidRPr="00E940CF" w:rsidRDefault="00EF591E" w:rsidP="00EF591E">
            <w:pPr>
              <w:spacing w:after="0"/>
              <w:ind w:left="71"/>
              <w:rPr>
                <w:rFonts w:ascii="Aptos" w:hAnsi="Aptos" w:cs="Times New Roman"/>
                <w:b/>
                <w:bCs/>
                <w:color w:val="1F4E79" w:themeColor="accent5" w:themeShade="80"/>
                <w:sz w:val="24"/>
                <w:szCs w:val="24"/>
              </w:rPr>
            </w:pPr>
            <w:r w:rsidRPr="00E940CF">
              <w:rPr>
                <w:rFonts w:ascii="Aptos" w:hAnsi="Aptos" w:cs="Times New Roman"/>
                <w:color w:val="1F4E79" w:themeColor="accent5" w:themeShade="80"/>
                <w:sz w:val="24"/>
                <w:szCs w:val="24"/>
              </w:rPr>
              <w:t>2,775</w:t>
            </w:r>
          </w:p>
        </w:tc>
        <w:tc>
          <w:tcPr>
            <w:tcW w:w="661" w:type="pct"/>
            <w:tcBorders>
              <w:top w:val="single" w:sz="4" w:space="0" w:color="auto"/>
              <w:left w:val="nil"/>
              <w:bottom w:val="single" w:sz="4" w:space="0" w:color="auto"/>
              <w:right w:val="single" w:sz="4" w:space="0" w:color="auto"/>
            </w:tcBorders>
            <w:shd w:val="clear" w:color="auto" w:fill="D9E1F2"/>
          </w:tcPr>
          <w:p w14:paraId="539B955C" w14:textId="38167EB3" w:rsidR="00EF591E" w:rsidRPr="00E940CF" w:rsidRDefault="00EF591E" w:rsidP="00EF591E">
            <w:pPr>
              <w:spacing w:after="0"/>
              <w:ind w:left="71"/>
              <w:rPr>
                <w:rFonts w:ascii="Aptos" w:hAnsi="Aptos" w:cs="Times New Roman"/>
                <w:b/>
                <w:bCs/>
                <w:color w:val="1F4E79" w:themeColor="accent5" w:themeShade="80"/>
                <w:sz w:val="24"/>
                <w:szCs w:val="24"/>
              </w:rPr>
            </w:pPr>
            <w:r w:rsidRPr="00E940CF">
              <w:rPr>
                <w:rFonts w:ascii="Aptos" w:hAnsi="Aptos" w:cs="Times New Roman"/>
                <w:color w:val="1F4E79" w:themeColor="accent5" w:themeShade="80"/>
                <w:sz w:val="24"/>
                <w:szCs w:val="24"/>
              </w:rPr>
              <w:t>21%</w:t>
            </w:r>
          </w:p>
        </w:tc>
        <w:tc>
          <w:tcPr>
            <w:tcW w:w="660" w:type="pct"/>
            <w:tcBorders>
              <w:top w:val="single" w:sz="4" w:space="0" w:color="auto"/>
              <w:left w:val="nil"/>
              <w:bottom w:val="single" w:sz="4" w:space="0" w:color="auto"/>
              <w:right w:val="single" w:sz="4" w:space="0" w:color="auto"/>
            </w:tcBorders>
            <w:shd w:val="clear" w:color="auto" w:fill="D9E1F2"/>
          </w:tcPr>
          <w:p w14:paraId="12BDD80C" w14:textId="52077D6E" w:rsidR="00EF591E" w:rsidRPr="00E940CF" w:rsidRDefault="00EF591E" w:rsidP="00EF591E">
            <w:pPr>
              <w:spacing w:after="0"/>
              <w:ind w:left="71"/>
              <w:rPr>
                <w:rFonts w:ascii="Aptos" w:hAnsi="Aptos" w:cs="Times New Roman"/>
                <w:b/>
                <w:bCs/>
                <w:color w:val="1F4E79" w:themeColor="accent5" w:themeShade="80"/>
                <w:sz w:val="24"/>
                <w:szCs w:val="24"/>
              </w:rPr>
            </w:pPr>
            <w:r w:rsidRPr="00E940CF">
              <w:rPr>
                <w:rFonts w:ascii="Aptos" w:hAnsi="Aptos" w:cs="Times New Roman"/>
                <w:color w:val="1F4E79" w:themeColor="accent5" w:themeShade="80"/>
                <w:sz w:val="24"/>
                <w:szCs w:val="24"/>
              </w:rPr>
              <w:t>3,180</w:t>
            </w:r>
          </w:p>
        </w:tc>
        <w:tc>
          <w:tcPr>
            <w:tcW w:w="661" w:type="pct"/>
            <w:tcBorders>
              <w:top w:val="single" w:sz="4" w:space="0" w:color="auto"/>
              <w:left w:val="nil"/>
              <w:bottom w:val="single" w:sz="4" w:space="0" w:color="auto"/>
              <w:right w:val="single" w:sz="4" w:space="0" w:color="auto"/>
            </w:tcBorders>
            <w:shd w:val="clear" w:color="auto" w:fill="D9E1F2"/>
          </w:tcPr>
          <w:p w14:paraId="1815EDDF" w14:textId="0463CE17" w:rsidR="00EF591E" w:rsidRPr="00E940CF" w:rsidRDefault="00EF591E" w:rsidP="00EF591E">
            <w:pPr>
              <w:spacing w:after="0"/>
              <w:ind w:left="71"/>
              <w:rPr>
                <w:rFonts w:ascii="Aptos" w:hAnsi="Aptos" w:cs="Times New Roman"/>
                <w:b/>
                <w:bCs/>
                <w:color w:val="1F4E79" w:themeColor="accent5" w:themeShade="80"/>
                <w:sz w:val="24"/>
                <w:szCs w:val="24"/>
              </w:rPr>
            </w:pPr>
            <w:r w:rsidRPr="00E940CF">
              <w:rPr>
                <w:rFonts w:ascii="Aptos" w:hAnsi="Aptos" w:cs="Times New Roman"/>
                <w:color w:val="1F4E79" w:themeColor="accent5" w:themeShade="80"/>
                <w:sz w:val="24"/>
                <w:szCs w:val="24"/>
              </w:rPr>
              <w:t>21%</w:t>
            </w:r>
          </w:p>
        </w:tc>
        <w:tc>
          <w:tcPr>
            <w:tcW w:w="558" w:type="pct"/>
            <w:tcBorders>
              <w:top w:val="single" w:sz="4" w:space="0" w:color="auto"/>
              <w:left w:val="nil"/>
              <w:bottom w:val="single" w:sz="4" w:space="0" w:color="auto"/>
              <w:right w:val="single" w:sz="4" w:space="0" w:color="auto"/>
            </w:tcBorders>
            <w:shd w:val="clear" w:color="auto" w:fill="D9E1F2"/>
          </w:tcPr>
          <w:p w14:paraId="1C534F9E" w14:textId="03E5F5C4" w:rsidR="00EF591E" w:rsidRPr="00E940CF" w:rsidRDefault="00EF591E" w:rsidP="00EF591E">
            <w:pPr>
              <w:spacing w:after="0"/>
              <w:ind w:left="71" w:firstLine="28"/>
              <w:rPr>
                <w:rFonts w:ascii="Aptos" w:hAnsi="Aptos" w:cs="Times New Roman"/>
                <w:b/>
                <w:bCs/>
                <w:color w:val="1F4E79" w:themeColor="accent5" w:themeShade="80"/>
                <w:sz w:val="24"/>
                <w:szCs w:val="24"/>
              </w:rPr>
            </w:pPr>
            <w:r w:rsidRPr="00E940CF">
              <w:rPr>
                <w:rFonts w:ascii="Aptos" w:hAnsi="Aptos" w:cs="Times New Roman"/>
                <w:color w:val="1F4E79" w:themeColor="accent5" w:themeShade="80"/>
                <w:sz w:val="24"/>
                <w:szCs w:val="24"/>
              </w:rPr>
              <w:t>3,494</w:t>
            </w:r>
          </w:p>
        </w:tc>
        <w:tc>
          <w:tcPr>
            <w:tcW w:w="433" w:type="pct"/>
            <w:tcBorders>
              <w:top w:val="single" w:sz="4" w:space="0" w:color="auto"/>
              <w:left w:val="nil"/>
              <w:bottom w:val="single" w:sz="4" w:space="0" w:color="auto"/>
              <w:right w:val="single" w:sz="4" w:space="0" w:color="auto"/>
            </w:tcBorders>
            <w:shd w:val="clear" w:color="auto" w:fill="D9E1F2"/>
          </w:tcPr>
          <w:p w14:paraId="43221E70" w14:textId="28121687" w:rsidR="00EF591E" w:rsidRPr="00E940CF" w:rsidRDefault="00EF591E" w:rsidP="00EF591E">
            <w:pPr>
              <w:spacing w:after="0"/>
              <w:ind w:left="71"/>
              <w:rPr>
                <w:rFonts w:ascii="Aptos" w:hAnsi="Aptos" w:cs="Times New Roman"/>
                <w:b/>
                <w:bCs/>
                <w:color w:val="1F4E79" w:themeColor="accent5" w:themeShade="80"/>
                <w:sz w:val="24"/>
                <w:szCs w:val="24"/>
              </w:rPr>
            </w:pPr>
            <w:r w:rsidRPr="00E940CF">
              <w:rPr>
                <w:rFonts w:ascii="Aptos" w:hAnsi="Aptos" w:cs="Times New Roman"/>
                <w:color w:val="1F4E79" w:themeColor="accent5" w:themeShade="80"/>
                <w:sz w:val="24"/>
                <w:szCs w:val="24"/>
              </w:rPr>
              <w:t>21%</w:t>
            </w:r>
          </w:p>
        </w:tc>
      </w:tr>
      <w:tr w:rsidR="00EF591E" w:rsidRPr="00E940CF" w14:paraId="24FA0C34" w14:textId="77777777" w:rsidTr="002A76F7">
        <w:trPr>
          <w:cantSplit/>
          <w:trHeight w:val="360"/>
        </w:trPr>
        <w:tc>
          <w:tcPr>
            <w:tcW w:w="1413" w:type="pct"/>
            <w:tcBorders>
              <w:top w:val="single" w:sz="4" w:space="0" w:color="auto"/>
              <w:left w:val="single" w:sz="4" w:space="0" w:color="auto"/>
              <w:bottom w:val="single" w:sz="4" w:space="0" w:color="auto"/>
              <w:right w:val="single" w:sz="4" w:space="0" w:color="auto"/>
            </w:tcBorders>
            <w:shd w:val="clear" w:color="auto" w:fill="D9E1F2"/>
            <w:noWrap/>
          </w:tcPr>
          <w:p w14:paraId="694C1152" w14:textId="6E7E4126" w:rsidR="00EF591E" w:rsidRPr="00E940CF" w:rsidRDefault="00A82487" w:rsidP="00EF591E">
            <w:pPr>
              <w:spacing w:after="0"/>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Fall River</w:t>
            </w:r>
            <w:r w:rsidR="00EF591E" w:rsidRPr="00E940CF">
              <w:rPr>
                <w:rFonts w:ascii="Aptos" w:hAnsi="Aptos" w:cs="Times New Roman"/>
                <w:b/>
                <w:bCs/>
                <w:color w:val="1F4E79" w:themeColor="accent5" w:themeShade="80"/>
                <w:sz w:val="24"/>
                <w:szCs w:val="24"/>
              </w:rPr>
              <w:t>, MA</w:t>
            </w:r>
          </w:p>
        </w:tc>
        <w:tc>
          <w:tcPr>
            <w:tcW w:w="613" w:type="pct"/>
            <w:tcBorders>
              <w:top w:val="single" w:sz="4" w:space="0" w:color="auto"/>
              <w:left w:val="nil"/>
              <w:bottom w:val="single" w:sz="4" w:space="0" w:color="auto"/>
              <w:right w:val="single" w:sz="4" w:space="0" w:color="auto"/>
            </w:tcBorders>
            <w:shd w:val="clear" w:color="auto" w:fill="D9E1F2"/>
          </w:tcPr>
          <w:p w14:paraId="26415A72" w14:textId="17A8E932"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2,477</w:t>
            </w:r>
          </w:p>
        </w:tc>
        <w:tc>
          <w:tcPr>
            <w:tcW w:w="661" w:type="pct"/>
            <w:tcBorders>
              <w:top w:val="single" w:sz="4" w:space="0" w:color="auto"/>
              <w:left w:val="nil"/>
              <w:bottom w:val="single" w:sz="4" w:space="0" w:color="auto"/>
              <w:right w:val="single" w:sz="4" w:space="0" w:color="auto"/>
            </w:tcBorders>
            <w:shd w:val="clear" w:color="auto" w:fill="D9E1F2"/>
          </w:tcPr>
          <w:p w14:paraId="34379138" w14:textId="4606ED91"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19%</w:t>
            </w:r>
          </w:p>
        </w:tc>
        <w:tc>
          <w:tcPr>
            <w:tcW w:w="660" w:type="pct"/>
            <w:tcBorders>
              <w:top w:val="single" w:sz="4" w:space="0" w:color="auto"/>
              <w:left w:val="nil"/>
              <w:bottom w:val="single" w:sz="4" w:space="0" w:color="auto"/>
              <w:right w:val="single" w:sz="4" w:space="0" w:color="auto"/>
            </w:tcBorders>
            <w:shd w:val="clear" w:color="auto" w:fill="D9E1F2"/>
          </w:tcPr>
          <w:p w14:paraId="52CAE7F6" w14:textId="12D4BBAE"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2,870</w:t>
            </w:r>
          </w:p>
        </w:tc>
        <w:tc>
          <w:tcPr>
            <w:tcW w:w="661" w:type="pct"/>
            <w:tcBorders>
              <w:top w:val="single" w:sz="4" w:space="0" w:color="auto"/>
              <w:left w:val="nil"/>
              <w:bottom w:val="single" w:sz="4" w:space="0" w:color="auto"/>
              <w:right w:val="single" w:sz="4" w:space="0" w:color="auto"/>
            </w:tcBorders>
            <w:shd w:val="clear" w:color="auto" w:fill="D9E1F2"/>
          </w:tcPr>
          <w:p w14:paraId="4D31A14E" w14:textId="0630BA30"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19%</w:t>
            </w:r>
          </w:p>
        </w:tc>
        <w:tc>
          <w:tcPr>
            <w:tcW w:w="558" w:type="pct"/>
            <w:tcBorders>
              <w:top w:val="single" w:sz="4" w:space="0" w:color="auto"/>
              <w:left w:val="nil"/>
              <w:bottom w:val="single" w:sz="4" w:space="0" w:color="auto"/>
              <w:right w:val="single" w:sz="4" w:space="0" w:color="auto"/>
            </w:tcBorders>
            <w:shd w:val="clear" w:color="auto" w:fill="D9E1F2"/>
          </w:tcPr>
          <w:p w14:paraId="04061E7B" w14:textId="16636ADA" w:rsidR="00EF591E" w:rsidRPr="00E940CF" w:rsidRDefault="00EF591E" w:rsidP="00EF591E">
            <w:pPr>
              <w:spacing w:after="0"/>
              <w:ind w:left="71" w:firstLine="28"/>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3,180</w:t>
            </w:r>
          </w:p>
        </w:tc>
        <w:tc>
          <w:tcPr>
            <w:tcW w:w="433" w:type="pct"/>
            <w:tcBorders>
              <w:top w:val="single" w:sz="4" w:space="0" w:color="auto"/>
              <w:left w:val="nil"/>
              <w:bottom w:val="single" w:sz="4" w:space="0" w:color="auto"/>
              <w:right w:val="single" w:sz="4" w:space="0" w:color="auto"/>
            </w:tcBorders>
            <w:shd w:val="clear" w:color="auto" w:fill="D9E1F2"/>
          </w:tcPr>
          <w:p w14:paraId="79CC12CC" w14:textId="7F06F57F"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19%</w:t>
            </w:r>
          </w:p>
        </w:tc>
      </w:tr>
      <w:tr w:rsidR="00EF591E" w:rsidRPr="00E940CF" w14:paraId="58F334E7" w14:textId="77777777" w:rsidTr="002A76F7">
        <w:trPr>
          <w:cantSplit/>
          <w:trHeight w:val="360"/>
        </w:trPr>
        <w:tc>
          <w:tcPr>
            <w:tcW w:w="1413" w:type="pct"/>
            <w:tcBorders>
              <w:top w:val="single" w:sz="4" w:space="0" w:color="auto"/>
              <w:left w:val="single" w:sz="4" w:space="0" w:color="auto"/>
              <w:bottom w:val="single" w:sz="4" w:space="0" w:color="auto"/>
              <w:right w:val="single" w:sz="4" w:space="0" w:color="auto"/>
            </w:tcBorders>
            <w:shd w:val="clear" w:color="auto" w:fill="D9E1F2"/>
            <w:noWrap/>
          </w:tcPr>
          <w:p w14:paraId="039CBC66" w14:textId="69D395F4" w:rsidR="00EF591E" w:rsidRPr="00E940CF" w:rsidRDefault="00A82487" w:rsidP="00EF591E">
            <w:pPr>
              <w:spacing w:after="0"/>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Somerset</w:t>
            </w:r>
            <w:r w:rsidR="00EF591E" w:rsidRPr="00E940CF">
              <w:rPr>
                <w:rFonts w:ascii="Aptos" w:hAnsi="Aptos" w:cs="Times New Roman"/>
                <w:b/>
                <w:bCs/>
                <w:color w:val="1F4E79" w:themeColor="accent5" w:themeShade="80"/>
                <w:sz w:val="24"/>
                <w:szCs w:val="24"/>
              </w:rPr>
              <w:t>, MA</w:t>
            </w:r>
          </w:p>
        </w:tc>
        <w:tc>
          <w:tcPr>
            <w:tcW w:w="613" w:type="pct"/>
            <w:tcBorders>
              <w:top w:val="single" w:sz="4" w:space="0" w:color="auto"/>
              <w:left w:val="nil"/>
              <w:bottom w:val="single" w:sz="4" w:space="0" w:color="auto"/>
              <w:right w:val="single" w:sz="4" w:space="0" w:color="auto"/>
            </w:tcBorders>
            <w:shd w:val="clear" w:color="auto" w:fill="D9E1F2"/>
          </w:tcPr>
          <w:p w14:paraId="2EF434D3" w14:textId="3AB70D21"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673</w:t>
            </w:r>
          </w:p>
        </w:tc>
        <w:tc>
          <w:tcPr>
            <w:tcW w:w="661" w:type="pct"/>
            <w:tcBorders>
              <w:top w:val="single" w:sz="4" w:space="0" w:color="auto"/>
              <w:left w:val="nil"/>
              <w:bottom w:val="single" w:sz="4" w:space="0" w:color="auto"/>
              <w:right w:val="single" w:sz="4" w:space="0" w:color="auto"/>
            </w:tcBorders>
            <w:shd w:val="clear" w:color="auto" w:fill="D9E1F2"/>
          </w:tcPr>
          <w:p w14:paraId="699B5D17" w14:textId="1B7F6E0D"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w:t>
            </w:r>
          </w:p>
        </w:tc>
        <w:tc>
          <w:tcPr>
            <w:tcW w:w="660" w:type="pct"/>
            <w:tcBorders>
              <w:top w:val="single" w:sz="4" w:space="0" w:color="auto"/>
              <w:left w:val="nil"/>
              <w:bottom w:val="single" w:sz="4" w:space="0" w:color="auto"/>
              <w:right w:val="single" w:sz="4" w:space="0" w:color="auto"/>
            </w:tcBorders>
            <w:shd w:val="clear" w:color="auto" w:fill="D9E1F2"/>
          </w:tcPr>
          <w:p w14:paraId="084F1E6A" w14:textId="02ADB202"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750</w:t>
            </w:r>
          </w:p>
        </w:tc>
        <w:tc>
          <w:tcPr>
            <w:tcW w:w="661" w:type="pct"/>
            <w:tcBorders>
              <w:top w:val="single" w:sz="4" w:space="0" w:color="auto"/>
              <w:left w:val="nil"/>
              <w:bottom w:val="single" w:sz="4" w:space="0" w:color="auto"/>
              <w:right w:val="single" w:sz="4" w:space="0" w:color="auto"/>
            </w:tcBorders>
            <w:shd w:val="clear" w:color="auto" w:fill="D9E1F2"/>
          </w:tcPr>
          <w:p w14:paraId="5E4E80ED" w14:textId="5C929C90"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w:t>
            </w:r>
          </w:p>
        </w:tc>
        <w:tc>
          <w:tcPr>
            <w:tcW w:w="558" w:type="pct"/>
            <w:tcBorders>
              <w:top w:val="single" w:sz="4" w:space="0" w:color="auto"/>
              <w:left w:val="nil"/>
              <w:bottom w:val="single" w:sz="4" w:space="0" w:color="auto"/>
              <w:right w:val="single" w:sz="4" w:space="0" w:color="auto"/>
            </w:tcBorders>
            <w:shd w:val="clear" w:color="auto" w:fill="D9E1F2"/>
          </w:tcPr>
          <w:p w14:paraId="04B4FBB0" w14:textId="7F8D3619" w:rsidR="00EF591E" w:rsidRPr="00E940CF" w:rsidRDefault="00EF591E" w:rsidP="00EF591E">
            <w:pPr>
              <w:spacing w:after="0"/>
              <w:ind w:left="71" w:firstLine="28"/>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842</w:t>
            </w:r>
          </w:p>
        </w:tc>
        <w:tc>
          <w:tcPr>
            <w:tcW w:w="433" w:type="pct"/>
            <w:tcBorders>
              <w:top w:val="single" w:sz="4" w:space="0" w:color="auto"/>
              <w:left w:val="nil"/>
              <w:bottom w:val="single" w:sz="4" w:space="0" w:color="auto"/>
              <w:right w:val="single" w:sz="4" w:space="0" w:color="auto"/>
            </w:tcBorders>
            <w:shd w:val="clear" w:color="auto" w:fill="D9E1F2"/>
          </w:tcPr>
          <w:p w14:paraId="2E283E85" w14:textId="6761629A"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w:t>
            </w:r>
          </w:p>
        </w:tc>
      </w:tr>
      <w:tr w:rsidR="00EF591E" w:rsidRPr="00E940CF" w14:paraId="2845B085" w14:textId="77777777" w:rsidTr="002A76F7">
        <w:trPr>
          <w:cantSplit/>
          <w:trHeight w:val="360"/>
        </w:trPr>
        <w:tc>
          <w:tcPr>
            <w:tcW w:w="1413" w:type="pct"/>
            <w:tcBorders>
              <w:top w:val="single" w:sz="4" w:space="0" w:color="auto"/>
              <w:left w:val="single" w:sz="4" w:space="0" w:color="auto"/>
              <w:bottom w:val="single" w:sz="4" w:space="0" w:color="auto"/>
              <w:right w:val="single" w:sz="4" w:space="0" w:color="auto"/>
            </w:tcBorders>
            <w:shd w:val="clear" w:color="auto" w:fill="D9E1F2"/>
            <w:noWrap/>
          </w:tcPr>
          <w:p w14:paraId="7B51F0A0" w14:textId="4C67F765" w:rsidR="00EF591E" w:rsidRPr="00E940CF" w:rsidRDefault="00A82487" w:rsidP="00EF591E">
            <w:pPr>
              <w:spacing w:after="0"/>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Fairhaven</w:t>
            </w:r>
            <w:r w:rsidR="00EF591E" w:rsidRPr="00E940CF">
              <w:rPr>
                <w:rFonts w:ascii="Aptos" w:hAnsi="Aptos" w:cs="Times New Roman"/>
                <w:b/>
                <w:bCs/>
                <w:color w:val="1F4E79" w:themeColor="accent5" w:themeShade="80"/>
                <w:sz w:val="24"/>
                <w:szCs w:val="24"/>
              </w:rPr>
              <w:t>, MA</w:t>
            </w:r>
          </w:p>
        </w:tc>
        <w:tc>
          <w:tcPr>
            <w:tcW w:w="613" w:type="pct"/>
            <w:tcBorders>
              <w:top w:val="single" w:sz="4" w:space="0" w:color="auto"/>
              <w:left w:val="nil"/>
              <w:bottom w:val="single" w:sz="4" w:space="0" w:color="auto"/>
              <w:right w:val="single" w:sz="4" w:space="0" w:color="auto"/>
            </w:tcBorders>
            <w:shd w:val="clear" w:color="auto" w:fill="D9E1F2"/>
          </w:tcPr>
          <w:p w14:paraId="11892BD4" w14:textId="34D14E06"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600</w:t>
            </w:r>
          </w:p>
        </w:tc>
        <w:tc>
          <w:tcPr>
            <w:tcW w:w="661" w:type="pct"/>
            <w:tcBorders>
              <w:top w:val="single" w:sz="4" w:space="0" w:color="auto"/>
              <w:left w:val="nil"/>
              <w:bottom w:val="single" w:sz="4" w:space="0" w:color="auto"/>
              <w:right w:val="single" w:sz="4" w:space="0" w:color="auto"/>
            </w:tcBorders>
            <w:shd w:val="clear" w:color="auto" w:fill="D9E1F2"/>
          </w:tcPr>
          <w:p w14:paraId="566327AD" w14:textId="5CAB0F33"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w:t>
            </w:r>
          </w:p>
        </w:tc>
        <w:tc>
          <w:tcPr>
            <w:tcW w:w="660" w:type="pct"/>
            <w:tcBorders>
              <w:top w:val="single" w:sz="4" w:space="0" w:color="auto"/>
              <w:left w:val="nil"/>
              <w:bottom w:val="single" w:sz="4" w:space="0" w:color="auto"/>
              <w:right w:val="single" w:sz="4" w:space="0" w:color="auto"/>
            </w:tcBorders>
            <w:shd w:val="clear" w:color="auto" w:fill="D9E1F2"/>
          </w:tcPr>
          <w:p w14:paraId="34F5F283" w14:textId="2972FB42"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660</w:t>
            </w:r>
          </w:p>
        </w:tc>
        <w:tc>
          <w:tcPr>
            <w:tcW w:w="661" w:type="pct"/>
            <w:tcBorders>
              <w:top w:val="single" w:sz="4" w:space="0" w:color="auto"/>
              <w:left w:val="nil"/>
              <w:bottom w:val="single" w:sz="4" w:space="0" w:color="auto"/>
              <w:right w:val="single" w:sz="4" w:space="0" w:color="auto"/>
            </w:tcBorders>
            <w:shd w:val="clear" w:color="auto" w:fill="D9E1F2"/>
          </w:tcPr>
          <w:p w14:paraId="5A655D2F" w14:textId="3B1DE3C0"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w:t>
            </w:r>
          </w:p>
        </w:tc>
        <w:tc>
          <w:tcPr>
            <w:tcW w:w="558" w:type="pct"/>
            <w:tcBorders>
              <w:top w:val="single" w:sz="4" w:space="0" w:color="auto"/>
              <w:left w:val="nil"/>
              <w:bottom w:val="single" w:sz="4" w:space="0" w:color="auto"/>
              <w:right w:val="single" w:sz="4" w:space="0" w:color="auto"/>
            </w:tcBorders>
            <w:shd w:val="clear" w:color="auto" w:fill="D9E1F2"/>
          </w:tcPr>
          <w:p w14:paraId="7DB4CCDB" w14:textId="04B70F40" w:rsidR="00EF591E" w:rsidRPr="00E940CF" w:rsidRDefault="00EF591E" w:rsidP="00EF591E">
            <w:pPr>
              <w:spacing w:after="0"/>
              <w:ind w:left="71" w:firstLine="28"/>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724</w:t>
            </w:r>
          </w:p>
        </w:tc>
        <w:tc>
          <w:tcPr>
            <w:tcW w:w="433" w:type="pct"/>
            <w:tcBorders>
              <w:top w:val="single" w:sz="4" w:space="0" w:color="auto"/>
              <w:left w:val="nil"/>
              <w:bottom w:val="single" w:sz="4" w:space="0" w:color="auto"/>
              <w:right w:val="single" w:sz="4" w:space="0" w:color="auto"/>
            </w:tcBorders>
            <w:shd w:val="clear" w:color="auto" w:fill="D9E1F2"/>
          </w:tcPr>
          <w:p w14:paraId="1C23E645" w14:textId="7DD0BD33"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w:t>
            </w:r>
          </w:p>
        </w:tc>
      </w:tr>
      <w:tr w:rsidR="00EF591E" w:rsidRPr="00E940CF" w14:paraId="7DF89676" w14:textId="77777777" w:rsidTr="002A76F7">
        <w:trPr>
          <w:cantSplit/>
          <w:trHeight w:val="360"/>
        </w:trPr>
        <w:tc>
          <w:tcPr>
            <w:tcW w:w="1413" w:type="pct"/>
            <w:tcBorders>
              <w:top w:val="single" w:sz="4" w:space="0" w:color="auto"/>
              <w:left w:val="single" w:sz="4" w:space="0" w:color="auto"/>
              <w:bottom w:val="single" w:sz="4" w:space="0" w:color="auto"/>
              <w:right w:val="single" w:sz="4" w:space="0" w:color="auto"/>
            </w:tcBorders>
            <w:shd w:val="clear" w:color="auto" w:fill="D9E1F2"/>
            <w:noWrap/>
          </w:tcPr>
          <w:p w14:paraId="7A9B7DF8" w14:textId="2284BB88" w:rsidR="00EF591E" w:rsidRPr="00E940CF" w:rsidRDefault="00A82487" w:rsidP="00EF591E">
            <w:pPr>
              <w:spacing w:after="0"/>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Swansea</w:t>
            </w:r>
            <w:r w:rsidR="00EF591E" w:rsidRPr="00E940CF">
              <w:rPr>
                <w:rFonts w:ascii="Aptos" w:hAnsi="Aptos" w:cs="Times New Roman"/>
                <w:b/>
                <w:bCs/>
                <w:color w:val="1F4E79" w:themeColor="accent5" w:themeShade="80"/>
                <w:sz w:val="24"/>
                <w:szCs w:val="24"/>
              </w:rPr>
              <w:t>, MA</w:t>
            </w:r>
          </w:p>
        </w:tc>
        <w:tc>
          <w:tcPr>
            <w:tcW w:w="613" w:type="pct"/>
            <w:tcBorders>
              <w:top w:val="single" w:sz="4" w:space="0" w:color="auto"/>
              <w:left w:val="nil"/>
              <w:bottom w:val="single" w:sz="4" w:space="0" w:color="auto"/>
              <w:right w:val="single" w:sz="4" w:space="0" w:color="auto"/>
            </w:tcBorders>
            <w:shd w:val="clear" w:color="auto" w:fill="D9E1F2"/>
          </w:tcPr>
          <w:p w14:paraId="3A3C9518" w14:textId="5A93EEDF"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557</w:t>
            </w:r>
          </w:p>
        </w:tc>
        <w:tc>
          <w:tcPr>
            <w:tcW w:w="661" w:type="pct"/>
            <w:tcBorders>
              <w:top w:val="single" w:sz="4" w:space="0" w:color="auto"/>
              <w:left w:val="nil"/>
              <w:bottom w:val="single" w:sz="4" w:space="0" w:color="auto"/>
              <w:right w:val="single" w:sz="4" w:space="0" w:color="auto"/>
            </w:tcBorders>
            <w:shd w:val="clear" w:color="auto" w:fill="D9E1F2"/>
          </w:tcPr>
          <w:p w14:paraId="41309941" w14:textId="783FD8BE"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w:t>
            </w:r>
          </w:p>
        </w:tc>
        <w:tc>
          <w:tcPr>
            <w:tcW w:w="660" w:type="pct"/>
            <w:tcBorders>
              <w:top w:val="single" w:sz="4" w:space="0" w:color="auto"/>
              <w:left w:val="nil"/>
              <w:bottom w:val="single" w:sz="4" w:space="0" w:color="auto"/>
              <w:right w:val="single" w:sz="4" w:space="0" w:color="auto"/>
            </w:tcBorders>
            <w:shd w:val="clear" w:color="auto" w:fill="D9E1F2"/>
          </w:tcPr>
          <w:p w14:paraId="00741CCC" w14:textId="446AFB44"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652</w:t>
            </w:r>
          </w:p>
        </w:tc>
        <w:tc>
          <w:tcPr>
            <w:tcW w:w="661" w:type="pct"/>
            <w:tcBorders>
              <w:top w:val="single" w:sz="4" w:space="0" w:color="auto"/>
              <w:left w:val="nil"/>
              <w:bottom w:val="single" w:sz="4" w:space="0" w:color="auto"/>
              <w:right w:val="single" w:sz="4" w:space="0" w:color="auto"/>
            </w:tcBorders>
            <w:shd w:val="clear" w:color="auto" w:fill="D9E1F2"/>
          </w:tcPr>
          <w:p w14:paraId="01816AD9" w14:textId="57363E7C"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w:t>
            </w:r>
          </w:p>
        </w:tc>
        <w:tc>
          <w:tcPr>
            <w:tcW w:w="558" w:type="pct"/>
            <w:tcBorders>
              <w:top w:val="single" w:sz="4" w:space="0" w:color="auto"/>
              <w:left w:val="nil"/>
              <w:bottom w:val="single" w:sz="4" w:space="0" w:color="auto"/>
              <w:right w:val="single" w:sz="4" w:space="0" w:color="auto"/>
            </w:tcBorders>
            <w:shd w:val="clear" w:color="auto" w:fill="D9E1F2"/>
          </w:tcPr>
          <w:p w14:paraId="5CECA4CE" w14:textId="570812A2" w:rsidR="00EF591E" w:rsidRPr="00E940CF" w:rsidRDefault="00EF591E" w:rsidP="00EF591E">
            <w:pPr>
              <w:spacing w:after="0"/>
              <w:ind w:left="71" w:firstLine="28"/>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723</w:t>
            </w:r>
          </w:p>
        </w:tc>
        <w:tc>
          <w:tcPr>
            <w:tcW w:w="433" w:type="pct"/>
            <w:tcBorders>
              <w:top w:val="single" w:sz="4" w:space="0" w:color="auto"/>
              <w:left w:val="nil"/>
              <w:bottom w:val="single" w:sz="4" w:space="0" w:color="auto"/>
              <w:right w:val="single" w:sz="4" w:space="0" w:color="auto"/>
            </w:tcBorders>
            <w:shd w:val="clear" w:color="auto" w:fill="D9E1F2"/>
          </w:tcPr>
          <w:p w14:paraId="7D7B4AFC" w14:textId="6BBFA6CB"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w:t>
            </w:r>
          </w:p>
        </w:tc>
      </w:tr>
      <w:tr w:rsidR="00EF591E" w:rsidRPr="00E940CF" w14:paraId="205A47B1" w14:textId="77777777" w:rsidTr="002A76F7">
        <w:trPr>
          <w:cantSplit/>
          <w:trHeight w:val="360"/>
        </w:trPr>
        <w:tc>
          <w:tcPr>
            <w:tcW w:w="1413" w:type="pct"/>
            <w:tcBorders>
              <w:top w:val="single" w:sz="4" w:space="0" w:color="auto"/>
              <w:left w:val="single" w:sz="4" w:space="0" w:color="auto"/>
              <w:bottom w:val="single" w:sz="4" w:space="0" w:color="auto"/>
              <w:right w:val="single" w:sz="4" w:space="0" w:color="auto"/>
            </w:tcBorders>
            <w:shd w:val="clear" w:color="auto" w:fill="D9E1F2"/>
            <w:noWrap/>
          </w:tcPr>
          <w:p w14:paraId="250102A8" w14:textId="7D5C7C2A" w:rsidR="00EF591E" w:rsidRPr="00E940CF" w:rsidRDefault="00A82487" w:rsidP="00EF591E">
            <w:pPr>
              <w:spacing w:after="0"/>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Westport</w:t>
            </w:r>
            <w:r w:rsidR="00EF591E" w:rsidRPr="00E940CF">
              <w:rPr>
                <w:rFonts w:ascii="Aptos" w:hAnsi="Aptos" w:cs="Times New Roman"/>
                <w:b/>
                <w:bCs/>
                <w:color w:val="1F4E79" w:themeColor="accent5" w:themeShade="80"/>
                <w:sz w:val="24"/>
                <w:szCs w:val="24"/>
              </w:rPr>
              <w:t>, MA</w:t>
            </w:r>
          </w:p>
        </w:tc>
        <w:tc>
          <w:tcPr>
            <w:tcW w:w="613" w:type="pct"/>
            <w:tcBorders>
              <w:top w:val="single" w:sz="4" w:space="0" w:color="auto"/>
              <w:left w:val="nil"/>
              <w:bottom w:val="single" w:sz="4" w:space="0" w:color="auto"/>
              <w:right w:val="single" w:sz="4" w:space="0" w:color="auto"/>
            </w:tcBorders>
            <w:shd w:val="clear" w:color="auto" w:fill="D9E1F2"/>
          </w:tcPr>
          <w:p w14:paraId="32CFBDCD" w14:textId="55156AF5"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548</w:t>
            </w:r>
          </w:p>
        </w:tc>
        <w:tc>
          <w:tcPr>
            <w:tcW w:w="661" w:type="pct"/>
            <w:tcBorders>
              <w:top w:val="single" w:sz="4" w:space="0" w:color="auto"/>
              <w:left w:val="nil"/>
              <w:bottom w:val="single" w:sz="4" w:space="0" w:color="auto"/>
              <w:right w:val="single" w:sz="4" w:space="0" w:color="auto"/>
            </w:tcBorders>
            <w:shd w:val="clear" w:color="auto" w:fill="D9E1F2"/>
          </w:tcPr>
          <w:p w14:paraId="66B121FC" w14:textId="31B52A12"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w:t>
            </w:r>
          </w:p>
        </w:tc>
        <w:tc>
          <w:tcPr>
            <w:tcW w:w="660" w:type="pct"/>
            <w:tcBorders>
              <w:top w:val="single" w:sz="4" w:space="0" w:color="auto"/>
              <w:left w:val="nil"/>
              <w:bottom w:val="single" w:sz="4" w:space="0" w:color="auto"/>
              <w:right w:val="single" w:sz="4" w:space="0" w:color="auto"/>
            </w:tcBorders>
            <w:shd w:val="clear" w:color="auto" w:fill="D9E1F2"/>
          </w:tcPr>
          <w:p w14:paraId="3471A973" w14:textId="0E1BD20E"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625</w:t>
            </w:r>
          </w:p>
        </w:tc>
        <w:tc>
          <w:tcPr>
            <w:tcW w:w="661" w:type="pct"/>
            <w:tcBorders>
              <w:top w:val="single" w:sz="4" w:space="0" w:color="auto"/>
              <w:left w:val="nil"/>
              <w:bottom w:val="single" w:sz="4" w:space="0" w:color="auto"/>
              <w:right w:val="single" w:sz="4" w:space="0" w:color="auto"/>
            </w:tcBorders>
            <w:shd w:val="clear" w:color="auto" w:fill="D9E1F2"/>
          </w:tcPr>
          <w:p w14:paraId="077E5FA5" w14:textId="5C560A92"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w:t>
            </w:r>
          </w:p>
        </w:tc>
        <w:tc>
          <w:tcPr>
            <w:tcW w:w="558" w:type="pct"/>
            <w:tcBorders>
              <w:top w:val="single" w:sz="4" w:space="0" w:color="auto"/>
              <w:left w:val="nil"/>
              <w:bottom w:val="single" w:sz="4" w:space="0" w:color="auto"/>
              <w:right w:val="single" w:sz="4" w:space="0" w:color="auto"/>
            </w:tcBorders>
            <w:shd w:val="clear" w:color="auto" w:fill="D9E1F2"/>
          </w:tcPr>
          <w:p w14:paraId="1627FFA1" w14:textId="6BE078AD" w:rsidR="00EF591E" w:rsidRPr="00E940CF" w:rsidRDefault="00EF591E" w:rsidP="00EF591E">
            <w:pPr>
              <w:spacing w:after="0"/>
              <w:ind w:left="71" w:firstLine="28"/>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701</w:t>
            </w:r>
          </w:p>
        </w:tc>
        <w:tc>
          <w:tcPr>
            <w:tcW w:w="433" w:type="pct"/>
            <w:tcBorders>
              <w:top w:val="single" w:sz="4" w:space="0" w:color="auto"/>
              <w:left w:val="nil"/>
              <w:bottom w:val="single" w:sz="4" w:space="0" w:color="auto"/>
              <w:right w:val="single" w:sz="4" w:space="0" w:color="auto"/>
            </w:tcBorders>
            <w:shd w:val="clear" w:color="auto" w:fill="D9E1F2"/>
          </w:tcPr>
          <w:p w14:paraId="1786904B" w14:textId="1D82656F"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w:t>
            </w:r>
          </w:p>
        </w:tc>
      </w:tr>
      <w:tr w:rsidR="00EF591E" w:rsidRPr="00E940CF" w14:paraId="55961851" w14:textId="77777777" w:rsidTr="002A76F7">
        <w:trPr>
          <w:cantSplit/>
          <w:trHeight w:val="360"/>
        </w:trPr>
        <w:tc>
          <w:tcPr>
            <w:tcW w:w="1413" w:type="pct"/>
            <w:tcBorders>
              <w:top w:val="single" w:sz="4" w:space="0" w:color="auto"/>
              <w:left w:val="single" w:sz="4" w:space="0" w:color="auto"/>
              <w:bottom w:val="single" w:sz="4" w:space="0" w:color="auto"/>
              <w:right w:val="single" w:sz="4" w:space="0" w:color="auto"/>
            </w:tcBorders>
            <w:shd w:val="clear" w:color="auto" w:fill="D9E1F2"/>
            <w:noWrap/>
          </w:tcPr>
          <w:p w14:paraId="13D547EB" w14:textId="08748FB8" w:rsidR="00EF591E" w:rsidRPr="00E940CF" w:rsidRDefault="00A82487" w:rsidP="00EF591E">
            <w:pPr>
              <w:spacing w:after="0"/>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North Dartmouth</w:t>
            </w:r>
            <w:r w:rsidR="00EF591E" w:rsidRPr="00E940CF">
              <w:rPr>
                <w:rFonts w:ascii="Aptos" w:hAnsi="Aptos" w:cs="Times New Roman"/>
                <w:b/>
                <w:bCs/>
                <w:color w:val="1F4E79" w:themeColor="accent5" w:themeShade="80"/>
                <w:sz w:val="24"/>
                <w:szCs w:val="24"/>
              </w:rPr>
              <w:t>, MA</w:t>
            </w:r>
          </w:p>
        </w:tc>
        <w:tc>
          <w:tcPr>
            <w:tcW w:w="613" w:type="pct"/>
            <w:tcBorders>
              <w:top w:val="single" w:sz="4" w:space="0" w:color="auto"/>
              <w:left w:val="nil"/>
              <w:bottom w:val="single" w:sz="4" w:space="0" w:color="auto"/>
              <w:right w:val="single" w:sz="4" w:space="0" w:color="auto"/>
            </w:tcBorders>
            <w:shd w:val="clear" w:color="auto" w:fill="D9E1F2"/>
          </w:tcPr>
          <w:p w14:paraId="7834B911" w14:textId="160CE390"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514</w:t>
            </w:r>
          </w:p>
        </w:tc>
        <w:tc>
          <w:tcPr>
            <w:tcW w:w="661" w:type="pct"/>
            <w:tcBorders>
              <w:top w:val="single" w:sz="4" w:space="0" w:color="auto"/>
              <w:left w:val="nil"/>
              <w:bottom w:val="single" w:sz="4" w:space="0" w:color="auto"/>
              <w:right w:val="single" w:sz="4" w:space="0" w:color="auto"/>
            </w:tcBorders>
            <w:shd w:val="clear" w:color="auto" w:fill="D9E1F2"/>
          </w:tcPr>
          <w:p w14:paraId="19ACB1F2" w14:textId="0782D45F"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w:t>
            </w:r>
          </w:p>
        </w:tc>
        <w:tc>
          <w:tcPr>
            <w:tcW w:w="660" w:type="pct"/>
            <w:tcBorders>
              <w:top w:val="single" w:sz="4" w:space="0" w:color="auto"/>
              <w:left w:val="nil"/>
              <w:bottom w:val="single" w:sz="4" w:space="0" w:color="auto"/>
              <w:right w:val="single" w:sz="4" w:space="0" w:color="auto"/>
            </w:tcBorders>
            <w:shd w:val="clear" w:color="auto" w:fill="D9E1F2"/>
          </w:tcPr>
          <w:p w14:paraId="113352A1" w14:textId="4119F7CF"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580</w:t>
            </w:r>
          </w:p>
        </w:tc>
        <w:tc>
          <w:tcPr>
            <w:tcW w:w="661" w:type="pct"/>
            <w:tcBorders>
              <w:top w:val="single" w:sz="4" w:space="0" w:color="auto"/>
              <w:left w:val="nil"/>
              <w:bottom w:val="single" w:sz="4" w:space="0" w:color="auto"/>
              <w:right w:val="single" w:sz="4" w:space="0" w:color="auto"/>
            </w:tcBorders>
            <w:shd w:val="clear" w:color="auto" w:fill="D9E1F2"/>
          </w:tcPr>
          <w:p w14:paraId="78F5A96D" w14:textId="1C449BFD"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w:t>
            </w:r>
          </w:p>
        </w:tc>
        <w:tc>
          <w:tcPr>
            <w:tcW w:w="558" w:type="pct"/>
            <w:tcBorders>
              <w:top w:val="single" w:sz="4" w:space="0" w:color="auto"/>
              <w:left w:val="nil"/>
              <w:bottom w:val="single" w:sz="4" w:space="0" w:color="auto"/>
              <w:right w:val="single" w:sz="4" w:space="0" w:color="auto"/>
            </w:tcBorders>
            <w:shd w:val="clear" w:color="auto" w:fill="D9E1F2"/>
          </w:tcPr>
          <w:p w14:paraId="0371AA9F" w14:textId="0F20FFF2" w:rsidR="00EF591E" w:rsidRPr="00E940CF" w:rsidRDefault="00EF591E" w:rsidP="00EF591E">
            <w:pPr>
              <w:spacing w:after="0"/>
              <w:ind w:left="71" w:firstLine="28"/>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618</w:t>
            </w:r>
          </w:p>
        </w:tc>
        <w:tc>
          <w:tcPr>
            <w:tcW w:w="433" w:type="pct"/>
            <w:tcBorders>
              <w:top w:val="single" w:sz="4" w:space="0" w:color="auto"/>
              <w:left w:val="nil"/>
              <w:bottom w:val="single" w:sz="4" w:space="0" w:color="auto"/>
              <w:right w:val="single" w:sz="4" w:space="0" w:color="auto"/>
            </w:tcBorders>
            <w:shd w:val="clear" w:color="auto" w:fill="D9E1F2"/>
          </w:tcPr>
          <w:p w14:paraId="3AAB3828" w14:textId="0007A1E3"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w:t>
            </w:r>
          </w:p>
        </w:tc>
      </w:tr>
      <w:tr w:rsidR="00EF591E" w:rsidRPr="00E940CF" w14:paraId="0C213510" w14:textId="77777777" w:rsidTr="002A76F7">
        <w:trPr>
          <w:cantSplit/>
          <w:trHeight w:val="360"/>
        </w:trPr>
        <w:tc>
          <w:tcPr>
            <w:tcW w:w="1413" w:type="pct"/>
            <w:tcBorders>
              <w:top w:val="single" w:sz="4" w:space="0" w:color="auto"/>
              <w:left w:val="single" w:sz="4" w:space="0" w:color="auto"/>
              <w:bottom w:val="single" w:sz="4" w:space="0" w:color="auto"/>
              <w:right w:val="single" w:sz="4" w:space="0" w:color="auto"/>
            </w:tcBorders>
            <w:shd w:val="clear" w:color="auto" w:fill="D9E1F2"/>
            <w:noWrap/>
          </w:tcPr>
          <w:p w14:paraId="42156018" w14:textId="4C8BDAAB" w:rsidR="00EF591E" w:rsidRPr="00E940CF" w:rsidRDefault="00A82487" w:rsidP="00EF591E">
            <w:pPr>
              <w:spacing w:after="0"/>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Tiverton</w:t>
            </w:r>
            <w:r w:rsidR="00EF591E" w:rsidRPr="00E940CF">
              <w:rPr>
                <w:rFonts w:ascii="Aptos" w:hAnsi="Aptos" w:cs="Times New Roman"/>
                <w:b/>
                <w:bCs/>
                <w:color w:val="1F4E79" w:themeColor="accent5" w:themeShade="80"/>
                <w:sz w:val="24"/>
                <w:szCs w:val="24"/>
              </w:rPr>
              <w:t xml:space="preserve">, </w:t>
            </w:r>
            <w:r>
              <w:rPr>
                <w:rFonts w:ascii="Aptos" w:hAnsi="Aptos" w:cs="Times New Roman"/>
                <w:b/>
                <w:bCs/>
                <w:color w:val="1F4E79" w:themeColor="accent5" w:themeShade="80"/>
                <w:sz w:val="24"/>
                <w:szCs w:val="24"/>
              </w:rPr>
              <w:t>Rhode Island (</w:t>
            </w:r>
            <w:r w:rsidR="00EF591E" w:rsidRPr="00E940CF">
              <w:rPr>
                <w:rFonts w:ascii="Aptos" w:hAnsi="Aptos" w:cs="Times New Roman"/>
                <w:b/>
                <w:bCs/>
                <w:color w:val="1F4E79" w:themeColor="accent5" w:themeShade="80"/>
                <w:sz w:val="24"/>
                <w:szCs w:val="24"/>
              </w:rPr>
              <w:t>RI</w:t>
            </w:r>
            <w:r>
              <w:rPr>
                <w:rFonts w:ascii="Aptos" w:hAnsi="Aptos" w:cs="Times New Roman"/>
                <w:b/>
                <w:bCs/>
                <w:color w:val="1F4E79" w:themeColor="accent5" w:themeShade="80"/>
                <w:sz w:val="24"/>
                <w:szCs w:val="24"/>
              </w:rPr>
              <w:t>)</w:t>
            </w:r>
          </w:p>
        </w:tc>
        <w:tc>
          <w:tcPr>
            <w:tcW w:w="613" w:type="pct"/>
            <w:tcBorders>
              <w:top w:val="single" w:sz="4" w:space="0" w:color="auto"/>
              <w:left w:val="nil"/>
              <w:bottom w:val="single" w:sz="4" w:space="0" w:color="auto"/>
              <w:right w:val="single" w:sz="4" w:space="0" w:color="auto"/>
            </w:tcBorders>
            <w:shd w:val="clear" w:color="auto" w:fill="D9E1F2"/>
          </w:tcPr>
          <w:p w14:paraId="49144944" w14:textId="4133096D"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446</w:t>
            </w:r>
          </w:p>
        </w:tc>
        <w:tc>
          <w:tcPr>
            <w:tcW w:w="661" w:type="pct"/>
            <w:tcBorders>
              <w:top w:val="single" w:sz="4" w:space="0" w:color="auto"/>
              <w:left w:val="nil"/>
              <w:bottom w:val="single" w:sz="4" w:space="0" w:color="auto"/>
              <w:right w:val="single" w:sz="4" w:space="0" w:color="auto"/>
            </w:tcBorders>
            <w:shd w:val="clear" w:color="auto" w:fill="D9E1F2"/>
          </w:tcPr>
          <w:p w14:paraId="2A4B99A9" w14:textId="5DFD819F"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w:t>
            </w:r>
          </w:p>
        </w:tc>
        <w:tc>
          <w:tcPr>
            <w:tcW w:w="660" w:type="pct"/>
            <w:tcBorders>
              <w:top w:val="single" w:sz="4" w:space="0" w:color="auto"/>
              <w:left w:val="nil"/>
              <w:bottom w:val="single" w:sz="4" w:space="0" w:color="auto"/>
              <w:right w:val="single" w:sz="4" w:space="0" w:color="auto"/>
            </w:tcBorders>
            <w:shd w:val="clear" w:color="auto" w:fill="D9E1F2"/>
          </w:tcPr>
          <w:p w14:paraId="3152A7B6" w14:textId="6162A799"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477</w:t>
            </w:r>
          </w:p>
        </w:tc>
        <w:tc>
          <w:tcPr>
            <w:tcW w:w="661" w:type="pct"/>
            <w:tcBorders>
              <w:top w:val="single" w:sz="4" w:space="0" w:color="auto"/>
              <w:left w:val="nil"/>
              <w:bottom w:val="single" w:sz="4" w:space="0" w:color="auto"/>
              <w:right w:val="single" w:sz="4" w:space="0" w:color="auto"/>
            </w:tcBorders>
            <w:shd w:val="clear" w:color="auto" w:fill="D9E1F2"/>
          </w:tcPr>
          <w:p w14:paraId="4AF8B740" w14:textId="20C47592"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w:t>
            </w:r>
          </w:p>
        </w:tc>
        <w:tc>
          <w:tcPr>
            <w:tcW w:w="558" w:type="pct"/>
            <w:tcBorders>
              <w:top w:val="single" w:sz="4" w:space="0" w:color="auto"/>
              <w:left w:val="nil"/>
              <w:bottom w:val="single" w:sz="4" w:space="0" w:color="auto"/>
              <w:right w:val="single" w:sz="4" w:space="0" w:color="auto"/>
            </w:tcBorders>
            <w:shd w:val="clear" w:color="auto" w:fill="D9E1F2"/>
          </w:tcPr>
          <w:p w14:paraId="429AECB0" w14:textId="2BDF257A" w:rsidR="00EF591E" w:rsidRPr="00E940CF" w:rsidRDefault="00EF591E" w:rsidP="00EF591E">
            <w:pPr>
              <w:spacing w:after="0"/>
              <w:ind w:left="71" w:firstLine="28"/>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489</w:t>
            </w:r>
          </w:p>
        </w:tc>
        <w:tc>
          <w:tcPr>
            <w:tcW w:w="433" w:type="pct"/>
            <w:tcBorders>
              <w:top w:val="single" w:sz="4" w:space="0" w:color="auto"/>
              <w:left w:val="nil"/>
              <w:bottom w:val="single" w:sz="4" w:space="0" w:color="auto"/>
              <w:right w:val="single" w:sz="4" w:space="0" w:color="auto"/>
            </w:tcBorders>
            <w:shd w:val="clear" w:color="auto" w:fill="D9E1F2"/>
          </w:tcPr>
          <w:p w14:paraId="4C76FEFE" w14:textId="2AAD7F15"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w:t>
            </w:r>
          </w:p>
        </w:tc>
      </w:tr>
      <w:tr w:rsidR="00EF591E" w:rsidRPr="00E940CF" w14:paraId="68A039EA" w14:textId="77777777" w:rsidTr="002A76F7">
        <w:trPr>
          <w:cantSplit/>
          <w:trHeight w:val="360"/>
        </w:trPr>
        <w:tc>
          <w:tcPr>
            <w:tcW w:w="1413" w:type="pct"/>
            <w:tcBorders>
              <w:top w:val="single" w:sz="4" w:space="0" w:color="auto"/>
              <w:left w:val="single" w:sz="4" w:space="0" w:color="auto"/>
              <w:bottom w:val="single" w:sz="4" w:space="0" w:color="auto"/>
              <w:right w:val="single" w:sz="4" w:space="0" w:color="auto"/>
            </w:tcBorders>
            <w:shd w:val="clear" w:color="auto" w:fill="D9E1F2"/>
            <w:noWrap/>
          </w:tcPr>
          <w:p w14:paraId="58623743" w14:textId="2EE48267" w:rsidR="00EF591E" w:rsidRPr="00E940CF" w:rsidRDefault="00A82487" w:rsidP="00EF591E">
            <w:pPr>
              <w:spacing w:after="0"/>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Wareham</w:t>
            </w:r>
            <w:r w:rsidR="00EF591E" w:rsidRPr="00E940CF">
              <w:rPr>
                <w:rFonts w:ascii="Aptos" w:hAnsi="Aptos" w:cs="Times New Roman"/>
                <w:b/>
                <w:bCs/>
                <w:color w:val="1F4E79" w:themeColor="accent5" w:themeShade="80"/>
                <w:sz w:val="24"/>
                <w:szCs w:val="24"/>
              </w:rPr>
              <w:t>, MA</w:t>
            </w:r>
          </w:p>
        </w:tc>
        <w:tc>
          <w:tcPr>
            <w:tcW w:w="613" w:type="pct"/>
            <w:tcBorders>
              <w:top w:val="single" w:sz="4" w:space="0" w:color="auto"/>
              <w:left w:val="nil"/>
              <w:bottom w:val="single" w:sz="4" w:space="0" w:color="auto"/>
              <w:right w:val="single" w:sz="4" w:space="0" w:color="auto"/>
            </w:tcBorders>
            <w:shd w:val="clear" w:color="auto" w:fill="D9E1F2"/>
          </w:tcPr>
          <w:p w14:paraId="4AEEE22D" w14:textId="1215D845"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361</w:t>
            </w:r>
          </w:p>
        </w:tc>
        <w:tc>
          <w:tcPr>
            <w:tcW w:w="661" w:type="pct"/>
            <w:tcBorders>
              <w:top w:val="single" w:sz="4" w:space="0" w:color="auto"/>
              <w:left w:val="nil"/>
              <w:bottom w:val="single" w:sz="4" w:space="0" w:color="auto"/>
              <w:right w:val="single" w:sz="4" w:space="0" w:color="auto"/>
            </w:tcBorders>
            <w:shd w:val="clear" w:color="auto" w:fill="D9E1F2"/>
          </w:tcPr>
          <w:p w14:paraId="4967B436" w14:textId="6B169127"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w:t>
            </w:r>
          </w:p>
        </w:tc>
        <w:tc>
          <w:tcPr>
            <w:tcW w:w="660" w:type="pct"/>
            <w:tcBorders>
              <w:top w:val="single" w:sz="4" w:space="0" w:color="auto"/>
              <w:left w:val="nil"/>
              <w:bottom w:val="single" w:sz="4" w:space="0" w:color="auto"/>
              <w:right w:val="single" w:sz="4" w:space="0" w:color="auto"/>
            </w:tcBorders>
            <w:shd w:val="clear" w:color="auto" w:fill="D9E1F2"/>
          </w:tcPr>
          <w:p w14:paraId="2A79499F" w14:textId="5BCB66F3"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423</w:t>
            </w:r>
          </w:p>
        </w:tc>
        <w:tc>
          <w:tcPr>
            <w:tcW w:w="661" w:type="pct"/>
            <w:tcBorders>
              <w:top w:val="single" w:sz="4" w:space="0" w:color="auto"/>
              <w:left w:val="nil"/>
              <w:bottom w:val="single" w:sz="4" w:space="0" w:color="auto"/>
              <w:right w:val="single" w:sz="4" w:space="0" w:color="auto"/>
            </w:tcBorders>
            <w:shd w:val="clear" w:color="auto" w:fill="D9E1F2"/>
          </w:tcPr>
          <w:p w14:paraId="0A0A0F9D" w14:textId="253953C4"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w:t>
            </w:r>
          </w:p>
        </w:tc>
        <w:tc>
          <w:tcPr>
            <w:tcW w:w="558" w:type="pct"/>
            <w:tcBorders>
              <w:top w:val="single" w:sz="4" w:space="0" w:color="auto"/>
              <w:left w:val="nil"/>
              <w:bottom w:val="single" w:sz="4" w:space="0" w:color="auto"/>
              <w:right w:val="single" w:sz="4" w:space="0" w:color="auto"/>
            </w:tcBorders>
            <w:shd w:val="clear" w:color="auto" w:fill="D9E1F2"/>
          </w:tcPr>
          <w:p w14:paraId="3F05AC03" w14:textId="234F57BA" w:rsidR="00EF591E" w:rsidRPr="00E940CF" w:rsidRDefault="00EF591E" w:rsidP="00EF591E">
            <w:pPr>
              <w:spacing w:after="0"/>
              <w:ind w:left="71" w:firstLine="28"/>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467</w:t>
            </w:r>
          </w:p>
        </w:tc>
        <w:tc>
          <w:tcPr>
            <w:tcW w:w="433" w:type="pct"/>
            <w:tcBorders>
              <w:top w:val="single" w:sz="4" w:space="0" w:color="auto"/>
              <w:left w:val="nil"/>
              <w:bottom w:val="single" w:sz="4" w:space="0" w:color="auto"/>
              <w:right w:val="single" w:sz="4" w:space="0" w:color="auto"/>
            </w:tcBorders>
            <w:shd w:val="clear" w:color="auto" w:fill="D9E1F2"/>
          </w:tcPr>
          <w:p w14:paraId="57A4CED9" w14:textId="35E54606"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w:t>
            </w:r>
          </w:p>
        </w:tc>
      </w:tr>
      <w:tr w:rsidR="00EF591E" w:rsidRPr="00E940CF" w14:paraId="7B0CE556" w14:textId="77777777" w:rsidTr="002A76F7">
        <w:trPr>
          <w:cantSplit/>
          <w:trHeight w:val="360"/>
        </w:trPr>
        <w:tc>
          <w:tcPr>
            <w:tcW w:w="1413" w:type="pct"/>
            <w:tcBorders>
              <w:top w:val="single" w:sz="4" w:space="0" w:color="auto"/>
              <w:left w:val="single" w:sz="4" w:space="0" w:color="auto"/>
              <w:bottom w:val="single" w:sz="4" w:space="0" w:color="auto"/>
              <w:right w:val="single" w:sz="4" w:space="0" w:color="auto"/>
            </w:tcBorders>
            <w:shd w:val="clear" w:color="auto" w:fill="D9E1F2"/>
            <w:noWrap/>
          </w:tcPr>
          <w:p w14:paraId="1C521947" w14:textId="26AEF9A8" w:rsidR="00EF591E" w:rsidRPr="00E940CF" w:rsidRDefault="00A82487" w:rsidP="00EF591E">
            <w:pPr>
              <w:spacing w:after="0"/>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South Dartmouth</w:t>
            </w:r>
            <w:r w:rsidR="00EF591E" w:rsidRPr="00E940CF">
              <w:rPr>
                <w:rFonts w:ascii="Aptos" w:hAnsi="Aptos" w:cs="Times New Roman"/>
                <w:b/>
                <w:bCs/>
                <w:color w:val="1F4E79" w:themeColor="accent5" w:themeShade="80"/>
                <w:sz w:val="24"/>
                <w:szCs w:val="24"/>
              </w:rPr>
              <w:t>, MA</w:t>
            </w:r>
          </w:p>
        </w:tc>
        <w:tc>
          <w:tcPr>
            <w:tcW w:w="613" w:type="pct"/>
            <w:tcBorders>
              <w:top w:val="single" w:sz="4" w:space="0" w:color="auto"/>
              <w:left w:val="nil"/>
              <w:bottom w:val="single" w:sz="4" w:space="0" w:color="auto"/>
              <w:right w:val="single" w:sz="4" w:space="0" w:color="auto"/>
            </w:tcBorders>
            <w:shd w:val="clear" w:color="auto" w:fill="D9E1F2"/>
          </w:tcPr>
          <w:p w14:paraId="14A088AB" w14:textId="47AD53A4"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317</w:t>
            </w:r>
          </w:p>
        </w:tc>
        <w:tc>
          <w:tcPr>
            <w:tcW w:w="661" w:type="pct"/>
            <w:tcBorders>
              <w:top w:val="single" w:sz="4" w:space="0" w:color="auto"/>
              <w:left w:val="nil"/>
              <w:bottom w:val="single" w:sz="4" w:space="0" w:color="auto"/>
              <w:right w:val="single" w:sz="4" w:space="0" w:color="auto"/>
            </w:tcBorders>
            <w:shd w:val="clear" w:color="auto" w:fill="D9E1F2"/>
          </w:tcPr>
          <w:p w14:paraId="6DA7D3B9" w14:textId="5F6EA13A"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w:t>
            </w:r>
          </w:p>
        </w:tc>
        <w:tc>
          <w:tcPr>
            <w:tcW w:w="660" w:type="pct"/>
            <w:tcBorders>
              <w:top w:val="single" w:sz="4" w:space="0" w:color="auto"/>
              <w:left w:val="nil"/>
              <w:bottom w:val="single" w:sz="4" w:space="0" w:color="auto"/>
              <w:right w:val="single" w:sz="4" w:space="0" w:color="auto"/>
            </w:tcBorders>
            <w:shd w:val="clear" w:color="auto" w:fill="D9E1F2"/>
          </w:tcPr>
          <w:p w14:paraId="5A72449C" w14:textId="322C286E"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375</w:t>
            </w:r>
          </w:p>
        </w:tc>
        <w:tc>
          <w:tcPr>
            <w:tcW w:w="661" w:type="pct"/>
            <w:tcBorders>
              <w:top w:val="single" w:sz="4" w:space="0" w:color="auto"/>
              <w:left w:val="nil"/>
              <w:bottom w:val="single" w:sz="4" w:space="0" w:color="auto"/>
              <w:right w:val="single" w:sz="4" w:space="0" w:color="auto"/>
            </w:tcBorders>
            <w:shd w:val="clear" w:color="auto" w:fill="D9E1F2"/>
          </w:tcPr>
          <w:p w14:paraId="6CBEFDCB" w14:textId="6317CF30"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w:t>
            </w:r>
          </w:p>
        </w:tc>
        <w:tc>
          <w:tcPr>
            <w:tcW w:w="558" w:type="pct"/>
            <w:tcBorders>
              <w:top w:val="single" w:sz="4" w:space="0" w:color="auto"/>
              <w:left w:val="nil"/>
              <w:bottom w:val="single" w:sz="4" w:space="0" w:color="auto"/>
              <w:right w:val="single" w:sz="4" w:space="0" w:color="auto"/>
            </w:tcBorders>
            <w:shd w:val="clear" w:color="auto" w:fill="D9E1F2"/>
          </w:tcPr>
          <w:p w14:paraId="761B4EE0" w14:textId="23744C5D" w:rsidR="00EF591E" w:rsidRPr="00E940CF" w:rsidRDefault="00EF591E" w:rsidP="00EF591E">
            <w:pPr>
              <w:spacing w:after="0"/>
              <w:ind w:left="71" w:firstLine="28"/>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417</w:t>
            </w:r>
          </w:p>
        </w:tc>
        <w:tc>
          <w:tcPr>
            <w:tcW w:w="433" w:type="pct"/>
            <w:tcBorders>
              <w:top w:val="single" w:sz="4" w:space="0" w:color="auto"/>
              <w:left w:val="nil"/>
              <w:bottom w:val="single" w:sz="4" w:space="0" w:color="auto"/>
              <w:right w:val="single" w:sz="4" w:space="0" w:color="auto"/>
            </w:tcBorders>
            <w:shd w:val="clear" w:color="auto" w:fill="D9E1F2"/>
          </w:tcPr>
          <w:p w14:paraId="10ADEA94" w14:textId="3FA26327"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w:t>
            </w:r>
          </w:p>
        </w:tc>
      </w:tr>
      <w:tr w:rsidR="00EF591E" w:rsidRPr="00E940CF" w14:paraId="7D1D05BF" w14:textId="77777777" w:rsidTr="002A76F7">
        <w:trPr>
          <w:cantSplit/>
          <w:trHeight w:val="360"/>
        </w:trPr>
        <w:tc>
          <w:tcPr>
            <w:tcW w:w="1413" w:type="pct"/>
            <w:tcBorders>
              <w:top w:val="single" w:sz="4" w:space="0" w:color="auto"/>
              <w:left w:val="single" w:sz="4" w:space="0" w:color="auto"/>
              <w:bottom w:val="single" w:sz="4" w:space="0" w:color="auto"/>
              <w:right w:val="single" w:sz="4" w:space="0" w:color="auto"/>
            </w:tcBorders>
            <w:shd w:val="clear" w:color="auto" w:fill="D9E1F2"/>
            <w:noWrap/>
          </w:tcPr>
          <w:p w14:paraId="2A9213F8" w14:textId="6D7B5553" w:rsidR="00EF591E" w:rsidRPr="00E940CF" w:rsidRDefault="00A82487" w:rsidP="00EF591E">
            <w:pPr>
              <w:spacing w:after="0"/>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Acushnet</w:t>
            </w:r>
            <w:r w:rsidR="00EF591E" w:rsidRPr="00E940CF">
              <w:rPr>
                <w:rFonts w:ascii="Aptos" w:hAnsi="Aptos" w:cs="Times New Roman"/>
                <w:b/>
                <w:bCs/>
                <w:color w:val="1F4E79" w:themeColor="accent5" w:themeShade="80"/>
                <w:sz w:val="24"/>
                <w:szCs w:val="24"/>
              </w:rPr>
              <w:t>, MA</w:t>
            </w:r>
          </w:p>
        </w:tc>
        <w:tc>
          <w:tcPr>
            <w:tcW w:w="613" w:type="pct"/>
            <w:tcBorders>
              <w:top w:val="single" w:sz="4" w:space="0" w:color="auto"/>
              <w:left w:val="nil"/>
              <w:bottom w:val="single" w:sz="4" w:space="0" w:color="auto"/>
              <w:right w:val="single" w:sz="4" w:space="0" w:color="auto"/>
            </w:tcBorders>
            <w:shd w:val="clear" w:color="auto" w:fill="D9E1F2"/>
          </w:tcPr>
          <w:p w14:paraId="4114D98D" w14:textId="23703459"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322</w:t>
            </w:r>
          </w:p>
        </w:tc>
        <w:tc>
          <w:tcPr>
            <w:tcW w:w="661" w:type="pct"/>
            <w:tcBorders>
              <w:top w:val="single" w:sz="4" w:space="0" w:color="auto"/>
              <w:left w:val="nil"/>
              <w:bottom w:val="single" w:sz="4" w:space="0" w:color="auto"/>
              <w:right w:val="single" w:sz="4" w:space="0" w:color="auto"/>
            </w:tcBorders>
            <w:shd w:val="clear" w:color="auto" w:fill="D9E1F2"/>
          </w:tcPr>
          <w:p w14:paraId="57EAC280" w14:textId="229509AF"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w:t>
            </w:r>
          </w:p>
        </w:tc>
        <w:tc>
          <w:tcPr>
            <w:tcW w:w="660" w:type="pct"/>
            <w:tcBorders>
              <w:top w:val="single" w:sz="4" w:space="0" w:color="auto"/>
              <w:left w:val="nil"/>
              <w:bottom w:val="single" w:sz="4" w:space="0" w:color="auto"/>
              <w:right w:val="single" w:sz="4" w:space="0" w:color="auto"/>
            </w:tcBorders>
            <w:shd w:val="clear" w:color="auto" w:fill="D9E1F2"/>
          </w:tcPr>
          <w:p w14:paraId="64347EE4" w14:textId="4AA13FC3"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360</w:t>
            </w:r>
          </w:p>
        </w:tc>
        <w:tc>
          <w:tcPr>
            <w:tcW w:w="661" w:type="pct"/>
            <w:tcBorders>
              <w:top w:val="single" w:sz="4" w:space="0" w:color="auto"/>
              <w:left w:val="nil"/>
              <w:bottom w:val="single" w:sz="4" w:space="0" w:color="auto"/>
              <w:right w:val="single" w:sz="4" w:space="0" w:color="auto"/>
            </w:tcBorders>
            <w:shd w:val="clear" w:color="auto" w:fill="D9E1F2"/>
          </w:tcPr>
          <w:p w14:paraId="4CF4DB3A" w14:textId="2717F6BB"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w:t>
            </w:r>
          </w:p>
        </w:tc>
        <w:tc>
          <w:tcPr>
            <w:tcW w:w="558" w:type="pct"/>
            <w:tcBorders>
              <w:top w:val="single" w:sz="4" w:space="0" w:color="auto"/>
              <w:left w:val="nil"/>
              <w:bottom w:val="single" w:sz="4" w:space="0" w:color="auto"/>
              <w:right w:val="single" w:sz="4" w:space="0" w:color="auto"/>
            </w:tcBorders>
            <w:shd w:val="clear" w:color="auto" w:fill="D9E1F2"/>
          </w:tcPr>
          <w:p w14:paraId="688B1736" w14:textId="5D612412" w:rsidR="00EF591E" w:rsidRPr="00E940CF" w:rsidRDefault="00EF591E" w:rsidP="00EF591E">
            <w:pPr>
              <w:spacing w:after="0"/>
              <w:ind w:left="71" w:firstLine="28"/>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383</w:t>
            </w:r>
          </w:p>
        </w:tc>
        <w:tc>
          <w:tcPr>
            <w:tcW w:w="433" w:type="pct"/>
            <w:tcBorders>
              <w:top w:val="single" w:sz="4" w:space="0" w:color="auto"/>
              <w:left w:val="nil"/>
              <w:bottom w:val="single" w:sz="4" w:space="0" w:color="auto"/>
              <w:right w:val="single" w:sz="4" w:space="0" w:color="auto"/>
            </w:tcBorders>
            <w:shd w:val="clear" w:color="auto" w:fill="D9E1F2"/>
          </w:tcPr>
          <w:p w14:paraId="3B0655F9" w14:textId="72B1B2F5"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w:t>
            </w:r>
          </w:p>
        </w:tc>
      </w:tr>
      <w:tr w:rsidR="00EF591E" w:rsidRPr="00E940CF" w14:paraId="532B7819" w14:textId="77777777" w:rsidTr="002A76F7">
        <w:trPr>
          <w:cantSplit/>
          <w:trHeight w:val="360"/>
        </w:trPr>
        <w:tc>
          <w:tcPr>
            <w:tcW w:w="1413" w:type="pct"/>
            <w:tcBorders>
              <w:top w:val="single" w:sz="4" w:space="0" w:color="auto"/>
              <w:left w:val="single" w:sz="4" w:space="0" w:color="auto"/>
              <w:bottom w:val="single" w:sz="4" w:space="0" w:color="auto"/>
              <w:right w:val="single" w:sz="4" w:space="0" w:color="auto"/>
            </w:tcBorders>
            <w:shd w:val="clear" w:color="auto" w:fill="D9E1F2"/>
            <w:noWrap/>
          </w:tcPr>
          <w:p w14:paraId="7FF39798" w14:textId="2621FDBE" w:rsidR="00EF591E" w:rsidRPr="00E940CF" w:rsidRDefault="00A82487" w:rsidP="00EF591E">
            <w:pPr>
              <w:spacing w:after="0"/>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Mattapoisett</w:t>
            </w:r>
            <w:r w:rsidR="00EF591E" w:rsidRPr="00E940CF">
              <w:rPr>
                <w:rFonts w:ascii="Aptos" w:hAnsi="Aptos" w:cs="Times New Roman"/>
                <w:b/>
                <w:bCs/>
                <w:color w:val="1F4E79" w:themeColor="accent5" w:themeShade="80"/>
                <w:sz w:val="24"/>
                <w:szCs w:val="24"/>
              </w:rPr>
              <w:t>, MA</w:t>
            </w:r>
          </w:p>
        </w:tc>
        <w:tc>
          <w:tcPr>
            <w:tcW w:w="613" w:type="pct"/>
            <w:tcBorders>
              <w:top w:val="single" w:sz="4" w:space="0" w:color="auto"/>
              <w:left w:val="nil"/>
              <w:bottom w:val="single" w:sz="4" w:space="0" w:color="auto"/>
              <w:right w:val="single" w:sz="4" w:space="0" w:color="auto"/>
            </w:tcBorders>
            <w:shd w:val="clear" w:color="auto" w:fill="D9E1F2"/>
          </w:tcPr>
          <w:p w14:paraId="3F0BABCA" w14:textId="5654FED1"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258</w:t>
            </w:r>
          </w:p>
        </w:tc>
        <w:tc>
          <w:tcPr>
            <w:tcW w:w="661" w:type="pct"/>
            <w:tcBorders>
              <w:top w:val="single" w:sz="4" w:space="0" w:color="auto"/>
              <w:left w:val="nil"/>
              <w:bottom w:val="single" w:sz="4" w:space="0" w:color="auto"/>
              <w:right w:val="single" w:sz="4" w:space="0" w:color="auto"/>
            </w:tcBorders>
            <w:shd w:val="clear" w:color="auto" w:fill="D9E1F2"/>
          </w:tcPr>
          <w:p w14:paraId="3DCA2ABE" w14:textId="15C06E9F"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w:t>
            </w:r>
          </w:p>
        </w:tc>
        <w:tc>
          <w:tcPr>
            <w:tcW w:w="660" w:type="pct"/>
            <w:tcBorders>
              <w:top w:val="single" w:sz="4" w:space="0" w:color="auto"/>
              <w:left w:val="nil"/>
              <w:bottom w:val="single" w:sz="4" w:space="0" w:color="auto"/>
              <w:right w:val="single" w:sz="4" w:space="0" w:color="auto"/>
            </w:tcBorders>
            <w:shd w:val="clear" w:color="auto" w:fill="D9E1F2"/>
          </w:tcPr>
          <w:p w14:paraId="0FD68402" w14:textId="1260834F"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292</w:t>
            </w:r>
          </w:p>
        </w:tc>
        <w:tc>
          <w:tcPr>
            <w:tcW w:w="661" w:type="pct"/>
            <w:tcBorders>
              <w:top w:val="single" w:sz="4" w:space="0" w:color="auto"/>
              <w:left w:val="nil"/>
              <w:bottom w:val="single" w:sz="4" w:space="0" w:color="auto"/>
              <w:right w:val="single" w:sz="4" w:space="0" w:color="auto"/>
            </w:tcBorders>
            <w:shd w:val="clear" w:color="auto" w:fill="D9E1F2"/>
          </w:tcPr>
          <w:p w14:paraId="3392F10E" w14:textId="1B9A345C"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w:t>
            </w:r>
          </w:p>
        </w:tc>
        <w:tc>
          <w:tcPr>
            <w:tcW w:w="558" w:type="pct"/>
            <w:tcBorders>
              <w:top w:val="single" w:sz="4" w:space="0" w:color="auto"/>
              <w:left w:val="nil"/>
              <w:bottom w:val="single" w:sz="4" w:space="0" w:color="auto"/>
              <w:right w:val="single" w:sz="4" w:space="0" w:color="auto"/>
            </w:tcBorders>
            <w:shd w:val="clear" w:color="auto" w:fill="D9E1F2"/>
          </w:tcPr>
          <w:p w14:paraId="273685FF" w14:textId="05D76BEA" w:rsidR="00EF591E" w:rsidRPr="00E940CF" w:rsidRDefault="00EF591E" w:rsidP="00EF591E">
            <w:pPr>
              <w:spacing w:after="0"/>
              <w:ind w:left="71" w:firstLine="28"/>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336</w:t>
            </w:r>
          </w:p>
        </w:tc>
        <w:tc>
          <w:tcPr>
            <w:tcW w:w="433" w:type="pct"/>
            <w:tcBorders>
              <w:top w:val="single" w:sz="4" w:space="0" w:color="auto"/>
              <w:left w:val="nil"/>
              <w:bottom w:val="single" w:sz="4" w:space="0" w:color="auto"/>
              <w:right w:val="single" w:sz="4" w:space="0" w:color="auto"/>
            </w:tcBorders>
            <w:shd w:val="clear" w:color="auto" w:fill="D9E1F2"/>
          </w:tcPr>
          <w:p w14:paraId="71BF4E4B" w14:textId="3453B637"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w:t>
            </w:r>
          </w:p>
        </w:tc>
      </w:tr>
      <w:tr w:rsidR="00EF591E" w:rsidRPr="00E940CF" w14:paraId="0B73D618" w14:textId="77777777" w:rsidTr="002A76F7">
        <w:trPr>
          <w:cantSplit/>
          <w:trHeight w:val="360"/>
        </w:trPr>
        <w:tc>
          <w:tcPr>
            <w:tcW w:w="1413" w:type="pct"/>
            <w:tcBorders>
              <w:top w:val="single" w:sz="4" w:space="0" w:color="auto"/>
              <w:left w:val="single" w:sz="4" w:space="0" w:color="auto"/>
              <w:bottom w:val="single" w:sz="4" w:space="0" w:color="auto"/>
              <w:right w:val="single" w:sz="4" w:space="0" w:color="auto"/>
            </w:tcBorders>
            <w:shd w:val="clear" w:color="auto" w:fill="D9E1F2"/>
            <w:noWrap/>
          </w:tcPr>
          <w:p w14:paraId="10B5EF12" w14:textId="633AA878" w:rsidR="00EF591E" w:rsidRPr="00E940CF" w:rsidRDefault="00A82487" w:rsidP="00EF591E">
            <w:pPr>
              <w:spacing w:after="0"/>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Portsmouth</w:t>
            </w:r>
            <w:r w:rsidR="00EF591E" w:rsidRPr="00E940CF">
              <w:rPr>
                <w:rFonts w:ascii="Aptos" w:hAnsi="Aptos" w:cs="Times New Roman"/>
                <w:b/>
                <w:bCs/>
                <w:color w:val="1F4E79" w:themeColor="accent5" w:themeShade="80"/>
                <w:sz w:val="24"/>
                <w:szCs w:val="24"/>
              </w:rPr>
              <w:t>, RI</w:t>
            </w:r>
          </w:p>
        </w:tc>
        <w:tc>
          <w:tcPr>
            <w:tcW w:w="613" w:type="pct"/>
            <w:tcBorders>
              <w:top w:val="single" w:sz="4" w:space="0" w:color="auto"/>
              <w:left w:val="nil"/>
              <w:bottom w:val="single" w:sz="4" w:space="0" w:color="auto"/>
              <w:right w:val="single" w:sz="4" w:space="0" w:color="auto"/>
            </w:tcBorders>
            <w:shd w:val="clear" w:color="auto" w:fill="D9E1F2"/>
          </w:tcPr>
          <w:p w14:paraId="2EA14E72" w14:textId="066466EB"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242</w:t>
            </w:r>
          </w:p>
        </w:tc>
        <w:tc>
          <w:tcPr>
            <w:tcW w:w="661" w:type="pct"/>
            <w:tcBorders>
              <w:top w:val="single" w:sz="4" w:space="0" w:color="auto"/>
              <w:left w:val="nil"/>
              <w:bottom w:val="single" w:sz="4" w:space="0" w:color="auto"/>
              <w:right w:val="single" w:sz="4" w:space="0" w:color="auto"/>
            </w:tcBorders>
            <w:shd w:val="clear" w:color="auto" w:fill="D9E1F2"/>
          </w:tcPr>
          <w:p w14:paraId="7D4B3B22" w14:textId="54CD0C07"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w:t>
            </w:r>
          </w:p>
        </w:tc>
        <w:tc>
          <w:tcPr>
            <w:tcW w:w="660" w:type="pct"/>
            <w:tcBorders>
              <w:top w:val="single" w:sz="4" w:space="0" w:color="auto"/>
              <w:left w:val="nil"/>
              <w:bottom w:val="single" w:sz="4" w:space="0" w:color="auto"/>
              <w:right w:val="single" w:sz="4" w:space="0" w:color="auto"/>
            </w:tcBorders>
            <w:shd w:val="clear" w:color="auto" w:fill="D9E1F2"/>
          </w:tcPr>
          <w:p w14:paraId="4A2891BE" w14:textId="59534D65"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265</w:t>
            </w:r>
          </w:p>
        </w:tc>
        <w:tc>
          <w:tcPr>
            <w:tcW w:w="661" w:type="pct"/>
            <w:tcBorders>
              <w:top w:val="single" w:sz="4" w:space="0" w:color="auto"/>
              <w:left w:val="nil"/>
              <w:bottom w:val="single" w:sz="4" w:space="0" w:color="auto"/>
              <w:right w:val="single" w:sz="4" w:space="0" w:color="auto"/>
            </w:tcBorders>
            <w:shd w:val="clear" w:color="auto" w:fill="D9E1F2"/>
          </w:tcPr>
          <w:p w14:paraId="116C12BF" w14:textId="6BCD0843"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w:t>
            </w:r>
          </w:p>
        </w:tc>
        <w:tc>
          <w:tcPr>
            <w:tcW w:w="558" w:type="pct"/>
            <w:tcBorders>
              <w:top w:val="single" w:sz="4" w:space="0" w:color="auto"/>
              <w:left w:val="nil"/>
              <w:bottom w:val="single" w:sz="4" w:space="0" w:color="auto"/>
              <w:right w:val="single" w:sz="4" w:space="0" w:color="auto"/>
            </w:tcBorders>
            <w:shd w:val="clear" w:color="auto" w:fill="D9E1F2"/>
          </w:tcPr>
          <w:p w14:paraId="7A17F25D" w14:textId="33C2D3BF" w:rsidR="00EF591E" w:rsidRPr="00E940CF" w:rsidRDefault="00EF591E" w:rsidP="00EF591E">
            <w:pPr>
              <w:spacing w:after="0"/>
              <w:ind w:left="71" w:firstLine="28"/>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305</w:t>
            </w:r>
          </w:p>
        </w:tc>
        <w:tc>
          <w:tcPr>
            <w:tcW w:w="433" w:type="pct"/>
            <w:tcBorders>
              <w:top w:val="single" w:sz="4" w:space="0" w:color="auto"/>
              <w:left w:val="nil"/>
              <w:bottom w:val="single" w:sz="4" w:space="0" w:color="auto"/>
              <w:right w:val="single" w:sz="4" w:space="0" w:color="auto"/>
            </w:tcBorders>
            <w:shd w:val="clear" w:color="auto" w:fill="D9E1F2"/>
          </w:tcPr>
          <w:p w14:paraId="03B9D6D8" w14:textId="54422552"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w:t>
            </w:r>
          </w:p>
        </w:tc>
      </w:tr>
      <w:tr w:rsidR="00EF591E" w:rsidRPr="00E940CF" w14:paraId="17BDD6DE" w14:textId="77777777" w:rsidTr="002A76F7">
        <w:trPr>
          <w:cantSplit/>
          <w:trHeight w:val="360"/>
        </w:trPr>
        <w:tc>
          <w:tcPr>
            <w:tcW w:w="1413" w:type="pct"/>
            <w:tcBorders>
              <w:top w:val="single" w:sz="4" w:space="0" w:color="auto"/>
              <w:left w:val="single" w:sz="4" w:space="0" w:color="auto"/>
              <w:bottom w:val="single" w:sz="4" w:space="0" w:color="auto"/>
              <w:right w:val="single" w:sz="4" w:space="0" w:color="auto"/>
            </w:tcBorders>
            <w:shd w:val="clear" w:color="auto" w:fill="D9E1F2"/>
            <w:noWrap/>
          </w:tcPr>
          <w:p w14:paraId="69A90327" w14:textId="1AB9894C" w:rsidR="00EF591E" w:rsidRPr="00E940CF" w:rsidRDefault="00A82487" w:rsidP="00EF591E">
            <w:pPr>
              <w:spacing w:after="0"/>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lastRenderedPageBreak/>
              <w:t>East Wareham</w:t>
            </w:r>
            <w:r w:rsidR="00EF591E" w:rsidRPr="00E940CF">
              <w:rPr>
                <w:rFonts w:ascii="Aptos" w:hAnsi="Aptos" w:cs="Times New Roman"/>
                <w:b/>
                <w:bCs/>
                <w:color w:val="1F4E79" w:themeColor="accent5" w:themeShade="80"/>
                <w:sz w:val="24"/>
                <w:szCs w:val="24"/>
              </w:rPr>
              <w:t>, MA</w:t>
            </w:r>
          </w:p>
        </w:tc>
        <w:tc>
          <w:tcPr>
            <w:tcW w:w="613" w:type="pct"/>
            <w:tcBorders>
              <w:top w:val="single" w:sz="4" w:space="0" w:color="auto"/>
              <w:left w:val="nil"/>
              <w:bottom w:val="single" w:sz="4" w:space="0" w:color="auto"/>
              <w:right w:val="single" w:sz="4" w:space="0" w:color="auto"/>
            </w:tcBorders>
            <w:shd w:val="clear" w:color="auto" w:fill="D9E1F2"/>
          </w:tcPr>
          <w:p w14:paraId="13EAD154" w14:textId="4212E1A2"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225</w:t>
            </w:r>
          </w:p>
        </w:tc>
        <w:tc>
          <w:tcPr>
            <w:tcW w:w="661" w:type="pct"/>
            <w:tcBorders>
              <w:top w:val="single" w:sz="4" w:space="0" w:color="auto"/>
              <w:left w:val="nil"/>
              <w:bottom w:val="single" w:sz="4" w:space="0" w:color="auto"/>
              <w:right w:val="single" w:sz="4" w:space="0" w:color="auto"/>
            </w:tcBorders>
            <w:shd w:val="clear" w:color="auto" w:fill="D9E1F2"/>
          </w:tcPr>
          <w:p w14:paraId="326D4C0C" w14:textId="6966E75B"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w:t>
            </w:r>
          </w:p>
        </w:tc>
        <w:tc>
          <w:tcPr>
            <w:tcW w:w="660" w:type="pct"/>
            <w:tcBorders>
              <w:top w:val="single" w:sz="4" w:space="0" w:color="auto"/>
              <w:left w:val="nil"/>
              <w:bottom w:val="single" w:sz="4" w:space="0" w:color="auto"/>
              <w:right w:val="single" w:sz="4" w:space="0" w:color="auto"/>
            </w:tcBorders>
            <w:shd w:val="clear" w:color="auto" w:fill="D9E1F2"/>
          </w:tcPr>
          <w:p w14:paraId="260B3B9B" w14:textId="2BC6704B"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260</w:t>
            </w:r>
          </w:p>
        </w:tc>
        <w:tc>
          <w:tcPr>
            <w:tcW w:w="661" w:type="pct"/>
            <w:tcBorders>
              <w:top w:val="single" w:sz="4" w:space="0" w:color="auto"/>
              <w:left w:val="nil"/>
              <w:bottom w:val="single" w:sz="4" w:space="0" w:color="auto"/>
              <w:right w:val="single" w:sz="4" w:space="0" w:color="auto"/>
            </w:tcBorders>
            <w:shd w:val="clear" w:color="auto" w:fill="D9E1F2"/>
          </w:tcPr>
          <w:p w14:paraId="17FA7B95" w14:textId="76CEA5BD"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w:t>
            </w:r>
          </w:p>
        </w:tc>
        <w:tc>
          <w:tcPr>
            <w:tcW w:w="558" w:type="pct"/>
            <w:tcBorders>
              <w:top w:val="single" w:sz="4" w:space="0" w:color="auto"/>
              <w:left w:val="nil"/>
              <w:bottom w:val="single" w:sz="4" w:space="0" w:color="auto"/>
              <w:right w:val="single" w:sz="4" w:space="0" w:color="auto"/>
            </w:tcBorders>
            <w:shd w:val="clear" w:color="auto" w:fill="D9E1F2"/>
          </w:tcPr>
          <w:p w14:paraId="7F63C789" w14:textId="70B94236" w:rsidR="00EF591E" w:rsidRPr="00E940CF" w:rsidRDefault="00EF591E" w:rsidP="00EF591E">
            <w:pPr>
              <w:spacing w:after="0"/>
              <w:ind w:left="71" w:firstLine="28"/>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285</w:t>
            </w:r>
          </w:p>
        </w:tc>
        <w:tc>
          <w:tcPr>
            <w:tcW w:w="433" w:type="pct"/>
            <w:tcBorders>
              <w:top w:val="single" w:sz="4" w:space="0" w:color="auto"/>
              <w:left w:val="nil"/>
              <w:bottom w:val="single" w:sz="4" w:space="0" w:color="auto"/>
              <w:right w:val="single" w:sz="4" w:space="0" w:color="auto"/>
            </w:tcBorders>
            <w:shd w:val="clear" w:color="auto" w:fill="D9E1F2"/>
          </w:tcPr>
          <w:p w14:paraId="31EACCC1" w14:textId="0E2E09E1"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w:t>
            </w:r>
          </w:p>
        </w:tc>
      </w:tr>
      <w:tr w:rsidR="00EF591E" w:rsidRPr="00E940CF" w14:paraId="3866E60F" w14:textId="77777777" w:rsidTr="002A76F7">
        <w:trPr>
          <w:cantSplit/>
          <w:trHeight w:val="360"/>
        </w:trPr>
        <w:tc>
          <w:tcPr>
            <w:tcW w:w="1413" w:type="pct"/>
            <w:tcBorders>
              <w:top w:val="single" w:sz="4" w:space="0" w:color="auto"/>
              <w:left w:val="single" w:sz="4" w:space="0" w:color="auto"/>
              <w:bottom w:val="single" w:sz="4" w:space="0" w:color="auto"/>
              <w:right w:val="single" w:sz="4" w:space="0" w:color="auto"/>
            </w:tcBorders>
            <w:shd w:val="clear" w:color="auto" w:fill="D9E1F2"/>
            <w:noWrap/>
          </w:tcPr>
          <w:p w14:paraId="0CA7AFDA" w14:textId="326B10E8" w:rsidR="00EF591E" w:rsidRPr="00E940CF" w:rsidRDefault="00A82487" w:rsidP="00EF591E">
            <w:pPr>
              <w:spacing w:after="0"/>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Marion</w:t>
            </w:r>
            <w:r w:rsidR="00EF591E" w:rsidRPr="00E940CF">
              <w:rPr>
                <w:rFonts w:ascii="Aptos" w:hAnsi="Aptos" w:cs="Times New Roman"/>
                <w:b/>
                <w:bCs/>
                <w:color w:val="1F4E79" w:themeColor="accent5" w:themeShade="80"/>
                <w:sz w:val="24"/>
                <w:szCs w:val="24"/>
              </w:rPr>
              <w:t>, MA</w:t>
            </w:r>
          </w:p>
        </w:tc>
        <w:tc>
          <w:tcPr>
            <w:tcW w:w="613" w:type="pct"/>
            <w:tcBorders>
              <w:top w:val="single" w:sz="4" w:space="0" w:color="auto"/>
              <w:left w:val="nil"/>
              <w:bottom w:val="single" w:sz="4" w:space="0" w:color="auto"/>
              <w:right w:val="single" w:sz="4" w:space="0" w:color="auto"/>
            </w:tcBorders>
            <w:shd w:val="clear" w:color="auto" w:fill="D9E1F2"/>
          </w:tcPr>
          <w:p w14:paraId="1811F39F" w14:textId="07783858"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186</w:t>
            </w:r>
          </w:p>
        </w:tc>
        <w:tc>
          <w:tcPr>
            <w:tcW w:w="661" w:type="pct"/>
            <w:tcBorders>
              <w:top w:val="single" w:sz="4" w:space="0" w:color="auto"/>
              <w:left w:val="nil"/>
              <w:bottom w:val="single" w:sz="4" w:space="0" w:color="auto"/>
              <w:right w:val="single" w:sz="4" w:space="0" w:color="auto"/>
            </w:tcBorders>
            <w:shd w:val="clear" w:color="auto" w:fill="D9E1F2"/>
          </w:tcPr>
          <w:p w14:paraId="03BBE1CC" w14:textId="2A163A06"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w:t>
            </w:r>
          </w:p>
        </w:tc>
        <w:tc>
          <w:tcPr>
            <w:tcW w:w="660" w:type="pct"/>
            <w:tcBorders>
              <w:top w:val="single" w:sz="4" w:space="0" w:color="auto"/>
              <w:left w:val="nil"/>
              <w:bottom w:val="single" w:sz="4" w:space="0" w:color="auto"/>
              <w:right w:val="single" w:sz="4" w:space="0" w:color="auto"/>
            </w:tcBorders>
            <w:shd w:val="clear" w:color="auto" w:fill="D9E1F2"/>
          </w:tcPr>
          <w:p w14:paraId="59D20A14" w14:textId="31BCB88B"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221</w:t>
            </w:r>
          </w:p>
        </w:tc>
        <w:tc>
          <w:tcPr>
            <w:tcW w:w="661" w:type="pct"/>
            <w:tcBorders>
              <w:top w:val="single" w:sz="4" w:space="0" w:color="auto"/>
              <w:left w:val="nil"/>
              <w:bottom w:val="single" w:sz="4" w:space="0" w:color="auto"/>
              <w:right w:val="single" w:sz="4" w:space="0" w:color="auto"/>
            </w:tcBorders>
            <w:shd w:val="clear" w:color="auto" w:fill="D9E1F2"/>
          </w:tcPr>
          <w:p w14:paraId="69D9793B" w14:textId="30008776"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w:t>
            </w:r>
          </w:p>
        </w:tc>
        <w:tc>
          <w:tcPr>
            <w:tcW w:w="558" w:type="pct"/>
            <w:tcBorders>
              <w:top w:val="single" w:sz="4" w:space="0" w:color="auto"/>
              <w:left w:val="nil"/>
              <w:bottom w:val="single" w:sz="4" w:space="0" w:color="auto"/>
              <w:right w:val="single" w:sz="4" w:space="0" w:color="auto"/>
            </w:tcBorders>
            <w:shd w:val="clear" w:color="auto" w:fill="D9E1F2"/>
          </w:tcPr>
          <w:p w14:paraId="570CAFB6" w14:textId="1F5980FA" w:rsidR="00EF591E" w:rsidRPr="00E940CF" w:rsidRDefault="00EF591E" w:rsidP="00EF591E">
            <w:pPr>
              <w:spacing w:after="0"/>
              <w:ind w:left="71" w:firstLine="28"/>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242</w:t>
            </w:r>
          </w:p>
        </w:tc>
        <w:tc>
          <w:tcPr>
            <w:tcW w:w="433" w:type="pct"/>
            <w:tcBorders>
              <w:top w:val="single" w:sz="4" w:space="0" w:color="auto"/>
              <w:left w:val="nil"/>
              <w:bottom w:val="single" w:sz="4" w:space="0" w:color="auto"/>
              <w:right w:val="single" w:sz="4" w:space="0" w:color="auto"/>
            </w:tcBorders>
            <w:shd w:val="clear" w:color="auto" w:fill="D9E1F2"/>
          </w:tcPr>
          <w:p w14:paraId="1CBDCCCF" w14:textId="47B5B8C2"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w:t>
            </w:r>
          </w:p>
        </w:tc>
      </w:tr>
      <w:tr w:rsidR="00EF591E" w:rsidRPr="00E940CF" w14:paraId="7CFBF5B5" w14:textId="77777777" w:rsidTr="002A76F7">
        <w:trPr>
          <w:cantSplit/>
          <w:trHeight w:val="360"/>
        </w:trPr>
        <w:tc>
          <w:tcPr>
            <w:tcW w:w="1413" w:type="pct"/>
            <w:tcBorders>
              <w:top w:val="single" w:sz="4" w:space="0" w:color="auto"/>
              <w:left w:val="single" w:sz="4" w:space="0" w:color="auto"/>
              <w:bottom w:val="single" w:sz="4" w:space="0" w:color="auto"/>
              <w:right w:val="single" w:sz="4" w:space="0" w:color="auto"/>
            </w:tcBorders>
            <w:shd w:val="clear" w:color="auto" w:fill="D9E1F2"/>
            <w:noWrap/>
          </w:tcPr>
          <w:p w14:paraId="1C111493" w14:textId="1DB72CAD" w:rsidR="00EF591E" w:rsidRPr="00E940CF" w:rsidRDefault="00A82487" w:rsidP="00EF591E">
            <w:pPr>
              <w:spacing w:after="0"/>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All Other</w:t>
            </w:r>
          </w:p>
        </w:tc>
        <w:tc>
          <w:tcPr>
            <w:tcW w:w="613" w:type="pct"/>
            <w:tcBorders>
              <w:top w:val="single" w:sz="4" w:space="0" w:color="auto"/>
              <w:left w:val="nil"/>
              <w:bottom w:val="single" w:sz="4" w:space="0" w:color="auto"/>
              <w:right w:val="single" w:sz="4" w:space="0" w:color="auto"/>
            </w:tcBorders>
            <w:shd w:val="clear" w:color="auto" w:fill="D9E1F2"/>
          </w:tcPr>
          <w:p w14:paraId="564F0672" w14:textId="5B476907"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2,520</w:t>
            </w:r>
          </w:p>
        </w:tc>
        <w:tc>
          <w:tcPr>
            <w:tcW w:w="661" w:type="pct"/>
            <w:tcBorders>
              <w:top w:val="single" w:sz="4" w:space="0" w:color="auto"/>
              <w:left w:val="nil"/>
              <w:bottom w:val="single" w:sz="4" w:space="0" w:color="auto"/>
              <w:right w:val="single" w:sz="4" w:space="0" w:color="auto"/>
            </w:tcBorders>
            <w:shd w:val="clear" w:color="auto" w:fill="D9E1F2"/>
          </w:tcPr>
          <w:p w14:paraId="30B72259" w14:textId="5D950F34"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19%</w:t>
            </w:r>
          </w:p>
        </w:tc>
        <w:tc>
          <w:tcPr>
            <w:tcW w:w="660" w:type="pct"/>
            <w:tcBorders>
              <w:top w:val="single" w:sz="4" w:space="0" w:color="auto"/>
              <w:left w:val="nil"/>
              <w:bottom w:val="single" w:sz="4" w:space="0" w:color="auto"/>
              <w:right w:val="single" w:sz="4" w:space="0" w:color="auto"/>
            </w:tcBorders>
            <w:shd w:val="clear" w:color="auto" w:fill="D9E1F2"/>
          </w:tcPr>
          <w:p w14:paraId="7CAD8F7D" w14:textId="3A7519AE"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2,941</w:t>
            </w:r>
          </w:p>
        </w:tc>
        <w:tc>
          <w:tcPr>
            <w:tcW w:w="661" w:type="pct"/>
            <w:tcBorders>
              <w:top w:val="single" w:sz="4" w:space="0" w:color="auto"/>
              <w:left w:val="nil"/>
              <w:bottom w:val="single" w:sz="4" w:space="0" w:color="auto"/>
              <w:right w:val="single" w:sz="4" w:space="0" w:color="auto"/>
            </w:tcBorders>
            <w:shd w:val="clear" w:color="auto" w:fill="D9E1F2"/>
          </w:tcPr>
          <w:p w14:paraId="2966A27A" w14:textId="3966EF3E"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20%</w:t>
            </w:r>
          </w:p>
        </w:tc>
        <w:tc>
          <w:tcPr>
            <w:tcW w:w="558" w:type="pct"/>
            <w:tcBorders>
              <w:top w:val="single" w:sz="4" w:space="0" w:color="auto"/>
              <w:left w:val="nil"/>
              <w:bottom w:val="single" w:sz="4" w:space="0" w:color="auto"/>
              <w:right w:val="single" w:sz="4" w:space="0" w:color="auto"/>
            </w:tcBorders>
            <w:shd w:val="clear" w:color="auto" w:fill="D9E1F2"/>
          </w:tcPr>
          <w:p w14:paraId="6173E3BB" w14:textId="3CF4FEDB" w:rsidR="00EF591E" w:rsidRPr="00E940CF" w:rsidRDefault="00EF591E" w:rsidP="00EF591E">
            <w:pPr>
              <w:spacing w:after="0"/>
              <w:ind w:left="71" w:firstLine="28"/>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3,328</w:t>
            </w:r>
          </w:p>
        </w:tc>
        <w:tc>
          <w:tcPr>
            <w:tcW w:w="433" w:type="pct"/>
            <w:tcBorders>
              <w:top w:val="single" w:sz="4" w:space="0" w:color="auto"/>
              <w:left w:val="nil"/>
              <w:bottom w:val="single" w:sz="4" w:space="0" w:color="auto"/>
              <w:right w:val="single" w:sz="4" w:space="0" w:color="auto"/>
            </w:tcBorders>
            <w:shd w:val="clear" w:color="auto" w:fill="D9E1F2"/>
          </w:tcPr>
          <w:p w14:paraId="35F46CBA" w14:textId="1DE1EF87"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20%</w:t>
            </w:r>
          </w:p>
        </w:tc>
      </w:tr>
      <w:tr w:rsidR="00EF591E" w:rsidRPr="00E940CF" w14:paraId="5F7AE926" w14:textId="77777777" w:rsidTr="002A76F7">
        <w:trPr>
          <w:cantSplit/>
          <w:trHeight w:val="360"/>
        </w:trPr>
        <w:tc>
          <w:tcPr>
            <w:tcW w:w="1413" w:type="pct"/>
            <w:tcBorders>
              <w:top w:val="single" w:sz="4" w:space="0" w:color="auto"/>
              <w:left w:val="single" w:sz="4" w:space="0" w:color="auto"/>
              <w:bottom w:val="single" w:sz="4" w:space="0" w:color="auto"/>
              <w:right w:val="single" w:sz="4" w:space="0" w:color="auto"/>
            </w:tcBorders>
            <w:shd w:val="clear" w:color="auto" w:fill="D9E1F2"/>
            <w:noWrap/>
          </w:tcPr>
          <w:p w14:paraId="48D60BFF" w14:textId="1CA13A9D" w:rsidR="00EF591E" w:rsidRPr="00E940CF" w:rsidRDefault="00A82487" w:rsidP="00EF591E">
            <w:pPr>
              <w:spacing w:after="0"/>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Total</w:t>
            </w:r>
          </w:p>
        </w:tc>
        <w:tc>
          <w:tcPr>
            <w:tcW w:w="613" w:type="pct"/>
            <w:tcBorders>
              <w:top w:val="single" w:sz="4" w:space="0" w:color="auto"/>
              <w:left w:val="nil"/>
              <w:bottom w:val="single" w:sz="4" w:space="0" w:color="auto"/>
              <w:right w:val="single" w:sz="4" w:space="0" w:color="auto"/>
            </w:tcBorders>
            <w:shd w:val="clear" w:color="auto" w:fill="D9E1F2"/>
          </w:tcPr>
          <w:p w14:paraId="56970E80" w14:textId="42CCC4C7"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13,021</w:t>
            </w:r>
          </w:p>
        </w:tc>
        <w:tc>
          <w:tcPr>
            <w:tcW w:w="661" w:type="pct"/>
            <w:tcBorders>
              <w:top w:val="single" w:sz="4" w:space="0" w:color="auto"/>
              <w:left w:val="nil"/>
              <w:bottom w:val="single" w:sz="4" w:space="0" w:color="auto"/>
              <w:right w:val="single" w:sz="4" w:space="0" w:color="auto"/>
            </w:tcBorders>
            <w:shd w:val="clear" w:color="auto" w:fill="D9E1F2"/>
          </w:tcPr>
          <w:p w14:paraId="7C142EAC" w14:textId="44A5F111"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100%</w:t>
            </w:r>
          </w:p>
        </w:tc>
        <w:tc>
          <w:tcPr>
            <w:tcW w:w="660" w:type="pct"/>
            <w:tcBorders>
              <w:top w:val="single" w:sz="4" w:space="0" w:color="auto"/>
              <w:left w:val="nil"/>
              <w:bottom w:val="single" w:sz="4" w:space="0" w:color="auto"/>
              <w:right w:val="single" w:sz="4" w:space="0" w:color="auto"/>
            </w:tcBorders>
            <w:shd w:val="clear" w:color="auto" w:fill="D9E1F2"/>
          </w:tcPr>
          <w:p w14:paraId="2D4F6516" w14:textId="2D1DECCC"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14,931</w:t>
            </w:r>
          </w:p>
        </w:tc>
        <w:tc>
          <w:tcPr>
            <w:tcW w:w="661" w:type="pct"/>
            <w:tcBorders>
              <w:top w:val="single" w:sz="4" w:space="0" w:color="auto"/>
              <w:left w:val="nil"/>
              <w:bottom w:val="single" w:sz="4" w:space="0" w:color="auto"/>
              <w:right w:val="single" w:sz="4" w:space="0" w:color="auto"/>
            </w:tcBorders>
            <w:shd w:val="clear" w:color="auto" w:fill="D9E1F2"/>
          </w:tcPr>
          <w:p w14:paraId="59E5C659" w14:textId="70121CDB"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100%</w:t>
            </w:r>
          </w:p>
        </w:tc>
        <w:tc>
          <w:tcPr>
            <w:tcW w:w="558" w:type="pct"/>
            <w:tcBorders>
              <w:top w:val="single" w:sz="4" w:space="0" w:color="auto"/>
              <w:left w:val="nil"/>
              <w:bottom w:val="single" w:sz="4" w:space="0" w:color="auto"/>
              <w:right w:val="single" w:sz="4" w:space="0" w:color="auto"/>
            </w:tcBorders>
            <w:shd w:val="clear" w:color="auto" w:fill="D9E1F2"/>
          </w:tcPr>
          <w:p w14:paraId="5EF71780" w14:textId="01E9FA18" w:rsidR="00EF591E" w:rsidRPr="00E940CF" w:rsidRDefault="00EF591E" w:rsidP="00EF591E">
            <w:pPr>
              <w:spacing w:after="0"/>
              <w:ind w:left="71" w:firstLine="28"/>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16,534</w:t>
            </w:r>
          </w:p>
        </w:tc>
        <w:tc>
          <w:tcPr>
            <w:tcW w:w="433" w:type="pct"/>
            <w:tcBorders>
              <w:top w:val="single" w:sz="4" w:space="0" w:color="auto"/>
              <w:left w:val="nil"/>
              <w:bottom w:val="single" w:sz="4" w:space="0" w:color="auto"/>
              <w:right w:val="single" w:sz="4" w:space="0" w:color="auto"/>
            </w:tcBorders>
            <w:shd w:val="clear" w:color="auto" w:fill="D9E1F2"/>
          </w:tcPr>
          <w:p w14:paraId="484D7B2B" w14:textId="082C1A01" w:rsidR="00EF591E" w:rsidRPr="00E940CF" w:rsidRDefault="00EF591E" w:rsidP="00EF591E">
            <w:pPr>
              <w:spacing w:after="0"/>
              <w:ind w:left="71"/>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100%</w:t>
            </w:r>
          </w:p>
        </w:tc>
      </w:tr>
    </w:tbl>
    <w:p w14:paraId="4AAB3424" w14:textId="77777777" w:rsidR="00C968D4" w:rsidRPr="00E940CF" w:rsidRDefault="00C968D4" w:rsidP="00B67C29">
      <w:pPr>
        <w:rPr>
          <w:rFonts w:ascii="Aptos" w:hAnsi="Aptos" w:cs="Times New Roman"/>
          <w:b/>
          <w:bCs/>
          <w:color w:val="1F4E79" w:themeColor="accent5" w:themeShade="80"/>
          <w:sz w:val="24"/>
          <w:szCs w:val="24"/>
          <w:u w:val="single"/>
        </w:rPr>
      </w:pPr>
    </w:p>
    <w:p w14:paraId="534434D9" w14:textId="410DD4D8" w:rsidR="00B67C29" w:rsidRPr="00E940CF" w:rsidRDefault="00B67C29" w:rsidP="00B67C29">
      <w:pP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u w:val="single"/>
        </w:rPr>
        <w:t>Table 6a.</w:t>
      </w:r>
      <w:r w:rsidRPr="00E940CF">
        <w:rPr>
          <w:rFonts w:ascii="Aptos" w:hAnsi="Aptos" w:cs="Times New Roman"/>
          <w:b/>
          <w:bCs/>
          <w:color w:val="1F4E79" w:themeColor="accent5" w:themeShade="80"/>
          <w:sz w:val="24"/>
          <w:szCs w:val="24"/>
        </w:rPr>
        <w:t xml:space="preserve"> Southcoast Health Oncology: Fiscal Year 2023 – Fiscal Year 2025 Patient Panel by Service Area</w:t>
      </w:r>
    </w:p>
    <w:tbl>
      <w:tblPr>
        <w:tblW w:w="5003" w:type="pct"/>
        <w:tblLook w:val="04A0" w:firstRow="1" w:lastRow="0" w:firstColumn="1" w:lastColumn="0" w:noHBand="0" w:noVBand="1"/>
        <w:tblCaption w:val="Fiscal Year 2023 – Fiscal Year 2025 Patient Panel by Service Area"/>
      </w:tblPr>
      <w:tblGrid>
        <w:gridCol w:w="3474"/>
        <w:gridCol w:w="1506"/>
        <w:gridCol w:w="1622"/>
        <w:gridCol w:w="1495"/>
        <w:gridCol w:w="1578"/>
        <w:gridCol w:w="1565"/>
        <w:gridCol w:w="1718"/>
      </w:tblGrid>
      <w:tr w:rsidR="00B67C29" w:rsidRPr="00E940CF" w14:paraId="6ECFC8B9" w14:textId="77777777" w:rsidTr="00BE2E16">
        <w:trPr>
          <w:cantSplit/>
          <w:trHeight w:val="615"/>
          <w:tblHeader/>
        </w:trPr>
        <w:tc>
          <w:tcPr>
            <w:tcW w:w="1340" w:type="pct"/>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510EA993" w14:textId="5AEBFE6F" w:rsidR="00B67C29" w:rsidRPr="00E940CF" w:rsidRDefault="00B67C29" w:rsidP="00E67CD8">
            <w:pPr>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Patient Service Area</w:t>
            </w:r>
          </w:p>
        </w:tc>
        <w:tc>
          <w:tcPr>
            <w:tcW w:w="581" w:type="pct"/>
            <w:tcBorders>
              <w:top w:val="single" w:sz="4" w:space="0" w:color="auto"/>
              <w:left w:val="nil"/>
              <w:bottom w:val="single" w:sz="4" w:space="0" w:color="auto"/>
              <w:right w:val="single" w:sz="4" w:space="0" w:color="auto"/>
            </w:tcBorders>
            <w:shd w:val="clear" w:color="auto" w:fill="D9E1F2"/>
            <w:vAlign w:val="center"/>
            <w:hideMark/>
          </w:tcPr>
          <w:p w14:paraId="3A8C52AE" w14:textId="77777777" w:rsidR="00B67C29" w:rsidRPr="00E940CF" w:rsidRDefault="00B67C29" w:rsidP="00E67CD8">
            <w:pPr>
              <w:ind w:left="71"/>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FY23</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(Count)</w:t>
            </w:r>
          </w:p>
        </w:tc>
        <w:tc>
          <w:tcPr>
            <w:tcW w:w="626" w:type="pct"/>
            <w:tcBorders>
              <w:top w:val="single" w:sz="4" w:space="0" w:color="auto"/>
              <w:left w:val="nil"/>
              <w:bottom w:val="single" w:sz="4" w:space="0" w:color="auto"/>
              <w:right w:val="single" w:sz="4" w:space="0" w:color="auto"/>
            </w:tcBorders>
            <w:shd w:val="clear" w:color="auto" w:fill="D9E1F2"/>
            <w:vAlign w:val="center"/>
            <w:hideMark/>
          </w:tcPr>
          <w:p w14:paraId="344CB4BA" w14:textId="63ECB636" w:rsidR="00B67C29" w:rsidRPr="00E940CF" w:rsidRDefault="00B67C29" w:rsidP="00E67CD8">
            <w:pPr>
              <w:ind w:left="71"/>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FY23</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w:t>
            </w:r>
            <w:r w:rsidR="00030C1E">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Total</w:t>
            </w:r>
            <w:r w:rsidRPr="00E940CF">
              <w:rPr>
                <w:rFonts w:ascii="Aptos" w:hAnsi="Aptos" w:cs="Times New Roman"/>
                <w:b/>
                <w:bCs/>
                <w:color w:val="1F4E79" w:themeColor="accent5" w:themeShade="80"/>
                <w:sz w:val="24"/>
                <w:szCs w:val="24"/>
              </w:rPr>
              <w:t>)</w:t>
            </w:r>
          </w:p>
        </w:tc>
        <w:tc>
          <w:tcPr>
            <w:tcW w:w="577" w:type="pct"/>
            <w:tcBorders>
              <w:top w:val="single" w:sz="4" w:space="0" w:color="auto"/>
              <w:left w:val="nil"/>
              <w:bottom w:val="single" w:sz="4" w:space="0" w:color="auto"/>
              <w:right w:val="single" w:sz="4" w:space="0" w:color="auto"/>
            </w:tcBorders>
            <w:shd w:val="clear" w:color="auto" w:fill="D9E1F2"/>
            <w:vAlign w:val="center"/>
            <w:hideMark/>
          </w:tcPr>
          <w:p w14:paraId="7DBE2366" w14:textId="77777777" w:rsidR="00B67C29" w:rsidRPr="00E940CF" w:rsidRDefault="00B67C29" w:rsidP="00E67CD8">
            <w:pPr>
              <w:ind w:left="71"/>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FY24</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(Count)</w:t>
            </w:r>
          </w:p>
        </w:tc>
        <w:tc>
          <w:tcPr>
            <w:tcW w:w="609" w:type="pct"/>
            <w:tcBorders>
              <w:top w:val="single" w:sz="4" w:space="0" w:color="auto"/>
              <w:left w:val="nil"/>
              <w:bottom w:val="single" w:sz="4" w:space="0" w:color="auto"/>
              <w:right w:val="single" w:sz="4" w:space="0" w:color="auto"/>
            </w:tcBorders>
            <w:shd w:val="clear" w:color="auto" w:fill="D9E1F2"/>
            <w:vAlign w:val="center"/>
            <w:hideMark/>
          </w:tcPr>
          <w:p w14:paraId="02610C79" w14:textId="10B5964A" w:rsidR="00B67C29" w:rsidRPr="00E940CF" w:rsidRDefault="00B67C29" w:rsidP="00E67CD8">
            <w:pPr>
              <w:ind w:left="71"/>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FY24</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w:t>
            </w:r>
            <w:r w:rsidR="00030C1E">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Total</w:t>
            </w:r>
            <w:r w:rsidRPr="00E940CF">
              <w:rPr>
                <w:rFonts w:ascii="Aptos" w:hAnsi="Aptos" w:cs="Times New Roman"/>
                <w:b/>
                <w:bCs/>
                <w:color w:val="1F4E79" w:themeColor="accent5" w:themeShade="80"/>
                <w:sz w:val="24"/>
                <w:szCs w:val="24"/>
              </w:rPr>
              <w:t>)</w:t>
            </w:r>
          </w:p>
        </w:tc>
        <w:tc>
          <w:tcPr>
            <w:tcW w:w="604" w:type="pct"/>
            <w:tcBorders>
              <w:top w:val="single" w:sz="4" w:space="0" w:color="auto"/>
              <w:left w:val="nil"/>
              <w:bottom w:val="single" w:sz="4" w:space="0" w:color="auto"/>
              <w:right w:val="single" w:sz="4" w:space="0" w:color="auto"/>
            </w:tcBorders>
            <w:shd w:val="clear" w:color="auto" w:fill="D9E1F2"/>
            <w:vAlign w:val="center"/>
            <w:hideMark/>
          </w:tcPr>
          <w:p w14:paraId="602840B7" w14:textId="77777777" w:rsidR="00B67C29" w:rsidRPr="00E940CF" w:rsidRDefault="00B67C29" w:rsidP="00E67CD8">
            <w:pPr>
              <w:ind w:left="71" w:firstLine="28"/>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FY25</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(Count)</w:t>
            </w:r>
          </w:p>
        </w:tc>
        <w:tc>
          <w:tcPr>
            <w:tcW w:w="663" w:type="pct"/>
            <w:tcBorders>
              <w:top w:val="single" w:sz="4" w:space="0" w:color="auto"/>
              <w:left w:val="nil"/>
              <w:bottom w:val="single" w:sz="4" w:space="0" w:color="auto"/>
              <w:right w:val="single" w:sz="4" w:space="0" w:color="auto"/>
            </w:tcBorders>
            <w:shd w:val="clear" w:color="auto" w:fill="D9E1F2"/>
            <w:vAlign w:val="center"/>
            <w:hideMark/>
          </w:tcPr>
          <w:p w14:paraId="0347A69F" w14:textId="12E664C7" w:rsidR="00B67C29" w:rsidRPr="00E940CF" w:rsidRDefault="00B67C29" w:rsidP="00E67CD8">
            <w:pPr>
              <w:ind w:left="71"/>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FY25</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w:t>
            </w:r>
            <w:r w:rsidR="00030C1E">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Total)</w:t>
            </w:r>
          </w:p>
        </w:tc>
      </w:tr>
      <w:tr w:rsidR="00B67C29" w:rsidRPr="00E940CF" w14:paraId="0EA90C88" w14:textId="77777777" w:rsidTr="00BE2E16">
        <w:trPr>
          <w:cantSplit/>
          <w:trHeight w:val="300"/>
        </w:trPr>
        <w:tc>
          <w:tcPr>
            <w:tcW w:w="1340" w:type="pct"/>
            <w:tcBorders>
              <w:top w:val="nil"/>
              <w:left w:val="single" w:sz="4" w:space="0" w:color="auto"/>
              <w:bottom w:val="single" w:sz="4" w:space="0" w:color="auto"/>
              <w:right w:val="single" w:sz="4" w:space="0" w:color="auto"/>
            </w:tcBorders>
            <w:noWrap/>
            <w:vAlign w:val="center"/>
            <w:hideMark/>
          </w:tcPr>
          <w:p w14:paraId="6F0FF524" w14:textId="77777777" w:rsidR="00B67C29" w:rsidRPr="00E940CF" w:rsidRDefault="00B67C29" w:rsidP="00B67C29">
            <w:pP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Primary Service Area</w:t>
            </w:r>
          </w:p>
        </w:tc>
        <w:tc>
          <w:tcPr>
            <w:tcW w:w="581" w:type="pct"/>
            <w:tcBorders>
              <w:top w:val="nil"/>
              <w:left w:val="nil"/>
              <w:bottom w:val="single" w:sz="4" w:space="0" w:color="auto"/>
              <w:right w:val="single" w:sz="4" w:space="0" w:color="auto"/>
            </w:tcBorders>
            <w:noWrap/>
            <w:vAlign w:val="center"/>
            <w:hideMark/>
          </w:tcPr>
          <w:p w14:paraId="523C58CB" w14:textId="77777777" w:rsidR="00B67C29" w:rsidRPr="00E940CF" w:rsidRDefault="00B67C29" w:rsidP="00C968D4">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11,293</w:t>
            </w:r>
          </w:p>
        </w:tc>
        <w:tc>
          <w:tcPr>
            <w:tcW w:w="626" w:type="pct"/>
            <w:tcBorders>
              <w:top w:val="nil"/>
              <w:left w:val="nil"/>
              <w:bottom w:val="single" w:sz="4" w:space="0" w:color="auto"/>
              <w:right w:val="single" w:sz="4" w:space="0" w:color="auto"/>
            </w:tcBorders>
            <w:noWrap/>
            <w:vAlign w:val="center"/>
            <w:hideMark/>
          </w:tcPr>
          <w:p w14:paraId="7027412E" w14:textId="77777777" w:rsidR="00B67C29" w:rsidRPr="00E940CF" w:rsidRDefault="00B67C29" w:rsidP="00C968D4">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87%</w:t>
            </w:r>
          </w:p>
        </w:tc>
        <w:tc>
          <w:tcPr>
            <w:tcW w:w="577" w:type="pct"/>
            <w:tcBorders>
              <w:top w:val="nil"/>
              <w:left w:val="nil"/>
              <w:bottom w:val="single" w:sz="4" w:space="0" w:color="auto"/>
              <w:right w:val="single" w:sz="4" w:space="0" w:color="auto"/>
            </w:tcBorders>
            <w:noWrap/>
            <w:vAlign w:val="center"/>
            <w:hideMark/>
          </w:tcPr>
          <w:p w14:paraId="2CFC6EF5" w14:textId="77777777" w:rsidR="00B67C29" w:rsidRPr="00E940CF" w:rsidRDefault="00B67C29" w:rsidP="00C968D4">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12,924</w:t>
            </w:r>
          </w:p>
        </w:tc>
        <w:tc>
          <w:tcPr>
            <w:tcW w:w="609" w:type="pct"/>
            <w:tcBorders>
              <w:top w:val="nil"/>
              <w:left w:val="nil"/>
              <w:bottom w:val="single" w:sz="4" w:space="0" w:color="auto"/>
              <w:right w:val="single" w:sz="4" w:space="0" w:color="auto"/>
            </w:tcBorders>
            <w:noWrap/>
            <w:vAlign w:val="center"/>
            <w:hideMark/>
          </w:tcPr>
          <w:p w14:paraId="6B39808C" w14:textId="77777777" w:rsidR="00B67C29" w:rsidRPr="00E940CF" w:rsidRDefault="00B67C29" w:rsidP="00C968D4">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87%</w:t>
            </w:r>
          </w:p>
        </w:tc>
        <w:tc>
          <w:tcPr>
            <w:tcW w:w="604" w:type="pct"/>
            <w:tcBorders>
              <w:top w:val="nil"/>
              <w:left w:val="nil"/>
              <w:bottom w:val="single" w:sz="4" w:space="0" w:color="auto"/>
              <w:right w:val="single" w:sz="4" w:space="0" w:color="auto"/>
            </w:tcBorders>
            <w:noWrap/>
            <w:vAlign w:val="center"/>
            <w:hideMark/>
          </w:tcPr>
          <w:p w14:paraId="18056902" w14:textId="77777777" w:rsidR="00B67C29" w:rsidRPr="00E940CF" w:rsidRDefault="00B67C29" w:rsidP="00C968D4">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14,265</w:t>
            </w:r>
          </w:p>
        </w:tc>
        <w:tc>
          <w:tcPr>
            <w:tcW w:w="663" w:type="pct"/>
            <w:tcBorders>
              <w:top w:val="nil"/>
              <w:left w:val="nil"/>
              <w:bottom w:val="single" w:sz="4" w:space="0" w:color="auto"/>
              <w:right w:val="single" w:sz="4" w:space="0" w:color="auto"/>
            </w:tcBorders>
            <w:noWrap/>
            <w:vAlign w:val="center"/>
            <w:hideMark/>
          </w:tcPr>
          <w:p w14:paraId="229A25CE" w14:textId="77777777" w:rsidR="00B67C29" w:rsidRPr="00E940CF" w:rsidRDefault="00B67C29" w:rsidP="00C968D4">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86%</w:t>
            </w:r>
          </w:p>
        </w:tc>
      </w:tr>
      <w:tr w:rsidR="00B67C29" w:rsidRPr="00E940CF" w14:paraId="4C93C2DF" w14:textId="77777777" w:rsidTr="00BE2E16">
        <w:trPr>
          <w:cantSplit/>
          <w:trHeight w:val="300"/>
        </w:trPr>
        <w:tc>
          <w:tcPr>
            <w:tcW w:w="1340" w:type="pct"/>
            <w:tcBorders>
              <w:top w:val="nil"/>
              <w:left w:val="single" w:sz="4" w:space="0" w:color="auto"/>
              <w:bottom w:val="single" w:sz="4" w:space="0" w:color="auto"/>
              <w:right w:val="single" w:sz="4" w:space="0" w:color="auto"/>
            </w:tcBorders>
            <w:noWrap/>
            <w:vAlign w:val="center"/>
            <w:hideMark/>
          </w:tcPr>
          <w:p w14:paraId="065275D5" w14:textId="77777777" w:rsidR="00B67C29" w:rsidRPr="00E940CF" w:rsidRDefault="00B67C29" w:rsidP="00B67C29">
            <w:pP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All Other</w:t>
            </w:r>
          </w:p>
        </w:tc>
        <w:tc>
          <w:tcPr>
            <w:tcW w:w="581" w:type="pct"/>
            <w:tcBorders>
              <w:top w:val="nil"/>
              <w:left w:val="nil"/>
              <w:bottom w:val="single" w:sz="4" w:space="0" w:color="auto"/>
              <w:right w:val="single" w:sz="4" w:space="0" w:color="auto"/>
            </w:tcBorders>
            <w:noWrap/>
            <w:vAlign w:val="center"/>
            <w:hideMark/>
          </w:tcPr>
          <w:p w14:paraId="247F173D" w14:textId="77777777" w:rsidR="00B67C29" w:rsidRPr="00E940CF" w:rsidRDefault="00B67C29" w:rsidP="00C968D4">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1,728</w:t>
            </w:r>
          </w:p>
        </w:tc>
        <w:tc>
          <w:tcPr>
            <w:tcW w:w="626" w:type="pct"/>
            <w:tcBorders>
              <w:top w:val="nil"/>
              <w:left w:val="nil"/>
              <w:bottom w:val="single" w:sz="4" w:space="0" w:color="auto"/>
              <w:right w:val="single" w:sz="4" w:space="0" w:color="auto"/>
            </w:tcBorders>
            <w:noWrap/>
            <w:vAlign w:val="center"/>
            <w:hideMark/>
          </w:tcPr>
          <w:p w14:paraId="3AAB551B" w14:textId="77777777" w:rsidR="00B67C29" w:rsidRPr="00E940CF" w:rsidRDefault="00B67C29" w:rsidP="00C968D4">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13%</w:t>
            </w:r>
          </w:p>
        </w:tc>
        <w:tc>
          <w:tcPr>
            <w:tcW w:w="577" w:type="pct"/>
            <w:tcBorders>
              <w:top w:val="nil"/>
              <w:left w:val="nil"/>
              <w:bottom w:val="single" w:sz="4" w:space="0" w:color="auto"/>
              <w:right w:val="single" w:sz="4" w:space="0" w:color="auto"/>
            </w:tcBorders>
            <w:noWrap/>
            <w:vAlign w:val="center"/>
            <w:hideMark/>
          </w:tcPr>
          <w:p w14:paraId="59ECAD65" w14:textId="77777777" w:rsidR="00B67C29" w:rsidRPr="00E940CF" w:rsidRDefault="00B67C29" w:rsidP="00C968D4">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2,007</w:t>
            </w:r>
          </w:p>
        </w:tc>
        <w:tc>
          <w:tcPr>
            <w:tcW w:w="609" w:type="pct"/>
            <w:tcBorders>
              <w:top w:val="nil"/>
              <w:left w:val="nil"/>
              <w:bottom w:val="single" w:sz="4" w:space="0" w:color="auto"/>
              <w:right w:val="single" w:sz="4" w:space="0" w:color="auto"/>
            </w:tcBorders>
            <w:noWrap/>
            <w:vAlign w:val="center"/>
            <w:hideMark/>
          </w:tcPr>
          <w:p w14:paraId="67C4EB8F" w14:textId="77777777" w:rsidR="00B67C29" w:rsidRPr="00E940CF" w:rsidRDefault="00B67C29" w:rsidP="00C968D4">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13%</w:t>
            </w:r>
          </w:p>
        </w:tc>
        <w:tc>
          <w:tcPr>
            <w:tcW w:w="604" w:type="pct"/>
            <w:tcBorders>
              <w:top w:val="nil"/>
              <w:left w:val="nil"/>
              <w:bottom w:val="single" w:sz="4" w:space="0" w:color="auto"/>
              <w:right w:val="single" w:sz="4" w:space="0" w:color="auto"/>
            </w:tcBorders>
            <w:noWrap/>
            <w:vAlign w:val="center"/>
            <w:hideMark/>
          </w:tcPr>
          <w:p w14:paraId="088DAE0F" w14:textId="77777777" w:rsidR="00B67C29" w:rsidRPr="00E940CF" w:rsidRDefault="00B67C29" w:rsidP="00C968D4">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2,269</w:t>
            </w:r>
          </w:p>
        </w:tc>
        <w:tc>
          <w:tcPr>
            <w:tcW w:w="663" w:type="pct"/>
            <w:tcBorders>
              <w:top w:val="nil"/>
              <w:left w:val="nil"/>
              <w:bottom w:val="single" w:sz="4" w:space="0" w:color="auto"/>
              <w:right w:val="single" w:sz="4" w:space="0" w:color="auto"/>
            </w:tcBorders>
            <w:noWrap/>
            <w:vAlign w:val="center"/>
            <w:hideMark/>
          </w:tcPr>
          <w:p w14:paraId="3E5B3883" w14:textId="77777777" w:rsidR="00B67C29" w:rsidRPr="00E940CF" w:rsidRDefault="00B67C29" w:rsidP="00C968D4">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14%</w:t>
            </w:r>
          </w:p>
        </w:tc>
      </w:tr>
      <w:tr w:rsidR="00E432C2" w:rsidRPr="00E940CF" w14:paraId="14CB5295" w14:textId="77777777" w:rsidTr="00BE2E16">
        <w:trPr>
          <w:cantSplit/>
          <w:trHeight w:val="300"/>
        </w:trPr>
        <w:tc>
          <w:tcPr>
            <w:tcW w:w="1340" w:type="pct"/>
            <w:tcBorders>
              <w:top w:val="nil"/>
              <w:left w:val="single" w:sz="4" w:space="0" w:color="auto"/>
              <w:bottom w:val="single" w:sz="4" w:space="0" w:color="auto"/>
              <w:right w:val="single" w:sz="4" w:space="0" w:color="auto"/>
            </w:tcBorders>
            <w:noWrap/>
            <w:vAlign w:val="center"/>
          </w:tcPr>
          <w:p w14:paraId="756949BA" w14:textId="22E33185" w:rsidR="00E432C2" w:rsidRPr="00E940CF" w:rsidRDefault="00A82487" w:rsidP="00E432C2">
            <w:pPr>
              <w:rPr>
                <w:rFonts w:ascii="Aptos" w:hAnsi="Aptos" w:cs="Times New Roman"/>
                <w:color w:val="1F4E79" w:themeColor="accent5" w:themeShade="80"/>
                <w:sz w:val="24"/>
                <w:szCs w:val="24"/>
              </w:rPr>
            </w:pPr>
            <w:r w:rsidRPr="00E940CF">
              <w:rPr>
                <w:rFonts w:ascii="Aptos" w:hAnsi="Aptos" w:cs="Times New Roman"/>
                <w:b/>
                <w:bCs/>
                <w:color w:val="1F4E79" w:themeColor="accent5" w:themeShade="80"/>
                <w:sz w:val="24"/>
                <w:szCs w:val="24"/>
              </w:rPr>
              <w:t>Total</w:t>
            </w:r>
          </w:p>
        </w:tc>
        <w:tc>
          <w:tcPr>
            <w:tcW w:w="581" w:type="pct"/>
            <w:tcBorders>
              <w:top w:val="nil"/>
              <w:left w:val="nil"/>
              <w:bottom w:val="single" w:sz="4" w:space="0" w:color="auto"/>
              <w:right w:val="single" w:sz="4" w:space="0" w:color="auto"/>
            </w:tcBorders>
            <w:noWrap/>
            <w:vAlign w:val="center"/>
          </w:tcPr>
          <w:p w14:paraId="633E4C1F" w14:textId="36303C3F" w:rsidR="00E432C2" w:rsidRPr="00E940CF" w:rsidRDefault="00E432C2" w:rsidP="00E432C2">
            <w:pPr>
              <w:jc w:val="center"/>
              <w:rPr>
                <w:rFonts w:ascii="Aptos" w:hAnsi="Aptos" w:cs="Times New Roman"/>
                <w:color w:val="1F4E79" w:themeColor="accent5" w:themeShade="80"/>
                <w:sz w:val="24"/>
                <w:szCs w:val="24"/>
              </w:rPr>
            </w:pPr>
            <w:r w:rsidRPr="00E940CF">
              <w:rPr>
                <w:rFonts w:ascii="Aptos" w:hAnsi="Aptos" w:cs="Times New Roman"/>
                <w:b/>
                <w:bCs/>
                <w:color w:val="1F4E79" w:themeColor="accent5" w:themeShade="80"/>
                <w:sz w:val="24"/>
                <w:szCs w:val="24"/>
              </w:rPr>
              <w:t>13,021</w:t>
            </w:r>
          </w:p>
        </w:tc>
        <w:tc>
          <w:tcPr>
            <w:tcW w:w="626" w:type="pct"/>
            <w:tcBorders>
              <w:top w:val="nil"/>
              <w:left w:val="nil"/>
              <w:bottom w:val="single" w:sz="4" w:space="0" w:color="auto"/>
              <w:right w:val="single" w:sz="4" w:space="0" w:color="auto"/>
            </w:tcBorders>
            <w:noWrap/>
            <w:vAlign w:val="center"/>
          </w:tcPr>
          <w:p w14:paraId="67FB1C4C" w14:textId="73840C9C" w:rsidR="00E432C2" w:rsidRPr="00E940CF" w:rsidRDefault="00E432C2" w:rsidP="00E432C2">
            <w:pPr>
              <w:jc w:val="center"/>
              <w:rPr>
                <w:rFonts w:ascii="Aptos" w:hAnsi="Aptos" w:cs="Times New Roman"/>
                <w:color w:val="1F4E79" w:themeColor="accent5" w:themeShade="80"/>
                <w:sz w:val="24"/>
                <w:szCs w:val="24"/>
              </w:rPr>
            </w:pPr>
            <w:r w:rsidRPr="00E940CF">
              <w:rPr>
                <w:rFonts w:ascii="Aptos" w:hAnsi="Aptos" w:cs="Times New Roman"/>
                <w:b/>
                <w:bCs/>
                <w:color w:val="1F4E79" w:themeColor="accent5" w:themeShade="80"/>
                <w:sz w:val="24"/>
                <w:szCs w:val="24"/>
              </w:rPr>
              <w:t>100%</w:t>
            </w:r>
          </w:p>
        </w:tc>
        <w:tc>
          <w:tcPr>
            <w:tcW w:w="577" w:type="pct"/>
            <w:tcBorders>
              <w:top w:val="nil"/>
              <w:left w:val="nil"/>
              <w:bottom w:val="single" w:sz="4" w:space="0" w:color="auto"/>
              <w:right w:val="single" w:sz="4" w:space="0" w:color="auto"/>
            </w:tcBorders>
            <w:noWrap/>
            <w:vAlign w:val="center"/>
          </w:tcPr>
          <w:p w14:paraId="2779840D" w14:textId="2BE4A0B4" w:rsidR="00E432C2" w:rsidRPr="00E940CF" w:rsidRDefault="00E432C2" w:rsidP="00E432C2">
            <w:pPr>
              <w:jc w:val="center"/>
              <w:rPr>
                <w:rFonts w:ascii="Aptos" w:hAnsi="Aptos" w:cs="Times New Roman"/>
                <w:color w:val="1F4E79" w:themeColor="accent5" w:themeShade="80"/>
                <w:sz w:val="24"/>
                <w:szCs w:val="24"/>
              </w:rPr>
            </w:pPr>
            <w:r w:rsidRPr="00E940CF">
              <w:rPr>
                <w:rFonts w:ascii="Aptos" w:hAnsi="Aptos" w:cs="Times New Roman"/>
                <w:b/>
                <w:bCs/>
                <w:color w:val="1F4E79" w:themeColor="accent5" w:themeShade="80"/>
                <w:sz w:val="24"/>
                <w:szCs w:val="24"/>
              </w:rPr>
              <w:t>14,931</w:t>
            </w:r>
          </w:p>
        </w:tc>
        <w:tc>
          <w:tcPr>
            <w:tcW w:w="609" w:type="pct"/>
            <w:tcBorders>
              <w:top w:val="nil"/>
              <w:left w:val="nil"/>
              <w:bottom w:val="single" w:sz="4" w:space="0" w:color="auto"/>
              <w:right w:val="single" w:sz="4" w:space="0" w:color="auto"/>
            </w:tcBorders>
            <w:noWrap/>
            <w:vAlign w:val="center"/>
          </w:tcPr>
          <w:p w14:paraId="7BCBA489" w14:textId="7CF5DFBF" w:rsidR="00E432C2" w:rsidRPr="00E940CF" w:rsidRDefault="00E432C2" w:rsidP="00E432C2">
            <w:pPr>
              <w:jc w:val="center"/>
              <w:rPr>
                <w:rFonts w:ascii="Aptos" w:hAnsi="Aptos" w:cs="Times New Roman"/>
                <w:color w:val="1F4E79" w:themeColor="accent5" w:themeShade="80"/>
                <w:sz w:val="24"/>
                <w:szCs w:val="24"/>
              </w:rPr>
            </w:pPr>
            <w:r w:rsidRPr="00E940CF">
              <w:rPr>
                <w:rFonts w:ascii="Aptos" w:hAnsi="Aptos" w:cs="Times New Roman"/>
                <w:b/>
                <w:bCs/>
                <w:color w:val="1F4E79" w:themeColor="accent5" w:themeShade="80"/>
                <w:sz w:val="24"/>
                <w:szCs w:val="24"/>
              </w:rPr>
              <w:t>100%</w:t>
            </w:r>
          </w:p>
        </w:tc>
        <w:tc>
          <w:tcPr>
            <w:tcW w:w="604" w:type="pct"/>
            <w:tcBorders>
              <w:top w:val="nil"/>
              <w:left w:val="nil"/>
              <w:bottom w:val="single" w:sz="4" w:space="0" w:color="auto"/>
              <w:right w:val="single" w:sz="4" w:space="0" w:color="auto"/>
            </w:tcBorders>
            <w:noWrap/>
            <w:vAlign w:val="center"/>
          </w:tcPr>
          <w:p w14:paraId="4E74165A" w14:textId="7F9591BA" w:rsidR="00E432C2" w:rsidRPr="00E940CF" w:rsidRDefault="00E432C2" w:rsidP="00E432C2">
            <w:pPr>
              <w:jc w:val="center"/>
              <w:rPr>
                <w:rFonts w:ascii="Aptos" w:hAnsi="Aptos" w:cs="Times New Roman"/>
                <w:color w:val="1F4E79" w:themeColor="accent5" w:themeShade="80"/>
                <w:sz w:val="24"/>
                <w:szCs w:val="24"/>
              </w:rPr>
            </w:pPr>
            <w:r w:rsidRPr="00E940CF">
              <w:rPr>
                <w:rFonts w:ascii="Aptos" w:hAnsi="Aptos" w:cs="Times New Roman"/>
                <w:b/>
                <w:bCs/>
                <w:color w:val="1F4E79" w:themeColor="accent5" w:themeShade="80"/>
                <w:sz w:val="24"/>
                <w:szCs w:val="24"/>
              </w:rPr>
              <w:t>16,534</w:t>
            </w:r>
          </w:p>
        </w:tc>
        <w:tc>
          <w:tcPr>
            <w:tcW w:w="663" w:type="pct"/>
            <w:tcBorders>
              <w:top w:val="nil"/>
              <w:left w:val="nil"/>
              <w:bottom w:val="single" w:sz="4" w:space="0" w:color="auto"/>
              <w:right w:val="single" w:sz="4" w:space="0" w:color="auto"/>
            </w:tcBorders>
            <w:noWrap/>
            <w:vAlign w:val="center"/>
          </w:tcPr>
          <w:p w14:paraId="568A5AD4" w14:textId="280489C7" w:rsidR="00E432C2" w:rsidRPr="00E940CF" w:rsidRDefault="00E432C2" w:rsidP="00E432C2">
            <w:pPr>
              <w:jc w:val="center"/>
              <w:rPr>
                <w:rFonts w:ascii="Aptos" w:hAnsi="Aptos" w:cs="Times New Roman"/>
                <w:color w:val="1F4E79" w:themeColor="accent5" w:themeShade="80"/>
                <w:sz w:val="24"/>
                <w:szCs w:val="24"/>
              </w:rPr>
            </w:pPr>
            <w:r w:rsidRPr="00E940CF">
              <w:rPr>
                <w:rFonts w:ascii="Aptos" w:hAnsi="Aptos" w:cs="Times New Roman"/>
                <w:b/>
                <w:bCs/>
                <w:color w:val="1F4E79" w:themeColor="accent5" w:themeShade="80"/>
                <w:sz w:val="24"/>
                <w:szCs w:val="24"/>
              </w:rPr>
              <w:t>100%</w:t>
            </w:r>
          </w:p>
        </w:tc>
      </w:tr>
    </w:tbl>
    <w:p w14:paraId="03FE5E30" w14:textId="77777777" w:rsidR="00FB4E7C" w:rsidRPr="00E940CF" w:rsidRDefault="00FB4E7C" w:rsidP="00DD115A">
      <w:pPr>
        <w:rPr>
          <w:rFonts w:ascii="Aptos" w:hAnsi="Aptos" w:cs="Times New Roman"/>
          <w:b/>
          <w:bCs/>
          <w:color w:val="1F4E79" w:themeColor="accent5" w:themeShade="80"/>
          <w:sz w:val="24"/>
          <w:szCs w:val="24"/>
          <w:u w:val="single"/>
        </w:rPr>
      </w:pPr>
    </w:p>
    <w:p w14:paraId="50496C24" w14:textId="2D287432" w:rsidR="00DD115A" w:rsidRPr="00E940CF" w:rsidRDefault="00DD115A" w:rsidP="00DD115A">
      <w:pP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u w:val="single"/>
        </w:rPr>
        <w:t>Table 8a.</w:t>
      </w:r>
      <w:r w:rsidRPr="00E940CF">
        <w:rPr>
          <w:rFonts w:ascii="Aptos" w:hAnsi="Aptos" w:cs="Times New Roman"/>
          <w:b/>
          <w:bCs/>
          <w:color w:val="1F4E79" w:themeColor="accent5" w:themeShade="80"/>
          <w:sz w:val="24"/>
          <w:szCs w:val="24"/>
        </w:rPr>
        <w:t xml:space="preserve"> Southcoast Health Oncology: Fiscal Year 2023 – Fiscal Year 2025 </w:t>
      </w:r>
      <w:r w:rsidR="00A750AD" w:rsidRPr="00E940CF">
        <w:rPr>
          <w:rFonts w:ascii="Aptos" w:hAnsi="Aptos" w:cs="Times New Roman"/>
          <w:b/>
          <w:bCs/>
          <w:color w:val="1F4E79" w:themeColor="accent5" w:themeShade="80"/>
          <w:sz w:val="24"/>
          <w:szCs w:val="24"/>
        </w:rPr>
        <w:t>Payor Mix</w:t>
      </w:r>
    </w:p>
    <w:tbl>
      <w:tblPr>
        <w:tblW w:w="3240" w:type="pct"/>
        <w:tblLook w:val="04A0" w:firstRow="1" w:lastRow="0" w:firstColumn="1" w:lastColumn="0" w:noHBand="0" w:noVBand="1"/>
        <w:tblCaption w:val="Fiscal Year 2023 – Fiscal Year 2025 Payor Mix"/>
      </w:tblPr>
      <w:tblGrid>
        <w:gridCol w:w="3474"/>
        <w:gridCol w:w="1623"/>
        <w:gridCol w:w="1578"/>
        <w:gridCol w:w="1717"/>
      </w:tblGrid>
      <w:tr w:rsidR="00E04012" w:rsidRPr="00E940CF" w14:paraId="3918AFA2" w14:textId="77777777" w:rsidTr="00BE2E16">
        <w:trPr>
          <w:cantSplit/>
          <w:trHeight w:val="615"/>
          <w:tblHeader/>
        </w:trPr>
        <w:tc>
          <w:tcPr>
            <w:tcW w:w="2070" w:type="pct"/>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2BC68D6D" w14:textId="71F69C7A" w:rsidR="00E04012" w:rsidRPr="00E940CF" w:rsidRDefault="00E04012" w:rsidP="00E67CD8">
            <w:pPr>
              <w:ind w:left="360"/>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Payor</w:t>
            </w:r>
          </w:p>
        </w:tc>
        <w:tc>
          <w:tcPr>
            <w:tcW w:w="967" w:type="pct"/>
            <w:tcBorders>
              <w:top w:val="single" w:sz="4" w:space="0" w:color="auto"/>
              <w:left w:val="nil"/>
              <w:bottom w:val="single" w:sz="4" w:space="0" w:color="auto"/>
              <w:right w:val="single" w:sz="4" w:space="0" w:color="auto"/>
            </w:tcBorders>
            <w:shd w:val="clear" w:color="auto" w:fill="D9E1F2"/>
            <w:vAlign w:val="center"/>
            <w:hideMark/>
          </w:tcPr>
          <w:p w14:paraId="6FAFB960" w14:textId="564972C3" w:rsidR="00E04012" w:rsidRPr="00E940CF" w:rsidRDefault="00E04012" w:rsidP="00E67CD8">
            <w:pPr>
              <w:ind w:left="71"/>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FY23</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w:t>
            </w:r>
            <w:r w:rsidR="00030C1E">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Total</w:t>
            </w:r>
            <w:r w:rsidRPr="00E940CF">
              <w:rPr>
                <w:rFonts w:ascii="Aptos" w:hAnsi="Aptos" w:cs="Times New Roman"/>
                <w:b/>
                <w:bCs/>
                <w:color w:val="1F4E79" w:themeColor="accent5" w:themeShade="80"/>
                <w:sz w:val="24"/>
                <w:szCs w:val="24"/>
              </w:rPr>
              <w:t>)</w:t>
            </w:r>
          </w:p>
        </w:tc>
        <w:tc>
          <w:tcPr>
            <w:tcW w:w="940" w:type="pct"/>
            <w:tcBorders>
              <w:top w:val="single" w:sz="4" w:space="0" w:color="auto"/>
              <w:left w:val="nil"/>
              <w:bottom w:val="single" w:sz="4" w:space="0" w:color="auto"/>
              <w:right w:val="single" w:sz="4" w:space="0" w:color="auto"/>
            </w:tcBorders>
            <w:shd w:val="clear" w:color="auto" w:fill="D9E1F2"/>
            <w:vAlign w:val="center"/>
            <w:hideMark/>
          </w:tcPr>
          <w:p w14:paraId="78E301C4" w14:textId="634DB8F3" w:rsidR="00E04012" w:rsidRPr="00E940CF" w:rsidRDefault="00E04012" w:rsidP="00E67CD8">
            <w:pPr>
              <w:ind w:left="71"/>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FY24</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w:t>
            </w:r>
            <w:r w:rsidR="00030C1E">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Total</w:t>
            </w:r>
            <w:r w:rsidRPr="00E940CF">
              <w:rPr>
                <w:rFonts w:ascii="Aptos" w:hAnsi="Aptos" w:cs="Times New Roman"/>
                <w:b/>
                <w:bCs/>
                <w:color w:val="1F4E79" w:themeColor="accent5" w:themeShade="80"/>
                <w:sz w:val="24"/>
                <w:szCs w:val="24"/>
              </w:rPr>
              <w:t>)</w:t>
            </w:r>
          </w:p>
        </w:tc>
        <w:tc>
          <w:tcPr>
            <w:tcW w:w="1023" w:type="pct"/>
            <w:tcBorders>
              <w:top w:val="single" w:sz="4" w:space="0" w:color="auto"/>
              <w:left w:val="nil"/>
              <w:bottom w:val="single" w:sz="4" w:space="0" w:color="auto"/>
              <w:right w:val="single" w:sz="4" w:space="0" w:color="auto"/>
            </w:tcBorders>
            <w:shd w:val="clear" w:color="auto" w:fill="D9E1F2"/>
            <w:vAlign w:val="center"/>
            <w:hideMark/>
          </w:tcPr>
          <w:p w14:paraId="0576C964" w14:textId="3DF01C65" w:rsidR="00E04012" w:rsidRPr="00E940CF" w:rsidRDefault="00E04012" w:rsidP="00E67CD8">
            <w:pPr>
              <w:ind w:left="71"/>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FY25</w:t>
            </w:r>
            <w:r w:rsidRPr="00E940CF">
              <w:rPr>
                <w:rFonts w:ascii="Aptos" w:hAnsi="Aptos" w:cs="Times New Roman"/>
                <w:b/>
                <w:bCs/>
                <w:color w:val="1F4E79" w:themeColor="accent5" w:themeShade="80"/>
                <w:sz w:val="24"/>
                <w:szCs w:val="24"/>
              </w:rPr>
              <w:br/>
            </w:r>
            <w:r w:rsidRPr="00E940CF">
              <w:rPr>
                <w:rFonts w:ascii="Aptos" w:hAnsi="Aptos" w:cs="Times New Roman"/>
                <w:color w:val="1F4E79" w:themeColor="accent5" w:themeShade="80"/>
                <w:sz w:val="24"/>
                <w:szCs w:val="24"/>
              </w:rPr>
              <w:t>(</w:t>
            </w:r>
            <w:r w:rsidR="00030C1E">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Total)</w:t>
            </w:r>
          </w:p>
        </w:tc>
      </w:tr>
      <w:tr w:rsidR="00E04012" w:rsidRPr="00E940CF" w14:paraId="5E98A05C" w14:textId="77777777" w:rsidTr="00BE2E16">
        <w:trPr>
          <w:cantSplit/>
          <w:trHeight w:val="300"/>
        </w:trPr>
        <w:tc>
          <w:tcPr>
            <w:tcW w:w="2070" w:type="pct"/>
            <w:tcBorders>
              <w:top w:val="nil"/>
              <w:left w:val="single" w:sz="4" w:space="0" w:color="auto"/>
              <w:bottom w:val="single" w:sz="4" w:space="0" w:color="auto"/>
              <w:right w:val="single" w:sz="4" w:space="0" w:color="auto"/>
            </w:tcBorders>
            <w:noWrap/>
            <w:vAlign w:val="center"/>
            <w:hideMark/>
          </w:tcPr>
          <w:p w14:paraId="0316BD6F" w14:textId="4388D34A" w:rsidR="00E04012" w:rsidRPr="00E940CF" w:rsidRDefault="00E04012" w:rsidP="00E67CD8">
            <w:pP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Medicare</w:t>
            </w:r>
          </w:p>
        </w:tc>
        <w:tc>
          <w:tcPr>
            <w:tcW w:w="967" w:type="pct"/>
            <w:tcBorders>
              <w:top w:val="nil"/>
              <w:left w:val="nil"/>
              <w:bottom w:val="single" w:sz="4" w:space="0" w:color="auto"/>
              <w:right w:val="single" w:sz="4" w:space="0" w:color="auto"/>
            </w:tcBorders>
            <w:noWrap/>
            <w:vAlign w:val="center"/>
            <w:hideMark/>
          </w:tcPr>
          <w:p w14:paraId="0B2215A3" w14:textId="30D11169" w:rsidR="00E04012" w:rsidRPr="00E940CF" w:rsidRDefault="00F446CC" w:rsidP="00E67CD8">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42.3%</w:t>
            </w:r>
          </w:p>
        </w:tc>
        <w:tc>
          <w:tcPr>
            <w:tcW w:w="940" w:type="pct"/>
            <w:tcBorders>
              <w:top w:val="nil"/>
              <w:left w:val="nil"/>
              <w:bottom w:val="single" w:sz="4" w:space="0" w:color="auto"/>
              <w:right w:val="single" w:sz="4" w:space="0" w:color="auto"/>
            </w:tcBorders>
            <w:noWrap/>
            <w:vAlign w:val="center"/>
            <w:hideMark/>
          </w:tcPr>
          <w:p w14:paraId="0FE90F79" w14:textId="1730B194" w:rsidR="00E04012" w:rsidRPr="00E940CF" w:rsidRDefault="00F446CC" w:rsidP="00E67CD8">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44.1%</w:t>
            </w:r>
          </w:p>
        </w:tc>
        <w:tc>
          <w:tcPr>
            <w:tcW w:w="1023" w:type="pct"/>
            <w:tcBorders>
              <w:top w:val="nil"/>
              <w:left w:val="nil"/>
              <w:bottom w:val="single" w:sz="4" w:space="0" w:color="auto"/>
              <w:right w:val="single" w:sz="4" w:space="0" w:color="auto"/>
            </w:tcBorders>
            <w:noWrap/>
            <w:vAlign w:val="center"/>
            <w:hideMark/>
          </w:tcPr>
          <w:p w14:paraId="470D26DC" w14:textId="5256066A" w:rsidR="00E04012" w:rsidRPr="00E940CF" w:rsidRDefault="00F446CC" w:rsidP="00E67CD8">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37.0%</w:t>
            </w:r>
          </w:p>
        </w:tc>
      </w:tr>
      <w:tr w:rsidR="00E04012" w:rsidRPr="00E940CF" w14:paraId="7607BDDD" w14:textId="77777777" w:rsidTr="00BE2E16">
        <w:trPr>
          <w:cantSplit/>
          <w:trHeight w:val="300"/>
        </w:trPr>
        <w:tc>
          <w:tcPr>
            <w:tcW w:w="2070" w:type="pct"/>
            <w:tcBorders>
              <w:top w:val="nil"/>
              <w:left w:val="single" w:sz="4" w:space="0" w:color="auto"/>
              <w:bottom w:val="single" w:sz="4" w:space="0" w:color="auto"/>
              <w:right w:val="single" w:sz="4" w:space="0" w:color="auto"/>
            </w:tcBorders>
            <w:noWrap/>
            <w:vAlign w:val="center"/>
          </w:tcPr>
          <w:p w14:paraId="2B04F785" w14:textId="0CD6ED31" w:rsidR="00E04012" w:rsidRPr="00E940CF" w:rsidRDefault="00E04012" w:rsidP="00E67CD8">
            <w:pP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Medicare Managed Care</w:t>
            </w:r>
          </w:p>
        </w:tc>
        <w:tc>
          <w:tcPr>
            <w:tcW w:w="967" w:type="pct"/>
            <w:tcBorders>
              <w:top w:val="nil"/>
              <w:left w:val="nil"/>
              <w:bottom w:val="single" w:sz="4" w:space="0" w:color="auto"/>
              <w:right w:val="single" w:sz="4" w:space="0" w:color="auto"/>
            </w:tcBorders>
            <w:noWrap/>
            <w:vAlign w:val="center"/>
          </w:tcPr>
          <w:p w14:paraId="0CB8D50B" w14:textId="68DE2183" w:rsidR="00E04012" w:rsidRPr="00E940CF" w:rsidRDefault="003322C5" w:rsidP="00E67CD8">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17.6%</w:t>
            </w:r>
          </w:p>
        </w:tc>
        <w:tc>
          <w:tcPr>
            <w:tcW w:w="940" w:type="pct"/>
            <w:tcBorders>
              <w:top w:val="nil"/>
              <w:left w:val="nil"/>
              <w:bottom w:val="single" w:sz="4" w:space="0" w:color="auto"/>
              <w:right w:val="single" w:sz="4" w:space="0" w:color="auto"/>
            </w:tcBorders>
            <w:noWrap/>
            <w:vAlign w:val="center"/>
          </w:tcPr>
          <w:p w14:paraId="70B4658E" w14:textId="210995A1" w:rsidR="00E04012" w:rsidRPr="00E940CF" w:rsidRDefault="003322C5" w:rsidP="00E67CD8">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20.5%</w:t>
            </w:r>
          </w:p>
        </w:tc>
        <w:tc>
          <w:tcPr>
            <w:tcW w:w="1023" w:type="pct"/>
            <w:tcBorders>
              <w:top w:val="nil"/>
              <w:left w:val="nil"/>
              <w:bottom w:val="single" w:sz="4" w:space="0" w:color="auto"/>
              <w:right w:val="single" w:sz="4" w:space="0" w:color="auto"/>
            </w:tcBorders>
            <w:noWrap/>
            <w:vAlign w:val="center"/>
          </w:tcPr>
          <w:p w14:paraId="109D1A54" w14:textId="02B907F5" w:rsidR="00E04012" w:rsidRPr="00E940CF" w:rsidRDefault="003322C5" w:rsidP="00E67CD8">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24.4%</w:t>
            </w:r>
          </w:p>
        </w:tc>
      </w:tr>
      <w:tr w:rsidR="00E04012" w:rsidRPr="00E940CF" w14:paraId="32C4545D" w14:textId="77777777" w:rsidTr="00BE2E16">
        <w:trPr>
          <w:cantSplit/>
          <w:trHeight w:val="300"/>
        </w:trPr>
        <w:tc>
          <w:tcPr>
            <w:tcW w:w="2070" w:type="pct"/>
            <w:tcBorders>
              <w:top w:val="nil"/>
              <w:left w:val="single" w:sz="4" w:space="0" w:color="auto"/>
              <w:bottom w:val="single" w:sz="4" w:space="0" w:color="auto"/>
              <w:right w:val="single" w:sz="4" w:space="0" w:color="auto"/>
            </w:tcBorders>
            <w:noWrap/>
            <w:vAlign w:val="center"/>
          </w:tcPr>
          <w:p w14:paraId="28FB8045" w14:textId="06E862F4" w:rsidR="00E04012" w:rsidRPr="00E940CF" w:rsidRDefault="00E04012" w:rsidP="00E67CD8">
            <w:pP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lastRenderedPageBreak/>
              <w:t>Medicaid</w:t>
            </w:r>
          </w:p>
        </w:tc>
        <w:tc>
          <w:tcPr>
            <w:tcW w:w="967" w:type="pct"/>
            <w:tcBorders>
              <w:top w:val="nil"/>
              <w:left w:val="nil"/>
              <w:bottom w:val="single" w:sz="4" w:space="0" w:color="auto"/>
              <w:right w:val="single" w:sz="4" w:space="0" w:color="auto"/>
            </w:tcBorders>
            <w:noWrap/>
            <w:vAlign w:val="center"/>
          </w:tcPr>
          <w:p w14:paraId="3A7216F8" w14:textId="243D20FF" w:rsidR="00E04012" w:rsidRPr="00E940CF" w:rsidRDefault="003322C5" w:rsidP="00E67CD8">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1.9%</w:t>
            </w:r>
          </w:p>
        </w:tc>
        <w:tc>
          <w:tcPr>
            <w:tcW w:w="940" w:type="pct"/>
            <w:tcBorders>
              <w:top w:val="nil"/>
              <w:left w:val="nil"/>
              <w:bottom w:val="single" w:sz="4" w:space="0" w:color="auto"/>
              <w:right w:val="single" w:sz="4" w:space="0" w:color="auto"/>
            </w:tcBorders>
            <w:noWrap/>
            <w:vAlign w:val="center"/>
          </w:tcPr>
          <w:p w14:paraId="6EE73348" w14:textId="58F630AA" w:rsidR="00E04012" w:rsidRPr="00E940CF" w:rsidRDefault="003322C5" w:rsidP="00E67CD8">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3.5%</w:t>
            </w:r>
          </w:p>
        </w:tc>
        <w:tc>
          <w:tcPr>
            <w:tcW w:w="1023" w:type="pct"/>
            <w:tcBorders>
              <w:top w:val="nil"/>
              <w:left w:val="nil"/>
              <w:bottom w:val="single" w:sz="4" w:space="0" w:color="auto"/>
              <w:right w:val="single" w:sz="4" w:space="0" w:color="auto"/>
            </w:tcBorders>
            <w:noWrap/>
            <w:vAlign w:val="center"/>
          </w:tcPr>
          <w:p w14:paraId="48990E3F" w14:textId="78C8B356" w:rsidR="00E04012" w:rsidRPr="00E940CF" w:rsidRDefault="003322C5" w:rsidP="00E67CD8">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2.6%</w:t>
            </w:r>
          </w:p>
        </w:tc>
      </w:tr>
      <w:tr w:rsidR="00E04012" w:rsidRPr="00E940CF" w14:paraId="0766A553" w14:textId="77777777" w:rsidTr="00BE2E16">
        <w:trPr>
          <w:cantSplit/>
          <w:trHeight w:val="300"/>
        </w:trPr>
        <w:tc>
          <w:tcPr>
            <w:tcW w:w="2070" w:type="pct"/>
            <w:tcBorders>
              <w:top w:val="nil"/>
              <w:left w:val="single" w:sz="4" w:space="0" w:color="auto"/>
              <w:bottom w:val="single" w:sz="4" w:space="0" w:color="auto"/>
              <w:right w:val="single" w:sz="4" w:space="0" w:color="auto"/>
            </w:tcBorders>
            <w:noWrap/>
            <w:vAlign w:val="center"/>
          </w:tcPr>
          <w:p w14:paraId="7FF26CC1" w14:textId="568897F5" w:rsidR="00E04012" w:rsidRPr="00E940CF" w:rsidRDefault="00F446CC" w:rsidP="00E67CD8">
            <w:pP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Medicaid</w:t>
            </w:r>
            <w:r w:rsidR="00E04012" w:rsidRPr="00E940CF">
              <w:rPr>
                <w:rFonts w:ascii="Aptos" w:hAnsi="Aptos" w:cs="Times New Roman"/>
                <w:color w:val="1F4E79" w:themeColor="accent5" w:themeShade="80"/>
                <w:sz w:val="24"/>
                <w:szCs w:val="24"/>
              </w:rPr>
              <w:t xml:space="preserve"> Managed Care</w:t>
            </w:r>
          </w:p>
        </w:tc>
        <w:tc>
          <w:tcPr>
            <w:tcW w:w="967" w:type="pct"/>
            <w:tcBorders>
              <w:top w:val="nil"/>
              <w:left w:val="nil"/>
              <w:bottom w:val="single" w:sz="4" w:space="0" w:color="auto"/>
              <w:right w:val="single" w:sz="4" w:space="0" w:color="auto"/>
            </w:tcBorders>
            <w:noWrap/>
            <w:vAlign w:val="center"/>
          </w:tcPr>
          <w:p w14:paraId="37572730" w14:textId="2FE83E0E" w:rsidR="00E04012" w:rsidRPr="00E940CF" w:rsidRDefault="00387CC6" w:rsidP="00E67CD8">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12.3%</w:t>
            </w:r>
          </w:p>
        </w:tc>
        <w:tc>
          <w:tcPr>
            <w:tcW w:w="940" w:type="pct"/>
            <w:tcBorders>
              <w:top w:val="nil"/>
              <w:left w:val="nil"/>
              <w:bottom w:val="single" w:sz="4" w:space="0" w:color="auto"/>
              <w:right w:val="single" w:sz="4" w:space="0" w:color="auto"/>
            </w:tcBorders>
            <w:noWrap/>
            <w:vAlign w:val="center"/>
          </w:tcPr>
          <w:p w14:paraId="4EB2F98B" w14:textId="1945A7F0" w:rsidR="00E04012" w:rsidRPr="00E940CF" w:rsidRDefault="00387CC6" w:rsidP="00E67CD8">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9.0%</w:t>
            </w:r>
          </w:p>
        </w:tc>
        <w:tc>
          <w:tcPr>
            <w:tcW w:w="1023" w:type="pct"/>
            <w:tcBorders>
              <w:top w:val="nil"/>
              <w:left w:val="nil"/>
              <w:bottom w:val="single" w:sz="4" w:space="0" w:color="auto"/>
              <w:right w:val="single" w:sz="4" w:space="0" w:color="auto"/>
            </w:tcBorders>
            <w:noWrap/>
            <w:vAlign w:val="center"/>
          </w:tcPr>
          <w:p w14:paraId="29BB0975" w14:textId="7D8980A8" w:rsidR="00E04012" w:rsidRPr="00E940CF" w:rsidRDefault="00387CC6" w:rsidP="00E67CD8">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11.1%</w:t>
            </w:r>
          </w:p>
        </w:tc>
      </w:tr>
      <w:tr w:rsidR="00E04012" w:rsidRPr="00E940CF" w14:paraId="61280BE8" w14:textId="77777777" w:rsidTr="00BE2E16">
        <w:trPr>
          <w:cantSplit/>
          <w:trHeight w:val="300"/>
        </w:trPr>
        <w:tc>
          <w:tcPr>
            <w:tcW w:w="2070" w:type="pct"/>
            <w:tcBorders>
              <w:top w:val="nil"/>
              <w:left w:val="single" w:sz="4" w:space="0" w:color="auto"/>
              <w:bottom w:val="single" w:sz="4" w:space="0" w:color="auto"/>
              <w:right w:val="single" w:sz="4" w:space="0" w:color="auto"/>
            </w:tcBorders>
            <w:noWrap/>
            <w:vAlign w:val="center"/>
          </w:tcPr>
          <w:p w14:paraId="76980639" w14:textId="01750D6C" w:rsidR="00E04012" w:rsidRPr="00E940CF" w:rsidRDefault="00E04012" w:rsidP="00E67CD8">
            <w:pP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Commercial</w:t>
            </w:r>
          </w:p>
        </w:tc>
        <w:tc>
          <w:tcPr>
            <w:tcW w:w="967" w:type="pct"/>
            <w:tcBorders>
              <w:top w:val="nil"/>
              <w:left w:val="nil"/>
              <w:bottom w:val="single" w:sz="4" w:space="0" w:color="auto"/>
              <w:right w:val="single" w:sz="4" w:space="0" w:color="auto"/>
            </w:tcBorders>
            <w:noWrap/>
            <w:vAlign w:val="center"/>
          </w:tcPr>
          <w:p w14:paraId="786C12D6" w14:textId="4FF7211A" w:rsidR="00E04012" w:rsidRPr="00E940CF" w:rsidRDefault="00EF24A4" w:rsidP="00E67CD8">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25.8%</w:t>
            </w:r>
          </w:p>
        </w:tc>
        <w:tc>
          <w:tcPr>
            <w:tcW w:w="940" w:type="pct"/>
            <w:tcBorders>
              <w:top w:val="nil"/>
              <w:left w:val="nil"/>
              <w:bottom w:val="single" w:sz="4" w:space="0" w:color="auto"/>
              <w:right w:val="single" w:sz="4" w:space="0" w:color="auto"/>
            </w:tcBorders>
            <w:noWrap/>
            <w:vAlign w:val="center"/>
          </w:tcPr>
          <w:p w14:paraId="6E8B0C9F" w14:textId="280B5218" w:rsidR="00E04012" w:rsidRPr="00E940CF" w:rsidRDefault="00EF24A4" w:rsidP="00E67CD8">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22.9%</w:t>
            </w:r>
          </w:p>
        </w:tc>
        <w:tc>
          <w:tcPr>
            <w:tcW w:w="1023" w:type="pct"/>
            <w:tcBorders>
              <w:top w:val="nil"/>
              <w:left w:val="nil"/>
              <w:bottom w:val="single" w:sz="4" w:space="0" w:color="auto"/>
              <w:right w:val="single" w:sz="4" w:space="0" w:color="auto"/>
            </w:tcBorders>
            <w:noWrap/>
            <w:vAlign w:val="center"/>
          </w:tcPr>
          <w:p w14:paraId="55600EE3" w14:textId="6EEB914A" w:rsidR="00E04012" w:rsidRPr="00E940CF" w:rsidRDefault="00387CC6" w:rsidP="00E67CD8">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24.9%</w:t>
            </w:r>
          </w:p>
        </w:tc>
      </w:tr>
      <w:tr w:rsidR="00E04012" w:rsidRPr="00E940CF" w14:paraId="0ECAF3FC" w14:textId="77777777" w:rsidTr="00BE2E16">
        <w:trPr>
          <w:cantSplit/>
          <w:trHeight w:val="300"/>
        </w:trPr>
        <w:tc>
          <w:tcPr>
            <w:tcW w:w="2070" w:type="pct"/>
            <w:tcBorders>
              <w:top w:val="nil"/>
              <w:left w:val="single" w:sz="4" w:space="0" w:color="auto"/>
              <w:bottom w:val="single" w:sz="4" w:space="0" w:color="auto"/>
              <w:right w:val="single" w:sz="4" w:space="0" w:color="auto"/>
            </w:tcBorders>
            <w:noWrap/>
            <w:vAlign w:val="center"/>
          </w:tcPr>
          <w:p w14:paraId="19B9FBCC" w14:textId="4A557B4E" w:rsidR="00E04012" w:rsidRPr="00E940CF" w:rsidRDefault="00F446CC" w:rsidP="00E67CD8">
            <w:pPr>
              <w:rPr>
                <w:rFonts w:ascii="Aptos" w:hAnsi="Aptos" w:cs="Times New Roman"/>
                <w:color w:val="1F4E79" w:themeColor="accent5" w:themeShade="80"/>
                <w:sz w:val="24"/>
                <w:szCs w:val="24"/>
              </w:rPr>
            </w:pPr>
            <w:proofErr w:type="spellStart"/>
            <w:r w:rsidRPr="00E940CF">
              <w:rPr>
                <w:rFonts w:ascii="Aptos" w:hAnsi="Aptos" w:cs="Times New Roman"/>
                <w:color w:val="1F4E79" w:themeColor="accent5" w:themeShade="80"/>
                <w:sz w:val="24"/>
                <w:szCs w:val="24"/>
              </w:rPr>
              <w:t>Self Pay</w:t>
            </w:r>
            <w:proofErr w:type="spellEnd"/>
            <w:r w:rsidRPr="00E940CF">
              <w:rPr>
                <w:rFonts w:ascii="Aptos" w:hAnsi="Aptos" w:cs="Times New Roman"/>
                <w:color w:val="1F4E79" w:themeColor="accent5" w:themeShade="80"/>
                <w:sz w:val="24"/>
                <w:szCs w:val="24"/>
              </w:rPr>
              <w:t xml:space="preserve"> and Free Care</w:t>
            </w:r>
          </w:p>
        </w:tc>
        <w:tc>
          <w:tcPr>
            <w:tcW w:w="967" w:type="pct"/>
            <w:tcBorders>
              <w:top w:val="nil"/>
              <w:left w:val="nil"/>
              <w:bottom w:val="single" w:sz="4" w:space="0" w:color="auto"/>
              <w:right w:val="single" w:sz="4" w:space="0" w:color="auto"/>
            </w:tcBorders>
            <w:noWrap/>
            <w:vAlign w:val="center"/>
          </w:tcPr>
          <w:p w14:paraId="2F6B0DC4" w14:textId="65ABB4EA" w:rsidR="00E04012" w:rsidRPr="00E940CF" w:rsidRDefault="00EF24A4" w:rsidP="00E67CD8">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0.1%</w:t>
            </w:r>
          </w:p>
        </w:tc>
        <w:tc>
          <w:tcPr>
            <w:tcW w:w="940" w:type="pct"/>
            <w:tcBorders>
              <w:top w:val="nil"/>
              <w:left w:val="nil"/>
              <w:bottom w:val="single" w:sz="4" w:space="0" w:color="auto"/>
              <w:right w:val="single" w:sz="4" w:space="0" w:color="auto"/>
            </w:tcBorders>
            <w:noWrap/>
            <w:vAlign w:val="center"/>
          </w:tcPr>
          <w:p w14:paraId="31230878" w14:textId="6737E096" w:rsidR="00E04012" w:rsidRPr="00E940CF" w:rsidRDefault="00EF24A4" w:rsidP="00E67CD8">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0.0%</w:t>
            </w:r>
          </w:p>
        </w:tc>
        <w:tc>
          <w:tcPr>
            <w:tcW w:w="1023" w:type="pct"/>
            <w:tcBorders>
              <w:top w:val="nil"/>
              <w:left w:val="nil"/>
              <w:bottom w:val="single" w:sz="4" w:space="0" w:color="auto"/>
              <w:right w:val="single" w:sz="4" w:space="0" w:color="auto"/>
            </w:tcBorders>
            <w:noWrap/>
            <w:vAlign w:val="center"/>
          </w:tcPr>
          <w:p w14:paraId="6DD490FC" w14:textId="342180C8" w:rsidR="00E04012" w:rsidRPr="00E940CF" w:rsidRDefault="00EF24A4" w:rsidP="00E67CD8">
            <w:pPr>
              <w:jc w:val="cente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0.1%</w:t>
            </w:r>
          </w:p>
        </w:tc>
      </w:tr>
      <w:tr w:rsidR="00E04012" w:rsidRPr="00E940CF" w14:paraId="6CD436FB" w14:textId="77777777" w:rsidTr="00BE2E16">
        <w:trPr>
          <w:cantSplit/>
          <w:trHeight w:val="300"/>
        </w:trPr>
        <w:tc>
          <w:tcPr>
            <w:tcW w:w="2070" w:type="pct"/>
            <w:tcBorders>
              <w:top w:val="nil"/>
              <w:left w:val="single" w:sz="4" w:space="0" w:color="auto"/>
              <w:bottom w:val="single" w:sz="4" w:space="0" w:color="auto"/>
              <w:right w:val="single" w:sz="4" w:space="0" w:color="auto"/>
            </w:tcBorders>
            <w:noWrap/>
            <w:vAlign w:val="center"/>
            <w:hideMark/>
          </w:tcPr>
          <w:p w14:paraId="36FF82B2" w14:textId="7E1820CB" w:rsidR="00E04012" w:rsidRPr="00E940CF" w:rsidRDefault="00A82487" w:rsidP="00E67CD8">
            <w:pP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Total</w:t>
            </w:r>
          </w:p>
        </w:tc>
        <w:tc>
          <w:tcPr>
            <w:tcW w:w="967" w:type="pct"/>
            <w:tcBorders>
              <w:top w:val="nil"/>
              <w:left w:val="nil"/>
              <w:bottom w:val="single" w:sz="4" w:space="0" w:color="auto"/>
              <w:right w:val="single" w:sz="4" w:space="0" w:color="auto"/>
            </w:tcBorders>
            <w:noWrap/>
            <w:vAlign w:val="center"/>
            <w:hideMark/>
          </w:tcPr>
          <w:p w14:paraId="23EBBE13" w14:textId="77777777" w:rsidR="00E04012" w:rsidRPr="00E940CF" w:rsidRDefault="00E04012" w:rsidP="00E67CD8">
            <w:pPr>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100%</w:t>
            </w:r>
          </w:p>
        </w:tc>
        <w:tc>
          <w:tcPr>
            <w:tcW w:w="940" w:type="pct"/>
            <w:tcBorders>
              <w:top w:val="nil"/>
              <w:left w:val="nil"/>
              <w:bottom w:val="single" w:sz="4" w:space="0" w:color="auto"/>
              <w:right w:val="single" w:sz="4" w:space="0" w:color="auto"/>
            </w:tcBorders>
            <w:noWrap/>
            <w:vAlign w:val="center"/>
            <w:hideMark/>
          </w:tcPr>
          <w:p w14:paraId="4300D838" w14:textId="77777777" w:rsidR="00E04012" w:rsidRPr="00E940CF" w:rsidRDefault="00E04012" w:rsidP="00E67CD8">
            <w:pPr>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100%</w:t>
            </w:r>
          </w:p>
        </w:tc>
        <w:tc>
          <w:tcPr>
            <w:tcW w:w="1023" w:type="pct"/>
            <w:tcBorders>
              <w:top w:val="nil"/>
              <w:left w:val="nil"/>
              <w:bottom w:val="single" w:sz="4" w:space="0" w:color="auto"/>
              <w:right w:val="single" w:sz="4" w:space="0" w:color="auto"/>
            </w:tcBorders>
            <w:noWrap/>
            <w:vAlign w:val="center"/>
            <w:hideMark/>
          </w:tcPr>
          <w:p w14:paraId="7CB953E3" w14:textId="77777777" w:rsidR="00E04012" w:rsidRPr="00E940CF" w:rsidRDefault="00E04012" w:rsidP="00E67CD8">
            <w:pPr>
              <w:jc w:val="center"/>
              <w:rPr>
                <w:rFonts w:ascii="Aptos" w:hAnsi="Aptos" w:cs="Times New Roman"/>
                <w:b/>
                <w:bCs/>
                <w:color w:val="1F4E79" w:themeColor="accent5" w:themeShade="80"/>
                <w:sz w:val="24"/>
                <w:szCs w:val="24"/>
              </w:rPr>
            </w:pPr>
            <w:r w:rsidRPr="00E940CF">
              <w:rPr>
                <w:rFonts w:ascii="Aptos" w:hAnsi="Aptos" w:cs="Times New Roman"/>
                <w:b/>
                <w:bCs/>
                <w:color w:val="1F4E79" w:themeColor="accent5" w:themeShade="80"/>
                <w:sz w:val="24"/>
                <w:szCs w:val="24"/>
              </w:rPr>
              <w:t>100%</w:t>
            </w:r>
          </w:p>
        </w:tc>
      </w:tr>
    </w:tbl>
    <w:p w14:paraId="63A878C0" w14:textId="77777777" w:rsidR="00DB19BD" w:rsidRPr="00E940CF" w:rsidRDefault="00DB19BD" w:rsidP="00031E57">
      <w:pPr>
        <w:rPr>
          <w:rFonts w:ascii="Aptos" w:hAnsi="Aptos" w:cs="Times New Roman"/>
          <w:color w:val="1F3864" w:themeColor="accent1" w:themeShade="80"/>
          <w:sz w:val="24"/>
          <w:szCs w:val="24"/>
        </w:rPr>
      </w:pPr>
    </w:p>
    <w:p w14:paraId="30A7BA26" w14:textId="77777777" w:rsidR="0063606F" w:rsidRPr="00E940CF" w:rsidRDefault="0063606F">
      <w:pPr>
        <w:rPr>
          <w:rFonts w:ascii="Aptos" w:hAnsi="Aptos" w:cs="Calibri"/>
          <w:b/>
          <w:bCs/>
          <w:sz w:val="24"/>
          <w:szCs w:val="24"/>
        </w:rPr>
      </w:pPr>
      <w:r w:rsidRPr="00E940CF">
        <w:rPr>
          <w:rFonts w:ascii="Aptos" w:hAnsi="Aptos" w:cs="Calibri"/>
          <w:b/>
          <w:bCs/>
          <w:sz w:val="24"/>
          <w:szCs w:val="24"/>
        </w:rPr>
        <w:br w:type="page"/>
      </w:r>
    </w:p>
    <w:p w14:paraId="7A36012B" w14:textId="790CF7AF" w:rsidR="007D766E" w:rsidRPr="00E940CF" w:rsidRDefault="007D766E" w:rsidP="00377CE4">
      <w:pPr>
        <w:pStyle w:val="Heading2"/>
        <w:rPr>
          <w:rFonts w:ascii="Aptos" w:hAnsi="Aptos"/>
          <w:sz w:val="24"/>
          <w:szCs w:val="24"/>
        </w:rPr>
      </w:pPr>
      <w:r w:rsidRPr="00E940CF">
        <w:rPr>
          <w:rFonts w:ascii="Aptos" w:hAnsi="Aptos"/>
          <w:sz w:val="24"/>
          <w:szCs w:val="24"/>
        </w:rPr>
        <w:lastRenderedPageBreak/>
        <w:t xml:space="preserve">For the project’s oncology and </w:t>
      </w:r>
      <w:r w:rsidR="00A82487">
        <w:rPr>
          <w:rFonts w:ascii="Aptos" w:hAnsi="Aptos"/>
          <w:sz w:val="24"/>
          <w:szCs w:val="24"/>
        </w:rPr>
        <w:t>linear accelerator (</w:t>
      </w:r>
      <w:r w:rsidRPr="00E940CF">
        <w:rPr>
          <w:rFonts w:ascii="Aptos" w:hAnsi="Aptos"/>
          <w:sz w:val="24"/>
          <w:szCs w:val="24"/>
        </w:rPr>
        <w:t>LINAC</w:t>
      </w:r>
      <w:r w:rsidR="00A82487">
        <w:rPr>
          <w:rFonts w:ascii="Aptos" w:hAnsi="Aptos"/>
          <w:sz w:val="24"/>
          <w:szCs w:val="24"/>
        </w:rPr>
        <w:t>)</w:t>
      </w:r>
      <w:r w:rsidRPr="00E940CF">
        <w:rPr>
          <w:rFonts w:ascii="Aptos" w:hAnsi="Aptos"/>
          <w:sz w:val="24"/>
          <w:szCs w:val="24"/>
        </w:rPr>
        <w:t xml:space="preserve"> patients please </w:t>
      </w:r>
      <w:proofErr w:type="gramStart"/>
      <w:r w:rsidRPr="00E940CF">
        <w:rPr>
          <w:rFonts w:ascii="Aptos" w:hAnsi="Aptos"/>
          <w:sz w:val="24"/>
          <w:szCs w:val="24"/>
        </w:rPr>
        <w:t>provide in</w:t>
      </w:r>
      <w:proofErr w:type="gramEnd"/>
      <w:r w:rsidRPr="00E940CF">
        <w:rPr>
          <w:rFonts w:ascii="Aptos" w:hAnsi="Aptos"/>
          <w:sz w:val="24"/>
          <w:szCs w:val="24"/>
        </w:rPr>
        <w:t xml:space="preserve"> update </w:t>
      </w:r>
      <w:proofErr w:type="gramStart"/>
      <w:r w:rsidRPr="00E940CF">
        <w:rPr>
          <w:rFonts w:ascii="Aptos" w:hAnsi="Aptos"/>
          <w:sz w:val="24"/>
          <w:szCs w:val="24"/>
        </w:rPr>
        <w:t>all of</w:t>
      </w:r>
      <w:proofErr w:type="gramEnd"/>
      <w:r w:rsidRPr="00E940CF">
        <w:rPr>
          <w:rFonts w:ascii="Aptos" w:hAnsi="Aptos"/>
          <w:sz w:val="24"/>
          <w:szCs w:val="24"/>
        </w:rPr>
        <w:t xml:space="preserve"> the tables in the</w:t>
      </w:r>
      <w:r w:rsidR="00DD115A" w:rsidRPr="00E940CF">
        <w:rPr>
          <w:rFonts w:ascii="Aptos" w:hAnsi="Aptos"/>
          <w:sz w:val="24"/>
          <w:szCs w:val="24"/>
        </w:rPr>
        <w:t xml:space="preserve"> </w:t>
      </w:r>
      <w:r w:rsidRPr="00E940CF">
        <w:rPr>
          <w:rFonts w:ascii="Aptos" w:hAnsi="Aptos"/>
          <w:i/>
          <w:iCs/>
          <w:sz w:val="24"/>
          <w:szCs w:val="24"/>
        </w:rPr>
        <w:t>E. Data Appendix</w:t>
      </w:r>
      <w:r w:rsidRPr="00E940CF">
        <w:rPr>
          <w:rFonts w:ascii="Aptos" w:hAnsi="Aptos"/>
          <w:sz w:val="24"/>
          <w:szCs w:val="24"/>
        </w:rPr>
        <w:t xml:space="preserve"> with 2025 data and incorporate </w:t>
      </w:r>
      <w:r w:rsidR="008C61B8" w:rsidRPr="00E940CF">
        <w:rPr>
          <w:rFonts w:ascii="Aptos" w:hAnsi="Aptos"/>
          <w:sz w:val="24"/>
          <w:szCs w:val="24"/>
        </w:rPr>
        <w:t>as</w:t>
      </w:r>
      <w:r w:rsidRPr="00E940CF">
        <w:rPr>
          <w:rFonts w:ascii="Aptos" w:hAnsi="Aptos"/>
          <w:sz w:val="24"/>
          <w:szCs w:val="24"/>
        </w:rPr>
        <w:t xml:space="preserve"> updated tables </w:t>
      </w:r>
      <w:r w:rsidR="008C61B8" w:rsidRPr="00E940CF">
        <w:rPr>
          <w:rFonts w:ascii="Aptos" w:hAnsi="Aptos"/>
          <w:sz w:val="24"/>
          <w:szCs w:val="24"/>
        </w:rPr>
        <w:t>with</w:t>
      </w:r>
      <w:r w:rsidRPr="00E940CF">
        <w:rPr>
          <w:rFonts w:ascii="Aptos" w:hAnsi="Aptos"/>
          <w:sz w:val="24"/>
          <w:szCs w:val="24"/>
        </w:rPr>
        <w:t xml:space="preserve"> </w:t>
      </w:r>
      <w:r w:rsidR="00BB1847" w:rsidRPr="00E940CF">
        <w:rPr>
          <w:rFonts w:ascii="Aptos" w:hAnsi="Aptos"/>
          <w:sz w:val="24"/>
          <w:szCs w:val="24"/>
        </w:rPr>
        <w:t>a</w:t>
      </w:r>
      <w:r w:rsidRPr="00E940CF">
        <w:rPr>
          <w:rFonts w:ascii="Aptos" w:hAnsi="Aptos"/>
          <w:sz w:val="24"/>
          <w:szCs w:val="24"/>
        </w:rPr>
        <w:t xml:space="preserve"> narrative.</w:t>
      </w:r>
    </w:p>
    <w:p w14:paraId="7B84B31E" w14:textId="066F73A2" w:rsidR="007D766E" w:rsidRPr="00FD55E6" w:rsidRDefault="007D766E" w:rsidP="007D766E">
      <w:pPr>
        <w:ind w:left="360"/>
        <w:rPr>
          <w:rFonts w:ascii="Aptos" w:hAnsi="Aptos" w:cs="Times New Roman"/>
          <w:color w:val="1F4E79" w:themeColor="accent5" w:themeShade="80"/>
          <w:sz w:val="24"/>
          <w:szCs w:val="24"/>
        </w:rPr>
      </w:pPr>
      <w:r w:rsidRPr="00FD55E6">
        <w:rPr>
          <w:rFonts w:ascii="Aptos" w:hAnsi="Aptos" w:cs="Times New Roman"/>
          <w:b/>
          <w:bCs/>
          <w:color w:val="1F4E79" w:themeColor="accent5" w:themeShade="80"/>
          <w:sz w:val="24"/>
          <w:szCs w:val="24"/>
        </w:rPr>
        <w:t>Response</w:t>
      </w:r>
      <w:r w:rsidRPr="00FD55E6">
        <w:rPr>
          <w:rFonts w:ascii="Aptos" w:hAnsi="Aptos" w:cs="Times New Roman"/>
          <w:color w:val="1F4E79" w:themeColor="accent5" w:themeShade="80"/>
          <w:sz w:val="24"/>
          <w:szCs w:val="24"/>
        </w:rPr>
        <w:t xml:space="preserve">: </w:t>
      </w:r>
    </w:p>
    <w:p w14:paraId="7CB3BB41" w14:textId="5D7F6542" w:rsidR="00B5383A" w:rsidRPr="00E940CF" w:rsidRDefault="00705804" w:rsidP="007D766E">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Please find below updated </w:t>
      </w:r>
      <w:r w:rsidR="008C61B8" w:rsidRPr="00E940CF">
        <w:rPr>
          <w:rFonts w:ascii="Aptos" w:hAnsi="Aptos" w:cs="Times New Roman"/>
          <w:color w:val="1F4E79" w:themeColor="accent5" w:themeShade="80"/>
          <w:sz w:val="24"/>
          <w:szCs w:val="24"/>
        </w:rPr>
        <w:t>Tables reflecting the data</w:t>
      </w:r>
      <w:r w:rsidRPr="00E940CF">
        <w:rPr>
          <w:rFonts w:ascii="Aptos" w:hAnsi="Aptos" w:cs="Times New Roman"/>
          <w:color w:val="1F4E79" w:themeColor="accent5" w:themeShade="80"/>
          <w:sz w:val="24"/>
          <w:szCs w:val="24"/>
        </w:rPr>
        <w:t xml:space="preserve"> presented in the </w:t>
      </w:r>
      <w:r w:rsidR="007E128D" w:rsidRPr="00E940CF">
        <w:rPr>
          <w:rFonts w:ascii="Aptos" w:hAnsi="Aptos" w:cs="Times New Roman"/>
          <w:color w:val="1F4E79" w:themeColor="accent5" w:themeShade="80"/>
          <w:sz w:val="24"/>
          <w:szCs w:val="24"/>
        </w:rPr>
        <w:t xml:space="preserve">Section </w:t>
      </w:r>
      <w:r w:rsidRPr="00E940CF">
        <w:rPr>
          <w:rFonts w:ascii="Aptos" w:hAnsi="Aptos" w:cs="Times New Roman"/>
          <w:color w:val="1F4E79" w:themeColor="accent5" w:themeShade="80"/>
          <w:sz w:val="24"/>
          <w:szCs w:val="24"/>
        </w:rPr>
        <w:t>E. Data Appendix</w:t>
      </w:r>
      <w:r w:rsidR="007E128D" w:rsidRPr="00E940CF">
        <w:rPr>
          <w:rFonts w:ascii="Aptos" w:hAnsi="Aptos" w:cs="Times New Roman"/>
          <w:color w:val="1F4E79" w:themeColor="accent5" w:themeShade="80"/>
          <w:sz w:val="24"/>
          <w:szCs w:val="24"/>
        </w:rPr>
        <w:t xml:space="preserve"> of the Application Narrative</w:t>
      </w:r>
      <w:r w:rsidRPr="00E940CF">
        <w:rPr>
          <w:rFonts w:ascii="Aptos" w:hAnsi="Aptos" w:cs="Times New Roman"/>
          <w:color w:val="1F4E79" w:themeColor="accent5" w:themeShade="80"/>
          <w:sz w:val="24"/>
          <w:szCs w:val="24"/>
        </w:rPr>
        <w:t xml:space="preserve"> with 2025 data where applicable, </w:t>
      </w:r>
      <w:r w:rsidR="007E128D" w:rsidRPr="00E940CF">
        <w:rPr>
          <w:rFonts w:ascii="Aptos" w:hAnsi="Aptos" w:cs="Times New Roman"/>
          <w:color w:val="1F4E79" w:themeColor="accent5" w:themeShade="80"/>
          <w:sz w:val="24"/>
          <w:szCs w:val="24"/>
        </w:rPr>
        <w:t xml:space="preserve">and </w:t>
      </w:r>
      <w:r w:rsidRPr="00E940CF">
        <w:rPr>
          <w:rFonts w:ascii="Aptos" w:hAnsi="Aptos" w:cs="Times New Roman"/>
          <w:color w:val="1F4E79" w:themeColor="accent5" w:themeShade="80"/>
          <w:sz w:val="24"/>
          <w:szCs w:val="24"/>
        </w:rPr>
        <w:t xml:space="preserve">with a narrative explanation for each </w:t>
      </w:r>
      <w:r w:rsidR="008C61B8" w:rsidRPr="00E940CF">
        <w:rPr>
          <w:rFonts w:ascii="Aptos" w:hAnsi="Aptos" w:cs="Times New Roman"/>
          <w:color w:val="1F4E79" w:themeColor="accent5" w:themeShade="80"/>
          <w:sz w:val="24"/>
          <w:szCs w:val="24"/>
        </w:rPr>
        <w:t xml:space="preserve">Table </w:t>
      </w:r>
      <w:r w:rsidRPr="00E940CF">
        <w:rPr>
          <w:rFonts w:ascii="Aptos" w:hAnsi="Aptos" w:cs="Times New Roman"/>
          <w:color w:val="1F4E79" w:themeColor="accent5" w:themeShade="80"/>
          <w:sz w:val="24"/>
          <w:szCs w:val="24"/>
        </w:rPr>
        <w:t xml:space="preserve">assessing the updated information and overall trends in connection with the Application.  The </w:t>
      </w:r>
      <w:r w:rsidR="008C61B8" w:rsidRPr="00E940CF">
        <w:rPr>
          <w:rFonts w:ascii="Aptos" w:hAnsi="Aptos" w:cs="Times New Roman"/>
          <w:color w:val="1F4E79" w:themeColor="accent5" w:themeShade="80"/>
          <w:sz w:val="24"/>
          <w:szCs w:val="24"/>
        </w:rPr>
        <w:t xml:space="preserve">data </w:t>
      </w:r>
      <w:r w:rsidRPr="00E940CF">
        <w:rPr>
          <w:rFonts w:ascii="Aptos" w:hAnsi="Aptos" w:cs="Times New Roman"/>
          <w:color w:val="1F4E79" w:themeColor="accent5" w:themeShade="80"/>
          <w:sz w:val="24"/>
          <w:szCs w:val="24"/>
        </w:rPr>
        <w:t xml:space="preserve">support a trend of continued growth in demand and of the Cancer Center’s radiation oncology program which necessitate a second </w:t>
      </w:r>
      <w:r w:rsidR="00C0195C" w:rsidRPr="00E940CF">
        <w:rPr>
          <w:rFonts w:ascii="Aptos" w:hAnsi="Aptos" w:cs="Times New Roman"/>
          <w:color w:val="1F4E79" w:themeColor="accent5" w:themeShade="80"/>
          <w:sz w:val="24"/>
          <w:szCs w:val="24"/>
        </w:rPr>
        <w:t>linear accelerator (“</w:t>
      </w:r>
      <w:r w:rsidRPr="00E940CF">
        <w:rPr>
          <w:rFonts w:ascii="Aptos" w:hAnsi="Aptos" w:cs="Times New Roman"/>
          <w:color w:val="1F4E79" w:themeColor="accent5" w:themeShade="80"/>
          <w:sz w:val="24"/>
          <w:szCs w:val="24"/>
        </w:rPr>
        <w:t>LINAC</w:t>
      </w:r>
      <w:r w:rsidR="00C0195C" w:rsidRPr="00E940CF">
        <w:rPr>
          <w:rFonts w:ascii="Aptos" w:hAnsi="Aptos" w:cs="Times New Roman"/>
          <w:color w:val="1F4E79" w:themeColor="accent5" w:themeShade="80"/>
          <w:sz w:val="24"/>
          <w:szCs w:val="24"/>
        </w:rPr>
        <w:t>”)</w:t>
      </w:r>
      <w:r w:rsidRPr="00E940CF">
        <w:rPr>
          <w:rFonts w:ascii="Aptos" w:hAnsi="Aptos" w:cs="Times New Roman"/>
          <w:color w:val="1F4E79" w:themeColor="accent5" w:themeShade="80"/>
          <w:sz w:val="24"/>
          <w:szCs w:val="24"/>
        </w:rPr>
        <w:t xml:space="preserve"> machine on-site in Fairhaven to meet that demand and expand access.  Additionally, the Applicant re-analyzed all data and figures </w:t>
      </w:r>
      <w:proofErr w:type="gramStart"/>
      <w:r w:rsidRPr="00E940CF">
        <w:rPr>
          <w:rFonts w:ascii="Aptos" w:hAnsi="Aptos" w:cs="Times New Roman"/>
          <w:color w:val="1F4E79" w:themeColor="accent5" w:themeShade="80"/>
          <w:sz w:val="24"/>
          <w:szCs w:val="24"/>
        </w:rPr>
        <w:t>referenced, and</w:t>
      </w:r>
      <w:proofErr w:type="gramEnd"/>
      <w:r w:rsidRPr="00E940CF">
        <w:rPr>
          <w:rFonts w:ascii="Aptos" w:hAnsi="Aptos" w:cs="Times New Roman"/>
          <w:color w:val="1F4E79" w:themeColor="accent5" w:themeShade="80"/>
          <w:sz w:val="24"/>
          <w:szCs w:val="24"/>
        </w:rPr>
        <w:t xml:space="preserve"> determined that the Applicant mis-calculated the median age at diagnosis of its cancer patient population in Figure 3, which is updated and corrected below to show </w:t>
      </w:r>
      <w:r w:rsidR="006B7DA8" w:rsidRPr="00E940CF">
        <w:rPr>
          <w:rFonts w:ascii="Aptos" w:hAnsi="Aptos" w:cs="Times New Roman"/>
          <w:color w:val="1F4E79" w:themeColor="accent5" w:themeShade="80"/>
          <w:sz w:val="24"/>
          <w:szCs w:val="24"/>
        </w:rPr>
        <w:t>the age as more in line with national averages and the aging population the Applicant treats.</w:t>
      </w:r>
      <w:r w:rsidR="007E128D" w:rsidRPr="00E940CF">
        <w:rPr>
          <w:rFonts w:ascii="Aptos" w:hAnsi="Aptos" w:cs="Times New Roman"/>
          <w:color w:val="1F4E79" w:themeColor="accent5" w:themeShade="80"/>
          <w:sz w:val="24"/>
          <w:szCs w:val="24"/>
        </w:rPr>
        <w:t xml:space="preserve">  Of note, the Figures below do not include an updated Figure 9 (Massachusetts population estimates through 2050) because that data was not specific to the Applicant and not missing 2025.</w:t>
      </w:r>
    </w:p>
    <w:p w14:paraId="6A2E4A88" w14:textId="7B5C8930" w:rsidR="00B5383A" w:rsidRPr="00FD55E6" w:rsidRDefault="00B5383A" w:rsidP="0000002D">
      <w:pPr>
        <w:keepNext/>
        <w:ind w:left="360"/>
        <w:rPr>
          <w:rFonts w:ascii="Aptos" w:hAnsi="Aptos" w:cs="Times New Roman"/>
          <w:i/>
          <w:iCs/>
          <w:color w:val="1F4E79" w:themeColor="accent5" w:themeShade="80"/>
          <w:sz w:val="24"/>
          <w:szCs w:val="24"/>
        </w:rPr>
      </w:pPr>
      <w:r w:rsidRPr="00FD55E6">
        <w:rPr>
          <w:rFonts w:ascii="Aptos" w:hAnsi="Aptos" w:cs="Times New Roman"/>
          <w:i/>
          <w:iCs/>
          <w:color w:val="1F4E79" w:themeColor="accent5" w:themeShade="80"/>
          <w:sz w:val="24"/>
          <w:szCs w:val="24"/>
        </w:rPr>
        <w:t>Data Appendix Figure 1a – Updated</w:t>
      </w:r>
      <w:r w:rsidR="008C61B8" w:rsidRPr="00FD55E6">
        <w:rPr>
          <w:rFonts w:ascii="Aptos" w:hAnsi="Aptos" w:cs="Times New Roman"/>
          <w:i/>
          <w:iCs/>
          <w:color w:val="1F4E79" w:themeColor="accent5" w:themeShade="80"/>
          <w:sz w:val="24"/>
          <w:szCs w:val="24"/>
        </w:rPr>
        <w:t xml:space="preserve"> Tables</w:t>
      </w:r>
    </w:p>
    <w:tbl>
      <w:tblPr>
        <w:tblW w:w="5440" w:type="dxa"/>
        <w:tblInd w:w="355" w:type="dxa"/>
        <w:tblLook w:val="04A0" w:firstRow="1" w:lastRow="0" w:firstColumn="1" w:lastColumn="0" w:noHBand="0" w:noVBand="1"/>
        <w:tblCaption w:val="Data Appendix Figure 1a – Updated Tables"/>
      </w:tblPr>
      <w:tblGrid>
        <w:gridCol w:w="2960"/>
        <w:gridCol w:w="2480"/>
      </w:tblGrid>
      <w:tr w:rsidR="008C61B8" w:rsidRPr="00E940CF" w14:paraId="5EDC2386" w14:textId="77777777" w:rsidTr="007A21D6">
        <w:trPr>
          <w:cantSplit/>
          <w:trHeight w:val="840"/>
          <w:tblHeader/>
        </w:trPr>
        <w:tc>
          <w:tcPr>
            <w:tcW w:w="296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6357A9A" w14:textId="77777777" w:rsidR="008C61B8" w:rsidRPr="00E940CF" w:rsidRDefault="008C61B8" w:rsidP="00E67CD8">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Applicant Fiscal Year</w:t>
            </w:r>
          </w:p>
        </w:tc>
        <w:tc>
          <w:tcPr>
            <w:tcW w:w="2480" w:type="dxa"/>
            <w:tcBorders>
              <w:top w:val="single" w:sz="4" w:space="0" w:color="auto"/>
              <w:left w:val="nil"/>
              <w:bottom w:val="single" w:sz="4" w:space="0" w:color="auto"/>
              <w:right w:val="single" w:sz="4" w:space="0" w:color="auto"/>
            </w:tcBorders>
            <w:shd w:val="clear" w:color="000000" w:fill="D9E1F2"/>
            <w:vAlign w:val="center"/>
            <w:hideMark/>
          </w:tcPr>
          <w:p w14:paraId="3CAD4927" w14:textId="735D623A" w:rsidR="008C61B8" w:rsidRPr="00E940CF" w:rsidRDefault="008C61B8" w:rsidP="00E67CD8">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Southcoast Health Total Cancer Case Volume</w:t>
            </w:r>
          </w:p>
        </w:tc>
      </w:tr>
      <w:tr w:rsidR="008C61B8" w:rsidRPr="00E940CF" w14:paraId="509869EB" w14:textId="77777777" w:rsidTr="00B50F2F">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3E4BBB06" w14:textId="605802BE" w:rsidR="008C61B8" w:rsidRPr="00E940CF" w:rsidRDefault="008C61B8"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FY10</w:t>
            </w:r>
          </w:p>
        </w:tc>
        <w:tc>
          <w:tcPr>
            <w:tcW w:w="2480" w:type="dxa"/>
            <w:tcBorders>
              <w:top w:val="nil"/>
              <w:left w:val="nil"/>
              <w:bottom w:val="single" w:sz="4" w:space="0" w:color="auto"/>
              <w:right w:val="single" w:sz="4" w:space="0" w:color="auto"/>
            </w:tcBorders>
            <w:noWrap/>
            <w:vAlign w:val="bottom"/>
            <w:hideMark/>
          </w:tcPr>
          <w:p w14:paraId="7A52ABDE" w14:textId="15FD977F" w:rsidR="008C61B8" w:rsidRPr="00E940CF" w:rsidRDefault="00B55850"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1146</w:t>
            </w:r>
          </w:p>
        </w:tc>
      </w:tr>
      <w:tr w:rsidR="008C61B8" w:rsidRPr="00E940CF" w14:paraId="06FCDF4A" w14:textId="77777777" w:rsidTr="00B50F2F">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02244965" w14:textId="043C8DCA" w:rsidR="008C61B8" w:rsidRPr="00E940CF" w:rsidRDefault="008C61B8"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w:t>
            </w:r>
            <w:r w:rsidR="00B55850" w:rsidRPr="00E940CF">
              <w:rPr>
                <w:rFonts w:ascii="Aptos" w:eastAsia="Times New Roman" w:hAnsi="Aptos" w:cs="Times New Roman"/>
                <w:color w:val="1F4E79" w:themeColor="accent5" w:themeShade="80"/>
                <w:sz w:val="24"/>
                <w:szCs w:val="24"/>
              </w:rPr>
              <w:t>11</w:t>
            </w:r>
          </w:p>
        </w:tc>
        <w:tc>
          <w:tcPr>
            <w:tcW w:w="2480" w:type="dxa"/>
            <w:tcBorders>
              <w:top w:val="nil"/>
              <w:left w:val="nil"/>
              <w:bottom w:val="single" w:sz="4" w:space="0" w:color="auto"/>
              <w:right w:val="single" w:sz="4" w:space="0" w:color="auto"/>
            </w:tcBorders>
            <w:noWrap/>
            <w:vAlign w:val="bottom"/>
            <w:hideMark/>
          </w:tcPr>
          <w:p w14:paraId="4520662E" w14:textId="2EBCB2BF" w:rsidR="008C61B8" w:rsidRPr="00E940CF" w:rsidRDefault="00B55850"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1138</w:t>
            </w:r>
          </w:p>
        </w:tc>
      </w:tr>
      <w:tr w:rsidR="008C61B8" w:rsidRPr="00E940CF" w14:paraId="2419B17B" w14:textId="77777777" w:rsidTr="00B50F2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hideMark/>
          </w:tcPr>
          <w:p w14:paraId="2E0EC591" w14:textId="1FEFEA46" w:rsidR="008C61B8" w:rsidRPr="00E940CF" w:rsidRDefault="008C61B8"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w:t>
            </w:r>
            <w:r w:rsidR="00B55850" w:rsidRPr="00E940CF">
              <w:rPr>
                <w:rFonts w:ascii="Aptos" w:eastAsia="Times New Roman" w:hAnsi="Aptos" w:cs="Times New Roman"/>
                <w:color w:val="1F4E79" w:themeColor="accent5" w:themeShade="80"/>
                <w:sz w:val="24"/>
                <w:szCs w:val="24"/>
              </w:rPr>
              <w:t>12</w:t>
            </w:r>
          </w:p>
        </w:tc>
        <w:tc>
          <w:tcPr>
            <w:tcW w:w="2480" w:type="dxa"/>
            <w:tcBorders>
              <w:top w:val="single" w:sz="4" w:space="0" w:color="auto"/>
              <w:left w:val="nil"/>
              <w:bottom w:val="single" w:sz="4" w:space="0" w:color="auto"/>
              <w:right w:val="single" w:sz="4" w:space="0" w:color="auto"/>
            </w:tcBorders>
            <w:noWrap/>
            <w:vAlign w:val="bottom"/>
            <w:hideMark/>
          </w:tcPr>
          <w:p w14:paraId="07BE218C" w14:textId="0C1E18B3" w:rsidR="008C61B8" w:rsidRPr="00E940CF" w:rsidRDefault="00B55850"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1219</w:t>
            </w:r>
          </w:p>
        </w:tc>
      </w:tr>
      <w:tr w:rsidR="00B55850" w:rsidRPr="00E940CF" w14:paraId="55122719" w14:textId="77777777" w:rsidTr="00B50F2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630574A3" w14:textId="4C8CDF44" w:rsidR="00B55850" w:rsidRPr="00E940CF" w:rsidRDefault="00B55850" w:rsidP="00B55850">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FY13</w:t>
            </w:r>
          </w:p>
        </w:tc>
        <w:tc>
          <w:tcPr>
            <w:tcW w:w="2480" w:type="dxa"/>
            <w:tcBorders>
              <w:top w:val="single" w:sz="4" w:space="0" w:color="auto"/>
              <w:left w:val="nil"/>
              <w:bottom w:val="single" w:sz="4" w:space="0" w:color="auto"/>
              <w:right w:val="single" w:sz="4" w:space="0" w:color="auto"/>
            </w:tcBorders>
            <w:noWrap/>
            <w:vAlign w:val="bottom"/>
          </w:tcPr>
          <w:p w14:paraId="63587F22" w14:textId="06007EB4" w:rsidR="00B55850" w:rsidRPr="00E940CF" w:rsidRDefault="00F375B4"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1159</w:t>
            </w:r>
          </w:p>
        </w:tc>
      </w:tr>
      <w:tr w:rsidR="00B55850" w:rsidRPr="00E940CF" w14:paraId="78F99DA5" w14:textId="77777777" w:rsidTr="00B50F2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40ED03F2" w14:textId="3B211B09" w:rsidR="00B55850" w:rsidRPr="00E940CF" w:rsidRDefault="00B55850"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FY14</w:t>
            </w:r>
          </w:p>
        </w:tc>
        <w:tc>
          <w:tcPr>
            <w:tcW w:w="2480" w:type="dxa"/>
            <w:tcBorders>
              <w:top w:val="single" w:sz="4" w:space="0" w:color="auto"/>
              <w:left w:val="nil"/>
              <w:bottom w:val="single" w:sz="4" w:space="0" w:color="auto"/>
              <w:right w:val="single" w:sz="4" w:space="0" w:color="auto"/>
            </w:tcBorders>
            <w:noWrap/>
            <w:vAlign w:val="bottom"/>
          </w:tcPr>
          <w:p w14:paraId="5FBD3726" w14:textId="5C5EDA05" w:rsidR="00B55850" w:rsidRPr="00E940CF" w:rsidRDefault="00F375B4"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1225</w:t>
            </w:r>
          </w:p>
        </w:tc>
      </w:tr>
      <w:tr w:rsidR="00B55850" w:rsidRPr="00E940CF" w14:paraId="3DEAEE2C" w14:textId="77777777" w:rsidTr="00B50F2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6B1C02E4" w14:textId="797D43E0" w:rsidR="00B55850" w:rsidRPr="00E940CF" w:rsidRDefault="00B55850"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FY15</w:t>
            </w:r>
          </w:p>
        </w:tc>
        <w:tc>
          <w:tcPr>
            <w:tcW w:w="2480" w:type="dxa"/>
            <w:tcBorders>
              <w:top w:val="single" w:sz="4" w:space="0" w:color="auto"/>
              <w:left w:val="nil"/>
              <w:bottom w:val="single" w:sz="4" w:space="0" w:color="auto"/>
              <w:right w:val="single" w:sz="4" w:space="0" w:color="auto"/>
            </w:tcBorders>
            <w:noWrap/>
            <w:vAlign w:val="bottom"/>
          </w:tcPr>
          <w:p w14:paraId="2CA7D6DF" w14:textId="6C6163DF" w:rsidR="00B55850" w:rsidRPr="00E940CF" w:rsidRDefault="00F375B4"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1154</w:t>
            </w:r>
          </w:p>
        </w:tc>
      </w:tr>
      <w:tr w:rsidR="00B55850" w:rsidRPr="00E940CF" w14:paraId="177A1498" w14:textId="77777777" w:rsidTr="00B50F2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076F130B" w14:textId="1924B62E" w:rsidR="00B55850" w:rsidRPr="00E940CF" w:rsidRDefault="00B55850"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FY16</w:t>
            </w:r>
          </w:p>
        </w:tc>
        <w:tc>
          <w:tcPr>
            <w:tcW w:w="2480" w:type="dxa"/>
            <w:tcBorders>
              <w:top w:val="single" w:sz="4" w:space="0" w:color="auto"/>
              <w:left w:val="nil"/>
              <w:bottom w:val="single" w:sz="4" w:space="0" w:color="auto"/>
              <w:right w:val="single" w:sz="4" w:space="0" w:color="auto"/>
            </w:tcBorders>
            <w:noWrap/>
            <w:vAlign w:val="bottom"/>
          </w:tcPr>
          <w:p w14:paraId="4B3A5274" w14:textId="32858A21" w:rsidR="00B55850" w:rsidRPr="00E940CF" w:rsidRDefault="00F375B4"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1257</w:t>
            </w:r>
          </w:p>
        </w:tc>
      </w:tr>
      <w:tr w:rsidR="00B55850" w:rsidRPr="00E940CF" w14:paraId="66268C38" w14:textId="77777777" w:rsidTr="00B50F2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72155F0E" w14:textId="697059F5" w:rsidR="00B55850" w:rsidRPr="00E940CF" w:rsidRDefault="00B55850"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FY17</w:t>
            </w:r>
          </w:p>
        </w:tc>
        <w:tc>
          <w:tcPr>
            <w:tcW w:w="2480" w:type="dxa"/>
            <w:tcBorders>
              <w:top w:val="single" w:sz="4" w:space="0" w:color="auto"/>
              <w:left w:val="nil"/>
              <w:bottom w:val="single" w:sz="4" w:space="0" w:color="auto"/>
              <w:right w:val="single" w:sz="4" w:space="0" w:color="auto"/>
            </w:tcBorders>
            <w:noWrap/>
            <w:vAlign w:val="bottom"/>
          </w:tcPr>
          <w:p w14:paraId="38EC8E94" w14:textId="1C6AFF09" w:rsidR="00B55850" w:rsidRPr="00E940CF" w:rsidRDefault="00F375B4"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1374</w:t>
            </w:r>
          </w:p>
        </w:tc>
      </w:tr>
      <w:tr w:rsidR="00B55850" w:rsidRPr="00E940CF" w14:paraId="1BC7E070" w14:textId="77777777" w:rsidTr="00B50F2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638FBC09" w14:textId="0DE0E1F6" w:rsidR="00B55850" w:rsidRPr="00E940CF" w:rsidRDefault="00B55850"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FY18</w:t>
            </w:r>
          </w:p>
        </w:tc>
        <w:tc>
          <w:tcPr>
            <w:tcW w:w="2480" w:type="dxa"/>
            <w:tcBorders>
              <w:top w:val="single" w:sz="4" w:space="0" w:color="auto"/>
              <w:left w:val="nil"/>
              <w:bottom w:val="single" w:sz="4" w:space="0" w:color="auto"/>
              <w:right w:val="single" w:sz="4" w:space="0" w:color="auto"/>
            </w:tcBorders>
            <w:noWrap/>
            <w:vAlign w:val="bottom"/>
          </w:tcPr>
          <w:p w14:paraId="1C2D955D" w14:textId="3E78C9FB" w:rsidR="00B55850" w:rsidRPr="00E940CF" w:rsidRDefault="00F375B4"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1424</w:t>
            </w:r>
          </w:p>
        </w:tc>
      </w:tr>
      <w:tr w:rsidR="00B55850" w:rsidRPr="00E940CF" w14:paraId="547AB842" w14:textId="77777777" w:rsidTr="00B50F2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51343854" w14:textId="515B3308" w:rsidR="00B55850" w:rsidRPr="00E940CF" w:rsidRDefault="00B55850"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FY19</w:t>
            </w:r>
          </w:p>
        </w:tc>
        <w:tc>
          <w:tcPr>
            <w:tcW w:w="2480" w:type="dxa"/>
            <w:tcBorders>
              <w:top w:val="single" w:sz="4" w:space="0" w:color="auto"/>
              <w:left w:val="nil"/>
              <w:bottom w:val="single" w:sz="4" w:space="0" w:color="auto"/>
              <w:right w:val="single" w:sz="4" w:space="0" w:color="auto"/>
            </w:tcBorders>
            <w:noWrap/>
            <w:vAlign w:val="bottom"/>
          </w:tcPr>
          <w:p w14:paraId="5B61DD7C" w14:textId="6C4D1421" w:rsidR="00B55850" w:rsidRPr="00E940CF" w:rsidRDefault="00F375B4"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1554</w:t>
            </w:r>
          </w:p>
        </w:tc>
      </w:tr>
      <w:tr w:rsidR="00B55850" w:rsidRPr="00E940CF" w14:paraId="30A71394" w14:textId="77777777" w:rsidTr="00B50F2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65224376" w14:textId="22DA1BE9" w:rsidR="00B55850" w:rsidRPr="00E940CF" w:rsidRDefault="00B55850"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FY20</w:t>
            </w:r>
          </w:p>
        </w:tc>
        <w:tc>
          <w:tcPr>
            <w:tcW w:w="2480" w:type="dxa"/>
            <w:tcBorders>
              <w:top w:val="single" w:sz="4" w:space="0" w:color="auto"/>
              <w:left w:val="nil"/>
              <w:bottom w:val="single" w:sz="4" w:space="0" w:color="auto"/>
              <w:right w:val="single" w:sz="4" w:space="0" w:color="auto"/>
            </w:tcBorders>
            <w:noWrap/>
            <w:vAlign w:val="bottom"/>
          </w:tcPr>
          <w:p w14:paraId="6E82F2BC" w14:textId="20F36EE5" w:rsidR="00B55850" w:rsidRPr="00E940CF" w:rsidRDefault="00F375B4"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1403</w:t>
            </w:r>
          </w:p>
        </w:tc>
      </w:tr>
      <w:tr w:rsidR="00B55850" w:rsidRPr="00E940CF" w14:paraId="4C09A86B" w14:textId="77777777" w:rsidTr="00B50F2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0C7716C2" w14:textId="6A8F1BFD" w:rsidR="00B55850" w:rsidRPr="00E940CF" w:rsidRDefault="00B55850"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lastRenderedPageBreak/>
              <w:t>FY21</w:t>
            </w:r>
          </w:p>
        </w:tc>
        <w:tc>
          <w:tcPr>
            <w:tcW w:w="2480" w:type="dxa"/>
            <w:tcBorders>
              <w:top w:val="single" w:sz="4" w:space="0" w:color="auto"/>
              <w:left w:val="nil"/>
              <w:bottom w:val="single" w:sz="4" w:space="0" w:color="auto"/>
              <w:right w:val="single" w:sz="4" w:space="0" w:color="auto"/>
            </w:tcBorders>
            <w:noWrap/>
            <w:vAlign w:val="bottom"/>
          </w:tcPr>
          <w:p w14:paraId="4FB0C886" w14:textId="70489017" w:rsidR="00B55850" w:rsidRPr="00E940CF" w:rsidRDefault="00F375B4"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1486</w:t>
            </w:r>
          </w:p>
        </w:tc>
      </w:tr>
      <w:tr w:rsidR="00B55850" w:rsidRPr="00E940CF" w14:paraId="71357FE4" w14:textId="77777777" w:rsidTr="00B50F2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74DEA526" w14:textId="0B1662D9" w:rsidR="00B55850" w:rsidRPr="00E940CF" w:rsidRDefault="00B55850"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FY22</w:t>
            </w:r>
          </w:p>
        </w:tc>
        <w:tc>
          <w:tcPr>
            <w:tcW w:w="2480" w:type="dxa"/>
            <w:tcBorders>
              <w:top w:val="single" w:sz="4" w:space="0" w:color="auto"/>
              <w:left w:val="nil"/>
              <w:bottom w:val="single" w:sz="4" w:space="0" w:color="auto"/>
              <w:right w:val="single" w:sz="4" w:space="0" w:color="auto"/>
            </w:tcBorders>
            <w:noWrap/>
            <w:vAlign w:val="bottom"/>
          </w:tcPr>
          <w:p w14:paraId="1C728A6F" w14:textId="24CAE243" w:rsidR="00B55850" w:rsidRPr="00E940CF" w:rsidRDefault="00F375B4"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1509</w:t>
            </w:r>
          </w:p>
        </w:tc>
      </w:tr>
      <w:tr w:rsidR="00B55850" w:rsidRPr="00E940CF" w14:paraId="41C39DA4" w14:textId="77777777" w:rsidTr="00B50F2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4BCDB8E9" w14:textId="26E7335E" w:rsidR="00B55850" w:rsidRPr="00E940CF" w:rsidRDefault="00B55850"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FY23</w:t>
            </w:r>
          </w:p>
        </w:tc>
        <w:tc>
          <w:tcPr>
            <w:tcW w:w="2480" w:type="dxa"/>
            <w:tcBorders>
              <w:top w:val="single" w:sz="4" w:space="0" w:color="auto"/>
              <w:left w:val="nil"/>
              <w:bottom w:val="single" w:sz="4" w:space="0" w:color="auto"/>
              <w:right w:val="single" w:sz="4" w:space="0" w:color="auto"/>
            </w:tcBorders>
            <w:noWrap/>
            <w:vAlign w:val="bottom"/>
          </w:tcPr>
          <w:p w14:paraId="2E3BA8B3" w14:textId="3CF67B18" w:rsidR="00B55850" w:rsidRPr="00E940CF" w:rsidRDefault="00F375B4"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1678</w:t>
            </w:r>
          </w:p>
        </w:tc>
      </w:tr>
      <w:tr w:rsidR="00B55850" w:rsidRPr="00E940CF" w14:paraId="134DCBBB" w14:textId="77777777" w:rsidTr="00B50F2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2FE25DB8" w14:textId="562C61D7" w:rsidR="00B55850" w:rsidRPr="00E940CF" w:rsidRDefault="00B55850"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FY24</w:t>
            </w:r>
          </w:p>
        </w:tc>
        <w:tc>
          <w:tcPr>
            <w:tcW w:w="2480" w:type="dxa"/>
            <w:tcBorders>
              <w:top w:val="single" w:sz="4" w:space="0" w:color="auto"/>
              <w:left w:val="nil"/>
              <w:bottom w:val="single" w:sz="4" w:space="0" w:color="auto"/>
              <w:right w:val="single" w:sz="4" w:space="0" w:color="auto"/>
            </w:tcBorders>
            <w:noWrap/>
            <w:vAlign w:val="bottom"/>
          </w:tcPr>
          <w:p w14:paraId="1A3235FC" w14:textId="536A1591" w:rsidR="00B55850" w:rsidRPr="00E940CF" w:rsidRDefault="00F375B4"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1822</w:t>
            </w:r>
          </w:p>
        </w:tc>
      </w:tr>
      <w:tr w:rsidR="00B55850" w:rsidRPr="00E940CF" w14:paraId="6A0E0331" w14:textId="77777777" w:rsidTr="00B50F2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6957844E" w14:textId="15CC852F" w:rsidR="00B55850" w:rsidRPr="00E940CF" w:rsidRDefault="00B55850"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FY25</w:t>
            </w:r>
          </w:p>
        </w:tc>
        <w:tc>
          <w:tcPr>
            <w:tcW w:w="2480" w:type="dxa"/>
            <w:tcBorders>
              <w:top w:val="single" w:sz="4" w:space="0" w:color="auto"/>
              <w:left w:val="nil"/>
              <w:bottom w:val="single" w:sz="4" w:space="0" w:color="auto"/>
              <w:right w:val="single" w:sz="4" w:space="0" w:color="auto"/>
            </w:tcBorders>
            <w:noWrap/>
            <w:vAlign w:val="bottom"/>
          </w:tcPr>
          <w:p w14:paraId="5D7B9B9F" w14:textId="6F83ABFC" w:rsidR="00B55850" w:rsidRPr="00E940CF" w:rsidRDefault="00F375B4"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1642</w:t>
            </w:r>
          </w:p>
        </w:tc>
      </w:tr>
    </w:tbl>
    <w:p w14:paraId="57998209" w14:textId="77777777" w:rsidR="008C61B8" w:rsidRPr="00E940CF" w:rsidRDefault="008C61B8" w:rsidP="007D766E">
      <w:pPr>
        <w:ind w:left="360"/>
        <w:rPr>
          <w:rFonts w:ascii="Aptos" w:hAnsi="Aptos" w:cs="Times New Roman"/>
          <w:color w:val="1F4E79" w:themeColor="accent5" w:themeShade="80"/>
          <w:sz w:val="24"/>
          <w:szCs w:val="24"/>
        </w:rPr>
      </w:pPr>
    </w:p>
    <w:p w14:paraId="7216DAC1" w14:textId="43F3777E" w:rsidR="00B5383A" w:rsidRPr="00E940CF" w:rsidRDefault="005F5DC9" w:rsidP="007D766E">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Data Appendix Figure 1a – Updated</w:t>
      </w:r>
      <w:r w:rsidR="008C61B8" w:rsidRPr="00E940CF">
        <w:rPr>
          <w:rFonts w:ascii="Aptos" w:hAnsi="Aptos" w:cs="Times New Roman"/>
          <w:color w:val="1F4E79" w:themeColor="accent5" w:themeShade="80"/>
          <w:sz w:val="24"/>
          <w:szCs w:val="24"/>
        </w:rPr>
        <w:t xml:space="preserve"> Table</w:t>
      </w:r>
      <w:r w:rsidRPr="00E940CF">
        <w:rPr>
          <w:rFonts w:ascii="Aptos" w:hAnsi="Aptos" w:cs="Times New Roman"/>
          <w:color w:val="1F4E79" w:themeColor="accent5" w:themeShade="80"/>
          <w:sz w:val="24"/>
          <w:szCs w:val="24"/>
        </w:rPr>
        <w:t xml:space="preserve"> now includes the Applicant’s cancer case volume for 2025,</w:t>
      </w:r>
      <w:r w:rsidR="00D60C5B" w:rsidRPr="00E940CF">
        <w:rPr>
          <w:rStyle w:val="FootnoteReference"/>
          <w:rFonts w:ascii="Aptos" w:hAnsi="Aptos" w:cs="Times New Roman"/>
          <w:color w:val="1F4E79" w:themeColor="accent5" w:themeShade="80"/>
          <w:sz w:val="24"/>
          <w:szCs w:val="24"/>
        </w:rPr>
        <w:footnoteReference w:id="3"/>
      </w:r>
      <w:r w:rsidRPr="00E940CF">
        <w:rPr>
          <w:rFonts w:ascii="Aptos" w:hAnsi="Aptos" w:cs="Times New Roman"/>
          <w:color w:val="1F4E79" w:themeColor="accent5" w:themeShade="80"/>
          <w:sz w:val="24"/>
          <w:szCs w:val="24"/>
        </w:rPr>
        <w:t xml:space="preserve"> and the data is based on an updated query from the Cancer Registry.  During 2025, the Applicant experienced a slight reduction in overall cancer diagnoses, but this is consistent with the overall trend back to 2010 of year-over-year volumes varying slightly while still showing an overall consistent trendline of increasing volume.  Moreover, the Applicant’s 3-year volume (2023-2025) shows a total of 5,142 patients, as compared to the 3-year volume total of 5,009 for the period between 2022-2024.</w:t>
      </w:r>
    </w:p>
    <w:p w14:paraId="3BB9EA97" w14:textId="2807EC14" w:rsidR="005F5DC9" w:rsidRPr="00FD55E6" w:rsidRDefault="005F5DC9" w:rsidP="0000002D">
      <w:pPr>
        <w:keepNext/>
        <w:ind w:left="360"/>
        <w:rPr>
          <w:rFonts w:ascii="Aptos" w:hAnsi="Aptos" w:cs="Times New Roman"/>
          <w:i/>
          <w:iCs/>
          <w:color w:val="1F4E79" w:themeColor="accent5" w:themeShade="80"/>
          <w:sz w:val="24"/>
          <w:szCs w:val="24"/>
        </w:rPr>
      </w:pPr>
      <w:r w:rsidRPr="00FD55E6">
        <w:rPr>
          <w:rFonts w:ascii="Aptos" w:hAnsi="Aptos" w:cs="Times New Roman"/>
          <w:i/>
          <w:iCs/>
          <w:color w:val="1F4E79" w:themeColor="accent5" w:themeShade="80"/>
          <w:sz w:val="24"/>
          <w:szCs w:val="24"/>
        </w:rPr>
        <w:t>Data Appendix Figure 1b – Updated</w:t>
      </w:r>
      <w:r w:rsidR="00E1298E" w:rsidRPr="00FD55E6">
        <w:rPr>
          <w:rFonts w:ascii="Aptos" w:hAnsi="Aptos" w:cs="Times New Roman"/>
          <w:i/>
          <w:iCs/>
          <w:color w:val="1F4E79" w:themeColor="accent5" w:themeShade="80"/>
          <w:sz w:val="24"/>
          <w:szCs w:val="24"/>
        </w:rPr>
        <w:t xml:space="preserve"> Table</w:t>
      </w:r>
    </w:p>
    <w:tbl>
      <w:tblPr>
        <w:tblW w:w="7920" w:type="dxa"/>
        <w:tblInd w:w="355" w:type="dxa"/>
        <w:tblLook w:val="04A0" w:firstRow="1" w:lastRow="0" w:firstColumn="1" w:lastColumn="0" w:noHBand="0" w:noVBand="1"/>
        <w:tblCaption w:val="Data Appendix Figure 1b – Updated Table"/>
      </w:tblPr>
      <w:tblGrid>
        <w:gridCol w:w="2610"/>
        <w:gridCol w:w="2830"/>
        <w:gridCol w:w="2480"/>
      </w:tblGrid>
      <w:tr w:rsidR="00E1298E" w:rsidRPr="00E940CF" w14:paraId="758A8B27" w14:textId="6845FCA8" w:rsidTr="00DD3275">
        <w:trPr>
          <w:cantSplit/>
          <w:trHeight w:val="840"/>
          <w:tblHeader/>
        </w:trPr>
        <w:tc>
          <w:tcPr>
            <w:tcW w:w="261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3CE2C88" w14:textId="77777777" w:rsidR="00E1298E" w:rsidRPr="00E940CF" w:rsidRDefault="00E1298E" w:rsidP="00E67CD8">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Applicant Fiscal Year</w:t>
            </w:r>
          </w:p>
        </w:tc>
        <w:tc>
          <w:tcPr>
            <w:tcW w:w="2830" w:type="dxa"/>
            <w:tcBorders>
              <w:top w:val="single" w:sz="4" w:space="0" w:color="auto"/>
              <w:left w:val="nil"/>
              <w:bottom w:val="single" w:sz="4" w:space="0" w:color="auto"/>
              <w:right w:val="single" w:sz="4" w:space="0" w:color="auto"/>
            </w:tcBorders>
            <w:shd w:val="clear" w:color="000000" w:fill="D9E1F2"/>
            <w:vAlign w:val="center"/>
            <w:hideMark/>
          </w:tcPr>
          <w:p w14:paraId="678F0A49" w14:textId="0B943475" w:rsidR="00E1298E" w:rsidRPr="00E940CF" w:rsidRDefault="00E1298E" w:rsidP="00E67CD8">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Southcoast Health Total Cancer Case – Female Patient Volume</w:t>
            </w:r>
          </w:p>
        </w:tc>
        <w:tc>
          <w:tcPr>
            <w:tcW w:w="2480" w:type="dxa"/>
            <w:tcBorders>
              <w:top w:val="single" w:sz="4" w:space="0" w:color="auto"/>
              <w:left w:val="nil"/>
              <w:bottom w:val="single" w:sz="4" w:space="0" w:color="auto"/>
              <w:right w:val="single" w:sz="4" w:space="0" w:color="auto"/>
            </w:tcBorders>
            <w:shd w:val="clear" w:color="000000" w:fill="D9E1F2"/>
          </w:tcPr>
          <w:p w14:paraId="5FFA956B" w14:textId="1AFAC74F" w:rsidR="00E1298E" w:rsidRPr="00E940CF" w:rsidRDefault="00E1298E" w:rsidP="00E67CD8">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Southcoast Health Total Cancer Case – Male Patient Volume</w:t>
            </w:r>
          </w:p>
        </w:tc>
      </w:tr>
      <w:tr w:rsidR="00E1298E" w:rsidRPr="00E940CF" w14:paraId="31E4DC9B" w14:textId="2B43024A" w:rsidTr="00DD3275">
        <w:trPr>
          <w:cantSplit/>
          <w:trHeight w:val="290"/>
        </w:trPr>
        <w:tc>
          <w:tcPr>
            <w:tcW w:w="2610" w:type="dxa"/>
            <w:tcBorders>
              <w:top w:val="nil"/>
              <w:left w:val="single" w:sz="4" w:space="0" w:color="auto"/>
              <w:bottom w:val="single" w:sz="4" w:space="0" w:color="auto"/>
              <w:right w:val="single" w:sz="4" w:space="0" w:color="auto"/>
            </w:tcBorders>
            <w:noWrap/>
            <w:vAlign w:val="center"/>
            <w:hideMark/>
          </w:tcPr>
          <w:p w14:paraId="5F0941F0" w14:textId="77777777"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FY10</w:t>
            </w:r>
          </w:p>
        </w:tc>
        <w:tc>
          <w:tcPr>
            <w:tcW w:w="2830" w:type="dxa"/>
            <w:tcBorders>
              <w:top w:val="nil"/>
              <w:left w:val="nil"/>
              <w:bottom w:val="single" w:sz="4" w:space="0" w:color="auto"/>
              <w:right w:val="single" w:sz="4" w:space="0" w:color="auto"/>
            </w:tcBorders>
            <w:noWrap/>
            <w:vAlign w:val="bottom"/>
            <w:hideMark/>
          </w:tcPr>
          <w:p w14:paraId="01338E40" w14:textId="2A3C05F8"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556</w:t>
            </w:r>
          </w:p>
        </w:tc>
        <w:tc>
          <w:tcPr>
            <w:tcW w:w="2480" w:type="dxa"/>
            <w:tcBorders>
              <w:top w:val="nil"/>
              <w:left w:val="nil"/>
              <w:bottom w:val="single" w:sz="4" w:space="0" w:color="auto"/>
              <w:right w:val="single" w:sz="4" w:space="0" w:color="auto"/>
            </w:tcBorders>
          </w:tcPr>
          <w:p w14:paraId="44BB913F" w14:textId="573CB8C9"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590</w:t>
            </w:r>
          </w:p>
        </w:tc>
      </w:tr>
      <w:tr w:rsidR="00E1298E" w:rsidRPr="00E940CF" w14:paraId="5CD8F03A" w14:textId="6ABFF8D9" w:rsidTr="00DD3275">
        <w:trPr>
          <w:cantSplit/>
          <w:trHeight w:val="290"/>
        </w:trPr>
        <w:tc>
          <w:tcPr>
            <w:tcW w:w="2610" w:type="dxa"/>
            <w:tcBorders>
              <w:top w:val="nil"/>
              <w:left w:val="single" w:sz="4" w:space="0" w:color="auto"/>
              <w:bottom w:val="single" w:sz="4" w:space="0" w:color="auto"/>
              <w:right w:val="single" w:sz="4" w:space="0" w:color="auto"/>
            </w:tcBorders>
            <w:noWrap/>
            <w:vAlign w:val="center"/>
            <w:hideMark/>
          </w:tcPr>
          <w:p w14:paraId="33EFF85B" w14:textId="77777777"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FY11</w:t>
            </w:r>
          </w:p>
        </w:tc>
        <w:tc>
          <w:tcPr>
            <w:tcW w:w="2830" w:type="dxa"/>
            <w:tcBorders>
              <w:top w:val="nil"/>
              <w:left w:val="nil"/>
              <w:bottom w:val="single" w:sz="4" w:space="0" w:color="auto"/>
              <w:right w:val="single" w:sz="4" w:space="0" w:color="auto"/>
            </w:tcBorders>
            <w:noWrap/>
            <w:vAlign w:val="bottom"/>
            <w:hideMark/>
          </w:tcPr>
          <w:p w14:paraId="18179C6E" w14:textId="40453E14"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564</w:t>
            </w:r>
          </w:p>
        </w:tc>
        <w:tc>
          <w:tcPr>
            <w:tcW w:w="2480" w:type="dxa"/>
            <w:tcBorders>
              <w:top w:val="nil"/>
              <w:left w:val="nil"/>
              <w:bottom w:val="single" w:sz="4" w:space="0" w:color="auto"/>
              <w:right w:val="single" w:sz="4" w:space="0" w:color="auto"/>
            </w:tcBorders>
          </w:tcPr>
          <w:p w14:paraId="61BA8A4D" w14:textId="361285D8"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574</w:t>
            </w:r>
          </w:p>
        </w:tc>
      </w:tr>
      <w:tr w:rsidR="00E1298E" w:rsidRPr="00E940CF" w14:paraId="02608520" w14:textId="4C589446" w:rsidTr="00DD3275">
        <w:trPr>
          <w:cantSplit/>
          <w:trHeight w:val="290"/>
        </w:trPr>
        <w:tc>
          <w:tcPr>
            <w:tcW w:w="2610" w:type="dxa"/>
            <w:tcBorders>
              <w:top w:val="single" w:sz="4" w:space="0" w:color="auto"/>
              <w:left w:val="single" w:sz="4" w:space="0" w:color="auto"/>
              <w:bottom w:val="single" w:sz="4" w:space="0" w:color="auto"/>
              <w:right w:val="single" w:sz="4" w:space="0" w:color="auto"/>
            </w:tcBorders>
            <w:noWrap/>
            <w:vAlign w:val="center"/>
            <w:hideMark/>
          </w:tcPr>
          <w:p w14:paraId="0984D57A" w14:textId="77777777"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FY12</w:t>
            </w:r>
          </w:p>
        </w:tc>
        <w:tc>
          <w:tcPr>
            <w:tcW w:w="2830" w:type="dxa"/>
            <w:tcBorders>
              <w:top w:val="single" w:sz="4" w:space="0" w:color="auto"/>
              <w:left w:val="nil"/>
              <w:bottom w:val="single" w:sz="4" w:space="0" w:color="auto"/>
              <w:right w:val="single" w:sz="4" w:space="0" w:color="auto"/>
            </w:tcBorders>
            <w:noWrap/>
            <w:vAlign w:val="bottom"/>
            <w:hideMark/>
          </w:tcPr>
          <w:p w14:paraId="47FE506F" w14:textId="454ACA29"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607</w:t>
            </w:r>
          </w:p>
        </w:tc>
        <w:tc>
          <w:tcPr>
            <w:tcW w:w="2480" w:type="dxa"/>
            <w:tcBorders>
              <w:top w:val="single" w:sz="4" w:space="0" w:color="auto"/>
              <w:left w:val="nil"/>
              <w:bottom w:val="single" w:sz="4" w:space="0" w:color="auto"/>
              <w:right w:val="single" w:sz="4" w:space="0" w:color="auto"/>
            </w:tcBorders>
          </w:tcPr>
          <w:p w14:paraId="7D3D1545" w14:textId="7E8810E7"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612</w:t>
            </w:r>
          </w:p>
        </w:tc>
      </w:tr>
      <w:tr w:rsidR="00E1298E" w:rsidRPr="00E940CF" w14:paraId="18296C5E" w14:textId="2B660216" w:rsidTr="00DD3275">
        <w:trPr>
          <w:cantSplit/>
          <w:trHeight w:val="290"/>
        </w:trPr>
        <w:tc>
          <w:tcPr>
            <w:tcW w:w="2610" w:type="dxa"/>
            <w:tcBorders>
              <w:top w:val="single" w:sz="4" w:space="0" w:color="auto"/>
              <w:left w:val="single" w:sz="4" w:space="0" w:color="auto"/>
              <w:bottom w:val="single" w:sz="4" w:space="0" w:color="auto"/>
              <w:right w:val="single" w:sz="4" w:space="0" w:color="auto"/>
            </w:tcBorders>
            <w:noWrap/>
            <w:vAlign w:val="center"/>
          </w:tcPr>
          <w:p w14:paraId="4BDFC516" w14:textId="77777777"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FY13</w:t>
            </w:r>
          </w:p>
        </w:tc>
        <w:tc>
          <w:tcPr>
            <w:tcW w:w="2830" w:type="dxa"/>
            <w:tcBorders>
              <w:top w:val="single" w:sz="4" w:space="0" w:color="auto"/>
              <w:left w:val="nil"/>
              <w:bottom w:val="single" w:sz="4" w:space="0" w:color="auto"/>
              <w:right w:val="single" w:sz="4" w:space="0" w:color="auto"/>
            </w:tcBorders>
            <w:noWrap/>
            <w:vAlign w:val="bottom"/>
          </w:tcPr>
          <w:p w14:paraId="6298BA21" w14:textId="3643C1CF"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613</w:t>
            </w:r>
          </w:p>
        </w:tc>
        <w:tc>
          <w:tcPr>
            <w:tcW w:w="2480" w:type="dxa"/>
            <w:tcBorders>
              <w:top w:val="single" w:sz="4" w:space="0" w:color="auto"/>
              <w:left w:val="nil"/>
              <w:bottom w:val="single" w:sz="4" w:space="0" w:color="auto"/>
              <w:right w:val="single" w:sz="4" w:space="0" w:color="auto"/>
            </w:tcBorders>
          </w:tcPr>
          <w:p w14:paraId="036ACFF3" w14:textId="1C36DE55"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546</w:t>
            </w:r>
          </w:p>
        </w:tc>
      </w:tr>
      <w:tr w:rsidR="00E1298E" w:rsidRPr="00E940CF" w14:paraId="65DA7813" w14:textId="33B85B78" w:rsidTr="00DD3275">
        <w:trPr>
          <w:cantSplit/>
          <w:trHeight w:val="290"/>
        </w:trPr>
        <w:tc>
          <w:tcPr>
            <w:tcW w:w="2610" w:type="dxa"/>
            <w:tcBorders>
              <w:top w:val="single" w:sz="4" w:space="0" w:color="auto"/>
              <w:left w:val="single" w:sz="4" w:space="0" w:color="auto"/>
              <w:bottom w:val="single" w:sz="4" w:space="0" w:color="auto"/>
              <w:right w:val="single" w:sz="4" w:space="0" w:color="auto"/>
            </w:tcBorders>
            <w:noWrap/>
            <w:vAlign w:val="center"/>
          </w:tcPr>
          <w:p w14:paraId="082F069A" w14:textId="77777777"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FY14</w:t>
            </w:r>
          </w:p>
        </w:tc>
        <w:tc>
          <w:tcPr>
            <w:tcW w:w="2830" w:type="dxa"/>
            <w:tcBorders>
              <w:top w:val="single" w:sz="4" w:space="0" w:color="auto"/>
              <w:left w:val="nil"/>
              <w:bottom w:val="single" w:sz="4" w:space="0" w:color="auto"/>
              <w:right w:val="single" w:sz="4" w:space="0" w:color="auto"/>
            </w:tcBorders>
            <w:noWrap/>
            <w:vAlign w:val="bottom"/>
          </w:tcPr>
          <w:p w14:paraId="0F1CFB1E" w14:textId="016F099D"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622</w:t>
            </w:r>
          </w:p>
        </w:tc>
        <w:tc>
          <w:tcPr>
            <w:tcW w:w="2480" w:type="dxa"/>
            <w:tcBorders>
              <w:top w:val="single" w:sz="4" w:space="0" w:color="auto"/>
              <w:left w:val="nil"/>
              <w:bottom w:val="single" w:sz="4" w:space="0" w:color="auto"/>
              <w:right w:val="single" w:sz="4" w:space="0" w:color="auto"/>
            </w:tcBorders>
          </w:tcPr>
          <w:p w14:paraId="4299DB4B" w14:textId="45020E75"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603</w:t>
            </w:r>
          </w:p>
        </w:tc>
      </w:tr>
      <w:tr w:rsidR="00E1298E" w:rsidRPr="00E940CF" w14:paraId="18F70FEB" w14:textId="237E97C7" w:rsidTr="00DD3275">
        <w:trPr>
          <w:cantSplit/>
          <w:trHeight w:val="290"/>
        </w:trPr>
        <w:tc>
          <w:tcPr>
            <w:tcW w:w="2610" w:type="dxa"/>
            <w:tcBorders>
              <w:top w:val="single" w:sz="4" w:space="0" w:color="auto"/>
              <w:left w:val="single" w:sz="4" w:space="0" w:color="auto"/>
              <w:bottom w:val="single" w:sz="4" w:space="0" w:color="auto"/>
              <w:right w:val="single" w:sz="4" w:space="0" w:color="auto"/>
            </w:tcBorders>
            <w:noWrap/>
            <w:vAlign w:val="center"/>
          </w:tcPr>
          <w:p w14:paraId="093D6A5D" w14:textId="77777777"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FY15</w:t>
            </w:r>
          </w:p>
        </w:tc>
        <w:tc>
          <w:tcPr>
            <w:tcW w:w="2830" w:type="dxa"/>
            <w:tcBorders>
              <w:top w:val="single" w:sz="4" w:space="0" w:color="auto"/>
              <w:left w:val="nil"/>
              <w:bottom w:val="single" w:sz="4" w:space="0" w:color="auto"/>
              <w:right w:val="single" w:sz="4" w:space="0" w:color="auto"/>
            </w:tcBorders>
            <w:noWrap/>
            <w:vAlign w:val="bottom"/>
          </w:tcPr>
          <w:p w14:paraId="1426361F" w14:textId="22167A56"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575</w:t>
            </w:r>
          </w:p>
        </w:tc>
        <w:tc>
          <w:tcPr>
            <w:tcW w:w="2480" w:type="dxa"/>
            <w:tcBorders>
              <w:top w:val="single" w:sz="4" w:space="0" w:color="auto"/>
              <w:left w:val="nil"/>
              <w:bottom w:val="single" w:sz="4" w:space="0" w:color="auto"/>
              <w:right w:val="single" w:sz="4" w:space="0" w:color="auto"/>
            </w:tcBorders>
          </w:tcPr>
          <w:p w14:paraId="4A91645D" w14:textId="755F2BD3"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579</w:t>
            </w:r>
          </w:p>
        </w:tc>
      </w:tr>
      <w:tr w:rsidR="00E1298E" w:rsidRPr="00E940CF" w14:paraId="51B3F96C" w14:textId="46C43108" w:rsidTr="00DD3275">
        <w:trPr>
          <w:cantSplit/>
          <w:trHeight w:val="290"/>
        </w:trPr>
        <w:tc>
          <w:tcPr>
            <w:tcW w:w="2610" w:type="dxa"/>
            <w:tcBorders>
              <w:top w:val="single" w:sz="4" w:space="0" w:color="auto"/>
              <w:left w:val="single" w:sz="4" w:space="0" w:color="auto"/>
              <w:bottom w:val="single" w:sz="4" w:space="0" w:color="auto"/>
              <w:right w:val="single" w:sz="4" w:space="0" w:color="auto"/>
            </w:tcBorders>
            <w:noWrap/>
            <w:vAlign w:val="center"/>
          </w:tcPr>
          <w:p w14:paraId="592A56E1" w14:textId="77777777"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FY16</w:t>
            </w:r>
          </w:p>
        </w:tc>
        <w:tc>
          <w:tcPr>
            <w:tcW w:w="2830" w:type="dxa"/>
            <w:tcBorders>
              <w:top w:val="single" w:sz="4" w:space="0" w:color="auto"/>
              <w:left w:val="nil"/>
              <w:bottom w:val="single" w:sz="4" w:space="0" w:color="auto"/>
              <w:right w:val="single" w:sz="4" w:space="0" w:color="auto"/>
            </w:tcBorders>
            <w:noWrap/>
            <w:vAlign w:val="bottom"/>
          </w:tcPr>
          <w:p w14:paraId="4853CB88" w14:textId="1C74FC1A"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616</w:t>
            </w:r>
          </w:p>
        </w:tc>
        <w:tc>
          <w:tcPr>
            <w:tcW w:w="2480" w:type="dxa"/>
            <w:tcBorders>
              <w:top w:val="single" w:sz="4" w:space="0" w:color="auto"/>
              <w:left w:val="nil"/>
              <w:bottom w:val="single" w:sz="4" w:space="0" w:color="auto"/>
              <w:right w:val="single" w:sz="4" w:space="0" w:color="auto"/>
            </w:tcBorders>
          </w:tcPr>
          <w:p w14:paraId="6F99D34D" w14:textId="3ACE77B6"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641</w:t>
            </w:r>
          </w:p>
        </w:tc>
      </w:tr>
      <w:tr w:rsidR="00E1298E" w:rsidRPr="00E940CF" w14:paraId="1BD7E49B" w14:textId="7B4C112D" w:rsidTr="00DD3275">
        <w:trPr>
          <w:cantSplit/>
          <w:trHeight w:val="290"/>
        </w:trPr>
        <w:tc>
          <w:tcPr>
            <w:tcW w:w="2610" w:type="dxa"/>
            <w:tcBorders>
              <w:top w:val="single" w:sz="4" w:space="0" w:color="auto"/>
              <w:left w:val="single" w:sz="4" w:space="0" w:color="auto"/>
              <w:bottom w:val="single" w:sz="4" w:space="0" w:color="auto"/>
              <w:right w:val="single" w:sz="4" w:space="0" w:color="auto"/>
            </w:tcBorders>
            <w:noWrap/>
            <w:vAlign w:val="center"/>
          </w:tcPr>
          <w:p w14:paraId="007475FC" w14:textId="77777777"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FY17</w:t>
            </w:r>
          </w:p>
        </w:tc>
        <w:tc>
          <w:tcPr>
            <w:tcW w:w="2830" w:type="dxa"/>
            <w:tcBorders>
              <w:top w:val="single" w:sz="4" w:space="0" w:color="auto"/>
              <w:left w:val="nil"/>
              <w:bottom w:val="single" w:sz="4" w:space="0" w:color="auto"/>
              <w:right w:val="single" w:sz="4" w:space="0" w:color="auto"/>
            </w:tcBorders>
            <w:noWrap/>
            <w:vAlign w:val="bottom"/>
          </w:tcPr>
          <w:p w14:paraId="0EDEFE8B" w14:textId="75805E24"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662</w:t>
            </w:r>
          </w:p>
        </w:tc>
        <w:tc>
          <w:tcPr>
            <w:tcW w:w="2480" w:type="dxa"/>
            <w:tcBorders>
              <w:top w:val="single" w:sz="4" w:space="0" w:color="auto"/>
              <w:left w:val="nil"/>
              <w:bottom w:val="single" w:sz="4" w:space="0" w:color="auto"/>
              <w:right w:val="single" w:sz="4" w:space="0" w:color="auto"/>
            </w:tcBorders>
          </w:tcPr>
          <w:p w14:paraId="303BF43E" w14:textId="5FA10086"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712</w:t>
            </w:r>
          </w:p>
        </w:tc>
      </w:tr>
      <w:tr w:rsidR="00E1298E" w:rsidRPr="00E940CF" w14:paraId="6DC8E4F3" w14:textId="0715C2F9" w:rsidTr="00DD3275">
        <w:trPr>
          <w:cantSplit/>
          <w:trHeight w:val="290"/>
        </w:trPr>
        <w:tc>
          <w:tcPr>
            <w:tcW w:w="2610" w:type="dxa"/>
            <w:tcBorders>
              <w:top w:val="single" w:sz="4" w:space="0" w:color="auto"/>
              <w:left w:val="single" w:sz="4" w:space="0" w:color="auto"/>
              <w:bottom w:val="single" w:sz="4" w:space="0" w:color="auto"/>
              <w:right w:val="single" w:sz="4" w:space="0" w:color="auto"/>
            </w:tcBorders>
            <w:noWrap/>
            <w:vAlign w:val="center"/>
          </w:tcPr>
          <w:p w14:paraId="4469BF93" w14:textId="77777777"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FY18</w:t>
            </w:r>
          </w:p>
        </w:tc>
        <w:tc>
          <w:tcPr>
            <w:tcW w:w="2830" w:type="dxa"/>
            <w:tcBorders>
              <w:top w:val="single" w:sz="4" w:space="0" w:color="auto"/>
              <w:left w:val="nil"/>
              <w:bottom w:val="single" w:sz="4" w:space="0" w:color="auto"/>
              <w:right w:val="single" w:sz="4" w:space="0" w:color="auto"/>
            </w:tcBorders>
            <w:noWrap/>
            <w:vAlign w:val="bottom"/>
          </w:tcPr>
          <w:p w14:paraId="27E74182" w14:textId="043FA4F3"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707</w:t>
            </w:r>
          </w:p>
        </w:tc>
        <w:tc>
          <w:tcPr>
            <w:tcW w:w="2480" w:type="dxa"/>
            <w:tcBorders>
              <w:top w:val="single" w:sz="4" w:space="0" w:color="auto"/>
              <w:left w:val="nil"/>
              <w:bottom w:val="single" w:sz="4" w:space="0" w:color="auto"/>
              <w:right w:val="single" w:sz="4" w:space="0" w:color="auto"/>
            </w:tcBorders>
          </w:tcPr>
          <w:p w14:paraId="68E572C4" w14:textId="095BF0B8"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717</w:t>
            </w:r>
          </w:p>
        </w:tc>
      </w:tr>
      <w:tr w:rsidR="00E1298E" w:rsidRPr="00E940CF" w14:paraId="07124A53" w14:textId="4570BEC4" w:rsidTr="00DD3275">
        <w:trPr>
          <w:cantSplit/>
          <w:trHeight w:val="290"/>
        </w:trPr>
        <w:tc>
          <w:tcPr>
            <w:tcW w:w="2610" w:type="dxa"/>
            <w:tcBorders>
              <w:top w:val="single" w:sz="4" w:space="0" w:color="auto"/>
              <w:left w:val="single" w:sz="4" w:space="0" w:color="auto"/>
              <w:bottom w:val="single" w:sz="4" w:space="0" w:color="auto"/>
              <w:right w:val="single" w:sz="4" w:space="0" w:color="auto"/>
            </w:tcBorders>
            <w:noWrap/>
            <w:vAlign w:val="center"/>
          </w:tcPr>
          <w:p w14:paraId="4F043E7B" w14:textId="77777777"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lastRenderedPageBreak/>
              <w:t>FY19</w:t>
            </w:r>
          </w:p>
        </w:tc>
        <w:tc>
          <w:tcPr>
            <w:tcW w:w="2830" w:type="dxa"/>
            <w:tcBorders>
              <w:top w:val="single" w:sz="4" w:space="0" w:color="auto"/>
              <w:left w:val="nil"/>
              <w:bottom w:val="single" w:sz="4" w:space="0" w:color="auto"/>
              <w:right w:val="single" w:sz="4" w:space="0" w:color="auto"/>
            </w:tcBorders>
            <w:noWrap/>
            <w:vAlign w:val="bottom"/>
          </w:tcPr>
          <w:p w14:paraId="70DDC66D" w14:textId="208316F3"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754</w:t>
            </w:r>
          </w:p>
        </w:tc>
        <w:tc>
          <w:tcPr>
            <w:tcW w:w="2480" w:type="dxa"/>
            <w:tcBorders>
              <w:top w:val="single" w:sz="4" w:space="0" w:color="auto"/>
              <w:left w:val="nil"/>
              <w:bottom w:val="single" w:sz="4" w:space="0" w:color="auto"/>
              <w:right w:val="single" w:sz="4" w:space="0" w:color="auto"/>
            </w:tcBorders>
          </w:tcPr>
          <w:p w14:paraId="11533ED2" w14:textId="1C31E403"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800</w:t>
            </w:r>
          </w:p>
        </w:tc>
      </w:tr>
      <w:tr w:rsidR="00E1298E" w:rsidRPr="00E940CF" w14:paraId="37F3CC07" w14:textId="419DBB0E" w:rsidTr="00DD3275">
        <w:trPr>
          <w:cantSplit/>
          <w:trHeight w:val="290"/>
        </w:trPr>
        <w:tc>
          <w:tcPr>
            <w:tcW w:w="2610" w:type="dxa"/>
            <w:tcBorders>
              <w:top w:val="single" w:sz="4" w:space="0" w:color="auto"/>
              <w:left w:val="single" w:sz="4" w:space="0" w:color="auto"/>
              <w:bottom w:val="single" w:sz="4" w:space="0" w:color="auto"/>
              <w:right w:val="single" w:sz="4" w:space="0" w:color="auto"/>
            </w:tcBorders>
            <w:noWrap/>
            <w:vAlign w:val="center"/>
          </w:tcPr>
          <w:p w14:paraId="63B9F60B" w14:textId="77777777"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FY20</w:t>
            </w:r>
          </w:p>
        </w:tc>
        <w:tc>
          <w:tcPr>
            <w:tcW w:w="2830" w:type="dxa"/>
            <w:tcBorders>
              <w:top w:val="single" w:sz="4" w:space="0" w:color="auto"/>
              <w:left w:val="nil"/>
              <w:bottom w:val="single" w:sz="4" w:space="0" w:color="auto"/>
              <w:right w:val="single" w:sz="4" w:space="0" w:color="auto"/>
            </w:tcBorders>
            <w:noWrap/>
            <w:vAlign w:val="bottom"/>
          </w:tcPr>
          <w:p w14:paraId="7020DE0F" w14:textId="63114514"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717</w:t>
            </w:r>
          </w:p>
        </w:tc>
        <w:tc>
          <w:tcPr>
            <w:tcW w:w="2480" w:type="dxa"/>
            <w:tcBorders>
              <w:top w:val="single" w:sz="4" w:space="0" w:color="auto"/>
              <w:left w:val="nil"/>
              <w:bottom w:val="single" w:sz="4" w:space="0" w:color="auto"/>
              <w:right w:val="single" w:sz="4" w:space="0" w:color="auto"/>
            </w:tcBorders>
          </w:tcPr>
          <w:p w14:paraId="5B1DEDD6" w14:textId="0372FD6C"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685</w:t>
            </w:r>
          </w:p>
        </w:tc>
      </w:tr>
      <w:tr w:rsidR="00E1298E" w:rsidRPr="00E940CF" w14:paraId="1C537469" w14:textId="263A1E35" w:rsidTr="00DD3275">
        <w:trPr>
          <w:cantSplit/>
          <w:trHeight w:val="290"/>
        </w:trPr>
        <w:tc>
          <w:tcPr>
            <w:tcW w:w="2610" w:type="dxa"/>
            <w:tcBorders>
              <w:top w:val="single" w:sz="4" w:space="0" w:color="auto"/>
              <w:left w:val="single" w:sz="4" w:space="0" w:color="auto"/>
              <w:bottom w:val="single" w:sz="4" w:space="0" w:color="auto"/>
              <w:right w:val="single" w:sz="4" w:space="0" w:color="auto"/>
            </w:tcBorders>
            <w:noWrap/>
            <w:vAlign w:val="center"/>
          </w:tcPr>
          <w:p w14:paraId="1EE6F5A6" w14:textId="77777777"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FY21</w:t>
            </w:r>
          </w:p>
        </w:tc>
        <w:tc>
          <w:tcPr>
            <w:tcW w:w="2830" w:type="dxa"/>
            <w:tcBorders>
              <w:top w:val="single" w:sz="4" w:space="0" w:color="auto"/>
              <w:left w:val="nil"/>
              <w:bottom w:val="single" w:sz="4" w:space="0" w:color="auto"/>
              <w:right w:val="single" w:sz="4" w:space="0" w:color="auto"/>
            </w:tcBorders>
            <w:noWrap/>
            <w:vAlign w:val="bottom"/>
          </w:tcPr>
          <w:p w14:paraId="1D6A9143" w14:textId="067A5D97"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781</w:t>
            </w:r>
          </w:p>
        </w:tc>
        <w:tc>
          <w:tcPr>
            <w:tcW w:w="2480" w:type="dxa"/>
            <w:tcBorders>
              <w:top w:val="single" w:sz="4" w:space="0" w:color="auto"/>
              <w:left w:val="nil"/>
              <w:bottom w:val="single" w:sz="4" w:space="0" w:color="auto"/>
              <w:right w:val="single" w:sz="4" w:space="0" w:color="auto"/>
            </w:tcBorders>
          </w:tcPr>
          <w:p w14:paraId="1EA5AD93" w14:textId="023F6C2D"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705</w:t>
            </w:r>
          </w:p>
        </w:tc>
      </w:tr>
      <w:tr w:rsidR="00E1298E" w:rsidRPr="00E940CF" w14:paraId="0BACB3A4" w14:textId="55009D78" w:rsidTr="00DD3275">
        <w:trPr>
          <w:cantSplit/>
          <w:trHeight w:val="290"/>
        </w:trPr>
        <w:tc>
          <w:tcPr>
            <w:tcW w:w="2610" w:type="dxa"/>
            <w:tcBorders>
              <w:top w:val="single" w:sz="4" w:space="0" w:color="auto"/>
              <w:left w:val="single" w:sz="4" w:space="0" w:color="auto"/>
              <w:bottom w:val="single" w:sz="4" w:space="0" w:color="auto"/>
              <w:right w:val="single" w:sz="4" w:space="0" w:color="auto"/>
            </w:tcBorders>
            <w:noWrap/>
            <w:vAlign w:val="center"/>
          </w:tcPr>
          <w:p w14:paraId="48A5950B" w14:textId="77777777"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FY22</w:t>
            </w:r>
          </w:p>
        </w:tc>
        <w:tc>
          <w:tcPr>
            <w:tcW w:w="2830" w:type="dxa"/>
            <w:tcBorders>
              <w:top w:val="single" w:sz="4" w:space="0" w:color="auto"/>
              <w:left w:val="nil"/>
              <w:bottom w:val="single" w:sz="4" w:space="0" w:color="auto"/>
              <w:right w:val="single" w:sz="4" w:space="0" w:color="auto"/>
            </w:tcBorders>
            <w:noWrap/>
            <w:vAlign w:val="bottom"/>
          </w:tcPr>
          <w:p w14:paraId="1353A9FB" w14:textId="7FBA1EFA"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813</w:t>
            </w:r>
          </w:p>
        </w:tc>
        <w:tc>
          <w:tcPr>
            <w:tcW w:w="2480" w:type="dxa"/>
            <w:tcBorders>
              <w:top w:val="single" w:sz="4" w:space="0" w:color="auto"/>
              <w:left w:val="nil"/>
              <w:bottom w:val="single" w:sz="4" w:space="0" w:color="auto"/>
              <w:right w:val="single" w:sz="4" w:space="0" w:color="auto"/>
            </w:tcBorders>
          </w:tcPr>
          <w:p w14:paraId="13A5DFDC" w14:textId="5D3DA495"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696</w:t>
            </w:r>
          </w:p>
        </w:tc>
      </w:tr>
      <w:tr w:rsidR="00E1298E" w:rsidRPr="00E940CF" w14:paraId="4BB75A93" w14:textId="5D89B78A" w:rsidTr="00DD3275">
        <w:trPr>
          <w:cantSplit/>
          <w:trHeight w:val="290"/>
        </w:trPr>
        <w:tc>
          <w:tcPr>
            <w:tcW w:w="2610" w:type="dxa"/>
            <w:tcBorders>
              <w:top w:val="single" w:sz="4" w:space="0" w:color="auto"/>
              <w:left w:val="single" w:sz="4" w:space="0" w:color="auto"/>
              <w:bottom w:val="single" w:sz="4" w:space="0" w:color="auto"/>
              <w:right w:val="single" w:sz="4" w:space="0" w:color="auto"/>
            </w:tcBorders>
            <w:noWrap/>
            <w:vAlign w:val="center"/>
          </w:tcPr>
          <w:p w14:paraId="7B74498E" w14:textId="77777777"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FY23</w:t>
            </w:r>
          </w:p>
        </w:tc>
        <w:tc>
          <w:tcPr>
            <w:tcW w:w="2830" w:type="dxa"/>
            <w:tcBorders>
              <w:top w:val="single" w:sz="4" w:space="0" w:color="auto"/>
              <w:left w:val="nil"/>
              <w:bottom w:val="single" w:sz="4" w:space="0" w:color="auto"/>
              <w:right w:val="single" w:sz="4" w:space="0" w:color="auto"/>
            </w:tcBorders>
            <w:noWrap/>
            <w:vAlign w:val="bottom"/>
          </w:tcPr>
          <w:p w14:paraId="3736C885" w14:textId="650D872C"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918</w:t>
            </w:r>
          </w:p>
        </w:tc>
        <w:tc>
          <w:tcPr>
            <w:tcW w:w="2480" w:type="dxa"/>
            <w:tcBorders>
              <w:top w:val="single" w:sz="4" w:space="0" w:color="auto"/>
              <w:left w:val="nil"/>
              <w:bottom w:val="single" w:sz="4" w:space="0" w:color="auto"/>
              <w:right w:val="single" w:sz="4" w:space="0" w:color="auto"/>
            </w:tcBorders>
          </w:tcPr>
          <w:p w14:paraId="075300F4" w14:textId="108F11EF"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760</w:t>
            </w:r>
          </w:p>
        </w:tc>
      </w:tr>
      <w:tr w:rsidR="00E1298E" w:rsidRPr="00E940CF" w14:paraId="3B7F71FC" w14:textId="16583FA0" w:rsidTr="00DD3275">
        <w:trPr>
          <w:cantSplit/>
          <w:trHeight w:val="290"/>
        </w:trPr>
        <w:tc>
          <w:tcPr>
            <w:tcW w:w="2610" w:type="dxa"/>
            <w:tcBorders>
              <w:top w:val="single" w:sz="4" w:space="0" w:color="auto"/>
              <w:left w:val="single" w:sz="4" w:space="0" w:color="auto"/>
              <w:bottom w:val="single" w:sz="4" w:space="0" w:color="auto"/>
              <w:right w:val="single" w:sz="4" w:space="0" w:color="auto"/>
            </w:tcBorders>
            <w:noWrap/>
            <w:vAlign w:val="center"/>
          </w:tcPr>
          <w:p w14:paraId="541AA573" w14:textId="77777777"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FY24</w:t>
            </w:r>
          </w:p>
        </w:tc>
        <w:tc>
          <w:tcPr>
            <w:tcW w:w="2830" w:type="dxa"/>
            <w:tcBorders>
              <w:top w:val="single" w:sz="4" w:space="0" w:color="auto"/>
              <w:left w:val="nil"/>
              <w:bottom w:val="single" w:sz="4" w:space="0" w:color="auto"/>
              <w:right w:val="single" w:sz="4" w:space="0" w:color="auto"/>
            </w:tcBorders>
            <w:noWrap/>
            <w:vAlign w:val="bottom"/>
          </w:tcPr>
          <w:p w14:paraId="1D4A03C6" w14:textId="7B7A058C"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987</w:t>
            </w:r>
          </w:p>
        </w:tc>
        <w:tc>
          <w:tcPr>
            <w:tcW w:w="2480" w:type="dxa"/>
            <w:tcBorders>
              <w:top w:val="single" w:sz="4" w:space="0" w:color="auto"/>
              <w:left w:val="nil"/>
              <w:bottom w:val="single" w:sz="4" w:space="0" w:color="auto"/>
              <w:right w:val="single" w:sz="4" w:space="0" w:color="auto"/>
            </w:tcBorders>
          </w:tcPr>
          <w:p w14:paraId="528D8C54" w14:textId="3A1F85B4"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835</w:t>
            </w:r>
          </w:p>
        </w:tc>
      </w:tr>
      <w:tr w:rsidR="00E1298E" w:rsidRPr="00E940CF" w14:paraId="494D4FAB" w14:textId="1B4D5CFE" w:rsidTr="00DD3275">
        <w:trPr>
          <w:cantSplit/>
          <w:trHeight w:val="290"/>
        </w:trPr>
        <w:tc>
          <w:tcPr>
            <w:tcW w:w="2610" w:type="dxa"/>
            <w:tcBorders>
              <w:top w:val="single" w:sz="4" w:space="0" w:color="auto"/>
              <w:left w:val="single" w:sz="4" w:space="0" w:color="auto"/>
              <w:bottom w:val="single" w:sz="4" w:space="0" w:color="auto"/>
              <w:right w:val="single" w:sz="4" w:space="0" w:color="auto"/>
            </w:tcBorders>
            <w:noWrap/>
            <w:vAlign w:val="center"/>
          </w:tcPr>
          <w:p w14:paraId="2344AD16" w14:textId="77777777"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FY25</w:t>
            </w:r>
          </w:p>
        </w:tc>
        <w:tc>
          <w:tcPr>
            <w:tcW w:w="2830" w:type="dxa"/>
            <w:tcBorders>
              <w:top w:val="single" w:sz="4" w:space="0" w:color="auto"/>
              <w:left w:val="nil"/>
              <w:bottom w:val="single" w:sz="4" w:space="0" w:color="auto"/>
              <w:right w:val="single" w:sz="4" w:space="0" w:color="auto"/>
            </w:tcBorders>
            <w:noWrap/>
            <w:vAlign w:val="bottom"/>
          </w:tcPr>
          <w:p w14:paraId="1CB0E4FC" w14:textId="0FB32F71"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870</w:t>
            </w:r>
          </w:p>
        </w:tc>
        <w:tc>
          <w:tcPr>
            <w:tcW w:w="2480" w:type="dxa"/>
            <w:tcBorders>
              <w:top w:val="single" w:sz="4" w:space="0" w:color="auto"/>
              <w:left w:val="nil"/>
              <w:bottom w:val="single" w:sz="4" w:space="0" w:color="auto"/>
              <w:right w:val="single" w:sz="4" w:space="0" w:color="auto"/>
            </w:tcBorders>
          </w:tcPr>
          <w:p w14:paraId="01F53406" w14:textId="072BE533" w:rsidR="00E1298E" w:rsidRPr="00E940CF" w:rsidRDefault="00E1298E"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772</w:t>
            </w:r>
          </w:p>
        </w:tc>
      </w:tr>
    </w:tbl>
    <w:p w14:paraId="7D2BB5AA" w14:textId="77777777" w:rsidR="00E1298E" w:rsidRPr="00E940CF" w:rsidRDefault="00E1298E" w:rsidP="007D766E">
      <w:pPr>
        <w:ind w:left="360"/>
        <w:rPr>
          <w:rFonts w:ascii="Aptos" w:hAnsi="Aptos" w:cs="Times New Roman"/>
          <w:color w:val="1F4E79" w:themeColor="accent5" w:themeShade="80"/>
          <w:sz w:val="24"/>
          <w:szCs w:val="24"/>
        </w:rPr>
      </w:pPr>
    </w:p>
    <w:p w14:paraId="34981414" w14:textId="484AEB25" w:rsidR="005F5DC9" w:rsidRPr="00E940CF" w:rsidRDefault="005F5DC9" w:rsidP="007D766E">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Data Appendix Figure 1b – Updated</w:t>
      </w:r>
      <w:r w:rsidR="00E1298E" w:rsidRPr="00E940CF">
        <w:rPr>
          <w:rFonts w:ascii="Aptos" w:hAnsi="Aptos" w:cs="Times New Roman"/>
          <w:color w:val="1F4E79" w:themeColor="accent5" w:themeShade="80"/>
          <w:sz w:val="24"/>
          <w:szCs w:val="24"/>
        </w:rPr>
        <w:t xml:space="preserve"> Table</w:t>
      </w:r>
      <w:r w:rsidRPr="00E940CF">
        <w:rPr>
          <w:rFonts w:ascii="Aptos" w:hAnsi="Aptos" w:cs="Times New Roman"/>
          <w:color w:val="1F4E79" w:themeColor="accent5" w:themeShade="80"/>
          <w:sz w:val="24"/>
          <w:szCs w:val="24"/>
        </w:rPr>
        <w:t xml:space="preserve"> shows a continuation in 2025 of the </w:t>
      </w:r>
      <w:proofErr w:type="gramStart"/>
      <w:r w:rsidRPr="00E940CF">
        <w:rPr>
          <w:rFonts w:ascii="Aptos" w:hAnsi="Aptos" w:cs="Times New Roman"/>
          <w:color w:val="1F4E79" w:themeColor="accent5" w:themeShade="80"/>
          <w:sz w:val="24"/>
          <w:szCs w:val="24"/>
        </w:rPr>
        <w:t>trend</w:t>
      </w:r>
      <w:proofErr w:type="gramEnd"/>
      <w:r w:rsidRPr="00E940CF">
        <w:rPr>
          <w:rFonts w:ascii="Aptos" w:hAnsi="Aptos" w:cs="Times New Roman"/>
          <w:color w:val="1F4E79" w:themeColor="accent5" w:themeShade="80"/>
          <w:sz w:val="24"/>
          <w:szCs w:val="24"/>
        </w:rPr>
        <w:t xml:space="preserve"> experienced by the Applicant of significantly more female cancer patients than male cancer patients.</w:t>
      </w:r>
    </w:p>
    <w:p w14:paraId="23F6C288" w14:textId="508CB080" w:rsidR="00FD2EDA" w:rsidRPr="00FD55E6" w:rsidRDefault="00FD2EDA" w:rsidP="00896388">
      <w:pPr>
        <w:keepNext/>
        <w:ind w:left="360"/>
        <w:rPr>
          <w:rFonts w:ascii="Aptos" w:hAnsi="Aptos" w:cs="Times New Roman"/>
          <w:color w:val="1F4E79" w:themeColor="accent5" w:themeShade="80"/>
          <w:sz w:val="24"/>
          <w:szCs w:val="24"/>
        </w:rPr>
      </w:pPr>
      <w:r w:rsidRPr="00FD55E6">
        <w:rPr>
          <w:rFonts w:ascii="Aptos" w:hAnsi="Aptos" w:cs="Times New Roman"/>
          <w:i/>
          <w:iCs/>
          <w:color w:val="1F4E79" w:themeColor="accent5" w:themeShade="80"/>
          <w:sz w:val="24"/>
          <w:szCs w:val="24"/>
        </w:rPr>
        <w:t>Data Appendix Figure 2a – Updated</w:t>
      </w:r>
      <w:r w:rsidR="00516919" w:rsidRPr="00FD55E6">
        <w:rPr>
          <w:rFonts w:ascii="Aptos" w:hAnsi="Aptos" w:cs="Times New Roman"/>
          <w:i/>
          <w:iCs/>
          <w:color w:val="1F4E79" w:themeColor="accent5" w:themeShade="80"/>
          <w:sz w:val="24"/>
          <w:szCs w:val="24"/>
        </w:rPr>
        <w:t xml:space="preserve"> Monthly and Annual Volume Tables</w:t>
      </w:r>
    </w:p>
    <w:tbl>
      <w:tblPr>
        <w:tblStyle w:val="TableGrid"/>
        <w:tblW w:w="0" w:type="auto"/>
        <w:tblInd w:w="355" w:type="dxa"/>
        <w:tblLook w:val="04A0" w:firstRow="1" w:lastRow="0" w:firstColumn="1" w:lastColumn="0" w:noHBand="0" w:noVBand="1"/>
        <w:tblCaption w:val="Data Appendix Figure 2a – Updated Monthly and Annual Volume Tables"/>
      </w:tblPr>
      <w:tblGrid>
        <w:gridCol w:w="1400"/>
        <w:gridCol w:w="1360"/>
        <w:gridCol w:w="3625"/>
      </w:tblGrid>
      <w:tr w:rsidR="00BA6DE8" w:rsidRPr="00E940CF" w14:paraId="0C408C9A" w14:textId="77777777" w:rsidTr="00F02912">
        <w:trPr>
          <w:cantSplit/>
          <w:trHeight w:val="300"/>
          <w:tblHeader/>
        </w:trPr>
        <w:tc>
          <w:tcPr>
            <w:tcW w:w="1400" w:type="dxa"/>
            <w:noWrap/>
            <w:hideMark/>
          </w:tcPr>
          <w:p w14:paraId="79B3827F"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Fiscal Year</w:t>
            </w:r>
          </w:p>
        </w:tc>
        <w:tc>
          <w:tcPr>
            <w:tcW w:w="1360" w:type="dxa"/>
            <w:noWrap/>
            <w:hideMark/>
          </w:tcPr>
          <w:p w14:paraId="76A2317A"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Month</w:t>
            </w:r>
          </w:p>
        </w:tc>
        <w:tc>
          <w:tcPr>
            <w:tcW w:w="3625" w:type="dxa"/>
            <w:noWrap/>
            <w:hideMark/>
          </w:tcPr>
          <w:p w14:paraId="47511286"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Southcoast Health Radiation Oncology Monthly Treatment Volume</w:t>
            </w:r>
          </w:p>
        </w:tc>
      </w:tr>
      <w:tr w:rsidR="00BA6DE8" w:rsidRPr="00E940CF" w14:paraId="4CF5AD2C" w14:textId="77777777" w:rsidTr="00DD3275">
        <w:trPr>
          <w:cantSplit/>
          <w:trHeight w:val="300"/>
        </w:trPr>
        <w:tc>
          <w:tcPr>
            <w:tcW w:w="1400" w:type="dxa"/>
            <w:noWrap/>
            <w:hideMark/>
          </w:tcPr>
          <w:p w14:paraId="235EB555"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035F3900"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Oct-22</w:t>
            </w:r>
          </w:p>
        </w:tc>
        <w:tc>
          <w:tcPr>
            <w:tcW w:w="3625" w:type="dxa"/>
            <w:noWrap/>
            <w:hideMark/>
          </w:tcPr>
          <w:p w14:paraId="771A7489" w14:textId="15FDDEA3"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938</w:t>
            </w:r>
          </w:p>
        </w:tc>
      </w:tr>
      <w:tr w:rsidR="00BA6DE8" w:rsidRPr="00E940CF" w14:paraId="0E10AA18" w14:textId="77777777" w:rsidTr="00DD3275">
        <w:trPr>
          <w:cantSplit/>
          <w:trHeight w:val="300"/>
        </w:trPr>
        <w:tc>
          <w:tcPr>
            <w:tcW w:w="1400" w:type="dxa"/>
            <w:noWrap/>
            <w:hideMark/>
          </w:tcPr>
          <w:p w14:paraId="08013F23"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32DFE680"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Nov-22</w:t>
            </w:r>
          </w:p>
        </w:tc>
        <w:tc>
          <w:tcPr>
            <w:tcW w:w="3625" w:type="dxa"/>
            <w:noWrap/>
            <w:hideMark/>
          </w:tcPr>
          <w:p w14:paraId="529A8C99" w14:textId="635838F5"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1004</w:t>
            </w:r>
          </w:p>
        </w:tc>
      </w:tr>
      <w:tr w:rsidR="00BA6DE8" w:rsidRPr="00E940CF" w14:paraId="5F150DB5" w14:textId="77777777" w:rsidTr="00DD3275">
        <w:trPr>
          <w:cantSplit/>
          <w:trHeight w:val="300"/>
        </w:trPr>
        <w:tc>
          <w:tcPr>
            <w:tcW w:w="1400" w:type="dxa"/>
            <w:noWrap/>
            <w:hideMark/>
          </w:tcPr>
          <w:p w14:paraId="305A0C66"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099A68F2"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Dec-22</w:t>
            </w:r>
          </w:p>
        </w:tc>
        <w:tc>
          <w:tcPr>
            <w:tcW w:w="3625" w:type="dxa"/>
            <w:noWrap/>
            <w:hideMark/>
          </w:tcPr>
          <w:p w14:paraId="03B8AEC2" w14:textId="3A569B48"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1159</w:t>
            </w:r>
          </w:p>
        </w:tc>
      </w:tr>
      <w:tr w:rsidR="00BA6DE8" w:rsidRPr="00E940CF" w14:paraId="2D3C8F5B" w14:textId="77777777" w:rsidTr="00DD3275">
        <w:trPr>
          <w:cantSplit/>
          <w:trHeight w:val="300"/>
        </w:trPr>
        <w:tc>
          <w:tcPr>
            <w:tcW w:w="1400" w:type="dxa"/>
            <w:noWrap/>
            <w:hideMark/>
          </w:tcPr>
          <w:p w14:paraId="45BBD2AA"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518D8B8A"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Jan-23</w:t>
            </w:r>
          </w:p>
        </w:tc>
        <w:tc>
          <w:tcPr>
            <w:tcW w:w="3625" w:type="dxa"/>
            <w:noWrap/>
            <w:hideMark/>
          </w:tcPr>
          <w:p w14:paraId="3E2F076C" w14:textId="3CEA0118"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1213</w:t>
            </w:r>
          </w:p>
        </w:tc>
      </w:tr>
      <w:tr w:rsidR="00BA6DE8" w:rsidRPr="00E940CF" w14:paraId="20A7D6F7" w14:textId="77777777" w:rsidTr="00DD3275">
        <w:trPr>
          <w:cantSplit/>
          <w:trHeight w:val="300"/>
        </w:trPr>
        <w:tc>
          <w:tcPr>
            <w:tcW w:w="1400" w:type="dxa"/>
            <w:noWrap/>
            <w:hideMark/>
          </w:tcPr>
          <w:p w14:paraId="075456BA"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498FC7AE"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Feb-23</w:t>
            </w:r>
          </w:p>
        </w:tc>
        <w:tc>
          <w:tcPr>
            <w:tcW w:w="3625" w:type="dxa"/>
            <w:noWrap/>
            <w:hideMark/>
          </w:tcPr>
          <w:p w14:paraId="2BEC3B33" w14:textId="5F536548"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997</w:t>
            </w:r>
          </w:p>
        </w:tc>
      </w:tr>
      <w:tr w:rsidR="00BA6DE8" w:rsidRPr="00E940CF" w14:paraId="46D25F1C" w14:textId="77777777" w:rsidTr="00DD3275">
        <w:trPr>
          <w:cantSplit/>
          <w:trHeight w:val="300"/>
        </w:trPr>
        <w:tc>
          <w:tcPr>
            <w:tcW w:w="1400" w:type="dxa"/>
            <w:noWrap/>
            <w:hideMark/>
          </w:tcPr>
          <w:p w14:paraId="61EE877D"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16D0A460"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Mar-23</w:t>
            </w:r>
          </w:p>
        </w:tc>
        <w:tc>
          <w:tcPr>
            <w:tcW w:w="3625" w:type="dxa"/>
            <w:noWrap/>
            <w:hideMark/>
          </w:tcPr>
          <w:p w14:paraId="5D3EA1CF" w14:textId="3064B345"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1132</w:t>
            </w:r>
          </w:p>
        </w:tc>
      </w:tr>
      <w:tr w:rsidR="00BA6DE8" w:rsidRPr="00E940CF" w14:paraId="1B1BF6FE" w14:textId="77777777" w:rsidTr="00DD3275">
        <w:trPr>
          <w:cantSplit/>
          <w:trHeight w:val="300"/>
        </w:trPr>
        <w:tc>
          <w:tcPr>
            <w:tcW w:w="1400" w:type="dxa"/>
            <w:noWrap/>
            <w:hideMark/>
          </w:tcPr>
          <w:p w14:paraId="0F979801"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45AF283E"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Apr-23</w:t>
            </w:r>
          </w:p>
        </w:tc>
        <w:tc>
          <w:tcPr>
            <w:tcW w:w="3625" w:type="dxa"/>
            <w:noWrap/>
            <w:hideMark/>
          </w:tcPr>
          <w:p w14:paraId="6BA7B01B" w14:textId="17F71BE5"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1174</w:t>
            </w:r>
          </w:p>
        </w:tc>
      </w:tr>
      <w:tr w:rsidR="00BA6DE8" w:rsidRPr="00E940CF" w14:paraId="1259E46E" w14:textId="77777777" w:rsidTr="00DD3275">
        <w:trPr>
          <w:cantSplit/>
          <w:trHeight w:val="300"/>
        </w:trPr>
        <w:tc>
          <w:tcPr>
            <w:tcW w:w="1400" w:type="dxa"/>
            <w:noWrap/>
            <w:hideMark/>
          </w:tcPr>
          <w:p w14:paraId="1ADF396E"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00AAEB8F"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May-23</w:t>
            </w:r>
          </w:p>
        </w:tc>
        <w:tc>
          <w:tcPr>
            <w:tcW w:w="3625" w:type="dxa"/>
            <w:noWrap/>
            <w:hideMark/>
          </w:tcPr>
          <w:p w14:paraId="381B8213" w14:textId="10F789D5"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1529</w:t>
            </w:r>
          </w:p>
        </w:tc>
      </w:tr>
      <w:tr w:rsidR="00BA6DE8" w:rsidRPr="00E940CF" w14:paraId="299D94E2" w14:textId="77777777" w:rsidTr="00DD3275">
        <w:trPr>
          <w:cantSplit/>
          <w:trHeight w:val="300"/>
        </w:trPr>
        <w:tc>
          <w:tcPr>
            <w:tcW w:w="1400" w:type="dxa"/>
            <w:noWrap/>
            <w:hideMark/>
          </w:tcPr>
          <w:p w14:paraId="1D9D0084"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2B299668"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Jun-23</w:t>
            </w:r>
          </w:p>
        </w:tc>
        <w:tc>
          <w:tcPr>
            <w:tcW w:w="3625" w:type="dxa"/>
            <w:noWrap/>
            <w:hideMark/>
          </w:tcPr>
          <w:p w14:paraId="757BCE13" w14:textId="7DDAB2A9"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1329</w:t>
            </w:r>
          </w:p>
        </w:tc>
      </w:tr>
      <w:tr w:rsidR="00BA6DE8" w:rsidRPr="00E940CF" w14:paraId="77C9FDCB" w14:textId="77777777" w:rsidTr="00DD3275">
        <w:trPr>
          <w:cantSplit/>
          <w:trHeight w:val="300"/>
        </w:trPr>
        <w:tc>
          <w:tcPr>
            <w:tcW w:w="1400" w:type="dxa"/>
            <w:noWrap/>
            <w:hideMark/>
          </w:tcPr>
          <w:p w14:paraId="1D655DD2"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54CD1236"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Jul-23</w:t>
            </w:r>
          </w:p>
        </w:tc>
        <w:tc>
          <w:tcPr>
            <w:tcW w:w="3625" w:type="dxa"/>
            <w:noWrap/>
            <w:hideMark/>
          </w:tcPr>
          <w:p w14:paraId="5A40820C" w14:textId="1D1A461A"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1064</w:t>
            </w:r>
          </w:p>
        </w:tc>
      </w:tr>
      <w:tr w:rsidR="00BA6DE8" w:rsidRPr="00E940CF" w14:paraId="35AB95FB" w14:textId="77777777" w:rsidTr="00DD3275">
        <w:trPr>
          <w:cantSplit/>
          <w:trHeight w:val="300"/>
        </w:trPr>
        <w:tc>
          <w:tcPr>
            <w:tcW w:w="1400" w:type="dxa"/>
            <w:noWrap/>
            <w:hideMark/>
          </w:tcPr>
          <w:p w14:paraId="1B1A431E"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598D9ECD"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Aug-23</w:t>
            </w:r>
          </w:p>
        </w:tc>
        <w:tc>
          <w:tcPr>
            <w:tcW w:w="3625" w:type="dxa"/>
            <w:noWrap/>
            <w:hideMark/>
          </w:tcPr>
          <w:p w14:paraId="29121490" w14:textId="5FD49024"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1378</w:t>
            </w:r>
          </w:p>
        </w:tc>
      </w:tr>
      <w:tr w:rsidR="00BA6DE8" w:rsidRPr="00E940CF" w14:paraId="4A521ECC" w14:textId="77777777" w:rsidTr="00DD3275">
        <w:trPr>
          <w:cantSplit/>
          <w:trHeight w:val="300"/>
        </w:trPr>
        <w:tc>
          <w:tcPr>
            <w:tcW w:w="1400" w:type="dxa"/>
            <w:noWrap/>
            <w:hideMark/>
          </w:tcPr>
          <w:p w14:paraId="12A58478"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lastRenderedPageBreak/>
              <w:t>FY23</w:t>
            </w:r>
          </w:p>
        </w:tc>
        <w:tc>
          <w:tcPr>
            <w:tcW w:w="1360" w:type="dxa"/>
            <w:noWrap/>
            <w:hideMark/>
          </w:tcPr>
          <w:p w14:paraId="72D7B19A"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Sep-23</w:t>
            </w:r>
          </w:p>
        </w:tc>
        <w:tc>
          <w:tcPr>
            <w:tcW w:w="3625" w:type="dxa"/>
            <w:noWrap/>
            <w:hideMark/>
          </w:tcPr>
          <w:p w14:paraId="57C5621F" w14:textId="253A6B84"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1258</w:t>
            </w:r>
          </w:p>
        </w:tc>
      </w:tr>
      <w:tr w:rsidR="00BA6DE8" w:rsidRPr="00E940CF" w14:paraId="6D7432F7" w14:textId="77777777" w:rsidTr="00DD3275">
        <w:trPr>
          <w:cantSplit/>
          <w:trHeight w:val="300"/>
        </w:trPr>
        <w:tc>
          <w:tcPr>
            <w:tcW w:w="1400" w:type="dxa"/>
            <w:noWrap/>
            <w:hideMark/>
          </w:tcPr>
          <w:p w14:paraId="4B74424A"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461FE3FA"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Oct-23</w:t>
            </w:r>
          </w:p>
        </w:tc>
        <w:tc>
          <w:tcPr>
            <w:tcW w:w="3625" w:type="dxa"/>
            <w:noWrap/>
            <w:hideMark/>
          </w:tcPr>
          <w:p w14:paraId="5079D884" w14:textId="48813DC2"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1121</w:t>
            </w:r>
          </w:p>
        </w:tc>
      </w:tr>
      <w:tr w:rsidR="00BA6DE8" w:rsidRPr="00E940CF" w14:paraId="69058A57" w14:textId="77777777" w:rsidTr="00DD3275">
        <w:trPr>
          <w:cantSplit/>
          <w:trHeight w:val="300"/>
        </w:trPr>
        <w:tc>
          <w:tcPr>
            <w:tcW w:w="1400" w:type="dxa"/>
            <w:noWrap/>
            <w:hideMark/>
          </w:tcPr>
          <w:p w14:paraId="1DD426F8"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6EE7A7AC"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Nov-23</w:t>
            </w:r>
          </w:p>
        </w:tc>
        <w:tc>
          <w:tcPr>
            <w:tcW w:w="3625" w:type="dxa"/>
            <w:noWrap/>
            <w:hideMark/>
          </w:tcPr>
          <w:p w14:paraId="48185870" w14:textId="73CF3604"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1145</w:t>
            </w:r>
          </w:p>
        </w:tc>
      </w:tr>
      <w:tr w:rsidR="00BA6DE8" w:rsidRPr="00E940CF" w14:paraId="43BE1036" w14:textId="77777777" w:rsidTr="00DD3275">
        <w:trPr>
          <w:cantSplit/>
          <w:trHeight w:val="300"/>
        </w:trPr>
        <w:tc>
          <w:tcPr>
            <w:tcW w:w="1400" w:type="dxa"/>
            <w:noWrap/>
            <w:hideMark/>
          </w:tcPr>
          <w:p w14:paraId="14991AA7"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50A0337C"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Dec-23</w:t>
            </w:r>
          </w:p>
        </w:tc>
        <w:tc>
          <w:tcPr>
            <w:tcW w:w="3625" w:type="dxa"/>
            <w:noWrap/>
            <w:hideMark/>
          </w:tcPr>
          <w:p w14:paraId="2CE40C71" w14:textId="32E84F6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913</w:t>
            </w:r>
          </w:p>
        </w:tc>
      </w:tr>
      <w:tr w:rsidR="00BA6DE8" w:rsidRPr="00E940CF" w14:paraId="3882D6F1" w14:textId="77777777" w:rsidTr="00DD3275">
        <w:trPr>
          <w:cantSplit/>
          <w:trHeight w:val="300"/>
        </w:trPr>
        <w:tc>
          <w:tcPr>
            <w:tcW w:w="1400" w:type="dxa"/>
            <w:noWrap/>
            <w:hideMark/>
          </w:tcPr>
          <w:p w14:paraId="6D80B431"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7D8DAE10"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Jan-24</w:t>
            </w:r>
          </w:p>
        </w:tc>
        <w:tc>
          <w:tcPr>
            <w:tcW w:w="3625" w:type="dxa"/>
            <w:noWrap/>
            <w:hideMark/>
          </w:tcPr>
          <w:p w14:paraId="3F5B9C2A" w14:textId="6287534D"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947</w:t>
            </w:r>
          </w:p>
        </w:tc>
      </w:tr>
      <w:tr w:rsidR="00BA6DE8" w:rsidRPr="00E940CF" w14:paraId="71E3B1E3" w14:textId="77777777" w:rsidTr="00DD3275">
        <w:trPr>
          <w:cantSplit/>
          <w:trHeight w:val="300"/>
        </w:trPr>
        <w:tc>
          <w:tcPr>
            <w:tcW w:w="1400" w:type="dxa"/>
            <w:noWrap/>
            <w:hideMark/>
          </w:tcPr>
          <w:p w14:paraId="0E7CB3AB"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610571F9"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Feb-24</w:t>
            </w:r>
          </w:p>
        </w:tc>
        <w:tc>
          <w:tcPr>
            <w:tcW w:w="3625" w:type="dxa"/>
            <w:noWrap/>
            <w:hideMark/>
          </w:tcPr>
          <w:p w14:paraId="28F248E8" w14:textId="4CD749DF"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1075</w:t>
            </w:r>
          </w:p>
        </w:tc>
      </w:tr>
      <w:tr w:rsidR="00BA6DE8" w:rsidRPr="00E940CF" w14:paraId="7DBC6160" w14:textId="77777777" w:rsidTr="00DD3275">
        <w:trPr>
          <w:cantSplit/>
          <w:trHeight w:val="300"/>
        </w:trPr>
        <w:tc>
          <w:tcPr>
            <w:tcW w:w="1400" w:type="dxa"/>
            <w:noWrap/>
            <w:hideMark/>
          </w:tcPr>
          <w:p w14:paraId="472C47DA"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08CD4FBD"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Mar-24</w:t>
            </w:r>
          </w:p>
        </w:tc>
        <w:tc>
          <w:tcPr>
            <w:tcW w:w="3625" w:type="dxa"/>
            <w:noWrap/>
            <w:hideMark/>
          </w:tcPr>
          <w:p w14:paraId="4778BB75" w14:textId="084DA262"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1150</w:t>
            </w:r>
          </w:p>
        </w:tc>
      </w:tr>
      <w:tr w:rsidR="00BA6DE8" w:rsidRPr="00E940CF" w14:paraId="2D412882" w14:textId="77777777" w:rsidTr="00DD3275">
        <w:trPr>
          <w:cantSplit/>
          <w:trHeight w:val="300"/>
        </w:trPr>
        <w:tc>
          <w:tcPr>
            <w:tcW w:w="1400" w:type="dxa"/>
            <w:noWrap/>
            <w:hideMark/>
          </w:tcPr>
          <w:p w14:paraId="3EF092F7"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2E42E792"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Apr-24</w:t>
            </w:r>
          </w:p>
        </w:tc>
        <w:tc>
          <w:tcPr>
            <w:tcW w:w="3625" w:type="dxa"/>
            <w:noWrap/>
            <w:hideMark/>
          </w:tcPr>
          <w:p w14:paraId="57BA9DB6" w14:textId="6B3A2F6D"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1188</w:t>
            </w:r>
          </w:p>
        </w:tc>
      </w:tr>
      <w:tr w:rsidR="00BA6DE8" w:rsidRPr="00E940CF" w14:paraId="335C4581" w14:textId="77777777" w:rsidTr="00DD3275">
        <w:trPr>
          <w:cantSplit/>
          <w:trHeight w:val="300"/>
        </w:trPr>
        <w:tc>
          <w:tcPr>
            <w:tcW w:w="1400" w:type="dxa"/>
            <w:noWrap/>
            <w:hideMark/>
          </w:tcPr>
          <w:p w14:paraId="37BBD174"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3B5F1AE5"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May-24</w:t>
            </w:r>
          </w:p>
        </w:tc>
        <w:tc>
          <w:tcPr>
            <w:tcW w:w="3625" w:type="dxa"/>
            <w:noWrap/>
            <w:hideMark/>
          </w:tcPr>
          <w:p w14:paraId="4A978F2B" w14:textId="4790EC5E"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1495</w:t>
            </w:r>
          </w:p>
        </w:tc>
      </w:tr>
      <w:tr w:rsidR="00BA6DE8" w:rsidRPr="00E940CF" w14:paraId="3496BB97" w14:textId="77777777" w:rsidTr="00DD3275">
        <w:trPr>
          <w:cantSplit/>
          <w:trHeight w:val="300"/>
        </w:trPr>
        <w:tc>
          <w:tcPr>
            <w:tcW w:w="1400" w:type="dxa"/>
            <w:noWrap/>
            <w:hideMark/>
          </w:tcPr>
          <w:p w14:paraId="75E33A61"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2943973F"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Jun-24</w:t>
            </w:r>
          </w:p>
        </w:tc>
        <w:tc>
          <w:tcPr>
            <w:tcW w:w="3625" w:type="dxa"/>
            <w:noWrap/>
            <w:hideMark/>
          </w:tcPr>
          <w:p w14:paraId="210E170B" w14:textId="622AE904"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1109</w:t>
            </w:r>
          </w:p>
        </w:tc>
      </w:tr>
      <w:tr w:rsidR="00BA6DE8" w:rsidRPr="00E940CF" w14:paraId="4B4A408A" w14:textId="77777777" w:rsidTr="00DD3275">
        <w:trPr>
          <w:cantSplit/>
          <w:trHeight w:val="300"/>
        </w:trPr>
        <w:tc>
          <w:tcPr>
            <w:tcW w:w="1400" w:type="dxa"/>
            <w:noWrap/>
            <w:hideMark/>
          </w:tcPr>
          <w:p w14:paraId="15A76B59"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52CDE07D"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Jul-24</w:t>
            </w:r>
          </w:p>
        </w:tc>
        <w:tc>
          <w:tcPr>
            <w:tcW w:w="3625" w:type="dxa"/>
            <w:noWrap/>
            <w:hideMark/>
          </w:tcPr>
          <w:p w14:paraId="3F2A0D3A" w14:textId="20E61D9F"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1328</w:t>
            </w:r>
          </w:p>
        </w:tc>
      </w:tr>
      <w:tr w:rsidR="00BA6DE8" w:rsidRPr="00E940CF" w14:paraId="18A2A352" w14:textId="77777777" w:rsidTr="00DD3275">
        <w:trPr>
          <w:cantSplit/>
          <w:trHeight w:val="300"/>
        </w:trPr>
        <w:tc>
          <w:tcPr>
            <w:tcW w:w="1400" w:type="dxa"/>
            <w:noWrap/>
            <w:hideMark/>
          </w:tcPr>
          <w:p w14:paraId="7A9AB922"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1CBD46BD"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Aug-24</w:t>
            </w:r>
          </w:p>
        </w:tc>
        <w:tc>
          <w:tcPr>
            <w:tcW w:w="3625" w:type="dxa"/>
            <w:noWrap/>
            <w:hideMark/>
          </w:tcPr>
          <w:p w14:paraId="244F7E07" w14:textId="35EF5682"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1180</w:t>
            </w:r>
          </w:p>
        </w:tc>
      </w:tr>
      <w:tr w:rsidR="00BA6DE8" w:rsidRPr="00E940CF" w14:paraId="7BB8AD0E" w14:textId="77777777" w:rsidTr="00DD3275">
        <w:trPr>
          <w:cantSplit/>
          <w:trHeight w:val="300"/>
        </w:trPr>
        <w:tc>
          <w:tcPr>
            <w:tcW w:w="1400" w:type="dxa"/>
            <w:noWrap/>
            <w:hideMark/>
          </w:tcPr>
          <w:p w14:paraId="32602CEC"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2EA8330D"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Sep-24</w:t>
            </w:r>
          </w:p>
        </w:tc>
        <w:tc>
          <w:tcPr>
            <w:tcW w:w="3625" w:type="dxa"/>
            <w:noWrap/>
            <w:hideMark/>
          </w:tcPr>
          <w:p w14:paraId="05BB40FC" w14:textId="1B7B145D"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1110</w:t>
            </w:r>
          </w:p>
        </w:tc>
      </w:tr>
      <w:tr w:rsidR="00BA6DE8" w:rsidRPr="00E940CF" w14:paraId="643E8A47" w14:textId="77777777" w:rsidTr="00DD3275">
        <w:trPr>
          <w:cantSplit/>
          <w:trHeight w:val="300"/>
        </w:trPr>
        <w:tc>
          <w:tcPr>
            <w:tcW w:w="1400" w:type="dxa"/>
            <w:noWrap/>
            <w:hideMark/>
          </w:tcPr>
          <w:p w14:paraId="76D3E40D"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39E0AB34"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Oct-24</w:t>
            </w:r>
          </w:p>
        </w:tc>
        <w:tc>
          <w:tcPr>
            <w:tcW w:w="3625" w:type="dxa"/>
            <w:noWrap/>
            <w:hideMark/>
          </w:tcPr>
          <w:p w14:paraId="7B14B3B1" w14:textId="6E75DA1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1403</w:t>
            </w:r>
          </w:p>
        </w:tc>
      </w:tr>
      <w:tr w:rsidR="00BA6DE8" w:rsidRPr="00E940CF" w14:paraId="0DF08F27" w14:textId="77777777" w:rsidTr="00DD3275">
        <w:trPr>
          <w:cantSplit/>
          <w:trHeight w:val="300"/>
        </w:trPr>
        <w:tc>
          <w:tcPr>
            <w:tcW w:w="1400" w:type="dxa"/>
            <w:noWrap/>
            <w:hideMark/>
          </w:tcPr>
          <w:p w14:paraId="4E4BC518"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4BD51ADC"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Nov-24</w:t>
            </w:r>
          </w:p>
        </w:tc>
        <w:tc>
          <w:tcPr>
            <w:tcW w:w="3625" w:type="dxa"/>
            <w:noWrap/>
            <w:hideMark/>
          </w:tcPr>
          <w:p w14:paraId="49744E67" w14:textId="06D732C5"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1258</w:t>
            </w:r>
          </w:p>
        </w:tc>
      </w:tr>
      <w:tr w:rsidR="00BA6DE8" w:rsidRPr="00E940CF" w14:paraId="7A050151" w14:textId="77777777" w:rsidTr="00DD3275">
        <w:trPr>
          <w:cantSplit/>
          <w:trHeight w:val="300"/>
        </w:trPr>
        <w:tc>
          <w:tcPr>
            <w:tcW w:w="1400" w:type="dxa"/>
            <w:noWrap/>
            <w:hideMark/>
          </w:tcPr>
          <w:p w14:paraId="60B07474"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6C706333"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Dec-24</w:t>
            </w:r>
          </w:p>
        </w:tc>
        <w:tc>
          <w:tcPr>
            <w:tcW w:w="3625" w:type="dxa"/>
            <w:noWrap/>
            <w:hideMark/>
          </w:tcPr>
          <w:p w14:paraId="2E9A8C4C" w14:textId="5A071B71"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1168</w:t>
            </w:r>
          </w:p>
        </w:tc>
      </w:tr>
      <w:tr w:rsidR="00BA6DE8" w:rsidRPr="00E940CF" w14:paraId="254C75EB" w14:textId="77777777" w:rsidTr="00DD3275">
        <w:trPr>
          <w:cantSplit/>
          <w:trHeight w:val="300"/>
        </w:trPr>
        <w:tc>
          <w:tcPr>
            <w:tcW w:w="1400" w:type="dxa"/>
            <w:noWrap/>
            <w:hideMark/>
          </w:tcPr>
          <w:p w14:paraId="2D108C18"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6EDB3E5F"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Jan-25</w:t>
            </w:r>
          </w:p>
        </w:tc>
        <w:tc>
          <w:tcPr>
            <w:tcW w:w="3625" w:type="dxa"/>
            <w:noWrap/>
            <w:hideMark/>
          </w:tcPr>
          <w:p w14:paraId="6BF4B18E" w14:textId="7F2031F8"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1218</w:t>
            </w:r>
          </w:p>
        </w:tc>
      </w:tr>
      <w:tr w:rsidR="00BA6DE8" w:rsidRPr="00E940CF" w14:paraId="2A68CD4B" w14:textId="77777777" w:rsidTr="00DD3275">
        <w:trPr>
          <w:cantSplit/>
          <w:trHeight w:val="300"/>
        </w:trPr>
        <w:tc>
          <w:tcPr>
            <w:tcW w:w="1400" w:type="dxa"/>
            <w:noWrap/>
            <w:hideMark/>
          </w:tcPr>
          <w:p w14:paraId="0154906A"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2434F665"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Feb-25</w:t>
            </w:r>
          </w:p>
        </w:tc>
        <w:tc>
          <w:tcPr>
            <w:tcW w:w="3625" w:type="dxa"/>
            <w:noWrap/>
            <w:hideMark/>
          </w:tcPr>
          <w:p w14:paraId="1EDD49E6" w14:textId="6E93EE3C"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1281</w:t>
            </w:r>
          </w:p>
        </w:tc>
      </w:tr>
      <w:tr w:rsidR="00BA6DE8" w:rsidRPr="00E940CF" w14:paraId="3FF7C2D2" w14:textId="77777777" w:rsidTr="00DD3275">
        <w:trPr>
          <w:cantSplit/>
          <w:trHeight w:val="300"/>
        </w:trPr>
        <w:tc>
          <w:tcPr>
            <w:tcW w:w="1400" w:type="dxa"/>
            <w:noWrap/>
            <w:hideMark/>
          </w:tcPr>
          <w:p w14:paraId="11987214"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205D3176"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Mar-25</w:t>
            </w:r>
          </w:p>
        </w:tc>
        <w:tc>
          <w:tcPr>
            <w:tcW w:w="3625" w:type="dxa"/>
            <w:noWrap/>
            <w:hideMark/>
          </w:tcPr>
          <w:p w14:paraId="323F42F0" w14:textId="3B40EA1B"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1489</w:t>
            </w:r>
          </w:p>
        </w:tc>
      </w:tr>
      <w:tr w:rsidR="00BA6DE8" w:rsidRPr="00E940CF" w14:paraId="7A07F686" w14:textId="77777777" w:rsidTr="00DD3275">
        <w:trPr>
          <w:cantSplit/>
          <w:trHeight w:val="300"/>
        </w:trPr>
        <w:tc>
          <w:tcPr>
            <w:tcW w:w="1400" w:type="dxa"/>
            <w:noWrap/>
            <w:hideMark/>
          </w:tcPr>
          <w:p w14:paraId="1EF9DB61"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7261D561"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Apr-25</w:t>
            </w:r>
          </w:p>
        </w:tc>
        <w:tc>
          <w:tcPr>
            <w:tcW w:w="3625" w:type="dxa"/>
            <w:noWrap/>
            <w:hideMark/>
          </w:tcPr>
          <w:p w14:paraId="2E43CC78" w14:textId="5FB55CBA"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1501</w:t>
            </w:r>
          </w:p>
        </w:tc>
      </w:tr>
      <w:tr w:rsidR="00BA6DE8" w:rsidRPr="00E940CF" w14:paraId="5F9A1C31" w14:textId="77777777" w:rsidTr="00DD3275">
        <w:trPr>
          <w:cantSplit/>
          <w:trHeight w:val="300"/>
        </w:trPr>
        <w:tc>
          <w:tcPr>
            <w:tcW w:w="1400" w:type="dxa"/>
            <w:noWrap/>
            <w:hideMark/>
          </w:tcPr>
          <w:p w14:paraId="1E897834"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1AD530BE"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May-25</w:t>
            </w:r>
          </w:p>
        </w:tc>
        <w:tc>
          <w:tcPr>
            <w:tcW w:w="3625" w:type="dxa"/>
            <w:noWrap/>
            <w:hideMark/>
          </w:tcPr>
          <w:p w14:paraId="7FBBB84B" w14:textId="7547EAD2"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1321</w:t>
            </w:r>
          </w:p>
        </w:tc>
      </w:tr>
      <w:tr w:rsidR="00BA6DE8" w:rsidRPr="00E940CF" w14:paraId="33791DFF" w14:textId="77777777" w:rsidTr="00DD3275">
        <w:trPr>
          <w:cantSplit/>
          <w:trHeight w:val="300"/>
        </w:trPr>
        <w:tc>
          <w:tcPr>
            <w:tcW w:w="1400" w:type="dxa"/>
            <w:noWrap/>
            <w:hideMark/>
          </w:tcPr>
          <w:p w14:paraId="363862E3"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2C366533"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Jun-25</w:t>
            </w:r>
          </w:p>
        </w:tc>
        <w:tc>
          <w:tcPr>
            <w:tcW w:w="3625" w:type="dxa"/>
            <w:noWrap/>
            <w:hideMark/>
          </w:tcPr>
          <w:p w14:paraId="3DD51AFD" w14:textId="5283BA86"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1284</w:t>
            </w:r>
          </w:p>
        </w:tc>
      </w:tr>
      <w:tr w:rsidR="00BA6DE8" w:rsidRPr="00E940CF" w14:paraId="4DBEC07A" w14:textId="77777777" w:rsidTr="00DD3275">
        <w:trPr>
          <w:cantSplit/>
          <w:trHeight w:val="300"/>
        </w:trPr>
        <w:tc>
          <w:tcPr>
            <w:tcW w:w="1400" w:type="dxa"/>
            <w:noWrap/>
            <w:hideMark/>
          </w:tcPr>
          <w:p w14:paraId="4880A16B"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09BD614A"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Jul-25</w:t>
            </w:r>
          </w:p>
        </w:tc>
        <w:tc>
          <w:tcPr>
            <w:tcW w:w="3625" w:type="dxa"/>
            <w:noWrap/>
            <w:hideMark/>
          </w:tcPr>
          <w:p w14:paraId="4149F813" w14:textId="239872FE"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1559</w:t>
            </w:r>
          </w:p>
        </w:tc>
      </w:tr>
      <w:tr w:rsidR="00BA6DE8" w:rsidRPr="00E940CF" w14:paraId="57570443" w14:textId="77777777" w:rsidTr="00DD3275">
        <w:trPr>
          <w:cantSplit/>
          <w:trHeight w:val="300"/>
        </w:trPr>
        <w:tc>
          <w:tcPr>
            <w:tcW w:w="1400" w:type="dxa"/>
            <w:noWrap/>
            <w:hideMark/>
          </w:tcPr>
          <w:p w14:paraId="29EADE6A"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32635709"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Aug-25</w:t>
            </w:r>
          </w:p>
        </w:tc>
        <w:tc>
          <w:tcPr>
            <w:tcW w:w="3625" w:type="dxa"/>
            <w:noWrap/>
            <w:hideMark/>
          </w:tcPr>
          <w:p w14:paraId="280EB589" w14:textId="240155CF"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1426</w:t>
            </w:r>
          </w:p>
        </w:tc>
      </w:tr>
      <w:tr w:rsidR="00BA6DE8" w:rsidRPr="00E940CF" w14:paraId="426F9B9D" w14:textId="77777777" w:rsidTr="00DD3275">
        <w:trPr>
          <w:cantSplit/>
          <w:trHeight w:val="300"/>
        </w:trPr>
        <w:tc>
          <w:tcPr>
            <w:tcW w:w="1400" w:type="dxa"/>
            <w:noWrap/>
            <w:hideMark/>
          </w:tcPr>
          <w:p w14:paraId="404B60B9"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26CA5FA4" w14:textId="77777777"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Sep-25</w:t>
            </w:r>
          </w:p>
        </w:tc>
        <w:tc>
          <w:tcPr>
            <w:tcW w:w="3625" w:type="dxa"/>
            <w:noWrap/>
            <w:hideMark/>
          </w:tcPr>
          <w:p w14:paraId="3CC3E687" w14:textId="50A8D1B0" w:rsidR="00BA6DE8" w:rsidRPr="00E940CF" w:rsidRDefault="00BA6DE8" w:rsidP="00BA6DE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1286</w:t>
            </w:r>
          </w:p>
        </w:tc>
      </w:tr>
    </w:tbl>
    <w:p w14:paraId="285E2EB1" w14:textId="77777777" w:rsidR="00516919" w:rsidRPr="00E940CF" w:rsidRDefault="00516919" w:rsidP="00FD2EDA">
      <w:pPr>
        <w:ind w:left="360"/>
        <w:rPr>
          <w:rFonts w:ascii="Aptos" w:hAnsi="Aptos" w:cs="Times New Roman"/>
          <w:color w:val="1F4E79" w:themeColor="accent5" w:themeShade="80"/>
          <w:sz w:val="24"/>
          <w:szCs w:val="24"/>
        </w:rPr>
      </w:pPr>
    </w:p>
    <w:p w14:paraId="121753CE" w14:textId="145E4A82" w:rsidR="00FD2EDA" w:rsidRPr="00E940CF" w:rsidRDefault="00FD2EDA" w:rsidP="007D766E">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lastRenderedPageBreak/>
        <w:t>Data Appendix Figure 2a – Updated</w:t>
      </w:r>
      <w:r w:rsidR="00BA6DE8" w:rsidRPr="00E940CF">
        <w:rPr>
          <w:rFonts w:ascii="Aptos" w:hAnsi="Aptos" w:cs="Times New Roman"/>
          <w:color w:val="1F4E79" w:themeColor="accent5" w:themeShade="80"/>
          <w:sz w:val="24"/>
          <w:szCs w:val="24"/>
        </w:rPr>
        <w:t xml:space="preserve"> Table</w:t>
      </w:r>
      <w:r w:rsidRPr="00E940CF">
        <w:rPr>
          <w:rFonts w:ascii="Aptos" w:hAnsi="Aptos" w:cs="Times New Roman"/>
          <w:color w:val="1F4E79" w:themeColor="accent5" w:themeShade="80"/>
          <w:sz w:val="24"/>
          <w:szCs w:val="24"/>
        </w:rPr>
        <w:t xml:space="preserve"> shows up-to-date monthly </w:t>
      </w:r>
      <w:r w:rsidR="00FA75A3" w:rsidRPr="00E940CF">
        <w:rPr>
          <w:rFonts w:ascii="Aptos" w:hAnsi="Aptos" w:cs="Times New Roman"/>
          <w:color w:val="1F4E79" w:themeColor="accent5" w:themeShade="80"/>
          <w:sz w:val="24"/>
          <w:szCs w:val="24"/>
        </w:rPr>
        <w:t xml:space="preserve">radiation oncology </w:t>
      </w:r>
      <w:r w:rsidRPr="00E940CF">
        <w:rPr>
          <w:rFonts w:ascii="Aptos" w:hAnsi="Aptos" w:cs="Times New Roman"/>
          <w:color w:val="1F4E79" w:themeColor="accent5" w:themeShade="80"/>
          <w:sz w:val="24"/>
          <w:szCs w:val="24"/>
        </w:rPr>
        <w:t xml:space="preserve">treatment volumes indicating a continued positive trendline between </w:t>
      </w:r>
      <w:r w:rsidR="00B32909" w:rsidRPr="00E940CF">
        <w:rPr>
          <w:rFonts w:ascii="Aptos" w:hAnsi="Aptos" w:cs="Times New Roman"/>
          <w:color w:val="1F4E79" w:themeColor="accent5" w:themeShade="80"/>
          <w:sz w:val="24"/>
          <w:szCs w:val="24"/>
        </w:rPr>
        <w:t>FY</w:t>
      </w:r>
      <w:r w:rsidRPr="00E940CF">
        <w:rPr>
          <w:rFonts w:ascii="Aptos" w:hAnsi="Aptos" w:cs="Times New Roman"/>
          <w:color w:val="1F4E79" w:themeColor="accent5" w:themeShade="80"/>
          <w:sz w:val="24"/>
          <w:szCs w:val="24"/>
        </w:rPr>
        <w:t xml:space="preserve"> 2023 through </w:t>
      </w:r>
      <w:r w:rsidR="00B32909" w:rsidRPr="00E940CF">
        <w:rPr>
          <w:rFonts w:ascii="Aptos" w:hAnsi="Aptos" w:cs="Times New Roman"/>
          <w:color w:val="1F4E79" w:themeColor="accent5" w:themeShade="80"/>
          <w:sz w:val="24"/>
          <w:szCs w:val="24"/>
        </w:rPr>
        <w:t>FY 2025</w:t>
      </w:r>
      <w:r w:rsidRPr="00E940CF">
        <w:rPr>
          <w:rFonts w:ascii="Aptos" w:hAnsi="Aptos" w:cs="Times New Roman"/>
          <w:color w:val="1F4E79" w:themeColor="accent5" w:themeShade="80"/>
          <w:sz w:val="24"/>
          <w:szCs w:val="24"/>
        </w:rPr>
        <w:t xml:space="preserve"> despite month-to-month variation.</w:t>
      </w:r>
      <w:r w:rsidR="00CB2C38" w:rsidRPr="00E940CF">
        <w:rPr>
          <w:rFonts w:ascii="Aptos" w:hAnsi="Aptos" w:cs="Times New Roman"/>
          <w:color w:val="1F4E79" w:themeColor="accent5" w:themeShade="80"/>
          <w:sz w:val="24"/>
          <w:szCs w:val="24"/>
        </w:rPr>
        <w:t xml:space="preserve">  That month-to-month variation is important</w:t>
      </w:r>
      <w:r w:rsidR="00BA6DE8" w:rsidRPr="00E940CF">
        <w:rPr>
          <w:rFonts w:ascii="Aptos" w:hAnsi="Aptos" w:cs="Times New Roman"/>
          <w:color w:val="1F4E79" w:themeColor="accent5" w:themeShade="80"/>
          <w:sz w:val="24"/>
          <w:szCs w:val="24"/>
        </w:rPr>
        <w:t xml:space="preserve"> to be aware of</w:t>
      </w:r>
      <w:r w:rsidR="00CB2C38" w:rsidRPr="00E940CF">
        <w:rPr>
          <w:rFonts w:ascii="Aptos" w:hAnsi="Aptos" w:cs="Times New Roman"/>
          <w:color w:val="1F4E79" w:themeColor="accent5" w:themeShade="80"/>
          <w:sz w:val="24"/>
          <w:szCs w:val="24"/>
        </w:rPr>
        <w:t xml:space="preserve"> for purposes of this Application because one of the principal benefits of this </w:t>
      </w:r>
      <w:r w:rsidR="0049459D" w:rsidRPr="00E940CF">
        <w:rPr>
          <w:rFonts w:ascii="Aptos" w:hAnsi="Aptos" w:cs="Times New Roman"/>
          <w:color w:val="1F4E79" w:themeColor="accent5" w:themeShade="80"/>
          <w:sz w:val="24"/>
          <w:szCs w:val="24"/>
        </w:rPr>
        <w:t>Proposed Project</w:t>
      </w:r>
      <w:r w:rsidR="00CB2C38" w:rsidRPr="00E940CF">
        <w:rPr>
          <w:rFonts w:ascii="Aptos" w:hAnsi="Aptos" w:cs="Times New Roman"/>
          <w:color w:val="1F4E79" w:themeColor="accent5" w:themeShade="80"/>
          <w:sz w:val="24"/>
          <w:szCs w:val="24"/>
        </w:rPr>
        <w:t xml:space="preserve"> is that the second on-site LINAC in Fairhaven will provide back-up capacity and additional capacity during high volume periods throughout the year, when the only alternative with a single</w:t>
      </w:r>
      <w:r w:rsidR="00BB1847" w:rsidRPr="00E940CF">
        <w:rPr>
          <w:rFonts w:ascii="Aptos" w:hAnsi="Aptos" w:cs="Times New Roman"/>
          <w:color w:val="1F4E79" w:themeColor="accent5" w:themeShade="80"/>
          <w:sz w:val="24"/>
          <w:szCs w:val="24"/>
        </w:rPr>
        <w:t xml:space="preserve"> LINAC</w:t>
      </w:r>
      <w:r w:rsidR="00CB2C38" w:rsidRPr="00E940CF">
        <w:rPr>
          <w:rFonts w:ascii="Aptos" w:hAnsi="Aptos" w:cs="Times New Roman"/>
          <w:color w:val="1F4E79" w:themeColor="accent5" w:themeShade="80"/>
          <w:sz w:val="24"/>
          <w:szCs w:val="24"/>
        </w:rPr>
        <w:t xml:space="preserve"> </w:t>
      </w:r>
      <w:r w:rsidR="00D3438A" w:rsidRPr="00E940CF">
        <w:rPr>
          <w:rFonts w:ascii="Aptos" w:hAnsi="Aptos" w:cs="Times New Roman"/>
          <w:color w:val="1F4E79" w:themeColor="accent5" w:themeShade="80"/>
          <w:sz w:val="24"/>
          <w:szCs w:val="24"/>
        </w:rPr>
        <w:t>is</w:t>
      </w:r>
      <w:r w:rsidR="00CB2C38" w:rsidRPr="00E940CF">
        <w:rPr>
          <w:rFonts w:ascii="Aptos" w:hAnsi="Aptos" w:cs="Times New Roman"/>
          <w:color w:val="1F4E79" w:themeColor="accent5" w:themeShade="80"/>
          <w:sz w:val="24"/>
          <w:szCs w:val="24"/>
        </w:rPr>
        <w:t xml:space="preserve"> to extend treatment hours into the night (which is suboptimal for patients and staff)</w:t>
      </w:r>
      <w:r w:rsidR="00D3438A" w:rsidRPr="00E940CF">
        <w:rPr>
          <w:rFonts w:ascii="Aptos" w:hAnsi="Aptos" w:cs="Times New Roman"/>
          <w:color w:val="1F4E79" w:themeColor="accent5" w:themeShade="80"/>
          <w:sz w:val="24"/>
          <w:szCs w:val="24"/>
        </w:rPr>
        <w:t xml:space="preserve">, as discussed further in response to Question </w:t>
      </w:r>
      <w:r w:rsidR="008057F5" w:rsidRPr="00E940CF">
        <w:rPr>
          <w:rFonts w:ascii="Aptos" w:hAnsi="Aptos" w:cs="Times New Roman"/>
          <w:color w:val="1F4E79" w:themeColor="accent5" w:themeShade="80"/>
          <w:sz w:val="24"/>
          <w:szCs w:val="24"/>
        </w:rPr>
        <w:t>4</w:t>
      </w:r>
      <w:r w:rsidR="00D3438A" w:rsidRPr="00E940CF">
        <w:rPr>
          <w:rFonts w:ascii="Aptos" w:hAnsi="Aptos" w:cs="Times New Roman"/>
          <w:color w:val="1F4E79" w:themeColor="accent5" w:themeShade="80"/>
          <w:sz w:val="24"/>
          <w:szCs w:val="24"/>
        </w:rPr>
        <w:t xml:space="preserve"> below</w:t>
      </w:r>
      <w:r w:rsidR="00CB2C38" w:rsidRPr="00E940CF">
        <w:rPr>
          <w:rFonts w:ascii="Aptos" w:hAnsi="Aptos" w:cs="Times New Roman"/>
          <w:color w:val="1F4E79" w:themeColor="accent5" w:themeShade="80"/>
          <w:sz w:val="24"/>
          <w:szCs w:val="24"/>
        </w:rPr>
        <w:t>.</w:t>
      </w:r>
    </w:p>
    <w:p w14:paraId="4D92CB01" w14:textId="579FB871" w:rsidR="00CA0A5B" w:rsidRPr="00E940CF" w:rsidRDefault="00CA0A5B" w:rsidP="007D766E">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The following Table shows fiscal year radiation oncology treatment volumes, which also indicates year-over-year increases in volume and demand between Fiscal Years 2023 through 2025</w:t>
      </w:r>
      <w:r w:rsidR="00BB1847" w:rsidRPr="00E940CF">
        <w:rPr>
          <w:rFonts w:ascii="Aptos" w:hAnsi="Aptos" w:cs="Times New Roman"/>
          <w:color w:val="1F4E79" w:themeColor="accent5" w:themeShade="80"/>
          <w:sz w:val="24"/>
          <w:szCs w:val="24"/>
        </w:rPr>
        <w:t xml:space="preserve">, with additional increases projected </w:t>
      </w:r>
      <w:r w:rsidR="001E2482" w:rsidRPr="00E940CF">
        <w:rPr>
          <w:rFonts w:ascii="Aptos" w:hAnsi="Aptos" w:cs="Times New Roman"/>
          <w:color w:val="1F4E79" w:themeColor="accent5" w:themeShade="80"/>
          <w:sz w:val="24"/>
          <w:szCs w:val="24"/>
        </w:rPr>
        <w:t>by FY30</w:t>
      </w:r>
      <w:r w:rsidRPr="00E940CF">
        <w:rPr>
          <w:rFonts w:ascii="Aptos" w:hAnsi="Aptos" w:cs="Times New Roman"/>
          <w:color w:val="1F4E79" w:themeColor="accent5" w:themeShade="80"/>
          <w:sz w:val="24"/>
          <w:szCs w:val="24"/>
        </w:rPr>
        <w:t>.</w:t>
      </w:r>
    </w:p>
    <w:tbl>
      <w:tblPr>
        <w:tblW w:w="5440" w:type="dxa"/>
        <w:tblInd w:w="355" w:type="dxa"/>
        <w:tblLook w:val="04A0" w:firstRow="1" w:lastRow="0" w:firstColumn="1" w:lastColumn="0" w:noHBand="0" w:noVBand="1"/>
        <w:tblCaption w:val="Fiscal year radiation oncology treatment volumes"/>
      </w:tblPr>
      <w:tblGrid>
        <w:gridCol w:w="2960"/>
        <w:gridCol w:w="2480"/>
      </w:tblGrid>
      <w:tr w:rsidR="00CA0A5B" w:rsidRPr="00E940CF" w14:paraId="3DDFF86C" w14:textId="77777777" w:rsidTr="00165945">
        <w:trPr>
          <w:cantSplit/>
          <w:trHeight w:val="840"/>
          <w:tblHeader/>
        </w:trPr>
        <w:tc>
          <w:tcPr>
            <w:tcW w:w="296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4EB5CB9" w14:textId="77777777" w:rsidR="00CA0A5B" w:rsidRPr="00E940CF" w:rsidRDefault="00CA0A5B" w:rsidP="00E67CD8">
            <w:pPr>
              <w:spacing w:after="0" w:line="240" w:lineRule="auto"/>
              <w:jc w:val="center"/>
              <w:rPr>
                <w:rFonts w:ascii="Aptos" w:eastAsia="Times New Roman" w:hAnsi="Aptos" w:cs="Times New Roman"/>
                <w:b/>
                <w:bCs/>
                <w:color w:val="1F4E79"/>
                <w:sz w:val="24"/>
                <w:szCs w:val="24"/>
              </w:rPr>
            </w:pPr>
            <w:r w:rsidRPr="00E940CF">
              <w:rPr>
                <w:rFonts w:ascii="Aptos" w:eastAsia="Times New Roman" w:hAnsi="Aptos" w:cs="Times New Roman"/>
                <w:b/>
                <w:bCs/>
                <w:color w:val="1F4E79"/>
                <w:sz w:val="24"/>
                <w:szCs w:val="24"/>
              </w:rPr>
              <w:t>Applicant Fiscal Year</w:t>
            </w:r>
          </w:p>
        </w:tc>
        <w:tc>
          <w:tcPr>
            <w:tcW w:w="2480" w:type="dxa"/>
            <w:tcBorders>
              <w:top w:val="single" w:sz="4" w:space="0" w:color="auto"/>
              <w:left w:val="nil"/>
              <w:bottom w:val="single" w:sz="4" w:space="0" w:color="auto"/>
              <w:right w:val="single" w:sz="4" w:space="0" w:color="auto"/>
            </w:tcBorders>
            <w:shd w:val="clear" w:color="000000" w:fill="D9E1F2"/>
            <w:vAlign w:val="center"/>
            <w:hideMark/>
          </w:tcPr>
          <w:p w14:paraId="4450FFA5" w14:textId="59A5F46D" w:rsidR="00CA0A5B" w:rsidRPr="00E940CF" w:rsidRDefault="00CA0A5B" w:rsidP="00E67CD8">
            <w:pPr>
              <w:spacing w:after="0" w:line="240" w:lineRule="auto"/>
              <w:jc w:val="center"/>
              <w:rPr>
                <w:rFonts w:ascii="Aptos" w:eastAsia="Times New Roman" w:hAnsi="Aptos" w:cs="Times New Roman"/>
                <w:b/>
                <w:bCs/>
                <w:color w:val="1F4E79"/>
                <w:sz w:val="24"/>
                <w:szCs w:val="24"/>
              </w:rPr>
            </w:pPr>
            <w:r w:rsidRPr="00E940CF">
              <w:rPr>
                <w:rFonts w:ascii="Aptos" w:eastAsia="Times New Roman" w:hAnsi="Aptos" w:cs="Times New Roman"/>
                <w:b/>
                <w:bCs/>
                <w:color w:val="1F4E79"/>
                <w:sz w:val="24"/>
                <w:szCs w:val="24"/>
              </w:rPr>
              <w:t>Radiation Oncology Treatment Volume</w:t>
            </w:r>
          </w:p>
        </w:tc>
      </w:tr>
      <w:tr w:rsidR="00CA0A5B" w:rsidRPr="00E940CF" w14:paraId="142401DC" w14:textId="77777777" w:rsidTr="00165945">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544A1888" w14:textId="77777777" w:rsidR="00CA0A5B" w:rsidRPr="00E940CF" w:rsidRDefault="00CA0A5B" w:rsidP="00E67CD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FY23</w:t>
            </w:r>
          </w:p>
        </w:tc>
        <w:tc>
          <w:tcPr>
            <w:tcW w:w="2480" w:type="dxa"/>
            <w:tcBorders>
              <w:top w:val="nil"/>
              <w:left w:val="nil"/>
              <w:bottom w:val="single" w:sz="4" w:space="0" w:color="auto"/>
              <w:right w:val="single" w:sz="4" w:space="0" w:color="auto"/>
            </w:tcBorders>
            <w:noWrap/>
            <w:vAlign w:val="bottom"/>
            <w:hideMark/>
          </w:tcPr>
          <w:p w14:paraId="399BF651" w14:textId="4765EE1D" w:rsidR="00CA0A5B" w:rsidRPr="00E940CF" w:rsidRDefault="00CB6773"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14,175</w:t>
            </w:r>
          </w:p>
        </w:tc>
      </w:tr>
      <w:tr w:rsidR="00CA0A5B" w:rsidRPr="00E940CF" w14:paraId="4BBEBFBB" w14:textId="77777777" w:rsidTr="00165945">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44680C25" w14:textId="77777777" w:rsidR="00CA0A5B" w:rsidRPr="00E940CF" w:rsidRDefault="00CA0A5B" w:rsidP="00E67CD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FY24</w:t>
            </w:r>
          </w:p>
        </w:tc>
        <w:tc>
          <w:tcPr>
            <w:tcW w:w="2480" w:type="dxa"/>
            <w:tcBorders>
              <w:top w:val="nil"/>
              <w:left w:val="nil"/>
              <w:bottom w:val="single" w:sz="4" w:space="0" w:color="auto"/>
              <w:right w:val="single" w:sz="4" w:space="0" w:color="auto"/>
            </w:tcBorders>
            <w:noWrap/>
            <w:vAlign w:val="bottom"/>
            <w:hideMark/>
          </w:tcPr>
          <w:p w14:paraId="66A6BC42" w14:textId="6C14B2C1" w:rsidR="00CA0A5B" w:rsidRPr="00E940CF" w:rsidRDefault="00CA0A5B"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13,761</w:t>
            </w:r>
          </w:p>
        </w:tc>
      </w:tr>
      <w:tr w:rsidR="00CA0A5B" w:rsidRPr="00E940CF" w14:paraId="43201DEE" w14:textId="77777777" w:rsidTr="00165945">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6FCE446B" w14:textId="77777777" w:rsidR="00CA0A5B" w:rsidRPr="00E940CF" w:rsidRDefault="00CA0A5B" w:rsidP="00E67CD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FY25</w:t>
            </w:r>
          </w:p>
        </w:tc>
        <w:tc>
          <w:tcPr>
            <w:tcW w:w="2480" w:type="dxa"/>
            <w:tcBorders>
              <w:top w:val="nil"/>
              <w:left w:val="nil"/>
              <w:bottom w:val="single" w:sz="4" w:space="0" w:color="auto"/>
              <w:right w:val="single" w:sz="4" w:space="0" w:color="auto"/>
            </w:tcBorders>
            <w:noWrap/>
            <w:vAlign w:val="bottom"/>
            <w:hideMark/>
          </w:tcPr>
          <w:p w14:paraId="5723B4C1" w14:textId="134B0340" w:rsidR="00CA0A5B" w:rsidRPr="00E940CF" w:rsidRDefault="00CA0A5B"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16,194</w:t>
            </w:r>
          </w:p>
        </w:tc>
      </w:tr>
      <w:tr w:rsidR="004C2534" w:rsidRPr="00E940CF" w14:paraId="28937977" w14:textId="77777777" w:rsidTr="00165945">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2EBE3A6B" w14:textId="2B493C6C" w:rsidR="004C2534" w:rsidRPr="00E940CF" w:rsidRDefault="004C2534" w:rsidP="004C2534">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FY26*</w:t>
            </w:r>
          </w:p>
        </w:tc>
        <w:tc>
          <w:tcPr>
            <w:tcW w:w="2480" w:type="dxa"/>
            <w:tcBorders>
              <w:top w:val="single" w:sz="4" w:space="0" w:color="auto"/>
              <w:left w:val="nil"/>
              <w:bottom w:val="single" w:sz="4" w:space="0" w:color="auto"/>
              <w:right w:val="single" w:sz="4" w:space="0" w:color="auto"/>
            </w:tcBorders>
            <w:noWrap/>
            <w:vAlign w:val="bottom"/>
          </w:tcPr>
          <w:p w14:paraId="52D3F60F" w14:textId="200D8227" w:rsidR="004C2534" w:rsidRPr="00E940CF" w:rsidRDefault="001E2482" w:rsidP="004C2534">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15,500</w:t>
            </w:r>
          </w:p>
        </w:tc>
      </w:tr>
      <w:tr w:rsidR="004C2534" w:rsidRPr="00E940CF" w14:paraId="00CAE33B" w14:textId="77777777" w:rsidTr="00165945">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7C2DF198" w14:textId="027BF241" w:rsidR="004C2534" w:rsidRPr="00E940CF" w:rsidRDefault="004C2534" w:rsidP="004C2534">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FY27*</w:t>
            </w:r>
          </w:p>
        </w:tc>
        <w:tc>
          <w:tcPr>
            <w:tcW w:w="2480" w:type="dxa"/>
            <w:tcBorders>
              <w:top w:val="single" w:sz="4" w:space="0" w:color="auto"/>
              <w:left w:val="nil"/>
              <w:bottom w:val="single" w:sz="4" w:space="0" w:color="auto"/>
              <w:right w:val="single" w:sz="4" w:space="0" w:color="auto"/>
            </w:tcBorders>
            <w:noWrap/>
            <w:vAlign w:val="bottom"/>
          </w:tcPr>
          <w:p w14:paraId="099A5566" w14:textId="58227E97" w:rsidR="004C2534" w:rsidRPr="00E940CF" w:rsidRDefault="00C8589D" w:rsidP="004C2534">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1</w:t>
            </w:r>
            <w:r w:rsidR="001E2482" w:rsidRPr="00E940CF">
              <w:rPr>
                <w:rFonts w:ascii="Aptos" w:eastAsia="Times New Roman" w:hAnsi="Aptos" w:cs="Times New Roman"/>
                <w:color w:val="1F4E78"/>
                <w:sz w:val="24"/>
                <w:szCs w:val="24"/>
              </w:rPr>
              <w:t>5,888</w:t>
            </w:r>
          </w:p>
        </w:tc>
      </w:tr>
      <w:tr w:rsidR="004C2534" w:rsidRPr="00E940CF" w14:paraId="202BC4B7" w14:textId="77777777" w:rsidTr="00165945">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486E3EA8" w14:textId="4A265322" w:rsidR="004C2534" w:rsidRPr="00E940CF" w:rsidRDefault="004C2534" w:rsidP="004C2534">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FY28*</w:t>
            </w:r>
          </w:p>
        </w:tc>
        <w:tc>
          <w:tcPr>
            <w:tcW w:w="2480" w:type="dxa"/>
            <w:tcBorders>
              <w:top w:val="single" w:sz="4" w:space="0" w:color="auto"/>
              <w:left w:val="nil"/>
              <w:bottom w:val="single" w:sz="4" w:space="0" w:color="auto"/>
              <w:right w:val="single" w:sz="4" w:space="0" w:color="auto"/>
            </w:tcBorders>
            <w:noWrap/>
            <w:vAlign w:val="bottom"/>
          </w:tcPr>
          <w:p w14:paraId="486685E7" w14:textId="62DC5507" w:rsidR="004C2534" w:rsidRPr="00E940CF" w:rsidRDefault="001E2482" w:rsidP="004C2534">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16,276</w:t>
            </w:r>
          </w:p>
        </w:tc>
      </w:tr>
      <w:tr w:rsidR="004C2534" w:rsidRPr="00E940CF" w14:paraId="1E2D097A" w14:textId="77777777" w:rsidTr="00165945">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3D9D2BA9" w14:textId="40D13D5A" w:rsidR="004C2534" w:rsidRPr="00E940CF" w:rsidRDefault="004C2534" w:rsidP="004C2534">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FY29*</w:t>
            </w:r>
          </w:p>
        </w:tc>
        <w:tc>
          <w:tcPr>
            <w:tcW w:w="2480" w:type="dxa"/>
            <w:tcBorders>
              <w:top w:val="single" w:sz="4" w:space="0" w:color="auto"/>
              <w:left w:val="nil"/>
              <w:bottom w:val="single" w:sz="4" w:space="0" w:color="auto"/>
              <w:right w:val="single" w:sz="4" w:space="0" w:color="auto"/>
            </w:tcBorders>
            <w:noWrap/>
            <w:vAlign w:val="bottom"/>
          </w:tcPr>
          <w:p w14:paraId="51A0BAD9" w14:textId="406A17C0" w:rsidR="004C2534" w:rsidRPr="00E940CF" w:rsidRDefault="001E2482" w:rsidP="004C2534">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16,664</w:t>
            </w:r>
          </w:p>
        </w:tc>
      </w:tr>
      <w:tr w:rsidR="004C2534" w:rsidRPr="00E940CF" w14:paraId="212C74EF" w14:textId="77777777" w:rsidTr="00165945">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2AD59646" w14:textId="418EC991" w:rsidR="004C2534" w:rsidRPr="00E940CF" w:rsidRDefault="004C2534" w:rsidP="004C2534">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FY30*</w:t>
            </w:r>
          </w:p>
        </w:tc>
        <w:tc>
          <w:tcPr>
            <w:tcW w:w="2480" w:type="dxa"/>
            <w:tcBorders>
              <w:top w:val="single" w:sz="4" w:space="0" w:color="auto"/>
              <w:left w:val="nil"/>
              <w:bottom w:val="single" w:sz="4" w:space="0" w:color="auto"/>
              <w:right w:val="single" w:sz="4" w:space="0" w:color="auto"/>
            </w:tcBorders>
            <w:noWrap/>
            <w:vAlign w:val="bottom"/>
          </w:tcPr>
          <w:p w14:paraId="5EF2BC3E" w14:textId="237847EF" w:rsidR="004C2534" w:rsidRPr="00E940CF" w:rsidRDefault="001E2482" w:rsidP="004C2534">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17,050</w:t>
            </w:r>
          </w:p>
        </w:tc>
      </w:tr>
    </w:tbl>
    <w:p w14:paraId="2A1F2B78" w14:textId="1EBDB098" w:rsidR="00917089" w:rsidRPr="00E940CF" w:rsidRDefault="004C2534" w:rsidP="004C2534">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*Projected</w:t>
      </w:r>
    </w:p>
    <w:p w14:paraId="2B37B8C0" w14:textId="792D71A4" w:rsidR="00516009" w:rsidRPr="00E940CF" w:rsidRDefault="00917089" w:rsidP="007D766E">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O</w:t>
      </w:r>
      <w:r w:rsidR="00516009" w:rsidRPr="00E940CF">
        <w:rPr>
          <w:rFonts w:ascii="Aptos" w:hAnsi="Aptos" w:cs="Times New Roman"/>
          <w:color w:val="1F4E79" w:themeColor="accent5" w:themeShade="80"/>
          <w:sz w:val="24"/>
          <w:szCs w:val="24"/>
        </w:rPr>
        <w:t xml:space="preserve">f note, </w:t>
      </w:r>
      <w:r w:rsidRPr="00E940CF">
        <w:rPr>
          <w:rFonts w:ascii="Aptos" w:hAnsi="Aptos" w:cs="Times New Roman"/>
          <w:color w:val="1F4E79" w:themeColor="accent5" w:themeShade="80"/>
          <w:sz w:val="24"/>
          <w:szCs w:val="24"/>
        </w:rPr>
        <w:t xml:space="preserve">the </w:t>
      </w:r>
      <w:r w:rsidR="00516009" w:rsidRPr="00E940CF">
        <w:rPr>
          <w:rFonts w:ascii="Aptos" w:hAnsi="Aptos" w:cs="Times New Roman"/>
          <w:color w:val="1F4E79" w:themeColor="accent5" w:themeShade="80"/>
          <w:sz w:val="24"/>
          <w:szCs w:val="24"/>
        </w:rPr>
        <w:t xml:space="preserve">Table above shows annual radiation oncology treatment volume </w:t>
      </w:r>
      <w:r w:rsidR="00CB6773" w:rsidRPr="00E940CF">
        <w:rPr>
          <w:rFonts w:ascii="Aptos" w:hAnsi="Aptos" w:cs="Times New Roman"/>
          <w:color w:val="1F4E79" w:themeColor="accent5" w:themeShade="80"/>
          <w:sz w:val="24"/>
          <w:szCs w:val="24"/>
        </w:rPr>
        <w:t>decreasing slightly</w:t>
      </w:r>
      <w:r w:rsidR="00516009" w:rsidRPr="00E940CF">
        <w:rPr>
          <w:rFonts w:ascii="Aptos" w:hAnsi="Aptos" w:cs="Times New Roman"/>
          <w:color w:val="1F4E79" w:themeColor="accent5" w:themeShade="80"/>
          <w:sz w:val="24"/>
          <w:szCs w:val="24"/>
        </w:rPr>
        <w:t xml:space="preserve"> </w:t>
      </w:r>
      <w:r w:rsidR="000803E8" w:rsidRPr="00E940CF">
        <w:rPr>
          <w:rFonts w:ascii="Aptos" w:hAnsi="Aptos" w:cs="Times New Roman"/>
          <w:color w:val="1F4E79" w:themeColor="accent5" w:themeShade="80"/>
          <w:sz w:val="24"/>
          <w:szCs w:val="24"/>
        </w:rPr>
        <w:t xml:space="preserve">by </w:t>
      </w:r>
      <w:r w:rsidR="00340DDF" w:rsidRPr="00E940CF">
        <w:rPr>
          <w:rFonts w:ascii="Aptos" w:hAnsi="Aptos" w:cs="Times New Roman"/>
          <w:color w:val="1F4E79" w:themeColor="accent5" w:themeShade="80"/>
          <w:sz w:val="24"/>
          <w:szCs w:val="24"/>
        </w:rPr>
        <w:t>3</w:t>
      </w:r>
      <w:r w:rsidR="003D6A73">
        <w:rPr>
          <w:rFonts w:ascii="Aptos" w:hAnsi="Aptos" w:cs="Times New Roman"/>
          <w:color w:val="1F4E79" w:themeColor="accent5" w:themeShade="80"/>
          <w:sz w:val="24"/>
          <w:szCs w:val="24"/>
        </w:rPr>
        <w:t xml:space="preserve"> </w:t>
      </w:r>
      <w:r w:rsidR="003D6A73">
        <w:rPr>
          <w:rFonts w:ascii="Aptos" w:eastAsia="Times New Roman" w:hAnsi="Aptos" w:cs="Times New Roman"/>
          <w:color w:val="1F4E79" w:themeColor="accent5" w:themeShade="80"/>
          <w:sz w:val="24"/>
          <w:szCs w:val="24"/>
        </w:rPr>
        <w:t>percent</w:t>
      </w:r>
      <w:r w:rsidR="00340DDF" w:rsidRPr="00E940CF">
        <w:rPr>
          <w:rFonts w:ascii="Aptos" w:hAnsi="Aptos" w:cs="Times New Roman"/>
          <w:color w:val="1F4E79" w:themeColor="accent5" w:themeShade="80"/>
          <w:sz w:val="24"/>
          <w:szCs w:val="24"/>
        </w:rPr>
        <w:t xml:space="preserve"> </w:t>
      </w:r>
      <w:r w:rsidR="00516009" w:rsidRPr="00E940CF">
        <w:rPr>
          <w:rFonts w:ascii="Aptos" w:hAnsi="Aptos" w:cs="Times New Roman"/>
          <w:color w:val="1F4E79" w:themeColor="accent5" w:themeShade="80"/>
          <w:sz w:val="24"/>
          <w:szCs w:val="24"/>
        </w:rPr>
        <w:t>from FY23-FY24</w:t>
      </w:r>
      <w:r w:rsidR="00340DDF" w:rsidRPr="00E940CF">
        <w:rPr>
          <w:rFonts w:ascii="Aptos" w:hAnsi="Aptos" w:cs="Times New Roman"/>
          <w:color w:val="1F4E79" w:themeColor="accent5" w:themeShade="80"/>
          <w:sz w:val="24"/>
          <w:szCs w:val="24"/>
        </w:rPr>
        <w:t xml:space="preserve"> (likely due in part to a surge in volume in FY23 as the COVID-19 public health emergency ended</w:t>
      </w:r>
      <w:proofErr w:type="gramStart"/>
      <w:r w:rsidR="00340DDF" w:rsidRPr="00E940CF">
        <w:rPr>
          <w:rFonts w:ascii="Aptos" w:hAnsi="Aptos" w:cs="Times New Roman"/>
          <w:color w:val="1F4E79" w:themeColor="accent5" w:themeShade="80"/>
          <w:sz w:val="24"/>
          <w:szCs w:val="24"/>
        </w:rPr>
        <w:t>)</w:t>
      </w:r>
      <w:r w:rsidR="00516009" w:rsidRPr="00E940CF">
        <w:rPr>
          <w:rFonts w:ascii="Aptos" w:hAnsi="Aptos" w:cs="Times New Roman"/>
          <w:color w:val="1F4E79" w:themeColor="accent5" w:themeShade="80"/>
          <w:sz w:val="24"/>
          <w:szCs w:val="24"/>
        </w:rPr>
        <w:t>, and</w:t>
      </w:r>
      <w:proofErr w:type="gramEnd"/>
      <w:r w:rsidR="00516009" w:rsidRPr="00E940CF">
        <w:rPr>
          <w:rFonts w:ascii="Aptos" w:hAnsi="Aptos" w:cs="Times New Roman"/>
          <w:color w:val="1F4E79" w:themeColor="accent5" w:themeShade="80"/>
          <w:sz w:val="24"/>
          <w:szCs w:val="24"/>
        </w:rPr>
        <w:t xml:space="preserve"> </w:t>
      </w:r>
      <w:r w:rsidRPr="00E940CF">
        <w:rPr>
          <w:rFonts w:ascii="Aptos" w:hAnsi="Aptos" w:cs="Times New Roman"/>
          <w:color w:val="1F4E79" w:themeColor="accent5" w:themeShade="80"/>
          <w:sz w:val="24"/>
          <w:szCs w:val="24"/>
        </w:rPr>
        <w:t>increasing 17.68</w:t>
      </w:r>
      <w:r w:rsidR="003D6A73">
        <w:rPr>
          <w:rFonts w:ascii="Aptos" w:hAnsi="Aptos" w:cs="Times New Roman"/>
          <w:color w:val="1F4E79" w:themeColor="accent5" w:themeShade="80"/>
          <w:sz w:val="24"/>
          <w:szCs w:val="24"/>
        </w:rPr>
        <w:t xml:space="preserve"> </w:t>
      </w:r>
      <w:r w:rsidR="003D6A73">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from FY24-FY25.</w:t>
      </w:r>
      <w:r w:rsidR="00E54126" w:rsidRPr="00E940CF">
        <w:rPr>
          <w:rFonts w:ascii="Aptos" w:hAnsi="Aptos" w:cs="Times New Roman"/>
          <w:color w:val="1F4E79" w:themeColor="accent5" w:themeShade="80"/>
          <w:sz w:val="24"/>
          <w:szCs w:val="24"/>
        </w:rPr>
        <w:t xml:space="preserve">  It also shows increased demand for radiation oncology services, which aligns with the increased patient volume numbers, despite the clinical trend towards hypofractionation discussed in more detail in response to Question 3 below.</w:t>
      </w:r>
      <w:r w:rsidR="001E2482" w:rsidRPr="00E940CF">
        <w:rPr>
          <w:rFonts w:ascii="Aptos" w:hAnsi="Aptos" w:cs="Times New Roman"/>
          <w:color w:val="1F4E79" w:themeColor="accent5" w:themeShade="80"/>
          <w:sz w:val="24"/>
          <w:szCs w:val="24"/>
        </w:rPr>
        <w:t xml:space="preserve">  This reflects a conservative projection by the Applicant due to hypofractionation and based on historical data going back ten fiscal years.  Notably, a linear projection based solely on the volume increases between FY23-FY25 would project radiation oncology volume reaching 21,000 across both sites by FY30.</w:t>
      </w:r>
    </w:p>
    <w:p w14:paraId="131ED8C6" w14:textId="4DB20B26" w:rsidR="00FD2EDA" w:rsidRPr="002246D5" w:rsidRDefault="00FD2EDA" w:rsidP="00FD2EDA">
      <w:pPr>
        <w:keepNext/>
        <w:ind w:left="360"/>
        <w:rPr>
          <w:rFonts w:ascii="Aptos" w:hAnsi="Aptos" w:cs="Times New Roman"/>
          <w:color w:val="1F4E79" w:themeColor="accent5" w:themeShade="80"/>
          <w:sz w:val="24"/>
          <w:szCs w:val="24"/>
        </w:rPr>
      </w:pPr>
      <w:r w:rsidRPr="002246D5">
        <w:rPr>
          <w:rFonts w:ascii="Aptos" w:hAnsi="Aptos" w:cs="Times New Roman"/>
          <w:i/>
          <w:iCs/>
          <w:color w:val="1F4E79" w:themeColor="accent5" w:themeShade="80"/>
          <w:sz w:val="24"/>
          <w:szCs w:val="24"/>
        </w:rPr>
        <w:lastRenderedPageBreak/>
        <w:t>Data Appendix Figure 2b – Updated</w:t>
      </w:r>
      <w:r w:rsidR="00BA6DE8" w:rsidRPr="002246D5">
        <w:rPr>
          <w:rFonts w:ascii="Aptos" w:hAnsi="Aptos" w:cs="Times New Roman"/>
          <w:i/>
          <w:iCs/>
          <w:color w:val="1F4E79" w:themeColor="accent5" w:themeShade="80"/>
          <w:sz w:val="24"/>
          <w:szCs w:val="24"/>
        </w:rPr>
        <w:t xml:space="preserve"> Table</w:t>
      </w:r>
    </w:p>
    <w:tbl>
      <w:tblPr>
        <w:tblStyle w:val="TableGrid"/>
        <w:tblW w:w="0" w:type="auto"/>
        <w:tblInd w:w="355" w:type="dxa"/>
        <w:tblLook w:val="04A0" w:firstRow="1" w:lastRow="0" w:firstColumn="1" w:lastColumn="0" w:noHBand="0" w:noVBand="1"/>
        <w:tblCaption w:val="Data Appendix Figure 2b – Updated Table"/>
      </w:tblPr>
      <w:tblGrid>
        <w:gridCol w:w="1400"/>
        <w:gridCol w:w="1360"/>
        <w:gridCol w:w="3625"/>
      </w:tblGrid>
      <w:tr w:rsidR="00BA6DE8" w:rsidRPr="00E940CF" w14:paraId="0BA8363A" w14:textId="77777777" w:rsidTr="0054086A">
        <w:trPr>
          <w:cantSplit/>
          <w:trHeight w:val="300"/>
          <w:tblHeader/>
        </w:trPr>
        <w:tc>
          <w:tcPr>
            <w:tcW w:w="1400" w:type="dxa"/>
            <w:noWrap/>
            <w:hideMark/>
          </w:tcPr>
          <w:p w14:paraId="4A8F79D1"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Fiscal Year</w:t>
            </w:r>
          </w:p>
        </w:tc>
        <w:tc>
          <w:tcPr>
            <w:tcW w:w="1360" w:type="dxa"/>
            <w:noWrap/>
            <w:hideMark/>
          </w:tcPr>
          <w:p w14:paraId="7D4114D9"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Month</w:t>
            </w:r>
          </w:p>
        </w:tc>
        <w:tc>
          <w:tcPr>
            <w:tcW w:w="3625" w:type="dxa"/>
            <w:noWrap/>
            <w:hideMark/>
          </w:tcPr>
          <w:p w14:paraId="44C9C570" w14:textId="7B94FF1A"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Southcoast Health Radiation Oncology Monthly </w:t>
            </w:r>
            <w:r w:rsidRPr="0054086A">
              <w:rPr>
                <w:rFonts w:ascii="Aptos" w:hAnsi="Aptos" w:cs="Times New Roman"/>
                <w:i/>
                <w:iCs/>
                <w:color w:val="1F4E79" w:themeColor="accent5" w:themeShade="80"/>
                <w:sz w:val="24"/>
                <w:szCs w:val="24"/>
              </w:rPr>
              <w:t>New</w:t>
            </w:r>
            <w:r w:rsidRPr="00E940CF">
              <w:rPr>
                <w:rFonts w:ascii="Aptos" w:hAnsi="Aptos" w:cs="Times New Roman"/>
                <w:color w:val="1F4E79" w:themeColor="accent5" w:themeShade="80"/>
                <w:sz w:val="24"/>
                <w:szCs w:val="24"/>
              </w:rPr>
              <w:t xml:space="preserve"> Treatment Volume</w:t>
            </w:r>
          </w:p>
        </w:tc>
      </w:tr>
      <w:tr w:rsidR="00BA6DE8" w:rsidRPr="00E940CF" w14:paraId="1C5FFA33" w14:textId="77777777" w:rsidTr="0054086A">
        <w:trPr>
          <w:cantSplit/>
          <w:trHeight w:val="300"/>
        </w:trPr>
        <w:tc>
          <w:tcPr>
            <w:tcW w:w="1400" w:type="dxa"/>
            <w:noWrap/>
            <w:hideMark/>
          </w:tcPr>
          <w:p w14:paraId="4F350F0F"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418F90EF"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Oct-22</w:t>
            </w:r>
          </w:p>
        </w:tc>
        <w:tc>
          <w:tcPr>
            <w:tcW w:w="3625" w:type="dxa"/>
            <w:noWrap/>
            <w:hideMark/>
          </w:tcPr>
          <w:p w14:paraId="3BB7FC89" w14:textId="06540D70"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56</w:t>
            </w:r>
          </w:p>
        </w:tc>
      </w:tr>
      <w:tr w:rsidR="00BA6DE8" w:rsidRPr="00E940CF" w14:paraId="5E4C650C" w14:textId="77777777" w:rsidTr="0054086A">
        <w:trPr>
          <w:cantSplit/>
          <w:trHeight w:val="300"/>
        </w:trPr>
        <w:tc>
          <w:tcPr>
            <w:tcW w:w="1400" w:type="dxa"/>
            <w:noWrap/>
            <w:hideMark/>
          </w:tcPr>
          <w:p w14:paraId="290E359E"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212BC5FE"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Nov-22</w:t>
            </w:r>
          </w:p>
        </w:tc>
        <w:tc>
          <w:tcPr>
            <w:tcW w:w="3625" w:type="dxa"/>
            <w:noWrap/>
            <w:hideMark/>
          </w:tcPr>
          <w:p w14:paraId="275761B7" w14:textId="7C2DB22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61</w:t>
            </w:r>
          </w:p>
        </w:tc>
      </w:tr>
      <w:tr w:rsidR="00BA6DE8" w:rsidRPr="00E940CF" w14:paraId="330DA192" w14:textId="77777777" w:rsidTr="0054086A">
        <w:trPr>
          <w:cantSplit/>
          <w:trHeight w:val="300"/>
        </w:trPr>
        <w:tc>
          <w:tcPr>
            <w:tcW w:w="1400" w:type="dxa"/>
            <w:noWrap/>
            <w:hideMark/>
          </w:tcPr>
          <w:p w14:paraId="33CD66B6"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69EA166D"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Dec-22</w:t>
            </w:r>
          </w:p>
        </w:tc>
        <w:tc>
          <w:tcPr>
            <w:tcW w:w="3625" w:type="dxa"/>
            <w:noWrap/>
            <w:hideMark/>
          </w:tcPr>
          <w:p w14:paraId="546B4A48" w14:textId="2142EBB9"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66</w:t>
            </w:r>
          </w:p>
        </w:tc>
      </w:tr>
      <w:tr w:rsidR="00BA6DE8" w:rsidRPr="00E940CF" w14:paraId="6DDDE4AB" w14:textId="77777777" w:rsidTr="0054086A">
        <w:trPr>
          <w:cantSplit/>
          <w:trHeight w:val="300"/>
        </w:trPr>
        <w:tc>
          <w:tcPr>
            <w:tcW w:w="1400" w:type="dxa"/>
            <w:noWrap/>
            <w:hideMark/>
          </w:tcPr>
          <w:p w14:paraId="2CFC29B8"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60D93CDA"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Jan-23</w:t>
            </w:r>
          </w:p>
        </w:tc>
        <w:tc>
          <w:tcPr>
            <w:tcW w:w="3625" w:type="dxa"/>
            <w:noWrap/>
            <w:hideMark/>
          </w:tcPr>
          <w:p w14:paraId="09005C34" w14:textId="6492CCA1"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55</w:t>
            </w:r>
          </w:p>
        </w:tc>
      </w:tr>
      <w:tr w:rsidR="00BA6DE8" w:rsidRPr="00E940CF" w14:paraId="4B5C3B0C" w14:textId="77777777" w:rsidTr="0054086A">
        <w:trPr>
          <w:cantSplit/>
          <w:trHeight w:val="300"/>
        </w:trPr>
        <w:tc>
          <w:tcPr>
            <w:tcW w:w="1400" w:type="dxa"/>
            <w:noWrap/>
            <w:hideMark/>
          </w:tcPr>
          <w:p w14:paraId="749A73A5"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64538723"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Feb-23</w:t>
            </w:r>
          </w:p>
        </w:tc>
        <w:tc>
          <w:tcPr>
            <w:tcW w:w="3625" w:type="dxa"/>
            <w:noWrap/>
            <w:hideMark/>
          </w:tcPr>
          <w:p w14:paraId="73742FD7" w14:textId="06BDDEBD"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56</w:t>
            </w:r>
          </w:p>
        </w:tc>
      </w:tr>
      <w:tr w:rsidR="00BA6DE8" w:rsidRPr="00E940CF" w14:paraId="2A9CA487" w14:textId="77777777" w:rsidTr="0054086A">
        <w:trPr>
          <w:cantSplit/>
          <w:trHeight w:val="300"/>
        </w:trPr>
        <w:tc>
          <w:tcPr>
            <w:tcW w:w="1400" w:type="dxa"/>
            <w:noWrap/>
            <w:hideMark/>
          </w:tcPr>
          <w:p w14:paraId="2C522396"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662BFE5E"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Mar-23</w:t>
            </w:r>
          </w:p>
        </w:tc>
        <w:tc>
          <w:tcPr>
            <w:tcW w:w="3625" w:type="dxa"/>
            <w:noWrap/>
            <w:hideMark/>
          </w:tcPr>
          <w:p w14:paraId="40CA43ED" w14:textId="50775E64"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78</w:t>
            </w:r>
          </w:p>
        </w:tc>
      </w:tr>
      <w:tr w:rsidR="00BA6DE8" w:rsidRPr="00E940CF" w14:paraId="617858D3" w14:textId="77777777" w:rsidTr="0054086A">
        <w:trPr>
          <w:cantSplit/>
          <w:trHeight w:val="300"/>
        </w:trPr>
        <w:tc>
          <w:tcPr>
            <w:tcW w:w="1400" w:type="dxa"/>
            <w:noWrap/>
            <w:hideMark/>
          </w:tcPr>
          <w:p w14:paraId="5660A92E"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55473741"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Apr-23</w:t>
            </w:r>
          </w:p>
        </w:tc>
        <w:tc>
          <w:tcPr>
            <w:tcW w:w="3625" w:type="dxa"/>
            <w:noWrap/>
            <w:hideMark/>
          </w:tcPr>
          <w:p w14:paraId="281FA7E2" w14:textId="5E1BA441"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66</w:t>
            </w:r>
          </w:p>
        </w:tc>
      </w:tr>
      <w:tr w:rsidR="00BA6DE8" w:rsidRPr="00E940CF" w14:paraId="133A79A4" w14:textId="77777777" w:rsidTr="0054086A">
        <w:trPr>
          <w:cantSplit/>
          <w:trHeight w:val="300"/>
        </w:trPr>
        <w:tc>
          <w:tcPr>
            <w:tcW w:w="1400" w:type="dxa"/>
            <w:noWrap/>
            <w:hideMark/>
          </w:tcPr>
          <w:p w14:paraId="60F47AAE"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1E1351DC"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May-23</w:t>
            </w:r>
          </w:p>
        </w:tc>
        <w:tc>
          <w:tcPr>
            <w:tcW w:w="3625" w:type="dxa"/>
            <w:noWrap/>
            <w:hideMark/>
          </w:tcPr>
          <w:p w14:paraId="663826EF" w14:textId="3E2A49A1"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63</w:t>
            </w:r>
          </w:p>
        </w:tc>
      </w:tr>
      <w:tr w:rsidR="00BA6DE8" w:rsidRPr="00E940CF" w14:paraId="0A08274A" w14:textId="77777777" w:rsidTr="0054086A">
        <w:trPr>
          <w:cantSplit/>
          <w:trHeight w:val="300"/>
        </w:trPr>
        <w:tc>
          <w:tcPr>
            <w:tcW w:w="1400" w:type="dxa"/>
            <w:noWrap/>
            <w:hideMark/>
          </w:tcPr>
          <w:p w14:paraId="455941C0"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0C3C2CEF"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Jun-23</w:t>
            </w:r>
          </w:p>
        </w:tc>
        <w:tc>
          <w:tcPr>
            <w:tcW w:w="3625" w:type="dxa"/>
            <w:noWrap/>
            <w:hideMark/>
          </w:tcPr>
          <w:p w14:paraId="7B94798E" w14:textId="1E912A03"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64</w:t>
            </w:r>
          </w:p>
        </w:tc>
      </w:tr>
      <w:tr w:rsidR="00BA6DE8" w:rsidRPr="00E940CF" w14:paraId="21778287" w14:textId="77777777" w:rsidTr="0054086A">
        <w:trPr>
          <w:cantSplit/>
          <w:trHeight w:val="300"/>
        </w:trPr>
        <w:tc>
          <w:tcPr>
            <w:tcW w:w="1400" w:type="dxa"/>
            <w:noWrap/>
            <w:hideMark/>
          </w:tcPr>
          <w:p w14:paraId="75D7E82B"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76F2B2DA"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Jul-23</w:t>
            </w:r>
          </w:p>
        </w:tc>
        <w:tc>
          <w:tcPr>
            <w:tcW w:w="3625" w:type="dxa"/>
            <w:noWrap/>
            <w:hideMark/>
          </w:tcPr>
          <w:p w14:paraId="57C45180" w14:textId="545C6EE3"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66</w:t>
            </w:r>
          </w:p>
        </w:tc>
      </w:tr>
      <w:tr w:rsidR="00BA6DE8" w:rsidRPr="00E940CF" w14:paraId="10053823" w14:textId="77777777" w:rsidTr="0054086A">
        <w:trPr>
          <w:cantSplit/>
          <w:trHeight w:val="300"/>
        </w:trPr>
        <w:tc>
          <w:tcPr>
            <w:tcW w:w="1400" w:type="dxa"/>
            <w:noWrap/>
            <w:hideMark/>
          </w:tcPr>
          <w:p w14:paraId="00D74585"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5D92B5F0"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Aug-23</w:t>
            </w:r>
          </w:p>
        </w:tc>
        <w:tc>
          <w:tcPr>
            <w:tcW w:w="3625" w:type="dxa"/>
            <w:noWrap/>
            <w:hideMark/>
          </w:tcPr>
          <w:p w14:paraId="605AA1FC" w14:textId="1D9AD4C3"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65</w:t>
            </w:r>
          </w:p>
        </w:tc>
      </w:tr>
      <w:tr w:rsidR="00BA6DE8" w:rsidRPr="00E940CF" w14:paraId="4F6AAC03" w14:textId="77777777" w:rsidTr="0054086A">
        <w:trPr>
          <w:cantSplit/>
          <w:trHeight w:val="300"/>
        </w:trPr>
        <w:tc>
          <w:tcPr>
            <w:tcW w:w="1400" w:type="dxa"/>
            <w:noWrap/>
            <w:hideMark/>
          </w:tcPr>
          <w:p w14:paraId="3347464C"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50609232"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Sep-23</w:t>
            </w:r>
          </w:p>
        </w:tc>
        <w:tc>
          <w:tcPr>
            <w:tcW w:w="3625" w:type="dxa"/>
            <w:noWrap/>
            <w:hideMark/>
          </w:tcPr>
          <w:p w14:paraId="23D57809" w14:textId="6E9D832D"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70</w:t>
            </w:r>
          </w:p>
        </w:tc>
      </w:tr>
      <w:tr w:rsidR="00BA6DE8" w:rsidRPr="00E940CF" w14:paraId="40FF426D" w14:textId="77777777" w:rsidTr="0054086A">
        <w:trPr>
          <w:cantSplit/>
          <w:trHeight w:val="300"/>
        </w:trPr>
        <w:tc>
          <w:tcPr>
            <w:tcW w:w="1400" w:type="dxa"/>
            <w:noWrap/>
            <w:hideMark/>
          </w:tcPr>
          <w:p w14:paraId="4A55D883"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5A60093B"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Oct-23</w:t>
            </w:r>
          </w:p>
        </w:tc>
        <w:tc>
          <w:tcPr>
            <w:tcW w:w="3625" w:type="dxa"/>
            <w:noWrap/>
            <w:hideMark/>
          </w:tcPr>
          <w:p w14:paraId="314F0F00" w14:textId="3EB7E38A"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66</w:t>
            </w:r>
          </w:p>
        </w:tc>
      </w:tr>
      <w:tr w:rsidR="00BA6DE8" w:rsidRPr="00E940CF" w14:paraId="7DB79AEF" w14:textId="77777777" w:rsidTr="0054086A">
        <w:trPr>
          <w:cantSplit/>
          <w:trHeight w:val="300"/>
        </w:trPr>
        <w:tc>
          <w:tcPr>
            <w:tcW w:w="1400" w:type="dxa"/>
            <w:noWrap/>
            <w:hideMark/>
          </w:tcPr>
          <w:p w14:paraId="1BA417C2"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01301DE2"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Nov-23</w:t>
            </w:r>
          </w:p>
        </w:tc>
        <w:tc>
          <w:tcPr>
            <w:tcW w:w="3625" w:type="dxa"/>
            <w:noWrap/>
            <w:hideMark/>
          </w:tcPr>
          <w:p w14:paraId="2DF7279E" w14:textId="7EF7EA59"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61</w:t>
            </w:r>
          </w:p>
        </w:tc>
      </w:tr>
      <w:tr w:rsidR="00BA6DE8" w:rsidRPr="00E940CF" w14:paraId="1C696FB4" w14:textId="77777777" w:rsidTr="0054086A">
        <w:trPr>
          <w:cantSplit/>
          <w:trHeight w:val="300"/>
        </w:trPr>
        <w:tc>
          <w:tcPr>
            <w:tcW w:w="1400" w:type="dxa"/>
            <w:noWrap/>
            <w:hideMark/>
          </w:tcPr>
          <w:p w14:paraId="07BFB38F"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60582008"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Dec-23</w:t>
            </w:r>
          </w:p>
        </w:tc>
        <w:tc>
          <w:tcPr>
            <w:tcW w:w="3625" w:type="dxa"/>
            <w:noWrap/>
            <w:hideMark/>
          </w:tcPr>
          <w:p w14:paraId="2FD1BDC1" w14:textId="4ABD263D"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56</w:t>
            </w:r>
          </w:p>
        </w:tc>
      </w:tr>
      <w:tr w:rsidR="00BA6DE8" w:rsidRPr="00E940CF" w14:paraId="38D47997" w14:textId="77777777" w:rsidTr="0054086A">
        <w:trPr>
          <w:cantSplit/>
          <w:trHeight w:val="300"/>
        </w:trPr>
        <w:tc>
          <w:tcPr>
            <w:tcW w:w="1400" w:type="dxa"/>
            <w:noWrap/>
            <w:hideMark/>
          </w:tcPr>
          <w:p w14:paraId="13EF1706"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5652F15C"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Jan-24</w:t>
            </w:r>
          </w:p>
        </w:tc>
        <w:tc>
          <w:tcPr>
            <w:tcW w:w="3625" w:type="dxa"/>
            <w:noWrap/>
            <w:hideMark/>
          </w:tcPr>
          <w:p w14:paraId="47022865" w14:textId="249F6FDC"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67</w:t>
            </w:r>
          </w:p>
        </w:tc>
      </w:tr>
      <w:tr w:rsidR="00BA6DE8" w:rsidRPr="00E940CF" w14:paraId="546C6601" w14:textId="77777777" w:rsidTr="0054086A">
        <w:trPr>
          <w:cantSplit/>
          <w:trHeight w:val="300"/>
        </w:trPr>
        <w:tc>
          <w:tcPr>
            <w:tcW w:w="1400" w:type="dxa"/>
            <w:noWrap/>
            <w:hideMark/>
          </w:tcPr>
          <w:p w14:paraId="4A4979F6"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7FD89F9D"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Feb-24</w:t>
            </w:r>
          </w:p>
        </w:tc>
        <w:tc>
          <w:tcPr>
            <w:tcW w:w="3625" w:type="dxa"/>
            <w:noWrap/>
            <w:hideMark/>
          </w:tcPr>
          <w:p w14:paraId="347054A7" w14:textId="4D39DA32"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55</w:t>
            </w:r>
          </w:p>
        </w:tc>
      </w:tr>
      <w:tr w:rsidR="00BA6DE8" w:rsidRPr="00E940CF" w14:paraId="2F137E36" w14:textId="77777777" w:rsidTr="0054086A">
        <w:trPr>
          <w:cantSplit/>
          <w:trHeight w:val="300"/>
        </w:trPr>
        <w:tc>
          <w:tcPr>
            <w:tcW w:w="1400" w:type="dxa"/>
            <w:noWrap/>
            <w:hideMark/>
          </w:tcPr>
          <w:p w14:paraId="5D921E4F"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49A1B6C2"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Mar-24</w:t>
            </w:r>
          </w:p>
        </w:tc>
        <w:tc>
          <w:tcPr>
            <w:tcW w:w="3625" w:type="dxa"/>
            <w:noWrap/>
            <w:hideMark/>
          </w:tcPr>
          <w:p w14:paraId="5BED0631" w14:textId="77467D82"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84</w:t>
            </w:r>
          </w:p>
        </w:tc>
      </w:tr>
      <w:tr w:rsidR="00BA6DE8" w:rsidRPr="00E940CF" w14:paraId="11779E24" w14:textId="77777777" w:rsidTr="0054086A">
        <w:trPr>
          <w:cantSplit/>
          <w:trHeight w:val="300"/>
        </w:trPr>
        <w:tc>
          <w:tcPr>
            <w:tcW w:w="1400" w:type="dxa"/>
            <w:noWrap/>
            <w:hideMark/>
          </w:tcPr>
          <w:p w14:paraId="19DDB37D"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693B7C07"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Apr-24</w:t>
            </w:r>
          </w:p>
        </w:tc>
        <w:tc>
          <w:tcPr>
            <w:tcW w:w="3625" w:type="dxa"/>
            <w:noWrap/>
            <w:hideMark/>
          </w:tcPr>
          <w:p w14:paraId="2A120C89" w14:textId="6A8F0E6A"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70</w:t>
            </w:r>
          </w:p>
        </w:tc>
      </w:tr>
      <w:tr w:rsidR="00BA6DE8" w:rsidRPr="00E940CF" w14:paraId="51FE8814" w14:textId="77777777" w:rsidTr="0054086A">
        <w:trPr>
          <w:cantSplit/>
          <w:trHeight w:val="300"/>
        </w:trPr>
        <w:tc>
          <w:tcPr>
            <w:tcW w:w="1400" w:type="dxa"/>
            <w:noWrap/>
            <w:hideMark/>
          </w:tcPr>
          <w:p w14:paraId="34FA91A9"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0BB2DE48"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May-24</w:t>
            </w:r>
          </w:p>
        </w:tc>
        <w:tc>
          <w:tcPr>
            <w:tcW w:w="3625" w:type="dxa"/>
            <w:noWrap/>
            <w:hideMark/>
          </w:tcPr>
          <w:p w14:paraId="68063A7C" w14:textId="044F9586"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91</w:t>
            </w:r>
          </w:p>
        </w:tc>
      </w:tr>
      <w:tr w:rsidR="00BA6DE8" w:rsidRPr="00E940CF" w14:paraId="4927A072" w14:textId="77777777" w:rsidTr="0054086A">
        <w:trPr>
          <w:cantSplit/>
          <w:trHeight w:val="300"/>
        </w:trPr>
        <w:tc>
          <w:tcPr>
            <w:tcW w:w="1400" w:type="dxa"/>
            <w:noWrap/>
            <w:hideMark/>
          </w:tcPr>
          <w:p w14:paraId="2CB749B9"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0E940B9C"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Jun-24</w:t>
            </w:r>
          </w:p>
        </w:tc>
        <w:tc>
          <w:tcPr>
            <w:tcW w:w="3625" w:type="dxa"/>
            <w:noWrap/>
            <w:hideMark/>
          </w:tcPr>
          <w:p w14:paraId="608E2B7F" w14:textId="6880797D"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58</w:t>
            </w:r>
          </w:p>
        </w:tc>
      </w:tr>
      <w:tr w:rsidR="00BA6DE8" w:rsidRPr="00E940CF" w14:paraId="2A9A87C7" w14:textId="77777777" w:rsidTr="0054086A">
        <w:trPr>
          <w:cantSplit/>
          <w:trHeight w:val="300"/>
        </w:trPr>
        <w:tc>
          <w:tcPr>
            <w:tcW w:w="1400" w:type="dxa"/>
            <w:noWrap/>
            <w:hideMark/>
          </w:tcPr>
          <w:p w14:paraId="1043122E"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781D1D3D"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Jul-24</w:t>
            </w:r>
          </w:p>
        </w:tc>
        <w:tc>
          <w:tcPr>
            <w:tcW w:w="3625" w:type="dxa"/>
            <w:noWrap/>
            <w:hideMark/>
          </w:tcPr>
          <w:p w14:paraId="0FF7A5A6" w14:textId="1342B5B5"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80</w:t>
            </w:r>
          </w:p>
        </w:tc>
      </w:tr>
      <w:tr w:rsidR="00BA6DE8" w:rsidRPr="00E940CF" w14:paraId="5A08D4BD" w14:textId="77777777" w:rsidTr="0054086A">
        <w:trPr>
          <w:cantSplit/>
          <w:trHeight w:val="300"/>
        </w:trPr>
        <w:tc>
          <w:tcPr>
            <w:tcW w:w="1400" w:type="dxa"/>
            <w:noWrap/>
            <w:hideMark/>
          </w:tcPr>
          <w:p w14:paraId="0557B929"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11670189"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Aug-24</w:t>
            </w:r>
          </w:p>
        </w:tc>
        <w:tc>
          <w:tcPr>
            <w:tcW w:w="3625" w:type="dxa"/>
            <w:noWrap/>
            <w:hideMark/>
          </w:tcPr>
          <w:p w14:paraId="37B29B9E" w14:textId="0258C0F4"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84</w:t>
            </w:r>
          </w:p>
        </w:tc>
      </w:tr>
      <w:tr w:rsidR="00BA6DE8" w:rsidRPr="00E940CF" w14:paraId="494CEE1E" w14:textId="77777777" w:rsidTr="0054086A">
        <w:trPr>
          <w:cantSplit/>
          <w:trHeight w:val="300"/>
        </w:trPr>
        <w:tc>
          <w:tcPr>
            <w:tcW w:w="1400" w:type="dxa"/>
            <w:noWrap/>
            <w:hideMark/>
          </w:tcPr>
          <w:p w14:paraId="1FD6366C"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77F285F4"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Sep-24</w:t>
            </w:r>
          </w:p>
        </w:tc>
        <w:tc>
          <w:tcPr>
            <w:tcW w:w="3625" w:type="dxa"/>
            <w:noWrap/>
            <w:hideMark/>
          </w:tcPr>
          <w:p w14:paraId="2E09CEBD" w14:textId="1B235659"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80</w:t>
            </w:r>
          </w:p>
        </w:tc>
      </w:tr>
      <w:tr w:rsidR="00BA6DE8" w:rsidRPr="00E940CF" w14:paraId="795004D4" w14:textId="77777777" w:rsidTr="0054086A">
        <w:trPr>
          <w:cantSplit/>
          <w:trHeight w:val="300"/>
        </w:trPr>
        <w:tc>
          <w:tcPr>
            <w:tcW w:w="1400" w:type="dxa"/>
            <w:noWrap/>
            <w:hideMark/>
          </w:tcPr>
          <w:p w14:paraId="2757DD5A"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70D3811C"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Oct-24</w:t>
            </w:r>
          </w:p>
        </w:tc>
        <w:tc>
          <w:tcPr>
            <w:tcW w:w="3625" w:type="dxa"/>
            <w:noWrap/>
            <w:hideMark/>
          </w:tcPr>
          <w:p w14:paraId="7D0D10F2" w14:textId="7BE47624"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79</w:t>
            </w:r>
          </w:p>
        </w:tc>
      </w:tr>
      <w:tr w:rsidR="00BA6DE8" w:rsidRPr="00E940CF" w14:paraId="6EF3E828" w14:textId="77777777" w:rsidTr="0054086A">
        <w:trPr>
          <w:cantSplit/>
          <w:trHeight w:val="300"/>
        </w:trPr>
        <w:tc>
          <w:tcPr>
            <w:tcW w:w="1400" w:type="dxa"/>
            <w:noWrap/>
            <w:hideMark/>
          </w:tcPr>
          <w:p w14:paraId="0DD62F08"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lastRenderedPageBreak/>
              <w:t>FY25</w:t>
            </w:r>
          </w:p>
        </w:tc>
        <w:tc>
          <w:tcPr>
            <w:tcW w:w="1360" w:type="dxa"/>
            <w:noWrap/>
            <w:hideMark/>
          </w:tcPr>
          <w:p w14:paraId="6CD6FCAD"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Nov-24</w:t>
            </w:r>
          </w:p>
        </w:tc>
        <w:tc>
          <w:tcPr>
            <w:tcW w:w="3625" w:type="dxa"/>
            <w:noWrap/>
            <w:hideMark/>
          </w:tcPr>
          <w:p w14:paraId="0EA87096" w14:textId="7397748E"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85</w:t>
            </w:r>
          </w:p>
        </w:tc>
      </w:tr>
      <w:tr w:rsidR="00BA6DE8" w:rsidRPr="00E940CF" w14:paraId="30BA8C22" w14:textId="77777777" w:rsidTr="0054086A">
        <w:trPr>
          <w:cantSplit/>
          <w:trHeight w:val="300"/>
        </w:trPr>
        <w:tc>
          <w:tcPr>
            <w:tcW w:w="1400" w:type="dxa"/>
            <w:noWrap/>
            <w:hideMark/>
          </w:tcPr>
          <w:p w14:paraId="1E1E332E"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079E2DE0"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Dec-24</w:t>
            </w:r>
          </w:p>
        </w:tc>
        <w:tc>
          <w:tcPr>
            <w:tcW w:w="3625" w:type="dxa"/>
            <w:noWrap/>
            <w:hideMark/>
          </w:tcPr>
          <w:p w14:paraId="5A52ACC3" w14:textId="474653D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67</w:t>
            </w:r>
          </w:p>
        </w:tc>
      </w:tr>
      <w:tr w:rsidR="00BA6DE8" w:rsidRPr="00E940CF" w14:paraId="13711215" w14:textId="77777777" w:rsidTr="0054086A">
        <w:trPr>
          <w:cantSplit/>
          <w:trHeight w:val="300"/>
        </w:trPr>
        <w:tc>
          <w:tcPr>
            <w:tcW w:w="1400" w:type="dxa"/>
            <w:noWrap/>
            <w:hideMark/>
          </w:tcPr>
          <w:p w14:paraId="7F9EBF47"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081CF936"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Jan-25</w:t>
            </w:r>
          </w:p>
        </w:tc>
        <w:tc>
          <w:tcPr>
            <w:tcW w:w="3625" w:type="dxa"/>
            <w:noWrap/>
            <w:hideMark/>
          </w:tcPr>
          <w:p w14:paraId="5A914E2E" w14:textId="10E697D8"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85</w:t>
            </w:r>
          </w:p>
        </w:tc>
      </w:tr>
      <w:tr w:rsidR="00BA6DE8" w:rsidRPr="00E940CF" w14:paraId="344F0DB6" w14:textId="77777777" w:rsidTr="0054086A">
        <w:trPr>
          <w:cantSplit/>
          <w:trHeight w:val="300"/>
        </w:trPr>
        <w:tc>
          <w:tcPr>
            <w:tcW w:w="1400" w:type="dxa"/>
            <w:noWrap/>
            <w:hideMark/>
          </w:tcPr>
          <w:p w14:paraId="73CF5B29"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74E92230"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Feb-25</w:t>
            </w:r>
          </w:p>
        </w:tc>
        <w:tc>
          <w:tcPr>
            <w:tcW w:w="3625" w:type="dxa"/>
            <w:noWrap/>
            <w:hideMark/>
          </w:tcPr>
          <w:p w14:paraId="2ED173AA" w14:textId="72E539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69</w:t>
            </w:r>
          </w:p>
        </w:tc>
      </w:tr>
      <w:tr w:rsidR="00BA6DE8" w:rsidRPr="00E940CF" w14:paraId="2C2BE124" w14:textId="77777777" w:rsidTr="0054086A">
        <w:trPr>
          <w:cantSplit/>
          <w:trHeight w:val="300"/>
        </w:trPr>
        <w:tc>
          <w:tcPr>
            <w:tcW w:w="1400" w:type="dxa"/>
            <w:noWrap/>
            <w:hideMark/>
          </w:tcPr>
          <w:p w14:paraId="57CDC77F"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0C6B3ED0"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Mar-25</w:t>
            </w:r>
          </w:p>
        </w:tc>
        <w:tc>
          <w:tcPr>
            <w:tcW w:w="3625" w:type="dxa"/>
            <w:noWrap/>
            <w:hideMark/>
          </w:tcPr>
          <w:p w14:paraId="095565B7" w14:textId="1D67DDDC"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87</w:t>
            </w:r>
          </w:p>
        </w:tc>
      </w:tr>
      <w:tr w:rsidR="00BA6DE8" w:rsidRPr="00E940CF" w14:paraId="7A02316B" w14:textId="77777777" w:rsidTr="0054086A">
        <w:trPr>
          <w:cantSplit/>
          <w:trHeight w:val="300"/>
        </w:trPr>
        <w:tc>
          <w:tcPr>
            <w:tcW w:w="1400" w:type="dxa"/>
            <w:noWrap/>
            <w:hideMark/>
          </w:tcPr>
          <w:p w14:paraId="2A68FCBE"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18B4D6A0"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Apr-25</w:t>
            </w:r>
          </w:p>
        </w:tc>
        <w:tc>
          <w:tcPr>
            <w:tcW w:w="3625" w:type="dxa"/>
            <w:noWrap/>
            <w:hideMark/>
          </w:tcPr>
          <w:p w14:paraId="6C9A642E" w14:textId="344E2E0A"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73</w:t>
            </w:r>
          </w:p>
        </w:tc>
      </w:tr>
      <w:tr w:rsidR="00BA6DE8" w:rsidRPr="00E940CF" w14:paraId="7E0984ED" w14:textId="77777777" w:rsidTr="0054086A">
        <w:trPr>
          <w:cantSplit/>
          <w:trHeight w:val="300"/>
        </w:trPr>
        <w:tc>
          <w:tcPr>
            <w:tcW w:w="1400" w:type="dxa"/>
            <w:noWrap/>
            <w:hideMark/>
          </w:tcPr>
          <w:p w14:paraId="412EC7B0"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3AAF817B"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May-25</w:t>
            </w:r>
          </w:p>
        </w:tc>
        <w:tc>
          <w:tcPr>
            <w:tcW w:w="3625" w:type="dxa"/>
            <w:noWrap/>
            <w:hideMark/>
          </w:tcPr>
          <w:p w14:paraId="7A071DA7" w14:textId="27974090"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77</w:t>
            </w:r>
          </w:p>
        </w:tc>
      </w:tr>
      <w:tr w:rsidR="00BA6DE8" w:rsidRPr="00E940CF" w14:paraId="5C3D62FA" w14:textId="77777777" w:rsidTr="0054086A">
        <w:trPr>
          <w:cantSplit/>
          <w:trHeight w:val="300"/>
        </w:trPr>
        <w:tc>
          <w:tcPr>
            <w:tcW w:w="1400" w:type="dxa"/>
            <w:noWrap/>
            <w:hideMark/>
          </w:tcPr>
          <w:p w14:paraId="4E3D82A4"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28C9A1E0"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Jun-25</w:t>
            </w:r>
          </w:p>
        </w:tc>
        <w:tc>
          <w:tcPr>
            <w:tcW w:w="3625" w:type="dxa"/>
            <w:noWrap/>
            <w:hideMark/>
          </w:tcPr>
          <w:p w14:paraId="5A53CF1D" w14:textId="4D0BA2E6"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108</w:t>
            </w:r>
          </w:p>
        </w:tc>
      </w:tr>
      <w:tr w:rsidR="00BA6DE8" w:rsidRPr="00E940CF" w14:paraId="2A22C644" w14:textId="77777777" w:rsidTr="0054086A">
        <w:trPr>
          <w:cantSplit/>
          <w:trHeight w:val="300"/>
        </w:trPr>
        <w:tc>
          <w:tcPr>
            <w:tcW w:w="1400" w:type="dxa"/>
            <w:noWrap/>
            <w:hideMark/>
          </w:tcPr>
          <w:p w14:paraId="3A0AE9B0"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4FB3C8BF"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Jul-25</w:t>
            </w:r>
          </w:p>
        </w:tc>
        <w:tc>
          <w:tcPr>
            <w:tcW w:w="3625" w:type="dxa"/>
            <w:noWrap/>
            <w:hideMark/>
          </w:tcPr>
          <w:p w14:paraId="3F292FFD" w14:textId="5295EAA2"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85</w:t>
            </w:r>
          </w:p>
        </w:tc>
      </w:tr>
      <w:tr w:rsidR="00BA6DE8" w:rsidRPr="00E940CF" w14:paraId="10F3CC46" w14:textId="77777777" w:rsidTr="0054086A">
        <w:trPr>
          <w:cantSplit/>
          <w:trHeight w:val="300"/>
        </w:trPr>
        <w:tc>
          <w:tcPr>
            <w:tcW w:w="1400" w:type="dxa"/>
            <w:noWrap/>
            <w:hideMark/>
          </w:tcPr>
          <w:p w14:paraId="131CF1E0"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5877E9AD"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Aug-25</w:t>
            </w:r>
          </w:p>
        </w:tc>
        <w:tc>
          <w:tcPr>
            <w:tcW w:w="3625" w:type="dxa"/>
            <w:noWrap/>
            <w:hideMark/>
          </w:tcPr>
          <w:p w14:paraId="0B4C80BF" w14:textId="3C83966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70</w:t>
            </w:r>
          </w:p>
        </w:tc>
      </w:tr>
      <w:tr w:rsidR="00BA6DE8" w:rsidRPr="00E940CF" w14:paraId="4C133786" w14:textId="77777777" w:rsidTr="0054086A">
        <w:trPr>
          <w:cantSplit/>
          <w:trHeight w:val="300"/>
        </w:trPr>
        <w:tc>
          <w:tcPr>
            <w:tcW w:w="1400" w:type="dxa"/>
            <w:noWrap/>
            <w:hideMark/>
          </w:tcPr>
          <w:p w14:paraId="73F04556"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63A0DF03" w14:textId="77777777"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Sep-25</w:t>
            </w:r>
          </w:p>
        </w:tc>
        <w:tc>
          <w:tcPr>
            <w:tcW w:w="3625" w:type="dxa"/>
            <w:noWrap/>
            <w:hideMark/>
          </w:tcPr>
          <w:p w14:paraId="2D987026" w14:textId="526F45A0" w:rsidR="00BA6DE8" w:rsidRPr="00E940CF" w:rsidRDefault="00BA6DE8" w:rsidP="00414367">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99</w:t>
            </w:r>
          </w:p>
        </w:tc>
      </w:tr>
    </w:tbl>
    <w:p w14:paraId="1E55A8F3" w14:textId="77777777" w:rsidR="00BA6DE8" w:rsidRPr="00E940CF" w:rsidRDefault="00BA6DE8" w:rsidP="00FD2EDA">
      <w:pPr>
        <w:ind w:left="360"/>
        <w:rPr>
          <w:rFonts w:ascii="Aptos" w:hAnsi="Aptos" w:cs="Times New Roman"/>
          <w:color w:val="1F4E79" w:themeColor="accent5" w:themeShade="80"/>
          <w:sz w:val="24"/>
          <w:szCs w:val="24"/>
        </w:rPr>
      </w:pPr>
    </w:p>
    <w:p w14:paraId="03F3CCA5" w14:textId="1B5B72F4" w:rsidR="00FD2EDA" w:rsidRPr="00E940CF" w:rsidRDefault="00FD2EDA" w:rsidP="00FD2EDA">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Data Appendix Figure 2b – Updated</w:t>
      </w:r>
      <w:r w:rsidR="00BA6DE8" w:rsidRPr="00E940CF">
        <w:rPr>
          <w:rFonts w:ascii="Aptos" w:hAnsi="Aptos" w:cs="Times New Roman"/>
          <w:color w:val="1F4E79" w:themeColor="accent5" w:themeShade="80"/>
          <w:sz w:val="24"/>
          <w:szCs w:val="24"/>
        </w:rPr>
        <w:t xml:space="preserve"> Table</w:t>
      </w:r>
      <w:r w:rsidRPr="00E940CF">
        <w:rPr>
          <w:rFonts w:ascii="Aptos" w:hAnsi="Aptos" w:cs="Times New Roman"/>
          <w:color w:val="1F4E79" w:themeColor="accent5" w:themeShade="80"/>
          <w:sz w:val="24"/>
          <w:szCs w:val="24"/>
        </w:rPr>
        <w:t xml:space="preserve"> shows up-to-date monthly </w:t>
      </w:r>
      <w:r w:rsidR="00FA75A3" w:rsidRPr="00E940CF">
        <w:rPr>
          <w:rFonts w:ascii="Aptos" w:hAnsi="Aptos" w:cs="Times New Roman"/>
          <w:color w:val="1F4E79" w:themeColor="accent5" w:themeShade="80"/>
          <w:sz w:val="24"/>
          <w:szCs w:val="24"/>
          <w:u w:val="single"/>
        </w:rPr>
        <w:t>new</w:t>
      </w:r>
      <w:r w:rsidR="00FA75A3" w:rsidRPr="00E940CF">
        <w:rPr>
          <w:rFonts w:ascii="Aptos" w:hAnsi="Aptos" w:cs="Times New Roman"/>
          <w:color w:val="1F4E79" w:themeColor="accent5" w:themeShade="80"/>
          <w:sz w:val="24"/>
          <w:szCs w:val="24"/>
        </w:rPr>
        <w:t xml:space="preserve"> radiation oncology patient</w:t>
      </w:r>
      <w:r w:rsidRPr="00E940CF">
        <w:rPr>
          <w:rFonts w:ascii="Aptos" w:hAnsi="Aptos" w:cs="Times New Roman"/>
          <w:color w:val="1F4E79" w:themeColor="accent5" w:themeShade="80"/>
          <w:sz w:val="24"/>
          <w:szCs w:val="24"/>
        </w:rPr>
        <w:t xml:space="preserve"> volumes indicating a continued positive trendline </w:t>
      </w:r>
      <w:r w:rsidR="00FA75A3" w:rsidRPr="00E940CF">
        <w:rPr>
          <w:rFonts w:ascii="Aptos" w:hAnsi="Aptos" w:cs="Times New Roman"/>
          <w:color w:val="1F4E79" w:themeColor="accent5" w:themeShade="80"/>
          <w:sz w:val="24"/>
          <w:szCs w:val="24"/>
        </w:rPr>
        <w:t xml:space="preserve">for new patients </w:t>
      </w:r>
      <w:r w:rsidRPr="00E940CF">
        <w:rPr>
          <w:rFonts w:ascii="Aptos" w:hAnsi="Aptos" w:cs="Times New Roman"/>
          <w:color w:val="1F4E79" w:themeColor="accent5" w:themeShade="80"/>
          <w:sz w:val="24"/>
          <w:szCs w:val="24"/>
        </w:rPr>
        <w:t xml:space="preserve">between </w:t>
      </w:r>
      <w:r w:rsidR="00B32909" w:rsidRPr="00E940CF">
        <w:rPr>
          <w:rFonts w:ascii="Aptos" w:hAnsi="Aptos" w:cs="Times New Roman"/>
          <w:color w:val="1F4E79" w:themeColor="accent5" w:themeShade="80"/>
          <w:sz w:val="24"/>
          <w:szCs w:val="24"/>
        </w:rPr>
        <w:t xml:space="preserve">FY 2023 </w:t>
      </w:r>
      <w:r w:rsidRPr="00E940CF">
        <w:rPr>
          <w:rFonts w:ascii="Aptos" w:hAnsi="Aptos" w:cs="Times New Roman"/>
          <w:color w:val="1F4E79" w:themeColor="accent5" w:themeShade="80"/>
          <w:sz w:val="24"/>
          <w:szCs w:val="24"/>
        </w:rPr>
        <w:t xml:space="preserve">through </w:t>
      </w:r>
      <w:r w:rsidR="00B32909" w:rsidRPr="00E940CF">
        <w:rPr>
          <w:rFonts w:ascii="Aptos" w:hAnsi="Aptos" w:cs="Times New Roman"/>
          <w:color w:val="1F4E79" w:themeColor="accent5" w:themeShade="80"/>
          <w:sz w:val="24"/>
          <w:szCs w:val="24"/>
        </w:rPr>
        <w:t>FY 2025</w:t>
      </w:r>
      <w:r w:rsidRPr="00E940CF">
        <w:rPr>
          <w:rFonts w:ascii="Aptos" w:hAnsi="Aptos" w:cs="Times New Roman"/>
          <w:color w:val="1F4E79" w:themeColor="accent5" w:themeShade="80"/>
          <w:sz w:val="24"/>
          <w:szCs w:val="24"/>
        </w:rPr>
        <w:t xml:space="preserve"> despite month-to-month variation.</w:t>
      </w:r>
      <w:r w:rsidR="004A6EA2" w:rsidRPr="00E940CF">
        <w:rPr>
          <w:rFonts w:ascii="Aptos" w:hAnsi="Aptos" w:cs="Times New Roman"/>
          <w:color w:val="1F4E79" w:themeColor="accent5" w:themeShade="80"/>
          <w:sz w:val="24"/>
          <w:szCs w:val="24"/>
        </w:rPr>
        <w:t xml:space="preserve">  A Table showing annual (by Fiscal Year) new radiation oncology visits is provided under Data Appendix Figure 6 below.</w:t>
      </w:r>
    </w:p>
    <w:p w14:paraId="4BC03547" w14:textId="47F6C340" w:rsidR="00B5383A" w:rsidRPr="002246D5" w:rsidRDefault="00553E4F" w:rsidP="0000002D">
      <w:pPr>
        <w:keepNext/>
        <w:ind w:left="360"/>
        <w:rPr>
          <w:rFonts w:ascii="Aptos" w:hAnsi="Aptos" w:cs="Times New Roman"/>
          <w:color w:val="1F4E79" w:themeColor="accent5" w:themeShade="80"/>
          <w:sz w:val="24"/>
          <w:szCs w:val="24"/>
        </w:rPr>
      </w:pPr>
      <w:r w:rsidRPr="002246D5">
        <w:rPr>
          <w:rFonts w:ascii="Aptos" w:hAnsi="Aptos" w:cs="Times New Roman"/>
          <w:i/>
          <w:iCs/>
          <w:color w:val="1F4E79" w:themeColor="accent5" w:themeShade="80"/>
          <w:sz w:val="24"/>
          <w:szCs w:val="24"/>
        </w:rPr>
        <w:t>Data Appendix Figure 3 – Updated</w:t>
      </w:r>
    </w:p>
    <w:tbl>
      <w:tblPr>
        <w:tblW w:w="7920" w:type="dxa"/>
        <w:tblInd w:w="355" w:type="dxa"/>
        <w:tblLook w:val="04A0" w:firstRow="1" w:lastRow="0" w:firstColumn="1" w:lastColumn="0" w:noHBand="0" w:noVBand="1"/>
        <w:tblCaption w:val="Data Appendix Figure 3 – Updated"/>
      </w:tblPr>
      <w:tblGrid>
        <w:gridCol w:w="2960"/>
        <w:gridCol w:w="2480"/>
        <w:gridCol w:w="2480"/>
      </w:tblGrid>
      <w:tr w:rsidR="005C2686" w:rsidRPr="00E940CF" w14:paraId="108B689D" w14:textId="395A9F00" w:rsidTr="00A9215F">
        <w:trPr>
          <w:cantSplit/>
          <w:trHeight w:val="840"/>
          <w:tblHeader/>
        </w:trPr>
        <w:tc>
          <w:tcPr>
            <w:tcW w:w="296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E50033F" w14:textId="702F11C5" w:rsidR="005C2686" w:rsidRPr="00E940CF" w:rsidRDefault="005C2686" w:rsidP="00414367">
            <w:pPr>
              <w:spacing w:after="0" w:line="240" w:lineRule="auto"/>
              <w:jc w:val="center"/>
              <w:rPr>
                <w:rFonts w:ascii="Aptos" w:eastAsia="Times New Roman" w:hAnsi="Aptos" w:cs="Times New Roman"/>
                <w:b/>
                <w:bCs/>
                <w:color w:val="1F4E79"/>
                <w:sz w:val="24"/>
                <w:szCs w:val="24"/>
              </w:rPr>
            </w:pPr>
            <w:r w:rsidRPr="00E940CF">
              <w:rPr>
                <w:rFonts w:ascii="Aptos" w:eastAsia="Times New Roman" w:hAnsi="Aptos" w:cs="Times New Roman"/>
                <w:b/>
                <w:bCs/>
                <w:color w:val="1F4E79"/>
                <w:sz w:val="24"/>
                <w:szCs w:val="24"/>
              </w:rPr>
              <w:t>Patient Panel Zip Code</w:t>
            </w:r>
          </w:p>
        </w:tc>
        <w:tc>
          <w:tcPr>
            <w:tcW w:w="2480" w:type="dxa"/>
            <w:tcBorders>
              <w:top w:val="single" w:sz="4" w:space="0" w:color="auto"/>
              <w:left w:val="nil"/>
              <w:bottom w:val="single" w:sz="4" w:space="0" w:color="auto"/>
              <w:right w:val="single" w:sz="4" w:space="0" w:color="auto"/>
            </w:tcBorders>
            <w:shd w:val="clear" w:color="000000" w:fill="D9E1F2"/>
            <w:vAlign w:val="center"/>
            <w:hideMark/>
          </w:tcPr>
          <w:p w14:paraId="6E997787" w14:textId="3C7445F0" w:rsidR="005C2686" w:rsidRPr="00E940CF" w:rsidRDefault="005C2686" w:rsidP="00414367">
            <w:pPr>
              <w:spacing w:after="0" w:line="240" w:lineRule="auto"/>
              <w:jc w:val="center"/>
              <w:rPr>
                <w:rFonts w:ascii="Aptos" w:eastAsia="Times New Roman" w:hAnsi="Aptos" w:cs="Times New Roman"/>
                <w:b/>
                <w:bCs/>
                <w:color w:val="1F4E79"/>
                <w:sz w:val="24"/>
                <w:szCs w:val="24"/>
              </w:rPr>
            </w:pPr>
            <w:r w:rsidRPr="00E940CF">
              <w:rPr>
                <w:rFonts w:ascii="Aptos" w:eastAsia="Times New Roman" w:hAnsi="Aptos" w:cs="Times New Roman"/>
                <w:b/>
                <w:bCs/>
                <w:color w:val="1F4E79"/>
                <w:sz w:val="24"/>
                <w:szCs w:val="24"/>
              </w:rPr>
              <w:t>Fiscal Year 2020</w:t>
            </w:r>
          </w:p>
        </w:tc>
        <w:tc>
          <w:tcPr>
            <w:tcW w:w="2480" w:type="dxa"/>
            <w:tcBorders>
              <w:top w:val="single" w:sz="4" w:space="0" w:color="auto"/>
              <w:left w:val="nil"/>
              <w:bottom w:val="single" w:sz="4" w:space="0" w:color="auto"/>
              <w:right w:val="single" w:sz="4" w:space="0" w:color="auto"/>
            </w:tcBorders>
            <w:shd w:val="clear" w:color="000000" w:fill="D9E1F2"/>
            <w:vAlign w:val="center"/>
          </w:tcPr>
          <w:p w14:paraId="64928A8E" w14:textId="4AA75B5A" w:rsidR="005C2686" w:rsidRPr="00E940CF" w:rsidRDefault="005C2686" w:rsidP="00414367">
            <w:pPr>
              <w:spacing w:after="0" w:line="240" w:lineRule="auto"/>
              <w:jc w:val="center"/>
              <w:rPr>
                <w:rFonts w:ascii="Aptos" w:eastAsia="Times New Roman" w:hAnsi="Aptos" w:cs="Times New Roman"/>
                <w:b/>
                <w:bCs/>
                <w:color w:val="1F4E79"/>
                <w:sz w:val="24"/>
                <w:szCs w:val="24"/>
              </w:rPr>
            </w:pPr>
            <w:r w:rsidRPr="00E940CF">
              <w:rPr>
                <w:rFonts w:ascii="Aptos" w:eastAsia="Times New Roman" w:hAnsi="Aptos" w:cs="Times New Roman"/>
                <w:b/>
                <w:bCs/>
                <w:color w:val="1F4E79"/>
                <w:sz w:val="24"/>
                <w:szCs w:val="24"/>
              </w:rPr>
              <w:t>Fiscal Year 2025</w:t>
            </w:r>
          </w:p>
        </w:tc>
      </w:tr>
      <w:tr w:rsidR="005C2686" w:rsidRPr="00E940CF" w14:paraId="1D3A27D2" w14:textId="64DA5555" w:rsidTr="00A9215F">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4F38F82C" w14:textId="35F15FB7" w:rsidR="005C2686" w:rsidRPr="00E940CF" w:rsidRDefault="005C2686" w:rsidP="00414367">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02744</w:t>
            </w:r>
          </w:p>
        </w:tc>
        <w:tc>
          <w:tcPr>
            <w:tcW w:w="2480" w:type="dxa"/>
            <w:tcBorders>
              <w:top w:val="nil"/>
              <w:left w:val="nil"/>
              <w:bottom w:val="single" w:sz="4" w:space="0" w:color="auto"/>
              <w:right w:val="single" w:sz="4" w:space="0" w:color="auto"/>
            </w:tcBorders>
            <w:noWrap/>
            <w:vAlign w:val="bottom"/>
            <w:hideMark/>
          </w:tcPr>
          <w:p w14:paraId="57957F1C" w14:textId="7C3CDE46"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25</w:t>
            </w:r>
          </w:p>
        </w:tc>
        <w:tc>
          <w:tcPr>
            <w:tcW w:w="2480" w:type="dxa"/>
            <w:tcBorders>
              <w:top w:val="nil"/>
              <w:left w:val="nil"/>
              <w:bottom w:val="single" w:sz="4" w:space="0" w:color="auto"/>
              <w:right w:val="single" w:sz="4" w:space="0" w:color="auto"/>
            </w:tcBorders>
          </w:tcPr>
          <w:p w14:paraId="27087F5D" w14:textId="1C45E864"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36</w:t>
            </w:r>
          </w:p>
        </w:tc>
      </w:tr>
      <w:tr w:rsidR="005C2686" w:rsidRPr="00E940CF" w14:paraId="03E56B32" w14:textId="0C0AD254" w:rsidTr="00A9215F">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5B16642D" w14:textId="09FC2021" w:rsidR="005C2686" w:rsidRPr="00E940CF" w:rsidRDefault="005C2686" w:rsidP="00414367">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02723</w:t>
            </w:r>
          </w:p>
        </w:tc>
        <w:tc>
          <w:tcPr>
            <w:tcW w:w="2480" w:type="dxa"/>
            <w:tcBorders>
              <w:top w:val="nil"/>
              <w:left w:val="nil"/>
              <w:bottom w:val="single" w:sz="4" w:space="0" w:color="auto"/>
              <w:right w:val="single" w:sz="4" w:space="0" w:color="auto"/>
            </w:tcBorders>
            <w:noWrap/>
            <w:vAlign w:val="bottom"/>
            <w:hideMark/>
          </w:tcPr>
          <w:p w14:paraId="050DF7BB" w14:textId="577F5A0A"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52</w:t>
            </w:r>
          </w:p>
        </w:tc>
        <w:tc>
          <w:tcPr>
            <w:tcW w:w="2480" w:type="dxa"/>
            <w:tcBorders>
              <w:top w:val="nil"/>
              <w:left w:val="nil"/>
              <w:bottom w:val="single" w:sz="4" w:space="0" w:color="auto"/>
              <w:right w:val="single" w:sz="4" w:space="0" w:color="auto"/>
            </w:tcBorders>
          </w:tcPr>
          <w:p w14:paraId="16339531" w14:textId="02164515"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42</w:t>
            </w:r>
          </w:p>
        </w:tc>
      </w:tr>
      <w:tr w:rsidR="005C2686" w:rsidRPr="00E940CF" w14:paraId="757B00B5" w14:textId="53EF46E0" w:rsidTr="00A9215F">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134E21BA" w14:textId="4827F731" w:rsidR="005C2686" w:rsidRPr="00E940CF" w:rsidRDefault="005C2686" w:rsidP="00414367">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02878</w:t>
            </w:r>
          </w:p>
        </w:tc>
        <w:tc>
          <w:tcPr>
            <w:tcW w:w="2480" w:type="dxa"/>
            <w:tcBorders>
              <w:top w:val="nil"/>
              <w:left w:val="nil"/>
              <w:bottom w:val="single" w:sz="4" w:space="0" w:color="auto"/>
              <w:right w:val="single" w:sz="4" w:space="0" w:color="auto"/>
            </w:tcBorders>
            <w:noWrap/>
            <w:vAlign w:val="bottom"/>
            <w:hideMark/>
          </w:tcPr>
          <w:p w14:paraId="377097C4" w14:textId="4BF1ECFE"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44</w:t>
            </w:r>
          </w:p>
        </w:tc>
        <w:tc>
          <w:tcPr>
            <w:tcW w:w="2480" w:type="dxa"/>
            <w:tcBorders>
              <w:top w:val="nil"/>
              <w:left w:val="nil"/>
              <w:bottom w:val="single" w:sz="4" w:space="0" w:color="auto"/>
              <w:right w:val="single" w:sz="4" w:space="0" w:color="auto"/>
            </w:tcBorders>
          </w:tcPr>
          <w:p w14:paraId="1D7EE38E" w14:textId="2798759A"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55</w:t>
            </w:r>
          </w:p>
        </w:tc>
      </w:tr>
      <w:tr w:rsidR="005C2686" w:rsidRPr="00E940CF" w14:paraId="7F65637F" w14:textId="27EC92CF" w:rsidTr="00A9215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0AD71D0A" w14:textId="6A2B04EF" w:rsidR="005C2686" w:rsidRPr="00E940CF" w:rsidRDefault="005C2686" w:rsidP="00414367">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02746</w:t>
            </w:r>
          </w:p>
        </w:tc>
        <w:tc>
          <w:tcPr>
            <w:tcW w:w="2480" w:type="dxa"/>
            <w:tcBorders>
              <w:top w:val="single" w:sz="4" w:space="0" w:color="auto"/>
              <w:left w:val="nil"/>
              <w:bottom w:val="single" w:sz="4" w:space="0" w:color="auto"/>
              <w:right w:val="single" w:sz="4" w:space="0" w:color="auto"/>
            </w:tcBorders>
            <w:noWrap/>
            <w:vAlign w:val="bottom"/>
          </w:tcPr>
          <w:p w14:paraId="7981B0B7" w14:textId="188E5642"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50</w:t>
            </w:r>
          </w:p>
        </w:tc>
        <w:tc>
          <w:tcPr>
            <w:tcW w:w="2480" w:type="dxa"/>
            <w:tcBorders>
              <w:top w:val="single" w:sz="4" w:space="0" w:color="auto"/>
              <w:left w:val="nil"/>
              <w:bottom w:val="single" w:sz="4" w:space="0" w:color="auto"/>
              <w:right w:val="single" w:sz="4" w:space="0" w:color="auto"/>
            </w:tcBorders>
          </w:tcPr>
          <w:p w14:paraId="39C8C8F8" w14:textId="5E045714"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47</w:t>
            </w:r>
          </w:p>
        </w:tc>
      </w:tr>
      <w:tr w:rsidR="005C2686" w:rsidRPr="00E940CF" w14:paraId="247DF933" w14:textId="66D2ADA7" w:rsidTr="00A9215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6FA70BA0" w14:textId="73E33BAB" w:rsidR="005C2686" w:rsidRPr="00E940CF" w:rsidRDefault="005C2686" w:rsidP="00414367">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02748</w:t>
            </w:r>
          </w:p>
        </w:tc>
        <w:tc>
          <w:tcPr>
            <w:tcW w:w="2480" w:type="dxa"/>
            <w:tcBorders>
              <w:top w:val="single" w:sz="4" w:space="0" w:color="auto"/>
              <w:left w:val="nil"/>
              <w:bottom w:val="single" w:sz="4" w:space="0" w:color="auto"/>
              <w:right w:val="single" w:sz="4" w:space="0" w:color="auto"/>
            </w:tcBorders>
            <w:noWrap/>
            <w:vAlign w:val="bottom"/>
          </w:tcPr>
          <w:p w14:paraId="7675E924" w14:textId="45E9BFDB"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31</w:t>
            </w:r>
          </w:p>
        </w:tc>
        <w:tc>
          <w:tcPr>
            <w:tcW w:w="2480" w:type="dxa"/>
            <w:tcBorders>
              <w:top w:val="single" w:sz="4" w:space="0" w:color="auto"/>
              <w:left w:val="nil"/>
              <w:bottom w:val="single" w:sz="4" w:space="0" w:color="auto"/>
              <w:right w:val="single" w:sz="4" w:space="0" w:color="auto"/>
            </w:tcBorders>
          </w:tcPr>
          <w:p w14:paraId="3B5CDE86" w14:textId="49BD3C88"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53</w:t>
            </w:r>
          </w:p>
        </w:tc>
      </w:tr>
      <w:tr w:rsidR="005C2686" w:rsidRPr="00E940CF" w14:paraId="5C52AAAA" w14:textId="74D18202" w:rsidTr="00A9215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0FCDDB65" w14:textId="19BC16DA" w:rsidR="005C2686" w:rsidRPr="00E940CF" w:rsidRDefault="005C2686" w:rsidP="00414367">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02571</w:t>
            </w:r>
          </w:p>
        </w:tc>
        <w:tc>
          <w:tcPr>
            <w:tcW w:w="2480" w:type="dxa"/>
            <w:tcBorders>
              <w:top w:val="single" w:sz="4" w:space="0" w:color="auto"/>
              <w:left w:val="nil"/>
              <w:bottom w:val="single" w:sz="4" w:space="0" w:color="auto"/>
              <w:right w:val="single" w:sz="4" w:space="0" w:color="auto"/>
            </w:tcBorders>
            <w:noWrap/>
            <w:vAlign w:val="bottom"/>
          </w:tcPr>
          <w:p w14:paraId="67665834" w14:textId="7A26AC1C"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66</w:t>
            </w:r>
          </w:p>
        </w:tc>
        <w:tc>
          <w:tcPr>
            <w:tcW w:w="2480" w:type="dxa"/>
            <w:tcBorders>
              <w:top w:val="single" w:sz="4" w:space="0" w:color="auto"/>
              <w:left w:val="nil"/>
              <w:bottom w:val="single" w:sz="4" w:space="0" w:color="auto"/>
              <w:right w:val="single" w:sz="4" w:space="0" w:color="auto"/>
            </w:tcBorders>
          </w:tcPr>
          <w:p w14:paraId="247583EF" w14:textId="7A548525"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61</w:t>
            </w:r>
          </w:p>
        </w:tc>
      </w:tr>
      <w:tr w:rsidR="005C2686" w:rsidRPr="00E940CF" w14:paraId="05CFA8F9" w14:textId="4B532F61" w:rsidTr="00A9215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6A6A2B8C" w14:textId="130CE20D" w:rsidR="005C2686" w:rsidRPr="00E940CF" w:rsidRDefault="005C2686" w:rsidP="00414367">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02726</w:t>
            </w:r>
          </w:p>
        </w:tc>
        <w:tc>
          <w:tcPr>
            <w:tcW w:w="2480" w:type="dxa"/>
            <w:tcBorders>
              <w:top w:val="single" w:sz="4" w:space="0" w:color="auto"/>
              <w:left w:val="nil"/>
              <w:bottom w:val="single" w:sz="4" w:space="0" w:color="auto"/>
              <w:right w:val="single" w:sz="4" w:space="0" w:color="auto"/>
            </w:tcBorders>
            <w:noWrap/>
            <w:vAlign w:val="bottom"/>
          </w:tcPr>
          <w:p w14:paraId="06159A5E" w14:textId="47907F8A"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69</w:t>
            </w:r>
          </w:p>
        </w:tc>
        <w:tc>
          <w:tcPr>
            <w:tcW w:w="2480" w:type="dxa"/>
            <w:tcBorders>
              <w:top w:val="single" w:sz="4" w:space="0" w:color="auto"/>
              <w:left w:val="nil"/>
              <w:bottom w:val="single" w:sz="4" w:space="0" w:color="auto"/>
              <w:right w:val="single" w:sz="4" w:space="0" w:color="auto"/>
            </w:tcBorders>
          </w:tcPr>
          <w:p w14:paraId="514D87FC" w14:textId="1C2C4FE8"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67</w:t>
            </w:r>
          </w:p>
        </w:tc>
      </w:tr>
      <w:tr w:rsidR="005C2686" w:rsidRPr="00E940CF" w14:paraId="054E7EF0" w14:textId="77777777" w:rsidTr="00A9215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3DE08F0F" w14:textId="5120B2B9" w:rsidR="005C2686" w:rsidRPr="00E940CF" w:rsidRDefault="005C2686" w:rsidP="00414367">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lastRenderedPageBreak/>
              <w:t>02719</w:t>
            </w:r>
          </w:p>
        </w:tc>
        <w:tc>
          <w:tcPr>
            <w:tcW w:w="2480" w:type="dxa"/>
            <w:tcBorders>
              <w:top w:val="single" w:sz="4" w:space="0" w:color="auto"/>
              <w:left w:val="nil"/>
              <w:bottom w:val="single" w:sz="4" w:space="0" w:color="auto"/>
              <w:right w:val="single" w:sz="4" w:space="0" w:color="auto"/>
            </w:tcBorders>
            <w:noWrap/>
            <w:vAlign w:val="bottom"/>
          </w:tcPr>
          <w:p w14:paraId="6ADCF7C1" w14:textId="02A859D2"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63</w:t>
            </w:r>
          </w:p>
        </w:tc>
        <w:tc>
          <w:tcPr>
            <w:tcW w:w="2480" w:type="dxa"/>
            <w:tcBorders>
              <w:top w:val="single" w:sz="4" w:space="0" w:color="auto"/>
              <w:left w:val="nil"/>
              <w:bottom w:val="single" w:sz="4" w:space="0" w:color="auto"/>
              <w:right w:val="single" w:sz="4" w:space="0" w:color="auto"/>
            </w:tcBorders>
          </w:tcPr>
          <w:p w14:paraId="3A19A7FE" w14:textId="07FA0A26"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90</w:t>
            </w:r>
          </w:p>
        </w:tc>
      </w:tr>
      <w:tr w:rsidR="005C2686" w:rsidRPr="00E940CF" w14:paraId="7C0FED4B" w14:textId="77777777" w:rsidTr="00A9215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2FDD4B18" w14:textId="134808E6" w:rsidR="005C2686" w:rsidRPr="00E940CF" w:rsidRDefault="005C2686" w:rsidP="00414367">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02790</w:t>
            </w:r>
          </w:p>
        </w:tc>
        <w:tc>
          <w:tcPr>
            <w:tcW w:w="2480" w:type="dxa"/>
            <w:tcBorders>
              <w:top w:val="single" w:sz="4" w:space="0" w:color="auto"/>
              <w:left w:val="nil"/>
              <w:bottom w:val="single" w:sz="4" w:space="0" w:color="auto"/>
              <w:right w:val="single" w:sz="4" w:space="0" w:color="auto"/>
            </w:tcBorders>
            <w:noWrap/>
            <w:vAlign w:val="bottom"/>
          </w:tcPr>
          <w:p w14:paraId="57969B87" w14:textId="18E84DE0"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57</w:t>
            </w:r>
          </w:p>
        </w:tc>
        <w:tc>
          <w:tcPr>
            <w:tcW w:w="2480" w:type="dxa"/>
            <w:tcBorders>
              <w:top w:val="single" w:sz="4" w:space="0" w:color="auto"/>
              <w:left w:val="nil"/>
              <w:bottom w:val="single" w:sz="4" w:space="0" w:color="auto"/>
              <w:right w:val="single" w:sz="4" w:space="0" w:color="auto"/>
            </w:tcBorders>
          </w:tcPr>
          <w:p w14:paraId="47D972A5" w14:textId="7D98B27C"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72</w:t>
            </w:r>
          </w:p>
        </w:tc>
      </w:tr>
      <w:tr w:rsidR="005C2686" w:rsidRPr="00E940CF" w14:paraId="4F362C34" w14:textId="77777777" w:rsidTr="00A9215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767C117D" w14:textId="22323E8D" w:rsidR="005C2686" w:rsidRPr="00E940CF" w:rsidRDefault="005C2686" w:rsidP="00414367">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02747</w:t>
            </w:r>
          </w:p>
        </w:tc>
        <w:tc>
          <w:tcPr>
            <w:tcW w:w="2480" w:type="dxa"/>
            <w:tcBorders>
              <w:top w:val="single" w:sz="4" w:space="0" w:color="auto"/>
              <w:left w:val="nil"/>
              <w:bottom w:val="single" w:sz="4" w:space="0" w:color="auto"/>
              <w:right w:val="single" w:sz="4" w:space="0" w:color="auto"/>
            </w:tcBorders>
            <w:noWrap/>
            <w:vAlign w:val="bottom"/>
          </w:tcPr>
          <w:p w14:paraId="10B7EBEA" w14:textId="33075B23"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68</w:t>
            </w:r>
          </w:p>
        </w:tc>
        <w:tc>
          <w:tcPr>
            <w:tcW w:w="2480" w:type="dxa"/>
            <w:tcBorders>
              <w:top w:val="single" w:sz="4" w:space="0" w:color="auto"/>
              <w:left w:val="nil"/>
              <w:bottom w:val="single" w:sz="4" w:space="0" w:color="auto"/>
              <w:right w:val="single" w:sz="4" w:space="0" w:color="auto"/>
            </w:tcBorders>
          </w:tcPr>
          <w:p w14:paraId="7AE21B17" w14:textId="04EF346E"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60</w:t>
            </w:r>
          </w:p>
        </w:tc>
      </w:tr>
      <w:tr w:rsidR="005C2686" w:rsidRPr="00E940CF" w14:paraId="46D23A4D" w14:textId="77777777" w:rsidTr="00A9215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78554E6B" w14:textId="70B2804F" w:rsidR="005C2686" w:rsidRPr="00E940CF" w:rsidRDefault="005C2686" w:rsidP="00414367">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02721</w:t>
            </w:r>
          </w:p>
        </w:tc>
        <w:tc>
          <w:tcPr>
            <w:tcW w:w="2480" w:type="dxa"/>
            <w:tcBorders>
              <w:top w:val="single" w:sz="4" w:space="0" w:color="auto"/>
              <w:left w:val="nil"/>
              <w:bottom w:val="single" w:sz="4" w:space="0" w:color="auto"/>
              <w:right w:val="single" w:sz="4" w:space="0" w:color="auto"/>
            </w:tcBorders>
            <w:noWrap/>
            <w:vAlign w:val="bottom"/>
          </w:tcPr>
          <w:p w14:paraId="7BAE642A" w14:textId="761317C3"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58</w:t>
            </w:r>
          </w:p>
        </w:tc>
        <w:tc>
          <w:tcPr>
            <w:tcW w:w="2480" w:type="dxa"/>
            <w:tcBorders>
              <w:top w:val="single" w:sz="4" w:space="0" w:color="auto"/>
              <w:left w:val="nil"/>
              <w:bottom w:val="single" w:sz="4" w:space="0" w:color="auto"/>
              <w:right w:val="single" w:sz="4" w:space="0" w:color="auto"/>
            </w:tcBorders>
          </w:tcPr>
          <w:p w14:paraId="6C45A4DA" w14:textId="75824273"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64</w:t>
            </w:r>
          </w:p>
        </w:tc>
      </w:tr>
      <w:tr w:rsidR="005C2686" w:rsidRPr="00E940CF" w14:paraId="782C0B78" w14:textId="77777777" w:rsidTr="00A9215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5CF0236C" w14:textId="4C06B5A4" w:rsidR="005C2686" w:rsidRPr="00E940CF" w:rsidRDefault="005C2686" w:rsidP="00414367">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02777</w:t>
            </w:r>
          </w:p>
        </w:tc>
        <w:tc>
          <w:tcPr>
            <w:tcW w:w="2480" w:type="dxa"/>
            <w:tcBorders>
              <w:top w:val="single" w:sz="4" w:space="0" w:color="auto"/>
              <w:left w:val="nil"/>
              <w:bottom w:val="single" w:sz="4" w:space="0" w:color="auto"/>
              <w:right w:val="single" w:sz="4" w:space="0" w:color="auto"/>
            </w:tcBorders>
            <w:noWrap/>
            <w:vAlign w:val="bottom"/>
          </w:tcPr>
          <w:p w14:paraId="038BCEB0" w14:textId="06AD485C"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60</w:t>
            </w:r>
          </w:p>
        </w:tc>
        <w:tc>
          <w:tcPr>
            <w:tcW w:w="2480" w:type="dxa"/>
            <w:tcBorders>
              <w:top w:val="single" w:sz="4" w:space="0" w:color="auto"/>
              <w:left w:val="nil"/>
              <w:bottom w:val="single" w:sz="4" w:space="0" w:color="auto"/>
              <w:right w:val="single" w:sz="4" w:space="0" w:color="auto"/>
            </w:tcBorders>
          </w:tcPr>
          <w:p w14:paraId="2584F15C" w14:textId="3081E862"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73</w:t>
            </w:r>
          </w:p>
        </w:tc>
      </w:tr>
      <w:tr w:rsidR="005C2686" w:rsidRPr="00E940CF" w14:paraId="4D84BCBE" w14:textId="77777777" w:rsidTr="00A9215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7B6EDB6E" w14:textId="4EDD0E5A" w:rsidR="005C2686" w:rsidRPr="00E940CF" w:rsidRDefault="005C2686" w:rsidP="00414367">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02745</w:t>
            </w:r>
          </w:p>
        </w:tc>
        <w:tc>
          <w:tcPr>
            <w:tcW w:w="2480" w:type="dxa"/>
            <w:tcBorders>
              <w:top w:val="single" w:sz="4" w:space="0" w:color="auto"/>
              <w:left w:val="nil"/>
              <w:bottom w:val="single" w:sz="4" w:space="0" w:color="auto"/>
              <w:right w:val="single" w:sz="4" w:space="0" w:color="auto"/>
            </w:tcBorders>
            <w:noWrap/>
            <w:vAlign w:val="bottom"/>
          </w:tcPr>
          <w:p w14:paraId="66E50B3C" w14:textId="7FE27D03"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79</w:t>
            </w:r>
          </w:p>
        </w:tc>
        <w:tc>
          <w:tcPr>
            <w:tcW w:w="2480" w:type="dxa"/>
            <w:tcBorders>
              <w:top w:val="single" w:sz="4" w:space="0" w:color="auto"/>
              <w:left w:val="nil"/>
              <w:bottom w:val="single" w:sz="4" w:space="0" w:color="auto"/>
              <w:right w:val="single" w:sz="4" w:space="0" w:color="auto"/>
            </w:tcBorders>
          </w:tcPr>
          <w:p w14:paraId="7BECFBCC" w14:textId="301E4957"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71</w:t>
            </w:r>
          </w:p>
        </w:tc>
      </w:tr>
      <w:tr w:rsidR="005C2686" w:rsidRPr="00E940CF" w14:paraId="4AB478EF" w14:textId="77777777" w:rsidTr="00A9215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7C01B848" w14:textId="01ECA7BC" w:rsidR="005C2686" w:rsidRPr="00E940CF" w:rsidRDefault="005C2686" w:rsidP="00414367">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02720</w:t>
            </w:r>
          </w:p>
        </w:tc>
        <w:tc>
          <w:tcPr>
            <w:tcW w:w="2480" w:type="dxa"/>
            <w:tcBorders>
              <w:top w:val="single" w:sz="4" w:space="0" w:color="auto"/>
              <w:left w:val="nil"/>
              <w:bottom w:val="single" w:sz="4" w:space="0" w:color="auto"/>
              <w:right w:val="single" w:sz="4" w:space="0" w:color="auto"/>
            </w:tcBorders>
            <w:noWrap/>
            <w:vAlign w:val="bottom"/>
          </w:tcPr>
          <w:p w14:paraId="69079FBC" w14:textId="4ADD9B6D"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102</w:t>
            </w:r>
          </w:p>
        </w:tc>
        <w:tc>
          <w:tcPr>
            <w:tcW w:w="2480" w:type="dxa"/>
            <w:tcBorders>
              <w:top w:val="single" w:sz="4" w:space="0" w:color="auto"/>
              <w:left w:val="nil"/>
              <w:bottom w:val="single" w:sz="4" w:space="0" w:color="auto"/>
              <w:right w:val="single" w:sz="4" w:space="0" w:color="auto"/>
            </w:tcBorders>
          </w:tcPr>
          <w:p w14:paraId="6487D99E" w14:textId="0A17086F"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98</w:t>
            </w:r>
          </w:p>
        </w:tc>
      </w:tr>
      <w:tr w:rsidR="005C2686" w:rsidRPr="00E940CF" w14:paraId="2D76E33D" w14:textId="2666B008" w:rsidTr="00A9215F">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0A91FB01" w14:textId="4DECCB18" w:rsidR="005C2686" w:rsidRPr="00E940CF" w:rsidRDefault="005C2686" w:rsidP="00414367">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02740</w:t>
            </w:r>
          </w:p>
        </w:tc>
        <w:tc>
          <w:tcPr>
            <w:tcW w:w="2480" w:type="dxa"/>
            <w:tcBorders>
              <w:top w:val="single" w:sz="4" w:space="0" w:color="auto"/>
              <w:left w:val="nil"/>
              <w:bottom w:val="single" w:sz="4" w:space="0" w:color="auto"/>
              <w:right w:val="single" w:sz="4" w:space="0" w:color="auto"/>
            </w:tcBorders>
            <w:noWrap/>
            <w:vAlign w:val="bottom"/>
          </w:tcPr>
          <w:p w14:paraId="1D56FEBA" w14:textId="4F1E0854"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140</w:t>
            </w:r>
          </w:p>
        </w:tc>
        <w:tc>
          <w:tcPr>
            <w:tcW w:w="2480" w:type="dxa"/>
            <w:tcBorders>
              <w:top w:val="single" w:sz="4" w:space="0" w:color="auto"/>
              <w:left w:val="nil"/>
              <w:bottom w:val="single" w:sz="4" w:space="0" w:color="auto"/>
              <w:right w:val="single" w:sz="4" w:space="0" w:color="auto"/>
            </w:tcBorders>
          </w:tcPr>
          <w:p w14:paraId="4C7BE272" w14:textId="4202E194" w:rsidR="005C2686" w:rsidRPr="00E940CF" w:rsidRDefault="005C2686" w:rsidP="00414367">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167</w:t>
            </w:r>
          </w:p>
        </w:tc>
      </w:tr>
    </w:tbl>
    <w:p w14:paraId="7FF1E7AF" w14:textId="77777777" w:rsidR="005C2686" w:rsidRPr="00E940CF" w:rsidRDefault="005C2686" w:rsidP="00553E4F">
      <w:pPr>
        <w:ind w:left="360"/>
        <w:rPr>
          <w:rFonts w:ascii="Aptos" w:hAnsi="Aptos" w:cs="Times New Roman"/>
          <w:color w:val="1F4E79" w:themeColor="accent5" w:themeShade="80"/>
          <w:sz w:val="24"/>
          <w:szCs w:val="24"/>
        </w:rPr>
      </w:pPr>
    </w:p>
    <w:p w14:paraId="75D51116" w14:textId="3114A45A" w:rsidR="00553E4F" w:rsidRPr="00E940CF" w:rsidRDefault="00553E4F" w:rsidP="00553E4F">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Data Appendix Figure 3 – Updated</w:t>
      </w:r>
      <w:r w:rsidR="005C2686" w:rsidRPr="00E940CF">
        <w:rPr>
          <w:rFonts w:ascii="Aptos" w:hAnsi="Aptos" w:cs="Times New Roman"/>
          <w:color w:val="1F4E79" w:themeColor="accent5" w:themeShade="80"/>
          <w:sz w:val="24"/>
          <w:szCs w:val="24"/>
        </w:rPr>
        <w:t xml:space="preserve"> Table</w:t>
      </w:r>
      <w:r w:rsidRPr="00E940CF">
        <w:rPr>
          <w:rFonts w:ascii="Aptos" w:hAnsi="Aptos" w:cs="Times New Roman"/>
          <w:color w:val="1F4E79" w:themeColor="accent5" w:themeShade="80"/>
          <w:sz w:val="24"/>
          <w:szCs w:val="24"/>
        </w:rPr>
        <w:t xml:space="preserve"> shows the Applicant’s updated oncology volume comparing 2025 against 2020 from its top 15 Zip Codes.</w:t>
      </w:r>
      <w:r w:rsidR="00705804" w:rsidRPr="00E940CF">
        <w:rPr>
          <w:rFonts w:ascii="Aptos" w:hAnsi="Aptos" w:cs="Times New Roman"/>
          <w:color w:val="1F4E79" w:themeColor="accent5" w:themeShade="80"/>
          <w:sz w:val="24"/>
          <w:szCs w:val="24"/>
        </w:rPr>
        <w:t xml:space="preserve">  Of note, this figure shows even more growth in volumes across the Zip Codes, particularly in 02719 and 02740.</w:t>
      </w:r>
    </w:p>
    <w:p w14:paraId="68F5D34C" w14:textId="6992A7F7" w:rsidR="00445B99" w:rsidRPr="002246D5" w:rsidRDefault="00553E4F" w:rsidP="0000002D">
      <w:pPr>
        <w:keepNext/>
        <w:ind w:left="360"/>
        <w:rPr>
          <w:rFonts w:ascii="Aptos" w:hAnsi="Aptos" w:cs="Calibri"/>
          <w:sz w:val="24"/>
          <w:szCs w:val="24"/>
        </w:rPr>
      </w:pPr>
      <w:r w:rsidRPr="002246D5">
        <w:rPr>
          <w:rFonts w:ascii="Aptos" w:hAnsi="Aptos" w:cs="Times New Roman"/>
          <w:i/>
          <w:iCs/>
          <w:color w:val="1F4E79" w:themeColor="accent5" w:themeShade="80"/>
          <w:sz w:val="24"/>
          <w:szCs w:val="24"/>
        </w:rPr>
        <w:t>Data Appendix Figure 4 – Updated</w:t>
      </w:r>
    </w:p>
    <w:tbl>
      <w:tblPr>
        <w:tblW w:w="4360" w:type="dxa"/>
        <w:tblInd w:w="355" w:type="dxa"/>
        <w:tblLook w:val="04A0" w:firstRow="1" w:lastRow="0" w:firstColumn="1" w:lastColumn="0" w:noHBand="0" w:noVBand="1"/>
        <w:tblCaption w:val="Data Appendix Figure 4 – Updated"/>
      </w:tblPr>
      <w:tblGrid>
        <w:gridCol w:w="1280"/>
        <w:gridCol w:w="1320"/>
        <w:gridCol w:w="1760"/>
      </w:tblGrid>
      <w:tr w:rsidR="00445B99" w:rsidRPr="00E940CF" w14:paraId="0902DBC9" w14:textId="77777777" w:rsidTr="006213D9">
        <w:trPr>
          <w:cantSplit/>
          <w:trHeight w:val="300"/>
          <w:tblHeader/>
        </w:trPr>
        <w:tc>
          <w:tcPr>
            <w:tcW w:w="1280" w:type="dxa"/>
            <w:tcBorders>
              <w:top w:val="single" w:sz="4" w:space="0" w:color="auto"/>
              <w:left w:val="single" w:sz="4" w:space="0" w:color="auto"/>
              <w:bottom w:val="single" w:sz="4" w:space="0" w:color="auto"/>
              <w:right w:val="single" w:sz="4" w:space="0" w:color="auto"/>
            </w:tcBorders>
            <w:noWrap/>
            <w:vAlign w:val="bottom"/>
            <w:hideMark/>
          </w:tcPr>
          <w:p w14:paraId="39B808A4" w14:textId="77777777" w:rsidR="00445B99" w:rsidRPr="00E940CF" w:rsidRDefault="00445B99" w:rsidP="00445B99">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Age</w:t>
            </w:r>
          </w:p>
        </w:tc>
        <w:tc>
          <w:tcPr>
            <w:tcW w:w="1320" w:type="dxa"/>
            <w:tcBorders>
              <w:top w:val="single" w:sz="4" w:space="0" w:color="auto"/>
              <w:left w:val="nil"/>
              <w:bottom w:val="single" w:sz="4" w:space="0" w:color="auto"/>
              <w:right w:val="single" w:sz="4" w:space="0" w:color="auto"/>
            </w:tcBorders>
            <w:noWrap/>
            <w:vAlign w:val="bottom"/>
            <w:hideMark/>
          </w:tcPr>
          <w:p w14:paraId="643042FC" w14:textId="77777777" w:rsidR="00445B99" w:rsidRPr="00E940CF" w:rsidRDefault="00445B99" w:rsidP="00445B99">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Count</w:t>
            </w:r>
          </w:p>
        </w:tc>
        <w:tc>
          <w:tcPr>
            <w:tcW w:w="1760" w:type="dxa"/>
            <w:tcBorders>
              <w:top w:val="single" w:sz="4" w:space="0" w:color="auto"/>
              <w:left w:val="nil"/>
              <w:bottom w:val="single" w:sz="4" w:space="0" w:color="auto"/>
              <w:right w:val="single" w:sz="4" w:space="0" w:color="auto"/>
            </w:tcBorders>
            <w:noWrap/>
            <w:vAlign w:val="bottom"/>
            <w:hideMark/>
          </w:tcPr>
          <w:p w14:paraId="2A869B5C" w14:textId="77777777" w:rsidR="00445B99" w:rsidRPr="00E940CF" w:rsidRDefault="00445B99" w:rsidP="00445B99">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Cumulative Count</w:t>
            </w:r>
          </w:p>
        </w:tc>
      </w:tr>
      <w:tr w:rsidR="00445B99" w:rsidRPr="00E940CF" w14:paraId="2C23DD98"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7153C770" w14:textId="243BEA11"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&lt;21</w:t>
            </w:r>
          </w:p>
        </w:tc>
        <w:tc>
          <w:tcPr>
            <w:tcW w:w="1320" w:type="dxa"/>
            <w:tcBorders>
              <w:top w:val="nil"/>
              <w:left w:val="nil"/>
              <w:bottom w:val="single" w:sz="4" w:space="0" w:color="auto"/>
              <w:right w:val="single" w:sz="4" w:space="0" w:color="auto"/>
            </w:tcBorders>
            <w:noWrap/>
            <w:vAlign w:val="bottom"/>
            <w:hideMark/>
          </w:tcPr>
          <w:p w14:paraId="3617123F" w14:textId="639866FE"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12</w:t>
            </w:r>
          </w:p>
        </w:tc>
        <w:tc>
          <w:tcPr>
            <w:tcW w:w="1760" w:type="dxa"/>
            <w:tcBorders>
              <w:top w:val="nil"/>
              <w:left w:val="nil"/>
              <w:bottom w:val="single" w:sz="4" w:space="0" w:color="auto"/>
              <w:right w:val="single" w:sz="4" w:space="0" w:color="auto"/>
            </w:tcBorders>
            <w:noWrap/>
            <w:vAlign w:val="bottom"/>
            <w:hideMark/>
          </w:tcPr>
          <w:p w14:paraId="2E23BD59"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12</w:t>
            </w:r>
          </w:p>
        </w:tc>
      </w:tr>
      <w:tr w:rsidR="00445B99" w:rsidRPr="00E940CF" w14:paraId="788AF263"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76F8D706"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21</w:t>
            </w:r>
          </w:p>
        </w:tc>
        <w:tc>
          <w:tcPr>
            <w:tcW w:w="1320" w:type="dxa"/>
            <w:tcBorders>
              <w:top w:val="nil"/>
              <w:left w:val="nil"/>
              <w:bottom w:val="single" w:sz="4" w:space="0" w:color="auto"/>
              <w:right w:val="single" w:sz="4" w:space="0" w:color="auto"/>
            </w:tcBorders>
            <w:noWrap/>
            <w:vAlign w:val="bottom"/>
            <w:hideMark/>
          </w:tcPr>
          <w:p w14:paraId="435DF3F8" w14:textId="316D0201"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&lt;10</w:t>
            </w:r>
          </w:p>
        </w:tc>
        <w:tc>
          <w:tcPr>
            <w:tcW w:w="1760" w:type="dxa"/>
            <w:tcBorders>
              <w:top w:val="nil"/>
              <w:left w:val="nil"/>
              <w:bottom w:val="single" w:sz="4" w:space="0" w:color="auto"/>
              <w:right w:val="single" w:sz="4" w:space="0" w:color="auto"/>
            </w:tcBorders>
            <w:noWrap/>
            <w:vAlign w:val="bottom"/>
            <w:hideMark/>
          </w:tcPr>
          <w:p w14:paraId="0665556D"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15</w:t>
            </w:r>
          </w:p>
        </w:tc>
      </w:tr>
      <w:tr w:rsidR="00445B99" w:rsidRPr="00E940CF" w14:paraId="4FCED90F"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0581BE39"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22</w:t>
            </w:r>
          </w:p>
        </w:tc>
        <w:tc>
          <w:tcPr>
            <w:tcW w:w="1320" w:type="dxa"/>
            <w:tcBorders>
              <w:top w:val="nil"/>
              <w:left w:val="nil"/>
              <w:bottom w:val="single" w:sz="4" w:space="0" w:color="auto"/>
              <w:right w:val="single" w:sz="4" w:space="0" w:color="auto"/>
            </w:tcBorders>
            <w:noWrap/>
            <w:vAlign w:val="bottom"/>
            <w:hideMark/>
          </w:tcPr>
          <w:p w14:paraId="5D6B46BB" w14:textId="3BE76FD0"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&lt;10</w:t>
            </w:r>
          </w:p>
        </w:tc>
        <w:tc>
          <w:tcPr>
            <w:tcW w:w="1760" w:type="dxa"/>
            <w:tcBorders>
              <w:top w:val="nil"/>
              <w:left w:val="nil"/>
              <w:bottom w:val="single" w:sz="4" w:space="0" w:color="auto"/>
              <w:right w:val="single" w:sz="4" w:space="0" w:color="auto"/>
            </w:tcBorders>
            <w:noWrap/>
            <w:vAlign w:val="bottom"/>
            <w:hideMark/>
          </w:tcPr>
          <w:p w14:paraId="77854C59"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17</w:t>
            </w:r>
          </w:p>
        </w:tc>
      </w:tr>
      <w:tr w:rsidR="00445B99" w:rsidRPr="00E940CF" w14:paraId="2F2BB65E"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4D69EF7D"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23</w:t>
            </w:r>
          </w:p>
        </w:tc>
        <w:tc>
          <w:tcPr>
            <w:tcW w:w="1320" w:type="dxa"/>
            <w:tcBorders>
              <w:top w:val="nil"/>
              <w:left w:val="nil"/>
              <w:bottom w:val="single" w:sz="4" w:space="0" w:color="auto"/>
              <w:right w:val="single" w:sz="4" w:space="0" w:color="auto"/>
            </w:tcBorders>
            <w:noWrap/>
            <w:vAlign w:val="bottom"/>
            <w:hideMark/>
          </w:tcPr>
          <w:p w14:paraId="74155C7C" w14:textId="404008C5"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&lt;10</w:t>
            </w:r>
          </w:p>
        </w:tc>
        <w:tc>
          <w:tcPr>
            <w:tcW w:w="1760" w:type="dxa"/>
            <w:tcBorders>
              <w:top w:val="nil"/>
              <w:left w:val="nil"/>
              <w:bottom w:val="single" w:sz="4" w:space="0" w:color="auto"/>
              <w:right w:val="single" w:sz="4" w:space="0" w:color="auto"/>
            </w:tcBorders>
            <w:noWrap/>
            <w:vAlign w:val="bottom"/>
            <w:hideMark/>
          </w:tcPr>
          <w:p w14:paraId="7289E539"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25</w:t>
            </w:r>
          </w:p>
        </w:tc>
      </w:tr>
      <w:tr w:rsidR="00445B99" w:rsidRPr="00E940CF" w14:paraId="1E1185D2"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3AFFF4F6"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24</w:t>
            </w:r>
          </w:p>
        </w:tc>
        <w:tc>
          <w:tcPr>
            <w:tcW w:w="1320" w:type="dxa"/>
            <w:tcBorders>
              <w:top w:val="nil"/>
              <w:left w:val="nil"/>
              <w:bottom w:val="single" w:sz="4" w:space="0" w:color="auto"/>
              <w:right w:val="single" w:sz="4" w:space="0" w:color="auto"/>
            </w:tcBorders>
            <w:noWrap/>
            <w:vAlign w:val="bottom"/>
            <w:hideMark/>
          </w:tcPr>
          <w:p w14:paraId="08655FC8" w14:textId="66EF2499"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&lt;10</w:t>
            </w:r>
          </w:p>
        </w:tc>
        <w:tc>
          <w:tcPr>
            <w:tcW w:w="1760" w:type="dxa"/>
            <w:tcBorders>
              <w:top w:val="nil"/>
              <w:left w:val="nil"/>
              <w:bottom w:val="single" w:sz="4" w:space="0" w:color="auto"/>
              <w:right w:val="single" w:sz="4" w:space="0" w:color="auto"/>
            </w:tcBorders>
            <w:noWrap/>
            <w:vAlign w:val="bottom"/>
            <w:hideMark/>
          </w:tcPr>
          <w:p w14:paraId="34182A0A"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32</w:t>
            </w:r>
          </w:p>
        </w:tc>
      </w:tr>
      <w:tr w:rsidR="00445B99" w:rsidRPr="00E940CF" w14:paraId="4A4EC9D8"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21478802"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25</w:t>
            </w:r>
          </w:p>
        </w:tc>
        <w:tc>
          <w:tcPr>
            <w:tcW w:w="1320" w:type="dxa"/>
            <w:tcBorders>
              <w:top w:val="nil"/>
              <w:left w:val="nil"/>
              <w:bottom w:val="single" w:sz="4" w:space="0" w:color="auto"/>
              <w:right w:val="single" w:sz="4" w:space="0" w:color="auto"/>
            </w:tcBorders>
            <w:noWrap/>
            <w:vAlign w:val="bottom"/>
            <w:hideMark/>
          </w:tcPr>
          <w:p w14:paraId="5039697A" w14:textId="2980864C"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&lt;10</w:t>
            </w:r>
          </w:p>
        </w:tc>
        <w:tc>
          <w:tcPr>
            <w:tcW w:w="1760" w:type="dxa"/>
            <w:tcBorders>
              <w:top w:val="nil"/>
              <w:left w:val="nil"/>
              <w:bottom w:val="single" w:sz="4" w:space="0" w:color="auto"/>
              <w:right w:val="single" w:sz="4" w:space="0" w:color="auto"/>
            </w:tcBorders>
            <w:noWrap/>
            <w:vAlign w:val="bottom"/>
            <w:hideMark/>
          </w:tcPr>
          <w:p w14:paraId="4590425D"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39</w:t>
            </w:r>
          </w:p>
        </w:tc>
      </w:tr>
      <w:tr w:rsidR="00445B99" w:rsidRPr="00E940CF" w14:paraId="657D37F3"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4BA23810"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26</w:t>
            </w:r>
          </w:p>
        </w:tc>
        <w:tc>
          <w:tcPr>
            <w:tcW w:w="1320" w:type="dxa"/>
            <w:tcBorders>
              <w:top w:val="nil"/>
              <w:left w:val="nil"/>
              <w:bottom w:val="single" w:sz="4" w:space="0" w:color="auto"/>
              <w:right w:val="single" w:sz="4" w:space="0" w:color="auto"/>
            </w:tcBorders>
            <w:noWrap/>
            <w:vAlign w:val="bottom"/>
            <w:hideMark/>
          </w:tcPr>
          <w:p w14:paraId="294D9A6D" w14:textId="14A52E5E"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&lt;10</w:t>
            </w:r>
          </w:p>
        </w:tc>
        <w:tc>
          <w:tcPr>
            <w:tcW w:w="1760" w:type="dxa"/>
            <w:tcBorders>
              <w:top w:val="nil"/>
              <w:left w:val="nil"/>
              <w:bottom w:val="single" w:sz="4" w:space="0" w:color="auto"/>
              <w:right w:val="single" w:sz="4" w:space="0" w:color="auto"/>
            </w:tcBorders>
            <w:noWrap/>
            <w:vAlign w:val="bottom"/>
            <w:hideMark/>
          </w:tcPr>
          <w:p w14:paraId="212A0E8F"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48</w:t>
            </w:r>
          </w:p>
        </w:tc>
      </w:tr>
      <w:tr w:rsidR="00445B99" w:rsidRPr="00E940CF" w14:paraId="67614D58"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0FD8415E"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27</w:t>
            </w:r>
          </w:p>
        </w:tc>
        <w:tc>
          <w:tcPr>
            <w:tcW w:w="1320" w:type="dxa"/>
            <w:tcBorders>
              <w:top w:val="nil"/>
              <w:left w:val="nil"/>
              <w:bottom w:val="single" w:sz="4" w:space="0" w:color="auto"/>
              <w:right w:val="single" w:sz="4" w:space="0" w:color="auto"/>
            </w:tcBorders>
            <w:noWrap/>
            <w:vAlign w:val="bottom"/>
            <w:hideMark/>
          </w:tcPr>
          <w:p w14:paraId="76506FB0" w14:textId="0ECB5A2D"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&lt;10</w:t>
            </w:r>
          </w:p>
        </w:tc>
        <w:tc>
          <w:tcPr>
            <w:tcW w:w="1760" w:type="dxa"/>
            <w:tcBorders>
              <w:top w:val="nil"/>
              <w:left w:val="nil"/>
              <w:bottom w:val="single" w:sz="4" w:space="0" w:color="auto"/>
              <w:right w:val="single" w:sz="4" w:space="0" w:color="auto"/>
            </w:tcBorders>
            <w:noWrap/>
            <w:vAlign w:val="bottom"/>
            <w:hideMark/>
          </w:tcPr>
          <w:p w14:paraId="06D9AA27"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51</w:t>
            </w:r>
          </w:p>
        </w:tc>
      </w:tr>
      <w:tr w:rsidR="00445B99" w:rsidRPr="00E940CF" w14:paraId="119EB7EF"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1AE10522"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28</w:t>
            </w:r>
          </w:p>
        </w:tc>
        <w:tc>
          <w:tcPr>
            <w:tcW w:w="1320" w:type="dxa"/>
            <w:tcBorders>
              <w:top w:val="nil"/>
              <w:left w:val="nil"/>
              <w:bottom w:val="single" w:sz="4" w:space="0" w:color="auto"/>
              <w:right w:val="single" w:sz="4" w:space="0" w:color="auto"/>
            </w:tcBorders>
            <w:noWrap/>
            <w:vAlign w:val="bottom"/>
            <w:hideMark/>
          </w:tcPr>
          <w:p w14:paraId="458EACDD"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16</w:t>
            </w:r>
          </w:p>
        </w:tc>
        <w:tc>
          <w:tcPr>
            <w:tcW w:w="1760" w:type="dxa"/>
            <w:tcBorders>
              <w:top w:val="nil"/>
              <w:left w:val="nil"/>
              <w:bottom w:val="single" w:sz="4" w:space="0" w:color="auto"/>
              <w:right w:val="single" w:sz="4" w:space="0" w:color="auto"/>
            </w:tcBorders>
            <w:noWrap/>
            <w:vAlign w:val="bottom"/>
            <w:hideMark/>
          </w:tcPr>
          <w:p w14:paraId="0D8A6704"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67</w:t>
            </w:r>
          </w:p>
        </w:tc>
      </w:tr>
      <w:tr w:rsidR="00445B99" w:rsidRPr="00E940CF" w14:paraId="23A93A01"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1102F723"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29</w:t>
            </w:r>
          </w:p>
        </w:tc>
        <w:tc>
          <w:tcPr>
            <w:tcW w:w="1320" w:type="dxa"/>
            <w:tcBorders>
              <w:top w:val="nil"/>
              <w:left w:val="nil"/>
              <w:bottom w:val="single" w:sz="4" w:space="0" w:color="auto"/>
              <w:right w:val="single" w:sz="4" w:space="0" w:color="auto"/>
            </w:tcBorders>
            <w:noWrap/>
            <w:vAlign w:val="bottom"/>
            <w:hideMark/>
          </w:tcPr>
          <w:p w14:paraId="39CFACBE" w14:textId="4A85ADFE"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&lt;10</w:t>
            </w:r>
          </w:p>
        </w:tc>
        <w:tc>
          <w:tcPr>
            <w:tcW w:w="1760" w:type="dxa"/>
            <w:tcBorders>
              <w:top w:val="nil"/>
              <w:left w:val="nil"/>
              <w:bottom w:val="single" w:sz="4" w:space="0" w:color="auto"/>
              <w:right w:val="single" w:sz="4" w:space="0" w:color="auto"/>
            </w:tcBorders>
            <w:noWrap/>
            <w:vAlign w:val="bottom"/>
            <w:hideMark/>
          </w:tcPr>
          <w:p w14:paraId="6F22C33F"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72</w:t>
            </w:r>
          </w:p>
        </w:tc>
      </w:tr>
      <w:tr w:rsidR="00445B99" w:rsidRPr="00E940CF" w14:paraId="3517914F"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2E23046B"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lastRenderedPageBreak/>
              <w:t>30</w:t>
            </w:r>
          </w:p>
        </w:tc>
        <w:tc>
          <w:tcPr>
            <w:tcW w:w="1320" w:type="dxa"/>
            <w:tcBorders>
              <w:top w:val="nil"/>
              <w:left w:val="nil"/>
              <w:bottom w:val="single" w:sz="4" w:space="0" w:color="auto"/>
              <w:right w:val="single" w:sz="4" w:space="0" w:color="auto"/>
            </w:tcBorders>
            <w:noWrap/>
            <w:hideMark/>
          </w:tcPr>
          <w:p w14:paraId="106D3E5D" w14:textId="4A6E0AE9"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&lt;10</w:t>
            </w:r>
          </w:p>
        </w:tc>
        <w:tc>
          <w:tcPr>
            <w:tcW w:w="1760" w:type="dxa"/>
            <w:tcBorders>
              <w:top w:val="nil"/>
              <w:left w:val="nil"/>
              <w:bottom w:val="single" w:sz="4" w:space="0" w:color="auto"/>
              <w:right w:val="single" w:sz="4" w:space="0" w:color="auto"/>
            </w:tcBorders>
            <w:noWrap/>
            <w:vAlign w:val="bottom"/>
            <w:hideMark/>
          </w:tcPr>
          <w:p w14:paraId="49FE1FD2"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76</w:t>
            </w:r>
          </w:p>
        </w:tc>
      </w:tr>
      <w:tr w:rsidR="00445B99" w:rsidRPr="00E940CF" w14:paraId="702A6DD1"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642E4B41"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31</w:t>
            </w:r>
          </w:p>
        </w:tc>
        <w:tc>
          <w:tcPr>
            <w:tcW w:w="1320" w:type="dxa"/>
            <w:tcBorders>
              <w:top w:val="nil"/>
              <w:left w:val="nil"/>
              <w:bottom w:val="single" w:sz="4" w:space="0" w:color="auto"/>
              <w:right w:val="single" w:sz="4" w:space="0" w:color="auto"/>
            </w:tcBorders>
            <w:noWrap/>
            <w:hideMark/>
          </w:tcPr>
          <w:p w14:paraId="5F09E85C" w14:textId="3939539D"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&lt;10</w:t>
            </w:r>
          </w:p>
        </w:tc>
        <w:tc>
          <w:tcPr>
            <w:tcW w:w="1760" w:type="dxa"/>
            <w:tcBorders>
              <w:top w:val="nil"/>
              <w:left w:val="nil"/>
              <w:bottom w:val="single" w:sz="4" w:space="0" w:color="auto"/>
              <w:right w:val="single" w:sz="4" w:space="0" w:color="auto"/>
            </w:tcBorders>
            <w:noWrap/>
            <w:vAlign w:val="bottom"/>
            <w:hideMark/>
          </w:tcPr>
          <w:p w14:paraId="1A23F2E8"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84</w:t>
            </w:r>
          </w:p>
        </w:tc>
      </w:tr>
      <w:tr w:rsidR="00445B99" w:rsidRPr="00E940CF" w14:paraId="22F10862"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26C3EC54"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32</w:t>
            </w:r>
          </w:p>
        </w:tc>
        <w:tc>
          <w:tcPr>
            <w:tcW w:w="1320" w:type="dxa"/>
            <w:tcBorders>
              <w:top w:val="nil"/>
              <w:left w:val="nil"/>
              <w:bottom w:val="single" w:sz="4" w:space="0" w:color="auto"/>
              <w:right w:val="single" w:sz="4" w:space="0" w:color="auto"/>
            </w:tcBorders>
            <w:noWrap/>
            <w:hideMark/>
          </w:tcPr>
          <w:p w14:paraId="454E20AA" w14:textId="08030FAD"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&lt;10</w:t>
            </w:r>
          </w:p>
        </w:tc>
        <w:tc>
          <w:tcPr>
            <w:tcW w:w="1760" w:type="dxa"/>
            <w:tcBorders>
              <w:top w:val="nil"/>
              <w:left w:val="nil"/>
              <w:bottom w:val="single" w:sz="4" w:space="0" w:color="auto"/>
              <w:right w:val="single" w:sz="4" w:space="0" w:color="auto"/>
            </w:tcBorders>
            <w:noWrap/>
            <w:vAlign w:val="bottom"/>
            <w:hideMark/>
          </w:tcPr>
          <w:p w14:paraId="614804E7"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93</w:t>
            </w:r>
          </w:p>
        </w:tc>
      </w:tr>
      <w:tr w:rsidR="00445B99" w:rsidRPr="00E940CF" w14:paraId="0321350A"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13DB51C0"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33</w:t>
            </w:r>
          </w:p>
        </w:tc>
        <w:tc>
          <w:tcPr>
            <w:tcW w:w="1320" w:type="dxa"/>
            <w:tcBorders>
              <w:top w:val="nil"/>
              <w:left w:val="nil"/>
              <w:bottom w:val="single" w:sz="4" w:space="0" w:color="auto"/>
              <w:right w:val="single" w:sz="4" w:space="0" w:color="auto"/>
            </w:tcBorders>
            <w:noWrap/>
            <w:vAlign w:val="bottom"/>
            <w:hideMark/>
          </w:tcPr>
          <w:p w14:paraId="5FDBE46D"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14</w:t>
            </w:r>
          </w:p>
        </w:tc>
        <w:tc>
          <w:tcPr>
            <w:tcW w:w="1760" w:type="dxa"/>
            <w:tcBorders>
              <w:top w:val="nil"/>
              <w:left w:val="nil"/>
              <w:bottom w:val="single" w:sz="4" w:space="0" w:color="auto"/>
              <w:right w:val="single" w:sz="4" w:space="0" w:color="auto"/>
            </w:tcBorders>
            <w:noWrap/>
            <w:vAlign w:val="bottom"/>
            <w:hideMark/>
          </w:tcPr>
          <w:p w14:paraId="11D713D9"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107</w:t>
            </w:r>
          </w:p>
        </w:tc>
      </w:tr>
      <w:tr w:rsidR="00445B99" w:rsidRPr="00E940CF" w14:paraId="00FE1881"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2BFC85DE"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34</w:t>
            </w:r>
          </w:p>
        </w:tc>
        <w:tc>
          <w:tcPr>
            <w:tcW w:w="1320" w:type="dxa"/>
            <w:tcBorders>
              <w:top w:val="nil"/>
              <w:left w:val="nil"/>
              <w:bottom w:val="single" w:sz="4" w:space="0" w:color="auto"/>
              <w:right w:val="single" w:sz="4" w:space="0" w:color="auto"/>
            </w:tcBorders>
            <w:noWrap/>
            <w:vAlign w:val="bottom"/>
            <w:hideMark/>
          </w:tcPr>
          <w:p w14:paraId="11A86933"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25</w:t>
            </w:r>
          </w:p>
        </w:tc>
        <w:tc>
          <w:tcPr>
            <w:tcW w:w="1760" w:type="dxa"/>
            <w:tcBorders>
              <w:top w:val="nil"/>
              <w:left w:val="nil"/>
              <w:bottom w:val="single" w:sz="4" w:space="0" w:color="auto"/>
              <w:right w:val="single" w:sz="4" w:space="0" w:color="auto"/>
            </w:tcBorders>
            <w:noWrap/>
            <w:vAlign w:val="bottom"/>
            <w:hideMark/>
          </w:tcPr>
          <w:p w14:paraId="04D881F4"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132</w:t>
            </w:r>
          </w:p>
        </w:tc>
      </w:tr>
      <w:tr w:rsidR="00445B99" w:rsidRPr="00E940CF" w14:paraId="3958E704"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2EFEBC72"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35</w:t>
            </w:r>
          </w:p>
        </w:tc>
        <w:tc>
          <w:tcPr>
            <w:tcW w:w="1320" w:type="dxa"/>
            <w:tcBorders>
              <w:top w:val="nil"/>
              <w:left w:val="nil"/>
              <w:bottom w:val="single" w:sz="4" w:space="0" w:color="auto"/>
              <w:right w:val="single" w:sz="4" w:space="0" w:color="auto"/>
            </w:tcBorders>
            <w:noWrap/>
            <w:vAlign w:val="bottom"/>
            <w:hideMark/>
          </w:tcPr>
          <w:p w14:paraId="7D902200"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16</w:t>
            </w:r>
          </w:p>
        </w:tc>
        <w:tc>
          <w:tcPr>
            <w:tcW w:w="1760" w:type="dxa"/>
            <w:tcBorders>
              <w:top w:val="nil"/>
              <w:left w:val="nil"/>
              <w:bottom w:val="single" w:sz="4" w:space="0" w:color="auto"/>
              <w:right w:val="single" w:sz="4" w:space="0" w:color="auto"/>
            </w:tcBorders>
            <w:noWrap/>
            <w:vAlign w:val="bottom"/>
            <w:hideMark/>
          </w:tcPr>
          <w:p w14:paraId="1D75555F"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148</w:t>
            </w:r>
          </w:p>
        </w:tc>
      </w:tr>
      <w:tr w:rsidR="00445B99" w:rsidRPr="00E940CF" w14:paraId="20C40EE3"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22A36590"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36</w:t>
            </w:r>
          </w:p>
        </w:tc>
        <w:tc>
          <w:tcPr>
            <w:tcW w:w="1320" w:type="dxa"/>
            <w:tcBorders>
              <w:top w:val="nil"/>
              <w:left w:val="nil"/>
              <w:bottom w:val="single" w:sz="4" w:space="0" w:color="auto"/>
              <w:right w:val="single" w:sz="4" w:space="0" w:color="auto"/>
            </w:tcBorders>
            <w:noWrap/>
            <w:vAlign w:val="bottom"/>
            <w:hideMark/>
          </w:tcPr>
          <w:p w14:paraId="717C085F"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20</w:t>
            </w:r>
          </w:p>
        </w:tc>
        <w:tc>
          <w:tcPr>
            <w:tcW w:w="1760" w:type="dxa"/>
            <w:tcBorders>
              <w:top w:val="nil"/>
              <w:left w:val="nil"/>
              <w:bottom w:val="single" w:sz="4" w:space="0" w:color="auto"/>
              <w:right w:val="single" w:sz="4" w:space="0" w:color="auto"/>
            </w:tcBorders>
            <w:noWrap/>
            <w:vAlign w:val="bottom"/>
            <w:hideMark/>
          </w:tcPr>
          <w:p w14:paraId="3E5A1428"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168</w:t>
            </w:r>
          </w:p>
        </w:tc>
      </w:tr>
      <w:tr w:rsidR="00445B99" w:rsidRPr="00E940CF" w14:paraId="422242D6"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1C7BD177"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37</w:t>
            </w:r>
          </w:p>
        </w:tc>
        <w:tc>
          <w:tcPr>
            <w:tcW w:w="1320" w:type="dxa"/>
            <w:tcBorders>
              <w:top w:val="nil"/>
              <w:left w:val="nil"/>
              <w:bottom w:val="single" w:sz="4" w:space="0" w:color="auto"/>
              <w:right w:val="single" w:sz="4" w:space="0" w:color="auto"/>
            </w:tcBorders>
            <w:noWrap/>
            <w:vAlign w:val="bottom"/>
            <w:hideMark/>
          </w:tcPr>
          <w:p w14:paraId="551F8225"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21</w:t>
            </w:r>
          </w:p>
        </w:tc>
        <w:tc>
          <w:tcPr>
            <w:tcW w:w="1760" w:type="dxa"/>
            <w:tcBorders>
              <w:top w:val="nil"/>
              <w:left w:val="nil"/>
              <w:bottom w:val="single" w:sz="4" w:space="0" w:color="auto"/>
              <w:right w:val="single" w:sz="4" w:space="0" w:color="auto"/>
            </w:tcBorders>
            <w:noWrap/>
            <w:vAlign w:val="bottom"/>
            <w:hideMark/>
          </w:tcPr>
          <w:p w14:paraId="34D09CF5"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189</w:t>
            </w:r>
          </w:p>
        </w:tc>
      </w:tr>
      <w:tr w:rsidR="00445B99" w:rsidRPr="00E940CF" w14:paraId="3E063090"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376AF1CC"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38</w:t>
            </w:r>
          </w:p>
        </w:tc>
        <w:tc>
          <w:tcPr>
            <w:tcW w:w="1320" w:type="dxa"/>
            <w:tcBorders>
              <w:top w:val="nil"/>
              <w:left w:val="nil"/>
              <w:bottom w:val="single" w:sz="4" w:space="0" w:color="auto"/>
              <w:right w:val="single" w:sz="4" w:space="0" w:color="auto"/>
            </w:tcBorders>
            <w:noWrap/>
            <w:vAlign w:val="bottom"/>
            <w:hideMark/>
          </w:tcPr>
          <w:p w14:paraId="1CCAE1B9"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26</w:t>
            </w:r>
          </w:p>
        </w:tc>
        <w:tc>
          <w:tcPr>
            <w:tcW w:w="1760" w:type="dxa"/>
            <w:tcBorders>
              <w:top w:val="nil"/>
              <w:left w:val="nil"/>
              <w:bottom w:val="single" w:sz="4" w:space="0" w:color="auto"/>
              <w:right w:val="single" w:sz="4" w:space="0" w:color="auto"/>
            </w:tcBorders>
            <w:noWrap/>
            <w:vAlign w:val="bottom"/>
            <w:hideMark/>
          </w:tcPr>
          <w:p w14:paraId="2E423C0B"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215</w:t>
            </w:r>
          </w:p>
        </w:tc>
      </w:tr>
      <w:tr w:rsidR="00445B99" w:rsidRPr="00E940CF" w14:paraId="55091818"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0E81D17E"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39</w:t>
            </w:r>
          </w:p>
        </w:tc>
        <w:tc>
          <w:tcPr>
            <w:tcW w:w="1320" w:type="dxa"/>
            <w:tcBorders>
              <w:top w:val="nil"/>
              <w:left w:val="nil"/>
              <w:bottom w:val="single" w:sz="4" w:space="0" w:color="auto"/>
              <w:right w:val="single" w:sz="4" w:space="0" w:color="auto"/>
            </w:tcBorders>
            <w:noWrap/>
            <w:vAlign w:val="bottom"/>
            <w:hideMark/>
          </w:tcPr>
          <w:p w14:paraId="254E85B3"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29</w:t>
            </w:r>
          </w:p>
        </w:tc>
        <w:tc>
          <w:tcPr>
            <w:tcW w:w="1760" w:type="dxa"/>
            <w:tcBorders>
              <w:top w:val="nil"/>
              <w:left w:val="nil"/>
              <w:bottom w:val="single" w:sz="4" w:space="0" w:color="auto"/>
              <w:right w:val="single" w:sz="4" w:space="0" w:color="auto"/>
            </w:tcBorders>
            <w:noWrap/>
            <w:vAlign w:val="bottom"/>
            <w:hideMark/>
          </w:tcPr>
          <w:p w14:paraId="506BDCF9"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244</w:t>
            </w:r>
          </w:p>
        </w:tc>
      </w:tr>
      <w:tr w:rsidR="00445B99" w:rsidRPr="00E940CF" w14:paraId="634C4799"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58EE302D"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40</w:t>
            </w:r>
          </w:p>
        </w:tc>
        <w:tc>
          <w:tcPr>
            <w:tcW w:w="1320" w:type="dxa"/>
            <w:tcBorders>
              <w:top w:val="nil"/>
              <w:left w:val="nil"/>
              <w:bottom w:val="single" w:sz="4" w:space="0" w:color="auto"/>
              <w:right w:val="single" w:sz="4" w:space="0" w:color="auto"/>
            </w:tcBorders>
            <w:noWrap/>
            <w:vAlign w:val="bottom"/>
            <w:hideMark/>
          </w:tcPr>
          <w:p w14:paraId="44BB17EC"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21</w:t>
            </w:r>
          </w:p>
        </w:tc>
        <w:tc>
          <w:tcPr>
            <w:tcW w:w="1760" w:type="dxa"/>
            <w:tcBorders>
              <w:top w:val="nil"/>
              <w:left w:val="nil"/>
              <w:bottom w:val="single" w:sz="4" w:space="0" w:color="auto"/>
              <w:right w:val="single" w:sz="4" w:space="0" w:color="auto"/>
            </w:tcBorders>
            <w:noWrap/>
            <w:vAlign w:val="bottom"/>
            <w:hideMark/>
          </w:tcPr>
          <w:p w14:paraId="58918FF3"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265</w:t>
            </w:r>
          </w:p>
        </w:tc>
      </w:tr>
      <w:tr w:rsidR="00445B99" w:rsidRPr="00E940CF" w14:paraId="50B383BF"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0063AF1F"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41</w:t>
            </w:r>
          </w:p>
        </w:tc>
        <w:tc>
          <w:tcPr>
            <w:tcW w:w="1320" w:type="dxa"/>
            <w:tcBorders>
              <w:top w:val="nil"/>
              <w:left w:val="nil"/>
              <w:bottom w:val="single" w:sz="4" w:space="0" w:color="auto"/>
              <w:right w:val="single" w:sz="4" w:space="0" w:color="auto"/>
            </w:tcBorders>
            <w:noWrap/>
            <w:vAlign w:val="bottom"/>
            <w:hideMark/>
          </w:tcPr>
          <w:p w14:paraId="0B41F961"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21</w:t>
            </w:r>
          </w:p>
        </w:tc>
        <w:tc>
          <w:tcPr>
            <w:tcW w:w="1760" w:type="dxa"/>
            <w:tcBorders>
              <w:top w:val="nil"/>
              <w:left w:val="nil"/>
              <w:bottom w:val="single" w:sz="4" w:space="0" w:color="auto"/>
              <w:right w:val="single" w:sz="4" w:space="0" w:color="auto"/>
            </w:tcBorders>
            <w:noWrap/>
            <w:vAlign w:val="bottom"/>
            <w:hideMark/>
          </w:tcPr>
          <w:p w14:paraId="7D08ABCB"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286</w:t>
            </w:r>
          </w:p>
        </w:tc>
      </w:tr>
      <w:tr w:rsidR="00445B99" w:rsidRPr="00E940CF" w14:paraId="149B57DF"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11D20E6E"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42</w:t>
            </w:r>
          </w:p>
        </w:tc>
        <w:tc>
          <w:tcPr>
            <w:tcW w:w="1320" w:type="dxa"/>
            <w:tcBorders>
              <w:top w:val="nil"/>
              <w:left w:val="nil"/>
              <w:bottom w:val="single" w:sz="4" w:space="0" w:color="auto"/>
              <w:right w:val="single" w:sz="4" w:space="0" w:color="auto"/>
            </w:tcBorders>
            <w:noWrap/>
            <w:vAlign w:val="bottom"/>
            <w:hideMark/>
          </w:tcPr>
          <w:p w14:paraId="428055D9"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38</w:t>
            </w:r>
          </w:p>
        </w:tc>
        <w:tc>
          <w:tcPr>
            <w:tcW w:w="1760" w:type="dxa"/>
            <w:tcBorders>
              <w:top w:val="nil"/>
              <w:left w:val="nil"/>
              <w:bottom w:val="single" w:sz="4" w:space="0" w:color="auto"/>
              <w:right w:val="single" w:sz="4" w:space="0" w:color="auto"/>
            </w:tcBorders>
            <w:noWrap/>
            <w:vAlign w:val="bottom"/>
            <w:hideMark/>
          </w:tcPr>
          <w:p w14:paraId="506A2F09"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324</w:t>
            </w:r>
          </w:p>
        </w:tc>
      </w:tr>
      <w:tr w:rsidR="00445B99" w:rsidRPr="00E940CF" w14:paraId="00B53203"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2686B332"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43</w:t>
            </w:r>
          </w:p>
        </w:tc>
        <w:tc>
          <w:tcPr>
            <w:tcW w:w="1320" w:type="dxa"/>
            <w:tcBorders>
              <w:top w:val="nil"/>
              <w:left w:val="nil"/>
              <w:bottom w:val="single" w:sz="4" w:space="0" w:color="auto"/>
              <w:right w:val="single" w:sz="4" w:space="0" w:color="auto"/>
            </w:tcBorders>
            <w:noWrap/>
            <w:vAlign w:val="bottom"/>
            <w:hideMark/>
          </w:tcPr>
          <w:p w14:paraId="18954CF3"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39</w:t>
            </w:r>
          </w:p>
        </w:tc>
        <w:tc>
          <w:tcPr>
            <w:tcW w:w="1760" w:type="dxa"/>
            <w:tcBorders>
              <w:top w:val="nil"/>
              <w:left w:val="nil"/>
              <w:bottom w:val="single" w:sz="4" w:space="0" w:color="auto"/>
              <w:right w:val="single" w:sz="4" w:space="0" w:color="auto"/>
            </w:tcBorders>
            <w:noWrap/>
            <w:vAlign w:val="bottom"/>
            <w:hideMark/>
          </w:tcPr>
          <w:p w14:paraId="32B5BA34"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363</w:t>
            </w:r>
          </w:p>
        </w:tc>
      </w:tr>
      <w:tr w:rsidR="00445B99" w:rsidRPr="00E940CF" w14:paraId="3A4E0655"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424C5DC1"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44</w:t>
            </w:r>
          </w:p>
        </w:tc>
        <w:tc>
          <w:tcPr>
            <w:tcW w:w="1320" w:type="dxa"/>
            <w:tcBorders>
              <w:top w:val="nil"/>
              <w:left w:val="nil"/>
              <w:bottom w:val="single" w:sz="4" w:space="0" w:color="auto"/>
              <w:right w:val="single" w:sz="4" w:space="0" w:color="auto"/>
            </w:tcBorders>
            <w:noWrap/>
            <w:vAlign w:val="bottom"/>
            <w:hideMark/>
          </w:tcPr>
          <w:p w14:paraId="06B58597"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39</w:t>
            </w:r>
          </w:p>
        </w:tc>
        <w:tc>
          <w:tcPr>
            <w:tcW w:w="1760" w:type="dxa"/>
            <w:tcBorders>
              <w:top w:val="nil"/>
              <w:left w:val="nil"/>
              <w:bottom w:val="single" w:sz="4" w:space="0" w:color="auto"/>
              <w:right w:val="single" w:sz="4" w:space="0" w:color="auto"/>
            </w:tcBorders>
            <w:noWrap/>
            <w:vAlign w:val="bottom"/>
            <w:hideMark/>
          </w:tcPr>
          <w:p w14:paraId="7CD2B3F0"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402</w:t>
            </w:r>
          </w:p>
        </w:tc>
      </w:tr>
      <w:tr w:rsidR="00445B99" w:rsidRPr="00E940CF" w14:paraId="3BC0B7A8"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5E55C65D"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45</w:t>
            </w:r>
          </w:p>
        </w:tc>
        <w:tc>
          <w:tcPr>
            <w:tcW w:w="1320" w:type="dxa"/>
            <w:tcBorders>
              <w:top w:val="nil"/>
              <w:left w:val="nil"/>
              <w:bottom w:val="single" w:sz="4" w:space="0" w:color="auto"/>
              <w:right w:val="single" w:sz="4" w:space="0" w:color="auto"/>
            </w:tcBorders>
            <w:noWrap/>
            <w:vAlign w:val="bottom"/>
            <w:hideMark/>
          </w:tcPr>
          <w:p w14:paraId="1BA7D5AC"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52</w:t>
            </w:r>
          </w:p>
        </w:tc>
        <w:tc>
          <w:tcPr>
            <w:tcW w:w="1760" w:type="dxa"/>
            <w:tcBorders>
              <w:top w:val="nil"/>
              <w:left w:val="nil"/>
              <w:bottom w:val="single" w:sz="4" w:space="0" w:color="auto"/>
              <w:right w:val="single" w:sz="4" w:space="0" w:color="auto"/>
            </w:tcBorders>
            <w:noWrap/>
            <w:vAlign w:val="bottom"/>
            <w:hideMark/>
          </w:tcPr>
          <w:p w14:paraId="10BCF2F1"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454</w:t>
            </w:r>
          </w:p>
        </w:tc>
      </w:tr>
      <w:tr w:rsidR="00445B99" w:rsidRPr="00E940CF" w14:paraId="5606F4CF"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6B527308"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46</w:t>
            </w:r>
          </w:p>
        </w:tc>
        <w:tc>
          <w:tcPr>
            <w:tcW w:w="1320" w:type="dxa"/>
            <w:tcBorders>
              <w:top w:val="nil"/>
              <w:left w:val="nil"/>
              <w:bottom w:val="single" w:sz="4" w:space="0" w:color="auto"/>
              <w:right w:val="single" w:sz="4" w:space="0" w:color="auto"/>
            </w:tcBorders>
            <w:noWrap/>
            <w:vAlign w:val="bottom"/>
            <w:hideMark/>
          </w:tcPr>
          <w:p w14:paraId="5513F34A"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39</w:t>
            </w:r>
          </w:p>
        </w:tc>
        <w:tc>
          <w:tcPr>
            <w:tcW w:w="1760" w:type="dxa"/>
            <w:tcBorders>
              <w:top w:val="nil"/>
              <w:left w:val="nil"/>
              <w:bottom w:val="single" w:sz="4" w:space="0" w:color="auto"/>
              <w:right w:val="single" w:sz="4" w:space="0" w:color="auto"/>
            </w:tcBorders>
            <w:noWrap/>
            <w:vAlign w:val="bottom"/>
            <w:hideMark/>
          </w:tcPr>
          <w:p w14:paraId="7969419C"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493</w:t>
            </w:r>
          </w:p>
        </w:tc>
      </w:tr>
      <w:tr w:rsidR="00445B99" w:rsidRPr="00E940CF" w14:paraId="3CC18755"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63EA7BD8"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47</w:t>
            </w:r>
          </w:p>
        </w:tc>
        <w:tc>
          <w:tcPr>
            <w:tcW w:w="1320" w:type="dxa"/>
            <w:tcBorders>
              <w:top w:val="nil"/>
              <w:left w:val="nil"/>
              <w:bottom w:val="single" w:sz="4" w:space="0" w:color="auto"/>
              <w:right w:val="single" w:sz="4" w:space="0" w:color="auto"/>
            </w:tcBorders>
            <w:noWrap/>
            <w:vAlign w:val="bottom"/>
            <w:hideMark/>
          </w:tcPr>
          <w:p w14:paraId="359DF4B9"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59</w:t>
            </w:r>
          </w:p>
        </w:tc>
        <w:tc>
          <w:tcPr>
            <w:tcW w:w="1760" w:type="dxa"/>
            <w:tcBorders>
              <w:top w:val="nil"/>
              <w:left w:val="nil"/>
              <w:bottom w:val="single" w:sz="4" w:space="0" w:color="auto"/>
              <w:right w:val="single" w:sz="4" w:space="0" w:color="auto"/>
            </w:tcBorders>
            <w:noWrap/>
            <w:vAlign w:val="bottom"/>
            <w:hideMark/>
          </w:tcPr>
          <w:p w14:paraId="07C21C3A"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552</w:t>
            </w:r>
          </w:p>
        </w:tc>
      </w:tr>
      <w:tr w:rsidR="00445B99" w:rsidRPr="00E940CF" w14:paraId="63BC2A9B"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67718C70"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48</w:t>
            </w:r>
          </w:p>
        </w:tc>
        <w:tc>
          <w:tcPr>
            <w:tcW w:w="1320" w:type="dxa"/>
            <w:tcBorders>
              <w:top w:val="nil"/>
              <w:left w:val="nil"/>
              <w:bottom w:val="single" w:sz="4" w:space="0" w:color="auto"/>
              <w:right w:val="single" w:sz="4" w:space="0" w:color="auto"/>
            </w:tcBorders>
            <w:noWrap/>
            <w:vAlign w:val="bottom"/>
            <w:hideMark/>
          </w:tcPr>
          <w:p w14:paraId="0A25863F"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46</w:t>
            </w:r>
          </w:p>
        </w:tc>
        <w:tc>
          <w:tcPr>
            <w:tcW w:w="1760" w:type="dxa"/>
            <w:tcBorders>
              <w:top w:val="nil"/>
              <w:left w:val="nil"/>
              <w:bottom w:val="single" w:sz="4" w:space="0" w:color="auto"/>
              <w:right w:val="single" w:sz="4" w:space="0" w:color="auto"/>
            </w:tcBorders>
            <w:noWrap/>
            <w:vAlign w:val="bottom"/>
            <w:hideMark/>
          </w:tcPr>
          <w:p w14:paraId="5C9BE565"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598</w:t>
            </w:r>
          </w:p>
        </w:tc>
      </w:tr>
      <w:tr w:rsidR="00445B99" w:rsidRPr="00E940CF" w14:paraId="75C66356"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44BB711F"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49</w:t>
            </w:r>
          </w:p>
        </w:tc>
        <w:tc>
          <w:tcPr>
            <w:tcW w:w="1320" w:type="dxa"/>
            <w:tcBorders>
              <w:top w:val="nil"/>
              <w:left w:val="nil"/>
              <w:bottom w:val="single" w:sz="4" w:space="0" w:color="auto"/>
              <w:right w:val="single" w:sz="4" w:space="0" w:color="auto"/>
            </w:tcBorders>
            <w:noWrap/>
            <w:vAlign w:val="bottom"/>
            <w:hideMark/>
          </w:tcPr>
          <w:p w14:paraId="65EF92EB"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62</w:t>
            </w:r>
          </w:p>
        </w:tc>
        <w:tc>
          <w:tcPr>
            <w:tcW w:w="1760" w:type="dxa"/>
            <w:tcBorders>
              <w:top w:val="nil"/>
              <w:left w:val="nil"/>
              <w:bottom w:val="single" w:sz="4" w:space="0" w:color="auto"/>
              <w:right w:val="single" w:sz="4" w:space="0" w:color="auto"/>
            </w:tcBorders>
            <w:noWrap/>
            <w:vAlign w:val="bottom"/>
            <w:hideMark/>
          </w:tcPr>
          <w:p w14:paraId="32E4275A"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660</w:t>
            </w:r>
          </w:p>
        </w:tc>
      </w:tr>
      <w:tr w:rsidR="00445B99" w:rsidRPr="00E940CF" w14:paraId="72358EBA"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56DDCA8F"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50</w:t>
            </w:r>
          </w:p>
        </w:tc>
        <w:tc>
          <w:tcPr>
            <w:tcW w:w="1320" w:type="dxa"/>
            <w:tcBorders>
              <w:top w:val="nil"/>
              <w:left w:val="nil"/>
              <w:bottom w:val="single" w:sz="4" w:space="0" w:color="auto"/>
              <w:right w:val="single" w:sz="4" w:space="0" w:color="auto"/>
            </w:tcBorders>
            <w:noWrap/>
            <w:vAlign w:val="bottom"/>
            <w:hideMark/>
          </w:tcPr>
          <w:p w14:paraId="15B0B495"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85</w:t>
            </w:r>
          </w:p>
        </w:tc>
        <w:tc>
          <w:tcPr>
            <w:tcW w:w="1760" w:type="dxa"/>
            <w:tcBorders>
              <w:top w:val="nil"/>
              <w:left w:val="nil"/>
              <w:bottom w:val="single" w:sz="4" w:space="0" w:color="auto"/>
              <w:right w:val="single" w:sz="4" w:space="0" w:color="auto"/>
            </w:tcBorders>
            <w:noWrap/>
            <w:vAlign w:val="bottom"/>
            <w:hideMark/>
          </w:tcPr>
          <w:p w14:paraId="370C696F"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745</w:t>
            </w:r>
          </w:p>
        </w:tc>
      </w:tr>
      <w:tr w:rsidR="00445B99" w:rsidRPr="00E940CF" w14:paraId="3DA5D337"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0BB179BF"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51</w:t>
            </w:r>
          </w:p>
        </w:tc>
        <w:tc>
          <w:tcPr>
            <w:tcW w:w="1320" w:type="dxa"/>
            <w:tcBorders>
              <w:top w:val="nil"/>
              <w:left w:val="nil"/>
              <w:bottom w:val="single" w:sz="4" w:space="0" w:color="auto"/>
              <w:right w:val="single" w:sz="4" w:space="0" w:color="auto"/>
            </w:tcBorders>
            <w:noWrap/>
            <w:vAlign w:val="bottom"/>
            <w:hideMark/>
          </w:tcPr>
          <w:p w14:paraId="329857C0"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75</w:t>
            </w:r>
          </w:p>
        </w:tc>
        <w:tc>
          <w:tcPr>
            <w:tcW w:w="1760" w:type="dxa"/>
            <w:tcBorders>
              <w:top w:val="nil"/>
              <w:left w:val="nil"/>
              <w:bottom w:val="single" w:sz="4" w:space="0" w:color="auto"/>
              <w:right w:val="single" w:sz="4" w:space="0" w:color="auto"/>
            </w:tcBorders>
            <w:noWrap/>
            <w:vAlign w:val="bottom"/>
            <w:hideMark/>
          </w:tcPr>
          <w:p w14:paraId="196B1F8B"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820</w:t>
            </w:r>
          </w:p>
        </w:tc>
      </w:tr>
      <w:tr w:rsidR="00445B99" w:rsidRPr="00E940CF" w14:paraId="3615BD93"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1DA4B5E8"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52</w:t>
            </w:r>
          </w:p>
        </w:tc>
        <w:tc>
          <w:tcPr>
            <w:tcW w:w="1320" w:type="dxa"/>
            <w:tcBorders>
              <w:top w:val="nil"/>
              <w:left w:val="nil"/>
              <w:bottom w:val="single" w:sz="4" w:space="0" w:color="auto"/>
              <w:right w:val="single" w:sz="4" w:space="0" w:color="auto"/>
            </w:tcBorders>
            <w:noWrap/>
            <w:vAlign w:val="bottom"/>
            <w:hideMark/>
          </w:tcPr>
          <w:p w14:paraId="52E33F5A"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71</w:t>
            </w:r>
          </w:p>
        </w:tc>
        <w:tc>
          <w:tcPr>
            <w:tcW w:w="1760" w:type="dxa"/>
            <w:tcBorders>
              <w:top w:val="nil"/>
              <w:left w:val="nil"/>
              <w:bottom w:val="single" w:sz="4" w:space="0" w:color="auto"/>
              <w:right w:val="single" w:sz="4" w:space="0" w:color="auto"/>
            </w:tcBorders>
            <w:noWrap/>
            <w:vAlign w:val="bottom"/>
            <w:hideMark/>
          </w:tcPr>
          <w:p w14:paraId="730230C4"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891</w:t>
            </w:r>
          </w:p>
        </w:tc>
      </w:tr>
      <w:tr w:rsidR="00445B99" w:rsidRPr="00E940CF" w14:paraId="495990FC"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7B16794E"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53</w:t>
            </w:r>
          </w:p>
        </w:tc>
        <w:tc>
          <w:tcPr>
            <w:tcW w:w="1320" w:type="dxa"/>
            <w:tcBorders>
              <w:top w:val="nil"/>
              <w:left w:val="nil"/>
              <w:bottom w:val="single" w:sz="4" w:space="0" w:color="auto"/>
              <w:right w:val="single" w:sz="4" w:space="0" w:color="auto"/>
            </w:tcBorders>
            <w:noWrap/>
            <w:vAlign w:val="bottom"/>
            <w:hideMark/>
          </w:tcPr>
          <w:p w14:paraId="28389B6D"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83</w:t>
            </w:r>
          </w:p>
        </w:tc>
        <w:tc>
          <w:tcPr>
            <w:tcW w:w="1760" w:type="dxa"/>
            <w:tcBorders>
              <w:top w:val="nil"/>
              <w:left w:val="nil"/>
              <w:bottom w:val="single" w:sz="4" w:space="0" w:color="auto"/>
              <w:right w:val="single" w:sz="4" w:space="0" w:color="auto"/>
            </w:tcBorders>
            <w:noWrap/>
            <w:vAlign w:val="bottom"/>
            <w:hideMark/>
          </w:tcPr>
          <w:p w14:paraId="1EAF6244"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974</w:t>
            </w:r>
          </w:p>
        </w:tc>
      </w:tr>
      <w:tr w:rsidR="00445B99" w:rsidRPr="00E940CF" w14:paraId="309BFDDF"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0C1BFBED"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54</w:t>
            </w:r>
          </w:p>
        </w:tc>
        <w:tc>
          <w:tcPr>
            <w:tcW w:w="1320" w:type="dxa"/>
            <w:tcBorders>
              <w:top w:val="nil"/>
              <w:left w:val="nil"/>
              <w:bottom w:val="single" w:sz="4" w:space="0" w:color="auto"/>
              <w:right w:val="single" w:sz="4" w:space="0" w:color="auto"/>
            </w:tcBorders>
            <w:noWrap/>
            <w:vAlign w:val="bottom"/>
            <w:hideMark/>
          </w:tcPr>
          <w:p w14:paraId="289C678D"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72</w:t>
            </w:r>
          </w:p>
        </w:tc>
        <w:tc>
          <w:tcPr>
            <w:tcW w:w="1760" w:type="dxa"/>
            <w:tcBorders>
              <w:top w:val="nil"/>
              <w:left w:val="nil"/>
              <w:bottom w:val="single" w:sz="4" w:space="0" w:color="auto"/>
              <w:right w:val="single" w:sz="4" w:space="0" w:color="auto"/>
            </w:tcBorders>
            <w:noWrap/>
            <w:vAlign w:val="bottom"/>
            <w:hideMark/>
          </w:tcPr>
          <w:p w14:paraId="133D4565"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1046</w:t>
            </w:r>
          </w:p>
        </w:tc>
      </w:tr>
      <w:tr w:rsidR="00445B99" w:rsidRPr="00E940CF" w14:paraId="64DD3EAF"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6B67271B"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55</w:t>
            </w:r>
          </w:p>
        </w:tc>
        <w:tc>
          <w:tcPr>
            <w:tcW w:w="1320" w:type="dxa"/>
            <w:tcBorders>
              <w:top w:val="nil"/>
              <w:left w:val="nil"/>
              <w:bottom w:val="single" w:sz="4" w:space="0" w:color="auto"/>
              <w:right w:val="single" w:sz="4" w:space="0" w:color="auto"/>
            </w:tcBorders>
            <w:noWrap/>
            <w:vAlign w:val="bottom"/>
            <w:hideMark/>
          </w:tcPr>
          <w:p w14:paraId="6F542181"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76</w:t>
            </w:r>
          </w:p>
        </w:tc>
        <w:tc>
          <w:tcPr>
            <w:tcW w:w="1760" w:type="dxa"/>
            <w:tcBorders>
              <w:top w:val="nil"/>
              <w:left w:val="nil"/>
              <w:bottom w:val="single" w:sz="4" w:space="0" w:color="auto"/>
              <w:right w:val="single" w:sz="4" w:space="0" w:color="auto"/>
            </w:tcBorders>
            <w:noWrap/>
            <w:vAlign w:val="bottom"/>
            <w:hideMark/>
          </w:tcPr>
          <w:p w14:paraId="099644E2"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1122</w:t>
            </w:r>
          </w:p>
        </w:tc>
      </w:tr>
      <w:tr w:rsidR="00445B99" w:rsidRPr="00E940CF" w14:paraId="7AAB4293"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16BA9C57"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56</w:t>
            </w:r>
          </w:p>
        </w:tc>
        <w:tc>
          <w:tcPr>
            <w:tcW w:w="1320" w:type="dxa"/>
            <w:tcBorders>
              <w:top w:val="nil"/>
              <w:left w:val="nil"/>
              <w:bottom w:val="single" w:sz="4" w:space="0" w:color="auto"/>
              <w:right w:val="single" w:sz="4" w:space="0" w:color="auto"/>
            </w:tcBorders>
            <w:noWrap/>
            <w:vAlign w:val="bottom"/>
            <w:hideMark/>
          </w:tcPr>
          <w:p w14:paraId="100C6424"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110</w:t>
            </w:r>
          </w:p>
        </w:tc>
        <w:tc>
          <w:tcPr>
            <w:tcW w:w="1760" w:type="dxa"/>
            <w:tcBorders>
              <w:top w:val="nil"/>
              <w:left w:val="nil"/>
              <w:bottom w:val="single" w:sz="4" w:space="0" w:color="auto"/>
              <w:right w:val="single" w:sz="4" w:space="0" w:color="auto"/>
            </w:tcBorders>
            <w:noWrap/>
            <w:vAlign w:val="bottom"/>
            <w:hideMark/>
          </w:tcPr>
          <w:p w14:paraId="466A64D6"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1232</w:t>
            </w:r>
          </w:p>
        </w:tc>
      </w:tr>
      <w:tr w:rsidR="00445B99" w:rsidRPr="00E940CF" w14:paraId="4786A4E2"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172603A1"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57</w:t>
            </w:r>
          </w:p>
        </w:tc>
        <w:tc>
          <w:tcPr>
            <w:tcW w:w="1320" w:type="dxa"/>
            <w:tcBorders>
              <w:top w:val="nil"/>
              <w:left w:val="nil"/>
              <w:bottom w:val="single" w:sz="4" w:space="0" w:color="auto"/>
              <w:right w:val="single" w:sz="4" w:space="0" w:color="auto"/>
            </w:tcBorders>
            <w:noWrap/>
            <w:vAlign w:val="bottom"/>
            <w:hideMark/>
          </w:tcPr>
          <w:p w14:paraId="286605A4"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124</w:t>
            </w:r>
          </w:p>
        </w:tc>
        <w:tc>
          <w:tcPr>
            <w:tcW w:w="1760" w:type="dxa"/>
            <w:tcBorders>
              <w:top w:val="nil"/>
              <w:left w:val="nil"/>
              <w:bottom w:val="single" w:sz="4" w:space="0" w:color="auto"/>
              <w:right w:val="single" w:sz="4" w:space="0" w:color="auto"/>
            </w:tcBorders>
            <w:noWrap/>
            <w:vAlign w:val="bottom"/>
            <w:hideMark/>
          </w:tcPr>
          <w:p w14:paraId="6CF3295C"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1356</w:t>
            </w:r>
          </w:p>
        </w:tc>
      </w:tr>
      <w:tr w:rsidR="00445B99" w:rsidRPr="00E940CF" w14:paraId="7F2A318D"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137052B0"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lastRenderedPageBreak/>
              <w:t>58</w:t>
            </w:r>
          </w:p>
        </w:tc>
        <w:tc>
          <w:tcPr>
            <w:tcW w:w="1320" w:type="dxa"/>
            <w:tcBorders>
              <w:top w:val="nil"/>
              <w:left w:val="nil"/>
              <w:bottom w:val="single" w:sz="4" w:space="0" w:color="auto"/>
              <w:right w:val="single" w:sz="4" w:space="0" w:color="auto"/>
            </w:tcBorders>
            <w:noWrap/>
            <w:vAlign w:val="bottom"/>
            <w:hideMark/>
          </w:tcPr>
          <w:p w14:paraId="5720E295"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139</w:t>
            </w:r>
          </w:p>
        </w:tc>
        <w:tc>
          <w:tcPr>
            <w:tcW w:w="1760" w:type="dxa"/>
            <w:tcBorders>
              <w:top w:val="nil"/>
              <w:left w:val="nil"/>
              <w:bottom w:val="single" w:sz="4" w:space="0" w:color="auto"/>
              <w:right w:val="single" w:sz="4" w:space="0" w:color="auto"/>
            </w:tcBorders>
            <w:noWrap/>
            <w:vAlign w:val="bottom"/>
            <w:hideMark/>
          </w:tcPr>
          <w:p w14:paraId="23A15442"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1495</w:t>
            </w:r>
          </w:p>
        </w:tc>
      </w:tr>
      <w:tr w:rsidR="00445B99" w:rsidRPr="00E940CF" w14:paraId="7CDEFC24"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10BBFCAA"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59</w:t>
            </w:r>
          </w:p>
        </w:tc>
        <w:tc>
          <w:tcPr>
            <w:tcW w:w="1320" w:type="dxa"/>
            <w:tcBorders>
              <w:top w:val="nil"/>
              <w:left w:val="nil"/>
              <w:bottom w:val="single" w:sz="4" w:space="0" w:color="auto"/>
              <w:right w:val="single" w:sz="4" w:space="0" w:color="auto"/>
            </w:tcBorders>
            <w:noWrap/>
            <w:vAlign w:val="bottom"/>
            <w:hideMark/>
          </w:tcPr>
          <w:p w14:paraId="16D8C4C6"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128</w:t>
            </w:r>
          </w:p>
        </w:tc>
        <w:tc>
          <w:tcPr>
            <w:tcW w:w="1760" w:type="dxa"/>
            <w:tcBorders>
              <w:top w:val="nil"/>
              <w:left w:val="nil"/>
              <w:bottom w:val="single" w:sz="4" w:space="0" w:color="auto"/>
              <w:right w:val="single" w:sz="4" w:space="0" w:color="auto"/>
            </w:tcBorders>
            <w:noWrap/>
            <w:vAlign w:val="bottom"/>
            <w:hideMark/>
          </w:tcPr>
          <w:p w14:paraId="1501B08E"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1623</w:t>
            </w:r>
          </w:p>
        </w:tc>
      </w:tr>
      <w:tr w:rsidR="00445B99" w:rsidRPr="00E940CF" w14:paraId="70B24AAC"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117BF900"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60</w:t>
            </w:r>
          </w:p>
        </w:tc>
        <w:tc>
          <w:tcPr>
            <w:tcW w:w="1320" w:type="dxa"/>
            <w:tcBorders>
              <w:top w:val="nil"/>
              <w:left w:val="nil"/>
              <w:bottom w:val="single" w:sz="4" w:space="0" w:color="auto"/>
              <w:right w:val="single" w:sz="4" w:space="0" w:color="auto"/>
            </w:tcBorders>
            <w:noWrap/>
            <w:vAlign w:val="bottom"/>
            <w:hideMark/>
          </w:tcPr>
          <w:p w14:paraId="5C0C3BA8"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128</w:t>
            </w:r>
          </w:p>
        </w:tc>
        <w:tc>
          <w:tcPr>
            <w:tcW w:w="1760" w:type="dxa"/>
            <w:tcBorders>
              <w:top w:val="nil"/>
              <w:left w:val="nil"/>
              <w:bottom w:val="single" w:sz="4" w:space="0" w:color="auto"/>
              <w:right w:val="single" w:sz="4" w:space="0" w:color="auto"/>
            </w:tcBorders>
            <w:noWrap/>
            <w:vAlign w:val="bottom"/>
            <w:hideMark/>
          </w:tcPr>
          <w:p w14:paraId="5C5980E2"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1751</w:t>
            </w:r>
          </w:p>
        </w:tc>
      </w:tr>
      <w:tr w:rsidR="00445B99" w:rsidRPr="00E940CF" w14:paraId="5E085AB1"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02E789E5"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61</w:t>
            </w:r>
          </w:p>
        </w:tc>
        <w:tc>
          <w:tcPr>
            <w:tcW w:w="1320" w:type="dxa"/>
            <w:tcBorders>
              <w:top w:val="nil"/>
              <w:left w:val="nil"/>
              <w:bottom w:val="single" w:sz="4" w:space="0" w:color="auto"/>
              <w:right w:val="single" w:sz="4" w:space="0" w:color="auto"/>
            </w:tcBorders>
            <w:noWrap/>
            <w:vAlign w:val="bottom"/>
            <w:hideMark/>
          </w:tcPr>
          <w:p w14:paraId="07A1CEC4"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162</w:t>
            </w:r>
          </w:p>
        </w:tc>
        <w:tc>
          <w:tcPr>
            <w:tcW w:w="1760" w:type="dxa"/>
            <w:tcBorders>
              <w:top w:val="nil"/>
              <w:left w:val="nil"/>
              <w:bottom w:val="single" w:sz="4" w:space="0" w:color="auto"/>
              <w:right w:val="single" w:sz="4" w:space="0" w:color="auto"/>
            </w:tcBorders>
            <w:noWrap/>
            <w:vAlign w:val="bottom"/>
            <w:hideMark/>
          </w:tcPr>
          <w:p w14:paraId="6585EE00"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1913</w:t>
            </w:r>
          </w:p>
        </w:tc>
      </w:tr>
      <w:tr w:rsidR="00445B99" w:rsidRPr="00E940CF" w14:paraId="3AA64D59"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018C2E04"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62</w:t>
            </w:r>
          </w:p>
        </w:tc>
        <w:tc>
          <w:tcPr>
            <w:tcW w:w="1320" w:type="dxa"/>
            <w:tcBorders>
              <w:top w:val="nil"/>
              <w:left w:val="nil"/>
              <w:bottom w:val="single" w:sz="4" w:space="0" w:color="auto"/>
              <w:right w:val="single" w:sz="4" w:space="0" w:color="auto"/>
            </w:tcBorders>
            <w:noWrap/>
            <w:vAlign w:val="bottom"/>
            <w:hideMark/>
          </w:tcPr>
          <w:p w14:paraId="79CE10A3"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169</w:t>
            </w:r>
          </w:p>
        </w:tc>
        <w:tc>
          <w:tcPr>
            <w:tcW w:w="1760" w:type="dxa"/>
            <w:tcBorders>
              <w:top w:val="nil"/>
              <w:left w:val="nil"/>
              <w:bottom w:val="single" w:sz="4" w:space="0" w:color="auto"/>
              <w:right w:val="single" w:sz="4" w:space="0" w:color="auto"/>
            </w:tcBorders>
            <w:noWrap/>
            <w:vAlign w:val="bottom"/>
            <w:hideMark/>
          </w:tcPr>
          <w:p w14:paraId="71613E77"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2082</w:t>
            </w:r>
          </w:p>
        </w:tc>
      </w:tr>
      <w:tr w:rsidR="00445B99" w:rsidRPr="00E940CF" w14:paraId="237CC427"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18F21B63"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63</w:t>
            </w:r>
          </w:p>
        </w:tc>
        <w:tc>
          <w:tcPr>
            <w:tcW w:w="1320" w:type="dxa"/>
            <w:tcBorders>
              <w:top w:val="nil"/>
              <w:left w:val="nil"/>
              <w:bottom w:val="single" w:sz="4" w:space="0" w:color="auto"/>
              <w:right w:val="single" w:sz="4" w:space="0" w:color="auto"/>
            </w:tcBorders>
            <w:noWrap/>
            <w:vAlign w:val="bottom"/>
            <w:hideMark/>
          </w:tcPr>
          <w:p w14:paraId="1B116674"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173</w:t>
            </w:r>
          </w:p>
        </w:tc>
        <w:tc>
          <w:tcPr>
            <w:tcW w:w="1760" w:type="dxa"/>
            <w:tcBorders>
              <w:top w:val="nil"/>
              <w:left w:val="nil"/>
              <w:bottom w:val="single" w:sz="4" w:space="0" w:color="auto"/>
              <w:right w:val="single" w:sz="4" w:space="0" w:color="auto"/>
            </w:tcBorders>
            <w:noWrap/>
            <w:vAlign w:val="bottom"/>
            <w:hideMark/>
          </w:tcPr>
          <w:p w14:paraId="0594408B"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2255</w:t>
            </w:r>
          </w:p>
        </w:tc>
      </w:tr>
      <w:tr w:rsidR="00445B99" w:rsidRPr="00E940CF" w14:paraId="4F3DD82A"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047DD3BA"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64</w:t>
            </w:r>
          </w:p>
        </w:tc>
        <w:tc>
          <w:tcPr>
            <w:tcW w:w="1320" w:type="dxa"/>
            <w:tcBorders>
              <w:top w:val="nil"/>
              <w:left w:val="nil"/>
              <w:bottom w:val="single" w:sz="4" w:space="0" w:color="auto"/>
              <w:right w:val="single" w:sz="4" w:space="0" w:color="auto"/>
            </w:tcBorders>
            <w:noWrap/>
            <w:vAlign w:val="bottom"/>
            <w:hideMark/>
          </w:tcPr>
          <w:p w14:paraId="6A304BF4"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226</w:t>
            </w:r>
          </w:p>
        </w:tc>
        <w:tc>
          <w:tcPr>
            <w:tcW w:w="1760" w:type="dxa"/>
            <w:tcBorders>
              <w:top w:val="nil"/>
              <w:left w:val="nil"/>
              <w:bottom w:val="single" w:sz="4" w:space="0" w:color="auto"/>
              <w:right w:val="single" w:sz="4" w:space="0" w:color="auto"/>
            </w:tcBorders>
            <w:noWrap/>
            <w:vAlign w:val="bottom"/>
            <w:hideMark/>
          </w:tcPr>
          <w:p w14:paraId="59DEB11F"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2481</w:t>
            </w:r>
          </w:p>
        </w:tc>
      </w:tr>
      <w:tr w:rsidR="00445B99" w:rsidRPr="00E940CF" w14:paraId="5A4DD855"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129A9E4C"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65</w:t>
            </w:r>
          </w:p>
        </w:tc>
        <w:tc>
          <w:tcPr>
            <w:tcW w:w="1320" w:type="dxa"/>
            <w:tcBorders>
              <w:top w:val="nil"/>
              <w:left w:val="nil"/>
              <w:bottom w:val="single" w:sz="4" w:space="0" w:color="auto"/>
              <w:right w:val="single" w:sz="4" w:space="0" w:color="auto"/>
            </w:tcBorders>
            <w:noWrap/>
            <w:vAlign w:val="bottom"/>
            <w:hideMark/>
          </w:tcPr>
          <w:p w14:paraId="50B797AF"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174</w:t>
            </w:r>
          </w:p>
        </w:tc>
        <w:tc>
          <w:tcPr>
            <w:tcW w:w="1760" w:type="dxa"/>
            <w:tcBorders>
              <w:top w:val="nil"/>
              <w:left w:val="nil"/>
              <w:bottom w:val="single" w:sz="4" w:space="0" w:color="auto"/>
              <w:right w:val="single" w:sz="4" w:space="0" w:color="auto"/>
            </w:tcBorders>
            <w:noWrap/>
            <w:vAlign w:val="bottom"/>
            <w:hideMark/>
          </w:tcPr>
          <w:p w14:paraId="2E42F8C1"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2655</w:t>
            </w:r>
          </w:p>
        </w:tc>
      </w:tr>
      <w:tr w:rsidR="00445B99" w:rsidRPr="00E940CF" w14:paraId="559A55F7"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77711502"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66</w:t>
            </w:r>
          </w:p>
        </w:tc>
        <w:tc>
          <w:tcPr>
            <w:tcW w:w="1320" w:type="dxa"/>
            <w:tcBorders>
              <w:top w:val="nil"/>
              <w:left w:val="nil"/>
              <w:bottom w:val="single" w:sz="4" w:space="0" w:color="auto"/>
              <w:right w:val="single" w:sz="4" w:space="0" w:color="auto"/>
            </w:tcBorders>
            <w:noWrap/>
            <w:vAlign w:val="bottom"/>
            <w:hideMark/>
          </w:tcPr>
          <w:p w14:paraId="483FEFA7"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221</w:t>
            </w:r>
          </w:p>
        </w:tc>
        <w:tc>
          <w:tcPr>
            <w:tcW w:w="1760" w:type="dxa"/>
            <w:tcBorders>
              <w:top w:val="nil"/>
              <w:left w:val="nil"/>
              <w:bottom w:val="single" w:sz="4" w:space="0" w:color="auto"/>
              <w:right w:val="single" w:sz="4" w:space="0" w:color="auto"/>
            </w:tcBorders>
            <w:noWrap/>
            <w:vAlign w:val="bottom"/>
            <w:hideMark/>
          </w:tcPr>
          <w:p w14:paraId="57D9B24F"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2876</w:t>
            </w:r>
          </w:p>
        </w:tc>
      </w:tr>
      <w:tr w:rsidR="00445B99" w:rsidRPr="00E940CF" w14:paraId="0FB26DEE"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1CE0D9B2"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67</w:t>
            </w:r>
          </w:p>
        </w:tc>
        <w:tc>
          <w:tcPr>
            <w:tcW w:w="1320" w:type="dxa"/>
            <w:tcBorders>
              <w:top w:val="nil"/>
              <w:left w:val="nil"/>
              <w:bottom w:val="single" w:sz="4" w:space="0" w:color="auto"/>
              <w:right w:val="single" w:sz="4" w:space="0" w:color="auto"/>
            </w:tcBorders>
            <w:noWrap/>
            <w:vAlign w:val="bottom"/>
            <w:hideMark/>
          </w:tcPr>
          <w:p w14:paraId="790C49E4"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183</w:t>
            </w:r>
          </w:p>
        </w:tc>
        <w:tc>
          <w:tcPr>
            <w:tcW w:w="1760" w:type="dxa"/>
            <w:tcBorders>
              <w:top w:val="nil"/>
              <w:left w:val="nil"/>
              <w:bottom w:val="single" w:sz="4" w:space="0" w:color="auto"/>
              <w:right w:val="single" w:sz="4" w:space="0" w:color="auto"/>
            </w:tcBorders>
            <w:noWrap/>
            <w:vAlign w:val="bottom"/>
            <w:hideMark/>
          </w:tcPr>
          <w:p w14:paraId="677BB3ED"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3059</w:t>
            </w:r>
          </w:p>
        </w:tc>
      </w:tr>
      <w:tr w:rsidR="00445B99" w:rsidRPr="00E940CF" w14:paraId="68FA3AEA"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4B300D57"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68</w:t>
            </w:r>
          </w:p>
        </w:tc>
        <w:tc>
          <w:tcPr>
            <w:tcW w:w="1320" w:type="dxa"/>
            <w:tcBorders>
              <w:top w:val="nil"/>
              <w:left w:val="nil"/>
              <w:bottom w:val="single" w:sz="4" w:space="0" w:color="auto"/>
              <w:right w:val="single" w:sz="4" w:space="0" w:color="auto"/>
            </w:tcBorders>
            <w:noWrap/>
            <w:vAlign w:val="bottom"/>
            <w:hideMark/>
          </w:tcPr>
          <w:p w14:paraId="0D7CA032"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223</w:t>
            </w:r>
          </w:p>
        </w:tc>
        <w:tc>
          <w:tcPr>
            <w:tcW w:w="1760" w:type="dxa"/>
            <w:tcBorders>
              <w:top w:val="nil"/>
              <w:left w:val="nil"/>
              <w:bottom w:val="single" w:sz="4" w:space="0" w:color="auto"/>
              <w:right w:val="single" w:sz="4" w:space="0" w:color="auto"/>
            </w:tcBorders>
            <w:noWrap/>
            <w:vAlign w:val="bottom"/>
            <w:hideMark/>
          </w:tcPr>
          <w:p w14:paraId="011A4CA0"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3282</w:t>
            </w:r>
          </w:p>
        </w:tc>
      </w:tr>
      <w:tr w:rsidR="00445B99" w:rsidRPr="00E940CF" w14:paraId="4D77C05F"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62B303F7"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69</w:t>
            </w:r>
          </w:p>
        </w:tc>
        <w:tc>
          <w:tcPr>
            <w:tcW w:w="1320" w:type="dxa"/>
            <w:tcBorders>
              <w:top w:val="nil"/>
              <w:left w:val="nil"/>
              <w:bottom w:val="single" w:sz="4" w:space="0" w:color="auto"/>
              <w:right w:val="single" w:sz="4" w:space="0" w:color="auto"/>
            </w:tcBorders>
            <w:noWrap/>
            <w:vAlign w:val="bottom"/>
            <w:hideMark/>
          </w:tcPr>
          <w:p w14:paraId="08AC01B0"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202</w:t>
            </w:r>
          </w:p>
        </w:tc>
        <w:tc>
          <w:tcPr>
            <w:tcW w:w="1760" w:type="dxa"/>
            <w:tcBorders>
              <w:top w:val="nil"/>
              <w:left w:val="nil"/>
              <w:bottom w:val="single" w:sz="4" w:space="0" w:color="auto"/>
              <w:right w:val="single" w:sz="4" w:space="0" w:color="auto"/>
            </w:tcBorders>
            <w:noWrap/>
            <w:vAlign w:val="bottom"/>
            <w:hideMark/>
          </w:tcPr>
          <w:p w14:paraId="49C96014"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3484</w:t>
            </w:r>
          </w:p>
        </w:tc>
      </w:tr>
      <w:tr w:rsidR="00445B99" w:rsidRPr="00E940CF" w14:paraId="465DE59C"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061BE5F1"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70</w:t>
            </w:r>
          </w:p>
        </w:tc>
        <w:tc>
          <w:tcPr>
            <w:tcW w:w="1320" w:type="dxa"/>
            <w:tcBorders>
              <w:top w:val="nil"/>
              <w:left w:val="nil"/>
              <w:bottom w:val="single" w:sz="4" w:space="0" w:color="auto"/>
              <w:right w:val="single" w:sz="4" w:space="0" w:color="auto"/>
            </w:tcBorders>
            <w:noWrap/>
            <w:vAlign w:val="bottom"/>
            <w:hideMark/>
          </w:tcPr>
          <w:p w14:paraId="7750F177"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211</w:t>
            </w:r>
          </w:p>
        </w:tc>
        <w:tc>
          <w:tcPr>
            <w:tcW w:w="1760" w:type="dxa"/>
            <w:tcBorders>
              <w:top w:val="nil"/>
              <w:left w:val="nil"/>
              <w:bottom w:val="single" w:sz="4" w:space="0" w:color="auto"/>
              <w:right w:val="single" w:sz="4" w:space="0" w:color="auto"/>
            </w:tcBorders>
            <w:noWrap/>
            <w:vAlign w:val="bottom"/>
            <w:hideMark/>
          </w:tcPr>
          <w:p w14:paraId="774C54CB"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3695</w:t>
            </w:r>
          </w:p>
        </w:tc>
      </w:tr>
      <w:tr w:rsidR="00445B99" w:rsidRPr="00E940CF" w14:paraId="0F08305F"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1B3E60E0"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71</w:t>
            </w:r>
          </w:p>
        </w:tc>
        <w:tc>
          <w:tcPr>
            <w:tcW w:w="1320" w:type="dxa"/>
            <w:tcBorders>
              <w:top w:val="nil"/>
              <w:left w:val="nil"/>
              <w:bottom w:val="single" w:sz="4" w:space="0" w:color="auto"/>
              <w:right w:val="single" w:sz="4" w:space="0" w:color="auto"/>
            </w:tcBorders>
            <w:noWrap/>
            <w:vAlign w:val="bottom"/>
            <w:hideMark/>
          </w:tcPr>
          <w:p w14:paraId="431724A0"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200</w:t>
            </w:r>
          </w:p>
        </w:tc>
        <w:tc>
          <w:tcPr>
            <w:tcW w:w="1760" w:type="dxa"/>
            <w:tcBorders>
              <w:top w:val="nil"/>
              <w:left w:val="nil"/>
              <w:bottom w:val="single" w:sz="4" w:space="0" w:color="auto"/>
              <w:right w:val="single" w:sz="4" w:space="0" w:color="auto"/>
            </w:tcBorders>
            <w:noWrap/>
            <w:vAlign w:val="bottom"/>
            <w:hideMark/>
          </w:tcPr>
          <w:p w14:paraId="69E4F141"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3895</w:t>
            </w:r>
          </w:p>
        </w:tc>
      </w:tr>
      <w:tr w:rsidR="00445B99" w:rsidRPr="00E940CF" w14:paraId="730A8112"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48345340"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72</w:t>
            </w:r>
          </w:p>
        </w:tc>
        <w:tc>
          <w:tcPr>
            <w:tcW w:w="1320" w:type="dxa"/>
            <w:tcBorders>
              <w:top w:val="nil"/>
              <w:left w:val="nil"/>
              <w:bottom w:val="single" w:sz="4" w:space="0" w:color="auto"/>
              <w:right w:val="single" w:sz="4" w:space="0" w:color="auto"/>
            </w:tcBorders>
            <w:noWrap/>
            <w:vAlign w:val="bottom"/>
            <w:hideMark/>
          </w:tcPr>
          <w:p w14:paraId="1A6A9492"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199</w:t>
            </w:r>
          </w:p>
        </w:tc>
        <w:tc>
          <w:tcPr>
            <w:tcW w:w="1760" w:type="dxa"/>
            <w:tcBorders>
              <w:top w:val="nil"/>
              <w:left w:val="nil"/>
              <w:bottom w:val="single" w:sz="4" w:space="0" w:color="auto"/>
              <w:right w:val="single" w:sz="4" w:space="0" w:color="auto"/>
            </w:tcBorders>
            <w:noWrap/>
            <w:vAlign w:val="bottom"/>
            <w:hideMark/>
          </w:tcPr>
          <w:p w14:paraId="05D2621C"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4094</w:t>
            </w:r>
          </w:p>
        </w:tc>
      </w:tr>
      <w:tr w:rsidR="00445B99" w:rsidRPr="00E940CF" w14:paraId="093B94FF"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75067284"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73</w:t>
            </w:r>
          </w:p>
        </w:tc>
        <w:tc>
          <w:tcPr>
            <w:tcW w:w="1320" w:type="dxa"/>
            <w:tcBorders>
              <w:top w:val="nil"/>
              <w:left w:val="nil"/>
              <w:bottom w:val="single" w:sz="4" w:space="0" w:color="auto"/>
              <w:right w:val="single" w:sz="4" w:space="0" w:color="auto"/>
            </w:tcBorders>
            <w:noWrap/>
            <w:vAlign w:val="bottom"/>
            <w:hideMark/>
          </w:tcPr>
          <w:p w14:paraId="13643036"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226</w:t>
            </w:r>
          </w:p>
        </w:tc>
        <w:tc>
          <w:tcPr>
            <w:tcW w:w="1760" w:type="dxa"/>
            <w:tcBorders>
              <w:top w:val="nil"/>
              <w:left w:val="nil"/>
              <w:bottom w:val="single" w:sz="4" w:space="0" w:color="auto"/>
              <w:right w:val="single" w:sz="4" w:space="0" w:color="auto"/>
            </w:tcBorders>
            <w:noWrap/>
            <w:vAlign w:val="bottom"/>
            <w:hideMark/>
          </w:tcPr>
          <w:p w14:paraId="059A3DA5"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4320</w:t>
            </w:r>
          </w:p>
        </w:tc>
      </w:tr>
      <w:tr w:rsidR="00445B99" w:rsidRPr="00E940CF" w14:paraId="306F2D0B"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4DCFBB00"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74</w:t>
            </w:r>
          </w:p>
        </w:tc>
        <w:tc>
          <w:tcPr>
            <w:tcW w:w="1320" w:type="dxa"/>
            <w:tcBorders>
              <w:top w:val="nil"/>
              <w:left w:val="nil"/>
              <w:bottom w:val="single" w:sz="4" w:space="0" w:color="auto"/>
              <w:right w:val="single" w:sz="4" w:space="0" w:color="auto"/>
            </w:tcBorders>
            <w:noWrap/>
            <w:vAlign w:val="bottom"/>
            <w:hideMark/>
          </w:tcPr>
          <w:p w14:paraId="3545C9F7"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199</w:t>
            </w:r>
          </w:p>
        </w:tc>
        <w:tc>
          <w:tcPr>
            <w:tcW w:w="1760" w:type="dxa"/>
            <w:tcBorders>
              <w:top w:val="nil"/>
              <w:left w:val="nil"/>
              <w:bottom w:val="single" w:sz="4" w:space="0" w:color="auto"/>
              <w:right w:val="single" w:sz="4" w:space="0" w:color="auto"/>
            </w:tcBorders>
            <w:noWrap/>
            <w:vAlign w:val="bottom"/>
            <w:hideMark/>
          </w:tcPr>
          <w:p w14:paraId="5161CFD6"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4519</w:t>
            </w:r>
          </w:p>
        </w:tc>
      </w:tr>
      <w:tr w:rsidR="00445B99" w:rsidRPr="00E940CF" w14:paraId="74BC978E"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341FD2D8"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75</w:t>
            </w:r>
          </w:p>
        </w:tc>
        <w:tc>
          <w:tcPr>
            <w:tcW w:w="1320" w:type="dxa"/>
            <w:tcBorders>
              <w:top w:val="nil"/>
              <w:left w:val="nil"/>
              <w:bottom w:val="single" w:sz="4" w:space="0" w:color="auto"/>
              <w:right w:val="single" w:sz="4" w:space="0" w:color="auto"/>
            </w:tcBorders>
            <w:noWrap/>
            <w:vAlign w:val="bottom"/>
            <w:hideMark/>
          </w:tcPr>
          <w:p w14:paraId="43E865C3"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229</w:t>
            </w:r>
          </w:p>
        </w:tc>
        <w:tc>
          <w:tcPr>
            <w:tcW w:w="1760" w:type="dxa"/>
            <w:tcBorders>
              <w:top w:val="nil"/>
              <w:left w:val="nil"/>
              <w:bottom w:val="single" w:sz="4" w:space="0" w:color="auto"/>
              <w:right w:val="single" w:sz="4" w:space="0" w:color="auto"/>
            </w:tcBorders>
            <w:noWrap/>
            <w:vAlign w:val="bottom"/>
            <w:hideMark/>
          </w:tcPr>
          <w:p w14:paraId="4594B3A5"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4748</w:t>
            </w:r>
          </w:p>
        </w:tc>
      </w:tr>
      <w:tr w:rsidR="00445B99" w:rsidRPr="00E940CF" w14:paraId="1ED77802"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020F21E5"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76</w:t>
            </w:r>
          </w:p>
        </w:tc>
        <w:tc>
          <w:tcPr>
            <w:tcW w:w="1320" w:type="dxa"/>
            <w:tcBorders>
              <w:top w:val="nil"/>
              <w:left w:val="nil"/>
              <w:bottom w:val="single" w:sz="4" w:space="0" w:color="auto"/>
              <w:right w:val="single" w:sz="4" w:space="0" w:color="auto"/>
            </w:tcBorders>
            <w:noWrap/>
            <w:vAlign w:val="bottom"/>
            <w:hideMark/>
          </w:tcPr>
          <w:p w14:paraId="1993F2AF"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170</w:t>
            </w:r>
          </w:p>
        </w:tc>
        <w:tc>
          <w:tcPr>
            <w:tcW w:w="1760" w:type="dxa"/>
            <w:tcBorders>
              <w:top w:val="nil"/>
              <w:left w:val="nil"/>
              <w:bottom w:val="single" w:sz="4" w:space="0" w:color="auto"/>
              <w:right w:val="single" w:sz="4" w:space="0" w:color="auto"/>
            </w:tcBorders>
            <w:noWrap/>
            <w:vAlign w:val="bottom"/>
            <w:hideMark/>
          </w:tcPr>
          <w:p w14:paraId="5BD1E8A9"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4918</w:t>
            </w:r>
          </w:p>
        </w:tc>
      </w:tr>
      <w:tr w:rsidR="00445B99" w:rsidRPr="00E940CF" w14:paraId="59254955"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4B23ABAF"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77</w:t>
            </w:r>
          </w:p>
        </w:tc>
        <w:tc>
          <w:tcPr>
            <w:tcW w:w="1320" w:type="dxa"/>
            <w:tcBorders>
              <w:top w:val="nil"/>
              <w:left w:val="nil"/>
              <w:bottom w:val="single" w:sz="4" w:space="0" w:color="auto"/>
              <w:right w:val="single" w:sz="4" w:space="0" w:color="auto"/>
            </w:tcBorders>
            <w:noWrap/>
            <w:vAlign w:val="bottom"/>
            <w:hideMark/>
          </w:tcPr>
          <w:p w14:paraId="327E32F0"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164</w:t>
            </w:r>
          </w:p>
        </w:tc>
        <w:tc>
          <w:tcPr>
            <w:tcW w:w="1760" w:type="dxa"/>
            <w:tcBorders>
              <w:top w:val="nil"/>
              <w:left w:val="nil"/>
              <w:bottom w:val="single" w:sz="4" w:space="0" w:color="auto"/>
              <w:right w:val="single" w:sz="4" w:space="0" w:color="auto"/>
            </w:tcBorders>
            <w:noWrap/>
            <w:vAlign w:val="bottom"/>
            <w:hideMark/>
          </w:tcPr>
          <w:p w14:paraId="2E74FD47"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5082</w:t>
            </w:r>
          </w:p>
        </w:tc>
      </w:tr>
      <w:tr w:rsidR="00445B99" w:rsidRPr="00E940CF" w14:paraId="29BF55AE"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067B3918"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78</w:t>
            </w:r>
          </w:p>
        </w:tc>
        <w:tc>
          <w:tcPr>
            <w:tcW w:w="1320" w:type="dxa"/>
            <w:tcBorders>
              <w:top w:val="nil"/>
              <w:left w:val="nil"/>
              <w:bottom w:val="single" w:sz="4" w:space="0" w:color="auto"/>
              <w:right w:val="single" w:sz="4" w:space="0" w:color="auto"/>
            </w:tcBorders>
            <w:noWrap/>
            <w:vAlign w:val="bottom"/>
            <w:hideMark/>
          </w:tcPr>
          <w:p w14:paraId="404A00D2"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198</w:t>
            </w:r>
          </w:p>
        </w:tc>
        <w:tc>
          <w:tcPr>
            <w:tcW w:w="1760" w:type="dxa"/>
            <w:tcBorders>
              <w:top w:val="nil"/>
              <w:left w:val="nil"/>
              <w:bottom w:val="single" w:sz="4" w:space="0" w:color="auto"/>
              <w:right w:val="single" w:sz="4" w:space="0" w:color="auto"/>
            </w:tcBorders>
            <w:noWrap/>
            <w:vAlign w:val="bottom"/>
            <w:hideMark/>
          </w:tcPr>
          <w:p w14:paraId="720E4D7B"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5280</w:t>
            </w:r>
          </w:p>
        </w:tc>
      </w:tr>
      <w:tr w:rsidR="00445B99" w:rsidRPr="00E940CF" w14:paraId="2398055C"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2C46C090"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79</w:t>
            </w:r>
          </w:p>
        </w:tc>
        <w:tc>
          <w:tcPr>
            <w:tcW w:w="1320" w:type="dxa"/>
            <w:tcBorders>
              <w:top w:val="nil"/>
              <w:left w:val="nil"/>
              <w:bottom w:val="single" w:sz="4" w:space="0" w:color="auto"/>
              <w:right w:val="single" w:sz="4" w:space="0" w:color="auto"/>
            </w:tcBorders>
            <w:noWrap/>
            <w:vAlign w:val="bottom"/>
            <w:hideMark/>
          </w:tcPr>
          <w:p w14:paraId="315631AD"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167</w:t>
            </w:r>
          </w:p>
        </w:tc>
        <w:tc>
          <w:tcPr>
            <w:tcW w:w="1760" w:type="dxa"/>
            <w:tcBorders>
              <w:top w:val="nil"/>
              <w:left w:val="nil"/>
              <w:bottom w:val="single" w:sz="4" w:space="0" w:color="auto"/>
              <w:right w:val="single" w:sz="4" w:space="0" w:color="auto"/>
            </w:tcBorders>
            <w:noWrap/>
            <w:vAlign w:val="bottom"/>
            <w:hideMark/>
          </w:tcPr>
          <w:p w14:paraId="52BC79C3"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5447</w:t>
            </w:r>
          </w:p>
        </w:tc>
      </w:tr>
      <w:tr w:rsidR="00445B99" w:rsidRPr="00E940CF" w14:paraId="29CF8151"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1A1253E5"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80</w:t>
            </w:r>
          </w:p>
        </w:tc>
        <w:tc>
          <w:tcPr>
            <w:tcW w:w="1320" w:type="dxa"/>
            <w:tcBorders>
              <w:top w:val="nil"/>
              <w:left w:val="nil"/>
              <w:bottom w:val="single" w:sz="4" w:space="0" w:color="auto"/>
              <w:right w:val="single" w:sz="4" w:space="0" w:color="auto"/>
            </w:tcBorders>
            <w:noWrap/>
            <w:vAlign w:val="bottom"/>
            <w:hideMark/>
          </w:tcPr>
          <w:p w14:paraId="4C2937E1"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146</w:t>
            </w:r>
          </w:p>
        </w:tc>
        <w:tc>
          <w:tcPr>
            <w:tcW w:w="1760" w:type="dxa"/>
            <w:tcBorders>
              <w:top w:val="nil"/>
              <w:left w:val="nil"/>
              <w:bottom w:val="single" w:sz="4" w:space="0" w:color="auto"/>
              <w:right w:val="single" w:sz="4" w:space="0" w:color="auto"/>
            </w:tcBorders>
            <w:noWrap/>
            <w:vAlign w:val="bottom"/>
            <w:hideMark/>
          </w:tcPr>
          <w:p w14:paraId="64519BB6"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5593</w:t>
            </w:r>
          </w:p>
        </w:tc>
      </w:tr>
      <w:tr w:rsidR="00445B99" w:rsidRPr="00E940CF" w14:paraId="6160951F"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18A0BEFE"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81</w:t>
            </w:r>
          </w:p>
        </w:tc>
        <w:tc>
          <w:tcPr>
            <w:tcW w:w="1320" w:type="dxa"/>
            <w:tcBorders>
              <w:top w:val="nil"/>
              <w:left w:val="nil"/>
              <w:bottom w:val="single" w:sz="4" w:space="0" w:color="auto"/>
              <w:right w:val="single" w:sz="4" w:space="0" w:color="auto"/>
            </w:tcBorders>
            <w:noWrap/>
            <w:vAlign w:val="bottom"/>
            <w:hideMark/>
          </w:tcPr>
          <w:p w14:paraId="69CBE373"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151</w:t>
            </w:r>
          </w:p>
        </w:tc>
        <w:tc>
          <w:tcPr>
            <w:tcW w:w="1760" w:type="dxa"/>
            <w:tcBorders>
              <w:top w:val="nil"/>
              <w:left w:val="nil"/>
              <w:bottom w:val="single" w:sz="4" w:space="0" w:color="auto"/>
              <w:right w:val="single" w:sz="4" w:space="0" w:color="auto"/>
            </w:tcBorders>
            <w:noWrap/>
            <w:vAlign w:val="bottom"/>
            <w:hideMark/>
          </w:tcPr>
          <w:p w14:paraId="4DE19010"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5744</w:t>
            </w:r>
          </w:p>
        </w:tc>
      </w:tr>
      <w:tr w:rsidR="00445B99" w:rsidRPr="00E940CF" w14:paraId="4E33310C"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5145A1E6"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82</w:t>
            </w:r>
          </w:p>
        </w:tc>
        <w:tc>
          <w:tcPr>
            <w:tcW w:w="1320" w:type="dxa"/>
            <w:tcBorders>
              <w:top w:val="nil"/>
              <w:left w:val="nil"/>
              <w:bottom w:val="single" w:sz="4" w:space="0" w:color="auto"/>
              <w:right w:val="single" w:sz="4" w:space="0" w:color="auto"/>
            </w:tcBorders>
            <w:noWrap/>
            <w:vAlign w:val="bottom"/>
            <w:hideMark/>
          </w:tcPr>
          <w:p w14:paraId="7760D403"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142</w:t>
            </w:r>
          </w:p>
        </w:tc>
        <w:tc>
          <w:tcPr>
            <w:tcW w:w="1760" w:type="dxa"/>
            <w:tcBorders>
              <w:top w:val="nil"/>
              <w:left w:val="nil"/>
              <w:bottom w:val="single" w:sz="4" w:space="0" w:color="auto"/>
              <w:right w:val="single" w:sz="4" w:space="0" w:color="auto"/>
            </w:tcBorders>
            <w:noWrap/>
            <w:vAlign w:val="bottom"/>
            <w:hideMark/>
          </w:tcPr>
          <w:p w14:paraId="58B260AA"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5886</w:t>
            </w:r>
          </w:p>
        </w:tc>
      </w:tr>
      <w:tr w:rsidR="00445B99" w:rsidRPr="00E940CF" w14:paraId="48276310"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1CED8AA7"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83</w:t>
            </w:r>
          </w:p>
        </w:tc>
        <w:tc>
          <w:tcPr>
            <w:tcW w:w="1320" w:type="dxa"/>
            <w:tcBorders>
              <w:top w:val="nil"/>
              <w:left w:val="nil"/>
              <w:bottom w:val="single" w:sz="4" w:space="0" w:color="auto"/>
              <w:right w:val="single" w:sz="4" w:space="0" w:color="auto"/>
            </w:tcBorders>
            <w:noWrap/>
            <w:vAlign w:val="bottom"/>
            <w:hideMark/>
          </w:tcPr>
          <w:p w14:paraId="5FECF4B8"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117</w:t>
            </w:r>
          </w:p>
        </w:tc>
        <w:tc>
          <w:tcPr>
            <w:tcW w:w="1760" w:type="dxa"/>
            <w:tcBorders>
              <w:top w:val="nil"/>
              <w:left w:val="nil"/>
              <w:bottom w:val="single" w:sz="4" w:space="0" w:color="auto"/>
              <w:right w:val="single" w:sz="4" w:space="0" w:color="auto"/>
            </w:tcBorders>
            <w:noWrap/>
            <w:vAlign w:val="bottom"/>
            <w:hideMark/>
          </w:tcPr>
          <w:p w14:paraId="20751EB2"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6003</w:t>
            </w:r>
          </w:p>
        </w:tc>
      </w:tr>
      <w:tr w:rsidR="00445B99" w:rsidRPr="00E940CF" w14:paraId="0AA1CA86"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2A1032D5"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84</w:t>
            </w:r>
          </w:p>
        </w:tc>
        <w:tc>
          <w:tcPr>
            <w:tcW w:w="1320" w:type="dxa"/>
            <w:tcBorders>
              <w:top w:val="nil"/>
              <w:left w:val="nil"/>
              <w:bottom w:val="single" w:sz="4" w:space="0" w:color="auto"/>
              <w:right w:val="single" w:sz="4" w:space="0" w:color="auto"/>
            </w:tcBorders>
            <w:noWrap/>
            <w:vAlign w:val="bottom"/>
            <w:hideMark/>
          </w:tcPr>
          <w:p w14:paraId="4A7ADCEF"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85</w:t>
            </w:r>
          </w:p>
        </w:tc>
        <w:tc>
          <w:tcPr>
            <w:tcW w:w="1760" w:type="dxa"/>
            <w:tcBorders>
              <w:top w:val="nil"/>
              <w:left w:val="nil"/>
              <w:bottom w:val="single" w:sz="4" w:space="0" w:color="auto"/>
              <w:right w:val="single" w:sz="4" w:space="0" w:color="auto"/>
            </w:tcBorders>
            <w:noWrap/>
            <w:vAlign w:val="bottom"/>
            <w:hideMark/>
          </w:tcPr>
          <w:p w14:paraId="667AA892"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6088</w:t>
            </w:r>
          </w:p>
        </w:tc>
      </w:tr>
      <w:tr w:rsidR="00445B99" w:rsidRPr="00E940CF" w14:paraId="6C859EE5"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7BE33637"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85</w:t>
            </w:r>
          </w:p>
        </w:tc>
        <w:tc>
          <w:tcPr>
            <w:tcW w:w="1320" w:type="dxa"/>
            <w:tcBorders>
              <w:top w:val="nil"/>
              <w:left w:val="nil"/>
              <w:bottom w:val="single" w:sz="4" w:space="0" w:color="auto"/>
              <w:right w:val="single" w:sz="4" w:space="0" w:color="auto"/>
            </w:tcBorders>
            <w:noWrap/>
            <w:vAlign w:val="bottom"/>
            <w:hideMark/>
          </w:tcPr>
          <w:p w14:paraId="56A3DD61"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95</w:t>
            </w:r>
          </w:p>
        </w:tc>
        <w:tc>
          <w:tcPr>
            <w:tcW w:w="1760" w:type="dxa"/>
            <w:tcBorders>
              <w:top w:val="nil"/>
              <w:left w:val="nil"/>
              <w:bottom w:val="single" w:sz="4" w:space="0" w:color="auto"/>
              <w:right w:val="single" w:sz="4" w:space="0" w:color="auto"/>
            </w:tcBorders>
            <w:noWrap/>
            <w:vAlign w:val="bottom"/>
            <w:hideMark/>
          </w:tcPr>
          <w:p w14:paraId="6770C6C0"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6183</w:t>
            </w:r>
          </w:p>
        </w:tc>
      </w:tr>
      <w:tr w:rsidR="00445B99" w:rsidRPr="00E940CF" w14:paraId="051D681C"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5D2DADA7"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lastRenderedPageBreak/>
              <w:t>86</w:t>
            </w:r>
          </w:p>
        </w:tc>
        <w:tc>
          <w:tcPr>
            <w:tcW w:w="1320" w:type="dxa"/>
            <w:tcBorders>
              <w:top w:val="nil"/>
              <w:left w:val="nil"/>
              <w:bottom w:val="single" w:sz="4" w:space="0" w:color="auto"/>
              <w:right w:val="single" w:sz="4" w:space="0" w:color="auto"/>
            </w:tcBorders>
            <w:noWrap/>
            <w:vAlign w:val="bottom"/>
            <w:hideMark/>
          </w:tcPr>
          <w:p w14:paraId="3C6BC040"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77</w:t>
            </w:r>
          </w:p>
        </w:tc>
        <w:tc>
          <w:tcPr>
            <w:tcW w:w="1760" w:type="dxa"/>
            <w:tcBorders>
              <w:top w:val="nil"/>
              <w:left w:val="nil"/>
              <w:bottom w:val="single" w:sz="4" w:space="0" w:color="auto"/>
              <w:right w:val="single" w:sz="4" w:space="0" w:color="auto"/>
            </w:tcBorders>
            <w:noWrap/>
            <w:vAlign w:val="bottom"/>
            <w:hideMark/>
          </w:tcPr>
          <w:p w14:paraId="0CBB3643"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6260</w:t>
            </w:r>
          </w:p>
        </w:tc>
      </w:tr>
      <w:tr w:rsidR="00445B99" w:rsidRPr="00E940CF" w14:paraId="56E753D7"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542F9D63"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87</w:t>
            </w:r>
          </w:p>
        </w:tc>
        <w:tc>
          <w:tcPr>
            <w:tcW w:w="1320" w:type="dxa"/>
            <w:tcBorders>
              <w:top w:val="nil"/>
              <w:left w:val="nil"/>
              <w:bottom w:val="single" w:sz="4" w:space="0" w:color="auto"/>
              <w:right w:val="single" w:sz="4" w:space="0" w:color="auto"/>
            </w:tcBorders>
            <w:noWrap/>
            <w:vAlign w:val="bottom"/>
            <w:hideMark/>
          </w:tcPr>
          <w:p w14:paraId="41B5C70A"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62</w:t>
            </w:r>
          </w:p>
        </w:tc>
        <w:tc>
          <w:tcPr>
            <w:tcW w:w="1760" w:type="dxa"/>
            <w:tcBorders>
              <w:top w:val="nil"/>
              <w:left w:val="nil"/>
              <w:bottom w:val="single" w:sz="4" w:space="0" w:color="auto"/>
              <w:right w:val="single" w:sz="4" w:space="0" w:color="auto"/>
            </w:tcBorders>
            <w:noWrap/>
            <w:vAlign w:val="bottom"/>
            <w:hideMark/>
          </w:tcPr>
          <w:p w14:paraId="75A1AFEF"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6322</w:t>
            </w:r>
          </w:p>
        </w:tc>
      </w:tr>
      <w:tr w:rsidR="00445B99" w:rsidRPr="00E940CF" w14:paraId="447261EA"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03884E3A"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88</w:t>
            </w:r>
          </w:p>
        </w:tc>
        <w:tc>
          <w:tcPr>
            <w:tcW w:w="1320" w:type="dxa"/>
            <w:tcBorders>
              <w:top w:val="nil"/>
              <w:left w:val="nil"/>
              <w:bottom w:val="single" w:sz="4" w:space="0" w:color="auto"/>
              <w:right w:val="single" w:sz="4" w:space="0" w:color="auto"/>
            </w:tcBorders>
            <w:noWrap/>
            <w:vAlign w:val="bottom"/>
            <w:hideMark/>
          </w:tcPr>
          <w:p w14:paraId="1F2DC8DC"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70</w:t>
            </w:r>
          </w:p>
        </w:tc>
        <w:tc>
          <w:tcPr>
            <w:tcW w:w="1760" w:type="dxa"/>
            <w:tcBorders>
              <w:top w:val="nil"/>
              <w:left w:val="nil"/>
              <w:bottom w:val="single" w:sz="4" w:space="0" w:color="auto"/>
              <w:right w:val="single" w:sz="4" w:space="0" w:color="auto"/>
            </w:tcBorders>
            <w:noWrap/>
            <w:vAlign w:val="bottom"/>
            <w:hideMark/>
          </w:tcPr>
          <w:p w14:paraId="3A7F65D5"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6392</w:t>
            </w:r>
          </w:p>
        </w:tc>
      </w:tr>
      <w:tr w:rsidR="00445B99" w:rsidRPr="00E940CF" w14:paraId="2E191D29"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7323170F"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89</w:t>
            </w:r>
          </w:p>
        </w:tc>
        <w:tc>
          <w:tcPr>
            <w:tcW w:w="1320" w:type="dxa"/>
            <w:tcBorders>
              <w:top w:val="nil"/>
              <w:left w:val="nil"/>
              <w:bottom w:val="single" w:sz="4" w:space="0" w:color="auto"/>
              <w:right w:val="single" w:sz="4" w:space="0" w:color="auto"/>
            </w:tcBorders>
            <w:noWrap/>
            <w:vAlign w:val="bottom"/>
            <w:hideMark/>
          </w:tcPr>
          <w:p w14:paraId="24389E7A"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46</w:t>
            </w:r>
          </w:p>
        </w:tc>
        <w:tc>
          <w:tcPr>
            <w:tcW w:w="1760" w:type="dxa"/>
            <w:tcBorders>
              <w:top w:val="nil"/>
              <w:left w:val="nil"/>
              <w:bottom w:val="single" w:sz="4" w:space="0" w:color="auto"/>
              <w:right w:val="single" w:sz="4" w:space="0" w:color="auto"/>
            </w:tcBorders>
            <w:noWrap/>
            <w:vAlign w:val="bottom"/>
            <w:hideMark/>
          </w:tcPr>
          <w:p w14:paraId="2B2463E5"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6438</w:t>
            </w:r>
          </w:p>
        </w:tc>
      </w:tr>
      <w:tr w:rsidR="00445B99" w:rsidRPr="00E940CF" w14:paraId="35B3A03F"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148086FD"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90</w:t>
            </w:r>
          </w:p>
        </w:tc>
        <w:tc>
          <w:tcPr>
            <w:tcW w:w="1320" w:type="dxa"/>
            <w:tcBorders>
              <w:top w:val="nil"/>
              <w:left w:val="nil"/>
              <w:bottom w:val="single" w:sz="4" w:space="0" w:color="auto"/>
              <w:right w:val="single" w:sz="4" w:space="0" w:color="auto"/>
            </w:tcBorders>
            <w:noWrap/>
            <w:vAlign w:val="bottom"/>
            <w:hideMark/>
          </w:tcPr>
          <w:p w14:paraId="21C74A44"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49</w:t>
            </w:r>
          </w:p>
        </w:tc>
        <w:tc>
          <w:tcPr>
            <w:tcW w:w="1760" w:type="dxa"/>
            <w:tcBorders>
              <w:top w:val="nil"/>
              <w:left w:val="nil"/>
              <w:bottom w:val="single" w:sz="4" w:space="0" w:color="auto"/>
              <w:right w:val="single" w:sz="4" w:space="0" w:color="auto"/>
            </w:tcBorders>
            <w:noWrap/>
            <w:vAlign w:val="bottom"/>
            <w:hideMark/>
          </w:tcPr>
          <w:p w14:paraId="7578C893"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6487</w:t>
            </w:r>
          </w:p>
        </w:tc>
      </w:tr>
      <w:tr w:rsidR="00445B99" w:rsidRPr="00E940CF" w14:paraId="445A3301"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471759A4"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91</w:t>
            </w:r>
          </w:p>
        </w:tc>
        <w:tc>
          <w:tcPr>
            <w:tcW w:w="1320" w:type="dxa"/>
            <w:tcBorders>
              <w:top w:val="nil"/>
              <w:left w:val="nil"/>
              <w:bottom w:val="single" w:sz="4" w:space="0" w:color="auto"/>
              <w:right w:val="single" w:sz="4" w:space="0" w:color="auto"/>
            </w:tcBorders>
            <w:noWrap/>
            <w:vAlign w:val="bottom"/>
            <w:hideMark/>
          </w:tcPr>
          <w:p w14:paraId="65D6D0BA"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37</w:t>
            </w:r>
          </w:p>
        </w:tc>
        <w:tc>
          <w:tcPr>
            <w:tcW w:w="1760" w:type="dxa"/>
            <w:tcBorders>
              <w:top w:val="nil"/>
              <w:left w:val="nil"/>
              <w:bottom w:val="single" w:sz="4" w:space="0" w:color="auto"/>
              <w:right w:val="single" w:sz="4" w:space="0" w:color="auto"/>
            </w:tcBorders>
            <w:noWrap/>
            <w:vAlign w:val="bottom"/>
            <w:hideMark/>
          </w:tcPr>
          <w:p w14:paraId="7D125BD7"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6524</w:t>
            </w:r>
          </w:p>
        </w:tc>
      </w:tr>
      <w:tr w:rsidR="00445B99" w:rsidRPr="00E940CF" w14:paraId="35D55232"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5363766B"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92</w:t>
            </w:r>
          </w:p>
        </w:tc>
        <w:tc>
          <w:tcPr>
            <w:tcW w:w="1320" w:type="dxa"/>
            <w:tcBorders>
              <w:top w:val="nil"/>
              <w:left w:val="nil"/>
              <w:bottom w:val="single" w:sz="4" w:space="0" w:color="auto"/>
              <w:right w:val="single" w:sz="4" w:space="0" w:color="auto"/>
            </w:tcBorders>
            <w:noWrap/>
            <w:vAlign w:val="bottom"/>
            <w:hideMark/>
          </w:tcPr>
          <w:p w14:paraId="29C2C488"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38</w:t>
            </w:r>
          </w:p>
        </w:tc>
        <w:tc>
          <w:tcPr>
            <w:tcW w:w="1760" w:type="dxa"/>
            <w:tcBorders>
              <w:top w:val="nil"/>
              <w:left w:val="nil"/>
              <w:bottom w:val="single" w:sz="4" w:space="0" w:color="auto"/>
              <w:right w:val="single" w:sz="4" w:space="0" w:color="auto"/>
            </w:tcBorders>
            <w:noWrap/>
            <w:vAlign w:val="bottom"/>
            <w:hideMark/>
          </w:tcPr>
          <w:p w14:paraId="2FFA7132"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6562</w:t>
            </w:r>
          </w:p>
        </w:tc>
      </w:tr>
      <w:tr w:rsidR="00445B99" w:rsidRPr="00E940CF" w14:paraId="281C01E6"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53BF297F"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93</w:t>
            </w:r>
          </w:p>
        </w:tc>
        <w:tc>
          <w:tcPr>
            <w:tcW w:w="1320" w:type="dxa"/>
            <w:tcBorders>
              <w:top w:val="nil"/>
              <w:left w:val="nil"/>
              <w:bottom w:val="single" w:sz="4" w:space="0" w:color="auto"/>
              <w:right w:val="single" w:sz="4" w:space="0" w:color="auto"/>
            </w:tcBorders>
            <w:noWrap/>
            <w:vAlign w:val="bottom"/>
            <w:hideMark/>
          </w:tcPr>
          <w:p w14:paraId="67A7C51A"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26</w:t>
            </w:r>
          </w:p>
        </w:tc>
        <w:tc>
          <w:tcPr>
            <w:tcW w:w="1760" w:type="dxa"/>
            <w:tcBorders>
              <w:top w:val="nil"/>
              <w:left w:val="nil"/>
              <w:bottom w:val="single" w:sz="4" w:space="0" w:color="auto"/>
              <w:right w:val="single" w:sz="4" w:space="0" w:color="auto"/>
            </w:tcBorders>
            <w:noWrap/>
            <w:vAlign w:val="bottom"/>
            <w:hideMark/>
          </w:tcPr>
          <w:p w14:paraId="2A4159BA"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6588</w:t>
            </w:r>
          </w:p>
        </w:tc>
      </w:tr>
      <w:tr w:rsidR="00445B99" w:rsidRPr="00E940CF" w14:paraId="2FBBD2CD"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5581996A"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94</w:t>
            </w:r>
          </w:p>
        </w:tc>
        <w:tc>
          <w:tcPr>
            <w:tcW w:w="1320" w:type="dxa"/>
            <w:tcBorders>
              <w:top w:val="nil"/>
              <w:left w:val="nil"/>
              <w:bottom w:val="single" w:sz="4" w:space="0" w:color="auto"/>
              <w:right w:val="single" w:sz="4" w:space="0" w:color="auto"/>
            </w:tcBorders>
            <w:noWrap/>
            <w:vAlign w:val="bottom"/>
            <w:hideMark/>
          </w:tcPr>
          <w:p w14:paraId="67E74E93"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14</w:t>
            </w:r>
          </w:p>
        </w:tc>
        <w:tc>
          <w:tcPr>
            <w:tcW w:w="1760" w:type="dxa"/>
            <w:tcBorders>
              <w:top w:val="nil"/>
              <w:left w:val="nil"/>
              <w:bottom w:val="single" w:sz="4" w:space="0" w:color="auto"/>
              <w:right w:val="single" w:sz="4" w:space="0" w:color="auto"/>
            </w:tcBorders>
            <w:noWrap/>
            <w:vAlign w:val="bottom"/>
            <w:hideMark/>
          </w:tcPr>
          <w:p w14:paraId="2FBE39CA"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6602</w:t>
            </w:r>
          </w:p>
        </w:tc>
      </w:tr>
      <w:tr w:rsidR="00445B99" w:rsidRPr="00E940CF" w14:paraId="28BF8439"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5392C2D6"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95</w:t>
            </w:r>
          </w:p>
        </w:tc>
        <w:tc>
          <w:tcPr>
            <w:tcW w:w="1320" w:type="dxa"/>
            <w:tcBorders>
              <w:top w:val="nil"/>
              <w:left w:val="nil"/>
              <w:bottom w:val="single" w:sz="4" w:space="0" w:color="auto"/>
              <w:right w:val="single" w:sz="4" w:space="0" w:color="auto"/>
            </w:tcBorders>
            <w:noWrap/>
            <w:vAlign w:val="bottom"/>
            <w:hideMark/>
          </w:tcPr>
          <w:p w14:paraId="404966B5"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11</w:t>
            </w:r>
          </w:p>
        </w:tc>
        <w:tc>
          <w:tcPr>
            <w:tcW w:w="1760" w:type="dxa"/>
            <w:tcBorders>
              <w:top w:val="nil"/>
              <w:left w:val="nil"/>
              <w:bottom w:val="single" w:sz="4" w:space="0" w:color="auto"/>
              <w:right w:val="single" w:sz="4" w:space="0" w:color="auto"/>
            </w:tcBorders>
            <w:noWrap/>
            <w:vAlign w:val="bottom"/>
            <w:hideMark/>
          </w:tcPr>
          <w:p w14:paraId="5AF5F4DC"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6613</w:t>
            </w:r>
          </w:p>
        </w:tc>
      </w:tr>
      <w:tr w:rsidR="00445B99" w:rsidRPr="00E940CF" w14:paraId="4E274630"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5640528D"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96</w:t>
            </w:r>
          </w:p>
        </w:tc>
        <w:tc>
          <w:tcPr>
            <w:tcW w:w="1320" w:type="dxa"/>
            <w:tcBorders>
              <w:top w:val="nil"/>
              <w:left w:val="nil"/>
              <w:bottom w:val="single" w:sz="4" w:space="0" w:color="auto"/>
              <w:right w:val="single" w:sz="4" w:space="0" w:color="auto"/>
            </w:tcBorders>
            <w:noWrap/>
            <w:vAlign w:val="bottom"/>
            <w:hideMark/>
          </w:tcPr>
          <w:p w14:paraId="7CABCEE0"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10</w:t>
            </w:r>
          </w:p>
        </w:tc>
        <w:tc>
          <w:tcPr>
            <w:tcW w:w="1760" w:type="dxa"/>
            <w:tcBorders>
              <w:top w:val="nil"/>
              <w:left w:val="nil"/>
              <w:bottom w:val="single" w:sz="4" w:space="0" w:color="auto"/>
              <w:right w:val="single" w:sz="4" w:space="0" w:color="auto"/>
            </w:tcBorders>
            <w:noWrap/>
            <w:vAlign w:val="bottom"/>
            <w:hideMark/>
          </w:tcPr>
          <w:p w14:paraId="662C578A"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6623</w:t>
            </w:r>
          </w:p>
        </w:tc>
      </w:tr>
      <w:tr w:rsidR="00445B99" w:rsidRPr="00E940CF" w14:paraId="0C45726A"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53BC7F58"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97</w:t>
            </w:r>
          </w:p>
        </w:tc>
        <w:tc>
          <w:tcPr>
            <w:tcW w:w="1320" w:type="dxa"/>
            <w:tcBorders>
              <w:top w:val="nil"/>
              <w:left w:val="nil"/>
              <w:bottom w:val="single" w:sz="4" w:space="0" w:color="auto"/>
              <w:right w:val="single" w:sz="4" w:space="0" w:color="auto"/>
            </w:tcBorders>
            <w:noWrap/>
            <w:vAlign w:val="bottom"/>
            <w:hideMark/>
          </w:tcPr>
          <w:p w14:paraId="016E3FFE"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13</w:t>
            </w:r>
          </w:p>
        </w:tc>
        <w:tc>
          <w:tcPr>
            <w:tcW w:w="1760" w:type="dxa"/>
            <w:tcBorders>
              <w:top w:val="nil"/>
              <w:left w:val="nil"/>
              <w:bottom w:val="single" w:sz="4" w:space="0" w:color="auto"/>
              <w:right w:val="single" w:sz="4" w:space="0" w:color="auto"/>
            </w:tcBorders>
            <w:noWrap/>
            <w:vAlign w:val="bottom"/>
            <w:hideMark/>
          </w:tcPr>
          <w:p w14:paraId="7D99B1C3" w14:textId="7777777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6636</w:t>
            </w:r>
          </w:p>
        </w:tc>
      </w:tr>
      <w:tr w:rsidR="00445B99" w:rsidRPr="00E940CF" w14:paraId="237D4F6F" w14:textId="77777777" w:rsidTr="006213D9">
        <w:trPr>
          <w:cantSplit/>
          <w:trHeight w:val="300"/>
        </w:trPr>
        <w:tc>
          <w:tcPr>
            <w:tcW w:w="1280" w:type="dxa"/>
            <w:tcBorders>
              <w:top w:val="nil"/>
              <w:left w:val="single" w:sz="4" w:space="0" w:color="auto"/>
              <w:bottom w:val="single" w:sz="4" w:space="0" w:color="auto"/>
              <w:right w:val="single" w:sz="4" w:space="0" w:color="auto"/>
            </w:tcBorders>
            <w:noWrap/>
            <w:vAlign w:val="bottom"/>
            <w:hideMark/>
          </w:tcPr>
          <w:p w14:paraId="5F43132A" w14:textId="2512354F"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&gt;97</w:t>
            </w:r>
          </w:p>
        </w:tc>
        <w:tc>
          <w:tcPr>
            <w:tcW w:w="1320" w:type="dxa"/>
            <w:tcBorders>
              <w:top w:val="nil"/>
              <w:left w:val="nil"/>
              <w:bottom w:val="single" w:sz="4" w:space="0" w:color="auto"/>
              <w:right w:val="single" w:sz="4" w:space="0" w:color="auto"/>
            </w:tcBorders>
            <w:noWrap/>
            <w:vAlign w:val="bottom"/>
            <w:hideMark/>
          </w:tcPr>
          <w:p w14:paraId="2B43171D" w14:textId="2893306F"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15</w:t>
            </w:r>
          </w:p>
        </w:tc>
        <w:tc>
          <w:tcPr>
            <w:tcW w:w="1760" w:type="dxa"/>
            <w:tcBorders>
              <w:top w:val="nil"/>
              <w:left w:val="nil"/>
              <w:bottom w:val="single" w:sz="4" w:space="0" w:color="auto"/>
              <w:right w:val="single" w:sz="4" w:space="0" w:color="auto"/>
            </w:tcBorders>
            <w:noWrap/>
            <w:vAlign w:val="bottom"/>
            <w:hideMark/>
          </w:tcPr>
          <w:p w14:paraId="47DA79BE" w14:textId="4D343045"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6651</w:t>
            </w:r>
          </w:p>
        </w:tc>
      </w:tr>
    </w:tbl>
    <w:p w14:paraId="7D2B0112" w14:textId="2F22E69D" w:rsidR="00553E4F" w:rsidRPr="00E940CF" w:rsidRDefault="00553E4F" w:rsidP="007D766E">
      <w:pPr>
        <w:ind w:left="360"/>
        <w:rPr>
          <w:rFonts w:ascii="Aptos" w:hAnsi="Aptos" w:cs="Calibri"/>
          <w:sz w:val="24"/>
          <w:szCs w:val="24"/>
        </w:rPr>
      </w:pPr>
    </w:p>
    <w:p w14:paraId="76060199" w14:textId="3A428FC3" w:rsidR="00553E4F" w:rsidRPr="00E940CF" w:rsidRDefault="00553E4F" w:rsidP="00553E4F">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Data Appendix Figure 4 – Updated</w:t>
      </w:r>
      <w:r w:rsidR="0091752E" w:rsidRPr="00E940CF">
        <w:rPr>
          <w:rFonts w:ascii="Aptos" w:hAnsi="Aptos" w:cs="Times New Roman"/>
          <w:color w:val="1F4E79" w:themeColor="accent5" w:themeShade="80"/>
          <w:sz w:val="24"/>
          <w:szCs w:val="24"/>
        </w:rPr>
        <w:t xml:space="preserve"> Table</w:t>
      </w:r>
      <w:r w:rsidRPr="00E940CF">
        <w:rPr>
          <w:rFonts w:ascii="Aptos" w:hAnsi="Aptos" w:cs="Times New Roman"/>
          <w:color w:val="1F4E79" w:themeColor="accent5" w:themeShade="80"/>
          <w:sz w:val="24"/>
          <w:szCs w:val="24"/>
        </w:rPr>
        <w:t xml:space="preserve"> </w:t>
      </w:r>
      <w:r w:rsidR="00132651" w:rsidRPr="00E940CF">
        <w:rPr>
          <w:rFonts w:ascii="Aptos" w:hAnsi="Aptos" w:cs="Times New Roman"/>
          <w:color w:val="1F4E79" w:themeColor="accent5" w:themeShade="80"/>
          <w:sz w:val="24"/>
          <w:szCs w:val="24"/>
        </w:rPr>
        <w:t xml:space="preserve">adds 2025 to the </w:t>
      </w:r>
      <w:r w:rsidR="00445B99" w:rsidRPr="00E940CF">
        <w:rPr>
          <w:rFonts w:ascii="Aptos" w:hAnsi="Aptos" w:cs="Times New Roman"/>
          <w:color w:val="1F4E79" w:themeColor="accent5" w:themeShade="80"/>
          <w:sz w:val="24"/>
          <w:szCs w:val="24"/>
        </w:rPr>
        <w:t>data</w:t>
      </w:r>
      <w:r w:rsidR="00132651" w:rsidRPr="00E940CF">
        <w:rPr>
          <w:rFonts w:ascii="Aptos" w:hAnsi="Aptos" w:cs="Times New Roman"/>
          <w:color w:val="1F4E79" w:themeColor="accent5" w:themeShade="80"/>
          <w:sz w:val="24"/>
          <w:szCs w:val="24"/>
        </w:rPr>
        <w:t xml:space="preserve"> depicting the age of cancer diagnosis for the Applicant’s volume between 2022 through 2025.</w:t>
      </w:r>
    </w:p>
    <w:p w14:paraId="30095577" w14:textId="367A94E2" w:rsidR="00705804" w:rsidRPr="00E940CF" w:rsidRDefault="00705804" w:rsidP="00705804">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Importantly, the Applicant’s updated analysis of the Cancer Registry data for the Applicant’s program revealed a data error in its initial analysis which incorrectly identified the Applicant’s median age at diagnosis to be 55</w:t>
      </w:r>
      <w:r w:rsidR="00896388" w:rsidRPr="00E940CF">
        <w:rPr>
          <w:rFonts w:ascii="Aptos" w:hAnsi="Aptos" w:cs="Times New Roman"/>
          <w:color w:val="1F4E79" w:themeColor="accent5" w:themeShade="80"/>
          <w:sz w:val="24"/>
          <w:szCs w:val="24"/>
        </w:rPr>
        <w:t xml:space="preserve"> in the Narrative</w:t>
      </w:r>
      <w:r w:rsidRPr="00E940CF">
        <w:rPr>
          <w:rFonts w:ascii="Aptos" w:hAnsi="Aptos" w:cs="Times New Roman"/>
          <w:color w:val="1F4E79" w:themeColor="accent5" w:themeShade="80"/>
          <w:sz w:val="24"/>
          <w:szCs w:val="24"/>
        </w:rPr>
        <w:t>.</w:t>
      </w:r>
      <w:r w:rsidRPr="00E940CF">
        <w:rPr>
          <w:rStyle w:val="FootnoteReference"/>
          <w:rFonts w:ascii="Aptos" w:hAnsi="Aptos" w:cs="Times New Roman"/>
          <w:color w:val="1F4E79" w:themeColor="accent5" w:themeShade="80"/>
          <w:sz w:val="24"/>
          <w:szCs w:val="24"/>
        </w:rPr>
        <w:footnoteReference w:id="4"/>
      </w:r>
      <w:r w:rsidRPr="00E940CF">
        <w:rPr>
          <w:rFonts w:ascii="Aptos" w:hAnsi="Aptos" w:cs="Times New Roman"/>
          <w:color w:val="1F4E79" w:themeColor="accent5" w:themeShade="80"/>
          <w:sz w:val="24"/>
          <w:szCs w:val="24"/>
        </w:rPr>
        <w:t xml:space="preserve">  The updated data shows the Applicant’s patient panel’s median age of cancer diagnosis over the larger cohort to be 69 years of age, which is in line with national data from the National Cancer Institute showing the median age of patients diagnosed with cancer in the United States to be approximately 67 years old.</w:t>
      </w:r>
      <w:r w:rsidRPr="00E940CF">
        <w:rPr>
          <w:rStyle w:val="FootnoteReference"/>
          <w:rFonts w:ascii="Aptos" w:hAnsi="Aptos" w:cs="Times New Roman"/>
          <w:color w:val="1F4E79" w:themeColor="accent5" w:themeShade="80"/>
          <w:sz w:val="24"/>
          <w:szCs w:val="24"/>
        </w:rPr>
        <w:footnoteReference w:id="5"/>
      </w:r>
    </w:p>
    <w:p w14:paraId="13906767" w14:textId="4C3B4703" w:rsidR="00896388" w:rsidRPr="002246D5" w:rsidRDefault="00896388" w:rsidP="0000002D">
      <w:pPr>
        <w:keepNext/>
        <w:ind w:left="360"/>
        <w:rPr>
          <w:rFonts w:ascii="Aptos" w:hAnsi="Aptos" w:cs="Times New Roman"/>
          <w:color w:val="1F4E79" w:themeColor="accent5" w:themeShade="80"/>
          <w:sz w:val="24"/>
          <w:szCs w:val="24"/>
        </w:rPr>
      </w:pPr>
      <w:r w:rsidRPr="002246D5">
        <w:rPr>
          <w:rFonts w:ascii="Aptos" w:hAnsi="Aptos" w:cs="Times New Roman"/>
          <w:i/>
          <w:iCs/>
          <w:color w:val="1F4E79" w:themeColor="accent5" w:themeShade="80"/>
          <w:sz w:val="24"/>
          <w:szCs w:val="24"/>
        </w:rPr>
        <w:lastRenderedPageBreak/>
        <w:t>Data Appendix Figure 5 – Updated</w:t>
      </w:r>
      <w:r w:rsidR="00445B99" w:rsidRPr="002246D5">
        <w:rPr>
          <w:rFonts w:ascii="Aptos" w:hAnsi="Aptos" w:cs="Times New Roman"/>
          <w:i/>
          <w:iCs/>
          <w:color w:val="1F4E79" w:themeColor="accent5" w:themeShade="80"/>
          <w:sz w:val="24"/>
          <w:szCs w:val="24"/>
        </w:rPr>
        <w:t xml:space="preserve"> Table</w:t>
      </w:r>
    </w:p>
    <w:tbl>
      <w:tblPr>
        <w:tblW w:w="5440" w:type="dxa"/>
        <w:tblInd w:w="355" w:type="dxa"/>
        <w:tblLook w:val="04A0" w:firstRow="1" w:lastRow="0" w:firstColumn="1" w:lastColumn="0" w:noHBand="0" w:noVBand="1"/>
        <w:tblCaption w:val="Data Appendix Figure 5 – Updated Table"/>
      </w:tblPr>
      <w:tblGrid>
        <w:gridCol w:w="2960"/>
        <w:gridCol w:w="2480"/>
      </w:tblGrid>
      <w:tr w:rsidR="00445B99" w:rsidRPr="00E940CF" w14:paraId="4E2CDBAC" w14:textId="77777777" w:rsidTr="008F54AD">
        <w:trPr>
          <w:cantSplit/>
          <w:trHeight w:val="840"/>
          <w:tblHeader/>
        </w:trPr>
        <w:tc>
          <w:tcPr>
            <w:tcW w:w="296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AB2DF60" w14:textId="3FCFDF63" w:rsidR="00445B99" w:rsidRPr="00E940CF" w:rsidRDefault="00445B99" w:rsidP="00414367">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Cancer Disease Site</w:t>
            </w:r>
          </w:p>
        </w:tc>
        <w:tc>
          <w:tcPr>
            <w:tcW w:w="2480" w:type="dxa"/>
            <w:tcBorders>
              <w:top w:val="single" w:sz="4" w:space="0" w:color="auto"/>
              <w:left w:val="nil"/>
              <w:bottom w:val="single" w:sz="4" w:space="0" w:color="auto"/>
              <w:right w:val="single" w:sz="4" w:space="0" w:color="auto"/>
            </w:tcBorders>
            <w:shd w:val="clear" w:color="000000" w:fill="D9E1F2"/>
            <w:vAlign w:val="center"/>
            <w:hideMark/>
          </w:tcPr>
          <w:p w14:paraId="0B3011F0" w14:textId="4D8E5826" w:rsidR="00445B99" w:rsidRPr="00E940CF" w:rsidRDefault="00445B99" w:rsidP="00414367">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Southcoast Health Oncology Patient Volume (Individuals, FY2</w:t>
            </w:r>
            <w:r w:rsidR="0053007E" w:rsidRPr="00E940CF">
              <w:rPr>
                <w:rFonts w:ascii="Aptos" w:eastAsia="Times New Roman" w:hAnsi="Aptos" w:cs="Times New Roman"/>
                <w:b/>
                <w:bCs/>
                <w:color w:val="1F4E79" w:themeColor="accent5" w:themeShade="80"/>
                <w:sz w:val="24"/>
                <w:szCs w:val="24"/>
              </w:rPr>
              <w:t>3</w:t>
            </w:r>
            <w:r w:rsidRPr="00E940CF">
              <w:rPr>
                <w:rFonts w:ascii="Aptos" w:eastAsia="Times New Roman" w:hAnsi="Aptos" w:cs="Times New Roman"/>
                <w:b/>
                <w:bCs/>
                <w:color w:val="1F4E79" w:themeColor="accent5" w:themeShade="80"/>
                <w:sz w:val="24"/>
                <w:szCs w:val="24"/>
              </w:rPr>
              <w:t>-FY25)</w:t>
            </w:r>
          </w:p>
        </w:tc>
      </w:tr>
      <w:tr w:rsidR="00445B99" w:rsidRPr="00E940CF" w14:paraId="0F1994D6" w14:textId="77777777" w:rsidTr="008F54AD">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29F42F83" w14:textId="721FB4D7"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Breast</w:t>
            </w:r>
          </w:p>
        </w:tc>
        <w:tc>
          <w:tcPr>
            <w:tcW w:w="2480" w:type="dxa"/>
            <w:tcBorders>
              <w:top w:val="nil"/>
              <w:left w:val="nil"/>
              <w:bottom w:val="single" w:sz="4" w:space="0" w:color="auto"/>
              <w:right w:val="single" w:sz="4" w:space="0" w:color="auto"/>
            </w:tcBorders>
            <w:noWrap/>
            <w:vAlign w:val="bottom"/>
            <w:hideMark/>
          </w:tcPr>
          <w:p w14:paraId="17CF8477" w14:textId="3E5C6E26"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1159</w:t>
            </w:r>
          </w:p>
        </w:tc>
      </w:tr>
      <w:tr w:rsidR="00445B99" w:rsidRPr="00E940CF" w14:paraId="7645F46C" w14:textId="77777777" w:rsidTr="008F54AD">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636F93C8" w14:textId="6FE34731"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Lung</w:t>
            </w:r>
          </w:p>
        </w:tc>
        <w:tc>
          <w:tcPr>
            <w:tcW w:w="2480" w:type="dxa"/>
            <w:tcBorders>
              <w:top w:val="nil"/>
              <w:left w:val="nil"/>
              <w:bottom w:val="single" w:sz="4" w:space="0" w:color="auto"/>
              <w:right w:val="single" w:sz="4" w:space="0" w:color="auto"/>
            </w:tcBorders>
            <w:noWrap/>
            <w:vAlign w:val="bottom"/>
            <w:hideMark/>
          </w:tcPr>
          <w:p w14:paraId="4A8548C8" w14:textId="224772C5"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1040</w:t>
            </w:r>
          </w:p>
        </w:tc>
      </w:tr>
      <w:tr w:rsidR="00445B99" w:rsidRPr="00E940CF" w14:paraId="30C8D79A"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hideMark/>
          </w:tcPr>
          <w:p w14:paraId="74BED648" w14:textId="3370D992"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Prostate</w:t>
            </w:r>
          </w:p>
        </w:tc>
        <w:tc>
          <w:tcPr>
            <w:tcW w:w="2480" w:type="dxa"/>
            <w:tcBorders>
              <w:top w:val="single" w:sz="4" w:space="0" w:color="auto"/>
              <w:left w:val="nil"/>
              <w:bottom w:val="single" w:sz="4" w:space="0" w:color="auto"/>
              <w:right w:val="single" w:sz="4" w:space="0" w:color="auto"/>
            </w:tcBorders>
            <w:noWrap/>
            <w:vAlign w:val="bottom"/>
            <w:hideMark/>
          </w:tcPr>
          <w:p w14:paraId="582F7C85" w14:textId="134F08C4"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745</w:t>
            </w:r>
          </w:p>
        </w:tc>
      </w:tr>
      <w:tr w:rsidR="00445B99" w:rsidRPr="00E940CF" w14:paraId="048709B6"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24040E42" w14:textId="2D087601"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Colorectal</w:t>
            </w:r>
          </w:p>
        </w:tc>
        <w:tc>
          <w:tcPr>
            <w:tcW w:w="2480" w:type="dxa"/>
            <w:tcBorders>
              <w:top w:val="single" w:sz="4" w:space="0" w:color="auto"/>
              <w:left w:val="nil"/>
              <w:bottom w:val="single" w:sz="4" w:space="0" w:color="auto"/>
              <w:right w:val="single" w:sz="4" w:space="0" w:color="auto"/>
            </w:tcBorders>
            <w:noWrap/>
            <w:vAlign w:val="bottom"/>
          </w:tcPr>
          <w:p w14:paraId="4AA3AF40" w14:textId="26FEBE66"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531</w:t>
            </w:r>
          </w:p>
        </w:tc>
      </w:tr>
      <w:tr w:rsidR="00445B99" w:rsidRPr="00E940CF" w14:paraId="5252C742"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4B8C4E54" w14:textId="75033654"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Bone Marrow</w:t>
            </w:r>
          </w:p>
        </w:tc>
        <w:tc>
          <w:tcPr>
            <w:tcW w:w="2480" w:type="dxa"/>
            <w:tcBorders>
              <w:top w:val="single" w:sz="4" w:space="0" w:color="auto"/>
              <w:left w:val="nil"/>
              <w:bottom w:val="single" w:sz="4" w:space="0" w:color="auto"/>
              <w:right w:val="single" w:sz="4" w:space="0" w:color="auto"/>
            </w:tcBorders>
            <w:noWrap/>
            <w:vAlign w:val="bottom"/>
          </w:tcPr>
          <w:p w14:paraId="60A5C3BB" w14:textId="5EE64B87"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422</w:t>
            </w:r>
          </w:p>
        </w:tc>
      </w:tr>
      <w:tr w:rsidR="00445B99" w:rsidRPr="00E940CF" w14:paraId="535C6A13"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4CB2FF26" w14:textId="30DEC1DD"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Unknown</w:t>
            </w:r>
          </w:p>
        </w:tc>
        <w:tc>
          <w:tcPr>
            <w:tcW w:w="2480" w:type="dxa"/>
            <w:tcBorders>
              <w:top w:val="single" w:sz="4" w:space="0" w:color="auto"/>
              <w:left w:val="nil"/>
              <w:bottom w:val="single" w:sz="4" w:space="0" w:color="auto"/>
              <w:right w:val="single" w:sz="4" w:space="0" w:color="auto"/>
            </w:tcBorders>
            <w:noWrap/>
            <w:vAlign w:val="bottom"/>
          </w:tcPr>
          <w:p w14:paraId="09F33C49" w14:textId="2872E835"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372</w:t>
            </w:r>
          </w:p>
        </w:tc>
      </w:tr>
      <w:tr w:rsidR="00445B99" w:rsidRPr="00E940CF" w14:paraId="6D1AE38F"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1B5E4587" w14:textId="5582914C"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Gynecologic</w:t>
            </w:r>
          </w:p>
        </w:tc>
        <w:tc>
          <w:tcPr>
            <w:tcW w:w="2480" w:type="dxa"/>
            <w:tcBorders>
              <w:top w:val="single" w:sz="4" w:space="0" w:color="auto"/>
              <w:left w:val="nil"/>
              <w:bottom w:val="single" w:sz="4" w:space="0" w:color="auto"/>
              <w:right w:val="single" w:sz="4" w:space="0" w:color="auto"/>
            </w:tcBorders>
            <w:noWrap/>
            <w:vAlign w:val="bottom"/>
          </w:tcPr>
          <w:p w14:paraId="0A9E11BB" w14:textId="3E381967"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345</w:t>
            </w:r>
          </w:p>
        </w:tc>
      </w:tr>
      <w:tr w:rsidR="00445B99" w:rsidRPr="00E940CF" w14:paraId="52ECDBF2"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3B98E0BB" w14:textId="18607724"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Bladder</w:t>
            </w:r>
          </w:p>
        </w:tc>
        <w:tc>
          <w:tcPr>
            <w:tcW w:w="2480" w:type="dxa"/>
            <w:tcBorders>
              <w:top w:val="single" w:sz="4" w:space="0" w:color="auto"/>
              <w:left w:val="nil"/>
              <w:bottom w:val="single" w:sz="4" w:space="0" w:color="auto"/>
              <w:right w:val="single" w:sz="4" w:space="0" w:color="auto"/>
            </w:tcBorders>
            <w:noWrap/>
            <w:vAlign w:val="bottom"/>
          </w:tcPr>
          <w:p w14:paraId="72F24278" w14:textId="56791A4C"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334</w:t>
            </w:r>
          </w:p>
        </w:tc>
      </w:tr>
      <w:tr w:rsidR="00445B99" w:rsidRPr="00E940CF" w14:paraId="756F8880"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3D92ED9B" w14:textId="696F6797" w:rsidR="00445B99" w:rsidRPr="00E940CF" w:rsidRDefault="00445B99" w:rsidP="00445B99">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Brain</w:t>
            </w:r>
          </w:p>
        </w:tc>
        <w:tc>
          <w:tcPr>
            <w:tcW w:w="2480" w:type="dxa"/>
            <w:tcBorders>
              <w:top w:val="single" w:sz="4" w:space="0" w:color="auto"/>
              <w:left w:val="nil"/>
              <w:bottom w:val="single" w:sz="4" w:space="0" w:color="auto"/>
              <w:right w:val="single" w:sz="4" w:space="0" w:color="auto"/>
            </w:tcBorders>
            <w:noWrap/>
            <w:vAlign w:val="bottom"/>
          </w:tcPr>
          <w:p w14:paraId="48B2262E" w14:textId="75E866B4"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270</w:t>
            </w:r>
          </w:p>
        </w:tc>
      </w:tr>
      <w:tr w:rsidR="00445B99" w:rsidRPr="00E940CF" w14:paraId="18C17F24"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122FD070" w14:textId="7077DDFC"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 xml:space="preserve">Head and </w:t>
            </w:r>
            <w:proofErr w:type="gramStart"/>
            <w:r w:rsidRPr="00E940CF">
              <w:rPr>
                <w:rFonts w:ascii="Aptos" w:eastAsia="Times New Roman" w:hAnsi="Aptos" w:cs="Times New Roman"/>
                <w:color w:val="1F4E79" w:themeColor="accent5" w:themeShade="80"/>
                <w:sz w:val="24"/>
                <w:szCs w:val="24"/>
              </w:rPr>
              <w:t>Neck</w:t>
            </w:r>
            <w:proofErr w:type="gramEnd"/>
          </w:p>
        </w:tc>
        <w:tc>
          <w:tcPr>
            <w:tcW w:w="2480" w:type="dxa"/>
            <w:tcBorders>
              <w:top w:val="single" w:sz="4" w:space="0" w:color="auto"/>
              <w:left w:val="nil"/>
              <w:bottom w:val="single" w:sz="4" w:space="0" w:color="auto"/>
              <w:right w:val="single" w:sz="4" w:space="0" w:color="auto"/>
            </w:tcBorders>
            <w:noWrap/>
            <w:vAlign w:val="bottom"/>
          </w:tcPr>
          <w:p w14:paraId="4F5C0891" w14:textId="45540F21"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203</w:t>
            </w:r>
          </w:p>
        </w:tc>
      </w:tr>
      <w:tr w:rsidR="00445B99" w:rsidRPr="00E940CF" w14:paraId="345A5D8A"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06B534CA" w14:textId="05D39E26"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Kidney</w:t>
            </w:r>
          </w:p>
        </w:tc>
        <w:tc>
          <w:tcPr>
            <w:tcW w:w="2480" w:type="dxa"/>
            <w:tcBorders>
              <w:top w:val="single" w:sz="4" w:space="0" w:color="auto"/>
              <w:left w:val="nil"/>
              <w:bottom w:val="single" w:sz="4" w:space="0" w:color="auto"/>
              <w:right w:val="single" w:sz="4" w:space="0" w:color="auto"/>
            </w:tcBorders>
            <w:noWrap/>
            <w:vAlign w:val="bottom"/>
          </w:tcPr>
          <w:p w14:paraId="70B6EACB" w14:textId="036BD8B7"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203</w:t>
            </w:r>
          </w:p>
        </w:tc>
      </w:tr>
      <w:tr w:rsidR="00445B99" w:rsidRPr="00E940CF" w14:paraId="2BA30C98"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3BEBADA6" w14:textId="5035A529"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Pancreas</w:t>
            </w:r>
          </w:p>
        </w:tc>
        <w:tc>
          <w:tcPr>
            <w:tcW w:w="2480" w:type="dxa"/>
            <w:tcBorders>
              <w:top w:val="single" w:sz="4" w:space="0" w:color="auto"/>
              <w:left w:val="nil"/>
              <w:bottom w:val="single" w:sz="4" w:space="0" w:color="auto"/>
              <w:right w:val="single" w:sz="4" w:space="0" w:color="auto"/>
            </w:tcBorders>
            <w:noWrap/>
            <w:vAlign w:val="bottom"/>
          </w:tcPr>
          <w:p w14:paraId="5B717BB1" w14:textId="72E6FDEA"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192</w:t>
            </w:r>
          </w:p>
        </w:tc>
      </w:tr>
      <w:tr w:rsidR="00445B99" w:rsidRPr="00E940CF" w14:paraId="78CB72C4"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33EE3DDD" w14:textId="535350BE"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Lymph Node</w:t>
            </w:r>
          </w:p>
        </w:tc>
        <w:tc>
          <w:tcPr>
            <w:tcW w:w="2480" w:type="dxa"/>
            <w:tcBorders>
              <w:top w:val="single" w:sz="4" w:space="0" w:color="auto"/>
              <w:left w:val="nil"/>
              <w:bottom w:val="single" w:sz="4" w:space="0" w:color="auto"/>
              <w:right w:val="single" w:sz="4" w:space="0" w:color="auto"/>
            </w:tcBorders>
            <w:noWrap/>
            <w:vAlign w:val="bottom"/>
          </w:tcPr>
          <w:p w14:paraId="55C81B48" w14:textId="2507E126"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181</w:t>
            </w:r>
          </w:p>
        </w:tc>
      </w:tr>
      <w:tr w:rsidR="00445B99" w:rsidRPr="00E940CF" w14:paraId="1C50BD3C"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192F00C0" w14:textId="050BC6CB"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Liver</w:t>
            </w:r>
          </w:p>
        </w:tc>
        <w:tc>
          <w:tcPr>
            <w:tcW w:w="2480" w:type="dxa"/>
            <w:tcBorders>
              <w:top w:val="single" w:sz="4" w:space="0" w:color="auto"/>
              <w:left w:val="nil"/>
              <w:bottom w:val="single" w:sz="4" w:space="0" w:color="auto"/>
              <w:right w:val="single" w:sz="4" w:space="0" w:color="auto"/>
            </w:tcBorders>
            <w:noWrap/>
            <w:vAlign w:val="bottom"/>
          </w:tcPr>
          <w:p w14:paraId="3B3C8896" w14:textId="446FA243"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169</w:t>
            </w:r>
          </w:p>
        </w:tc>
      </w:tr>
      <w:tr w:rsidR="00445B99" w:rsidRPr="00E940CF" w14:paraId="193E5E5D"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290EE4C5" w14:textId="21B9E79A"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Stomach</w:t>
            </w:r>
          </w:p>
        </w:tc>
        <w:tc>
          <w:tcPr>
            <w:tcW w:w="2480" w:type="dxa"/>
            <w:tcBorders>
              <w:top w:val="single" w:sz="4" w:space="0" w:color="auto"/>
              <w:left w:val="nil"/>
              <w:bottom w:val="single" w:sz="4" w:space="0" w:color="auto"/>
              <w:right w:val="single" w:sz="4" w:space="0" w:color="auto"/>
            </w:tcBorders>
            <w:noWrap/>
            <w:vAlign w:val="bottom"/>
          </w:tcPr>
          <w:p w14:paraId="3B6B2A31" w14:textId="6D052D73"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113</w:t>
            </w:r>
          </w:p>
        </w:tc>
      </w:tr>
      <w:tr w:rsidR="00445B99" w:rsidRPr="00E940CF" w14:paraId="43D2502B"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0935005D" w14:textId="28F981E3"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Esophagus</w:t>
            </w:r>
          </w:p>
        </w:tc>
        <w:tc>
          <w:tcPr>
            <w:tcW w:w="2480" w:type="dxa"/>
            <w:tcBorders>
              <w:top w:val="single" w:sz="4" w:space="0" w:color="auto"/>
              <w:left w:val="nil"/>
              <w:bottom w:val="single" w:sz="4" w:space="0" w:color="auto"/>
              <w:right w:val="single" w:sz="4" w:space="0" w:color="auto"/>
            </w:tcBorders>
            <w:noWrap/>
            <w:vAlign w:val="bottom"/>
          </w:tcPr>
          <w:p w14:paraId="515BA4E9" w14:textId="3DE55311"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104</w:t>
            </w:r>
          </w:p>
        </w:tc>
      </w:tr>
      <w:tr w:rsidR="00445B99" w:rsidRPr="00E940CF" w14:paraId="48160094"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436EDF91" w14:textId="60FCAFBC"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Pituitary</w:t>
            </w:r>
          </w:p>
        </w:tc>
        <w:tc>
          <w:tcPr>
            <w:tcW w:w="2480" w:type="dxa"/>
            <w:tcBorders>
              <w:top w:val="single" w:sz="4" w:space="0" w:color="auto"/>
              <w:left w:val="nil"/>
              <w:bottom w:val="single" w:sz="4" w:space="0" w:color="auto"/>
              <w:right w:val="single" w:sz="4" w:space="0" w:color="auto"/>
            </w:tcBorders>
            <w:noWrap/>
            <w:vAlign w:val="bottom"/>
          </w:tcPr>
          <w:p w14:paraId="0F83A322" w14:textId="438E36CF"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82</w:t>
            </w:r>
          </w:p>
        </w:tc>
      </w:tr>
      <w:tr w:rsidR="00445B99" w:rsidRPr="00E940CF" w14:paraId="6F48DB61"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179ADE05" w14:textId="18BE76AD"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Skin</w:t>
            </w:r>
          </w:p>
        </w:tc>
        <w:tc>
          <w:tcPr>
            <w:tcW w:w="2480" w:type="dxa"/>
            <w:tcBorders>
              <w:top w:val="single" w:sz="4" w:space="0" w:color="auto"/>
              <w:left w:val="nil"/>
              <w:bottom w:val="single" w:sz="4" w:space="0" w:color="auto"/>
              <w:right w:val="single" w:sz="4" w:space="0" w:color="auto"/>
            </w:tcBorders>
            <w:noWrap/>
            <w:vAlign w:val="bottom"/>
          </w:tcPr>
          <w:p w14:paraId="2B441E3D" w14:textId="5399417C"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79</w:t>
            </w:r>
          </w:p>
        </w:tc>
      </w:tr>
      <w:tr w:rsidR="00445B99" w:rsidRPr="00E940CF" w14:paraId="75D7C4C6"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21840E11" w14:textId="1CBEE9B7"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Appendix</w:t>
            </w:r>
          </w:p>
        </w:tc>
        <w:tc>
          <w:tcPr>
            <w:tcW w:w="2480" w:type="dxa"/>
            <w:tcBorders>
              <w:top w:val="single" w:sz="4" w:space="0" w:color="auto"/>
              <w:left w:val="nil"/>
              <w:bottom w:val="single" w:sz="4" w:space="0" w:color="auto"/>
              <w:right w:val="single" w:sz="4" w:space="0" w:color="auto"/>
            </w:tcBorders>
            <w:noWrap/>
            <w:vAlign w:val="bottom"/>
          </w:tcPr>
          <w:p w14:paraId="621C6190" w14:textId="1A4E9C78"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60</w:t>
            </w:r>
          </w:p>
        </w:tc>
      </w:tr>
      <w:tr w:rsidR="00445B99" w:rsidRPr="00E940CF" w14:paraId="2E7DA6C7"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586F55BF" w14:textId="01F04831"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Testis</w:t>
            </w:r>
          </w:p>
        </w:tc>
        <w:tc>
          <w:tcPr>
            <w:tcW w:w="2480" w:type="dxa"/>
            <w:tcBorders>
              <w:top w:val="single" w:sz="4" w:space="0" w:color="auto"/>
              <w:left w:val="nil"/>
              <w:bottom w:val="single" w:sz="4" w:space="0" w:color="auto"/>
              <w:right w:val="single" w:sz="4" w:space="0" w:color="auto"/>
            </w:tcBorders>
            <w:noWrap/>
            <w:vAlign w:val="bottom"/>
          </w:tcPr>
          <w:p w14:paraId="42396251" w14:textId="0D826FCB"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32</w:t>
            </w:r>
          </w:p>
        </w:tc>
      </w:tr>
      <w:tr w:rsidR="00445B99" w:rsidRPr="00E940CF" w14:paraId="6D3A91BD"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3ED83AD7" w14:textId="67E0ABC7"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Anal</w:t>
            </w:r>
          </w:p>
        </w:tc>
        <w:tc>
          <w:tcPr>
            <w:tcW w:w="2480" w:type="dxa"/>
            <w:tcBorders>
              <w:top w:val="single" w:sz="4" w:space="0" w:color="auto"/>
              <w:left w:val="nil"/>
              <w:bottom w:val="single" w:sz="4" w:space="0" w:color="auto"/>
              <w:right w:val="single" w:sz="4" w:space="0" w:color="auto"/>
            </w:tcBorders>
            <w:noWrap/>
            <w:vAlign w:val="bottom"/>
          </w:tcPr>
          <w:p w14:paraId="08562E4A" w14:textId="6E79E48B"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26</w:t>
            </w:r>
          </w:p>
        </w:tc>
      </w:tr>
      <w:tr w:rsidR="00445B99" w:rsidRPr="00E940CF" w14:paraId="14593A44"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218BCE00" w14:textId="35E56C96"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Gallbladder</w:t>
            </w:r>
          </w:p>
        </w:tc>
        <w:tc>
          <w:tcPr>
            <w:tcW w:w="2480" w:type="dxa"/>
            <w:tcBorders>
              <w:top w:val="single" w:sz="4" w:space="0" w:color="auto"/>
              <w:left w:val="nil"/>
              <w:bottom w:val="single" w:sz="4" w:space="0" w:color="auto"/>
              <w:right w:val="single" w:sz="4" w:space="0" w:color="auto"/>
            </w:tcBorders>
            <w:noWrap/>
            <w:vAlign w:val="bottom"/>
          </w:tcPr>
          <w:p w14:paraId="0B6A9EC2" w14:textId="4563901C"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23</w:t>
            </w:r>
          </w:p>
        </w:tc>
      </w:tr>
      <w:tr w:rsidR="00445B99" w:rsidRPr="00E940CF" w14:paraId="6970F8C0"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214B7356" w14:textId="2765EFDC"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Acoustic Nerve</w:t>
            </w:r>
          </w:p>
        </w:tc>
        <w:tc>
          <w:tcPr>
            <w:tcW w:w="2480" w:type="dxa"/>
            <w:tcBorders>
              <w:top w:val="single" w:sz="4" w:space="0" w:color="auto"/>
              <w:left w:val="nil"/>
              <w:bottom w:val="single" w:sz="4" w:space="0" w:color="auto"/>
              <w:right w:val="single" w:sz="4" w:space="0" w:color="auto"/>
            </w:tcBorders>
            <w:noWrap/>
            <w:vAlign w:val="bottom"/>
          </w:tcPr>
          <w:p w14:paraId="66947C49" w14:textId="2EED77F2"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22</w:t>
            </w:r>
          </w:p>
        </w:tc>
      </w:tr>
      <w:tr w:rsidR="00445B99" w:rsidRPr="00E940CF" w14:paraId="08CE1EFE"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7CEF261E" w14:textId="2802D0E6" w:rsidR="00445B99" w:rsidRPr="00E940CF" w:rsidRDefault="0053007E"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Soft Tissue</w:t>
            </w:r>
          </w:p>
        </w:tc>
        <w:tc>
          <w:tcPr>
            <w:tcW w:w="2480" w:type="dxa"/>
            <w:tcBorders>
              <w:top w:val="single" w:sz="4" w:space="0" w:color="auto"/>
              <w:left w:val="nil"/>
              <w:bottom w:val="single" w:sz="4" w:space="0" w:color="auto"/>
              <w:right w:val="single" w:sz="4" w:space="0" w:color="auto"/>
            </w:tcBorders>
            <w:noWrap/>
            <w:vAlign w:val="bottom"/>
          </w:tcPr>
          <w:p w14:paraId="7D96447B" w14:textId="08D0AAFF"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18</w:t>
            </w:r>
          </w:p>
        </w:tc>
      </w:tr>
      <w:tr w:rsidR="00445B99" w:rsidRPr="00E940CF" w14:paraId="5212353E"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70026D55" w14:textId="62A1EFAF" w:rsidR="00445B99" w:rsidRPr="00E940CF" w:rsidRDefault="0053007E"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Spine</w:t>
            </w:r>
          </w:p>
        </w:tc>
        <w:tc>
          <w:tcPr>
            <w:tcW w:w="2480" w:type="dxa"/>
            <w:tcBorders>
              <w:top w:val="single" w:sz="4" w:space="0" w:color="auto"/>
              <w:left w:val="nil"/>
              <w:bottom w:val="single" w:sz="4" w:space="0" w:color="auto"/>
              <w:right w:val="single" w:sz="4" w:space="0" w:color="auto"/>
            </w:tcBorders>
            <w:noWrap/>
            <w:vAlign w:val="bottom"/>
          </w:tcPr>
          <w:p w14:paraId="28294393" w14:textId="5F4080DA" w:rsidR="00445B99" w:rsidRPr="00E940CF" w:rsidRDefault="00445B99" w:rsidP="00414367">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16</w:t>
            </w:r>
          </w:p>
        </w:tc>
      </w:tr>
    </w:tbl>
    <w:p w14:paraId="016E3686" w14:textId="77777777" w:rsidR="00445B99" w:rsidRPr="00E940CF" w:rsidRDefault="00445B99" w:rsidP="00553E4F">
      <w:pPr>
        <w:ind w:left="360"/>
        <w:rPr>
          <w:rFonts w:ascii="Aptos" w:hAnsi="Aptos" w:cs="Times New Roman"/>
          <w:color w:val="1F4E79" w:themeColor="accent5" w:themeShade="80"/>
          <w:sz w:val="24"/>
          <w:szCs w:val="24"/>
        </w:rPr>
      </w:pPr>
    </w:p>
    <w:p w14:paraId="6FD940C9" w14:textId="3A198E20" w:rsidR="00132651" w:rsidRPr="00E940CF" w:rsidRDefault="00896388" w:rsidP="00553E4F">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Data Appendix Figure </w:t>
      </w:r>
      <w:r w:rsidR="00980E13" w:rsidRPr="00E940CF">
        <w:rPr>
          <w:rFonts w:ascii="Aptos" w:hAnsi="Aptos" w:cs="Times New Roman"/>
          <w:color w:val="1F4E79" w:themeColor="accent5" w:themeShade="80"/>
          <w:sz w:val="24"/>
          <w:szCs w:val="24"/>
        </w:rPr>
        <w:t>5</w:t>
      </w:r>
      <w:r w:rsidRPr="00E940CF">
        <w:rPr>
          <w:rFonts w:ascii="Aptos" w:hAnsi="Aptos" w:cs="Times New Roman"/>
          <w:color w:val="1F4E79" w:themeColor="accent5" w:themeShade="80"/>
          <w:sz w:val="24"/>
          <w:szCs w:val="24"/>
        </w:rPr>
        <w:t xml:space="preserve"> – Updated</w:t>
      </w:r>
      <w:r w:rsidR="00445B99" w:rsidRPr="00E940CF">
        <w:rPr>
          <w:rFonts w:ascii="Aptos" w:hAnsi="Aptos" w:cs="Times New Roman"/>
          <w:color w:val="1F4E79" w:themeColor="accent5" w:themeShade="80"/>
          <w:sz w:val="24"/>
          <w:szCs w:val="24"/>
        </w:rPr>
        <w:t xml:space="preserve"> Table</w:t>
      </w:r>
      <w:r w:rsidRPr="00E940CF">
        <w:rPr>
          <w:rFonts w:ascii="Aptos" w:hAnsi="Aptos" w:cs="Times New Roman"/>
          <w:color w:val="1F4E79" w:themeColor="accent5" w:themeShade="80"/>
          <w:sz w:val="24"/>
          <w:szCs w:val="24"/>
        </w:rPr>
        <w:t xml:space="preserve"> adds</w:t>
      </w:r>
      <w:r w:rsidR="00980E13" w:rsidRPr="00E940CF">
        <w:rPr>
          <w:rFonts w:ascii="Aptos" w:hAnsi="Aptos" w:cs="Times New Roman"/>
          <w:color w:val="1F4E79" w:themeColor="accent5" w:themeShade="80"/>
          <w:sz w:val="24"/>
          <w:szCs w:val="24"/>
        </w:rPr>
        <w:t xml:space="preserve"> 2025 registry data to the Applicant’s analysis of its cancer patient population by disease site.  The patient panel included is 6,651, matching the population analyzed in Figure 4 above.</w:t>
      </w:r>
    </w:p>
    <w:p w14:paraId="28EDEBDB" w14:textId="5D42D89E" w:rsidR="00931F26" w:rsidRPr="002246D5" w:rsidRDefault="00F95C75" w:rsidP="0000002D">
      <w:pPr>
        <w:keepNext/>
        <w:ind w:left="360"/>
        <w:rPr>
          <w:rFonts w:ascii="Aptos" w:hAnsi="Aptos" w:cs="Times New Roman"/>
          <w:color w:val="1F4E79" w:themeColor="accent5" w:themeShade="80"/>
          <w:sz w:val="24"/>
          <w:szCs w:val="24"/>
        </w:rPr>
      </w:pPr>
      <w:r w:rsidRPr="002246D5">
        <w:rPr>
          <w:rFonts w:ascii="Aptos" w:hAnsi="Aptos" w:cs="Times New Roman"/>
          <w:i/>
          <w:iCs/>
          <w:color w:val="1F4E79" w:themeColor="accent5" w:themeShade="80"/>
          <w:sz w:val="24"/>
          <w:szCs w:val="24"/>
        </w:rPr>
        <w:t xml:space="preserve">Data Appendix Figure </w:t>
      </w:r>
      <w:r w:rsidR="00AB7021" w:rsidRPr="002246D5">
        <w:rPr>
          <w:rFonts w:ascii="Aptos" w:hAnsi="Aptos" w:cs="Times New Roman"/>
          <w:i/>
          <w:iCs/>
          <w:color w:val="1F4E79" w:themeColor="accent5" w:themeShade="80"/>
          <w:sz w:val="24"/>
          <w:szCs w:val="24"/>
        </w:rPr>
        <w:t>6</w:t>
      </w:r>
      <w:r w:rsidRPr="002246D5">
        <w:rPr>
          <w:rFonts w:ascii="Aptos" w:hAnsi="Aptos" w:cs="Times New Roman"/>
          <w:i/>
          <w:iCs/>
          <w:color w:val="1F4E79" w:themeColor="accent5" w:themeShade="80"/>
          <w:sz w:val="24"/>
          <w:szCs w:val="24"/>
        </w:rPr>
        <w:t xml:space="preserve"> – Updated</w:t>
      </w:r>
    </w:p>
    <w:tbl>
      <w:tblPr>
        <w:tblW w:w="5440" w:type="dxa"/>
        <w:tblInd w:w="355" w:type="dxa"/>
        <w:tblLook w:val="04A0" w:firstRow="1" w:lastRow="0" w:firstColumn="1" w:lastColumn="0" w:noHBand="0" w:noVBand="1"/>
        <w:tblCaption w:val="Data Appendix Figure 6 – Updated"/>
      </w:tblPr>
      <w:tblGrid>
        <w:gridCol w:w="2960"/>
        <w:gridCol w:w="2480"/>
      </w:tblGrid>
      <w:tr w:rsidR="004643E6" w:rsidRPr="00E940CF" w14:paraId="763E914C" w14:textId="77777777" w:rsidTr="008F54AD">
        <w:trPr>
          <w:cantSplit/>
          <w:trHeight w:val="840"/>
          <w:tblHeader/>
        </w:trPr>
        <w:tc>
          <w:tcPr>
            <w:tcW w:w="296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FDF34A4" w14:textId="77777777" w:rsidR="001F7CA2" w:rsidRPr="00E940CF" w:rsidRDefault="001F7CA2" w:rsidP="00E67CD8">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Applicant Fiscal Year</w:t>
            </w:r>
          </w:p>
        </w:tc>
        <w:tc>
          <w:tcPr>
            <w:tcW w:w="2480" w:type="dxa"/>
            <w:tcBorders>
              <w:top w:val="single" w:sz="4" w:space="0" w:color="auto"/>
              <w:left w:val="nil"/>
              <w:bottom w:val="single" w:sz="4" w:space="0" w:color="auto"/>
              <w:right w:val="single" w:sz="4" w:space="0" w:color="auto"/>
            </w:tcBorders>
            <w:shd w:val="clear" w:color="000000" w:fill="D9E1F2"/>
            <w:vAlign w:val="center"/>
            <w:hideMark/>
          </w:tcPr>
          <w:p w14:paraId="60F370E3" w14:textId="0847D74A" w:rsidR="001F7CA2" w:rsidRPr="00E940CF" w:rsidRDefault="007F6604" w:rsidP="00E67CD8">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Southcoast Health Cancer Program</w:t>
            </w:r>
            <w:r w:rsidR="00AC5A0F" w:rsidRPr="00E940CF">
              <w:rPr>
                <w:rStyle w:val="FootnoteReference"/>
                <w:rFonts w:ascii="Aptos" w:eastAsia="Times New Roman" w:hAnsi="Aptos" w:cs="Times New Roman"/>
                <w:b/>
                <w:bCs/>
                <w:color w:val="1F4E79" w:themeColor="accent5" w:themeShade="80"/>
                <w:sz w:val="24"/>
                <w:szCs w:val="24"/>
              </w:rPr>
              <w:footnoteReference w:id="6"/>
            </w:r>
            <w:r w:rsidRPr="00E940CF">
              <w:rPr>
                <w:rFonts w:ascii="Aptos" w:eastAsia="Times New Roman" w:hAnsi="Aptos" w:cs="Times New Roman"/>
                <w:b/>
                <w:bCs/>
                <w:color w:val="1F4E79" w:themeColor="accent5" w:themeShade="80"/>
                <w:sz w:val="24"/>
                <w:szCs w:val="24"/>
              </w:rPr>
              <w:t>: New Patient Visits</w:t>
            </w:r>
          </w:p>
        </w:tc>
      </w:tr>
      <w:tr w:rsidR="004643E6" w:rsidRPr="00E940CF" w14:paraId="7ACF3AF9" w14:textId="77777777" w:rsidTr="008F54AD">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595912D5" w14:textId="77777777" w:rsidR="001F7CA2" w:rsidRPr="00E940CF" w:rsidRDefault="001F7CA2"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FY23</w:t>
            </w:r>
          </w:p>
        </w:tc>
        <w:tc>
          <w:tcPr>
            <w:tcW w:w="2480" w:type="dxa"/>
            <w:tcBorders>
              <w:top w:val="nil"/>
              <w:left w:val="nil"/>
              <w:bottom w:val="single" w:sz="4" w:space="0" w:color="auto"/>
              <w:right w:val="single" w:sz="4" w:space="0" w:color="auto"/>
            </w:tcBorders>
            <w:noWrap/>
            <w:vAlign w:val="bottom"/>
            <w:hideMark/>
          </w:tcPr>
          <w:p w14:paraId="493469E4" w14:textId="744774BC" w:rsidR="001F7CA2" w:rsidRPr="00E940CF" w:rsidRDefault="00C92808"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766</w:t>
            </w:r>
          </w:p>
        </w:tc>
      </w:tr>
      <w:tr w:rsidR="004643E6" w:rsidRPr="00E940CF" w14:paraId="6A96E2B9" w14:textId="77777777" w:rsidTr="008F54AD">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7B1658EA" w14:textId="77777777" w:rsidR="001F7CA2" w:rsidRPr="00E940CF" w:rsidRDefault="001F7CA2"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FY24</w:t>
            </w:r>
          </w:p>
        </w:tc>
        <w:tc>
          <w:tcPr>
            <w:tcW w:w="2480" w:type="dxa"/>
            <w:tcBorders>
              <w:top w:val="nil"/>
              <w:left w:val="nil"/>
              <w:bottom w:val="single" w:sz="4" w:space="0" w:color="auto"/>
              <w:right w:val="single" w:sz="4" w:space="0" w:color="auto"/>
            </w:tcBorders>
            <w:noWrap/>
            <w:vAlign w:val="bottom"/>
            <w:hideMark/>
          </w:tcPr>
          <w:p w14:paraId="235E0FF5" w14:textId="19937AC2" w:rsidR="001F7CA2" w:rsidRPr="00E940CF" w:rsidRDefault="001750DA"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852</w:t>
            </w:r>
          </w:p>
        </w:tc>
      </w:tr>
      <w:tr w:rsidR="004643E6" w:rsidRPr="00E940CF" w14:paraId="7F669531"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hideMark/>
          </w:tcPr>
          <w:p w14:paraId="3984C04E" w14:textId="77777777" w:rsidR="001F7CA2" w:rsidRPr="00E940CF" w:rsidRDefault="001F7CA2"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FY25</w:t>
            </w:r>
          </w:p>
        </w:tc>
        <w:tc>
          <w:tcPr>
            <w:tcW w:w="2480" w:type="dxa"/>
            <w:tcBorders>
              <w:top w:val="single" w:sz="4" w:space="0" w:color="auto"/>
              <w:left w:val="nil"/>
              <w:bottom w:val="single" w:sz="4" w:space="0" w:color="auto"/>
              <w:right w:val="single" w:sz="4" w:space="0" w:color="auto"/>
            </w:tcBorders>
            <w:noWrap/>
            <w:vAlign w:val="bottom"/>
            <w:hideMark/>
          </w:tcPr>
          <w:p w14:paraId="34D235CC" w14:textId="2A16AAB1" w:rsidR="001F7CA2" w:rsidRPr="00E940CF" w:rsidRDefault="00C92808"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9</w:t>
            </w:r>
            <w:r w:rsidR="001750DA" w:rsidRPr="00E940CF">
              <w:rPr>
                <w:rFonts w:ascii="Aptos" w:eastAsia="Times New Roman" w:hAnsi="Aptos" w:cs="Times New Roman"/>
                <w:color w:val="1F4E79" w:themeColor="accent5" w:themeShade="80"/>
                <w:sz w:val="24"/>
                <w:szCs w:val="24"/>
              </w:rPr>
              <w:t>8</w:t>
            </w:r>
            <w:r w:rsidRPr="00E940CF">
              <w:rPr>
                <w:rFonts w:ascii="Aptos" w:eastAsia="Times New Roman" w:hAnsi="Aptos" w:cs="Times New Roman"/>
                <w:color w:val="1F4E79" w:themeColor="accent5" w:themeShade="80"/>
                <w:sz w:val="24"/>
                <w:szCs w:val="24"/>
              </w:rPr>
              <w:t>4</w:t>
            </w:r>
          </w:p>
        </w:tc>
      </w:tr>
      <w:tr w:rsidR="004643E6" w:rsidRPr="00E940CF" w14:paraId="651903F0"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1D7680F3" w14:textId="77777777" w:rsidR="001F7CA2" w:rsidRPr="00E940CF" w:rsidRDefault="001F7CA2"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FY26*</w:t>
            </w:r>
          </w:p>
        </w:tc>
        <w:tc>
          <w:tcPr>
            <w:tcW w:w="2480" w:type="dxa"/>
            <w:tcBorders>
              <w:top w:val="single" w:sz="4" w:space="0" w:color="auto"/>
              <w:left w:val="nil"/>
              <w:bottom w:val="single" w:sz="4" w:space="0" w:color="auto"/>
              <w:right w:val="single" w:sz="4" w:space="0" w:color="auto"/>
            </w:tcBorders>
            <w:noWrap/>
            <w:vAlign w:val="bottom"/>
          </w:tcPr>
          <w:p w14:paraId="663D9F66" w14:textId="5C97D4F3" w:rsidR="001F7CA2" w:rsidRPr="00E940CF" w:rsidRDefault="00C8589D"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1100</w:t>
            </w:r>
          </w:p>
        </w:tc>
      </w:tr>
      <w:tr w:rsidR="004643E6" w:rsidRPr="00E940CF" w14:paraId="258D4262"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0BB90002" w14:textId="77777777" w:rsidR="001F7CA2" w:rsidRPr="00E940CF" w:rsidRDefault="001F7CA2"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FY27*</w:t>
            </w:r>
          </w:p>
        </w:tc>
        <w:tc>
          <w:tcPr>
            <w:tcW w:w="2480" w:type="dxa"/>
            <w:tcBorders>
              <w:top w:val="single" w:sz="4" w:space="0" w:color="auto"/>
              <w:left w:val="nil"/>
              <w:bottom w:val="single" w:sz="4" w:space="0" w:color="auto"/>
              <w:right w:val="single" w:sz="4" w:space="0" w:color="auto"/>
            </w:tcBorders>
            <w:noWrap/>
            <w:vAlign w:val="bottom"/>
          </w:tcPr>
          <w:p w14:paraId="5341FCD4" w14:textId="5BE5DBFB" w:rsidR="001F7CA2" w:rsidRPr="00E940CF" w:rsidRDefault="00C8589D"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1205</w:t>
            </w:r>
          </w:p>
        </w:tc>
      </w:tr>
      <w:tr w:rsidR="004643E6" w:rsidRPr="00E940CF" w14:paraId="7D85898B"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37387C9F" w14:textId="77777777" w:rsidR="001F7CA2" w:rsidRPr="00E940CF" w:rsidRDefault="001F7CA2"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FY28*</w:t>
            </w:r>
          </w:p>
        </w:tc>
        <w:tc>
          <w:tcPr>
            <w:tcW w:w="2480" w:type="dxa"/>
            <w:tcBorders>
              <w:top w:val="single" w:sz="4" w:space="0" w:color="auto"/>
              <w:left w:val="nil"/>
              <w:bottom w:val="single" w:sz="4" w:space="0" w:color="auto"/>
              <w:right w:val="single" w:sz="4" w:space="0" w:color="auto"/>
            </w:tcBorders>
            <w:noWrap/>
            <w:vAlign w:val="bottom"/>
          </w:tcPr>
          <w:p w14:paraId="0D11C37F" w14:textId="7632D570" w:rsidR="001F7CA2" w:rsidRPr="00E940CF" w:rsidRDefault="00C8589D"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1310</w:t>
            </w:r>
          </w:p>
        </w:tc>
      </w:tr>
      <w:tr w:rsidR="004643E6" w:rsidRPr="00E940CF" w14:paraId="48ABB801"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06FA925C" w14:textId="77777777" w:rsidR="001F7CA2" w:rsidRPr="00E940CF" w:rsidRDefault="001F7CA2"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FY29*</w:t>
            </w:r>
          </w:p>
        </w:tc>
        <w:tc>
          <w:tcPr>
            <w:tcW w:w="2480" w:type="dxa"/>
            <w:tcBorders>
              <w:top w:val="single" w:sz="4" w:space="0" w:color="auto"/>
              <w:left w:val="nil"/>
              <w:bottom w:val="single" w:sz="4" w:space="0" w:color="auto"/>
              <w:right w:val="single" w:sz="4" w:space="0" w:color="auto"/>
            </w:tcBorders>
            <w:noWrap/>
            <w:vAlign w:val="bottom"/>
          </w:tcPr>
          <w:p w14:paraId="55CD8672" w14:textId="3BE8E94D" w:rsidR="001F7CA2" w:rsidRPr="00E940CF" w:rsidRDefault="00C8589D"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1415</w:t>
            </w:r>
          </w:p>
        </w:tc>
      </w:tr>
      <w:tr w:rsidR="004643E6" w:rsidRPr="00E940CF" w14:paraId="1660EE69" w14:textId="77777777" w:rsidTr="008F54A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7EBECA1D" w14:textId="77777777" w:rsidR="001F7CA2" w:rsidRPr="00E940CF" w:rsidRDefault="001F7CA2"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FY30*</w:t>
            </w:r>
          </w:p>
        </w:tc>
        <w:tc>
          <w:tcPr>
            <w:tcW w:w="2480" w:type="dxa"/>
            <w:tcBorders>
              <w:top w:val="single" w:sz="4" w:space="0" w:color="auto"/>
              <w:left w:val="nil"/>
              <w:bottom w:val="single" w:sz="4" w:space="0" w:color="auto"/>
              <w:right w:val="single" w:sz="4" w:space="0" w:color="auto"/>
            </w:tcBorders>
            <w:noWrap/>
            <w:vAlign w:val="bottom"/>
          </w:tcPr>
          <w:p w14:paraId="785CACDF" w14:textId="7DDDD27E" w:rsidR="001F7CA2" w:rsidRPr="00E940CF" w:rsidRDefault="00C8589D"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1520</w:t>
            </w:r>
          </w:p>
        </w:tc>
      </w:tr>
    </w:tbl>
    <w:p w14:paraId="1FA6EE50" w14:textId="77777777" w:rsidR="001F7CA2" w:rsidRPr="00E940CF" w:rsidRDefault="001F7CA2" w:rsidP="001F7CA2">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*Projected</w:t>
      </w:r>
    </w:p>
    <w:p w14:paraId="73AAE53F" w14:textId="1B0491CF" w:rsidR="0000002D" w:rsidRPr="00E940CF" w:rsidRDefault="0000002D" w:rsidP="0000002D">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Data Appendix Figure 6 – Updated Table adds 2025 data for the overall annual volume of the Applicant’s Cancer Program.</w:t>
      </w:r>
    </w:p>
    <w:p w14:paraId="01DC23EC" w14:textId="3DEFA42D" w:rsidR="004A6EA2" w:rsidRPr="00E940CF" w:rsidRDefault="004A6EA2" w:rsidP="004A6EA2">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The Table shows Fiscal Year </w:t>
      </w:r>
      <w:r w:rsidRPr="00E940CF">
        <w:rPr>
          <w:rFonts w:ascii="Aptos" w:hAnsi="Aptos" w:cs="Times New Roman"/>
          <w:color w:val="1F4E79" w:themeColor="accent5" w:themeShade="80"/>
          <w:sz w:val="24"/>
          <w:szCs w:val="24"/>
          <w:u w:val="single"/>
        </w:rPr>
        <w:t>new</w:t>
      </w:r>
      <w:r w:rsidRPr="00E940CF">
        <w:rPr>
          <w:rFonts w:ascii="Aptos" w:hAnsi="Aptos" w:cs="Times New Roman"/>
          <w:color w:val="1F4E79" w:themeColor="accent5" w:themeShade="80"/>
          <w:sz w:val="24"/>
          <w:szCs w:val="24"/>
        </w:rPr>
        <w:t xml:space="preserve"> radiation oncology treatment volumes between FY23-FY25, along with new radiation oncology treatment volume projections between FY26-FY30.  The year-over-year data show new radiation oncology patient visits increasing </w:t>
      </w:r>
      <w:r w:rsidR="004114EC" w:rsidRPr="00E940CF">
        <w:rPr>
          <w:rFonts w:ascii="Aptos" w:hAnsi="Aptos" w:cs="Times New Roman"/>
          <w:color w:val="1F4E79" w:themeColor="accent5" w:themeShade="80"/>
          <w:sz w:val="24"/>
          <w:szCs w:val="24"/>
        </w:rPr>
        <w:t>11.23</w:t>
      </w:r>
      <w:r w:rsidR="00112758">
        <w:rPr>
          <w:rFonts w:ascii="Aptos" w:hAnsi="Aptos" w:cs="Times New Roman"/>
          <w:color w:val="1F4E79" w:themeColor="accent5" w:themeShade="80"/>
          <w:sz w:val="24"/>
          <w:szCs w:val="24"/>
        </w:rPr>
        <w:t xml:space="preserve"> </w:t>
      </w:r>
      <w:r w:rsidR="00112758">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from FY23-</w:t>
      </w:r>
      <w:proofErr w:type="gramStart"/>
      <w:r w:rsidRPr="00E940CF">
        <w:rPr>
          <w:rFonts w:ascii="Aptos" w:hAnsi="Aptos" w:cs="Times New Roman"/>
          <w:color w:val="1F4E79" w:themeColor="accent5" w:themeShade="80"/>
          <w:sz w:val="24"/>
          <w:szCs w:val="24"/>
        </w:rPr>
        <w:t>FY24, and</w:t>
      </w:r>
      <w:proofErr w:type="gramEnd"/>
      <w:r w:rsidRPr="00E940CF">
        <w:rPr>
          <w:rFonts w:ascii="Aptos" w:hAnsi="Aptos" w:cs="Times New Roman"/>
          <w:color w:val="1F4E79" w:themeColor="accent5" w:themeShade="80"/>
          <w:sz w:val="24"/>
          <w:szCs w:val="24"/>
        </w:rPr>
        <w:t xml:space="preserve"> increasing 15.49</w:t>
      </w:r>
      <w:r w:rsidR="00112758">
        <w:rPr>
          <w:rFonts w:ascii="Aptos" w:hAnsi="Aptos" w:cs="Times New Roman"/>
          <w:color w:val="1F4E79" w:themeColor="accent5" w:themeShade="80"/>
          <w:sz w:val="24"/>
          <w:szCs w:val="24"/>
        </w:rPr>
        <w:t xml:space="preserve"> </w:t>
      </w:r>
      <w:r w:rsidR="00112758">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from FY24-FY25.  The Applicant projects additional growth by 2030</w:t>
      </w:r>
      <w:r w:rsidR="00C8589D" w:rsidRPr="00E940CF">
        <w:rPr>
          <w:rFonts w:ascii="Aptos" w:hAnsi="Aptos" w:cs="Times New Roman"/>
          <w:color w:val="1F4E79" w:themeColor="accent5" w:themeShade="80"/>
          <w:sz w:val="24"/>
          <w:szCs w:val="24"/>
        </w:rPr>
        <w:t xml:space="preserve"> to</w:t>
      </w:r>
      <w:r w:rsidRPr="00E940CF">
        <w:rPr>
          <w:rFonts w:ascii="Aptos" w:hAnsi="Aptos" w:cs="Times New Roman"/>
          <w:color w:val="1F4E79" w:themeColor="accent5" w:themeShade="80"/>
          <w:sz w:val="24"/>
          <w:szCs w:val="24"/>
        </w:rPr>
        <w:t xml:space="preserve"> </w:t>
      </w:r>
      <w:r w:rsidR="00C8589D" w:rsidRPr="00E940CF">
        <w:rPr>
          <w:rFonts w:ascii="Aptos" w:hAnsi="Aptos" w:cs="Times New Roman"/>
          <w:color w:val="1F4E79" w:themeColor="accent5" w:themeShade="80"/>
          <w:sz w:val="24"/>
          <w:szCs w:val="24"/>
        </w:rPr>
        <w:t>just over 1,500 new patient visits</w:t>
      </w:r>
      <w:r w:rsidRPr="00E940CF">
        <w:rPr>
          <w:rFonts w:ascii="Aptos" w:eastAsia="Times New Roman" w:hAnsi="Aptos" w:cs="Times New Roman"/>
          <w:color w:val="1F4E79" w:themeColor="accent5" w:themeShade="80"/>
          <w:sz w:val="24"/>
          <w:szCs w:val="24"/>
        </w:rPr>
        <w:t>.</w:t>
      </w:r>
    </w:p>
    <w:p w14:paraId="304B316B" w14:textId="59943CA4" w:rsidR="00F95C75" w:rsidRPr="00E940CF" w:rsidRDefault="00AB7021" w:rsidP="00553E4F">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The Applicant is also providing the following two additional </w:t>
      </w:r>
      <w:r w:rsidR="004643E6" w:rsidRPr="00E940CF">
        <w:rPr>
          <w:rFonts w:ascii="Aptos" w:hAnsi="Aptos" w:cs="Times New Roman"/>
          <w:color w:val="1F4E79" w:themeColor="accent5" w:themeShade="80"/>
          <w:sz w:val="24"/>
          <w:szCs w:val="24"/>
        </w:rPr>
        <w:t>tables</w:t>
      </w:r>
      <w:r w:rsidRPr="00E940CF">
        <w:rPr>
          <w:rFonts w:ascii="Aptos" w:hAnsi="Aptos" w:cs="Times New Roman"/>
          <w:color w:val="1F4E79" w:themeColor="accent5" w:themeShade="80"/>
          <w:sz w:val="24"/>
          <w:szCs w:val="24"/>
        </w:rPr>
        <w:t>, which show annual</w:t>
      </w:r>
      <w:r w:rsidR="004643E6" w:rsidRPr="00E940CF">
        <w:rPr>
          <w:rFonts w:ascii="Aptos" w:hAnsi="Aptos" w:cs="Times New Roman"/>
          <w:color w:val="1F4E79" w:themeColor="accent5" w:themeShade="80"/>
          <w:sz w:val="24"/>
          <w:szCs w:val="24"/>
        </w:rPr>
        <w:t xml:space="preserve"> new patient</w:t>
      </w:r>
      <w:r w:rsidRPr="00E940CF">
        <w:rPr>
          <w:rFonts w:ascii="Aptos" w:hAnsi="Aptos" w:cs="Times New Roman"/>
          <w:color w:val="1F4E79" w:themeColor="accent5" w:themeShade="80"/>
          <w:sz w:val="24"/>
          <w:szCs w:val="24"/>
        </w:rPr>
        <w:t xml:space="preserve"> volume</w:t>
      </w:r>
      <w:r w:rsidR="004643E6" w:rsidRPr="00E940CF">
        <w:rPr>
          <w:rFonts w:ascii="Aptos" w:hAnsi="Aptos" w:cs="Times New Roman"/>
          <w:color w:val="1F4E79" w:themeColor="accent5" w:themeShade="80"/>
          <w:sz w:val="24"/>
          <w:szCs w:val="24"/>
        </w:rPr>
        <w:t>s</w:t>
      </w:r>
      <w:r w:rsidRPr="00E940CF">
        <w:rPr>
          <w:rFonts w:ascii="Aptos" w:hAnsi="Aptos" w:cs="Times New Roman"/>
          <w:color w:val="1F4E79" w:themeColor="accent5" w:themeShade="80"/>
          <w:sz w:val="24"/>
          <w:szCs w:val="24"/>
        </w:rPr>
        <w:t xml:space="preserve"> broken down by site (Fall River versus Fairhaven Cancer Center).  </w:t>
      </w:r>
    </w:p>
    <w:tbl>
      <w:tblPr>
        <w:tblW w:w="5440" w:type="dxa"/>
        <w:tblInd w:w="355" w:type="dxa"/>
        <w:tblLook w:val="04A0" w:firstRow="1" w:lastRow="0" w:firstColumn="1" w:lastColumn="0" w:noHBand="0" w:noVBand="1"/>
        <w:tblCaption w:val="Annual new patient volumes broken down by site (Fairhaven Cancer Center)"/>
      </w:tblPr>
      <w:tblGrid>
        <w:gridCol w:w="2960"/>
        <w:gridCol w:w="2480"/>
      </w:tblGrid>
      <w:tr w:rsidR="004643E6" w:rsidRPr="00E940CF" w14:paraId="58A7F1BA" w14:textId="77777777" w:rsidTr="00311BFC">
        <w:trPr>
          <w:cantSplit/>
          <w:trHeight w:val="840"/>
          <w:tblHeader/>
        </w:trPr>
        <w:tc>
          <w:tcPr>
            <w:tcW w:w="296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515A0D2" w14:textId="77777777" w:rsidR="003723EF" w:rsidRPr="00E940CF" w:rsidRDefault="003723EF" w:rsidP="00E67CD8">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lastRenderedPageBreak/>
              <w:t>Applicant Fiscal Year</w:t>
            </w:r>
          </w:p>
        </w:tc>
        <w:tc>
          <w:tcPr>
            <w:tcW w:w="2480" w:type="dxa"/>
            <w:tcBorders>
              <w:top w:val="single" w:sz="4" w:space="0" w:color="auto"/>
              <w:left w:val="nil"/>
              <w:bottom w:val="single" w:sz="4" w:space="0" w:color="auto"/>
              <w:right w:val="single" w:sz="4" w:space="0" w:color="auto"/>
            </w:tcBorders>
            <w:shd w:val="clear" w:color="000000" w:fill="D9E1F2"/>
            <w:vAlign w:val="center"/>
            <w:hideMark/>
          </w:tcPr>
          <w:p w14:paraId="59C794E5" w14:textId="097D37F2" w:rsidR="003723EF" w:rsidRPr="00E940CF" w:rsidRDefault="003723EF" w:rsidP="00E67CD8">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Southcoast Health Fairhaven Cancer Center: New Patient Visits</w:t>
            </w:r>
          </w:p>
        </w:tc>
      </w:tr>
      <w:tr w:rsidR="004643E6" w:rsidRPr="00E940CF" w14:paraId="1E866E0F" w14:textId="77777777" w:rsidTr="00311BFC">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3DF152EC" w14:textId="77777777" w:rsidR="003723EF" w:rsidRPr="00E940CF" w:rsidRDefault="003723EF"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FY23</w:t>
            </w:r>
          </w:p>
        </w:tc>
        <w:tc>
          <w:tcPr>
            <w:tcW w:w="2480" w:type="dxa"/>
            <w:tcBorders>
              <w:top w:val="nil"/>
              <w:left w:val="nil"/>
              <w:bottom w:val="single" w:sz="4" w:space="0" w:color="auto"/>
              <w:right w:val="single" w:sz="4" w:space="0" w:color="auto"/>
            </w:tcBorders>
            <w:noWrap/>
            <w:vAlign w:val="bottom"/>
            <w:hideMark/>
          </w:tcPr>
          <w:p w14:paraId="6E070637" w14:textId="78DE0BBA" w:rsidR="003723EF" w:rsidRPr="00E940CF" w:rsidRDefault="00D4781B"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w:t>
            </w:r>
            <w:r w:rsidR="00D6331F" w:rsidRPr="00E940CF">
              <w:rPr>
                <w:rFonts w:ascii="Aptos" w:eastAsia="Times New Roman" w:hAnsi="Aptos" w:cs="Times New Roman"/>
                <w:color w:val="1F4E79" w:themeColor="accent5" w:themeShade="80"/>
                <w:sz w:val="24"/>
                <w:szCs w:val="24"/>
              </w:rPr>
              <w:t>86</w:t>
            </w:r>
          </w:p>
        </w:tc>
      </w:tr>
      <w:tr w:rsidR="004643E6" w:rsidRPr="00E940CF" w14:paraId="2482E597" w14:textId="77777777" w:rsidTr="00311BFC">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2638F584" w14:textId="77777777" w:rsidR="003723EF" w:rsidRPr="00E940CF" w:rsidRDefault="003723EF"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FY24</w:t>
            </w:r>
          </w:p>
        </w:tc>
        <w:tc>
          <w:tcPr>
            <w:tcW w:w="2480" w:type="dxa"/>
            <w:tcBorders>
              <w:top w:val="nil"/>
              <w:left w:val="nil"/>
              <w:bottom w:val="single" w:sz="4" w:space="0" w:color="auto"/>
              <w:right w:val="single" w:sz="4" w:space="0" w:color="auto"/>
            </w:tcBorders>
            <w:noWrap/>
            <w:vAlign w:val="bottom"/>
            <w:hideMark/>
          </w:tcPr>
          <w:p w14:paraId="722F880A" w14:textId="6B3D1AD3" w:rsidR="003723EF" w:rsidRPr="00E940CF" w:rsidRDefault="00D4781B"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w:t>
            </w:r>
            <w:r w:rsidR="00D6331F" w:rsidRPr="00E940CF">
              <w:rPr>
                <w:rFonts w:ascii="Aptos" w:eastAsia="Times New Roman" w:hAnsi="Aptos" w:cs="Times New Roman"/>
                <w:color w:val="1F4E79" w:themeColor="accent5" w:themeShade="80"/>
                <w:sz w:val="24"/>
                <w:szCs w:val="24"/>
              </w:rPr>
              <w:t>06</w:t>
            </w:r>
          </w:p>
        </w:tc>
      </w:tr>
      <w:tr w:rsidR="003723EF" w:rsidRPr="00E940CF" w14:paraId="7A91F696" w14:textId="77777777" w:rsidTr="00311BFC">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hideMark/>
          </w:tcPr>
          <w:p w14:paraId="4CAE925E" w14:textId="77777777" w:rsidR="003723EF" w:rsidRPr="00E940CF" w:rsidRDefault="003723EF"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FY25</w:t>
            </w:r>
          </w:p>
        </w:tc>
        <w:tc>
          <w:tcPr>
            <w:tcW w:w="2480" w:type="dxa"/>
            <w:tcBorders>
              <w:top w:val="single" w:sz="4" w:space="0" w:color="auto"/>
              <w:left w:val="nil"/>
              <w:bottom w:val="single" w:sz="4" w:space="0" w:color="auto"/>
              <w:right w:val="single" w:sz="4" w:space="0" w:color="auto"/>
            </w:tcBorders>
            <w:noWrap/>
            <w:vAlign w:val="bottom"/>
            <w:hideMark/>
          </w:tcPr>
          <w:p w14:paraId="6032090C" w14:textId="5612DBB9" w:rsidR="003723EF" w:rsidRPr="00E940CF" w:rsidRDefault="00D4781B"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w:t>
            </w:r>
            <w:r w:rsidR="00D6331F" w:rsidRPr="00E940CF">
              <w:rPr>
                <w:rFonts w:ascii="Aptos" w:eastAsia="Times New Roman" w:hAnsi="Aptos" w:cs="Times New Roman"/>
                <w:color w:val="1F4E79" w:themeColor="accent5" w:themeShade="80"/>
                <w:sz w:val="24"/>
                <w:szCs w:val="24"/>
              </w:rPr>
              <w:t>94</w:t>
            </w:r>
          </w:p>
        </w:tc>
      </w:tr>
    </w:tbl>
    <w:p w14:paraId="1B51D08A" w14:textId="77777777" w:rsidR="003723EF" w:rsidRPr="00E940CF" w:rsidRDefault="003723EF" w:rsidP="007D766E">
      <w:pPr>
        <w:ind w:left="360"/>
        <w:rPr>
          <w:rFonts w:ascii="Aptos" w:hAnsi="Aptos" w:cs="Calibri"/>
          <w:color w:val="1F4E79" w:themeColor="accent5" w:themeShade="80"/>
          <w:sz w:val="24"/>
          <w:szCs w:val="24"/>
        </w:rPr>
      </w:pPr>
    </w:p>
    <w:tbl>
      <w:tblPr>
        <w:tblW w:w="5440" w:type="dxa"/>
        <w:tblInd w:w="355" w:type="dxa"/>
        <w:tblLook w:val="04A0" w:firstRow="1" w:lastRow="0" w:firstColumn="1" w:lastColumn="0" w:noHBand="0" w:noVBand="1"/>
        <w:tblCaption w:val="Annual new patient volumes broken down by site (Fall River)"/>
      </w:tblPr>
      <w:tblGrid>
        <w:gridCol w:w="2960"/>
        <w:gridCol w:w="2480"/>
      </w:tblGrid>
      <w:tr w:rsidR="004643E6" w:rsidRPr="00E940CF" w14:paraId="163DEB1C" w14:textId="77777777" w:rsidTr="00311BFC">
        <w:trPr>
          <w:cantSplit/>
          <w:trHeight w:val="840"/>
          <w:tblHeader/>
        </w:trPr>
        <w:tc>
          <w:tcPr>
            <w:tcW w:w="296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1A8F787" w14:textId="77777777" w:rsidR="001C075F" w:rsidRPr="00E940CF" w:rsidRDefault="001C075F" w:rsidP="00E67CD8">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Applicant Fiscal Year</w:t>
            </w:r>
          </w:p>
        </w:tc>
        <w:tc>
          <w:tcPr>
            <w:tcW w:w="2480" w:type="dxa"/>
            <w:tcBorders>
              <w:top w:val="single" w:sz="4" w:space="0" w:color="auto"/>
              <w:left w:val="nil"/>
              <w:bottom w:val="single" w:sz="4" w:space="0" w:color="auto"/>
              <w:right w:val="single" w:sz="4" w:space="0" w:color="auto"/>
            </w:tcBorders>
            <w:shd w:val="clear" w:color="000000" w:fill="D9E1F2"/>
            <w:vAlign w:val="center"/>
            <w:hideMark/>
          </w:tcPr>
          <w:p w14:paraId="2A2CDD98" w14:textId="62BD41CC" w:rsidR="001C075F" w:rsidRPr="00E940CF" w:rsidRDefault="001C075F" w:rsidP="00E67CD8">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Southcoast Health Fall River Cancer Center: New Patient Visits</w:t>
            </w:r>
          </w:p>
        </w:tc>
      </w:tr>
      <w:tr w:rsidR="004643E6" w:rsidRPr="00E940CF" w14:paraId="70C7E8BB" w14:textId="77777777" w:rsidTr="00311BFC">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6071514F" w14:textId="77777777" w:rsidR="001C075F" w:rsidRPr="00E940CF" w:rsidRDefault="001C075F"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FY23</w:t>
            </w:r>
          </w:p>
        </w:tc>
        <w:tc>
          <w:tcPr>
            <w:tcW w:w="2480" w:type="dxa"/>
            <w:tcBorders>
              <w:top w:val="nil"/>
              <w:left w:val="nil"/>
              <w:bottom w:val="single" w:sz="4" w:space="0" w:color="auto"/>
              <w:right w:val="single" w:sz="4" w:space="0" w:color="auto"/>
            </w:tcBorders>
            <w:noWrap/>
            <w:vAlign w:val="bottom"/>
            <w:hideMark/>
          </w:tcPr>
          <w:p w14:paraId="7649301E" w14:textId="6B0AD298" w:rsidR="001C075F" w:rsidRPr="00E940CF" w:rsidRDefault="00706136"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380</w:t>
            </w:r>
          </w:p>
        </w:tc>
      </w:tr>
      <w:tr w:rsidR="004643E6" w:rsidRPr="00E940CF" w14:paraId="4B884986" w14:textId="77777777" w:rsidTr="00311BFC">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40383543" w14:textId="77777777" w:rsidR="001C075F" w:rsidRPr="00E940CF" w:rsidRDefault="001C075F"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FY24</w:t>
            </w:r>
          </w:p>
        </w:tc>
        <w:tc>
          <w:tcPr>
            <w:tcW w:w="2480" w:type="dxa"/>
            <w:tcBorders>
              <w:top w:val="nil"/>
              <w:left w:val="nil"/>
              <w:bottom w:val="single" w:sz="4" w:space="0" w:color="auto"/>
              <w:right w:val="single" w:sz="4" w:space="0" w:color="auto"/>
            </w:tcBorders>
            <w:noWrap/>
            <w:vAlign w:val="bottom"/>
            <w:hideMark/>
          </w:tcPr>
          <w:p w14:paraId="47601166" w14:textId="7113870A" w:rsidR="001C075F" w:rsidRPr="00E940CF" w:rsidRDefault="00706136"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446</w:t>
            </w:r>
          </w:p>
        </w:tc>
      </w:tr>
      <w:tr w:rsidR="004643E6" w:rsidRPr="00E940CF" w14:paraId="4BAA11D6" w14:textId="77777777" w:rsidTr="00311BFC">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hideMark/>
          </w:tcPr>
          <w:p w14:paraId="467980DB" w14:textId="77777777" w:rsidR="001C075F" w:rsidRPr="00E940CF" w:rsidRDefault="001C075F"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FY25</w:t>
            </w:r>
          </w:p>
        </w:tc>
        <w:tc>
          <w:tcPr>
            <w:tcW w:w="2480" w:type="dxa"/>
            <w:tcBorders>
              <w:top w:val="single" w:sz="4" w:space="0" w:color="auto"/>
              <w:left w:val="nil"/>
              <w:bottom w:val="single" w:sz="4" w:space="0" w:color="auto"/>
              <w:right w:val="single" w:sz="4" w:space="0" w:color="auto"/>
            </w:tcBorders>
            <w:noWrap/>
            <w:vAlign w:val="bottom"/>
            <w:hideMark/>
          </w:tcPr>
          <w:p w14:paraId="3E512FF8" w14:textId="77CDCCC3" w:rsidR="001C075F" w:rsidRPr="00E940CF" w:rsidRDefault="000E42D3"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490</w:t>
            </w:r>
          </w:p>
        </w:tc>
      </w:tr>
    </w:tbl>
    <w:p w14:paraId="354CDDB9" w14:textId="77777777" w:rsidR="00BB1847" w:rsidRPr="00E940CF" w:rsidRDefault="00BB1847" w:rsidP="00BB1847">
      <w:pPr>
        <w:spacing w:after="0"/>
        <w:ind w:left="360"/>
        <w:rPr>
          <w:rFonts w:ascii="Aptos" w:hAnsi="Aptos" w:cs="Times New Roman"/>
          <w:color w:val="1F4E79" w:themeColor="accent5" w:themeShade="80"/>
          <w:sz w:val="24"/>
          <w:szCs w:val="24"/>
        </w:rPr>
      </w:pPr>
    </w:p>
    <w:p w14:paraId="04CC8AB6" w14:textId="34B6C624" w:rsidR="004D4284" w:rsidRPr="00E940CF" w:rsidRDefault="004D4284" w:rsidP="004D4284">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The Applicant’s data shows year-over-year new patient </w:t>
      </w:r>
      <w:proofErr w:type="gramStart"/>
      <w:r w:rsidRPr="00E940CF">
        <w:rPr>
          <w:rFonts w:ascii="Aptos" w:hAnsi="Aptos" w:cs="Times New Roman"/>
          <w:color w:val="1F4E79" w:themeColor="accent5" w:themeShade="80"/>
          <w:sz w:val="24"/>
          <w:szCs w:val="24"/>
        </w:rPr>
        <w:t>visit</w:t>
      </w:r>
      <w:proofErr w:type="gramEnd"/>
      <w:r w:rsidRPr="00E940CF">
        <w:rPr>
          <w:rFonts w:ascii="Aptos" w:hAnsi="Aptos" w:cs="Times New Roman"/>
          <w:color w:val="1F4E79" w:themeColor="accent5" w:themeShade="80"/>
          <w:sz w:val="24"/>
          <w:szCs w:val="24"/>
        </w:rPr>
        <w:t xml:space="preserve"> increases at both its Fairhaven and Fall River locations, with significant increases in new patient demand at both locations in recent years.  In Fairhaven, the Applicant saw new patient visits increase </w:t>
      </w:r>
      <w:r w:rsidR="000747FD" w:rsidRPr="00E940CF">
        <w:rPr>
          <w:rFonts w:ascii="Aptos" w:hAnsi="Aptos" w:cs="Times New Roman"/>
          <w:color w:val="1F4E79" w:themeColor="accent5" w:themeShade="80"/>
          <w:sz w:val="24"/>
          <w:szCs w:val="24"/>
        </w:rPr>
        <w:t>5.2</w:t>
      </w:r>
      <w:r w:rsidR="006963CF">
        <w:rPr>
          <w:rFonts w:ascii="Aptos" w:hAnsi="Aptos" w:cs="Times New Roman"/>
          <w:color w:val="1F4E79" w:themeColor="accent5" w:themeShade="80"/>
          <w:sz w:val="24"/>
          <w:szCs w:val="24"/>
        </w:rPr>
        <w:t xml:space="preserve"> </w:t>
      </w:r>
      <w:r w:rsidR="006963CF">
        <w:rPr>
          <w:rFonts w:ascii="Aptos" w:eastAsia="Times New Roman" w:hAnsi="Aptos" w:cs="Times New Roman"/>
          <w:color w:val="1F4E79" w:themeColor="accent5" w:themeShade="80"/>
          <w:sz w:val="24"/>
          <w:szCs w:val="24"/>
        </w:rPr>
        <w:t>percent</w:t>
      </w:r>
      <w:r w:rsidR="000747FD" w:rsidRPr="00E940CF">
        <w:rPr>
          <w:rFonts w:ascii="Aptos" w:hAnsi="Aptos" w:cs="Times New Roman"/>
          <w:color w:val="1F4E79" w:themeColor="accent5" w:themeShade="80"/>
          <w:sz w:val="24"/>
          <w:szCs w:val="24"/>
        </w:rPr>
        <w:t xml:space="preserve"> between FY23-FY24, and then </w:t>
      </w:r>
      <w:r w:rsidR="00735967" w:rsidRPr="00E940CF">
        <w:rPr>
          <w:rFonts w:ascii="Aptos" w:hAnsi="Aptos" w:cs="Times New Roman"/>
          <w:color w:val="1F4E79" w:themeColor="accent5" w:themeShade="80"/>
          <w:sz w:val="24"/>
          <w:szCs w:val="24"/>
        </w:rPr>
        <w:t>21.7</w:t>
      </w:r>
      <w:r w:rsidR="006963CF">
        <w:rPr>
          <w:rFonts w:ascii="Aptos" w:hAnsi="Aptos" w:cs="Times New Roman"/>
          <w:color w:val="1F4E79" w:themeColor="accent5" w:themeShade="80"/>
          <w:sz w:val="24"/>
          <w:szCs w:val="24"/>
        </w:rPr>
        <w:t xml:space="preserve"> </w:t>
      </w:r>
      <w:r w:rsidR="006963CF">
        <w:rPr>
          <w:rFonts w:ascii="Aptos" w:eastAsia="Times New Roman" w:hAnsi="Aptos" w:cs="Times New Roman"/>
          <w:color w:val="1F4E79" w:themeColor="accent5" w:themeShade="80"/>
          <w:sz w:val="24"/>
          <w:szCs w:val="24"/>
        </w:rPr>
        <w:t>percent</w:t>
      </w:r>
      <w:r w:rsidR="00735967" w:rsidRPr="00E940CF">
        <w:rPr>
          <w:rFonts w:ascii="Aptos" w:hAnsi="Aptos" w:cs="Times New Roman"/>
          <w:color w:val="1F4E79" w:themeColor="accent5" w:themeShade="80"/>
          <w:sz w:val="24"/>
          <w:szCs w:val="24"/>
        </w:rPr>
        <w:t xml:space="preserve"> between FY24-FY25.  In Fall River, the Applicant saw new patient visits increase </w:t>
      </w:r>
      <w:r w:rsidR="00687445" w:rsidRPr="00E940CF">
        <w:rPr>
          <w:rFonts w:ascii="Aptos" w:hAnsi="Aptos" w:cs="Times New Roman"/>
          <w:color w:val="1F4E79" w:themeColor="accent5" w:themeShade="80"/>
          <w:sz w:val="24"/>
          <w:szCs w:val="24"/>
        </w:rPr>
        <w:t>17.4</w:t>
      </w:r>
      <w:r w:rsidR="006963CF">
        <w:rPr>
          <w:rFonts w:ascii="Aptos" w:hAnsi="Aptos" w:cs="Times New Roman"/>
          <w:color w:val="1F4E79" w:themeColor="accent5" w:themeShade="80"/>
          <w:sz w:val="24"/>
          <w:szCs w:val="24"/>
        </w:rPr>
        <w:t xml:space="preserve"> </w:t>
      </w:r>
      <w:r w:rsidR="006963CF">
        <w:rPr>
          <w:rFonts w:ascii="Aptos" w:eastAsia="Times New Roman" w:hAnsi="Aptos" w:cs="Times New Roman"/>
          <w:color w:val="1F4E79" w:themeColor="accent5" w:themeShade="80"/>
          <w:sz w:val="24"/>
          <w:szCs w:val="24"/>
        </w:rPr>
        <w:t>percent</w:t>
      </w:r>
      <w:r w:rsidR="00735967" w:rsidRPr="00E940CF">
        <w:rPr>
          <w:rFonts w:ascii="Aptos" w:hAnsi="Aptos" w:cs="Times New Roman"/>
          <w:color w:val="1F4E79" w:themeColor="accent5" w:themeShade="80"/>
          <w:sz w:val="24"/>
          <w:szCs w:val="24"/>
        </w:rPr>
        <w:t xml:space="preserve"> between FY23-FY24, and then </w:t>
      </w:r>
      <w:r w:rsidR="00687445" w:rsidRPr="00E940CF">
        <w:rPr>
          <w:rFonts w:ascii="Aptos" w:hAnsi="Aptos" w:cs="Times New Roman"/>
          <w:color w:val="1F4E79" w:themeColor="accent5" w:themeShade="80"/>
          <w:sz w:val="24"/>
          <w:szCs w:val="24"/>
        </w:rPr>
        <w:t>9</w:t>
      </w:r>
      <w:r w:rsidR="009815FD" w:rsidRPr="00E940CF">
        <w:rPr>
          <w:rFonts w:ascii="Aptos" w:hAnsi="Aptos" w:cs="Times New Roman"/>
          <w:color w:val="1F4E79" w:themeColor="accent5" w:themeShade="80"/>
          <w:sz w:val="24"/>
          <w:szCs w:val="24"/>
        </w:rPr>
        <w:t>.9</w:t>
      </w:r>
      <w:r w:rsidR="006963CF">
        <w:rPr>
          <w:rFonts w:ascii="Aptos" w:hAnsi="Aptos" w:cs="Times New Roman"/>
          <w:color w:val="1F4E79" w:themeColor="accent5" w:themeShade="80"/>
          <w:sz w:val="24"/>
          <w:szCs w:val="24"/>
        </w:rPr>
        <w:t xml:space="preserve"> </w:t>
      </w:r>
      <w:r w:rsidR="006963CF">
        <w:rPr>
          <w:rFonts w:ascii="Aptos" w:eastAsia="Times New Roman" w:hAnsi="Aptos" w:cs="Times New Roman"/>
          <w:color w:val="1F4E79" w:themeColor="accent5" w:themeShade="80"/>
          <w:sz w:val="24"/>
          <w:szCs w:val="24"/>
        </w:rPr>
        <w:t>percent</w:t>
      </w:r>
      <w:r w:rsidR="00735967" w:rsidRPr="00E940CF">
        <w:rPr>
          <w:rFonts w:ascii="Aptos" w:hAnsi="Aptos" w:cs="Times New Roman"/>
          <w:color w:val="1F4E79" w:themeColor="accent5" w:themeShade="80"/>
          <w:sz w:val="24"/>
          <w:szCs w:val="24"/>
        </w:rPr>
        <w:t xml:space="preserve"> between FY24-FY25.</w:t>
      </w:r>
      <w:r w:rsidR="004643E6" w:rsidRPr="00E940CF">
        <w:rPr>
          <w:rFonts w:ascii="Aptos" w:hAnsi="Aptos" w:cs="Times New Roman"/>
          <w:color w:val="1F4E79" w:themeColor="accent5" w:themeShade="80"/>
          <w:sz w:val="24"/>
          <w:szCs w:val="24"/>
        </w:rPr>
        <w:t xml:space="preserve">  These trends provide further support for there being additional demand and need – particularly in Fairhaven – that the Application can address by recommissioning the existing LINAC in Fairhaven as a second machine to provide services.</w:t>
      </w:r>
    </w:p>
    <w:p w14:paraId="706BCC0E" w14:textId="35D1B130" w:rsidR="00AB7021" w:rsidRPr="002246D5" w:rsidRDefault="00AB7021" w:rsidP="00AB7021">
      <w:pPr>
        <w:keepNext/>
        <w:ind w:left="360"/>
        <w:rPr>
          <w:rFonts w:ascii="Aptos" w:hAnsi="Aptos" w:cs="Times New Roman"/>
          <w:color w:val="1F4E79" w:themeColor="accent5" w:themeShade="80"/>
          <w:sz w:val="24"/>
          <w:szCs w:val="24"/>
        </w:rPr>
      </w:pPr>
      <w:r w:rsidRPr="002246D5">
        <w:rPr>
          <w:rFonts w:ascii="Aptos" w:hAnsi="Aptos" w:cs="Times New Roman"/>
          <w:i/>
          <w:iCs/>
          <w:color w:val="1F4E79" w:themeColor="accent5" w:themeShade="80"/>
          <w:sz w:val="24"/>
          <w:szCs w:val="24"/>
        </w:rPr>
        <w:t>Data Appendix Figure 7 – Updated</w:t>
      </w:r>
      <w:r w:rsidR="0000002D" w:rsidRPr="002246D5">
        <w:rPr>
          <w:rFonts w:ascii="Aptos" w:hAnsi="Aptos" w:cs="Times New Roman"/>
          <w:i/>
          <w:iCs/>
          <w:color w:val="1F4E79" w:themeColor="accent5" w:themeShade="80"/>
          <w:sz w:val="24"/>
          <w:szCs w:val="24"/>
        </w:rPr>
        <w:t xml:space="preserve"> Table</w:t>
      </w:r>
    </w:p>
    <w:p w14:paraId="3C61A05F" w14:textId="01324D8F" w:rsidR="00C16DA5" w:rsidRPr="00E940CF" w:rsidRDefault="007E128D" w:rsidP="007D766E">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Data Appendix Figure 7 – Updated</w:t>
      </w:r>
      <w:r w:rsidR="0000002D" w:rsidRPr="00E940CF">
        <w:rPr>
          <w:rFonts w:ascii="Aptos" w:hAnsi="Aptos" w:cs="Times New Roman"/>
          <w:color w:val="1F4E79" w:themeColor="accent5" w:themeShade="80"/>
          <w:sz w:val="24"/>
          <w:szCs w:val="24"/>
        </w:rPr>
        <w:t xml:space="preserve"> Table</w:t>
      </w:r>
      <w:r w:rsidRPr="00E940CF">
        <w:rPr>
          <w:rFonts w:ascii="Aptos" w:hAnsi="Aptos" w:cs="Times New Roman"/>
          <w:color w:val="1F4E79" w:themeColor="accent5" w:themeShade="80"/>
          <w:sz w:val="24"/>
          <w:szCs w:val="24"/>
        </w:rPr>
        <w:t xml:space="preserve"> adds</w:t>
      </w:r>
      <w:r w:rsidR="0016742F" w:rsidRPr="00E940CF">
        <w:rPr>
          <w:rFonts w:ascii="Aptos" w:hAnsi="Aptos" w:cs="Times New Roman"/>
          <w:color w:val="1F4E79" w:themeColor="accent5" w:themeShade="80"/>
          <w:sz w:val="24"/>
          <w:szCs w:val="24"/>
        </w:rPr>
        <w:t xml:space="preserve"> stereotactic body radiation therapy (“</w:t>
      </w:r>
      <w:r w:rsidRPr="00E940CF">
        <w:rPr>
          <w:rFonts w:ascii="Aptos" w:hAnsi="Aptos" w:cs="Times New Roman"/>
          <w:color w:val="1F4E79" w:themeColor="accent5" w:themeShade="80"/>
          <w:sz w:val="24"/>
          <w:szCs w:val="24"/>
        </w:rPr>
        <w:t>SBRT</w:t>
      </w:r>
      <w:r w:rsidR="0016742F" w:rsidRPr="00E940CF">
        <w:rPr>
          <w:rFonts w:ascii="Aptos" w:hAnsi="Aptos" w:cs="Times New Roman"/>
          <w:color w:val="1F4E79" w:themeColor="accent5" w:themeShade="80"/>
          <w:sz w:val="24"/>
          <w:szCs w:val="24"/>
        </w:rPr>
        <w:t>”)</w:t>
      </w:r>
      <w:r w:rsidRPr="00E940CF">
        <w:rPr>
          <w:rFonts w:ascii="Aptos" w:hAnsi="Aptos" w:cs="Times New Roman"/>
          <w:color w:val="1F4E79" w:themeColor="accent5" w:themeShade="80"/>
          <w:sz w:val="24"/>
          <w:szCs w:val="24"/>
        </w:rPr>
        <w:t xml:space="preserve"> volume for 2025, which shows a slight reduction against 2024 but overall continued upward volume trend for this treatment with the LINAC.</w:t>
      </w:r>
    </w:p>
    <w:tbl>
      <w:tblPr>
        <w:tblW w:w="5440" w:type="dxa"/>
        <w:tblInd w:w="355" w:type="dxa"/>
        <w:tblLook w:val="04A0" w:firstRow="1" w:lastRow="0" w:firstColumn="1" w:lastColumn="0" w:noHBand="0" w:noVBand="1"/>
        <w:tblCaption w:val="Data Appendix Figure 7 – Updated Table"/>
      </w:tblPr>
      <w:tblGrid>
        <w:gridCol w:w="2960"/>
        <w:gridCol w:w="2480"/>
      </w:tblGrid>
      <w:tr w:rsidR="004643E6" w:rsidRPr="00E940CF" w14:paraId="30EDAA74" w14:textId="5584B8A0" w:rsidTr="00E46C50">
        <w:trPr>
          <w:cantSplit/>
          <w:trHeight w:val="840"/>
          <w:tblHeader/>
        </w:trPr>
        <w:tc>
          <w:tcPr>
            <w:tcW w:w="296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8E39743" w14:textId="77777777" w:rsidR="001814A7" w:rsidRPr="00E940CF" w:rsidRDefault="001814A7" w:rsidP="00E67CD8">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lastRenderedPageBreak/>
              <w:t>Applicant Fiscal Year</w:t>
            </w:r>
          </w:p>
        </w:tc>
        <w:tc>
          <w:tcPr>
            <w:tcW w:w="2480" w:type="dxa"/>
            <w:tcBorders>
              <w:top w:val="single" w:sz="4" w:space="0" w:color="auto"/>
              <w:left w:val="nil"/>
              <w:bottom w:val="single" w:sz="4" w:space="0" w:color="auto"/>
              <w:right w:val="single" w:sz="4" w:space="0" w:color="auto"/>
            </w:tcBorders>
            <w:shd w:val="clear" w:color="000000" w:fill="D9E1F2"/>
            <w:vAlign w:val="center"/>
            <w:hideMark/>
          </w:tcPr>
          <w:p w14:paraId="0E2EB54B" w14:textId="0E5E3A8B" w:rsidR="001814A7" w:rsidRPr="00E940CF" w:rsidRDefault="001814A7" w:rsidP="00E67CD8">
            <w:pPr>
              <w:spacing w:after="0" w:line="240" w:lineRule="auto"/>
              <w:jc w:val="center"/>
              <w:rPr>
                <w:rFonts w:ascii="Aptos" w:eastAsia="Times New Roman" w:hAnsi="Aptos" w:cs="Times New Roman"/>
                <w:b/>
                <w:bCs/>
                <w:color w:val="1F4E79" w:themeColor="accent5" w:themeShade="80"/>
                <w:sz w:val="24"/>
                <w:szCs w:val="24"/>
              </w:rPr>
            </w:pPr>
            <w:r w:rsidRPr="00E940CF">
              <w:rPr>
                <w:rFonts w:ascii="Aptos" w:eastAsia="Times New Roman" w:hAnsi="Aptos" w:cs="Times New Roman"/>
                <w:b/>
                <w:bCs/>
                <w:color w:val="1F4E79" w:themeColor="accent5" w:themeShade="80"/>
                <w:sz w:val="24"/>
                <w:szCs w:val="24"/>
              </w:rPr>
              <w:t>Southcoast Health Cancer Program: SBRT Patient Volume</w:t>
            </w:r>
          </w:p>
        </w:tc>
      </w:tr>
      <w:tr w:rsidR="004643E6" w:rsidRPr="00E940CF" w14:paraId="653AD88B" w14:textId="597B027C" w:rsidTr="00E46C50">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28B1046D" w14:textId="0BE3FB3B" w:rsidR="001814A7" w:rsidRPr="00E940CF" w:rsidRDefault="001814A7"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FY16</w:t>
            </w:r>
          </w:p>
        </w:tc>
        <w:tc>
          <w:tcPr>
            <w:tcW w:w="2480" w:type="dxa"/>
            <w:tcBorders>
              <w:top w:val="nil"/>
              <w:left w:val="nil"/>
              <w:bottom w:val="single" w:sz="4" w:space="0" w:color="auto"/>
              <w:right w:val="single" w:sz="4" w:space="0" w:color="auto"/>
            </w:tcBorders>
            <w:noWrap/>
            <w:vAlign w:val="bottom"/>
            <w:hideMark/>
          </w:tcPr>
          <w:p w14:paraId="2A038CBC" w14:textId="64F6D0C7" w:rsidR="001814A7" w:rsidRPr="00E940CF" w:rsidRDefault="001814A7"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22</w:t>
            </w:r>
          </w:p>
        </w:tc>
      </w:tr>
      <w:tr w:rsidR="004643E6" w:rsidRPr="00E940CF" w14:paraId="31AFE455" w14:textId="47580070" w:rsidTr="00E46C50">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1D923AF1" w14:textId="3195E241" w:rsidR="001814A7" w:rsidRPr="00E940CF" w:rsidRDefault="001814A7"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FY17</w:t>
            </w:r>
          </w:p>
        </w:tc>
        <w:tc>
          <w:tcPr>
            <w:tcW w:w="2480" w:type="dxa"/>
            <w:tcBorders>
              <w:top w:val="nil"/>
              <w:left w:val="nil"/>
              <w:bottom w:val="single" w:sz="4" w:space="0" w:color="auto"/>
              <w:right w:val="single" w:sz="4" w:space="0" w:color="auto"/>
            </w:tcBorders>
            <w:noWrap/>
            <w:vAlign w:val="bottom"/>
            <w:hideMark/>
          </w:tcPr>
          <w:p w14:paraId="0DEBFF5A" w14:textId="3B0DBC7B" w:rsidR="001814A7" w:rsidRPr="00E940CF" w:rsidRDefault="001814A7"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29</w:t>
            </w:r>
          </w:p>
        </w:tc>
      </w:tr>
      <w:tr w:rsidR="004643E6" w:rsidRPr="00E940CF" w14:paraId="3C1E79E5" w14:textId="6B67EEDF" w:rsidTr="00E46C50">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hideMark/>
          </w:tcPr>
          <w:p w14:paraId="43D7530A" w14:textId="00492217" w:rsidR="001814A7" w:rsidRPr="00E940CF" w:rsidRDefault="001814A7"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FY18</w:t>
            </w:r>
          </w:p>
        </w:tc>
        <w:tc>
          <w:tcPr>
            <w:tcW w:w="2480" w:type="dxa"/>
            <w:tcBorders>
              <w:top w:val="single" w:sz="4" w:space="0" w:color="auto"/>
              <w:left w:val="nil"/>
              <w:bottom w:val="single" w:sz="4" w:space="0" w:color="auto"/>
              <w:right w:val="single" w:sz="4" w:space="0" w:color="auto"/>
            </w:tcBorders>
            <w:noWrap/>
            <w:vAlign w:val="bottom"/>
            <w:hideMark/>
          </w:tcPr>
          <w:p w14:paraId="36998F62" w14:textId="474117E4" w:rsidR="001814A7" w:rsidRPr="00E940CF" w:rsidRDefault="001814A7"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19</w:t>
            </w:r>
          </w:p>
        </w:tc>
      </w:tr>
      <w:tr w:rsidR="004643E6" w:rsidRPr="00E940CF" w14:paraId="40FE4AFD" w14:textId="17B9F1B0" w:rsidTr="00E46C50">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7837111E" w14:textId="02F4112C" w:rsidR="001814A7" w:rsidRPr="00E940CF" w:rsidRDefault="001814A7"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FY19</w:t>
            </w:r>
          </w:p>
        </w:tc>
        <w:tc>
          <w:tcPr>
            <w:tcW w:w="2480" w:type="dxa"/>
            <w:tcBorders>
              <w:top w:val="single" w:sz="4" w:space="0" w:color="auto"/>
              <w:left w:val="nil"/>
              <w:bottom w:val="single" w:sz="4" w:space="0" w:color="auto"/>
              <w:right w:val="single" w:sz="4" w:space="0" w:color="auto"/>
            </w:tcBorders>
            <w:noWrap/>
            <w:vAlign w:val="bottom"/>
          </w:tcPr>
          <w:p w14:paraId="73989E50" w14:textId="2D0BB678" w:rsidR="001814A7" w:rsidRPr="00E940CF" w:rsidRDefault="001814A7"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50</w:t>
            </w:r>
          </w:p>
        </w:tc>
      </w:tr>
      <w:tr w:rsidR="004643E6" w:rsidRPr="00E940CF" w14:paraId="1B6F3446" w14:textId="46C02324" w:rsidTr="00E46C50">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768FA359" w14:textId="6AF2DBF8" w:rsidR="001814A7" w:rsidRPr="00E940CF" w:rsidRDefault="001814A7"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FY20</w:t>
            </w:r>
          </w:p>
        </w:tc>
        <w:tc>
          <w:tcPr>
            <w:tcW w:w="2480" w:type="dxa"/>
            <w:tcBorders>
              <w:top w:val="single" w:sz="4" w:space="0" w:color="auto"/>
              <w:left w:val="nil"/>
              <w:bottom w:val="single" w:sz="4" w:space="0" w:color="auto"/>
              <w:right w:val="single" w:sz="4" w:space="0" w:color="auto"/>
            </w:tcBorders>
            <w:noWrap/>
            <w:vAlign w:val="bottom"/>
          </w:tcPr>
          <w:p w14:paraId="7F7A8C8F" w14:textId="476599A7" w:rsidR="001814A7" w:rsidRPr="00E940CF" w:rsidRDefault="001814A7"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43</w:t>
            </w:r>
          </w:p>
        </w:tc>
      </w:tr>
      <w:tr w:rsidR="004643E6" w:rsidRPr="00E940CF" w14:paraId="6EA8150B" w14:textId="16E663A0" w:rsidTr="00E46C50">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143531AE" w14:textId="46D472E0" w:rsidR="001814A7" w:rsidRPr="00E940CF" w:rsidRDefault="001814A7"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FY21</w:t>
            </w:r>
          </w:p>
        </w:tc>
        <w:tc>
          <w:tcPr>
            <w:tcW w:w="2480" w:type="dxa"/>
            <w:tcBorders>
              <w:top w:val="single" w:sz="4" w:space="0" w:color="auto"/>
              <w:left w:val="nil"/>
              <w:bottom w:val="single" w:sz="4" w:space="0" w:color="auto"/>
              <w:right w:val="single" w:sz="4" w:space="0" w:color="auto"/>
            </w:tcBorders>
            <w:noWrap/>
            <w:vAlign w:val="bottom"/>
          </w:tcPr>
          <w:p w14:paraId="57BFA84A" w14:textId="5A058F32" w:rsidR="001814A7" w:rsidRPr="00E940CF" w:rsidRDefault="001814A7"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51</w:t>
            </w:r>
          </w:p>
        </w:tc>
      </w:tr>
      <w:tr w:rsidR="004643E6" w:rsidRPr="00E940CF" w14:paraId="44EF0BDC" w14:textId="1873F9C3" w:rsidTr="00E46C50">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413C31FE" w14:textId="33022ACC" w:rsidR="001814A7" w:rsidRPr="00E940CF" w:rsidRDefault="001814A7"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FY22</w:t>
            </w:r>
          </w:p>
        </w:tc>
        <w:tc>
          <w:tcPr>
            <w:tcW w:w="2480" w:type="dxa"/>
            <w:tcBorders>
              <w:top w:val="single" w:sz="4" w:space="0" w:color="auto"/>
              <w:left w:val="nil"/>
              <w:bottom w:val="single" w:sz="4" w:space="0" w:color="auto"/>
              <w:right w:val="single" w:sz="4" w:space="0" w:color="auto"/>
            </w:tcBorders>
            <w:noWrap/>
            <w:vAlign w:val="bottom"/>
          </w:tcPr>
          <w:p w14:paraId="3D56C5CD" w14:textId="0BD42D4D" w:rsidR="001814A7" w:rsidRPr="00E940CF" w:rsidRDefault="001814A7"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60</w:t>
            </w:r>
          </w:p>
        </w:tc>
      </w:tr>
      <w:tr w:rsidR="004643E6" w:rsidRPr="00E940CF" w14:paraId="55115CB2" w14:textId="5298EF1F" w:rsidTr="00E46C50">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21A6CE37" w14:textId="56F7A86F" w:rsidR="001814A7" w:rsidRPr="00E940CF" w:rsidRDefault="001814A7"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FY23</w:t>
            </w:r>
          </w:p>
        </w:tc>
        <w:tc>
          <w:tcPr>
            <w:tcW w:w="2480" w:type="dxa"/>
            <w:tcBorders>
              <w:top w:val="single" w:sz="4" w:space="0" w:color="auto"/>
              <w:left w:val="nil"/>
              <w:bottom w:val="single" w:sz="4" w:space="0" w:color="auto"/>
              <w:right w:val="single" w:sz="4" w:space="0" w:color="auto"/>
            </w:tcBorders>
            <w:noWrap/>
            <w:vAlign w:val="bottom"/>
          </w:tcPr>
          <w:p w14:paraId="1741DEE9" w14:textId="157C2D9B" w:rsidR="001814A7" w:rsidRPr="00E940CF" w:rsidRDefault="001814A7"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71</w:t>
            </w:r>
          </w:p>
        </w:tc>
      </w:tr>
      <w:tr w:rsidR="004643E6" w:rsidRPr="00E940CF" w14:paraId="4EE0B2BB" w14:textId="22A6D1E8" w:rsidTr="00E46C50">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133659AD" w14:textId="262BEF20" w:rsidR="001814A7" w:rsidRPr="00E940CF" w:rsidRDefault="001814A7"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FY24</w:t>
            </w:r>
          </w:p>
        </w:tc>
        <w:tc>
          <w:tcPr>
            <w:tcW w:w="2480" w:type="dxa"/>
            <w:tcBorders>
              <w:top w:val="single" w:sz="4" w:space="0" w:color="auto"/>
              <w:left w:val="nil"/>
              <w:bottom w:val="single" w:sz="4" w:space="0" w:color="auto"/>
              <w:right w:val="single" w:sz="4" w:space="0" w:color="auto"/>
            </w:tcBorders>
            <w:noWrap/>
            <w:vAlign w:val="bottom"/>
          </w:tcPr>
          <w:p w14:paraId="271AEC1C" w14:textId="6EDB93A0" w:rsidR="001814A7" w:rsidRPr="00E940CF" w:rsidRDefault="001814A7"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97</w:t>
            </w:r>
          </w:p>
        </w:tc>
      </w:tr>
      <w:tr w:rsidR="001814A7" w:rsidRPr="00E940CF" w14:paraId="59EF1A5A" w14:textId="17AE96AC" w:rsidTr="00E46C50">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52A38212" w14:textId="65A686A5" w:rsidR="001814A7" w:rsidRPr="00E940CF" w:rsidRDefault="001814A7"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FY25</w:t>
            </w:r>
          </w:p>
        </w:tc>
        <w:tc>
          <w:tcPr>
            <w:tcW w:w="2480" w:type="dxa"/>
            <w:tcBorders>
              <w:top w:val="single" w:sz="4" w:space="0" w:color="auto"/>
              <w:left w:val="nil"/>
              <w:bottom w:val="single" w:sz="4" w:space="0" w:color="auto"/>
              <w:right w:val="single" w:sz="4" w:space="0" w:color="auto"/>
            </w:tcBorders>
            <w:noWrap/>
            <w:vAlign w:val="bottom"/>
          </w:tcPr>
          <w:p w14:paraId="65C1E15A" w14:textId="4310F932" w:rsidR="001814A7" w:rsidRPr="00E940CF" w:rsidRDefault="001814A7" w:rsidP="00E67CD8">
            <w:pPr>
              <w:spacing w:after="0" w:line="240" w:lineRule="auto"/>
              <w:jc w:val="center"/>
              <w:rPr>
                <w:rFonts w:ascii="Aptos" w:eastAsia="Times New Roman" w:hAnsi="Aptos" w:cs="Times New Roman"/>
                <w:color w:val="1F4E79" w:themeColor="accent5" w:themeShade="80"/>
                <w:sz w:val="24"/>
                <w:szCs w:val="24"/>
              </w:rPr>
            </w:pPr>
            <w:r w:rsidRPr="00E940CF">
              <w:rPr>
                <w:rFonts w:ascii="Aptos" w:eastAsia="Times New Roman" w:hAnsi="Aptos" w:cs="Times New Roman"/>
                <w:color w:val="1F4E79" w:themeColor="accent5" w:themeShade="80"/>
                <w:sz w:val="24"/>
                <w:szCs w:val="24"/>
              </w:rPr>
              <w:t>93</w:t>
            </w:r>
          </w:p>
        </w:tc>
      </w:tr>
    </w:tbl>
    <w:p w14:paraId="65D0E5C1" w14:textId="77777777" w:rsidR="00BB1847" w:rsidRPr="00E940CF" w:rsidRDefault="00BB1847" w:rsidP="00C16DA5">
      <w:pPr>
        <w:keepNext/>
        <w:ind w:left="360"/>
        <w:rPr>
          <w:rFonts w:ascii="Aptos" w:hAnsi="Aptos" w:cs="Times New Roman"/>
          <w:i/>
          <w:iCs/>
          <w:color w:val="1F4E79" w:themeColor="accent5" w:themeShade="80"/>
          <w:sz w:val="24"/>
          <w:szCs w:val="24"/>
          <w:u w:val="single"/>
        </w:rPr>
      </w:pPr>
    </w:p>
    <w:p w14:paraId="729E99E7" w14:textId="4BC974F8" w:rsidR="00C16DA5" w:rsidRPr="0056655F" w:rsidRDefault="00C16DA5" w:rsidP="00C16DA5">
      <w:pPr>
        <w:keepNext/>
        <w:ind w:left="360"/>
        <w:rPr>
          <w:rFonts w:ascii="Aptos" w:hAnsi="Aptos" w:cs="Times New Roman"/>
          <w:color w:val="1F4E79" w:themeColor="accent5" w:themeShade="80"/>
          <w:sz w:val="24"/>
          <w:szCs w:val="24"/>
        </w:rPr>
      </w:pPr>
      <w:r w:rsidRPr="0056655F">
        <w:rPr>
          <w:rFonts w:ascii="Aptos" w:hAnsi="Aptos" w:cs="Times New Roman"/>
          <w:i/>
          <w:iCs/>
          <w:color w:val="1F4E79" w:themeColor="accent5" w:themeShade="80"/>
          <w:sz w:val="24"/>
          <w:szCs w:val="24"/>
        </w:rPr>
        <w:t>Data Appendix Figure 8 – Updated</w:t>
      </w:r>
      <w:r w:rsidR="0000002D" w:rsidRPr="0056655F">
        <w:rPr>
          <w:rFonts w:ascii="Aptos" w:hAnsi="Aptos" w:cs="Times New Roman"/>
          <w:i/>
          <w:iCs/>
          <w:color w:val="1F4E79" w:themeColor="accent5" w:themeShade="80"/>
          <w:sz w:val="24"/>
          <w:szCs w:val="24"/>
        </w:rPr>
        <w:t xml:space="preserve"> Table</w:t>
      </w:r>
    </w:p>
    <w:p w14:paraId="5FD273C9" w14:textId="737CDAD3" w:rsidR="007E128D" w:rsidRPr="00E940CF" w:rsidRDefault="007E128D" w:rsidP="007E128D">
      <w:pPr>
        <w:ind w:left="360"/>
        <w:rPr>
          <w:rFonts w:ascii="Aptos" w:hAnsi="Aptos" w:cs="Calibri"/>
          <w:sz w:val="24"/>
          <w:szCs w:val="24"/>
        </w:rPr>
      </w:pPr>
      <w:r w:rsidRPr="00E940CF">
        <w:rPr>
          <w:rFonts w:ascii="Aptos" w:hAnsi="Aptos" w:cs="Times New Roman"/>
          <w:color w:val="1F4E79" w:themeColor="accent5" w:themeShade="80"/>
          <w:sz w:val="24"/>
          <w:szCs w:val="24"/>
        </w:rPr>
        <w:t>Data Appendix Figure 8 – Updated</w:t>
      </w:r>
      <w:r w:rsidR="0000002D" w:rsidRPr="00E940CF">
        <w:rPr>
          <w:rFonts w:ascii="Aptos" w:hAnsi="Aptos" w:cs="Times New Roman"/>
          <w:color w:val="1F4E79" w:themeColor="accent5" w:themeShade="80"/>
          <w:sz w:val="24"/>
          <w:szCs w:val="24"/>
        </w:rPr>
        <w:t xml:space="preserve"> Table</w:t>
      </w:r>
      <w:r w:rsidRPr="00E940CF">
        <w:rPr>
          <w:rFonts w:ascii="Aptos" w:hAnsi="Aptos" w:cs="Times New Roman"/>
          <w:color w:val="1F4E79" w:themeColor="accent5" w:themeShade="80"/>
          <w:sz w:val="24"/>
          <w:szCs w:val="24"/>
        </w:rPr>
        <w:t xml:space="preserve"> adds </w:t>
      </w:r>
      <w:r w:rsidR="0016742F" w:rsidRPr="00E940CF">
        <w:rPr>
          <w:rFonts w:ascii="Aptos" w:hAnsi="Aptos" w:cs="Times New Roman"/>
          <w:color w:val="1F4E79" w:themeColor="accent5" w:themeShade="80"/>
          <w:sz w:val="24"/>
          <w:szCs w:val="24"/>
        </w:rPr>
        <w:t xml:space="preserve">stereotactic radiosurgery (“SRS”) </w:t>
      </w:r>
      <w:r w:rsidRPr="00E940CF">
        <w:rPr>
          <w:rFonts w:ascii="Aptos" w:hAnsi="Aptos" w:cs="Times New Roman"/>
          <w:color w:val="1F4E79" w:themeColor="accent5" w:themeShade="80"/>
          <w:sz w:val="24"/>
          <w:szCs w:val="24"/>
        </w:rPr>
        <w:t>volume for 2025, which shows an increase in 2025 against 2024 and overall continued upward trendline.</w:t>
      </w:r>
    </w:p>
    <w:tbl>
      <w:tblPr>
        <w:tblW w:w="5440" w:type="dxa"/>
        <w:tblInd w:w="355" w:type="dxa"/>
        <w:tblLook w:val="04A0" w:firstRow="1" w:lastRow="0" w:firstColumn="1" w:lastColumn="0" w:noHBand="0" w:noVBand="1"/>
        <w:tblCaption w:val="Data Appendix Figure 8 – Updated Table"/>
      </w:tblPr>
      <w:tblGrid>
        <w:gridCol w:w="2960"/>
        <w:gridCol w:w="2480"/>
      </w:tblGrid>
      <w:tr w:rsidR="001814A7" w:rsidRPr="00E940CF" w14:paraId="07B1613A" w14:textId="77777777" w:rsidTr="006B1BED">
        <w:trPr>
          <w:cantSplit/>
          <w:trHeight w:val="840"/>
          <w:tblHeader/>
        </w:trPr>
        <w:tc>
          <w:tcPr>
            <w:tcW w:w="296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E116D46" w14:textId="77777777" w:rsidR="001814A7" w:rsidRPr="00E940CF" w:rsidRDefault="001814A7" w:rsidP="00E67CD8">
            <w:pPr>
              <w:spacing w:after="0" w:line="240" w:lineRule="auto"/>
              <w:jc w:val="center"/>
              <w:rPr>
                <w:rFonts w:ascii="Aptos" w:eastAsia="Times New Roman" w:hAnsi="Aptos" w:cs="Times New Roman"/>
                <w:b/>
                <w:bCs/>
                <w:color w:val="1F4E79"/>
                <w:sz w:val="24"/>
                <w:szCs w:val="24"/>
              </w:rPr>
            </w:pPr>
            <w:r w:rsidRPr="00E940CF">
              <w:rPr>
                <w:rFonts w:ascii="Aptos" w:eastAsia="Times New Roman" w:hAnsi="Aptos" w:cs="Times New Roman"/>
                <w:b/>
                <w:bCs/>
                <w:color w:val="1F4E79"/>
                <w:sz w:val="24"/>
                <w:szCs w:val="24"/>
              </w:rPr>
              <w:t>Applicant Fiscal Year</w:t>
            </w:r>
          </w:p>
        </w:tc>
        <w:tc>
          <w:tcPr>
            <w:tcW w:w="2480" w:type="dxa"/>
            <w:tcBorders>
              <w:top w:val="single" w:sz="4" w:space="0" w:color="auto"/>
              <w:left w:val="nil"/>
              <w:bottom w:val="single" w:sz="4" w:space="0" w:color="auto"/>
              <w:right w:val="single" w:sz="4" w:space="0" w:color="auto"/>
            </w:tcBorders>
            <w:shd w:val="clear" w:color="000000" w:fill="D9E1F2"/>
            <w:vAlign w:val="center"/>
            <w:hideMark/>
          </w:tcPr>
          <w:p w14:paraId="2D99FDFB" w14:textId="3FA33531" w:rsidR="001814A7" w:rsidRPr="00E940CF" w:rsidRDefault="001814A7" w:rsidP="00E67CD8">
            <w:pPr>
              <w:spacing w:after="0" w:line="240" w:lineRule="auto"/>
              <w:jc w:val="center"/>
              <w:rPr>
                <w:rFonts w:ascii="Aptos" w:eastAsia="Times New Roman" w:hAnsi="Aptos" w:cs="Times New Roman"/>
                <w:b/>
                <w:bCs/>
                <w:color w:val="1F4E79"/>
                <w:sz w:val="24"/>
                <w:szCs w:val="24"/>
              </w:rPr>
            </w:pPr>
            <w:r w:rsidRPr="00E940CF">
              <w:rPr>
                <w:rFonts w:ascii="Aptos" w:eastAsia="Times New Roman" w:hAnsi="Aptos" w:cs="Times New Roman"/>
                <w:b/>
                <w:bCs/>
                <w:color w:val="1F4E79"/>
                <w:sz w:val="24"/>
                <w:szCs w:val="24"/>
              </w:rPr>
              <w:t>Southcoast Health Cancer Program: SRS Patient Volume</w:t>
            </w:r>
          </w:p>
        </w:tc>
      </w:tr>
      <w:tr w:rsidR="00BE4088" w:rsidRPr="00E940CF" w14:paraId="315FCEF6" w14:textId="77777777" w:rsidTr="006B1BED">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3AEB95C8" w14:textId="77777777" w:rsidR="00BE4088" w:rsidRPr="00E940CF" w:rsidRDefault="00BE4088" w:rsidP="00BE408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FY16</w:t>
            </w:r>
          </w:p>
        </w:tc>
        <w:tc>
          <w:tcPr>
            <w:tcW w:w="2480" w:type="dxa"/>
            <w:tcBorders>
              <w:top w:val="nil"/>
              <w:left w:val="nil"/>
              <w:bottom w:val="single" w:sz="4" w:space="0" w:color="auto"/>
              <w:right w:val="single" w:sz="4" w:space="0" w:color="auto"/>
            </w:tcBorders>
            <w:noWrap/>
            <w:vAlign w:val="center"/>
            <w:hideMark/>
          </w:tcPr>
          <w:p w14:paraId="7ADDFDD5" w14:textId="106041F0" w:rsidR="00BE4088" w:rsidRPr="00E940CF" w:rsidRDefault="00BE4088" w:rsidP="00BE4088">
            <w:pPr>
              <w:spacing w:after="0" w:line="240" w:lineRule="auto"/>
              <w:jc w:val="center"/>
              <w:rPr>
                <w:rFonts w:ascii="Aptos" w:eastAsia="Times New Roman" w:hAnsi="Aptos" w:cs="Times New Roman"/>
                <w:color w:val="1F3864" w:themeColor="accent1" w:themeShade="80"/>
                <w:sz w:val="24"/>
                <w:szCs w:val="24"/>
              </w:rPr>
            </w:pPr>
            <w:r w:rsidRPr="00E940CF">
              <w:rPr>
                <w:rFonts w:ascii="Aptos" w:hAnsi="Aptos" w:cs="Times New Roman"/>
                <w:color w:val="1F3864" w:themeColor="accent1" w:themeShade="80"/>
                <w:sz w:val="24"/>
                <w:szCs w:val="24"/>
              </w:rPr>
              <w:t>11</w:t>
            </w:r>
          </w:p>
        </w:tc>
      </w:tr>
      <w:tr w:rsidR="00BE4088" w:rsidRPr="00E940CF" w14:paraId="66944B4D" w14:textId="77777777" w:rsidTr="006B1BED">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43939380" w14:textId="77777777" w:rsidR="00BE4088" w:rsidRPr="00E940CF" w:rsidRDefault="00BE4088" w:rsidP="00BE408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FY17</w:t>
            </w:r>
          </w:p>
        </w:tc>
        <w:tc>
          <w:tcPr>
            <w:tcW w:w="2480" w:type="dxa"/>
            <w:tcBorders>
              <w:top w:val="nil"/>
              <w:left w:val="nil"/>
              <w:bottom w:val="single" w:sz="4" w:space="0" w:color="auto"/>
              <w:right w:val="single" w:sz="4" w:space="0" w:color="auto"/>
            </w:tcBorders>
            <w:noWrap/>
            <w:vAlign w:val="center"/>
            <w:hideMark/>
          </w:tcPr>
          <w:p w14:paraId="0F8E7111" w14:textId="1EC39DF1" w:rsidR="00BE4088" w:rsidRPr="00E940CF" w:rsidRDefault="00BE4088" w:rsidP="00BE4088">
            <w:pPr>
              <w:spacing w:after="0" w:line="240" w:lineRule="auto"/>
              <w:jc w:val="center"/>
              <w:rPr>
                <w:rFonts w:ascii="Aptos" w:eastAsia="Times New Roman" w:hAnsi="Aptos" w:cs="Times New Roman"/>
                <w:color w:val="1F3864" w:themeColor="accent1" w:themeShade="80"/>
                <w:sz w:val="24"/>
                <w:szCs w:val="24"/>
              </w:rPr>
            </w:pPr>
            <w:r w:rsidRPr="00E940CF">
              <w:rPr>
                <w:rFonts w:ascii="Aptos" w:hAnsi="Aptos" w:cs="Times New Roman"/>
                <w:color w:val="1F3864" w:themeColor="accent1" w:themeShade="80"/>
                <w:sz w:val="24"/>
                <w:szCs w:val="24"/>
              </w:rPr>
              <w:t>&lt;10</w:t>
            </w:r>
          </w:p>
        </w:tc>
      </w:tr>
      <w:tr w:rsidR="00BE4088" w:rsidRPr="00E940CF" w14:paraId="793C8F35" w14:textId="77777777" w:rsidTr="006B1BE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hideMark/>
          </w:tcPr>
          <w:p w14:paraId="6219B6AA" w14:textId="77777777" w:rsidR="00BE4088" w:rsidRPr="00E940CF" w:rsidRDefault="00BE4088" w:rsidP="00BE408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FY18</w:t>
            </w:r>
          </w:p>
        </w:tc>
        <w:tc>
          <w:tcPr>
            <w:tcW w:w="2480" w:type="dxa"/>
            <w:tcBorders>
              <w:top w:val="single" w:sz="4" w:space="0" w:color="auto"/>
              <w:left w:val="nil"/>
              <w:bottom w:val="single" w:sz="4" w:space="0" w:color="auto"/>
              <w:right w:val="single" w:sz="4" w:space="0" w:color="auto"/>
            </w:tcBorders>
            <w:noWrap/>
            <w:vAlign w:val="center"/>
            <w:hideMark/>
          </w:tcPr>
          <w:p w14:paraId="0F8194F7" w14:textId="25A25F5C" w:rsidR="00BE4088" w:rsidRPr="00E940CF" w:rsidRDefault="00BE4088" w:rsidP="00BE4088">
            <w:pPr>
              <w:spacing w:after="0" w:line="240" w:lineRule="auto"/>
              <w:jc w:val="center"/>
              <w:rPr>
                <w:rFonts w:ascii="Aptos" w:eastAsia="Times New Roman" w:hAnsi="Aptos" w:cs="Times New Roman"/>
                <w:color w:val="1F3864" w:themeColor="accent1" w:themeShade="80"/>
                <w:sz w:val="24"/>
                <w:szCs w:val="24"/>
              </w:rPr>
            </w:pPr>
            <w:r w:rsidRPr="00E940CF">
              <w:rPr>
                <w:rFonts w:ascii="Aptos" w:hAnsi="Aptos" w:cs="Times New Roman"/>
                <w:color w:val="1F3864" w:themeColor="accent1" w:themeShade="80"/>
                <w:sz w:val="24"/>
                <w:szCs w:val="24"/>
              </w:rPr>
              <w:t>13</w:t>
            </w:r>
          </w:p>
        </w:tc>
      </w:tr>
      <w:tr w:rsidR="00BE4088" w:rsidRPr="00E940CF" w14:paraId="6DE691A4" w14:textId="77777777" w:rsidTr="006B1BE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234EEF66" w14:textId="77777777" w:rsidR="00BE4088" w:rsidRPr="00E940CF" w:rsidRDefault="00BE4088" w:rsidP="00BE408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FY19</w:t>
            </w:r>
          </w:p>
        </w:tc>
        <w:tc>
          <w:tcPr>
            <w:tcW w:w="2480" w:type="dxa"/>
            <w:tcBorders>
              <w:top w:val="single" w:sz="4" w:space="0" w:color="auto"/>
              <w:left w:val="nil"/>
              <w:bottom w:val="single" w:sz="4" w:space="0" w:color="auto"/>
              <w:right w:val="single" w:sz="4" w:space="0" w:color="auto"/>
            </w:tcBorders>
            <w:noWrap/>
            <w:vAlign w:val="center"/>
          </w:tcPr>
          <w:p w14:paraId="2642DB5F" w14:textId="348A560A" w:rsidR="00BE4088" w:rsidRPr="00E940CF" w:rsidRDefault="00BE4088" w:rsidP="00BE4088">
            <w:pPr>
              <w:spacing w:after="0" w:line="240" w:lineRule="auto"/>
              <w:jc w:val="center"/>
              <w:rPr>
                <w:rFonts w:ascii="Aptos" w:eastAsia="Times New Roman" w:hAnsi="Aptos" w:cs="Times New Roman"/>
                <w:color w:val="1F3864" w:themeColor="accent1" w:themeShade="80"/>
                <w:sz w:val="24"/>
                <w:szCs w:val="24"/>
              </w:rPr>
            </w:pPr>
            <w:r w:rsidRPr="00E940CF">
              <w:rPr>
                <w:rFonts w:ascii="Aptos" w:hAnsi="Aptos" w:cs="Times New Roman"/>
                <w:color w:val="1F3864" w:themeColor="accent1" w:themeShade="80"/>
                <w:sz w:val="24"/>
                <w:szCs w:val="24"/>
              </w:rPr>
              <w:t>14</w:t>
            </w:r>
          </w:p>
        </w:tc>
      </w:tr>
      <w:tr w:rsidR="00BE4088" w:rsidRPr="00E940CF" w14:paraId="4AA740E7" w14:textId="77777777" w:rsidTr="006B1BE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416E4161" w14:textId="77777777" w:rsidR="00BE4088" w:rsidRPr="00E940CF" w:rsidRDefault="00BE4088" w:rsidP="00BE408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FY20</w:t>
            </w:r>
          </w:p>
        </w:tc>
        <w:tc>
          <w:tcPr>
            <w:tcW w:w="2480" w:type="dxa"/>
            <w:tcBorders>
              <w:top w:val="single" w:sz="4" w:space="0" w:color="auto"/>
              <w:left w:val="nil"/>
              <w:bottom w:val="single" w:sz="4" w:space="0" w:color="auto"/>
              <w:right w:val="single" w:sz="4" w:space="0" w:color="auto"/>
            </w:tcBorders>
            <w:noWrap/>
            <w:vAlign w:val="center"/>
          </w:tcPr>
          <w:p w14:paraId="3DCF095E" w14:textId="1C87300E" w:rsidR="00BE4088" w:rsidRPr="00E940CF" w:rsidRDefault="00BE4088" w:rsidP="00BE4088">
            <w:pPr>
              <w:spacing w:after="0" w:line="240" w:lineRule="auto"/>
              <w:jc w:val="center"/>
              <w:rPr>
                <w:rFonts w:ascii="Aptos" w:eastAsia="Times New Roman" w:hAnsi="Aptos" w:cs="Times New Roman"/>
                <w:color w:val="1F3864" w:themeColor="accent1" w:themeShade="80"/>
                <w:sz w:val="24"/>
                <w:szCs w:val="24"/>
              </w:rPr>
            </w:pPr>
            <w:r w:rsidRPr="00E940CF">
              <w:rPr>
                <w:rFonts w:ascii="Aptos" w:hAnsi="Aptos" w:cs="Times New Roman"/>
                <w:color w:val="1F3864" w:themeColor="accent1" w:themeShade="80"/>
                <w:sz w:val="24"/>
                <w:szCs w:val="24"/>
              </w:rPr>
              <w:t>15</w:t>
            </w:r>
          </w:p>
        </w:tc>
      </w:tr>
      <w:tr w:rsidR="00BE4088" w:rsidRPr="00E940CF" w14:paraId="01C3BCC9" w14:textId="77777777" w:rsidTr="006B1BE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0D71AB06" w14:textId="77777777" w:rsidR="00BE4088" w:rsidRPr="00E940CF" w:rsidRDefault="00BE4088" w:rsidP="00BE408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FY21</w:t>
            </w:r>
          </w:p>
        </w:tc>
        <w:tc>
          <w:tcPr>
            <w:tcW w:w="2480" w:type="dxa"/>
            <w:tcBorders>
              <w:top w:val="single" w:sz="4" w:space="0" w:color="auto"/>
              <w:left w:val="nil"/>
              <w:bottom w:val="single" w:sz="4" w:space="0" w:color="auto"/>
              <w:right w:val="single" w:sz="4" w:space="0" w:color="auto"/>
            </w:tcBorders>
            <w:noWrap/>
            <w:vAlign w:val="center"/>
          </w:tcPr>
          <w:p w14:paraId="5CBAB522" w14:textId="275946BC" w:rsidR="00BE4088" w:rsidRPr="00E940CF" w:rsidRDefault="00BE4088" w:rsidP="00BE4088">
            <w:pPr>
              <w:spacing w:after="0" w:line="240" w:lineRule="auto"/>
              <w:jc w:val="center"/>
              <w:rPr>
                <w:rFonts w:ascii="Aptos" w:eastAsia="Times New Roman" w:hAnsi="Aptos" w:cs="Times New Roman"/>
                <w:color w:val="1F3864" w:themeColor="accent1" w:themeShade="80"/>
                <w:sz w:val="24"/>
                <w:szCs w:val="24"/>
              </w:rPr>
            </w:pPr>
            <w:r w:rsidRPr="00E940CF">
              <w:rPr>
                <w:rFonts w:ascii="Aptos" w:hAnsi="Aptos" w:cs="Times New Roman"/>
                <w:color w:val="1F3864" w:themeColor="accent1" w:themeShade="80"/>
                <w:sz w:val="24"/>
                <w:szCs w:val="24"/>
              </w:rPr>
              <w:t>20</w:t>
            </w:r>
          </w:p>
        </w:tc>
      </w:tr>
      <w:tr w:rsidR="00BE4088" w:rsidRPr="00E940CF" w14:paraId="66893483" w14:textId="77777777" w:rsidTr="006B1BE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4D2E1FEB" w14:textId="77777777" w:rsidR="00BE4088" w:rsidRPr="00E940CF" w:rsidRDefault="00BE4088" w:rsidP="00BE408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FY22</w:t>
            </w:r>
          </w:p>
        </w:tc>
        <w:tc>
          <w:tcPr>
            <w:tcW w:w="2480" w:type="dxa"/>
            <w:tcBorders>
              <w:top w:val="single" w:sz="4" w:space="0" w:color="auto"/>
              <w:left w:val="nil"/>
              <w:bottom w:val="single" w:sz="4" w:space="0" w:color="auto"/>
              <w:right w:val="single" w:sz="4" w:space="0" w:color="auto"/>
            </w:tcBorders>
            <w:noWrap/>
            <w:vAlign w:val="center"/>
          </w:tcPr>
          <w:p w14:paraId="7D8B5D5A" w14:textId="15952C0E" w:rsidR="00BE4088" w:rsidRPr="00E940CF" w:rsidRDefault="00BE4088" w:rsidP="00BE4088">
            <w:pPr>
              <w:spacing w:after="0" w:line="240" w:lineRule="auto"/>
              <w:jc w:val="center"/>
              <w:rPr>
                <w:rFonts w:ascii="Aptos" w:eastAsia="Times New Roman" w:hAnsi="Aptos" w:cs="Times New Roman"/>
                <w:color w:val="1F3864" w:themeColor="accent1" w:themeShade="80"/>
                <w:sz w:val="24"/>
                <w:szCs w:val="24"/>
              </w:rPr>
            </w:pPr>
            <w:r w:rsidRPr="00E940CF">
              <w:rPr>
                <w:rFonts w:ascii="Aptos" w:hAnsi="Aptos" w:cs="Times New Roman"/>
                <w:color w:val="1F3864" w:themeColor="accent1" w:themeShade="80"/>
                <w:sz w:val="24"/>
                <w:szCs w:val="24"/>
              </w:rPr>
              <w:t>28</w:t>
            </w:r>
          </w:p>
        </w:tc>
      </w:tr>
      <w:tr w:rsidR="00BE4088" w:rsidRPr="00E940CF" w14:paraId="6B2703F0" w14:textId="77777777" w:rsidTr="006B1BE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38B0784E" w14:textId="77777777" w:rsidR="00BE4088" w:rsidRPr="00E940CF" w:rsidRDefault="00BE4088" w:rsidP="00BE408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FY23</w:t>
            </w:r>
          </w:p>
        </w:tc>
        <w:tc>
          <w:tcPr>
            <w:tcW w:w="2480" w:type="dxa"/>
            <w:tcBorders>
              <w:top w:val="single" w:sz="4" w:space="0" w:color="auto"/>
              <w:left w:val="nil"/>
              <w:bottom w:val="single" w:sz="4" w:space="0" w:color="auto"/>
              <w:right w:val="single" w:sz="4" w:space="0" w:color="auto"/>
            </w:tcBorders>
            <w:noWrap/>
            <w:vAlign w:val="center"/>
          </w:tcPr>
          <w:p w14:paraId="650425B2" w14:textId="0D1D832E" w:rsidR="00BE4088" w:rsidRPr="00E940CF" w:rsidRDefault="00BE4088" w:rsidP="00BE4088">
            <w:pPr>
              <w:spacing w:after="0" w:line="240" w:lineRule="auto"/>
              <w:jc w:val="center"/>
              <w:rPr>
                <w:rFonts w:ascii="Aptos" w:eastAsia="Times New Roman" w:hAnsi="Aptos" w:cs="Times New Roman"/>
                <w:color w:val="1F3864" w:themeColor="accent1" w:themeShade="80"/>
                <w:sz w:val="24"/>
                <w:szCs w:val="24"/>
              </w:rPr>
            </w:pPr>
            <w:r w:rsidRPr="00E940CF">
              <w:rPr>
                <w:rFonts w:ascii="Aptos" w:hAnsi="Aptos" w:cs="Times New Roman"/>
                <w:color w:val="1F3864" w:themeColor="accent1" w:themeShade="80"/>
                <w:sz w:val="24"/>
                <w:szCs w:val="24"/>
              </w:rPr>
              <w:t>17</w:t>
            </w:r>
          </w:p>
        </w:tc>
      </w:tr>
      <w:tr w:rsidR="00BE4088" w:rsidRPr="00E940CF" w14:paraId="0E1BDAC8" w14:textId="77777777" w:rsidTr="006B1BE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52CF0C11" w14:textId="77777777" w:rsidR="00BE4088" w:rsidRPr="00E940CF" w:rsidRDefault="00BE4088" w:rsidP="00BE408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lastRenderedPageBreak/>
              <w:t>FY24</w:t>
            </w:r>
          </w:p>
        </w:tc>
        <w:tc>
          <w:tcPr>
            <w:tcW w:w="2480" w:type="dxa"/>
            <w:tcBorders>
              <w:top w:val="single" w:sz="4" w:space="0" w:color="auto"/>
              <w:left w:val="nil"/>
              <w:bottom w:val="single" w:sz="4" w:space="0" w:color="auto"/>
              <w:right w:val="single" w:sz="4" w:space="0" w:color="auto"/>
            </w:tcBorders>
            <w:noWrap/>
            <w:vAlign w:val="center"/>
          </w:tcPr>
          <w:p w14:paraId="6C0EC802" w14:textId="2F205988" w:rsidR="00BE4088" w:rsidRPr="00E940CF" w:rsidRDefault="00BE4088" w:rsidP="00BE4088">
            <w:pPr>
              <w:spacing w:after="0" w:line="240" w:lineRule="auto"/>
              <w:jc w:val="center"/>
              <w:rPr>
                <w:rFonts w:ascii="Aptos" w:eastAsia="Times New Roman" w:hAnsi="Aptos" w:cs="Times New Roman"/>
                <w:color w:val="1F3864" w:themeColor="accent1" w:themeShade="80"/>
                <w:sz w:val="24"/>
                <w:szCs w:val="24"/>
              </w:rPr>
            </w:pPr>
            <w:r w:rsidRPr="00E940CF">
              <w:rPr>
                <w:rFonts w:ascii="Aptos" w:hAnsi="Aptos" w:cs="Times New Roman"/>
                <w:color w:val="1F3864" w:themeColor="accent1" w:themeShade="80"/>
                <w:sz w:val="24"/>
                <w:szCs w:val="24"/>
              </w:rPr>
              <w:t>18</w:t>
            </w:r>
          </w:p>
        </w:tc>
      </w:tr>
      <w:tr w:rsidR="00BE4088" w:rsidRPr="00E940CF" w14:paraId="59C07143" w14:textId="77777777" w:rsidTr="006B1BED">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5DA4ED6A" w14:textId="77777777" w:rsidR="00BE4088" w:rsidRPr="00E940CF" w:rsidRDefault="00BE4088" w:rsidP="00BE408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FY25</w:t>
            </w:r>
          </w:p>
        </w:tc>
        <w:tc>
          <w:tcPr>
            <w:tcW w:w="2480" w:type="dxa"/>
            <w:tcBorders>
              <w:top w:val="single" w:sz="4" w:space="0" w:color="auto"/>
              <w:left w:val="nil"/>
              <w:bottom w:val="single" w:sz="4" w:space="0" w:color="auto"/>
              <w:right w:val="single" w:sz="4" w:space="0" w:color="auto"/>
            </w:tcBorders>
            <w:noWrap/>
            <w:vAlign w:val="center"/>
          </w:tcPr>
          <w:p w14:paraId="1B34F5A5" w14:textId="29B2E45A" w:rsidR="00BE4088" w:rsidRPr="00E940CF" w:rsidRDefault="00BE4088" w:rsidP="00BE4088">
            <w:pPr>
              <w:spacing w:after="0" w:line="240" w:lineRule="auto"/>
              <w:jc w:val="center"/>
              <w:rPr>
                <w:rFonts w:ascii="Aptos" w:eastAsia="Times New Roman" w:hAnsi="Aptos" w:cs="Times New Roman"/>
                <w:color w:val="1F3864" w:themeColor="accent1" w:themeShade="80"/>
                <w:sz w:val="24"/>
                <w:szCs w:val="24"/>
              </w:rPr>
            </w:pPr>
            <w:r w:rsidRPr="00E940CF">
              <w:rPr>
                <w:rFonts w:ascii="Aptos" w:hAnsi="Aptos" w:cs="Times New Roman"/>
                <w:color w:val="1F3864" w:themeColor="accent1" w:themeShade="80"/>
                <w:sz w:val="24"/>
                <w:szCs w:val="24"/>
              </w:rPr>
              <w:t>26</w:t>
            </w:r>
          </w:p>
        </w:tc>
      </w:tr>
    </w:tbl>
    <w:p w14:paraId="11103455" w14:textId="77777777" w:rsidR="007D766E" w:rsidRPr="00E940CF" w:rsidRDefault="007D766E">
      <w:pPr>
        <w:rPr>
          <w:rFonts w:ascii="Aptos" w:hAnsi="Aptos" w:cs="Calibri"/>
          <w:sz w:val="24"/>
          <w:szCs w:val="24"/>
        </w:rPr>
      </w:pPr>
      <w:r w:rsidRPr="00E940CF">
        <w:rPr>
          <w:rFonts w:ascii="Aptos" w:hAnsi="Aptos" w:cs="Calibri"/>
          <w:sz w:val="24"/>
          <w:szCs w:val="24"/>
        </w:rPr>
        <w:br w:type="page"/>
      </w:r>
    </w:p>
    <w:p w14:paraId="46839475" w14:textId="40AB9216" w:rsidR="007D766E" w:rsidRPr="00E940CF" w:rsidRDefault="007D766E" w:rsidP="0045675A">
      <w:pPr>
        <w:pStyle w:val="Heading2"/>
        <w:rPr>
          <w:rFonts w:ascii="Aptos" w:hAnsi="Aptos"/>
          <w:sz w:val="24"/>
          <w:szCs w:val="24"/>
        </w:rPr>
      </w:pPr>
      <w:r w:rsidRPr="00E940CF">
        <w:rPr>
          <w:rFonts w:ascii="Aptos" w:hAnsi="Aptos"/>
          <w:sz w:val="24"/>
          <w:szCs w:val="24"/>
        </w:rPr>
        <w:lastRenderedPageBreak/>
        <w:t xml:space="preserve">Please provide 3 years of LINAC volume by site with an explanation in a narrative format. </w:t>
      </w:r>
    </w:p>
    <w:p w14:paraId="5BF5D3F9" w14:textId="6C6C2F39" w:rsidR="007D766E" w:rsidRPr="00E940CF" w:rsidRDefault="007D766E" w:rsidP="007D766E">
      <w:pPr>
        <w:ind w:left="360"/>
        <w:rPr>
          <w:rFonts w:ascii="Aptos" w:hAnsi="Aptos" w:cs="Times New Roman"/>
          <w:color w:val="1F4E79" w:themeColor="accent5" w:themeShade="80"/>
          <w:sz w:val="24"/>
          <w:szCs w:val="24"/>
        </w:rPr>
      </w:pPr>
      <w:r w:rsidRPr="0056655F">
        <w:rPr>
          <w:rFonts w:ascii="Aptos" w:hAnsi="Aptos" w:cs="Times New Roman"/>
          <w:b/>
          <w:bCs/>
          <w:color w:val="1F4E79" w:themeColor="accent5" w:themeShade="80"/>
          <w:sz w:val="24"/>
          <w:szCs w:val="24"/>
        </w:rPr>
        <w:t>Response</w:t>
      </w:r>
      <w:r w:rsidRPr="00E940CF">
        <w:rPr>
          <w:rFonts w:ascii="Aptos" w:hAnsi="Aptos" w:cs="Times New Roman"/>
          <w:color w:val="1F4E79" w:themeColor="accent5" w:themeShade="80"/>
          <w:sz w:val="24"/>
          <w:szCs w:val="24"/>
        </w:rPr>
        <w:t xml:space="preserve">: </w:t>
      </w:r>
    </w:p>
    <w:p w14:paraId="37870A58" w14:textId="29D03741" w:rsidR="0077088D" w:rsidRPr="00E940CF" w:rsidRDefault="00B5176A" w:rsidP="00B5176A">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Below please find the Applicant’s annual LINAC volume by site for Fiscal Years 2023 through 2025, inclusive of the Applicant’s Southcoast Cancer Center LINAC site in Fairhaven, Massachusetts, and its Charlton Memorial Hospital LINAC site in Fall River, Massachusetts.</w:t>
      </w:r>
    </w:p>
    <w:tbl>
      <w:tblPr>
        <w:tblW w:w="7600" w:type="dxa"/>
        <w:tblInd w:w="355" w:type="dxa"/>
        <w:tblLook w:val="04A0" w:firstRow="1" w:lastRow="0" w:firstColumn="1" w:lastColumn="0" w:noHBand="0" w:noVBand="1"/>
        <w:tblCaption w:val="Annual LINAC volume by site for Fiscal Years 2023 through 2025"/>
      </w:tblPr>
      <w:tblGrid>
        <w:gridCol w:w="2960"/>
        <w:gridCol w:w="2480"/>
        <w:gridCol w:w="2160"/>
      </w:tblGrid>
      <w:tr w:rsidR="005D0ECC" w:rsidRPr="00E940CF" w14:paraId="4B2BFF62" w14:textId="77777777" w:rsidTr="005659A3">
        <w:trPr>
          <w:cantSplit/>
          <w:trHeight w:val="840"/>
          <w:tblHeader/>
        </w:trPr>
        <w:tc>
          <w:tcPr>
            <w:tcW w:w="296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289C711" w14:textId="77777777" w:rsidR="005D0ECC" w:rsidRPr="00E940CF" w:rsidRDefault="005D0ECC" w:rsidP="005D0ECC">
            <w:pPr>
              <w:spacing w:after="0" w:line="240" w:lineRule="auto"/>
              <w:jc w:val="center"/>
              <w:rPr>
                <w:rFonts w:ascii="Aptos" w:eastAsia="Times New Roman" w:hAnsi="Aptos" w:cs="Times New Roman"/>
                <w:b/>
                <w:bCs/>
                <w:color w:val="1F4E79"/>
                <w:sz w:val="24"/>
                <w:szCs w:val="24"/>
              </w:rPr>
            </w:pPr>
            <w:r w:rsidRPr="00E940CF">
              <w:rPr>
                <w:rFonts w:ascii="Aptos" w:eastAsia="Times New Roman" w:hAnsi="Aptos" w:cs="Times New Roman"/>
                <w:b/>
                <w:bCs/>
                <w:color w:val="1F4E79"/>
                <w:sz w:val="24"/>
                <w:szCs w:val="24"/>
              </w:rPr>
              <w:t>Applicant Fiscal Year</w:t>
            </w:r>
          </w:p>
        </w:tc>
        <w:tc>
          <w:tcPr>
            <w:tcW w:w="2480" w:type="dxa"/>
            <w:tcBorders>
              <w:top w:val="single" w:sz="4" w:space="0" w:color="auto"/>
              <w:left w:val="nil"/>
              <w:bottom w:val="single" w:sz="4" w:space="0" w:color="auto"/>
              <w:right w:val="single" w:sz="4" w:space="0" w:color="auto"/>
            </w:tcBorders>
            <w:shd w:val="clear" w:color="000000" w:fill="D9E1F2"/>
            <w:vAlign w:val="center"/>
            <w:hideMark/>
          </w:tcPr>
          <w:p w14:paraId="4AA6A46D" w14:textId="77777777" w:rsidR="005D0ECC" w:rsidRPr="00E940CF" w:rsidRDefault="005D0ECC" w:rsidP="005D0ECC">
            <w:pPr>
              <w:spacing w:after="0" w:line="240" w:lineRule="auto"/>
              <w:jc w:val="center"/>
              <w:rPr>
                <w:rFonts w:ascii="Aptos" w:eastAsia="Times New Roman" w:hAnsi="Aptos" w:cs="Times New Roman"/>
                <w:b/>
                <w:bCs/>
                <w:color w:val="1F4E79"/>
                <w:sz w:val="24"/>
                <w:szCs w:val="24"/>
              </w:rPr>
            </w:pPr>
            <w:r w:rsidRPr="00E940CF">
              <w:rPr>
                <w:rFonts w:ascii="Aptos" w:eastAsia="Times New Roman" w:hAnsi="Aptos" w:cs="Times New Roman"/>
                <w:b/>
                <w:bCs/>
                <w:color w:val="1F4E79"/>
                <w:sz w:val="24"/>
                <w:szCs w:val="24"/>
              </w:rPr>
              <w:t>Fall River (CMH) LINAC Treatments</w:t>
            </w:r>
          </w:p>
        </w:tc>
        <w:tc>
          <w:tcPr>
            <w:tcW w:w="2160" w:type="dxa"/>
            <w:tcBorders>
              <w:top w:val="single" w:sz="4" w:space="0" w:color="auto"/>
              <w:left w:val="nil"/>
              <w:bottom w:val="single" w:sz="4" w:space="0" w:color="auto"/>
              <w:right w:val="single" w:sz="4" w:space="0" w:color="auto"/>
            </w:tcBorders>
            <w:shd w:val="clear" w:color="000000" w:fill="D9E1F2"/>
            <w:vAlign w:val="center"/>
            <w:hideMark/>
          </w:tcPr>
          <w:p w14:paraId="75FECDD9" w14:textId="77777777" w:rsidR="005D0ECC" w:rsidRPr="00E940CF" w:rsidRDefault="005D0ECC" w:rsidP="005D0ECC">
            <w:pPr>
              <w:spacing w:after="0" w:line="240" w:lineRule="auto"/>
              <w:jc w:val="center"/>
              <w:rPr>
                <w:rFonts w:ascii="Aptos" w:eastAsia="Times New Roman" w:hAnsi="Aptos" w:cs="Times New Roman"/>
                <w:b/>
                <w:bCs/>
                <w:color w:val="1F4E79"/>
                <w:sz w:val="24"/>
                <w:szCs w:val="24"/>
              </w:rPr>
            </w:pPr>
            <w:r w:rsidRPr="00E940CF">
              <w:rPr>
                <w:rFonts w:ascii="Aptos" w:eastAsia="Times New Roman" w:hAnsi="Aptos" w:cs="Times New Roman"/>
                <w:b/>
                <w:bCs/>
                <w:color w:val="1F4E79"/>
                <w:sz w:val="24"/>
                <w:szCs w:val="24"/>
              </w:rPr>
              <w:t>Fairhaven Cancer Center LINAC Treatments</w:t>
            </w:r>
          </w:p>
        </w:tc>
      </w:tr>
      <w:tr w:rsidR="005D0ECC" w:rsidRPr="00E940CF" w14:paraId="4AAFC7E4" w14:textId="77777777" w:rsidTr="00756F57">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71F12EB0" w14:textId="77777777" w:rsidR="005D0ECC" w:rsidRPr="00E940CF" w:rsidRDefault="005D0ECC" w:rsidP="005D0ECC">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FY23</w:t>
            </w:r>
          </w:p>
        </w:tc>
        <w:tc>
          <w:tcPr>
            <w:tcW w:w="2480" w:type="dxa"/>
            <w:tcBorders>
              <w:top w:val="nil"/>
              <w:left w:val="nil"/>
              <w:bottom w:val="single" w:sz="4" w:space="0" w:color="auto"/>
              <w:right w:val="single" w:sz="4" w:space="0" w:color="auto"/>
            </w:tcBorders>
            <w:noWrap/>
            <w:vAlign w:val="bottom"/>
            <w:hideMark/>
          </w:tcPr>
          <w:p w14:paraId="4C98F8D8" w14:textId="46BE9F95" w:rsidR="005D0ECC" w:rsidRPr="00E940CF" w:rsidRDefault="008057F5" w:rsidP="005D0ECC">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7,28</w:t>
            </w:r>
            <w:r w:rsidR="00E07269" w:rsidRPr="00E940CF">
              <w:rPr>
                <w:rFonts w:ascii="Aptos" w:eastAsia="Times New Roman" w:hAnsi="Aptos" w:cs="Times New Roman"/>
                <w:color w:val="1F4E78"/>
                <w:sz w:val="24"/>
                <w:szCs w:val="24"/>
              </w:rPr>
              <w:t>9</w:t>
            </w:r>
          </w:p>
        </w:tc>
        <w:tc>
          <w:tcPr>
            <w:tcW w:w="2160" w:type="dxa"/>
            <w:tcBorders>
              <w:top w:val="nil"/>
              <w:left w:val="nil"/>
              <w:bottom w:val="single" w:sz="4" w:space="0" w:color="auto"/>
              <w:right w:val="single" w:sz="4" w:space="0" w:color="auto"/>
            </w:tcBorders>
            <w:noWrap/>
            <w:vAlign w:val="bottom"/>
            <w:hideMark/>
          </w:tcPr>
          <w:p w14:paraId="238F4752" w14:textId="34C10008" w:rsidR="005D0ECC" w:rsidRPr="00E940CF" w:rsidRDefault="005D0ECC" w:rsidP="005D0ECC">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6</w:t>
            </w:r>
            <w:r w:rsidR="001E1800" w:rsidRPr="00E940CF">
              <w:rPr>
                <w:rFonts w:ascii="Aptos" w:eastAsia="Times New Roman" w:hAnsi="Aptos" w:cs="Times New Roman"/>
                <w:color w:val="1F4E78"/>
                <w:sz w:val="24"/>
                <w:szCs w:val="24"/>
              </w:rPr>
              <w:t>,739</w:t>
            </w:r>
          </w:p>
        </w:tc>
      </w:tr>
      <w:tr w:rsidR="005D0ECC" w:rsidRPr="00E940CF" w14:paraId="3CC5F55E" w14:textId="77777777" w:rsidTr="00756F57">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54944B05" w14:textId="77777777" w:rsidR="005D0ECC" w:rsidRPr="00E940CF" w:rsidRDefault="005D0ECC" w:rsidP="005D0ECC">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FY24</w:t>
            </w:r>
          </w:p>
        </w:tc>
        <w:tc>
          <w:tcPr>
            <w:tcW w:w="2480" w:type="dxa"/>
            <w:tcBorders>
              <w:top w:val="nil"/>
              <w:left w:val="nil"/>
              <w:bottom w:val="single" w:sz="4" w:space="0" w:color="auto"/>
              <w:right w:val="single" w:sz="4" w:space="0" w:color="auto"/>
            </w:tcBorders>
            <w:noWrap/>
            <w:vAlign w:val="bottom"/>
            <w:hideMark/>
          </w:tcPr>
          <w:p w14:paraId="580EECCF" w14:textId="1FC28D4B" w:rsidR="005D0ECC" w:rsidRPr="00E940CF" w:rsidRDefault="008057F5" w:rsidP="005D0ECC">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6,8</w:t>
            </w:r>
            <w:r w:rsidR="00E07269" w:rsidRPr="00E940CF">
              <w:rPr>
                <w:rFonts w:ascii="Aptos" w:eastAsia="Times New Roman" w:hAnsi="Aptos" w:cs="Times New Roman"/>
                <w:color w:val="1F4E78"/>
                <w:sz w:val="24"/>
                <w:szCs w:val="24"/>
              </w:rPr>
              <w:t>30</w:t>
            </w:r>
          </w:p>
        </w:tc>
        <w:tc>
          <w:tcPr>
            <w:tcW w:w="2160" w:type="dxa"/>
            <w:tcBorders>
              <w:top w:val="nil"/>
              <w:left w:val="nil"/>
              <w:bottom w:val="single" w:sz="4" w:space="0" w:color="auto"/>
              <w:right w:val="single" w:sz="4" w:space="0" w:color="auto"/>
            </w:tcBorders>
            <w:noWrap/>
            <w:vAlign w:val="bottom"/>
            <w:hideMark/>
          </w:tcPr>
          <w:p w14:paraId="4F9FB3EA" w14:textId="7345E06C" w:rsidR="005D0ECC" w:rsidRPr="00E940CF" w:rsidRDefault="00401109" w:rsidP="005D0ECC">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6,794</w:t>
            </w:r>
          </w:p>
        </w:tc>
      </w:tr>
      <w:tr w:rsidR="005D0ECC" w:rsidRPr="00E940CF" w14:paraId="19649A34" w14:textId="77777777" w:rsidTr="00756F57">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1162FD6E" w14:textId="77777777" w:rsidR="005D0ECC" w:rsidRPr="00E940CF" w:rsidRDefault="005D0ECC" w:rsidP="005D0ECC">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FY25</w:t>
            </w:r>
          </w:p>
        </w:tc>
        <w:tc>
          <w:tcPr>
            <w:tcW w:w="2480" w:type="dxa"/>
            <w:tcBorders>
              <w:top w:val="nil"/>
              <w:left w:val="nil"/>
              <w:bottom w:val="single" w:sz="4" w:space="0" w:color="auto"/>
              <w:right w:val="single" w:sz="4" w:space="0" w:color="auto"/>
            </w:tcBorders>
            <w:noWrap/>
            <w:vAlign w:val="bottom"/>
            <w:hideMark/>
          </w:tcPr>
          <w:p w14:paraId="1DA1161E" w14:textId="365D3356" w:rsidR="005D0ECC" w:rsidRPr="00E940CF" w:rsidRDefault="00A1360F" w:rsidP="005D0ECC">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7,793</w:t>
            </w:r>
          </w:p>
        </w:tc>
        <w:tc>
          <w:tcPr>
            <w:tcW w:w="2160" w:type="dxa"/>
            <w:tcBorders>
              <w:top w:val="nil"/>
              <w:left w:val="nil"/>
              <w:bottom w:val="single" w:sz="4" w:space="0" w:color="auto"/>
              <w:right w:val="single" w:sz="4" w:space="0" w:color="auto"/>
            </w:tcBorders>
            <w:noWrap/>
            <w:vAlign w:val="bottom"/>
            <w:hideMark/>
          </w:tcPr>
          <w:p w14:paraId="47DA365E" w14:textId="4DD4AC3D" w:rsidR="005D0ECC" w:rsidRPr="00E940CF" w:rsidRDefault="005D0ECC" w:rsidP="005D0ECC">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8</w:t>
            </w:r>
            <w:r w:rsidR="00606067" w:rsidRPr="00E940CF">
              <w:rPr>
                <w:rFonts w:ascii="Aptos" w:eastAsia="Times New Roman" w:hAnsi="Aptos" w:cs="Times New Roman"/>
                <w:color w:val="1F4E78"/>
                <w:sz w:val="24"/>
                <w:szCs w:val="24"/>
              </w:rPr>
              <w:t>,242</w:t>
            </w:r>
          </w:p>
        </w:tc>
      </w:tr>
    </w:tbl>
    <w:p w14:paraId="62922FB2" w14:textId="77777777" w:rsidR="0016742F" w:rsidRPr="00E940CF" w:rsidRDefault="0016742F" w:rsidP="007D766E">
      <w:pPr>
        <w:ind w:left="360"/>
        <w:rPr>
          <w:rFonts w:ascii="Aptos" w:hAnsi="Aptos" w:cs="Times New Roman"/>
          <w:color w:val="1F4E79" w:themeColor="accent5" w:themeShade="80"/>
          <w:sz w:val="24"/>
          <w:szCs w:val="24"/>
        </w:rPr>
      </w:pPr>
    </w:p>
    <w:p w14:paraId="4D3D7B7F" w14:textId="15BB53D7" w:rsidR="0083517F" w:rsidRPr="00E940CF" w:rsidRDefault="00B5176A" w:rsidP="00A1360F">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The data show </w:t>
      </w:r>
      <w:r w:rsidR="00F13CF8" w:rsidRPr="00E940CF">
        <w:rPr>
          <w:rFonts w:ascii="Aptos" w:hAnsi="Aptos" w:cs="Times New Roman"/>
          <w:color w:val="1F4E79" w:themeColor="accent5" w:themeShade="80"/>
          <w:sz w:val="24"/>
          <w:szCs w:val="24"/>
        </w:rPr>
        <w:t>an overall trend of increasing</w:t>
      </w:r>
      <w:r w:rsidRPr="00E940CF">
        <w:rPr>
          <w:rFonts w:ascii="Aptos" w:hAnsi="Aptos" w:cs="Times New Roman"/>
          <w:color w:val="1F4E79" w:themeColor="accent5" w:themeShade="80"/>
          <w:sz w:val="24"/>
          <w:szCs w:val="24"/>
        </w:rPr>
        <w:t xml:space="preserve"> LINAC treatment volume</w:t>
      </w:r>
      <w:r w:rsidR="00A1360F" w:rsidRPr="00E940CF">
        <w:rPr>
          <w:rFonts w:ascii="Aptos" w:hAnsi="Aptos" w:cs="Times New Roman"/>
          <w:color w:val="1F4E79" w:themeColor="accent5" w:themeShade="80"/>
          <w:sz w:val="24"/>
          <w:szCs w:val="24"/>
        </w:rPr>
        <w:t xml:space="preserve"> at both </w:t>
      </w:r>
      <w:r w:rsidR="000B6E72" w:rsidRPr="00E940CF">
        <w:rPr>
          <w:rFonts w:ascii="Aptos" w:hAnsi="Aptos" w:cs="Times New Roman"/>
          <w:color w:val="1F4E79" w:themeColor="accent5" w:themeShade="80"/>
          <w:sz w:val="24"/>
          <w:szCs w:val="24"/>
        </w:rPr>
        <w:t>sites</w:t>
      </w:r>
      <w:r w:rsidRPr="00E940CF">
        <w:rPr>
          <w:rFonts w:ascii="Aptos" w:hAnsi="Aptos" w:cs="Times New Roman"/>
          <w:color w:val="1F4E79" w:themeColor="accent5" w:themeShade="80"/>
          <w:sz w:val="24"/>
          <w:szCs w:val="24"/>
        </w:rPr>
        <w:t>, with a significant increase in FY25 at the Fairhaven Cancer Center site that is the subject of this Application for a second LINAC in that location</w:t>
      </w:r>
      <w:r w:rsidR="00351C28" w:rsidRPr="00E940CF">
        <w:rPr>
          <w:rFonts w:ascii="Aptos" w:hAnsi="Aptos" w:cs="Times New Roman"/>
          <w:color w:val="1F4E79" w:themeColor="accent5" w:themeShade="80"/>
          <w:sz w:val="24"/>
          <w:szCs w:val="24"/>
        </w:rPr>
        <w:t xml:space="preserve"> (</w:t>
      </w:r>
      <w:proofErr w:type="gramStart"/>
      <w:r w:rsidR="00351C28" w:rsidRPr="00E940CF">
        <w:rPr>
          <w:rFonts w:ascii="Aptos" w:hAnsi="Aptos" w:cs="Times New Roman"/>
          <w:color w:val="1F4E79" w:themeColor="accent5" w:themeShade="80"/>
          <w:sz w:val="24"/>
          <w:szCs w:val="24"/>
        </w:rPr>
        <w:t>in excess of</w:t>
      </w:r>
      <w:proofErr w:type="gramEnd"/>
      <w:r w:rsidR="00351C28" w:rsidRPr="00E940CF">
        <w:rPr>
          <w:rFonts w:ascii="Aptos" w:hAnsi="Aptos" w:cs="Times New Roman"/>
          <w:color w:val="1F4E79" w:themeColor="accent5" w:themeShade="80"/>
          <w:sz w:val="24"/>
          <w:szCs w:val="24"/>
        </w:rPr>
        <w:t xml:space="preserve"> 21</w:t>
      </w:r>
      <w:r w:rsidR="00112758">
        <w:rPr>
          <w:rFonts w:ascii="Aptos" w:hAnsi="Aptos" w:cs="Times New Roman"/>
          <w:color w:val="1F4E79" w:themeColor="accent5" w:themeShade="80"/>
          <w:sz w:val="24"/>
          <w:szCs w:val="24"/>
        </w:rPr>
        <w:t xml:space="preserve"> </w:t>
      </w:r>
      <w:r w:rsidR="00112758">
        <w:rPr>
          <w:rFonts w:ascii="Aptos" w:eastAsia="Times New Roman" w:hAnsi="Aptos" w:cs="Times New Roman"/>
          <w:color w:val="1F4E79" w:themeColor="accent5" w:themeShade="80"/>
          <w:sz w:val="24"/>
          <w:szCs w:val="24"/>
        </w:rPr>
        <w:t>percent</w:t>
      </w:r>
      <w:r w:rsidR="00351C28" w:rsidRPr="00E940CF">
        <w:rPr>
          <w:rFonts w:ascii="Aptos" w:hAnsi="Aptos" w:cs="Times New Roman"/>
          <w:color w:val="1F4E79" w:themeColor="accent5" w:themeShade="80"/>
          <w:sz w:val="24"/>
          <w:szCs w:val="24"/>
        </w:rPr>
        <w:t xml:space="preserve"> between FY24-FY25)</w:t>
      </w:r>
      <w:r w:rsidRPr="00E940CF">
        <w:rPr>
          <w:rFonts w:ascii="Aptos" w:hAnsi="Aptos" w:cs="Times New Roman"/>
          <w:color w:val="1F4E79" w:themeColor="accent5" w:themeShade="80"/>
          <w:sz w:val="24"/>
          <w:szCs w:val="24"/>
        </w:rPr>
        <w:t>.</w:t>
      </w:r>
      <w:r w:rsidR="00F13CF8" w:rsidRPr="00E940CF">
        <w:rPr>
          <w:rFonts w:ascii="Aptos" w:hAnsi="Aptos" w:cs="Times New Roman"/>
          <w:color w:val="1F4E79" w:themeColor="accent5" w:themeShade="80"/>
          <w:sz w:val="24"/>
          <w:szCs w:val="24"/>
        </w:rPr>
        <w:t xml:space="preserve"> </w:t>
      </w:r>
    </w:p>
    <w:p w14:paraId="68626E80" w14:textId="77777777" w:rsidR="0083517F" w:rsidRPr="00E940CF" w:rsidRDefault="0083517F" w:rsidP="0083517F">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The Tables below also show monthly LINAC treatment volume at each location during FY23-FY25.  The monthly variability in the data shows the need for a second unit on-site in Fairhaven, because of the burden on the treatment center and staff during high volume periods when the only way to treat all patients needing LINAC services is to extend daily treatment hours (i.e., volume and thus demand for the LINAC is not evenly distributed throughout the year and therefore during high volume periods the second unit can reduce the burden on center staff and patients by treating more patients during normal business hours in the same location on two machines simultaneously, where clinically appropriate).  </w:t>
      </w:r>
    </w:p>
    <w:p w14:paraId="221DDC1D" w14:textId="03E2CBCA" w:rsidR="0083517F" w:rsidRPr="00E940CF" w:rsidRDefault="0083517F" w:rsidP="0083517F">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Of note, </w:t>
      </w:r>
      <w:r w:rsidR="00C636CA" w:rsidRPr="00E940CF">
        <w:rPr>
          <w:rFonts w:ascii="Aptos" w:hAnsi="Aptos" w:cs="Times New Roman"/>
          <w:color w:val="1F4E79" w:themeColor="accent5" w:themeShade="80"/>
          <w:sz w:val="24"/>
          <w:szCs w:val="24"/>
        </w:rPr>
        <w:t>the Applicant</w:t>
      </w:r>
      <w:r w:rsidRPr="00E940CF">
        <w:rPr>
          <w:rFonts w:ascii="Aptos" w:hAnsi="Aptos" w:cs="Times New Roman"/>
          <w:color w:val="1F4E79" w:themeColor="accent5" w:themeShade="80"/>
          <w:sz w:val="24"/>
          <w:szCs w:val="24"/>
        </w:rPr>
        <w:t xml:space="preserve"> estimates that </w:t>
      </w:r>
      <w:r w:rsidR="00F8691A" w:rsidRPr="00E940CF">
        <w:rPr>
          <w:rFonts w:ascii="Aptos" w:hAnsi="Aptos" w:cs="Times New Roman"/>
          <w:color w:val="1F4E79" w:themeColor="accent5" w:themeShade="80"/>
          <w:sz w:val="24"/>
          <w:szCs w:val="24"/>
        </w:rPr>
        <w:t>the reasonable</w:t>
      </w:r>
      <w:r w:rsidRPr="00E940CF">
        <w:rPr>
          <w:rFonts w:ascii="Aptos" w:hAnsi="Aptos" w:cs="Times New Roman"/>
          <w:color w:val="1F4E79" w:themeColor="accent5" w:themeShade="80"/>
          <w:sz w:val="24"/>
          <w:szCs w:val="24"/>
        </w:rPr>
        <w:t xml:space="preserve"> </w:t>
      </w:r>
      <w:r w:rsidR="00F8691A" w:rsidRPr="00E940CF">
        <w:rPr>
          <w:rFonts w:ascii="Aptos" w:hAnsi="Aptos" w:cs="Times New Roman"/>
          <w:color w:val="1F4E79" w:themeColor="accent5" w:themeShade="80"/>
          <w:sz w:val="24"/>
          <w:szCs w:val="24"/>
        </w:rPr>
        <w:t xml:space="preserve">daily capacity for </w:t>
      </w:r>
      <w:r w:rsidRPr="00E940CF">
        <w:rPr>
          <w:rFonts w:ascii="Aptos" w:hAnsi="Aptos" w:cs="Times New Roman"/>
          <w:color w:val="1F4E79" w:themeColor="accent5" w:themeShade="80"/>
          <w:sz w:val="24"/>
          <w:szCs w:val="24"/>
        </w:rPr>
        <w:t xml:space="preserve">a single LINAC machine is approximately 30 </w:t>
      </w:r>
      <w:r w:rsidR="00F8691A" w:rsidRPr="00E940CF">
        <w:rPr>
          <w:rFonts w:ascii="Aptos" w:hAnsi="Aptos" w:cs="Times New Roman"/>
          <w:color w:val="1F4E79" w:themeColor="accent5" w:themeShade="80"/>
          <w:sz w:val="24"/>
          <w:szCs w:val="24"/>
        </w:rPr>
        <w:t>treatments</w:t>
      </w:r>
      <w:r w:rsidRPr="00E940CF">
        <w:rPr>
          <w:rFonts w:ascii="Aptos" w:hAnsi="Aptos" w:cs="Times New Roman"/>
          <w:color w:val="1F4E79" w:themeColor="accent5" w:themeShade="80"/>
          <w:sz w:val="24"/>
          <w:szCs w:val="24"/>
        </w:rPr>
        <w:t xml:space="preserve"> per day</w:t>
      </w:r>
      <w:r w:rsidR="00F8691A" w:rsidRPr="00E940CF">
        <w:rPr>
          <w:rFonts w:ascii="Aptos" w:hAnsi="Aptos" w:cs="Times New Roman"/>
          <w:color w:val="1F4E79" w:themeColor="accent5" w:themeShade="80"/>
          <w:sz w:val="24"/>
          <w:szCs w:val="24"/>
        </w:rPr>
        <w:t xml:space="preserve">, even though as an example currently its daily volume fluctuates between 25-45 patient treatments per day in Fairhaven due to the growth in demand in recent years.  At 30 treatments per day, the estimated monthly capacity is approximately 600 treatments (30 patients x 20 business days per 4-week calendar month).  </w:t>
      </w:r>
      <w:r w:rsidR="00C636CA" w:rsidRPr="00E940CF">
        <w:rPr>
          <w:rFonts w:ascii="Aptos" w:hAnsi="Aptos" w:cs="Times New Roman"/>
          <w:color w:val="1F4E79" w:themeColor="accent5" w:themeShade="80"/>
          <w:sz w:val="24"/>
          <w:szCs w:val="24"/>
        </w:rPr>
        <w:t>The Applicant</w:t>
      </w:r>
      <w:r w:rsidR="00F8691A" w:rsidRPr="00E940CF">
        <w:rPr>
          <w:rFonts w:ascii="Aptos" w:hAnsi="Aptos" w:cs="Times New Roman"/>
          <w:color w:val="1F4E79" w:themeColor="accent5" w:themeShade="80"/>
          <w:sz w:val="24"/>
          <w:szCs w:val="24"/>
        </w:rPr>
        <w:t xml:space="preserve"> exceeded that monthly capacity in 9 of 12 calendar months during FY25 at both its Fairhaven and Fall River sites, and projects treatment </w:t>
      </w:r>
      <w:r w:rsidR="00F8691A" w:rsidRPr="00E940CF">
        <w:rPr>
          <w:rFonts w:ascii="Aptos" w:hAnsi="Aptos" w:cs="Times New Roman"/>
          <w:color w:val="1F4E79" w:themeColor="accent5" w:themeShade="80"/>
          <w:sz w:val="24"/>
          <w:szCs w:val="24"/>
        </w:rPr>
        <w:lastRenderedPageBreak/>
        <w:t xml:space="preserve">volume to grow further by FY30 such that a second machine in Fairhaven will be very important to </w:t>
      </w:r>
      <w:proofErr w:type="gramStart"/>
      <w:r w:rsidR="00F8691A" w:rsidRPr="00E940CF">
        <w:rPr>
          <w:rFonts w:ascii="Aptos" w:hAnsi="Aptos" w:cs="Times New Roman"/>
          <w:color w:val="1F4E79" w:themeColor="accent5" w:themeShade="80"/>
          <w:sz w:val="24"/>
          <w:szCs w:val="24"/>
        </w:rPr>
        <w:t>meeting</w:t>
      </w:r>
      <w:proofErr w:type="gramEnd"/>
      <w:r w:rsidR="00F8691A" w:rsidRPr="00E940CF">
        <w:rPr>
          <w:rFonts w:ascii="Aptos" w:hAnsi="Aptos" w:cs="Times New Roman"/>
          <w:color w:val="1F4E79" w:themeColor="accent5" w:themeShade="80"/>
          <w:sz w:val="24"/>
          <w:szCs w:val="24"/>
        </w:rPr>
        <w:t xml:space="preserve"> the local demand for LINAC treatment services. </w:t>
      </w:r>
      <w:r w:rsidRPr="00E940CF">
        <w:rPr>
          <w:rFonts w:ascii="Aptos" w:hAnsi="Aptos" w:cs="Times New Roman"/>
          <w:color w:val="1F4E79" w:themeColor="accent5" w:themeShade="80"/>
          <w:sz w:val="24"/>
          <w:szCs w:val="24"/>
        </w:rPr>
        <w:t xml:space="preserve"> </w:t>
      </w:r>
    </w:p>
    <w:tbl>
      <w:tblPr>
        <w:tblStyle w:val="TableGrid"/>
        <w:tblW w:w="0" w:type="auto"/>
        <w:tblInd w:w="355" w:type="dxa"/>
        <w:tblLook w:val="04A0" w:firstRow="1" w:lastRow="0" w:firstColumn="1" w:lastColumn="0" w:noHBand="0" w:noVBand="1"/>
        <w:tblCaption w:val="Monthly LINAC treatment volume: Fairhaven"/>
      </w:tblPr>
      <w:tblGrid>
        <w:gridCol w:w="1400"/>
        <w:gridCol w:w="1360"/>
        <w:gridCol w:w="3625"/>
      </w:tblGrid>
      <w:tr w:rsidR="00201865" w:rsidRPr="00E940CF" w14:paraId="188D5368" w14:textId="77777777" w:rsidTr="008001F8">
        <w:trPr>
          <w:cantSplit/>
          <w:trHeight w:val="300"/>
          <w:tblHeader/>
        </w:trPr>
        <w:tc>
          <w:tcPr>
            <w:tcW w:w="1400" w:type="dxa"/>
            <w:noWrap/>
            <w:hideMark/>
          </w:tcPr>
          <w:p w14:paraId="7B0BD012" w14:textId="73749F63" w:rsidR="00201865" w:rsidRPr="00E940CF" w:rsidRDefault="00F13CF8"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 </w:t>
            </w:r>
            <w:r w:rsidR="00201865" w:rsidRPr="00E940CF">
              <w:rPr>
                <w:rFonts w:ascii="Aptos" w:hAnsi="Aptos" w:cs="Times New Roman"/>
                <w:color w:val="1F4E79" w:themeColor="accent5" w:themeShade="80"/>
                <w:sz w:val="24"/>
                <w:szCs w:val="24"/>
              </w:rPr>
              <w:t>Fiscal Year</w:t>
            </w:r>
          </w:p>
        </w:tc>
        <w:tc>
          <w:tcPr>
            <w:tcW w:w="1360" w:type="dxa"/>
            <w:noWrap/>
            <w:hideMark/>
          </w:tcPr>
          <w:p w14:paraId="0F3A4046"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Month</w:t>
            </w:r>
          </w:p>
        </w:tc>
        <w:tc>
          <w:tcPr>
            <w:tcW w:w="3625" w:type="dxa"/>
            <w:noWrap/>
            <w:hideMark/>
          </w:tcPr>
          <w:p w14:paraId="48C0691D"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Southcoast Health Radiation Oncology Monthly </w:t>
            </w:r>
            <w:r w:rsidRPr="0056655F">
              <w:rPr>
                <w:rFonts w:ascii="Aptos" w:hAnsi="Aptos" w:cs="Times New Roman"/>
                <w:color w:val="1F4E79" w:themeColor="accent5" w:themeShade="80"/>
                <w:sz w:val="24"/>
                <w:szCs w:val="24"/>
              </w:rPr>
              <w:t>LINAC Treatment Volume</w:t>
            </w:r>
            <w:r w:rsidRPr="0056655F">
              <w:rPr>
                <w:rFonts w:ascii="Aptos" w:hAnsi="Aptos" w:cs="Times New Roman"/>
                <w:i/>
                <w:iCs/>
                <w:color w:val="1F4E79" w:themeColor="accent5" w:themeShade="80"/>
                <w:sz w:val="24"/>
                <w:szCs w:val="24"/>
              </w:rPr>
              <w:t xml:space="preserve"> Fairhaven Cancer Center</w:t>
            </w:r>
          </w:p>
        </w:tc>
      </w:tr>
      <w:tr w:rsidR="00201865" w:rsidRPr="00E940CF" w14:paraId="4693B904" w14:textId="77777777" w:rsidTr="008E4742">
        <w:trPr>
          <w:cantSplit/>
          <w:trHeight w:val="300"/>
        </w:trPr>
        <w:tc>
          <w:tcPr>
            <w:tcW w:w="1400" w:type="dxa"/>
            <w:noWrap/>
            <w:hideMark/>
          </w:tcPr>
          <w:p w14:paraId="00C57668"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325C1B0B"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Oct-22</w:t>
            </w:r>
          </w:p>
        </w:tc>
        <w:tc>
          <w:tcPr>
            <w:tcW w:w="3625" w:type="dxa"/>
            <w:noWrap/>
            <w:hideMark/>
          </w:tcPr>
          <w:p w14:paraId="128655BC"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437</w:t>
            </w:r>
          </w:p>
        </w:tc>
      </w:tr>
      <w:tr w:rsidR="00201865" w:rsidRPr="00E940CF" w14:paraId="46607CAD" w14:textId="77777777" w:rsidTr="008E4742">
        <w:trPr>
          <w:cantSplit/>
          <w:trHeight w:val="300"/>
        </w:trPr>
        <w:tc>
          <w:tcPr>
            <w:tcW w:w="1400" w:type="dxa"/>
            <w:noWrap/>
            <w:hideMark/>
          </w:tcPr>
          <w:p w14:paraId="2C2DBAFD"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716B46B0"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Nov-22</w:t>
            </w:r>
          </w:p>
        </w:tc>
        <w:tc>
          <w:tcPr>
            <w:tcW w:w="3625" w:type="dxa"/>
            <w:noWrap/>
            <w:hideMark/>
          </w:tcPr>
          <w:p w14:paraId="3B83B26B"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480</w:t>
            </w:r>
          </w:p>
        </w:tc>
      </w:tr>
      <w:tr w:rsidR="00201865" w:rsidRPr="00E940CF" w14:paraId="65134030" w14:textId="77777777" w:rsidTr="008E4742">
        <w:trPr>
          <w:cantSplit/>
          <w:trHeight w:val="300"/>
        </w:trPr>
        <w:tc>
          <w:tcPr>
            <w:tcW w:w="1400" w:type="dxa"/>
            <w:noWrap/>
            <w:hideMark/>
          </w:tcPr>
          <w:p w14:paraId="7E9BCF76"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3A72E12C"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Dec-22</w:t>
            </w:r>
          </w:p>
        </w:tc>
        <w:tc>
          <w:tcPr>
            <w:tcW w:w="3625" w:type="dxa"/>
            <w:noWrap/>
            <w:hideMark/>
          </w:tcPr>
          <w:p w14:paraId="64351FD6"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536</w:t>
            </w:r>
          </w:p>
        </w:tc>
      </w:tr>
      <w:tr w:rsidR="00201865" w:rsidRPr="00E940CF" w14:paraId="0780FD0F" w14:textId="77777777" w:rsidTr="008E4742">
        <w:trPr>
          <w:cantSplit/>
          <w:trHeight w:val="300"/>
        </w:trPr>
        <w:tc>
          <w:tcPr>
            <w:tcW w:w="1400" w:type="dxa"/>
            <w:noWrap/>
            <w:hideMark/>
          </w:tcPr>
          <w:p w14:paraId="2E925D69"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4016552B"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Jan-23</w:t>
            </w:r>
          </w:p>
        </w:tc>
        <w:tc>
          <w:tcPr>
            <w:tcW w:w="3625" w:type="dxa"/>
            <w:noWrap/>
            <w:hideMark/>
          </w:tcPr>
          <w:p w14:paraId="33CE2C29"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504</w:t>
            </w:r>
          </w:p>
        </w:tc>
      </w:tr>
      <w:tr w:rsidR="00201865" w:rsidRPr="00E940CF" w14:paraId="487CBA9F" w14:textId="77777777" w:rsidTr="008E4742">
        <w:trPr>
          <w:cantSplit/>
          <w:trHeight w:val="300"/>
        </w:trPr>
        <w:tc>
          <w:tcPr>
            <w:tcW w:w="1400" w:type="dxa"/>
            <w:noWrap/>
            <w:hideMark/>
          </w:tcPr>
          <w:p w14:paraId="7A78EBF5"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0C010919"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Feb-23</w:t>
            </w:r>
          </w:p>
        </w:tc>
        <w:tc>
          <w:tcPr>
            <w:tcW w:w="3625" w:type="dxa"/>
            <w:noWrap/>
            <w:hideMark/>
          </w:tcPr>
          <w:p w14:paraId="1EC6B78F"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388</w:t>
            </w:r>
          </w:p>
        </w:tc>
      </w:tr>
      <w:tr w:rsidR="00201865" w:rsidRPr="00E940CF" w14:paraId="5C52E864" w14:textId="77777777" w:rsidTr="008E4742">
        <w:trPr>
          <w:cantSplit/>
          <w:trHeight w:val="300"/>
        </w:trPr>
        <w:tc>
          <w:tcPr>
            <w:tcW w:w="1400" w:type="dxa"/>
            <w:noWrap/>
            <w:hideMark/>
          </w:tcPr>
          <w:p w14:paraId="74103F26"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2E538965"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Mar-23</w:t>
            </w:r>
          </w:p>
        </w:tc>
        <w:tc>
          <w:tcPr>
            <w:tcW w:w="3625" w:type="dxa"/>
            <w:noWrap/>
            <w:hideMark/>
          </w:tcPr>
          <w:p w14:paraId="55CAB371"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576</w:t>
            </w:r>
          </w:p>
        </w:tc>
      </w:tr>
      <w:tr w:rsidR="00201865" w:rsidRPr="00E940CF" w14:paraId="1787DD81" w14:textId="77777777" w:rsidTr="008E4742">
        <w:trPr>
          <w:cantSplit/>
          <w:trHeight w:val="300"/>
        </w:trPr>
        <w:tc>
          <w:tcPr>
            <w:tcW w:w="1400" w:type="dxa"/>
            <w:noWrap/>
            <w:hideMark/>
          </w:tcPr>
          <w:p w14:paraId="73AA2535"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61625D22"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Apr-23</w:t>
            </w:r>
          </w:p>
        </w:tc>
        <w:tc>
          <w:tcPr>
            <w:tcW w:w="3625" w:type="dxa"/>
            <w:noWrap/>
            <w:hideMark/>
          </w:tcPr>
          <w:p w14:paraId="159BDD5C"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556</w:t>
            </w:r>
          </w:p>
        </w:tc>
      </w:tr>
      <w:tr w:rsidR="00201865" w:rsidRPr="00E940CF" w14:paraId="5E756AB4" w14:textId="77777777" w:rsidTr="008E4742">
        <w:trPr>
          <w:cantSplit/>
          <w:trHeight w:val="300"/>
        </w:trPr>
        <w:tc>
          <w:tcPr>
            <w:tcW w:w="1400" w:type="dxa"/>
            <w:noWrap/>
            <w:hideMark/>
          </w:tcPr>
          <w:p w14:paraId="5249517D"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61C80804"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May-23</w:t>
            </w:r>
          </w:p>
        </w:tc>
        <w:tc>
          <w:tcPr>
            <w:tcW w:w="3625" w:type="dxa"/>
            <w:noWrap/>
            <w:hideMark/>
          </w:tcPr>
          <w:p w14:paraId="51E878F7"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761</w:t>
            </w:r>
          </w:p>
        </w:tc>
      </w:tr>
      <w:tr w:rsidR="00201865" w:rsidRPr="00E940CF" w14:paraId="6AAD0C63" w14:textId="77777777" w:rsidTr="008E4742">
        <w:trPr>
          <w:cantSplit/>
          <w:trHeight w:val="300"/>
        </w:trPr>
        <w:tc>
          <w:tcPr>
            <w:tcW w:w="1400" w:type="dxa"/>
            <w:noWrap/>
            <w:hideMark/>
          </w:tcPr>
          <w:p w14:paraId="598B6676"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53E6AC5C"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Jun-23</w:t>
            </w:r>
          </w:p>
        </w:tc>
        <w:tc>
          <w:tcPr>
            <w:tcW w:w="3625" w:type="dxa"/>
            <w:noWrap/>
            <w:hideMark/>
          </w:tcPr>
          <w:p w14:paraId="536F2A0D"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700</w:t>
            </w:r>
          </w:p>
        </w:tc>
      </w:tr>
      <w:tr w:rsidR="00201865" w:rsidRPr="00E940CF" w14:paraId="3240BC90" w14:textId="77777777" w:rsidTr="008E4742">
        <w:trPr>
          <w:cantSplit/>
          <w:trHeight w:val="300"/>
        </w:trPr>
        <w:tc>
          <w:tcPr>
            <w:tcW w:w="1400" w:type="dxa"/>
            <w:noWrap/>
            <w:hideMark/>
          </w:tcPr>
          <w:p w14:paraId="0BC11FBD"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0AEB4D1C"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Jul-23</w:t>
            </w:r>
          </w:p>
        </w:tc>
        <w:tc>
          <w:tcPr>
            <w:tcW w:w="3625" w:type="dxa"/>
            <w:noWrap/>
            <w:hideMark/>
          </w:tcPr>
          <w:p w14:paraId="7FF9EE87"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493</w:t>
            </w:r>
          </w:p>
        </w:tc>
      </w:tr>
      <w:tr w:rsidR="00201865" w:rsidRPr="00E940CF" w14:paraId="4D52C4FF" w14:textId="77777777" w:rsidTr="008E4742">
        <w:trPr>
          <w:cantSplit/>
          <w:trHeight w:val="300"/>
        </w:trPr>
        <w:tc>
          <w:tcPr>
            <w:tcW w:w="1400" w:type="dxa"/>
            <w:noWrap/>
            <w:hideMark/>
          </w:tcPr>
          <w:p w14:paraId="788E9C2D"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120A6F93"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Aug-23</w:t>
            </w:r>
          </w:p>
        </w:tc>
        <w:tc>
          <w:tcPr>
            <w:tcW w:w="3625" w:type="dxa"/>
            <w:noWrap/>
            <w:hideMark/>
          </w:tcPr>
          <w:p w14:paraId="35670C61"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678</w:t>
            </w:r>
          </w:p>
        </w:tc>
      </w:tr>
      <w:tr w:rsidR="00201865" w:rsidRPr="00E940CF" w14:paraId="63E5D02D" w14:textId="77777777" w:rsidTr="008E4742">
        <w:trPr>
          <w:cantSplit/>
          <w:trHeight w:val="300"/>
        </w:trPr>
        <w:tc>
          <w:tcPr>
            <w:tcW w:w="1400" w:type="dxa"/>
            <w:noWrap/>
            <w:hideMark/>
          </w:tcPr>
          <w:p w14:paraId="7B5C49B8"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1E8504F1"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Sep-23</w:t>
            </w:r>
          </w:p>
        </w:tc>
        <w:tc>
          <w:tcPr>
            <w:tcW w:w="3625" w:type="dxa"/>
            <w:noWrap/>
            <w:hideMark/>
          </w:tcPr>
          <w:p w14:paraId="701B5702"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630</w:t>
            </w:r>
          </w:p>
        </w:tc>
      </w:tr>
      <w:tr w:rsidR="00201865" w:rsidRPr="00E940CF" w14:paraId="45857170" w14:textId="77777777" w:rsidTr="008E4742">
        <w:trPr>
          <w:cantSplit/>
          <w:trHeight w:val="300"/>
        </w:trPr>
        <w:tc>
          <w:tcPr>
            <w:tcW w:w="1400" w:type="dxa"/>
            <w:noWrap/>
            <w:hideMark/>
          </w:tcPr>
          <w:p w14:paraId="02703048"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24F8FD25"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Oct-23</w:t>
            </w:r>
          </w:p>
        </w:tc>
        <w:tc>
          <w:tcPr>
            <w:tcW w:w="3625" w:type="dxa"/>
            <w:noWrap/>
            <w:hideMark/>
          </w:tcPr>
          <w:p w14:paraId="7F1436C0"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554</w:t>
            </w:r>
          </w:p>
        </w:tc>
      </w:tr>
      <w:tr w:rsidR="00201865" w:rsidRPr="00E940CF" w14:paraId="1255D387" w14:textId="77777777" w:rsidTr="008E4742">
        <w:trPr>
          <w:cantSplit/>
          <w:trHeight w:val="300"/>
        </w:trPr>
        <w:tc>
          <w:tcPr>
            <w:tcW w:w="1400" w:type="dxa"/>
            <w:noWrap/>
            <w:hideMark/>
          </w:tcPr>
          <w:p w14:paraId="2B5DC21C"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46EC7FA4"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Nov-23</w:t>
            </w:r>
          </w:p>
        </w:tc>
        <w:tc>
          <w:tcPr>
            <w:tcW w:w="3625" w:type="dxa"/>
            <w:noWrap/>
            <w:hideMark/>
          </w:tcPr>
          <w:p w14:paraId="79E99DC0"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516</w:t>
            </w:r>
          </w:p>
        </w:tc>
      </w:tr>
      <w:tr w:rsidR="00201865" w:rsidRPr="00E940CF" w14:paraId="6B79CCE9" w14:textId="77777777" w:rsidTr="008E4742">
        <w:trPr>
          <w:cantSplit/>
          <w:trHeight w:val="300"/>
        </w:trPr>
        <w:tc>
          <w:tcPr>
            <w:tcW w:w="1400" w:type="dxa"/>
            <w:noWrap/>
            <w:hideMark/>
          </w:tcPr>
          <w:p w14:paraId="01A0906D"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07D169C9"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Dec-23</w:t>
            </w:r>
          </w:p>
        </w:tc>
        <w:tc>
          <w:tcPr>
            <w:tcW w:w="3625" w:type="dxa"/>
            <w:noWrap/>
            <w:hideMark/>
          </w:tcPr>
          <w:p w14:paraId="07D402BD"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470</w:t>
            </w:r>
          </w:p>
        </w:tc>
      </w:tr>
      <w:tr w:rsidR="00201865" w:rsidRPr="00E940CF" w14:paraId="48714F86" w14:textId="77777777" w:rsidTr="008E4742">
        <w:trPr>
          <w:cantSplit/>
          <w:trHeight w:val="300"/>
        </w:trPr>
        <w:tc>
          <w:tcPr>
            <w:tcW w:w="1400" w:type="dxa"/>
            <w:noWrap/>
            <w:hideMark/>
          </w:tcPr>
          <w:p w14:paraId="3AB6EA56"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1648C5D4"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Jan-24</w:t>
            </w:r>
          </w:p>
        </w:tc>
        <w:tc>
          <w:tcPr>
            <w:tcW w:w="3625" w:type="dxa"/>
            <w:noWrap/>
            <w:hideMark/>
          </w:tcPr>
          <w:p w14:paraId="00DA0EAA"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481</w:t>
            </w:r>
          </w:p>
        </w:tc>
      </w:tr>
      <w:tr w:rsidR="00201865" w:rsidRPr="00E940CF" w14:paraId="23789879" w14:textId="77777777" w:rsidTr="008E4742">
        <w:trPr>
          <w:cantSplit/>
          <w:trHeight w:val="300"/>
        </w:trPr>
        <w:tc>
          <w:tcPr>
            <w:tcW w:w="1400" w:type="dxa"/>
            <w:noWrap/>
            <w:hideMark/>
          </w:tcPr>
          <w:p w14:paraId="3E049143"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50458484"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Feb-24</w:t>
            </w:r>
          </w:p>
        </w:tc>
        <w:tc>
          <w:tcPr>
            <w:tcW w:w="3625" w:type="dxa"/>
            <w:noWrap/>
            <w:hideMark/>
          </w:tcPr>
          <w:p w14:paraId="15F9993E"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478</w:t>
            </w:r>
          </w:p>
        </w:tc>
      </w:tr>
      <w:tr w:rsidR="00201865" w:rsidRPr="00E940CF" w14:paraId="5CC6BBA2" w14:textId="77777777" w:rsidTr="008E4742">
        <w:trPr>
          <w:cantSplit/>
          <w:trHeight w:val="300"/>
        </w:trPr>
        <w:tc>
          <w:tcPr>
            <w:tcW w:w="1400" w:type="dxa"/>
            <w:noWrap/>
            <w:hideMark/>
          </w:tcPr>
          <w:p w14:paraId="647E0F3B"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531B29E4"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Mar-24</w:t>
            </w:r>
          </w:p>
        </w:tc>
        <w:tc>
          <w:tcPr>
            <w:tcW w:w="3625" w:type="dxa"/>
            <w:noWrap/>
            <w:hideMark/>
          </w:tcPr>
          <w:p w14:paraId="5422F967"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576</w:t>
            </w:r>
          </w:p>
        </w:tc>
      </w:tr>
      <w:tr w:rsidR="00201865" w:rsidRPr="00E940CF" w14:paraId="0664BEAB" w14:textId="77777777" w:rsidTr="008E4742">
        <w:trPr>
          <w:cantSplit/>
          <w:trHeight w:val="300"/>
        </w:trPr>
        <w:tc>
          <w:tcPr>
            <w:tcW w:w="1400" w:type="dxa"/>
            <w:noWrap/>
            <w:hideMark/>
          </w:tcPr>
          <w:p w14:paraId="4F19202D"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11F42E86"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Apr-24</w:t>
            </w:r>
          </w:p>
        </w:tc>
        <w:tc>
          <w:tcPr>
            <w:tcW w:w="3625" w:type="dxa"/>
            <w:noWrap/>
            <w:hideMark/>
          </w:tcPr>
          <w:p w14:paraId="5FA98BCA"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677</w:t>
            </w:r>
          </w:p>
        </w:tc>
      </w:tr>
      <w:tr w:rsidR="00201865" w:rsidRPr="00E940CF" w14:paraId="45CEB102" w14:textId="77777777" w:rsidTr="008E4742">
        <w:trPr>
          <w:cantSplit/>
          <w:trHeight w:val="300"/>
        </w:trPr>
        <w:tc>
          <w:tcPr>
            <w:tcW w:w="1400" w:type="dxa"/>
            <w:noWrap/>
            <w:hideMark/>
          </w:tcPr>
          <w:p w14:paraId="61F36A61"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5244F749"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May-24</w:t>
            </w:r>
          </w:p>
        </w:tc>
        <w:tc>
          <w:tcPr>
            <w:tcW w:w="3625" w:type="dxa"/>
            <w:noWrap/>
            <w:hideMark/>
          </w:tcPr>
          <w:p w14:paraId="3ACF8283"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831</w:t>
            </w:r>
          </w:p>
        </w:tc>
      </w:tr>
      <w:tr w:rsidR="00201865" w:rsidRPr="00E940CF" w14:paraId="76C40CBB" w14:textId="77777777" w:rsidTr="008E4742">
        <w:trPr>
          <w:cantSplit/>
          <w:trHeight w:val="300"/>
        </w:trPr>
        <w:tc>
          <w:tcPr>
            <w:tcW w:w="1400" w:type="dxa"/>
            <w:noWrap/>
            <w:hideMark/>
          </w:tcPr>
          <w:p w14:paraId="25697644"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59EACEB1"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Jun-24</w:t>
            </w:r>
          </w:p>
        </w:tc>
        <w:tc>
          <w:tcPr>
            <w:tcW w:w="3625" w:type="dxa"/>
            <w:noWrap/>
            <w:hideMark/>
          </w:tcPr>
          <w:p w14:paraId="20083ACA"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590</w:t>
            </w:r>
          </w:p>
        </w:tc>
      </w:tr>
      <w:tr w:rsidR="00201865" w:rsidRPr="00E940CF" w14:paraId="743B2292" w14:textId="77777777" w:rsidTr="008E4742">
        <w:trPr>
          <w:cantSplit/>
          <w:trHeight w:val="300"/>
        </w:trPr>
        <w:tc>
          <w:tcPr>
            <w:tcW w:w="1400" w:type="dxa"/>
            <w:noWrap/>
            <w:hideMark/>
          </w:tcPr>
          <w:p w14:paraId="5A29485C"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7CC9D6F2"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Jul-24</w:t>
            </w:r>
          </w:p>
        </w:tc>
        <w:tc>
          <w:tcPr>
            <w:tcW w:w="3625" w:type="dxa"/>
            <w:noWrap/>
            <w:hideMark/>
          </w:tcPr>
          <w:p w14:paraId="664806D6"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656</w:t>
            </w:r>
          </w:p>
        </w:tc>
      </w:tr>
      <w:tr w:rsidR="00201865" w:rsidRPr="00E940CF" w14:paraId="38F0EC67" w14:textId="77777777" w:rsidTr="008E4742">
        <w:trPr>
          <w:cantSplit/>
          <w:trHeight w:val="300"/>
        </w:trPr>
        <w:tc>
          <w:tcPr>
            <w:tcW w:w="1400" w:type="dxa"/>
            <w:noWrap/>
            <w:hideMark/>
          </w:tcPr>
          <w:p w14:paraId="1BAA2B49"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6A4B46E4"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Aug-24</w:t>
            </w:r>
          </w:p>
        </w:tc>
        <w:tc>
          <w:tcPr>
            <w:tcW w:w="3625" w:type="dxa"/>
            <w:noWrap/>
            <w:hideMark/>
          </w:tcPr>
          <w:p w14:paraId="64EB7B95"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525</w:t>
            </w:r>
          </w:p>
        </w:tc>
      </w:tr>
      <w:tr w:rsidR="00201865" w:rsidRPr="00E940CF" w14:paraId="364DCB2E" w14:textId="77777777" w:rsidTr="008E4742">
        <w:trPr>
          <w:cantSplit/>
          <w:trHeight w:val="300"/>
        </w:trPr>
        <w:tc>
          <w:tcPr>
            <w:tcW w:w="1400" w:type="dxa"/>
            <w:noWrap/>
            <w:hideMark/>
          </w:tcPr>
          <w:p w14:paraId="0DAA0D21"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lastRenderedPageBreak/>
              <w:t>FY24</w:t>
            </w:r>
          </w:p>
        </w:tc>
        <w:tc>
          <w:tcPr>
            <w:tcW w:w="1360" w:type="dxa"/>
            <w:noWrap/>
            <w:hideMark/>
          </w:tcPr>
          <w:p w14:paraId="4FC65912"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Sep-24</w:t>
            </w:r>
          </w:p>
        </w:tc>
        <w:tc>
          <w:tcPr>
            <w:tcW w:w="3625" w:type="dxa"/>
            <w:noWrap/>
            <w:hideMark/>
          </w:tcPr>
          <w:p w14:paraId="0753D638"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440</w:t>
            </w:r>
          </w:p>
        </w:tc>
      </w:tr>
      <w:tr w:rsidR="00201865" w:rsidRPr="00E940CF" w14:paraId="6CEFE6BE" w14:textId="77777777" w:rsidTr="008E4742">
        <w:trPr>
          <w:cantSplit/>
          <w:trHeight w:val="300"/>
        </w:trPr>
        <w:tc>
          <w:tcPr>
            <w:tcW w:w="1400" w:type="dxa"/>
            <w:noWrap/>
            <w:hideMark/>
          </w:tcPr>
          <w:p w14:paraId="61787D53"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666CBC48"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Oct-24</w:t>
            </w:r>
          </w:p>
        </w:tc>
        <w:tc>
          <w:tcPr>
            <w:tcW w:w="3625" w:type="dxa"/>
            <w:noWrap/>
            <w:hideMark/>
          </w:tcPr>
          <w:p w14:paraId="747FFBE8"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653</w:t>
            </w:r>
          </w:p>
        </w:tc>
      </w:tr>
      <w:tr w:rsidR="00201865" w:rsidRPr="00E940CF" w14:paraId="7374B04B" w14:textId="77777777" w:rsidTr="008E4742">
        <w:trPr>
          <w:cantSplit/>
          <w:trHeight w:val="300"/>
        </w:trPr>
        <w:tc>
          <w:tcPr>
            <w:tcW w:w="1400" w:type="dxa"/>
            <w:noWrap/>
            <w:hideMark/>
          </w:tcPr>
          <w:p w14:paraId="4A7403C7"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5FC1D3C4"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Nov-24</w:t>
            </w:r>
          </w:p>
        </w:tc>
        <w:tc>
          <w:tcPr>
            <w:tcW w:w="3625" w:type="dxa"/>
            <w:noWrap/>
            <w:hideMark/>
          </w:tcPr>
          <w:p w14:paraId="29E5E451"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627</w:t>
            </w:r>
          </w:p>
        </w:tc>
      </w:tr>
      <w:tr w:rsidR="00201865" w:rsidRPr="00E940CF" w14:paraId="05802CA4" w14:textId="77777777" w:rsidTr="008E4742">
        <w:trPr>
          <w:cantSplit/>
          <w:trHeight w:val="300"/>
        </w:trPr>
        <w:tc>
          <w:tcPr>
            <w:tcW w:w="1400" w:type="dxa"/>
            <w:noWrap/>
            <w:hideMark/>
          </w:tcPr>
          <w:p w14:paraId="5E9C2847"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27C20F86"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Dec-24</w:t>
            </w:r>
          </w:p>
        </w:tc>
        <w:tc>
          <w:tcPr>
            <w:tcW w:w="3625" w:type="dxa"/>
            <w:noWrap/>
            <w:hideMark/>
          </w:tcPr>
          <w:p w14:paraId="5ADA5873"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575</w:t>
            </w:r>
          </w:p>
        </w:tc>
      </w:tr>
      <w:tr w:rsidR="00201865" w:rsidRPr="00E940CF" w14:paraId="2E364975" w14:textId="77777777" w:rsidTr="008E4742">
        <w:trPr>
          <w:cantSplit/>
          <w:trHeight w:val="300"/>
        </w:trPr>
        <w:tc>
          <w:tcPr>
            <w:tcW w:w="1400" w:type="dxa"/>
            <w:noWrap/>
            <w:hideMark/>
          </w:tcPr>
          <w:p w14:paraId="213D4288"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462E22AA"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Jan-25</w:t>
            </w:r>
          </w:p>
        </w:tc>
        <w:tc>
          <w:tcPr>
            <w:tcW w:w="3625" w:type="dxa"/>
            <w:noWrap/>
            <w:hideMark/>
          </w:tcPr>
          <w:p w14:paraId="72F4A3A1"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592</w:t>
            </w:r>
          </w:p>
        </w:tc>
      </w:tr>
      <w:tr w:rsidR="00201865" w:rsidRPr="00E940CF" w14:paraId="3686954C" w14:textId="77777777" w:rsidTr="008E4742">
        <w:trPr>
          <w:cantSplit/>
          <w:trHeight w:val="300"/>
        </w:trPr>
        <w:tc>
          <w:tcPr>
            <w:tcW w:w="1400" w:type="dxa"/>
            <w:noWrap/>
            <w:hideMark/>
          </w:tcPr>
          <w:p w14:paraId="73ACCB9E"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470C5C7E"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Feb-25</w:t>
            </w:r>
          </w:p>
        </w:tc>
        <w:tc>
          <w:tcPr>
            <w:tcW w:w="3625" w:type="dxa"/>
            <w:noWrap/>
            <w:hideMark/>
          </w:tcPr>
          <w:p w14:paraId="40451D6C"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625</w:t>
            </w:r>
          </w:p>
        </w:tc>
      </w:tr>
      <w:tr w:rsidR="00201865" w:rsidRPr="00E940CF" w14:paraId="79DB6213" w14:textId="77777777" w:rsidTr="008E4742">
        <w:trPr>
          <w:cantSplit/>
          <w:trHeight w:val="300"/>
        </w:trPr>
        <w:tc>
          <w:tcPr>
            <w:tcW w:w="1400" w:type="dxa"/>
            <w:noWrap/>
            <w:hideMark/>
          </w:tcPr>
          <w:p w14:paraId="641A4F03"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60560E17"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Mar-25</w:t>
            </w:r>
          </w:p>
        </w:tc>
        <w:tc>
          <w:tcPr>
            <w:tcW w:w="3625" w:type="dxa"/>
            <w:noWrap/>
            <w:hideMark/>
          </w:tcPr>
          <w:p w14:paraId="606766B0"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745</w:t>
            </w:r>
          </w:p>
        </w:tc>
      </w:tr>
      <w:tr w:rsidR="00201865" w:rsidRPr="00E940CF" w14:paraId="5F6B8D71" w14:textId="77777777" w:rsidTr="008E4742">
        <w:trPr>
          <w:cantSplit/>
          <w:trHeight w:val="300"/>
        </w:trPr>
        <w:tc>
          <w:tcPr>
            <w:tcW w:w="1400" w:type="dxa"/>
            <w:noWrap/>
            <w:hideMark/>
          </w:tcPr>
          <w:p w14:paraId="704E6192"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0A0202D2"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Apr-25</w:t>
            </w:r>
          </w:p>
        </w:tc>
        <w:tc>
          <w:tcPr>
            <w:tcW w:w="3625" w:type="dxa"/>
            <w:noWrap/>
            <w:hideMark/>
          </w:tcPr>
          <w:p w14:paraId="0A32F19B"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825</w:t>
            </w:r>
          </w:p>
        </w:tc>
      </w:tr>
      <w:tr w:rsidR="00201865" w:rsidRPr="00E940CF" w14:paraId="4D8BE6AD" w14:textId="77777777" w:rsidTr="008E4742">
        <w:trPr>
          <w:cantSplit/>
          <w:trHeight w:val="300"/>
        </w:trPr>
        <w:tc>
          <w:tcPr>
            <w:tcW w:w="1400" w:type="dxa"/>
            <w:noWrap/>
            <w:hideMark/>
          </w:tcPr>
          <w:p w14:paraId="3C1E027D"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66525877"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May-25</w:t>
            </w:r>
          </w:p>
        </w:tc>
        <w:tc>
          <w:tcPr>
            <w:tcW w:w="3625" w:type="dxa"/>
            <w:noWrap/>
            <w:hideMark/>
          </w:tcPr>
          <w:p w14:paraId="0018AC05"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717</w:t>
            </w:r>
          </w:p>
        </w:tc>
      </w:tr>
      <w:tr w:rsidR="00201865" w:rsidRPr="00E940CF" w14:paraId="3F8860AB" w14:textId="77777777" w:rsidTr="008E4742">
        <w:trPr>
          <w:cantSplit/>
          <w:trHeight w:val="300"/>
        </w:trPr>
        <w:tc>
          <w:tcPr>
            <w:tcW w:w="1400" w:type="dxa"/>
            <w:noWrap/>
            <w:hideMark/>
          </w:tcPr>
          <w:p w14:paraId="0B1D50CC"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7EB149F8"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Jun-25</w:t>
            </w:r>
          </w:p>
        </w:tc>
        <w:tc>
          <w:tcPr>
            <w:tcW w:w="3625" w:type="dxa"/>
            <w:noWrap/>
            <w:hideMark/>
          </w:tcPr>
          <w:p w14:paraId="726FA135"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682</w:t>
            </w:r>
          </w:p>
        </w:tc>
      </w:tr>
      <w:tr w:rsidR="00201865" w:rsidRPr="00E940CF" w14:paraId="23FED345" w14:textId="77777777" w:rsidTr="008E4742">
        <w:trPr>
          <w:cantSplit/>
          <w:trHeight w:val="300"/>
        </w:trPr>
        <w:tc>
          <w:tcPr>
            <w:tcW w:w="1400" w:type="dxa"/>
            <w:noWrap/>
            <w:hideMark/>
          </w:tcPr>
          <w:p w14:paraId="6DF1680B"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61316BB9"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Jul-25</w:t>
            </w:r>
          </w:p>
        </w:tc>
        <w:tc>
          <w:tcPr>
            <w:tcW w:w="3625" w:type="dxa"/>
            <w:noWrap/>
            <w:hideMark/>
          </w:tcPr>
          <w:p w14:paraId="3FFE909E"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866</w:t>
            </w:r>
          </w:p>
        </w:tc>
      </w:tr>
      <w:tr w:rsidR="00201865" w:rsidRPr="00E940CF" w14:paraId="6ACF12F1" w14:textId="77777777" w:rsidTr="008E4742">
        <w:trPr>
          <w:cantSplit/>
          <w:trHeight w:val="300"/>
        </w:trPr>
        <w:tc>
          <w:tcPr>
            <w:tcW w:w="1400" w:type="dxa"/>
            <w:noWrap/>
            <w:hideMark/>
          </w:tcPr>
          <w:p w14:paraId="01FBB7B1"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30C2A891"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Aug-25</w:t>
            </w:r>
          </w:p>
        </w:tc>
        <w:tc>
          <w:tcPr>
            <w:tcW w:w="3625" w:type="dxa"/>
            <w:noWrap/>
            <w:hideMark/>
          </w:tcPr>
          <w:p w14:paraId="36C97D0C"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750</w:t>
            </w:r>
          </w:p>
        </w:tc>
      </w:tr>
      <w:tr w:rsidR="00201865" w:rsidRPr="00E940CF" w14:paraId="35C74CEF" w14:textId="77777777" w:rsidTr="008E4742">
        <w:trPr>
          <w:cantSplit/>
          <w:trHeight w:val="300"/>
        </w:trPr>
        <w:tc>
          <w:tcPr>
            <w:tcW w:w="1400" w:type="dxa"/>
            <w:noWrap/>
            <w:hideMark/>
          </w:tcPr>
          <w:p w14:paraId="2516A2BC"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706DD173"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Sep-25</w:t>
            </w:r>
          </w:p>
        </w:tc>
        <w:tc>
          <w:tcPr>
            <w:tcW w:w="3625" w:type="dxa"/>
            <w:noWrap/>
            <w:hideMark/>
          </w:tcPr>
          <w:p w14:paraId="400909BC"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585</w:t>
            </w:r>
          </w:p>
        </w:tc>
      </w:tr>
    </w:tbl>
    <w:p w14:paraId="60462D8D" w14:textId="48C2FA5E" w:rsidR="007D766E" w:rsidRPr="00E940CF" w:rsidRDefault="007D766E" w:rsidP="00D3438A">
      <w:pPr>
        <w:ind w:left="360"/>
        <w:rPr>
          <w:rFonts w:ascii="Aptos" w:hAnsi="Aptos" w:cs="Times New Roman"/>
          <w:color w:val="1F4E79" w:themeColor="accent5" w:themeShade="80"/>
          <w:sz w:val="24"/>
          <w:szCs w:val="24"/>
        </w:rPr>
      </w:pPr>
    </w:p>
    <w:tbl>
      <w:tblPr>
        <w:tblStyle w:val="TableGrid"/>
        <w:tblW w:w="0" w:type="auto"/>
        <w:tblInd w:w="355" w:type="dxa"/>
        <w:tblLook w:val="04A0" w:firstRow="1" w:lastRow="0" w:firstColumn="1" w:lastColumn="0" w:noHBand="0" w:noVBand="1"/>
        <w:tblCaption w:val="Monthly LINAC treatment volume: Fall River"/>
      </w:tblPr>
      <w:tblGrid>
        <w:gridCol w:w="1400"/>
        <w:gridCol w:w="1360"/>
        <w:gridCol w:w="3625"/>
      </w:tblGrid>
      <w:tr w:rsidR="00201865" w:rsidRPr="00E940CF" w14:paraId="42F9BE16" w14:textId="77777777" w:rsidTr="008001F8">
        <w:trPr>
          <w:cantSplit/>
          <w:trHeight w:val="300"/>
          <w:tblHeader/>
        </w:trPr>
        <w:tc>
          <w:tcPr>
            <w:tcW w:w="1400" w:type="dxa"/>
            <w:noWrap/>
            <w:hideMark/>
          </w:tcPr>
          <w:p w14:paraId="15D83C91"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Fiscal Year</w:t>
            </w:r>
          </w:p>
        </w:tc>
        <w:tc>
          <w:tcPr>
            <w:tcW w:w="1360" w:type="dxa"/>
            <w:noWrap/>
            <w:hideMark/>
          </w:tcPr>
          <w:p w14:paraId="2398531B"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Month</w:t>
            </w:r>
          </w:p>
        </w:tc>
        <w:tc>
          <w:tcPr>
            <w:tcW w:w="3625" w:type="dxa"/>
            <w:noWrap/>
            <w:hideMark/>
          </w:tcPr>
          <w:p w14:paraId="25B8F0C7"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Southcoast Health Radiation Oncology Monthly</w:t>
            </w:r>
            <w:r w:rsidRPr="0056655F">
              <w:rPr>
                <w:rFonts w:ascii="Aptos" w:hAnsi="Aptos" w:cs="Times New Roman"/>
                <w:color w:val="1F4E79" w:themeColor="accent5" w:themeShade="80"/>
                <w:sz w:val="24"/>
                <w:szCs w:val="24"/>
              </w:rPr>
              <w:t xml:space="preserve"> LINAC Treatment Volume</w:t>
            </w:r>
            <w:r w:rsidRPr="0056655F">
              <w:rPr>
                <w:rFonts w:ascii="Aptos" w:hAnsi="Aptos" w:cs="Times New Roman"/>
                <w:i/>
                <w:iCs/>
                <w:color w:val="1F4E79" w:themeColor="accent5" w:themeShade="80"/>
                <w:sz w:val="24"/>
                <w:szCs w:val="24"/>
              </w:rPr>
              <w:t xml:space="preserve"> Fall River Cancer Center</w:t>
            </w:r>
          </w:p>
        </w:tc>
      </w:tr>
      <w:tr w:rsidR="00201865" w:rsidRPr="00E940CF" w14:paraId="3931707E" w14:textId="77777777" w:rsidTr="008001F8">
        <w:trPr>
          <w:cantSplit/>
          <w:trHeight w:val="300"/>
        </w:trPr>
        <w:tc>
          <w:tcPr>
            <w:tcW w:w="1400" w:type="dxa"/>
            <w:noWrap/>
            <w:hideMark/>
          </w:tcPr>
          <w:p w14:paraId="01FE29E3"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0E999F6B"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Oct-22</w:t>
            </w:r>
          </w:p>
        </w:tc>
        <w:tc>
          <w:tcPr>
            <w:tcW w:w="3625" w:type="dxa"/>
            <w:noWrap/>
            <w:hideMark/>
          </w:tcPr>
          <w:p w14:paraId="368576F5"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491</w:t>
            </w:r>
          </w:p>
        </w:tc>
      </w:tr>
      <w:tr w:rsidR="00201865" w:rsidRPr="00E940CF" w14:paraId="4E1B3729" w14:textId="77777777" w:rsidTr="008001F8">
        <w:trPr>
          <w:cantSplit/>
          <w:trHeight w:val="300"/>
        </w:trPr>
        <w:tc>
          <w:tcPr>
            <w:tcW w:w="1400" w:type="dxa"/>
            <w:noWrap/>
            <w:hideMark/>
          </w:tcPr>
          <w:p w14:paraId="38B5634C"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21AF2610"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Nov-22</w:t>
            </w:r>
          </w:p>
        </w:tc>
        <w:tc>
          <w:tcPr>
            <w:tcW w:w="3625" w:type="dxa"/>
            <w:noWrap/>
            <w:hideMark/>
          </w:tcPr>
          <w:p w14:paraId="57540A47"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514</w:t>
            </w:r>
          </w:p>
        </w:tc>
      </w:tr>
      <w:tr w:rsidR="00201865" w:rsidRPr="00E940CF" w14:paraId="64BB79D1" w14:textId="77777777" w:rsidTr="008001F8">
        <w:trPr>
          <w:cantSplit/>
          <w:trHeight w:val="300"/>
        </w:trPr>
        <w:tc>
          <w:tcPr>
            <w:tcW w:w="1400" w:type="dxa"/>
            <w:noWrap/>
            <w:hideMark/>
          </w:tcPr>
          <w:p w14:paraId="051FF2EB"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35B6DEBD"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Dec-22</w:t>
            </w:r>
          </w:p>
        </w:tc>
        <w:tc>
          <w:tcPr>
            <w:tcW w:w="3625" w:type="dxa"/>
            <w:noWrap/>
            <w:hideMark/>
          </w:tcPr>
          <w:p w14:paraId="438BC96F"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611</w:t>
            </w:r>
          </w:p>
        </w:tc>
      </w:tr>
      <w:tr w:rsidR="00201865" w:rsidRPr="00E940CF" w14:paraId="6F0E35D3" w14:textId="77777777" w:rsidTr="008001F8">
        <w:trPr>
          <w:cantSplit/>
          <w:trHeight w:val="300"/>
        </w:trPr>
        <w:tc>
          <w:tcPr>
            <w:tcW w:w="1400" w:type="dxa"/>
            <w:noWrap/>
            <w:hideMark/>
          </w:tcPr>
          <w:p w14:paraId="073D469B"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54CA6F91"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Jan-23</w:t>
            </w:r>
          </w:p>
        </w:tc>
        <w:tc>
          <w:tcPr>
            <w:tcW w:w="3625" w:type="dxa"/>
            <w:noWrap/>
            <w:hideMark/>
          </w:tcPr>
          <w:p w14:paraId="7526DD8C"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695</w:t>
            </w:r>
          </w:p>
        </w:tc>
      </w:tr>
      <w:tr w:rsidR="00201865" w:rsidRPr="00E940CF" w14:paraId="188F31BF" w14:textId="77777777" w:rsidTr="008001F8">
        <w:trPr>
          <w:cantSplit/>
          <w:trHeight w:val="300"/>
        </w:trPr>
        <w:tc>
          <w:tcPr>
            <w:tcW w:w="1400" w:type="dxa"/>
            <w:noWrap/>
            <w:hideMark/>
          </w:tcPr>
          <w:p w14:paraId="0F33C422"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4FF81628"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Feb-23</w:t>
            </w:r>
          </w:p>
        </w:tc>
        <w:tc>
          <w:tcPr>
            <w:tcW w:w="3625" w:type="dxa"/>
            <w:noWrap/>
            <w:hideMark/>
          </w:tcPr>
          <w:p w14:paraId="7B76D325"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597</w:t>
            </w:r>
          </w:p>
        </w:tc>
      </w:tr>
      <w:tr w:rsidR="00201865" w:rsidRPr="00E940CF" w14:paraId="1D7F422F" w14:textId="77777777" w:rsidTr="008001F8">
        <w:trPr>
          <w:cantSplit/>
          <w:trHeight w:val="300"/>
        </w:trPr>
        <w:tc>
          <w:tcPr>
            <w:tcW w:w="1400" w:type="dxa"/>
            <w:noWrap/>
            <w:hideMark/>
          </w:tcPr>
          <w:p w14:paraId="4874373D"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2D780A9C"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Mar-23</w:t>
            </w:r>
          </w:p>
        </w:tc>
        <w:tc>
          <w:tcPr>
            <w:tcW w:w="3625" w:type="dxa"/>
            <w:noWrap/>
            <w:hideMark/>
          </w:tcPr>
          <w:p w14:paraId="713BC847"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545</w:t>
            </w:r>
          </w:p>
        </w:tc>
      </w:tr>
      <w:tr w:rsidR="00201865" w:rsidRPr="00E940CF" w14:paraId="6FE6BD8A" w14:textId="77777777" w:rsidTr="008001F8">
        <w:trPr>
          <w:cantSplit/>
          <w:trHeight w:val="300"/>
        </w:trPr>
        <w:tc>
          <w:tcPr>
            <w:tcW w:w="1400" w:type="dxa"/>
            <w:noWrap/>
            <w:hideMark/>
          </w:tcPr>
          <w:p w14:paraId="361AB840"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3A1B4B6A"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Apr-23</w:t>
            </w:r>
          </w:p>
        </w:tc>
        <w:tc>
          <w:tcPr>
            <w:tcW w:w="3625" w:type="dxa"/>
            <w:noWrap/>
            <w:hideMark/>
          </w:tcPr>
          <w:p w14:paraId="4428E505"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606</w:t>
            </w:r>
          </w:p>
        </w:tc>
      </w:tr>
      <w:tr w:rsidR="00201865" w:rsidRPr="00E940CF" w14:paraId="269CA12D" w14:textId="77777777" w:rsidTr="008001F8">
        <w:trPr>
          <w:cantSplit/>
          <w:trHeight w:val="300"/>
        </w:trPr>
        <w:tc>
          <w:tcPr>
            <w:tcW w:w="1400" w:type="dxa"/>
            <w:noWrap/>
            <w:hideMark/>
          </w:tcPr>
          <w:p w14:paraId="02025757"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lastRenderedPageBreak/>
              <w:t>FY23</w:t>
            </w:r>
          </w:p>
        </w:tc>
        <w:tc>
          <w:tcPr>
            <w:tcW w:w="1360" w:type="dxa"/>
            <w:noWrap/>
            <w:hideMark/>
          </w:tcPr>
          <w:p w14:paraId="2EDD4FFE"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May-23</w:t>
            </w:r>
          </w:p>
        </w:tc>
        <w:tc>
          <w:tcPr>
            <w:tcW w:w="3625" w:type="dxa"/>
            <w:noWrap/>
            <w:hideMark/>
          </w:tcPr>
          <w:p w14:paraId="7B527D44"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753</w:t>
            </w:r>
          </w:p>
        </w:tc>
      </w:tr>
      <w:tr w:rsidR="00201865" w:rsidRPr="00E940CF" w14:paraId="1C0BE7E6" w14:textId="77777777" w:rsidTr="008001F8">
        <w:trPr>
          <w:cantSplit/>
          <w:trHeight w:val="300"/>
        </w:trPr>
        <w:tc>
          <w:tcPr>
            <w:tcW w:w="1400" w:type="dxa"/>
            <w:noWrap/>
            <w:hideMark/>
          </w:tcPr>
          <w:p w14:paraId="61DFFE68"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692FCB6C"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Jun-23</w:t>
            </w:r>
          </w:p>
        </w:tc>
        <w:tc>
          <w:tcPr>
            <w:tcW w:w="3625" w:type="dxa"/>
            <w:noWrap/>
            <w:hideMark/>
          </w:tcPr>
          <w:p w14:paraId="699BE0CC"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616</w:t>
            </w:r>
          </w:p>
        </w:tc>
      </w:tr>
      <w:tr w:rsidR="00201865" w:rsidRPr="00E940CF" w14:paraId="2D3E61B9" w14:textId="77777777" w:rsidTr="008001F8">
        <w:trPr>
          <w:cantSplit/>
          <w:trHeight w:val="300"/>
        </w:trPr>
        <w:tc>
          <w:tcPr>
            <w:tcW w:w="1400" w:type="dxa"/>
            <w:noWrap/>
            <w:hideMark/>
          </w:tcPr>
          <w:p w14:paraId="0FCC2AB7"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268F5EE3"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Jul-23</w:t>
            </w:r>
          </w:p>
        </w:tc>
        <w:tc>
          <w:tcPr>
            <w:tcW w:w="3625" w:type="dxa"/>
            <w:noWrap/>
            <w:hideMark/>
          </w:tcPr>
          <w:p w14:paraId="6537EAFA"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560</w:t>
            </w:r>
          </w:p>
        </w:tc>
      </w:tr>
      <w:tr w:rsidR="00201865" w:rsidRPr="00E940CF" w14:paraId="5960E2EA" w14:textId="77777777" w:rsidTr="008001F8">
        <w:trPr>
          <w:cantSplit/>
          <w:trHeight w:val="300"/>
        </w:trPr>
        <w:tc>
          <w:tcPr>
            <w:tcW w:w="1400" w:type="dxa"/>
            <w:noWrap/>
            <w:hideMark/>
          </w:tcPr>
          <w:p w14:paraId="4D37B512"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6D2A5C96"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Aug-23</w:t>
            </w:r>
          </w:p>
        </w:tc>
        <w:tc>
          <w:tcPr>
            <w:tcW w:w="3625" w:type="dxa"/>
            <w:noWrap/>
            <w:hideMark/>
          </w:tcPr>
          <w:p w14:paraId="0D2ED9A9"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686</w:t>
            </w:r>
          </w:p>
        </w:tc>
      </w:tr>
      <w:tr w:rsidR="00201865" w:rsidRPr="00E940CF" w14:paraId="53507D50" w14:textId="77777777" w:rsidTr="008001F8">
        <w:trPr>
          <w:cantSplit/>
          <w:trHeight w:val="300"/>
        </w:trPr>
        <w:tc>
          <w:tcPr>
            <w:tcW w:w="1400" w:type="dxa"/>
            <w:noWrap/>
            <w:hideMark/>
          </w:tcPr>
          <w:p w14:paraId="74EDFF86"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FY23</w:t>
            </w:r>
          </w:p>
        </w:tc>
        <w:tc>
          <w:tcPr>
            <w:tcW w:w="1360" w:type="dxa"/>
            <w:noWrap/>
            <w:hideMark/>
          </w:tcPr>
          <w:p w14:paraId="6970B3AF"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Sep-23</w:t>
            </w:r>
          </w:p>
        </w:tc>
        <w:tc>
          <w:tcPr>
            <w:tcW w:w="3625" w:type="dxa"/>
            <w:noWrap/>
            <w:hideMark/>
          </w:tcPr>
          <w:p w14:paraId="23AA3218"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615</w:t>
            </w:r>
          </w:p>
        </w:tc>
      </w:tr>
      <w:tr w:rsidR="00201865" w:rsidRPr="00E940CF" w14:paraId="0982D794" w14:textId="77777777" w:rsidTr="008001F8">
        <w:trPr>
          <w:cantSplit/>
          <w:trHeight w:val="300"/>
        </w:trPr>
        <w:tc>
          <w:tcPr>
            <w:tcW w:w="1400" w:type="dxa"/>
            <w:noWrap/>
            <w:hideMark/>
          </w:tcPr>
          <w:p w14:paraId="51E4418D"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3CB38FBF"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Oct-23</w:t>
            </w:r>
          </w:p>
        </w:tc>
        <w:tc>
          <w:tcPr>
            <w:tcW w:w="3625" w:type="dxa"/>
            <w:noWrap/>
            <w:hideMark/>
          </w:tcPr>
          <w:p w14:paraId="4F9E5DD7"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556</w:t>
            </w:r>
          </w:p>
        </w:tc>
      </w:tr>
      <w:tr w:rsidR="00201865" w:rsidRPr="00E940CF" w14:paraId="673A90A9" w14:textId="77777777" w:rsidTr="008001F8">
        <w:trPr>
          <w:cantSplit/>
          <w:trHeight w:val="300"/>
        </w:trPr>
        <w:tc>
          <w:tcPr>
            <w:tcW w:w="1400" w:type="dxa"/>
            <w:noWrap/>
            <w:hideMark/>
          </w:tcPr>
          <w:p w14:paraId="7B94ED67"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1B6481CE"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Nov-23</w:t>
            </w:r>
          </w:p>
        </w:tc>
        <w:tc>
          <w:tcPr>
            <w:tcW w:w="3625" w:type="dxa"/>
            <w:noWrap/>
            <w:hideMark/>
          </w:tcPr>
          <w:p w14:paraId="79D47933"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616</w:t>
            </w:r>
          </w:p>
        </w:tc>
      </w:tr>
      <w:tr w:rsidR="00201865" w:rsidRPr="00E940CF" w14:paraId="7C78E21F" w14:textId="77777777" w:rsidTr="008001F8">
        <w:trPr>
          <w:cantSplit/>
          <w:trHeight w:val="300"/>
        </w:trPr>
        <w:tc>
          <w:tcPr>
            <w:tcW w:w="1400" w:type="dxa"/>
            <w:noWrap/>
            <w:hideMark/>
          </w:tcPr>
          <w:p w14:paraId="4CCC9C67"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609902AB"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Dec-23</w:t>
            </w:r>
          </w:p>
        </w:tc>
        <w:tc>
          <w:tcPr>
            <w:tcW w:w="3625" w:type="dxa"/>
            <w:noWrap/>
            <w:hideMark/>
          </w:tcPr>
          <w:p w14:paraId="69083F7F"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434</w:t>
            </w:r>
          </w:p>
        </w:tc>
      </w:tr>
      <w:tr w:rsidR="00201865" w:rsidRPr="00E940CF" w14:paraId="631B613A" w14:textId="77777777" w:rsidTr="008001F8">
        <w:trPr>
          <w:cantSplit/>
          <w:trHeight w:val="300"/>
        </w:trPr>
        <w:tc>
          <w:tcPr>
            <w:tcW w:w="1400" w:type="dxa"/>
            <w:noWrap/>
            <w:hideMark/>
          </w:tcPr>
          <w:p w14:paraId="4487AA2F"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2398AEB5"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Jan-24</w:t>
            </w:r>
          </w:p>
        </w:tc>
        <w:tc>
          <w:tcPr>
            <w:tcW w:w="3625" w:type="dxa"/>
            <w:noWrap/>
            <w:hideMark/>
          </w:tcPr>
          <w:p w14:paraId="3373233B"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457</w:t>
            </w:r>
          </w:p>
        </w:tc>
      </w:tr>
      <w:tr w:rsidR="00201865" w:rsidRPr="00E940CF" w14:paraId="5D598529" w14:textId="77777777" w:rsidTr="008001F8">
        <w:trPr>
          <w:cantSplit/>
          <w:trHeight w:val="300"/>
        </w:trPr>
        <w:tc>
          <w:tcPr>
            <w:tcW w:w="1400" w:type="dxa"/>
            <w:noWrap/>
            <w:hideMark/>
          </w:tcPr>
          <w:p w14:paraId="2C6DE342"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0EB4381E"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Feb-24</w:t>
            </w:r>
          </w:p>
        </w:tc>
        <w:tc>
          <w:tcPr>
            <w:tcW w:w="3625" w:type="dxa"/>
            <w:noWrap/>
            <w:hideMark/>
          </w:tcPr>
          <w:p w14:paraId="32D981E9"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585</w:t>
            </w:r>
          </w:p>
        </w:tc>
      </w:tr>
      <w:tr w:rsidR="00201865" w:rsidRPr="00E940CF" w14:paraId="2A7C0774" w14:textId="77777777" w:rsidTr="008001F8">
        <w:trPr>
          <w:cantSplit/>
          <w:trHeight w:val="300"/>
        </w:trPr>
        <w:tc>
          <w:tcPr>
            <w:tcW w:w="1400" w:type="dxa"/>
            <w:noWrap/>
            <w:hideMark/>
          </w:tcPr>
          <w:p w14:paraId="4E56549A"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60F88890"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Mar-24</w:t>
            </w:r>
          </w:p>
        </w:tc>
        <w:tc>
          <w:tcPr>
            <w:tcW w:w="3625" w:type="dxa"/>
            <w:noWrap/>
            <w:hideMark/>
          </w:tcPr>
          <w:p w14:paraId="399BD661"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563</w:t>
            </w:r>
          </w:p>
        </w:tc>
      </w:tr>
      <w:tr w:rsidR="00201865" w:rsidRPr="00E940CF" w14:paraId="729D83B3" w14:textId="77777777" w:rsidTr="008001F8">
        <w:trPr>
          <w:cantSplit/>
          <w:trHeight w:val="300"/>
        </w:trPr>
        <w:tc>
          <w:tcPr>
            <w:tcW w:w="1400" w:type="dxa"/>
            <w:noWrap/>
            <w:hideMark/>
          </w:tcPr>
          <w:p w14:paraId="7336BA2A"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1590D2F9"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Apr-24</w:t>
            </w:r>
          </w:p>
        </w:tc>
        <w:tc>
          <w:tcPr>
            <w:tcW w:w="3625" w:type="dxa"/>
            <w:noWrap/>
            <w:hideMark/>
          </w:tcPr>
          <w:p w14:paraId="6FFA5BB8"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501</w:t>
            </w:r>
          </w:p>
        </w:tc>
      </w:tr>
      <w:tr w:rsidR="00201865" w:rsidRPr="00E940CF" w14:paraId="7F22C058" w14:textId="77777777" w:rsidTr="008001F8">
        <w:trPr>
          <w:cantSplit/>
          <w:trHeight w:val="300"/>
        </w:trPr>
        <w:tc>
          <w:tcPr>
            <w:tcW w:w="1400" w:type="dxa"/>
            <w:noWrap/>
            <w:hideMark/>
          </w:tcPr>
          <w:p w14:paraId="1FD24C8F"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61CFDE64"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May-24</w:t>
            </w:r>
          </w:p>
        </w:tc>
        <w:tc>
          <w:tcPr>
            <w:tcW w:w="3625" w:type="dxa"/>
            <w:noWrap/>
            <w:hideMark/>
          </w:tcPr>
          <w:p w14:paraId="7E93975D"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651</w:t>
            </w:r>
          </w:p>
        </w:tc>
      </w:tr>
      <w:tr w:rsidR="00201865" w:rsidRPr="00E940CF" w14:paraId="45E5F5D1" w14:textId="77777777" w:rsidTr="008001F8">
        <w:trPr>
          <w:cantSplit/>
          <w:trHeight w:val="300"/>
        </w:trPr>
        <w:tc>
          <w:tcPr>
            <w:tcW w:w="1400" w:type="dxa"/>
            <w:noWrap/>
            <w:hideMark/>
          </w:tcPr>
          <w:p w14:paraId="7339F005"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10B9D9FE"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Jun-24</w:t>
            </w:r>
          </w:p>
        </w:tc>
        <w:tc>
          <w:tcPr>
            <w:tcW w:w="3625" w:type="dxa"/>
            <w:noWrap/>
            <w:hideMark/>
          </w:tcPr>
          <w:p w14:paraId="44ECA796"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509</w:t>
            </w:r>
          </w:p>
        </w:tc>
      </w:tr>
      <w:tr w:rsidR="00201865" w:rsidRPr="00E940CF" w14:paraId="7E2A1E4D" w14:textId="77777777" w:rsidTr="008001F8">
        <w:trPr>
          <w:cantSplit/>
          <w:trHeight w:val="300"/>
        </w:trPr>
        <w:tc>
          <w:tcPr>
            <w:tcW w:w="1400" w:type="dxa"/>
            <w:noWrap/>
            <w:hideMark/>
          </w:tcPr>
          <w:p w14:paraId="221421FA"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79683F7F"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Jul-24</w:t>
            </w:r>
          </w:p>
        </w:tc>
        <w:tc>
          <w:tcPr>
            <w:tcW w:w="3625" w:type="dxa"/>
            <w:noWrap/>
            <w:hideMark/>
          </w:tcPr>
          <w:p w14:paraId="2F58D683"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659</w:t>
            </w:r>
          </w:p>
        </w:tc>
      </w:tr>
      <w:tr w:rsidR="00201865" w:rsidRPr="00E940CF" w14:paraId="7337E7EC" w14:textId="77777777" w:rsidTr="008001F8">
        <w:trPr>
          <w:cantSplit/>
          <w:trHeight w:val="300"/>
        </w:trPr>
        <w:tc>
          <w:tcPr>
            <w:tcW w:w="1400" w:type="dxa"/>
            <w:noWrap/>
            <w:hideMark/>
          </w:tcPr>
          <w:p w14:paraId="30D97173"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20E21DD3"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Aug-24</w:t>
            </w:r>
          </w:p>
        </w:tc>
        <w:tc>
          <w:tcPr>
            <w:tcW w:w="3625" w:type="dxa"/>
            <w:noWrap/>
            <w:hideMark/>
          </w:tcPr>
          <w:p w14:paraId="1D9EE159"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642</w:t>
            </w:r>
          </w:p>
        </w:tc>
      </w:tr>
      <w:tr w:rsidR="00201865" w:rsidRPr="00E940CF" w14:paraId="3CEEBFCA" w14:textId="77777777" w:rsidTr="008001F8">
        <w:trPr>
          <w:cantSplit/>
          <w:trHeight w:val="300"/>
        </w:trPr>
        <w:tc>
          <w:tcPr>
            <w:tcW w:w="1400" w:type="dxa"/>
            <w:noWrap/>
            <w:hideMark/>
          </w:tcPr>
          <w:p w14:paraId="42C94BB6"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FY24</w:t>
            </w:r>
          </w:p>
        </w:tc>
        <w:tc>
          <w:tcPr>
            <w:tcW w:w="1360" w:type="dxa"/>
            <w:noWrap/>
            <w:hideMark/>
          </w:tcPr>
          <w:p w14:paraId="3F6A4C13"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Sep-24</w:t>
            </w:r>
          </w:p>
        </w:tc>
        <w:tc>
          <w:tcPr>
            <w:tcW w:w="3625" w:type="dxa"/>
            <w:noWrap/>
            <w:hideMark/>
          </w:tcPr>
          <w:p w14:paraId="6BF54F43"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657</w:t>
            </w:r>
          </w:p>
        </w:tc>
      </w:tr>
      <w:tr w:rsidR="00201865" w:rsidRPr="00E940CF" w14:paraId="36858787" w14:textId="77777777" w:rsidTr="008001F8">
        <w:trPr>
          <w:cantSplit/>
          <w:trHeight w:val="300"/>
        </w:trPr>
        <w:tc>
          <w:tcPr>
            <w:tcW w:w="1400" w:type="dxa"/>
            <w:noWrap/>
            <w:hideMark/>
          </w:tcPr>
          <w:p w14:paraId="2E408B5D"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7D2F4699"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Oct-24</w:t>
            </w:r>
          </w:p>
        </w:tc>
        <w:tc>
          <w:tcPr>
            <w:tcW w:w="3625" w:type="dxa"/>
            <w:noWrap/>
            <w:hideMark/>
          </w:tcPr>
          <w:p w14:paraId="19B4574B"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735</w:t>
            </w:r>
          </w:p>
        </w:tc>
      </w:tr>
      <w:tr w:rsidR="00201865" w:rsidRPr="00E940CF" w14:paraId="1703B312" w14:textId="77777777" w:rsidTr="008001F8">
        <w:trPr>
          <w:cantSplit/>
          <w:trHeight w:val="300"/>
        </w:trPr>
        <w:tc>
          <w:tcPr>
            <w:tcW w:w="1400" w:type="dxa"/>
            <w:noWrap/>
            <w:hideMark/>
          </w:tcPr>
          <w:p w14:paraId="3BAD111F"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7976AC3F"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Nov-24</w:t>
            </w:r>
          </w:p>
        </w:tc>
        <w:tc>
          <w:tcPr>
            <w:tcW w:w="3625" w:type="dxa"/>
            <w:noWrap/>
            <w:hideMark/>
          </w:tcPr>
          <w:p w14:paraId="58BAF2DB"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618</w:t>
            </w:r>
          </w:p>
        </w:tc>
      </w:tr>
      <w:tr w:rsidR="00201865" w:rsidRPr="00E940CF" w14:paraId="0BEA7719" w14:textId="77777777" w:rsidTr="008001F8">
        <w:trPr>
          <w:cantSplit/>
          <w:trHeight w:val="300"/>
        </w:trPr>
        <w:tc>
          <w:tcPr>
            <w:tcW w:w="1400" w:type="dxa"/>
            <w:noWrap/>
            <w:hideMark/>
          </w:tcPr>
          <w:p w14:paraId="03F98884"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16F6F4AA"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Dec-24</w:t>
            </w:r>
          </w:p>
        </w:tc>
        <w:tc>
          <w:tcPr>
            <w:tcW w:w="3625" w:type="dxa"/>
            <w:noWrap/>
            <w:hideMark/>
          </w:tcPr>
          <w:p w14:paraId="1B14E6E4"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581</w:t>
            </w:r>
          </w:p>
        </w:tc>
      </w:tr>
      <w:tr w:rsidR="00201865" w:rsidRPr="00E940CF" w14:paraId="67834183" w14:textId="77777777" w:rsidTr="008001F8">
        <w:trPr>
          <w:cantSplit/>
          <w:trHeight w:val="300"/>
        </w:trPr>
        <w:tc>
          <w:tcPr>
            <w:tcW w:w="1400" w:type="dxa"/>
            <w:noWrap/>
            <w:hideMark/>
          </w:tcPr>
          <w:p w14:paraId="3CE7AB63"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1EA6BC60"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Jan-25</w:t>
            </w:r>
          </w:p>
        </w:tc>
        <w:tc>
          <w:tcPr>
            <w:tcW w:w="3625" w:type="dxa"/>
            <w:noWrap/>
            <w:hideMark/>
          </w:tcPr>
          <w:p w14:paraId="7D956652"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613</w:t>
            </w:r>
          </w:p>
        </w:tc>
      </w:tr>
      <w:tr w:rsidR="00201865" w:rsidRPr="00E940CF" w14:paraId="088644A6" w14:textId="77777777" w:rsidTr="008001F8">
        <w:trPr>
          <w:cantSplit/>
          <w:trHeight w:val="300"/>
        </w:trPr>
        <w:tc>
          <w:tcPr>
            <w:tcW w:w="1400" w:type="dxa"/>
            <w:noWrap/>
            <w:hideMark/>
          </w:tcPr>
          <w:p w14:paraId="317523D2"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75EBF1F9"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Feb-25</w:t>
            </w:r>
          </w:p>
        </w:tc>
        <w:tc>
          <w:tcPr>
            <w:tcW w:w="3625" w:type="dxa"/>
            <w:noWrap/>
            <w:hideMark/>
          </w:tcPr>
          <w:p w14:paraId="77AED09E" w14:textId="6D63C472"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64</w:t>
            </w:r>
            <w:r w:rsidR="00E07269" w:rsidRPr="00E940CF">
              <w:rPr>
                <w:rFonts w:ascii="Aptos" w:hAnsi="Aptos" w:cs="Times New Roman"/>
                <w:color w:val="1F4E79" w:themeColor="accent5" w:themeShade="80"/>
                <w:sz w:val="24"/>
                <w:szCs w:val="24"/>
              </w:rPr>
              <w:t>4</w:t>
            </w:r>
          </w:p>
        </w:tc>
      </w:tr>
      <w:tr w:rsidR="00201865" w:rsidRPr="00E940CF" w14:paraId="7B50F44F" w14:textId="77777777" w:rsidTr="008001F8">
        <w:trPr>
          <w:cantSplit/>
          <w:trHeight w:val="300"/>
        </w:trPr>
        <w:tc>
          <w:tcPr>
            <w:tcW w:w="1400" w:type="dxa"/>
            <w:noWrap/>
            <w:hideMark/>
          </w:tcPr>
          <w:p w14:paraId="2204428A"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18795E62"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Mar-25</w:t>
            </w:r>
          </w:p>
        </w:tc>
        <w:tc>
          <w:tcPr>
            <w:tcW w:w="3625" w:type="dxa"/>
            <w:noWrap/>
            <w:hideMark/>
          </w:tcPr>
          <w:p w14:paraId="03269C90"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729</w:t>
            </w:r>
          </w:p>
        </w:tc>
      </w:tr>
      <w:tr w:rsidR="00201865" w:rsidRPr="00E940CF" w14:paraId="1A9B5C80" w14:textId="77777777" w:rsidTr="008001F8">
        <w:trPr>
          <w:cantSplit/>
          <w:trHeight w:val="300"/>
        </w:trPr>
        <w:tc>
          <w:tcPr>
            <w:tcW w:w="1400" w:type="dxa"/>
            <w:noWrap/>
            <w:hideMark/>
          </w:tcPr>
          <w:p w14:paraId="6BB97D26"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460314B7"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Apr-25</w:t>
            </w:r>
          </w:p>
        </w:tc>
        <w:tc>
          <w:tcPr>
            <w:tcW w:w="3625" w:type="dxa"/>
            <w:noWrap/>
            <w:hideMark/>
          </w:tcPr>
          <w:p w14:paraId="7F3E7855"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662</w:t>
            </w:r>
          </w:p>
        </w:tc>
      </w:tr>
      <w:tr w:rsidR="00201865" w:rsidRPr="00E940CF" w14:paraId="144C21DB" w14:textId="77777777" w:rsidTr="008001F8">
        <w:trPr>
          <w:cantSplit/>
          <w:trHeight w:val="300"/>
        </w:trPr>
        <w:tc>
          <w:tcPr>
            <w:tcW w:w="1400" w:type="dxa"/>
            <w:noWrap/>
            <w:hideMark/>
          </w:tcPr>
          <w:p w14:paraId="55386BA5"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70868E47"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May-25</w:t>
            </w:r>
          </w:p>
        </w:tc>
        <w:tc>
          <w:tcPr>
            <w:tcW w:w="3625" w:type="dxa"/>
            <w:noWrap/>
            <w:hideMark/>
          </w:tcPr>
          <w:p w14:paraId="750D24DD"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592</w:t>
            </w:r>
          </w:p>
        </w:tc>
      </w:tr>
      <w:tr w:rsidR="00201865" w:rsidRPr="00E940CF" w14:paraId="64CB5E09" w14:textId="77777777" w:rsidTr="008001F8">
        <w:trPr>
          <w:cantSplit/>
          <w:trHeight w:val="300"/>
        </w:trPr>
        <w:tc>
          <w:tcPr>
            <w:tcW w:w="1400" w:type="dxa"/>
            <w:noWrap/>
            <w:hideMark/>
          </w:tcPr>
          <w:p w14:paraId="47BB93DE"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0224862A"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Jun-25</w:t>
            </w:r>
          </w:p>
        </w:tc>
        <w:tc>
          <w:tcPr>
            <w:tcW w:w="3625" w:type="dxa"/>
            <w:noWrap/>
            <w:hideMark/>
          </w:tcPr>
          <w:p w14:paraId="4E3BBCEB"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590</w:t>
            </w:r>
          </w:p>
        </w:tc>
      </w:tr>
      <w:tr w:rsidR="00201865" w:rsidRPr="00E940CF" w14:paraId="4C09913E" w14:textId="77777777" w:rsidTr="008001F8">
        <w:trPr>
          <w:cantSplit/>
          <w:trHeight w:val="300"/>
        </w:trPr>
        <w:tc>
          <w:tcPr>
            <w:tcW w:w="1400" w:type="dxa"/>
            <w:noWrap/>
            <w:hideMark/>
          </w:tcPr>
          <w:p w14:paraId="68E367DE"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lastRenderedPageBreak/>
              <w:t>FY25</w:t>
            </w:r>
          </w:p>
        </w:tc>
        <w:tc>
          <w:tcPr>
            <w:tcW w:w="1360" w:type="dxa"/>
            <w:noWrap/>
            <w:hideMark/>
          </w:tcPr>
          <w:p w14:paraId="77149F5D"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Jul-25</w:t>
            </w:r>
          </w:p>
        </w:tc>
        <w:tc>
          <w:tcPr>
            <w:tcW w:w="3625" w:type="dxa"/>
            <w:noWrap/>
            <w:hideMark/>
          </w:tcPr>
          <w:p w14:paraId="6D32AC51"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679</w:t>
            </w:r>
          </w:p>
        </w:tc>
      </w:tr>
      <w:tr w:rsidR="00201865" w:rsidRPr="00E940CF" w14:paraId="7AB4317E" w14:textId="77777777" w:rsidTr="008001F8">
        <w:trPr>
          <w:cantSplit/>
          <w:trHeight w:val="300"/>
        </w:trPr>
        <w:tc>
          <w:tcPr>
            <w:tcW w:w="1400" w:type="dxa"/>
            <w:noWrap/>
            <w:hideMark/>
          </w:tcPr>
          <w:p w14:paraId="2615CE11"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2D8F3426"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Aug-25</w:t>
            </w:r>
          </w:p>
        </w:tc>
        <w:tc>
          <w:tcPr>
            <w:tcW w:w="3625" w:type="dxa"/>
            <w:noWrap/>
            <w:hideMark/>
          </w:tcPr>
          <w:p w14:paraId="69D064B4" w14:textId="763F4423"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66</w:t>
            </w:r>
            <w:r w:rsidR="00E07269" w:rsidRPr="00E940CF">
              <w:rPr>
                <w:rFonts w:ascii="Aptos" w:hAnsi="Aptos" w:cs="Times New Roman"/>
                <w:color w:val="1F4E79" w:themeColor="accent5" w:themeShade="80"/>
                <w:sz w:val="24"/>
                <w:szCs w:val="24"/>
              </w:rPr>
              <w:t>3</w:t>
            </w:r>
          </w:p>
        </w:tc>
      </w:tr>
      <w:tr w:rsidR="00201865" w:rsidRPr="00E940CF" w14:paraId="506D9E2E" w14:textId="77777777" w:rsidTr="008001F8">
        <w:trPr>
          <w:cantSplit/>
          <w:trHeight w:val="300"/>
        </w:trPr>
        <w:tc>
          <w:tcPr>
            <w:tcW w:w="1400" w:type="dxa"/>
            <w:noWrap/>
            <w:hideMark/>
          </w:tcPr>
          <w:p w14:paraId="6DDBA263"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FY25</w:t>
            </w:r>
          </w:p>
        </w:tc>
        <w:tc>
          <w:tcPr>
            <w:tcW w:w="1360" w:type="dxa"/>
            <w:noWrap/>
            <w:hideMark/>
          </w:tcPr>
          <w:p w14:paraId="1DF1944C"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Sep-25</w:t>
            </w:r>
          </w:p>
        </w:tc>
        <w:tc>
          <w:tcPr>
            <w:tcW w:w="3625" w:type="dxa"/>
            <w:noWrap/>
            <w:hideMark/>
          </w:tcPr>
          <w:p w14:paraId="57D2E37A" w14:textId="77777777" w:rsidR="00201865" w:rsidRPr="00E940CF" w:rsidRDefault="00201865" w:rsidP="00D871A9">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687</w:t>
            </w:r>
          </w:p>
        </w:tc>
      </w:tr>
    </w:tbl>
    <w:p w14:paraId="0EE22CAA" w14:textId="77777777" w:rsidR="00201865" w:rsidRPr="00E940CF" w:rsidRDefault="00201865" w:rsidP="00D3438A">
      <w:pPr>
        <w:ind w:left="360"/>
        <w:rPr>
          <w:rFonts w:ascii="Aptos" w:hAnsi="Aptos" w:cs="Times New Roman"/>
          <w:color w:val="1F4E79" w:themeColor="accent5" w:themeShade="80"/>
          <w:sz w:val="24"/>
          <w:szCs w:val="24"/>
        </w:rPr>
      </w:pPr>
    </w:p>
    <w:p w14:paraId="682DD3C6" w14:textId="77777777" w:rsidR="00201865" w:rsidRPr="00E940CF" w:rsidRDefault="00201865" w:rsidP="00D3438A">
      <w:pPr>
        <w:ind w:left="360"/>
        <w:rPr>
          <w:rFonts w:ascii="Aptos" w:hAnsi="Aptos" w:cs="Times New Roman"/>
          <w:color w:val="1F4E79" w:themeColor="accent5" w:themeShade="80"/>
          <w:sz w:val="24"/>
          <w:szCs w:val="24"/>
        </w:rPr>
      </w:pPr>
    </w:p>
    <w:p w14:paraId="2D62617C" w14:textId="77777777" w:rsidR="00D3438A" w:rsidRPr="00E940CF" w:rsidRDefault="00D3438A">
      <w:pPr>
        <w:rPr>
          <w:rFonts w:ascii="Aptos" w:hAnsi="Aptos" w:cs="Calibri"/>
          <w:b/>
          <w:bCs/>
          <w:sz w:val="24"/>
          <w:szCs w:val="24"/>
        </w:rPr>
      </w:pPr>
      <w:r w:rsidRPr="00E940CF">
        <w:rPr>
          <w:rFonts w:ascii="Aptos" w:hAnsi="Aptos" w:cs="Calibri"/>
          <w:b/>
          <w:bCs/>
          <w:sz w:val="24"/>
          <w:szCs w:val="24"/>
        </w:rPr>
        <w:br w:type="page"/>
      </w:r>
    </w:p>
    <w:p w14:paraId="7C9C88BB" w14:textId="5EB113E6" w:rsidR="007D766E" w:rsidRPr="00E940CF" w:rsidRDefault="007D766E" w:rsidP="0045675A">
      <w:pPr>
        <w:pStyle w:val="Heading2"/>
        <w:rPr>
          <w:rFonts w:ascii="Aptos" w:hAnsi="Aptos"/>
          <w:sz w:val="24"/>
          <w:szCs w:val="24"/>
        </w:rPr>
      </w:pPr>
      <w:r w:rsidRPr="00E940CF">
        <w:rPr>
          <w:rFonts w:ascii="Aptos" w:hAnsi="Aptos"/>
          <w:sz w:val="24"/>
          <w:szCs w:val="24"/>
        </w:rPr>
        <w:lastRenderedPageBreak/>
        <w:t xml:space="preserve">Please provide 5-year projections by site with an accompanying narrative explanation. If possible, provide an explanation of projections for the </w:t>
      </w:r>
      <w:r w:rsidR="007B7336">
        <w:rPr>
          <w:rFonts w:ascii="Aptos" w:hAnsi="Aptos"/>
          <w:sz w:val="24"/>
          <w:szCs w:val="24"/>
        </w:rPr>
        <w:t>s</w:t>
      </w:r>
      <w:r w:rsidR="007B7336" w:rsidRPr="007B7336">
        <w:rPr>
          <w:rFonts w:ascii="Aptos" w:hAnsi="Aptos"/>
          <w:sz w:val="24"/>
          <w:szCs w:val="24"/>
        </w:rPr>
        <w:t xml:space="preserve">tereotactic </w:t>
      </w:r>
      <w:r w:rsidR="007B7336">
        <w:rPr>
          <w:rFonts w:ascii="Aptos" w:hAnsi="Aptos"/>
          <w:sz w:val="24"/>
          <w:szCs w:val="24"/>
        </w:rPr>
        <w:t>b</w:t>
      </w:r>
      <w:r w:rsidR="007B7336" w:rsidRPr="007B7336">
        <w:rPr>
          <w:rFonts w:ascii="Aptos" w:hAnsi="Aptos"/>
          <w:sz w:val="24"/>
          <w:szCs w:val="24"/>
        </w:rPr>
        <w:t xml:space="preserve">ody </w:t>
      </w:r>
      <w:r w:rsidR="00F979D7">
        <w:rPr>
          <w:rFonts w:ascii="Aptos" w:hAnsi="Aptos"/>
          <w:sz w:val="24"/>
          <w:szCs w:val="24"/>
        </w:rPr>
        <w:t>r</w:t>
      </w:r>
      <w:r w:rsidR="007B7336" w:rsidRPr="007B7336">
        <w:rPr>
          <w:rFonts w:ascii="Aptos" w:hAnsi="Aptos"/>
          <w:sz w:val="24"/>
          <w:szCs w:val="24"/>
        </w:rPr>
        <w:t xml:space="preserve">adiation </w:t>
      </w:r>
      <w:r w:rsidR="00F979D7">
        <w:rPr>
          <w:rFonts w:ascii="Aptos" w:hAnsi="Aptos"/>
          <w:sz w:val="24"/>
          <w:szCs w:val="24"/>
        </w:rPr>
        <w:t>t</w:t>
      </w:r>
      <w:r w:rsidR="007B7336" w:rsidRPr="007B7336">
        <w:rPr>
          <w:rFonts w:ascii="Aptos" w:hAnsi="Aptos"/>
          <w:sz w:val="24"/>
          <w:szCs w:val="24"/>
        </w:rPr>
        <w:t>herapy</w:t>
      </w:r>
      <w:r w:rsidR="007B7336">
        <w:rPr>
          <w:rFonts w:ascii="Aptos" w:hAnsi="Aptos"/>
          <w:sz w:val="24"/>
          <w:szCs w:val="24"/>
        </w:rPr>
        <w:t xml:space="preserve"> (</w:t>
      </w:r>
      <w:r w:rsidRPr="00E940CF">
        <w:rPr>
          <w:rFonts w:ascii="Aptos" w:hAnsi="Aptos"/>
          <w:sz w:val="24"/>
          <w:szCs w:val="24"/>
        </w:rPr>
        <w:t>SBRT</w:t>
      </w:r>
      <w:r w:rsidR="00F979D7">
        <w:rPr>
          <w:rFonts w:ascii="Aptos" w:hAnsi="Aptos"/>
          <w:sz w:val="24"/>
          <w:szCs w:val="24"/>
        </w:rPr>
        <w:t>)</w:t>
      </w:r>
      <w:r w:rsidRPr="00E940CF">
        <w:rPr>
          <w:rFonts w:ascii="Aptos" w:hAnsi="Aptos"/>
          <w:sz w:val="24"/>
          <w:szCs w:val="24"/>
        </w:rPr>
        <w:t xml:space="preserve">, </w:t>
      </w:r>
      <w:r w:rsidR="00B77C7E">
        <w:rPr>
          <w:rFonts w:ascii="Aptos" w:hAnsi="Aptos"/>
          <w:sz w:val="24"/>
          <w:szCs w:val="24"/>
        </w:rPr>
        <w:t>s</w:t>
      </w:r>
      <w:r w:rsidR="00B77C7E" w:rsidRPr="00B77C7E">
        <w:rPr>
          <w:rFonts w:ascii="Aptos" w:hAnsi="Aptos"/>
          <w:sz w:val="24"/>
          <w:szCs w:val="24"/>
        </w:rPr>
        <w:t xml:space="preserve">tereotactic </w:t>
      </w:r>
      <w:r w:rsidR="00B77C7E">
        <w:rPr>
          <w:rFonts w:ascii="Aptos" w:hAnsi="Aptos"/>
          <w:sz w:val="24"/>
          <w:szCs w:val="24"/>
        </w:rPr>
        <w:t>r</w:t>
      </w:r>
      <w:r w:rsidR="00B77C7E" w:rsidRPr="00B77C7E">
        <w:rPr>
          <w:rFonts w:ascii="Aptos" w:hAnsi="Aptos"/>
          <w:sz w:val="24"/>
          <w:szCs w:val="24"/>
        </w:rPr>
        <w:t>adiosurgery</w:t>
      </w:r>
      <w:r w:rsidR="00B77C7E">
        <w:rPr>
          <w:rFonts w:ascii="Aptos" w:hAnsi="Aptos"/>
          <w:sz w:val="24"/>
          <w:szCs w:val="24"/>
        </w:rPr>
        <w:t xml:space="preserve"> (</w:t>
      </w:r>
      <w:r w:rsidRPr="00E940CF">
        <w:rPr>
          <w:rFonts w:ascii="Aptos" w:hAnsi="Aptos"/>
          <w:sz w:val="24"/>
          <w:szCs w:val="24"/>
        </w:rPr>
        <w:t>SRS</w:t>
      </w:r>
      <w:r w:rsidR="00B77C7E">
        <w:rPr>
          <w:rFonts w:ascii="Aptos" w:hAnsi="Aptos"/>
          <w:sz w:val="24"/>
          <w:szCs w:val="24"/>
        </w:rPr>
        <w:t>)</w:t>
      </w:r>
      <w:r w:rsidRPr="00E940CF">
        <w:rPr>
          <w:rFonts w:ascii="Aptos" w:hAnsi="Aptos"/>
          <w:sz w:val="24"/>
          <w:szCs w:val="24"/>
        </w:rPr>
        <w:t xml:space="preserve"> and treatments for the referenced benign conditions that may respond positively to linear accelerator services, such as essential tremors and Osteoarthritis patients.</w:t>
      </w:r>
    </w:p>
    <w:p w14:paraId="2EBBDF70" w14:textId="058B2110" w:rsidR="00D40004" w:rsidRPr="00E940CF" w:rsidRDefault="007D766E" w:rsidP="007D766E">
      <w:pPr>
        <w:ind w:left="360"/>
        <w:rPr>
          <w:rFonts w:ascii="Aptos" w:hAnsi="Aptos" w:cs="Times New Roman"/>
          <w:color w:val="1F4E79" w:themeColor="accent5" w:themeShade="80"/>
          <w:sz w:val="24"/>
          <w:szCs w:val="24"/>
        </w:rPr>
      </w:pPr>
      <w:r w:rsidRPr="0056655F">
        <w:rPr>
          <w:rFonts w:ascii="Aptos" w:hAnsi="Aptos" w:cs="Times New Roman"/>
          <w:b/>
          <w:bCs/>
          <w:color w:val="1F4E79" w:themeColor="accent5" w:themeShade="80"/>
          <w:sz w:val="24"/>
          <w:szCs w:val="24"/>
        </w:rPr>
        <w:t>Response</w:t>
      </w:r>
      <w:r w:rsidRPr="00E940CF">
        <w:rPr>
          <w:rFonts w:ascii="Aptos" w:hAnsi="Aptos" w:cs="Times New Roman"/>
          <w:color w:val="1F4E79" w:themeColor="accent5" w:themeShade="80"/>
          <w:sz w:val="24"/>
          <w:szCs w:val="24"/>
        </w:rPr>
        <w:t xml:space="preserve">: Please see </w:t>
      </w:r>
      <w:r w:rsidR="00F973EF" w:rsidRPr="00E940CF">
        <w:rPr>
          <w:rFonts w:ascii="Aptos" w:hAnsi="Aptos" w:cs="Times New Roman"/>
          <w:color w:val="1F4E79" w:themeColor="accent5" w:themeShade="80"/>
          <w:sz w:val="24"/>
          <w:szCs w:val="24"/>
        </w:rPr>
        <w:t>the Tables</w:t>
      </w:r>
      <w:r w:rsidR="00800A59" w:rsidRPr="00E940CF">
        <w:rPr>
          <w:rFonts w:ascii="Aptos" w:hAnsi="Aptos" w:cs="Times New Roman"/>
          <w:color w:val="1F4E79" w:themeColor="accent5" w:themeShade="80"/>
          <w:sz w:val="24"/>
          <w:szCs w:val="24"/>
        </w:rPr>
        <w:t xml:space="preserve"> and Figures</w:t>
      </w:r>
      <w:r w:rsidR="00F973EF" w:rsidRPr="00E940CF">
        <w:rPr>
          <w:rFonts w:ascii="Aptos" w:hAnsi="Aptos" w:cs="Times New Roman"/>
          <w:color w:val="1F4E79" w:themeColor="accent5" w:themeShade="80"/>
          <w:sz w:val="24"/>
          <w:szCs w:val="24"/>
        </w:rPr>
        <w:t xml:space="preserve"> below providing 5-year projections by site for the LINAC machines overall, SBRT, SRS, osteoarthritis, and essential tremor treatments, each with an accompanying narrative addressing the data and trends identified within the data.</w:t>
      </w:r>
    </w:p>
    <w:p w14:paraId="05A65E72" w14:textId="77777777" w:rsidR="00201865" w:rsidRPr="0056655F" w:rsidRDefault="00201865" w:rsidP="00201865">
      <w:pPr>
        <w:ind w:left="360"/>
        <w:rPr>
          <w:rFonts w:ascii="Aptos" w:hAnsi="Aptos" w:cs="Times New Roman"/>
          <w:color w:val="1F4E79" w:themeColor="accent5" w:themeShade="80"/>
          <w:sz w:val="24"/>
          <w:szCs w:val="24"/>
        </w:rPr>
      </w:pPr>
      <w:r w:rsidRPr="0056655F">
        <w:rPr>
          <w:rFonts w:ascii="Aptos" w:hAnsi="Aptos" w:cs="Times New Roman"/>
          <w:i/>
          <w:iCs/>
          <w:color w:val="1F4E79" w:themeColor="accent5" w:themeShade="80"/>
          <w:sz w:val="24"/>
          <w:szCs w:val="24"/>
        </w:rPr>
        <w:t>LINAC Treatment Volume Projections</w:t>
      </w:r>
    </w:p>
    <w:p w14:paraId="10605802" w14:textId="77777777" w:rsidR="00201865" w:rsidRPr="00E940CF" w:rsidRDefault="00201865" w:rsidP="00201865">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The Applicant projects that LINAC treatment volume will continue to increase through FY 2030, as demonstrated in the following Table.  These projections are intended to reflect a conservative estimate of future treatments based on historical trends and projected growth of the program. </w:t>
      </w:r>
    </w:p>
    <w:tbl>
      <w:tblPr>
        <w:tblW w:w="7600" w:type="dxa"/>
        <w:tblInd w:w="355" w:type="dxa"/>
        <w:tblLook w:val="04A0" w:firstRow="1" w:lastRow="0" w:firstColumn="1" w:lastColumn="0" w:noHBand="0" w:noVBand="1"/>
        <w:tblCaption w:val="LINAC Treatment Volume Projections"/>
      </w:tblPr>
      <w:tblGrid>
        <w:gridCol w:w="2960"/>
        <w:gridCol w:w="2480"/>
        <w:gridCol w:w="2160"/>
      </w:tblGrid>
      <w:tr w:rsidR="00201865" w:rsidRPr="00E940CF" w14:paraId="69763F24" w14:textId="77777777" w:rsidTr="008001F8">
        <w:trPr>
          <w:cantSplit/>
          <w:trHeight w:val="840"/>
          <w:tblHeader/>
        </w:trPr>
        <w:tc>
          <w:tcPr>
            <w:tcW w:w="296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B1CF62E" w14:textId="77777777" w:rsidR="00201865" w:rsidRPr="00E940CF" w:rsidRDefault="00201865" w:rsidP="00D871A9">
            <w:pPr>
              <w:spacing w:after="0" w:line="240" w:lineRule="auto"/>
              <w:jc w:val="center"/>
              <w:rPr>
                <w:rFonts w:ascii="Aptos" w:eastAsia="Times New Roman" w:hAnsi="Aptos" w:cs="Times New Roman"/>
                <w:b/>
                <w:bCs/>
                <w:color w:val="1F4E79"/>
                <w:sz w:val="24"/>
                <w:szCs w:val="24"/>
              </w:rPr>
            </w:pPr>
            <w:r w:rsidRPr="00E940CF">
              <w:rPr>
                <w:rFonts w:ascii="Aptos" w:eastAsia="Times New Roman" w:hAnsi="Aptos" w:cs="Times New Roman"/>
                <w:b/>
                <w:bCs/>
                <w:color w:val="1F4E79"/>
                <w:sz w:val="24"/>
                <w:szCs w:val="24"/>
              </w:rPr>
              <w:t>Applicant Fiscal Year</w:t>
            </w:r>
          </w:p>
        </w:tc>
        <w:tc>
          <w:tcPr>
            <w:tcW w:w="2480" w:type="dxa"/>
            <w:tcBorders>
              <w:top w:val="single" w:sz="4" w:space="0" w:color="auto"/>
              <w:left w:val="nil"/>
              <w:bottom w:val="single" w:sz="4" w:space="0" w:color="auto"/>
              <w:right w:val="single" w:sz="4" w:space="0" w:color="auto"/>
            </w:tcBorders>
            <w:shd w:val="clear" w:color="000000" w:fill="D9E1F2"/>
            <w:vAlign w:val="center"/>
            <w:hideMark/>
          </w:tcPr>
          <w:p w14:paraId="011D180F" w14:textId="77777777" w:rsidR="00201865" w:rsidRPr="00E940CF" w:rsidRDefault="00201865" w:rsidP="00D871A9">
            <w:pPr>
              <w:spacing w:after="0" w:line="240" w:lineRule="auto"/>
              <w:jc w:val="center"/>
              <w:rPr>
                <w:rFonts w:ascii="Aptos" w:eastAsia="Times New Roman" w:hAnsi="Aptos" w:cs="Times New Roman"/>
                <w:b/>
                <w:bCs/>
                <w:color w:val="1F4E79"/>
                <w:sz w:val="24"/>
                <w:szCs w:val="24"/>
              </w:rPr>
            </w:pPr>
            <w:r w:rsidRPr="00E940CF">
              <w:rPr>
                <w:rFonts w:ascii="Aptos" w:eastAsia="Times New Roman" w:hAnsi="Aptos" w:cs="Times New Roman"/>
                <w:b/>
                <w:bCs/>
                <w:color w:val="1F4E79"/>
                <w:sz w:val="24"/>
                <w:szCs w:val="24"/>
              </w:rPr>
              <w:t>Fall River (CMH) LINAC Treatments</w:t>
            </w:r>
          </w:p>
        </w:tc>
        <w:tc>
          <w:tcPr>
            <w:tcW w:w="2160" w:type="dxa"/>
            <w:tcBorders>
              <w:top w:val="single" w:sz="4" w:space="0" w:color="auto"/>
              <w:left w:val="nil"/>
              <w:bottom w:val="single" w:sz="4" w:space="0" w:color="auto"/>
              <w:right w:val="single" w:sz="4" w:space="0" w:color="auto"/>
            </w:tcBorders>
            <w:shd w:val="clear" w:color="000000" w:fill="D9E1F2"/>
            <w:vAlign w:val="center"/>
            <w:hideMark/>
          </w:tcPr>
          <w:p w14:paraId="5430A6A7" w14:textId="77777777" w:rsidR="00201865" w:rsidRPr="00E940CF" w:rsidRDefault="00201865" w:rsidP="00D871A9">
            <w:pPr>
              <w:spacing w:after="0" w:line="240" w:lineRule="auto"/>
              <w:jc w:val="center"/>
              <w:rPr>
                <w:rFonts w:ascii="Aptos" w:eastAsia="Times New Roman" w:hAnsi="Aptos" w:cs="Times New Roman"/>
                <w:b/>
                <w:bCs/>
                <w:color w:val="1F4E79"/>
                <w:sz w:val="24"/>
                <w:szCs w:val="24"/>
              </w:rPr>
            </w:pPr>
            <w:r w:rsidRPr="00E940CF">
              <w:rPr>
                <w:rFonts w:ascii="Aptos" w:eastAsia="Times New Roman" w:hAnsi="Aptos" w:cs="Times New Roman"/>
                <w:b/>
                <w:bCs/>
                <w:color w:val="1F4E79"/>
                <w:sz w:val="24"/>
                <w:szCs w:val="24"/>
              </w:rPr>
              <w:t>Fairhaven Cancer Center LINAC Treatments</w:t>
            </w:r>
          </w:p>
        </w:tc>
      </w:tr>
      <w:tr w:rsidR="00201865" w:rsidRPr="00E940CF" w14:paraId="3FDD47C5" w14:textId="77777777" w:rsidTr="008001F8">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786131A6" w14:textId="77777777" w:rsidR="00201865" w:rsidRPr="00E940CF" w:rsidRDefault="00201865" w:rsidP="00D871A9">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FY26</w:t>
            </w:r>
          </w:p>
        </w:tc>
        <w:tc>
          <w:tcPr>
            <w:tcW w:w="2480" w:type="dxa"/>
            <w:tcBorders>
              <w:top w:val="nil"/>
              <w:left w:val="nil"/>
              <w:bottom w:val="single" w:sz="4" w:space="0" w:color="auto"/>
              <w:right w:val="single" w:sz="4" w:space="0" w:color="auto"/>
            </w:tcBorders>
            <w:noWrap/>
            <w:hideMark/>
          </w:tcPr>
          <w:p w14:paraId="43BAAAE2" w14:textId="77777777" w:rsidR="00201865" w:rsidRPr="00E940CF" w:rsidRDefault="00201865" w:rsidP="00D871A9">
            <w:pPr>
              <w:spacing w:after="0" w:line="240" w:lineRule="auto"/>
              <w:jc w:val="center"/>
              <w:rPr>
                <w:rFonts w:ascii="Aptos" w:eastAsia="Times New Roman" w:hAnsi="Aptos" w:cs="Times New Roman"/>
                <w:color w:val="1F3864" w:themeColor="accent1" w:themeShade="80"/>
                <w:sz w:val="24"/>
                <w:szCs w:val="24"/>
              </w:rPr>
            </w:pPr>
            <w:r w:rsidRPr="00E940CF">
              <w:rPr>
                <w:rFonts w:ascii="Aptos" w:hAnsi="Aptos" w:cs="Times New Roman"/>
                <w:color w:val="1F3864" w:themeColor="accent1" w:themeShade="80"/>
                <w:sz w:val="24"/>
                <w:szCs w:val="24"/>
              </w:rPr>
              <w:t>7,650</w:t>
            </w:r>
          </w:p>
        </w:tc>
        <w:tc>
          <w:tcPr>
            <w:tcW w:w="2160" w:type="dxa"/>
            <w:tcBorders>
              <w:top w:val="nil"/>
              <w:left w:val="nil"/>
              <w:bottom w:val="single" w:sz="4" w:space="0" w:color="auto"/>
              <w:right w:val="single" w:sz="4" w:space="0" w:color="auto"/>
            </w:tcBorders>
            <w:noWrap/>
            <w:vAlign w:val="bottom"/>
            <w:hideMark/>
          </w:tcPr>
          <w:p w14:paraId="6B3A8A6C" w14:textId="77777777" w:rsidR="00201865" w:rsidRPr="00E940CF" w:rsidRDefault="00201865" w:rsidP="00D871A9">
            <w:pPr>
              <w:spacing w:after="0" w:line="240" w:lineRule="auto"/>
              <w:jc w:val="center"/>
              <w:rPr>
                <w:rFonts w:ascii="Aptos" w:eastAsia="Times New Roman" w:hAnsi="Aptos" w:cs="Times New Roman"/>
                <w:color w:val="1F3864" w:themeColor="accent1" w:themeShade="80"/>
                <w:sz w:val="24"/>
                <w:szCs w:val="24"/>
              </w:rPr>
            </w:pPr>
            <w:r w:rsidRPr="00E940CF">
              <w:rPr>
                <w:rFonts w:ascii="Aptos" w:eastAsia="Times New Roman" w:hAnsi="Aptos" w:cs="Times New Roman"/>
                <w:color w:val="1F3864" w:themeColor="accent1" w:themeShade="80"/>
                <w:sz w:val="24"/>
                <w:szCs w:val="24"/>
              </w:rPr>
              <w:t>7,850</w:t>
            </w:r>
          </w:p>
        </w:tc>
      </w:tr>
      <w:tr w:rsidR="00201865" w:rsidRPr="00E940CF" w14:paraId="6553F4F0" w14:textId="77777777" w:rsidTr="008001F8">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27173832" w14:textId="77777777" w:rsidR="00201865" w:rsidRPr="00E940CF" w:rsidRDefault="00201865" w:rsidP="00D871A9">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FY27</w:t>
            </w:r>
          </w:p>
        </w:tc>
        <w:tc>
          <w:tcPr>
            <w:tcW w:w="2480" w:type="dxa"/>
            <w:tcBorders>
              <w:top w:val="nil"/>
              <w:left w:val="nil"/>
              <w:bottom w:val="single" w:sz="4" w:space="0" w:color="auto"/>
              <w:right w:val="single" w:sz="4" w:space="0" w:color="auto"/>
            </w:tcBorders>
            <w:noWrap/>
            <w:hideMark/>
          </w:tcPr>
          <w:p w14:paraId="40D391A8" w14:textId="77777777" w:rsidR="00201865" w:rsidRPr="00E940CF" w:rsidRDefault="00201865" w:rsidP="00D871A9">
            <w:pPr>
              <w:spacing w:after="0" w:line="240" w:lineRule="auto"/>
              <w:jc w:val="center"/>
              <w:rPr>
                <w:rFonts w:ascii="Aptos" w:eastAsia="Times New Roman" w:hAnsi="Aptos" w:cs="Times New Roman"/>
                <w:color w:val="1F3864" w:themeColor="accent1" w:themeShade="80"/>
                <w:sz w:val="24"/>
                <w:szCs w:val="24"/>
              </w:rPr>
            </w:pPr>
            <w:r w:rsidRPr="00E940CF">
              <w:rPr>
                <w:rFonts w:ascii="Aptos" w:hAnsi="Aptos" w:cs="Times New Roman"/>
                <w:color w:val="1F3864" w:themeColor="accent1" w:themeShade="80"/>
                <w:sz w:val="24"/>
                <w:szCs w:val="24"/>
              </w:rPr>
              <w:t>7,800</w:t>
            </w:r>
          </w:p>
        </w:tc>
        <w:tc>
          <w:tcPr>
            <w:tcW w:w="2160" w:type="dxa"/>
            <w:tcBorders>
              <w:top w:val="nil"/>
              <w:left w:val="nil"/>
              <w:bottom w:val="single" w:sz="4" w:space="0" w:color="auto"/>
              <w:right w:val="single" w:sz="4" w:space="0" w:color="auto"/>
            </w:tcBorders>
            <w:noWrap/>
            <w:hideMark/>
          </w:tcPr>
          <w:p w14:paraId="0F87BC6A" w14:textId="77777777" w:rsidR="00201865" w:rsidRPr="00E940CF" w:rsidRDefault="00201865" w:rsidP="00D871A9">
            <w:pPr>
              <w:spacing w:after="0" w:line="240" w:lineRule="auto"/>
              <w:jc w:val="center"/>
              <w:rPr>
                <w:rFonts w:ascii="Aptos" w:eastAsia="Times New Roman" w:hAnsi="Aptos" w:cs="Times New Roman"/>
                <w:color w:val="1F3864" w:themeColor="accent1" w:themeShade="80"/>
                <w:sz w:val="24"/>
                <w:szCs w:val="24"/>
              </w:rPr>
            </w:pPr>
            <w:r w:rsidRPr="00E940CF">
              <w:rPr>
                <w:rFonts w:ascii="Aptos" w:hAnsi="Aptos" w:cs="Times New Roman"/>
                <w:color w:val="1F3864" w:themeColor="accent1" w:themeShade="80"/>
                <w:sz w:val="24"/>
                <w:szCs w:val="24"/>
              </w:rPr>
              <w:t>8,088</w:t>
            </w:r>
          </w:p>
        </w:tc>
      </w:tr>
      <w:tr w:rsidR="00201865" w:rsidRPr="00E940CF" w14:paraId="043109CB" w14:textId="77777777" w:rsidTr="008001F8">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hideMark/>
          </w:tcPr>
          <w:p w14:paraId="60E8917F" w14:textId="77777777" w:rsidR="00201865" w:rsidRPr="00E940CF" w:rsidRDefault="00201865" w:rsidP="00D871A9">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FY28</w:t>
            </w:r>
          </w:p>
        </w:tc>
        <w:tc>
          <w:tcPr>
            <w:tcW w:w="2480" w:type="dxa"/>
            <w:tcBorders>
              <w:top w:val="single" w:sz="4" w:space="0" w:color="auto"/>
              <w:left w:val="nil"/>
              <w:bottom w:val="single" w:sz="4" w:space="0" w:color="auto"/>
              <w:right w:val="single" w:sz="4" w:space="0" w:color="auto"/>
            </w:tcBorders>
            <w:noWrap/>
            <w:hideMark/>
          </w:tcPr>
          <w:p w14:paraId="5522AE12" w14:textId="77777777" w:rsidR="00201865" w:rsidRPr="00E940CF" w:rsidRDefault="00201865" w:rsidP="00D871A9">
            <w:pPr>
              <w:spacing w:after="0" w:line="240" w:lineRule="auto"/>
              <w:jc w:val="center"/>
              <w:rPr>
                <w:rFonts w:ascii="Aptos" w:eastAsia="Times New Roman" w:hAnsi="Aptos" w:cs="Times New Roman"/>
                <w:color w:val="1F3864" w:themeColor="accent1" w:themeShade="80"/>
                <w:sz w:val="24"/>
                <w:szCs w:val="24"/>
              </w:rPr>
            </w:pPr>
            <w:r w:rsidRPr="00E940CF">
              <w:rPr>
                <w:rFonts w:ascii="Aptos" w:hAnsi="Aptos" w:cs="Times New Roman"/>
                <w:color w:val="1F3864" w:themeColor="accent1" w:themeShade="80"/>
                <w:sz w:val="24"/>
                <w:szCs w:val="24"/>
              </w:rPr>
              <w:t>7,950</w:t>
            </w:r>
          </w:p>
        </w:tc>
        <w:tc>
          <w:tcPr>
            <w:tcW w:w="2160" w:type="dxa"/>
            <w:tcBorders>
              <w:top w:val="single" w:sz="4" w:space="0" w:color="auto"/>
              <w:left w:val="nil"/>
              <w:bottom w:val="single" w:sz="4" w:space="0" w:color="auto"/>
              <w:right w:val="single" w:sz="4" w:space="0" w:color="auto"/>
            </w:tcBorders>
            <w:noWrap/>
            <w:hideMark/>
          </w:tcPr>
          <w:p w14:paraId="2E7CC8D3" w14:textId="77777777" w:rsidR="00201865" w:rsidRPr="00E940CF" w:rsidRDefault="00201865" w:rsidP="00D871A9">
            <w:pPr>
              <w:spacing w:after="0" w:line="240" w:lineRule="auto"/>
              <w:jc w:val="center"/>
              <w:rPr>
                <w:rFonts w:ascii="Aptos" w:eastAsia="Times New Roman" w:hAnsi="Aptos" w:cs="Times New Roman"/>
                <w:color w:val="1F3864" w:themeColor="accent1" w:themeShade="80"/>
                <w:sz w:val="24"/>
                <w:szCs w:val="24"/>
              </w:rPr>
            </w:pPr>
            <w:r w:rsidRPr="00E940CF">
              <w:rPr>
                <w:rFonts w:ascii="Aptos" w:hAnsi="Aptos" w:cs="Times New Roman"/>
                <w:color w:val="1F3864" w:themeColor="accent1" w:themeShade="80"/>
                <w:sz w:val="24"/>
                <w:szCs w:val="24"/>
              </w:rPr>
              <w:t>8,326</w:t>
            </w:r>
          </w:p>
        </w:tc>
      </w:tr>
      <w:tr w:rsidR="00201865" w:rsidRPr="00E940CF" w14:paraId="16E39EC3" w14:textId="77777777" w:rsidTr="008001F8">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68515AA1" w14:textId="77777777" w:rsidR="00201865" w:rsidRPr="00E940CF" w:rsidRDefault="00201865" w:rsidP="00D871A9">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FY29</w:t>
            </w:r>
          </w:p>
        </w:tc>
        <w:tc>
          <w:tcPr>
            <w:tcW w:w="2480" w:type="dxa"/>
            <w:tcBorders>
              <w:top w:val="single" w:sz="4" w:space="0" w:color="auto"/>
              <w:left w:val="nil"/>
              <w:bottom w:val="single" w:sz="4" w:space="0" w:color="auto"/>
              <w:right w:val="single" w:sz="4" w:space="0" w:color="auto"/>
            </w:tcBorders>
            <w:noWrap/>
          </w:tcPr>
          <w:p w14:paraId="140EC0F0" w14:textId="77777777" w:rsidR="00201865" w:rsidRPr="00E940CF" w:rsidRDefault="00201865" w:rsidP="00D871A9">
            <w:pPr>
              <w:spacing w:after="0" w:line="240" w:lineRule="auto"/>
              <w:jc w:val="center"/>
              <w:rPr>
                <w:rFonts w:ascii="Aptos" w:eastAsia="Times New Roman" w:hAnsi="Aptos" w:cs="Times New Roman"/>
                <w:color w:val="1F3864" w:themeColor="accent1" w:themeShade="80"/>
                <w:sz w:val="24"/>
                <w:szCs w:val="24"/>
              </w:rPr>
            </w:pPr>
            <w:r w:rsidRPr="00E940CF">
              <w:rPr>
                <w:rFonts w:ascii="Aptos" w:hAnsi="Aptos" w:cs="Times New Roman"/>
                <w:color w:val="1F3864" w:themeColor="accent1" w:themeShade="80"/>
                <w:sz w:val="24"/>
                <w:szCs w:val="24"/>
              </w:rPr>
              <w:t>8,100</w:t>
            </w:r>
          </w:p>
        </w:tc>
        <w:tc>
          <w:tcPr>
            <w:tcW w:w="2160" w:type="dxa"/>
            <w:tcBorders>
              <w:top w:val="single" w:sz="4" w:space="0" w:color="auto"/>
              <w:left w:val="nil"/>
              <w:bottom w:val="single" w:sz="4" w:space="0" w:color="auto"/>
              <w:right w:val="single" w:sz="4" w:space="0" w:color="auto"/>
            </w:tcBorders>
            <w:noWrap/>
          </w:tcPr>
          <w:p w14:paraId="150C60A0" w14:textId="77777777" w:rsidR="00201865" w:rsidRPr="00E940CF" w:rsidRDefault="00201865" w:rsidP="00D871A9">
            <w:pPr>
              <w:spacing w:after="0" w:line="240" w:lineRule="auto"/>
              <w:jc w:val="center"/>
              <w:rPr>
                <w:rFonts w:ascii="Aptos" w:eastAsia="Times New Roman" w:hAnsi="Aptos" w:cs="Times New Roman"/>
                <w:color w:val="1F3864" w:themeColor="accent1" w:themeShade="80"/>
                <w:sz w:val="24"/>
                <w:szCs w:val="24"/>
              </w:rPr>
            </w:pPr>
            <w:r w:rsidRPr="00E940CF">
              <w:rPr>
                <w:rFonts w:ascii="Aptos" w:hAnsi="Aptos" w:cs="Times New Roman"/>
                <w:color w:val="1F3864" w:themeColor="accent1" w:themeShade="80"/>
                <w:sz w:val="24"/>
                <w:szCs w:val="24"/>
              </w:rPr>
              <w:t>8,564</w:t>
            </w:r>
          </w:p>
        </w:tc>
      </w:tr>
      <w:tr w:rsidR="00201865" w:rsidRPr="00E940CF" w14:paraId="3C3486ED" w14:textId="77777777" w:rsidTr="008001F8">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354E6101" w14:textId="77777777" w:rsidR="00201865" w:rsidRPr="00E940CF" w:rsidRDefault="00201865" w:rsidP="00D871A9">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FY30</w:t>
            </w:r>
          </w:p>
        </w:tc>
        <w:tc>
          <w:tcPr>
            <w:tcW w:w="2480" w:type="dxa"/>
            <w:tcBorders>
              <w:top w:val="single" w:sz="4" w:space="0" w:color="auto"/>
              <w:left w:val="nil"/>
              <w:bottom w:val="single" w:sz="4" w:space="0" w:color="auto"/>
              <w:right w:val="single" w:sz="4" w:space="0" w:color="auto"/>
            </w:tcBorders>
            <w:noWrap/>
          </w:tcPr>
          <w:p w14:paraId="1AEC25C1" w14:textId="77777777" w:rsidR="00201865" w:rsidRPr="00E940CF" w:rsidRDefault="00201865" w:rsidP="00D871A9">
            <w:pPr>
              <w:spacing w:after="0" w:line="240" w:lineRule="auto"/>
              <w:jc w:val="center"/>
              <w:rPr>
                <w:rFonts w:ascii="Aptos" w:eastAsia="Times New Roman" w:hAnsi="Aptos" w:cs="Times New Roman"/>
                <w:color w:val="1F3864" w:themeColor="accent1" w:themeShade="80"/>
                <w:sz w:val="24"/>
                <w:szCs w:val="24"/>
              </w:rPr>
            </w:pPr>
            <w:r w:rsidRPr="00E940CF">
              <w:rPr>
                <w:rFonts w:ascii="Aptos" w:hAnsi="Aptos" w:cs="Times New Roman"/>
                <w:color w:val="1F3864" w:themeColor="accent1" w:themeShade="80"/>
                <w:sz w:val="24"/>
                <w:szCs w:val="24"/>
              </w:rPr>
              <w:t>8,250</w:t>
            </w:r>
          </w:p>
        </w:tc>
        <w:tc>
          <w:tcPr>
            <w:tcW w:w="2160" w:type="dxa"/>
            <w:tcBorders>
              <w:top w:val="single" w:sz="4" w:space="0" w:color="auto"/>
              <w:left w:val="nil"/>
              <w:bottom w:val="single" w:sz="4" w:space="0" w:color="auto"/>
              <w:right w:val="single" w:sz="4" w:space="0" w:color="auto"/>
            </w:tcBorders>
            <w:noWrap/>
          </w:tcPr>
          <w:p w14:paraId="70710E0A" w14:textId="77777777" w:rsidR="00201865" w:rsidRPr="00E940CF" w:rsidRDefault="00201865" w:rsidP="00D871A9">
            <w:pPr>
              <w:spacing w:after="0" w:line="240" w:lineRule="auto"/>
              <w:jc w:val="center"/>
              <w:rPr>
                <w:rFonts w:ascii="Aptos" w:eastAsia="Times New Roman" w:hAnsi="Aptos" w:cs="Times New Roman"/>
                <w:color w:val="1F3864" w:themeColor="accent1" w:themeShade="80"/>
                <w:sz w:val="24"/>
                <w:szCs w:val="24"/>
              </w:rPr>
            </w:pPr>
            <w:r w:rsidRPr="00E940CF">
              <w:rPr>
                <w:rFonts w:ascii="Aptos" w:hAnsi="Aptos" w:cs="Times New Roman"/>
                <w:color w:val="1F3864" w:themeColor="accent1" w:themeShade="80"/>
                <w:sz w:val="24"/>
                <w:szCs w:val="24"/>
              </w:rPr>
              <w:t>8,800</w:t>
            </w:r>
          </w:p>
        </w:tc>
      </w:tr>
    </w:tbl>
    <w:p w14:paraId="4628FE26" w14:textId="77777777" w:rsidR="00201865" w:rsidRPr="00E940CF" w:rsidRDefault="00201865" w:rsidP="00201865">
      <w:pPr>
        <w:ind w:left="360"/>
        <w:rPr>
          <w:rFonts w:ascii="Aptos" w:hAnsi="Aptos" w:cs="Times New Roman"/>
          <w:color w:val="1F4E79" w:themeColor="accent5" w:themeShade="80"/>
          <w:sz w:val="24"/>
          <w:szCs w:val="24"/>
        </w:rPr>
      </w:pPr>
    </w:p>
    <w:p w14:paraId="212B2CBF" w14:textId="3EE73441" w:rsidR="00201865" w:rsidRPr="00E940CF" w:rsidRDefault="00201865" w:rsidP="00201865">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The data are further supportive of the demand for a second LINAC machine at the Cancer Center site, which as noted in the Narrative would expand access for the Applicant’s patient panel at low cost, with no capital expenditure, and would provide additional capacity to meet the demand for radiation oncology therapy and alternative treatments available utilizing the LINAC.  The growth in treatment volume despite the clinical trend towards hypofractionation (which refers to oncologists treating each patient with higher daily radiation doses and fewer total treatment fractions for a particular course of treatment) is further support for there being significant demand for additional capacity and thus for this </w:t>
      </w:r>
      <w:r w:rsidRPr="00E940CF">
        <w:rPr>
          <w:rFonts w:ascii="Aptos" w:hAnsi="Aptos" w:cs="Times New Roman"/>
          <w:color w:val="1F4E79" w:themeColor="accent5" w:themeShade="80"/>
          <w:sz w:val="24"/>
          <w:szCs w:val="24"/>
        </w:rPr>
        <w:lastRenderedPageBreak/>
        <w:t>Proposed Project to add a second LINAC on site at the Cancer Center.  Hypofractionation</w:t>
      </w:r>
      <w:r w:rsidRPr="00E940CF">
        <w:rPr>
          <w:rStyle w:val="FootnoteReference"/>
          <w:rFonts w:ascii="Aptos" w:hAnsi="Aptos" w:cs="Times New Roman"/>
          <w:color w:val="1F4E79" w:themeColor="accent5" w:themeShade="80"/>
          <w:sz w:val="24"/>
          <w:szCs w:val="24"/>
        </w:rPr>
        <w:footnoteReference w:id="7"/>
      </w:r>
      <w:r w:rsidRPr="00E940CF">
        <w:rPr>
          <w:rFonts w:ascii="Aptos" w:hAnsi="Aptos" w:cs="Times New Roman"/>
          <w:color w:val="1F4E79" w:themeColor="accent5" w:themeShade="80"/>
          <w:sz w:val="24"/>
          <w:szCs w:val="24"/>
        </w:rPr>
        <w:t xml:space="preserve"> refers to the clinical treatment approach of treating each patient with higher daily radiation doses over the course of a treatment, in combination with fewer total treatment fractions (i.e., sessions on the LINAC).</w:t>
      </w:r>
    </w:p>
    <w:p w14:paraId="2697E23B" w14:textId="005D21B7" w:rsidR="002C4A02" w:rsidRPr="00E940CF" w:rsidRDefault="00F973EF" w:rsidP="004D0B2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As shown in response to Question 3 above, the Applicant’s LINAC treatment volumes have been growing at both the Fall River and Fairhaven cancer treatment sites despite the ongoing clinical trend of increasing hypofractionation of radiation oncology treatments.    </w:t>
      </w:r>
    </w:p>
    <w:p w14:paraId="64C02244" w14:textId="6C8F2981" w:rsidR="007543DE" w:rsidRPr="00E940CF" w:rsidRDefault="00186B9A" w:rsidP="007D766E">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The Applicant also reviewed its LINAC service data and found that it had to extend LINAC treatment times beyond 5:00 p.m. on 161 separate instances during Fiscal Year 2025, with staff then obligated to stay on-site even later to assist patients, complete charting and documentation, and to test and finalize treatments for the following day.  In other words, the Applicant needed to extend treatment times beyond regular business hours approximately 3x per week during FY25 </w:t>
      </w:r>
      <w:proofErr w:type="gramStart"/>
      <w:r w:rsidRPr="00E940CF">
        <w:rPr>
          <w:rFonts w:ascii="Aptos" w:hAnsi="Aptos" w:cs="Times New Roman"/>
          <w:color w:val="1F4E79" w:themeColor="accent5" w:themeShade="80"/>
          <w:sz w:val="24"/>
          <w:szCs w:val="24"/>
        </w:rPr>
        <w:t>in order to</w:t>
      </w:r>
      <w:proofErr w:type="gramEnd"/>
      <w:r w:rsidRPr="00E940CF">
        <w:rPr>
          <w:rFonts w:ascii="Aptos" w:hAnsi="Aptos" w:cs="Times New Roman"/>
          <w:color w:val="1F4E79" w:themeColor="accent5" w:themeShade="80"/>
          <w:sz w:val="24"/>
          <w:szCs w:val="24"/>
        </w:rPr>
        <w:t xml:space="preserve"> meet the need for LINAC services given its program growth.</w:t>
      </w:r>
      <w:r w:rsidR="003B2845" w:rsidRPr="00E940CF">
        <w:rPr>
          <w:rFonts w:ascii="Aptos" w:hAnsi="Aptos" w:cs="Times New Roman"/>
          <w:color w:val="1F4E79" w:themeColor="accent5" w:themeShade="80"/>
          <w:sz w:val="24"/>
          <w:szCs w:val="24"/>
        </w:rPr>
        <w:t xml:space="preserve">  This presents a significant burden on staff and patients.</w:t>
      </w:r>
      <w:r w:rsidRPr="00E940CF">
        <w:rPr>
          <w:rFonts w:ascii="Aptos" w:hAnsi="Aptos" w:cs="Times New Roman"/>
          <w:color w:val="1F4E79" w:themeColor="accent5" w:themeShade="80"/>
          <w:sz w:val="24"/>
          <w:szCs w:val="24"/>
        </w:rPr>
        <w:t xml:space="preserve">  A second on-site LINAC would allow certain treatments to be provided simultaneously</w:t>
      </w:r>
      <w:r w:rsidR="003B2845" w:rsidRPr="00E940CF">
        <w:rPr>
          <w:rFonts w:ascii="Aptos" w:hAnsi="Aptos" w:cs="Times New Roman"/>
          <w:color w:val="1F4E79" w:themeColor="accent5" w:themeShade="80"/>
          <w:sz w:val="24"/>
          <w:szCs w:val="24"/>
        </w:rPr>
        <w:t xml:space="preserve"> on two LINACs</w:t>
      </w:r>
      <w:r w:rsidRPr="00E940CF">
        <w:rPr>
          <w:rFonts w:ascii="Aptos" w:hAnsi="Aptos" w:cs="Times New Roman"/>
          <w:color w:val="1F4E79" w:themeColor="accent5" w:themeShade="80"/>
          <w:sz w:val="24"/>
          <w:szCs w:val="24"/>
        </w:rPr>
        <w:t xml:space="preserve"> and thus reduce the need for the Applicant to extend treatment hours (and incur the burden on</w:t>
      </w:r>
      <w:r w:rsidR="003B2845" w:rsidRPr="00E940CF">
        <w:rPr>
          <w:rFonts w:ascii="Aptos" w:hAnsi="Aptos" w:cs="Times New Roman"/>
          <w:color w:val="1F4E79" w:themeColor="accent5" w:themeShade="80"/>
          <w:sz w:val="24"/>
          <w:szCs w:val="24"/>
        </w:rPr>
        <w:t xml:space="preserve"> patients,</w:t>
      </w:r>
      <w:r w:rsidRPr="00E940CF">
        <w:rPr>
          <w:rFonts w:ascii="Aptos" w:hAnsi="Aptos" w:cs="Times New Roman"/>
          <w:color w:val="1F4E79" w:themeColor="accent5" w:themeShade="80"/>
          <w:sz w:val="24"/>
          <w:szCs w:val="24"/>
        </w:rPr>
        <w:t xml:space="preserve"> staff and the Applicant of additional costs and work</w:t>
      </w:r>
      <w:r w:rsidR="003B2845" w:rsidRPr="00E940CF">
        <w:rPr>
          <w:rFonts w:ascii="Aptos" w:hAnsi="Aptos" w:cs="Times New Roman"/>
          <w:color w:val="1F4E79" w:themeColor="accent5" w:themeShade="80"/>
          <w:sz w:val="24"/>
          <w:szCs w:val="24"/>
        </w:rPr>
        <w:t>/treatment</w:t>
      </w:r>
      <w:r w:rsidRPr="00E940CF">
        <w:rPr>
          <w:rFonts w:ascii="Aptos" w:hAnsi="Aptos" w:cs="Times New Roman"/>
          <w:color w:val="1F4E79" w:themeColor="accent5" w:themeShade="80"/>
          <w:sz w:val="24"/>
          <w:szCs w:val="24"/>
        </w:rPr>
        <w:t xml:space="preserve"> hours).</w:t>
      </w:r>
      <w:r w:rsidR="00F973EF" w:rsidRPr="00E940CF">
        <w:rPr>
          <w:rFonts w:ascii="Aptos" w:hAnsi="Aptos" w:cs="Times New Roman"/>
          <w:color w:val="1F4E79" w:themeColor="accent5" w:themeShade="80"/>
          <w:sz w:val="24"/>
          <w:szCs w:val="24"/>
        </w:rPr>
        <w:t xml:space="preserve">  </w:t>
      </w:r>
    </w:p>
    <w:p w14:paraId="60D265B9" w14:textId="1CA79C4C" w:rsidR="00F973EF" w:rsidRPr="00E940CF" w:rsidRDefault="007543DE" w:rsidP="007D766E">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Additionally, the Applicant’s SRS program </w:t>
      </w:r>
      <w:proofErr w:type="gramStart"/>
      <w:r w:rsidR="00F973EF" w:rsidRPr="00E940CF">
        <w:rPr>
          <w:rFonts w:ascii="Aptos" w:hAnsi="Aptos" w:cs="Times New Roman"/>
          <w:color w:val="1F4E79" w:themeColor="accent5" w:themeShade="80"/>
          <w:sz w:val="24"/>
          <w:szCs w:val="24"/>
        </w:rPr>
        <w:t>is located in</w:t>
      </w:r>
      <w:proofErr w:type="gramEnd"/>
      <w:r w:rsidR="00F973EF" w:rsidRPr="00E940CF">
        <w:rPr>
          <w:rFonts w:ascii="Aptos" w:hAnsi="Aptos" w:cs="Times New Roman"/>
          <w:color w:val="1F4E79" w:themeColor="accent5" w:themeShade="80"/>
          <w:sz w:val="24"/>
          <w:szCs w:val="24"/>
        </w:rPr>
        <w:t xml:space="preserve"> </w:t>
      </w:r>
      <w:r w:rsidRPr="00E940CF">
        <w:rPr>
          <w:rFonts w:ascii="Aptos" w:hAnsi="Aptos" w:cs="Times New Roman"/>
          <w:color w:val="1F4E79" w:themeColor="accent5" w:themeShade="80"/>
          <w:sz w:val="24"/>
          <w:szCs w:val="24"/>
        </w:rPr>
        <w:t>the</w:t>
      </w:r>
      <w:r w:rsidR="00F973EF" w:rsidRPr="00E940CF">
        <w:rPr>
          <w:rFonts w:ascii="Aptos" w:hAnsi="Aptos" w:cs="Times New Roman"/>
          <w:color w:val="1F4E79" w:themeColor="accent5" w:themeShade="80"/>
          <w:sz w:val="24"/>
          <w:szCs w:val="24"/>
        </w:rPr>
        <w:t xml:space="preserve"> Fairhaven</w:t>
      </w:r>
      <w:r w:rsidRPr="00E940CF">
        <w:rPr>
          <w:rFonts w:ascii="Aptos" w:hAnsi="Aptos" w:cs="Times New Roman"/>
          <w:color w:val="1F4E79" w:themeColor="accent5" w:themeShade="80"/>
          <w:sz w:val="24"/>
          <w:szCs w:val="24"/>
        </w:rPr>
        <w:t xml:space="preserve"> Cancer Center</w:t>
      </w:r>
      <w:r w:rsidR="00F973EF" w:rsidRPr="00E940CF">
        <w:rPr>
          <w:rFonts w:ascii="Aptos" w:hAnsi="Aptos" w:cs="Times New Roman"/>
          <w:color w:val="1F4E79" w:themeColor="accent5" w:themeShade="80"/>
          <w:sz w:val="24"/>
          <w:szCs w:val="24"/>
        </w:rPr>
        <w:t xml:space="preserve"> </w:t>
      </w:r>
      <w:r w:rsidRPr="00E940CF">
        <w:rPr>
          <w:rFonts w:ascii="Aptos" w:hAnsi="Aptos" w:cs="Times New Roman"/>
          <w:color w:val="1F4E79" w:themeColor="accent5" w:themeShade="80"/>
          <w:sz w:val="24"/>
          <w:szCs w:val="24"/>
        </w:rPr>
        <w:t>location (see SRS program projections below).  These procedures are</w:t>
      </w:r>
      <w:r w:rsidR="00401E30" w:rsidRPr="00E940CF">
        <w:rPr>
          <w:rFonts w:ascii="Aptos" w:hAnsi="Aptos" w:cs="Times New Roman"/>
          <w:color w:val="1F4E79" w:themeColor="accent5" w:themeShade="80"/>
          <w:sz w:val="24"/>
          <w:szCs w:val="24"/>
        </w:rPr>
        <w:t xml:space="preserve"> more</w:t>
      </w:r>
      <w:r w:rsidR="00F973EF" w:rsidRPr="00E940CF">
        <w:rPr>
          <w:rFonts w:ascii="Aptos" w:hAnsi="Aptos" w:cs="Times New Roman"/>
          <w:color w:val="1F4E79" w:themeColor="accent5" w:themeShade="80"/>
          <w:sz w:val="24"/>
          <w:szCs w:val="24"/>
        </w:rPr>
        <w:t xml:space="preserve"> time</w:t>
      </w:r>
      <w:r w:rsidR="00510018" w:rsidRPr="00E940CF">
        <w:rPr>
          <w:rFonts w:ascii="Aptos" w:hAnsi="Aptos" w:cs="Times New Roman"/>
          <w:color w:val="1F4E79" w:themeColor="accent5" w:themeShade="80"/>
          <w:sz w:val="24"/>
          <w:szCs w:val="24"/>
        </w:rPr>
        <w:t>-</w:t>
      </w:r>
      <w:r w:rsidR="00F973EF" w:rsidRPr="00E940CF">
        <w:rPr>
          <w:rFonts w:ascii="Aptos" w:hAnsi="Aptos" w:cs="Times New Roman"/>
          <w:color w:val="1F4E79" w:themeColor="accent5" w:themeShade="80"/>
          <w:sz w:val="24"/>
          <w:szCs w:val="24"/>
        </w:rPr>
        <w:t>consuming than standard procedures</w:t>
      </w:r>
      <w:r w:rsidRPr="00E940CF">
        <w:rPr>
          <w:rFonts w:ascii="Aptos" w:hAnsi="Aptos" w:cs="Times New Roman"/>
          <w:color w:val="1F4E79" w:themeColor="accent5" w:themeShade="80"/>
          <w:sz w:val="24"/>
          <w:szCs w:val="24"/>
        </w:rPr>
        <w:t xml:space="preserve"> on the LINAC, which means that from a projected capacity perspective, the Applicant anticipates that capacity will be more</w:t>
      </w:r>
      <w:r w:rsidR="00F973EF" w:rsidRPr="00E940CF">
        <w:rPr>
          <w:rFonts w:ascii="Aptos" w:hAnsi="Aptos" w:cs="Times New Roman"/>
          <w:color w:val="1F4E79" w:themeColor="accent5" w:themeShade="80"/>
          <w:sz w:val="24"/>
          <w:szCs w:val="24"/>
        </w:rPr>
        <w:t xml:space="preserve"> challenged </w:t>
      </w:r>
      <w:r w:rsidRPr="00E940CF">
        <w:rPr>
          <w:rFonts w:ascii="Aptos" w:hAnsi="Aptos" w:cs="Times New Roman"/>
          <w:color w:val="1F4E79" w:themeColor="accent5" w:themeShade="80"/>
          <w:sz w:val="24"/>
          <w:szCs w:val="24"/>
        </w:rPr>
        <w:t>at the</w:t>
      </w:r>
      <w:r w:rsidR="00F973EF" w:rsidRPr="00E940CF">
        <w:rPr>
          <w:rFonts w:ascii="Aptos" w:hAnsi="Aptos" w:cs="Times New Roman"/>
          <w:color w:val="1F4E79" w:themeColor="accent5" w:themeShade="80"/>
          <w:sz w:val="24"/>
          <w:szCs w:val="24"/>
        </w:rPr>
        <w:t xml:space="preserve"> Fairhaven</w:t>
      </w:r>
      <w:r w:rsidRPr="00E940CF">
        <w:rPr>
          <w:rFonts w:ascii="Aptos" w:hAnsi="Aptos" w:cs="Times New Roman"/>
          <w:color w:val="1F4E79" w:themeColor="accent5" w:themeShade="80"/>
          <w:sz w:val="24"/>
          <w:szCs w:val="24"/>
        </w:rPr>
        <w:t xml:space="preserve"> Cancer Center location in the future due to the additional demand.  Accordingly, the data further </w:t>
      </w:r>
      <w:proofErr w:type="gramStart"/>
      <w:r w:rsidRPr="00E940CF">
        <w:rPr>
          <w:rFonts w:ascii="Aptos" w:hAnsi="Aptos" w:cs="Times New Roman"/>
          <w:color w:val="1F4E79" w:themeColor="accent5" w:themeShade="80"/>
          <w:sz w:val="24"/>
          <w:szCs w:val="24"/>
        </w:rPr>
        <w:t>support</w:t>
      </w:r>
      <w:proofErr w:type="gramEnd"/>
      <w:r w:rsidRPr="00E940CF">
        <w:rPr>
          <w:rFonts w:ascii="Aptos" w:hAnsi="Aptos" w:cs="Times New Roman"/>
          <w:color w:val="1F4E79" w:themeColor="accent5" w:themeShade="80"/>
          <w:sz w:val="24"/>
          <w:szCs w:val="24"/>
        </w:rPr>
        <w:t xml:space="preserve"> the Application and proposal for a second LINAC to be utilized on-site at the Fairhaven Cancer Center.</w:t>
      </w:r>
    </w:p>
    <w:p w14:paraId="5E35DF8A" w14:textId="549FECBB" w:rsidR="003D47E9" w:rsidRPr="009E0449" w:rsidRDefault="003D47E9" w:rsidP="00035C83">
      <w:pPr>
        <w:keepNext/>
        <w:ind w:left="360"/>
        <w:rPr>
          <w:rFonts w:ascii="Aptos" w:hAnsi="Aptos" w:cs="Times New Roman"/>
          <w:color w:val="1F4E79" w:themeColor="accent5" w:themeShade="80"/>
          <w:sz w:val="24"/>
          <w:szCs w:val="24"/>
        </w:rPr>
      </w:pPr>
      <w:r w:rsidRPr="009E0449">
        <w:rPr>
          <w:rFonts w:ascii="Aptos" w:hAnsi="Aptos" w:cs="Times New Roman"/>
          <w:i/>
          <w:iCs/>
          <w:color w:val="1F4E79" w:themeColor="accent5" w:themeShade="80"/>
          <w:sz w:val="24"/>
          <w:szCs w:val="24"/>
        </w:rPr>
        <w:t>SBRT Treatment Volume Projections</w:t>
      </w:r>
    </w:p>
    <w:p w14:paraId="1649B0C1" w14:textId="3B37B54C" w:rsidR="003D47E9" w:rsidRPr="00E940CF" w:rsidRDefault="003D47E9" w:rsidP="007D766E">
      <w:pPr>
        <w:ind w:left="360"/>
        <w:rPr>
          <w:rFonts w:ascii="Aptos" w:hAnsi="Aptos" w:cs="Times New Roman"/>
          <w:color w:val="1F4E79" w:themeColor="accent5" w:themeShade="80"/>
          <w:sz w:val="24"/>
          <w:szCs w:val="24"/>
        </w:rPr>
      </w:pPr>
      <w:proofErr w:type="gramStart"/>
      <w:r w:rsidRPr="00E940CF">
        <w:rPr>
          <w:rFonts w:ascii="Aptos" w:hAnsi="Aptos" w:cs="Times New Roman"/>
          <w:color w:val="1F4E79" w:themeColor="accent5" w:themeShade="80"/>
          <w:sz w:val="24"/>
          <w:szCs w:val="24"/>
        </w:rPr>
        <w:t>Similar to</w:t>
      </w:r>
      <w:proofErr w:type="gramEnd"/>
      <w:r w:rsidRPr="00E940CF">
        <w:rPr>
          <w:rFonts w:ascii="Aptos" w:hAnsi="Aptos" w:cs="Times New Roman"/>
          <w:color w:val="1F4E79" w:themeColor="accent5" w:themeShade="80"/>
          <w:sz w:val="24"/>
          <w:szCs w:val="24"/>
        </w:rPr>
        <w:t xml:space="preserve"> the overall LINAC treatment volume trends, the Applicant has seen steady year-over-year</w:t>
      </w:r>
      <w:r w:rsidR="00663251" w:rsidRPr="00E940CF">
        <w:rPr>
          <w:rFonts w:ascii="Aptos" w:hAnsi="Aptos" w:cs="Times New Roman"/>
          <w:color w:val="1F4E79" w:themeColor="accent5" w:themeShade="80"/>
          <w:sz w:val="24"/>
          <w:szCs w:val="24"/>
        </w:rPr>
        <w:t xml:space="preserve"> increases in SBRT treatment volumes at both of its LINAC sites in Fall River and Fairhaven, respectively.  A</w:t>
      </w:r>
      <w:r w:rsidRPr="00E940CF">
        <w:rPr>
          <w:rFonts w:ascii="Aptos" w:hAnsi="Aptos" w:cs="Times New Roman"/>
          <w:color w:val="1F4E79" w:themeColor="accent5" w:themeShade="80"/>
          <w:sz w:val="24"/>
          <w:szCs w:val="24"/>
        </w:rPr>
        <w:t xml:space="preserve">s background, the Applicant’s SBRT treatment program commenced in approximately 2010, and at that time was largely limited to lung cancer </w:t>
      </w:r>
      <w:r w:rsidRPr="00E940CF">
        <w:rPr>
          <w:rFonts w:ascii="Aptos" w:hAnsi="Aptos" w:cs="Times New Roman"/>
          <w:color w:val="1F4E79" w:themeColor="accent5" w:themeShade="80"/>
          <w:sz w:val="24"/>
          <w:szCs w:val="24"/>
        </w:rPr>
        <w:lastRenderedPageBreak/>
        <w:t xml:space="preserve">treatments.  The Applicant has expanded the SBRT program capabilities in recent years, and the SBRT treatment program now treats multiple cancer disease sites, including </w:t>
      </w:r>
      <w:proofErr w:type="gramStart"/>
      <w:r w:rsidRPr="00E940CF">
        <w:rPr>
          <w:rFonts w:ascii="Aptos" w:hAnsi="Aptos" w:cs="Times New Roman"/>
          <w:color w:val="1F4E79" w:themeColor="accent5" w:themeShade="80"/>
          <w:sz w:val="24"/>
          <w:szCs w:val="24"/>
        </w:rPr>
        <w:t>lung</w:t>
      </w:r>
      <w:proofErr w:type="gramEnd"/>
      <w:r w:rsidRPr="00E940CF">
        <w:rPr>
          <w:rFonts w:ascii="Aptos" w:hAnsi="Aptos" w:cs="Times New Roman"/>
          <w:color w:val="1F4E79" w:themeColor="accent5" w:themeShade="80"/>
          <w:sz w:val="24"/>
          <w:szCs w:val="24"/>
        </w:rPr>
        <w:t xml:space="preserve">, </w:t>
      </w:r>
      <w:proofErr w:type="gramStart"/>
      <w:r w:rsidRPr="00E940CF">
        <w:rPr>
          <w:rFonts w:ascii="Aptos" w:hAnsi="Aptos" w:cs="Times New Roman"/>
          <w:color w:val="1F4E79" w:themeColor="accent5" w:themeShade="80"/>
          <w:sz w:val="24"/>
          <w:szCs w:val="24"/>
        </w:rPr>
        <w:t>liver</w:t>
      </w:r>
      <w:proofErr w:type="gramEnd"/>
      <w:r w:rsidRPr="00E940CF">
        <w:rPr>
          <w:rFonts w:ascii="Aptos" w:hAnsi="Aptos" w:cs="Times New Roman"/>
          <w:color w:val="1F4E79" w:themeColor="accent5" w:themeShade="80"/>
          <w:sz w:val="24"/>
          <w:szCs w:val="24"/>
        </w:rPr>
        <w:t xml:space="preserve">, </w:t>
      </w:r>
      <w:proofErr w:type="gramStart"/>
      <w:r w:rsidRPr="00E940CF">
        <w:rPr>
          <w:rFonts w:ascii="Aptos" w:hAnsi="Aptos" w:cs="Times New Roman"/>
          <w:color w:val="1F4E79" w:themeColor="accent5" w:themeShade="80"/>
          <w:sz w:val="24"/>
          <w:szCs w:val="24"/>
        </w:rPr>
        <w:t>kidney</w:t>
      </w:r>
      <w:proofErr w:type="gramEnd"/>
      <w:r w:rsidRPr="00E940CF">
        <w:rPr>
          <w:rFonts w:ascii="Aptos" w:hAnsi="Aptos" w:cs="Times New Roman"/>
          <w:color w:val="1F4E79" w:themeColor="accent5" w:themeShade="80"/>
          <w:sz w:val="24"/>
          <w:szCs w:val="24"/>
        </w:rPr>
        <w:t xml:space="preserve">, </w:t>
      </w:r>
      <w:proofErr w:type="gramStart"/>
      <w:r w:rsidRPr="00E940CF">
        <w:rPr>
          <w:rFonts w:ascii="Aptos" w:hAnsi="Aptos" w:cs="Times New Roman"/>
          <w:color w:val="1F4E79" w:themeColor="accent5" w:themeShade="80"/>
          <w:sz w:val="24"/>
          <w:szCs w:val="24"/>
        </w:rPr>
        <w:t>spine</w:t>
      </w:r>
      <w:proofErr w:type="gramEnd"/>
      <w:r w:rsidRPr="00E940CF">
        <w:rPr>
          <w:rFonts w:ascii="Aptos" w:hAnsi="Aptos" w:cs="Times New Roman"/>
          <w:color w:val="1F4E79" w:themeColor="accent5" w:themeShade="80"/>
          <w:sz w:val="24"/>
          <w:szCs w:val="24"/>
        </w:rPr>
        <w:t>, and bone metastases.</w:t>
      </w:r>
    </w:p>
    <w:p w14:paraId="63330065" w14:textId="43986C29" w:rsidR="00663251" w:rsidRPr="00E940CF" w:rsidRDefault="00663251" w:rsidP="00663251">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Below please find </w:t>
      </w:r>
      <w:r w:rsidR="0061332D" w:rsidRPr="00E940CF">
        <w:rPr>
          <w:rFonts w:ascii="Aptos" w:hAnsi="Aptos" w:cs="Times New Roman"/>
          <w:color w:val="1F4E79" w:themeColor="accent5" w:themeShade="80"/>
          <w:sz w:val="24"/>
          <w:szCs w:val="24"/>
        </w:rPr>
        <w:t>a Table</w:t>
      </w:r>
      <w:r w:rsidRPr="00E940CF">
        <w:rPr>
          <w:rFonts w:ascii="Aptos" w:hAnsi="Aptos" w:cs="Times New Roman"/>
          <w:color w:val="1F4E79" w:themeColor="accent5" w:themeShade="80"/>
          <w:sz w:val="24"/>
          <w:szCs w:val="24"/>
        </w:rPr>
        <w:t xml:space="preserve"> showing annual patient volume for SBRT treatments in each location.  The projections are based on a linear trend of historic data with forward projections over 5 years.  At the Applicant’s Fairhaven Cancer Center location, the Applicant treated 42 SBRT patients in </w:t>
      </w:r>
      <w:r w:rsidR="003B2845" w:rsidRPr="00E940CF">
        <w:rPr>
          <w:rFonts w:ascii="Aptos" w:hAnsi="Aptos" w:cs="Times New Roman"/>
          <w:color w:val="1F4E79" w:themeColor="accent5" w:themeShade="80"/>
          <w:sz w:val="24"/>
          <w:szCs w:val="24"/>
        </w:rPr>
        <w:t>FY</w:t>
      </w:r>
      <w:r w:rsidRPr="00E940CF">
        <w:rPr>
          <w:rFonts w:ascii="Aptos" w:hAnsi="Aptos" w:cs="Times New Roman"/>
          <w:color w:val="1F4E79" w:themeColor="accent5" w:themeShade="80"/>
          <w:sz w:val="24"/>
          <w:szCs w:val="24"/>
        </w:rPr>
        <w:t xml:space="preserve">25.  The Applicant expects the SBRT volume at its Fairhaven Cancer Center site to grow to approximately 70 patients </w:t>
      </w:r>
      <w:r w:rsidR="003B2845" w:rsidRPr="00E940CF">
        <w:rPr>
          <w:rFonts w:ascii="Aptos" w:hAnsi="Aptos" w:cs="Times New Roman"/>
          <w:color w:val="1F4E79" w:themeColor="accent5" w:themeShade="80"/>
          <w:sz w:val="24"/>
          <w:szCs w:val="24"/>
        </w:rPr>
        <w:t>through FY</w:t>
      </w:r>
      <w:r w:rsidRPr="00E940CF">
        <w:rPr>
          <w:rFonts w:ascii="Aptos" w:hAnsi="Aptos" w:cs="Times New Roman"/>
          <w:color w:val="1F4E79" w:themeColor="accent5" w:themeShade="80"/>
          <w:sz w:val="24"/>
          <w:szCs w:val="24"/>
        </w:rPr>
        <w:t xml:space="preserve"> 2030.  At the Applicant’s Fall River treatment site, the Applicant treated 46 SBRT patients in</w:t>
      </w:r>
      <w:r w:rsidR="003B2845" w:rsidRPr="00E940CF">
        <w:rPr>
          <w:rFonts w:ascii="Aptos" w:hAnsi="Aptos" w:cs="Times New Roman"/>
          <w:color w:val="1F4E79" w:themeColor="accent5" w:themeShade="80"/>
          <w:sz w:val="24"/>
          <w:szCs w:val="24"/>
        </w:rPr>
        <w:t xml:space="preserve"> FY</w:t>
      </w:r>
      <w:r w:rsidRPr="00E940CF">
        <w:rPr>
          <w:rFonts w:ascii="Aptos" w:hAnsi="Aptos" w:cs="Times New Roman"/>
          <w:color w:val="1F4E79" w:themeColor="accent5" w:themeShade="80"/>
          <w:sz w:val="24"/>
          <w:szCs w:val="24"/>
        </w:rPr>
        <w:t xml:space="preserve">25 and expects that volume to grow to approximately 70 patients in 2030.  </w:t>
      </w:r>
    </w:p>
    <w:p w14:paraId="0D8D59A7" w14:textId="77777777" w:rsidR="004D0B28" w:rsidRPr="00E940CF" w:rsidRDefault="004D0B28" w:rsidP="00663251">
      <w:pPr>
        <w:ind w:left="360"/>
        <w:rPr>
          <w:rFonts w:ascii="Aptos" w:hAnsi="Aptos" w:cs="Times New Roman"/>
          <w:color w:val="1F4E79" w:themeColor="accent5" w:themeShade="80"/>
          <w:sz w:val="24"/>
          <w:szCs w:val="24"/>
        </w:rPr>
      </w:pPr>
    </w:p>
    <w:tbl>
      <w:tblPr>
        <w:tblW w:w="7600" w:type="dxa"/>
        <w:tblInd w:w="355" w:type="dxa"/>
        <w:tblLook w:val="04A0" w:firstRow="1" w:lastRow="0" w:firstColumn="1" w:lastColumn="0" w:noHBand="0" w:noVBand="1"/>
        <w:tblCaption w:val="Annual patient volume for SBRT treatments in each location"/>
      </w:tblPr>
      <w:tblGrid>
        <w:gridCol w:w="2960"/>
        <w:gridCol w:w="2480"/>
        <w:gridCol w:w="2160"/>
      </w:tblGrid>
      <w:tr w:rsidR="00F77E0B" w:rsidRPr="00E940CF" w14:paraId="45D6F220" w14:textId="77777777" w:rsidTr="008001F8">
        <w:trPr>
          <w:cantSplit/>
          <w:trHeight w:val="840"/>
          <w:tblHeader/>
        </w:trPr>
        <w:tc>
          <w:tcPr>
            <w:tcW w:w="296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FAA5363" w14:textId="77777777" w:rsidR="00F77E0B" w:rsidRPr="00E940CF" w:rsidRDefault="00F77E0B" w:rsidP="00E67CD8">
            <w:pPr>
              <w:spacing w:after="0" w:line="240" w:lineRule="auto"/>
              <w:jc w:val="center"/>
              <w:rPr>
                <w:rFonts w:ascii="Aptos" w:eastAsia="Times New Roman" w:hAnsi="Aptos" w:cs="Times New Roman"/>
                <w:b/>
                <w:bCs/>
                <w:color w:val="1F4E79"/>
                <w:sz w:val="24"/>
                <w:szCs w:val="24"/>
              </w:rPr>
            </w:pPr>
            <w:r w:rsidRPr="00E940CF">
              <w:rPr>
                <w:rFonts w:ascii="Aptos" w:eastAsia="Times New Roman" w:hAnsi="Aptos" w:cs="Times New Roman"/>
                <w:b/>
                <w:bCs/>
                <w:color w:val="1F4E79"/>
                <w:sz w:val="24"/>
                <w:szCs w:val="24"/>
              </w:rPr>
              <w:t>Applicant Fiscal Year</w:t>
            </w:r>
          </w:p>
        </w:tc>
        <w:tc>
          <w:tcPr>
            <w:tcW w:w="2480" w:type="dxa"/>
            <w:tcBorders>
              <w:top w:val="single" w:sz="4" w:space="0" w:color="auto"/>
              <w:left w:val="nil"/>
              <w:bottom w:val="single" w:sz="4" w:space="0" w:color="auto"/>
              <w:right w:val="single" w:sz="4" w:space="0" w:color="auto"/>
            </w:tcBorders>
            <w:shd w:val="clear" w:color="000000" w:fill="D9E1F2"/>
            <w:vAlign w:val="center"/>
            <w:hideMark/>
          </w:tcPr>
          <w:p w14:paraId="544DE796" w14:textId="40289360" w:rsidR="00F77E0B" w:rsidRPr="00E940CF" w:rsidRDefault="00F77E0B" w:rsidP="00E67CD8">
            <w:pPr>
              <w:spacing w:after="0" w:line="240" w:lineRule="auto"/>
              <w:jc w:val="center"/>
              <w:rPr>
                <w:rFonts w:ascii="Aptos" w:eastAsia="Times New Roman" w:hAnsi="Aptos" w:cs="Times New Roman"/>
                <w:b/>
                <w:bCs/>
                <w:color w:val="1F4E79"/>
                <w:sz w:val="24"/>
                <w:szCs w:val="24"/>
              </w:rPr>
            </w:pPr>
            <w:r w:rsidRPr="00E940CF">
              <w:rPr>
                <w:rFonts w:ascii="Aptos" w:eastAsia="Times New Roman" w:hAnsi="Aptos" w:cs="Times New Roman"/>
                <w:b/>
                <w:bCs/>
                <w:color w:val="1F4E79"/>
                <w:sz w:val="24"/>
                <w:szCs w:val="24"/>
              </w:rPr>
              <w:t xml:space="preserve">Fall River (CMH) SBRT </w:t>
            </w:r>
            <w:r w:rsidR="0083517F" w:rsidRPr="00E940CF">
              <w:rPr>
                <w:rFonts w:ascii="Aptos" w:eastAsia="Times New Roman" w:hAnsi="Aptos" w:cs="Times New Roman"/>
                <w:b/>
                <w:bCs/>
                <w:color w:val="1F4E79"/>
                <w:sz w:val="24"/>
                <w:szCs w:val="24"/>
              </w:rPr>
              <w:t xml:space="preserve">Patient </w:t>
            </w:r>
            <w:r w:rsidRPr="00E940CF">
              <w:rPr>
                <w:rFonts w:ascii="Aptos" w:eastAsia="Times New Roman" w:hAnsi="Aptos" w:cs="Times New Roman"/>
                <w:b/>
                <w:bCs/>
                <w:color w:val="1F4E79"/>
                <w:sz w:val="24"/>
                <w:szCs w:val="24"/>
              </w:rPr>
              <w:t>Volume</w:t>
            </w:r>
          </w:p>
        </w:tc>
        <w:tc>
          <w:tcPr>
            <w:tcW w:w="2160" w:type="dxa"/>
            <w:tcBorders>
              <w:top w:val="single" w:sz="4" w:space="0" w:color="auto"/>
              <w:left w:val="nil"/>
              <w:bottom w:val="single" w:sz="4" w:space="0" w:color="auto"/>
              <w:right w:val="single" w:sz="4" w:space="0" w:color="auto"/>
            </w:tcBorders>
            <w:shd w:val="clear" w:color="000000" w:fill="D9E1F2"/>
            <w:vAlign w:val="center"/>
            <w:hideMark/>
          </w:tcPr>
          <w:p w14:paraId="4BBA518A" w14:textId="6FD79ED6" w:rsidR="00F77E0B" w:rsidRPr="00E940CF" w:rsidRDefault="00F77E0B" w:rsidP="00E67CD8">
            <w:pPr>
              <w:spacing w:after="0" w:line="240" w:lineRule="auto"/>
              <w:jc w:val="center"/>
              <w:rPr>
                <w:rFonts w:ascii="Aptos" w:eastAsia="Times New Roman" w:hAnsi="Aptos" w:cs="Times New Roman"/>
                <w:b/>
                <w:bCs/>
                <w:color w:val="1F4E79"/>
                <w:sz w:val="24"/>
                <w:szCs w:val="24"/>
              </w:rPr>
            </w:pPr>
            <w:r w:rsidRPr="00E940CF">
              <w:rPr>
                <w:rFonts w:ascii="Aptos" w:eastAsia="Times New Roman" w:hAnsi="Aptos" w:cs="Times New Roman"/>
                <w:b/>
                <w:bCs/>
                <w:color w:val="1F4E79"/>
                <w:sz w:val="24"/>
                <w:szCs w:val="24"/>
              </w:rPr>
              <w:t xml:space="preserve">Fairhaven Cancer Center SBRT </w:t>
            </w:r>
            <w:r w:rsidR="0083517F" w:rsidRPr="00E940CF">
              <w:rPr>
                <w:rFonts w:ascii="Aptos" w:eastAsia="Times New Roman" w:hAnsi="Aptos" w:cs="Times New Roman"/>
                <w:b/>
                <w:bCs/>
                <w:color w:val="1F4E79"/>
                <w:sz w:val="24"/>
                <w:szCs w:val="24"/>
              </w:rPr>
              <w:t xml:space="preserve">Patient </w:t>
            </w:r>
            <w:r w:rsidRPr="00E940CF">
              <w:rPr>
                <w:rFonts w:ascii="Aptos" w:eastAsia="Times New Roman" w:hAnsi="Aptos" w:cs="Times New Roman"/>
                <w:b/>
                <w:bCs/>
                <w:color w:val="1F4E79"/>
                <w:sz w:val="24"/>
                <w:szCs w:val="24"/>
              </w:rPr>
              <w:t>Volume</w:t>
            </w:r>
          </w:p>
        </w:tc>
      </w:tr>
      <w:tr w:rsidR="00F77E0B" w:rsidRPr="00E940CF" w14:paraId="192284F7" w14:textId="77777777" w:rsidTr="008001F8">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62138B0B" w14:textId="77777777" w:rsidR="00F77E0B" w:rsidRPr="00E940CF" w:rsidRDefault="00F77E0B" w:rsidP="00E67CD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FY23</w:t>
            </w:r>
          </w:p>
        </w:tc>
        <w:tc>
          <w:tcPr>
            <w:tcW w:w="2480" w:type="dxa"/>
            <w:tcBorders>
              <w:top w:val="nil"/>
              <w:left w:val="nil"/>
              <w:bottom w:val="single" w:sz="4" w:space="0" w:color="auto"/>
              <w:right w:val="single" w:sz="4" w:space="0" w:color="auto"/>
            </w:tcBorders>
            <w:noWrap/>
            <w:vAlign w:val="bottom"/>
            <w:hideMark/>
          </w:tcPr>
          <w:p w14:paraId="22CA0189" w14:textId="0E183023" w:rsidR="00F77E0B" w:rsidRPr="00E940CF" w:rsidRDefault="005E26E5"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33</w:t>
            </w:r>
          </w:p>
        </w:tc>
        <w:tc>
          <w:tcPr>
            <w:tcW w:w="2160" w:type="dxa"/>
            <w:tcBorders>
              <w:top w:val="nil"/>
              <w:left w:val="nil"/>
              <w:bottom w:val="single" w:sz="4" w:space="0" w:color="auto"/>
              <w:right w:val="single" w:sz="4" w:space="0" w:color="auto"/>
            </w:tcBorders>
            <w:noWrap/>
            <w:vAlign w:val="bottom"/>
            <w:hideMark/>
          </w:tcPr>
          <w:p w14:paraId="3AA9A4C2" w14:textId="7459C0D9" w:rsidR="00F77E0B" w:rsidRPr="00E940CF" w:rsidRDefault="00486FB7"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33</w:t>
            </w:r>
          </w:p>
        </w:tc>
      </w:tr>
      <w:tr w:rsidR="00F77E0B" w:rsidRPr="00E940CF" w14:paraId="6CB3D0B4" w14:textId="77777777" w:rsidTr="008001F8">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5C53AD14" w14:textId="77777777" w:rsidR="00F77E0B" w:rsidRPr="00E940CF" w:rsidRDefault="00F77E0B" w:rsidP="00E67CD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FY24</w:t>
            </w:r>
          </w:p>
        </w:tc>
        <w:tc>
          <w:tcPr>
            <w:tcW w:w="2480" w:type="dxa"/>
            <w:tcBorders>
              <w:top w:val="nil"/>
              <w:left w:val="nil"/>
              <w:bottom w:val="single" w:sz="4" w:space="0" w:color="auto"/>
              <w:right w:val="single" w:sz="4" w:space="0" w:color="auto"/>
            </w:tcBorders>
            <w:noWrap/>
            <w:vAlign w:val="bottom"/>
            <w:hideMark/>
          </w:tcPr>
          <w:p w14:paraId="1123BEB2" w14:textId="3A039822" w:rsidR="00F77E0B" w:rsidRPr="00E940CF" w:rsidRDefault="005E26E5"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45</w:t>
            </w:r>
          </w:p>
        </w:tc>
        <w:tc>
          <w:tcPr>
            <w:tcW w:w="2160" w:type="dxa"/>
            <w:tcBorders>
              <w:top w:val="nil"/>
              <w:left w:val="nil"/>
              <w:bottom w:val="single" w:sz="4" w:space="0" w:color="auto"/>
              <w:right w:val="single" w:sz="4" w:space="0" w:color="auto"/>
            </w:tcBorders>
            <w:noWrap/>
            <w:vAlign w:val="bottom"/>
            <w:hideMark/>
          </w:tcPr>
          <w:p w14:paraId="235771C1" w14:textId="0BC25D1F" w:rsidR="00F77E0B" w:rsidRPr="00E940CF" w:rsidRDefault="00486FB7"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42</w:t>
            </w:r>
          </w:p>
        </w:tc>
      </w:tr>
      <w:tr w:rsidR="00F77E0B" w:rsidRPr="00E940CF" w14:paraId="2AAA76D5" w14:textId="77777777" w:rsidTr="008001F8">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hideMark/>
          </w:tcPr>
          <w:p w14:paraId="495A7031" w14:textId="77777777" w:rsidR="00F77E0B" w:rsidRPr="00E940CF" w:rsidRDefault="00F77E0B" w:rsidP="00E67CD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FY25</w:t>
            </w:r>
          </w:p>
        </w:tc>
        <w:tc>
          <w:tcPr>
            <w:tcW w:w="2480" w:type="dxa"/>
            <w:tcBorders>
              <w:top w:val="single" w:sz="4" w:space="0" w:color="auto"/>
              <w:left w:val="nil"/>
              <w:bottom w:val="single" w:sz="4" w:space="0" w:color="auto"/>
              <w:right w:val="single" w:sz="4" w:space="0" w:color="auto"/>
            </w:tcBorders>
            <w:noWrap/>
            <w:vAlign w:val="bottom"/>
            <w:hideMark/>
          </w:tcPr>
          <w:p w14:paraId="2D8EE9BC" w14:textId="1A8C62C1" w:rsidR="00F77E0B" w:rsidRPr="00E940CF" w:rsidRDefault="005E26E5"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46</w:t>
            </w:r>
          </w:p>
        </w:tc>
        <w:tc>
          <w:tcPr>
            <w:tcW w:w="2160" w:type="dxa"/>
            <w:tcBorders>
              <w:top w:val="single" w:sz="4" w:space="0" w:color="auto"/>
              <w:left w:val="nil"/>
              <w:bottom w:val="single" w:sz="4" w:space="0" w:color="auto"/>
              <w:right w:val="single" w:sz="4" w:space="0" w:color="auto"/>
            </w:tcBorders>
            <w:noWrap/>
            <w:vAlign w:val="bottom"/>
            <w:hideMark/>
          </w:tcPr>
          <w:p w14:paraId="5EA99448" w14:textId="20C8BACE" w:rsidR="00F77E0B" w:rsidRPr="00E940CF" w:rsidRDefault="00486FB7"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42</w:t>
            </w:r>
          </w:p>
        </w:tc>
      </w:tr>
      <w:tr w:rsidR="005E26E5" w:rsidRPr="00E940CF" w14:paraId="00AC8B47" w14:textId="77777777" w:rsidTr="008001F8">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2F2256DF" w14:textId="393000CB" w:rsidR="005E26E5" w:rsidRPr="00E940CF" w:rsidRDefault="005E26E5" w:rsidP="00E67CD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FY26*</w:t>
            </w:r>
          </w:p>
        </w:tc>
        <w:tc>
          <w:tcPr>
            <w:tcW w:w="2480" w:type="dxa"/>
            <w:tcBorders>
              <w:top w:val="single" w:sz="4" w:space="0" w:color="auto"/>
              <w:left w:val="nil"/>
              <w:bottom w:val="single" w:sz="4" w:space="0" w:color="auto"/>
              <w:right w:val="single" w:sz="4" w:space="0" w:color="auto"/>
            </w:tcBorders>
            <w:noWrap/>
            <w:vAlign w:val="bottom"/>
          </w:tcPr>
          <w:p w14:paraId="536B627B" w14:textId="5EDF4760" w:rsidR="005E26E5" w:rsidRPr="00E940CF" w:rsidRDefault="00486FB7"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51</w:t>
            </w:r>
          </w:p>
        </w:tc>
        <w:tc>
          <w:tcPr>
            <w:tcW w:w="2160" w:type="dxa"/>
            <w:tcBorders>
              <w:top w:val="single" w:sz="4" w:space="0" w:color="auto"/>
              <w:left w:val="nil"/>
              <w:bottom w:val="single" w:sz="4" w:space="0" w:color="auto"/>
              <w:right w:val="single" w:sz="4" w:space="0" w:color="auto"/>
            </w:tcBorders>
            <w:noWrap/>
            <w:vAlign w:val="bottom"/>
          </w:tcPr>
          <w:p w14:paraId="59ADEEBC" w14:textId="2B2DCD11" w:rsidR="005E26E5" w:rsidRPr="00E940CF" w:rsidRDefault="00486FB7"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50</w:t>
            </w:r>
          </w:p>
        </w:tc>
      </w:tr>
      <w:tr w:rsidR="005E26E5" w:rsidRPr="00E940CF" w14:paraId="0CA601F1" w14:textId="77777777" w:rsidTr="008001F8">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2D9F38C4" w14:textId="019B4750" w:rsidR="005E26E5" w:rsidRPr="00E940CF" w:rsidRDefault="005E26E5" w:rsidP="00E67CD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FY27*</w:t>
            </w:r>
          </w:p>
        </w:tc>
        <w:tc>
          <w:tcPr>
            <w:tcW w:w="2480" w:type="dxa"/>
            <w:tcBorders>
              <w:top w:val="single" w:sz="4" w:space="0" w:color="auto"/>
              <w:left w:val="nil"/>
              <w:bottom w:val="single" w:sz="4" w:space="0" w:color="auto"/>
              <w:right w:val="single" w:sz="4" w:space="0" w:color="auto"/>
            </w:tcBorders>
            <w:noWrap/>
            <w:vAlign w:val="bottom"/>
          </w:tcPr>
          <w:p w14:paraId="50517D8F" w14:textId="50B6BAB9" w:rsidR="005E26E5" w:rsidRPr="00E940CF" w:rsidRDefault="00486FB7"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56</w:t>
            </w:r>
          </w:p>
        </w:tc>
        <w:tc>
          <w:tcPr>
            <w:tcW w:w="2160" w:type="dxa"/>
            <w:tcBorders>
              <w:top w:val="single" w:sz="4" w:space="0" w:color="auto"/>
              <w:left w:val="nil"/>
              <w:bottom w:val="single" w:sz="4" w:space="0" w:color="auto"/>
              <w:right w:val="single" w:sz="4" w:space="0" w:color="auto"/>
            </w:tcBorders>
            <w:noWrap/>
            <w:vAlign w:val="bottom"/>
          </w:tcPr>
          <w:p w14:paraId="614AC64A" w14:textId="5FB1754F" w:rsidR="005E26E5" w:rsidRPr="00E940CF" w:rsidRDefault="00486FB7"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56</w:t>
            </w:r>
          </w:p>
        </w:tc>
      </w:tr>
      <w:tr w:rsidR="005E26E5" w:rsidRPr="00E940CF" w14:paraId="546D0DBC" w14:textId="77777777" w:rsidTr="008001F8">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6746FA4F" w14:textId="3D0B7A31" w:rsidR="005E26E5" w:rsidRPr="00E940CF" w:rsidRDefault="005E26E5" w:rsidP="00E67CD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FY28*</w:t>
            </w:r>
          </w:p>
        </w:tc>
        <w:tc>
          <w:tcPr>
            <w:tcW w:w="2480" w:type="dxa"/>
            <w:tcBorders>
              <w:top w:val="single" w:sz="4" w:space="0" w:color="auto"/>
              <w:left w:val="nil"/>
              <w:bottom w:val="single" w:sz="4" w:space="0" w:color="auto"/>
              <w:right w:val="single" w:sz="4" w:space="0" w:color="auto"/>
            </w:tcBorders>
            <w:noWrap/>
            <w:vAlign w:val="bottom"/>
          </w:tcPr>
          <w:p w14:paraId="28FD981F" w14:textId="0DD7D2F9" w:rsidR="005E26E5" w:rsidRPr="00E940CF" w:rsidRDefault="00486FB7"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60</w:t>
            </w:r>
          </w:p>
        </w:tc>
        <w:tc>
          <w:tcPr>
            <w:tcW w:w="2160" w:type="dxa"/>
            <w:tcBorders>
              <w:top w:val="single" w:sz="4" w:space="0" w:color="auto"/>
              <w:left w:val="nil"/>
              <w:bottom w:val="single" w:sz="4" w:space="0" w:color="auto"/>
              <w:right w:val="single" w:sz="4" w:space="0" w:color="auto"/>
            </w:tcBorders>
            <w:noWrap/>
            <w:vAlign w:val="bottom"/>
          </w:tcPr>
          <w:p w14:paraId="23C19490" w14:textId="1105C93E" w:rsidR="005E26E5" w:rsidRPr="00E940CF" w:rsidRDefault="00486FB7"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62</w:t>
            </w:r>
          </w:p>
        </w:tc>
      </w:tr>
      <w:tr w:rsidR="005E26E5" w:rsidRPr="00E940CF" w14:paraId="52BDE258" w14:textId="77777777" w:rsidTr="008001F8">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67B1F413" w14:textId="5B1007A8" w:rsidR="005E26E5" w:rsidRPr="00E940CF" w:rsidRDefault="005E26E5" w:rsidP="00E67CD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FY29*</w:t>
            </w:r>
          </w:p>
        </w:tc>
        <w:tc>
          <w:tcPr>
            <w:tcW w:w="2480" w:type="dxa"/>
            <w:tcBorders>
              <w:top w:val="single" w:sz="4" w:space="0" w:color="auto"/>
              <w:left w:val="nil"/>
              <w:bottom w:val="single" w:sz="4" w:space="0" w:color="auto"/>
              <w:right w:val="single" w:sz="4" w:space="0" w:color="auto"/>
            </w:tcBorders>
            <w:noWrap/>
            <w:vAlign w:val="bottom"/>
          </w:tcPr>
          <w:p w14:paraId="30ED6C79" w14:textId="497150D6" w:rsidR="005E26E5" w:rsidRPr="00E940CF" w:rsidRDefault="00486FB7"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65</w:t>
            </w:r>
          </w:p>
        </w:tc>
        <w:tc>
          <w:tcPr>
            <w:tcW w:w="2160" w:type="dxa"/>
            <w:tcBorders>
              <w:top w:val="single" w:sz="4" w:space="0" w:color="auto"/>
              <w:left w:val="nil"/>
              <w:bottom w:val="single" w:sz="4" w:space="0" w:color="auto"/>
              <w:right w:val="single" w:sz="4" w:space="0" w:color="auto"/>
            </w:tcBorders>
            <w:noWrap/>
            <w:vAlign w:val="bottom"/>
          </w:tcPr>
          <w:p w14:paraId="1F672331" w14:textId="52402B0E" w:rsidR="005E26E5" w:rsidRPr="00E940CF" w:rsidRDefault="00486FB7"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67</w:t>
            </w:r>
          </w:p>
        </w:tc>
      </w:tr>
      <w:tr w:rsidR="005E26E5" w:rsidRPr="00E940CF" w14:paraId="332A2165" w14:textId="77777777" w:rsidTr="008001F8">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2FB28D98" w14:textId="7C5B7121" w:rsidR="005E26E5" w:rsidRPr="00E940CF" w:rsidRDefault="005E26E5" w:rsidP="00E67CD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FY30*</w:t>
            </w:r>
          </w:p>
        </w:tc>
        <w:tc>
          <w:tcPr>
            <w:tcW w:w="2480" w:type="dxa"/>
            <w:tcBorders>
              <w:top w:val="single" w:sz="4" w:space="0" w:color="auto"/>
              <w:left w:val="nil"/>
              <w:bottom w:val="single" w:sz="4" w:space="0" w:color="auto"/>
              <w:right w:val="single" w:sz="4" w:space="0" w:color="auto"/>
            </w:tcBorders>
            <w:noWrap/>
            <w:vAlign w:val="bottom"/>
          </w:tcPr>
          <w:p w14:paraId="6FEED0B0" w14:textId="25B7C7D0" w:rsidR="005E26E5" w:rsidRPr="00E940CF" w:rsidRDefault="00486FB7"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69</w:t>
            </w:r>
          </w:p>
        </w:tc>
        <w:tc>
          <w:tcPr>
            <w:tcW w:w="2160" w:type="dxa"/>
            <w:tcBorders>
              <w:top w:val="single" w:sz="4" w:space="0" w:color="auto"/>
              <w:left w:val="nil"/>
              <w:bottom w:val="single" w:sz="4" w:space="0" w:color="auto"/>
              <w:right w:val="single" w:sz="4" w:space="0" w:color="auto"/>
            </w:tcBorders>
            <w:noWrap/>
            <w:vAlign w:val="bottom"/>
          </w:tcPr>
          <w:p w14:paraId="37C8F34A" w14:textId="32E70909" w:rsidR="005E26E5" w:rsidRPr="00E940CF" w:rsidRDefault="00486FB7"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72</w:t>
            </w:r>
          </w:p>
        </w:tc>
      </w:tr>
    </w:tbl>
    <w:p w14:paraId="5C80F513" w14:textId="749E4A38" w:rsidR="00891EB8" w:rsidRPr="00E940CF" w:rsidRDefault="00486FB7" w:rsidP="007D766E">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*Projections</w:t>
      </w:r>
    </w:p>
    <w:p w14:paraId="1E59EDC4" w14:textId="26A8177B" w:rsidR="00F973EF" w:rsidRPr="00E940CF" w:rsidRDefault="00035C83" w:rsidP="007D766E">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Additionally, given the increased power of projections based on the combined SBRT </w:t>
      </w:r>
      <w:r w:rsidR="004D0B28" w:rsidRPr="00E940CF">
        <w:rPr>
          <w:rFonts w:ascii="Aptos" w:hAnsi="Aptos" w:cs="Times New Roman"/>
          <w:color w:val="1F4E79" w:themeColor="accent5" w:themeShade="80"/>
          <w:sz w:val="24"/>
          <w:szCs w:val="24"/>
        </w:rPr>
        <w:t xml:space="preserve">patient </w:t>
      </w:r>
      <w:r w:rsidRPr="00E940CF">
        <w:rPr>
          <w:rFonts w:ascii="Aptos" w:hAnsi="Aptos" w:cs="Times New Roman"/>
          <w:color w:val="1F4E79" w:themeColor="accent5" w:themeShade="80"/>
          <w:sz w:val="24"/>
          <w:szCs w:val="24"/>
        </w:rPr>
        <w:t>volume data and integrating historical data back to the beginning of the SBRT program in 2010,</w:t>
      </w:r>
      <w:r w:rsidR="00C37AC8" w:rsidRPr="00E940CF">
        <w:rPr>
          <w:rFonts w:ascii="Aptos" w:hAnsi="Aptos" w:cs="Times New Roman"/>
          <w:color w:val="1F4E79" w:themeColor="accent5" w:themeShade="80"/>
          <w:sz w:val="24"/>
          <w:szCs w:val="24"/>
        </w:rPr>
        <w:t xml:space="preserve"> based on a polynomial trendline</w:t>
      </w:r>
      <w:r w:rsidRPr="00E940CF">
        <w:rPr>
          <w:rFonts w:ascii="Aptos" w:hAnsi="Aptos" w:cs="Times New Roman"/>
          <w:color w:val="1F4E79" w:themeColor="accent5" w:themeShade="80"/>
          <w:sz w:val="24"/>
          <w:szCs w:val="24"/>
        </w:rPr>
        <w:t xml:space="preserve"> the Applicant </w:t>
      </w:r>
      <w:r w:rsidR="00C37AC8" w:rsidRPr="00E940CF">
        <w:rPr>
          <w:rFonts w:ascii="Aptos" w:hAnsi="Aptos" w:cs="Times New Roman"/>
          <w:color w:val="1F4E79" w:themeColor="accent5" w:themeShade="80"/>
          <w:sz w:val="24"/>
          <w:szCs w:val="24"/>
        </w:rPr>
        <w:t>projects</w:t>
      </w:r>
      <w:r w:rsidRPr="00E940CF">
        <w:rPr>
          <w:rFonts w:ascii="Aptos" w:hAnsi="Aptos" w:cs="Times New Roman"/>
          <w:color w:val="1F4E79" w:themeColor="accent5" w:themeShade="80"/>
          <w:sz w:val="24"/>
          <w:szCs w:val="24"/>
        </w:rPr>
        <w:t xml:space="preserve"> </w:t>
      </w:r>
      <w:r w:rsidR="00344C73" w:rsidRPr="00E940CF">
        <w:rPr>
          <w:rFonts w:ascii="Aptos" w:hAnsi="Aptos" w:cs="Times New Roman"/>
          <w:color w:val="1F4E79" w:themeColor="accent5" w:themeShade="80"/>
          <w:sz w:val="24"/>
          <w:szCs w:val="24"/>
        </w:rPr>
        <w:t>over</w:t>
      </w:r>
      <w:r w:rsidRPr="00E940CF">
        <w:rPr>
          <w:rFonts w:ascii="Aptos" w:hAnsi="Aptos" w:cs="Times New Roman"/>
          <w:color w:val="1F4E79" w:themeColor="accent5" w:themeShade="80"/>
          <w:sz w:val="24"/>
          <w:szCs w:val="24"/>
        </w:rPr>
        <w:t xml:space="preserve"> 140 SBRT patients </w:t>
      </w:r>
      <w:r w:rsidR="00344C73" w:rsidRPr="00E940CF">
        <w:rPr>
          <w:rFonts w:ascii="Aptos" w:hAnsi="Aptos" w:cs="Times New Roman"/>
          <w:color w:val="1F4E79" w:themeColor="accent5" w:themeShade="80"/>
          <w:sz w:val="24"/>
          <w:szCs w:val="24"/>
        </w:rPr>
        <w:t>by</w:t>
      </w:r>
      <w:r w:rsidRPr="00E940CF">
        <w:rPr>
          <w:rFonts w:ascii="Aptos" w:hAnsi="Aptos" w:cs="Times New Roman"/>
          <w:color w:val="1F4E79" w:themeColor="accent5" w:themeShade="80"/>
          <w:sz w:val="24"/>
          <w:szCs w:val="24"/>
        </w:rPr>
        <w:t xml:space="preserve"> </w:t>
      </w:r>
      <w:r w:rsidR="00344C73" w:rsidRPr="00E940CF">
        <w:rPr>
          <w:rFonts w:ascii="Aptos" w:hAnsi="Aptos" w:cs="Times New Roman"/>
          <w:color w:val="1F4E79" w:themeColor="accent5" w:themeShade="80"/>
          <w:sz w:val="24"/>
          <w:szCs w:val="24"/>
        </w:rPr>
        <w:t xml:space="preserve">FY </w:t>
      </w:r>
      <w:r w:rsidRPr="00E940CF">
        <w:rPr>
          <w:rFonts w:ascii="Aptos" w:hAnsi="Aptos" w:cs="Times New Roman"/>
          <w:color w:val="1F4E79" w:themeColor="accent5" w:themeShade="80"/>
          <w:sz w:val="24"/>
          <w:szCs w:val="24"/>
        </w:rPr>
        <w:t>2030.</w:t>
      </w:r>
    </w:p>
    <w:p w14:paraId="51A92FF3" w14:textId="1418B72E" w:rsidR="006268BD" w:rsidRPr="00F76C69" w:rsidRDefault="006268BD" w:rsidP="007D766E">
      <w:pPr>
        <w:ind w:left="360"/>
        <w:rPr>
          <w:rFonts w:ascii="Aptos" w:hAnsi="Aptos" w:cs="Times New Roman"/>
          <w:i/>
          <w:iCs/>
          <w:color w:val="1F4E79" w:themeColor="accent5" w:themeShade="80"/>
          <w:sz w:val="24"/>
          <w:szCs w:val="24"/>
        </w:rPr>
      </w:pPr>
      <w:r w:rsidRPr="00F76C69">
        <w:rPr>
          <w:rFonts w:ascii="Aptos" w:hAnsi="Aptos" w:cs="Times New Roman"/>
          <w:i/>
          <w:iCs/>
          <w:color w:val="1F4E79" w:themeColor="accent5" w:themeShade="80"/>
          <w:sz w:val="24"/>
          <w:szCs w:val="24"/>
        </w:rPr>
        <w:t>SRS Treatment Projections</w:t>
      </w:r>
    </w:p>
    <w:p w14:paraId="32150F31" w14:textId="63FB677A" w:rsidR="00EF0F55" w:rsidRPr="00E940CF" w:rsidRDefault="00556F06" w:rsidP="007D766E">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The Applicant is also experiencing continued year-over-year growth in SRS </w:t>
      </w:r>
      <w:r w:rsidR="004D0B28" w:rsidRPr="00E940CF">
        <w:rPr>
          <w:rFonts w:ascii="Aptos" w:hAnsi="Aptos" w:cs="Times New Roman"/>
          <w:color w:val="1F4E79" w:themeColor="accent5" w:themeShade="80"/>
          <w:sz w:val="24"/>
          <w:szCs w:val="24"/>
        </w:rPr>
        <w:t xml:space="preserve">patient </w:t>
      </w:r>
      <w:r w:rsidRPr="00E940CF">
        <w:rPr>
          <w:rFonts w:ascii="Aptos" w:hAnsi="Aptos" w:cs="Times New Roman"/>
          <w:color w:val="1F4E79" w:themeColor="accent5" w:themeShade="80"/>
          <w:sz w:val="24"/>
          <w:szCs w:val="24"/>
        </w:rPr>
        <w:t>treatment</w:t>
      </w:r>
      <w:r w:rsidR="004D0B28" w:rsidRPr="00E940CF">
        <w:rPr>
          <w:rFonts w:ascii="Aptos" w:hAnsi="Aptos" w:cs="Times New Roman"/>
          <w:color w:val="1F4E79" w:themeColor="accent5" w:themeShade="80"/>
          <w:sz w:val="24"/>
          <w:szCs w:val="24"/>
        </w:rPr>
        <w:t xml:space="preserve"> volume</w:t>
      </w:r>
      <w:r w:rsidRPr="00E940CF">
        <w:rPr>
          <w:rFonts w:ascii="Aptos" w:hAnsi="Aptos" w:cs="Times New Roman"/>
          <w:color w:val="1F4E79" w:themeColor="accent5" w:themeShade="80"/>
          <w:sz w:val="24"/>
          <w:szCs w:val="24"/>
        </w:rPr>
        <w:t>, and projects for that trend to continue at its Fairhaven Cancer Center location.</w:t>
      </w:r>
      <w:r w:rsidR="00EF0F55" w:rsidRPr="00E940CF">
        <w:rPr>
          <w:rFonts w:ascii="Aptos" w:hAnsi="Aptos" w:cs="Times New Roman"/>
          <w:color w:val="1F4E79" w:themeColor="accent5" w:themeShade="80"/>
          <w:sz w:val="24"/>
          <w:szCs w:val="24"/>
        </w:rPr>
        <w:t xml:space="preserve">  The Applicant currently only offers SRS treatment at its Fairhaven Cancer Center site.</w:t>
      </w:r>
      <w:r w:rsidRPr="00E940CF">
        <w:rPr>
          <w:rFonts w:ascii="Aptos" w:hAnsi="Aptos" w:cs="Times New Roman"/>
          <w:color w:val="1F4E79" w:themeColor="accent5" w:themeShade="80"/>
          <w:sz w:val="24"/>
          <w:szCs w:val="24"/>
        </w:rPr>
        <w:t xml:space="preserve">  The addition of a second LINAC at the Fairhaven Cancer Center will support the Applicant’s </w:t>
      </w:r>
      <w:r w:rsidRPr="00E940CF">
        <w:rPr>
          <w:rFonts w:ascii="Aptos" w:hAnsi="Aptos" w:cs="Times New Roman"/>
          <w:color w:val="1F4E79" w:themeColor="accent5" w:themeShade="80"/>
          <w:sz w:val="24"/>
          <w:szCs w:val="24"/>
        </w:rPr>
        <w:lastRenderedPageBreak/>
        <w:t>ability to meet the growing demand for SRS treatments, and to enhance local access to this specialized care for the Applicant’s patient panel and community.</w:t>
      </w:r>
      <w:r w:rsidR="00EF0F55" w:rsidRPr="00E940CF">
        <w:rPr>
          <w:rFonts w:ascii="Aptos" w:hAnsi="Aptos" w:cs="Times New Roman"/>
          <w:color w:val="1F4E79" w:themeColor="accent5" w:themeShade="80"/>
          <w:sz w:val="24"/>
          <w:szCs w:val="24"/>
        </w:rPr>
        <w:t xml:space="preserve">  </w:t>
      </w:r>
    </w:p>
    <w:p w14:paraId="13381A9C" w14:textId="53CED09D" w:rsidR="006268BD" w:rsidRPr="00E940CF" w:rsidRDefault="004D597D" w:rsidP="007D766E">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Please see annual patient volume dating back to the establishment of SRS treatment by the Applicant in </w:t>
      </w:r>
      <w:r w:rsidR="000B525C" w:rsidRPr="00E940CF">
        <w:rPr>
          <w:rFonts w:ascii="Aptos" w:hAnsi="Aptos" w:cs="Times New Roman"/>
          <w:color w:val="1F4E79" w:themeColor="accent5" w:themeShade="80"/>
          <w:sz w:val="24"/>
          <w:szCs w:val="24"/>
        </w:rPr>
        <w:t>FY 2023 through FY 2025</w:t>
      </w:r>
      <w:r w:rsidRPr="00E940CF">
        <w:rPr>
          <w:rFonts w:ascii="Aptos" w:hAnsi="Aptos" w:cs="Times New Roman"/>
          <w:color w:val="1F4E79" w:themeColor="accent5" w:themeShade="80"/>
          <w:sz w:val="24"/>
          <w:szCs w:val="24"/>
        </w:rPr>
        <w:t xml:space="preserve">, and projected out to 2030 in the </w:t>
      </w:r>
      <w:r w:rsidR="000B525C" w:rsidRPr="00E940CF">
        <w:rPr>
          <w:rFonts w:ascii="Aptos" w:hAnsi="Aptos" w:cs="Times New Roman"/>
          <w:color w:val="1F4E79" w:themeColor="accent5" w:themeShade="80"/>
          <w:sz w:val="24"/>
          <w:szCs w:val="24"/>
        </w:rPr>
        <w:t>Table</w:t>
      </w:r>
      <w:r w:rsidRPr="00E940CF">
        <w:rPr>
          <w:rFonts w:ascii="Aptos" w:hAnsi="Aptos" w:cs="Times New Roman"/>
          <w:color w:val="1F4E79" w:themeColor="accent5" w:themeShade="80"/>
          <w:sz w:val="24"/>
          <w:szCs w:val="24"/>
        </w:rPr>
        <w:t xml:space="preserve"> below:</w:t>
      </w:r>
    </w:p>
    <w:tbl>
      <w:tblPr>
        <w:tblW w:w="5120" w:type="dxa"/>
        <w:tblInd w:w="355" w:type="dxa"/>
        <w:tblLook w:val="04A0" w:firstRow="1" w:lastRow="0" w:firstColumn="1" w:lastColumn="0" w:noHBand="0" w:noVBand="1"/>
        <w:tblCaption w:val="Annual patient volume"/>
      </w:tblPr>
      <w:tblGrid>
        <w:gridCol w:w="2960"/>
        <w:gridCol w:w="2160"/>
      </w:tblGrid>
      <w:tr w:rsidR="00344C73" w:rsidRPr="00E940CF" w14:paraId="1C4C42AF" w14:textId="77777777" w:rsidTr="008001F8">
        <w:trPr>
          <w:cantSplit/>
          <w:trHeight w:val="840"/>
          <w:tblHeader/>
        </w:trPr>
        <w:tc>
          <w:tcPr>
            <w:tcW w:w="296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AF31B65" w14:textId="77777777" w:rsidR="00344C73" w:rsidRPr="00E940CF" w:rsidRDefault="00344C73" w:rsidP="00E67CD8">
            <w:pPr>
              <w:spacing w:after="0" w:line="240" w:lineRule="auto"/>
              <w:jc w:val="center"/>
              <w:rPr>
                <w:rFonts w:ascii="Aptos" w:eastAsia="Times New Roman" w:hAnsi="Aptos" w:cs="Times New Roman"/>
                <w:b/>
                <w:bCs/>
                <w:color w:val="1F4E79"/>
                <w:sz w:val="24"/>
                <w:szCs w:val="24"/>
              </w:rPr>
            </w:pPr>
            <w:r w:rsidRPr="00E940CF">
              <w:rPr>
                <w:rFonts w:ascii="Aptos" w:eastAsia="Times New Roman" w:hAnsi="Aptos" w:cs="Times New Roman"/>
                <w:b/>
                <w:bCs/>
                <w:color w:val="1F4E79"/>
                <w:sz w:val="24"/>
                <w:szCs w:val="24"/>
              </w:rPr>
              <w:t>Applicant Fiscal Year</w:t>
            </w:r>
          </w:p>
        </w:tc>
        <w:tc>
          <w:tcPr>
            <w:tcW w:w="2160" w:type="dxa"/>
            <w:tcBorders>
              <w:top w:val="single" w:sz="4" w:space="0" w:color="auto"/>
              <w:left w:val="nil"/>
              <w:bottom w:val="single" w:sz="4" w:space="0" w:color="auto"/>
              <w:right w:val="single" w:sz="4" w:space="0" w:color="auto"/>
            </w:tcBorders>
            <w:shd w:val="clear" w:color="000000" w:fill="D9E1F2"/>
            <w:vAlign w:val="center"/>
            <w:hideMark/>
          </w:tcPr>
          <w:p w14:paraId="1346C04F" w14:textId="5C6E0AA3" w:rsidR="00344C73" w:rsidRPr="00E940CF" w:rsidRDefault="00344C73" w:rsidP="00E67CD8">
            <w:pPr>
              <w:spacing w:after="0" w:line="240" w:lineRule="auto"/>
              <w:jc w:val="center"/>
              <w:rPr>
                <w:rFonts w:ascii="Aptos" w:eastAsia="Times New Roman" w:hAnsi="Aptos" w:cs="Times New Roman"/>
                <w:b/>
                <w:bCs/>
                <w:color w:val="1F4E79"/>
                <w:sz w:val="24"/>
                <w:szCs w:val="24"/>
              </w:rPr>
            </w:pPr>
            <w:r w:rsidRPr="00E940CF">
              <w:rPr>
                <w:rFonts w:ascii="Aptos" w:eastAsia="Times New Roman" w:hAnsi="Aptos" w:cs="Times New Roman"/>
                <w:b/>
                <w:bCs/>
                <w:color w:val="1F4E79"/>
                <w:sz w:val="24"/>
                <w:szCs w:val="24"/>
              </w:rPr>
              <w:t xml:space="preserve">Fairhaven Cancer Center SRS </w:t>
            </w:r>
            <w:r w:rsidR="0083517F" w:rsidRPr="00E940CF">
              <w:rPr>
                <w:rFonts w:ascii="Aptos" w:eastAsia="Times New Roman" w:hAnsi="Aptos" w:cs="Times New Roman"/>
                <w:b/>
                <w:bCs/>
                <w:color w:val="1F4E79"/>
                <w:sz w:val="24"/>
                <w:szCs w:val="24"/>
              </w:rPr>
              <w:t xml:space="preserve">Patient </w:t>
            </w:r>
            <w:r w:rsidRPr="00E940CF">
              <w:rPr>
                <w:rFonts w:ascii="Aptos" w:eastAsia="Times New Roman" w:hAnsi="Aptos" w:cs="Times New Roman"/>
                <w:b/>
                <w:bCs/>
                <w:color w:val="1F4E79"/>
                <w:sz w:val="24"/>
                <w:szCs w:val="24"/>
              </w:rPr>
              <w:t>Volume</w:t>
            </w:r>
          </w:p>
        </w:tc>
      </w:tr>
      <w:tr w:rsidR="00344C73" w:rsidRPr="00E940CF" w14:paraId="69C0D789" w14:textId="77777777" w:rsidTr="008001F8">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34A6FEF4" w14:textId="77777777" w:rsidR="00344C73" w:rsidRPr="00E940CF" w:rsidRDefault="00344C73" w:rsidP="00E67CD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FY23</w:t>
            </w:r>
          </w:p>
        </w:tc>
        <w:tc>
          <w:tcPr>
            <w:tcW w:w="2160" w:type="dxa"/>
            <w:tcBorders>
              <w:top w:val="nil"/>
              <w:left w:val="nil"/>
              <w:bottom w:val="single" w:sz="4" w:space="0" w:color="auto"/>
              <w:right w:val="single" w:sz="4" w:space="0" w:color="auto"/>
            </w:tcBorders>
            <w:noWrap/>
            <w:vAlign w:val="bottom"/>
            <w:hideMark/>
          </w:tcPr>
          <w:p w14:paraId="72E58233" w14:textId="7E79E174" w:rsidR="00344C73" w:rsidRPr="00E940CF" w:rsidRDefault="00344C73"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17</w:t>
            </w:r>
          </w:p>
        </w:tc>
      </w:tr>
      <w:tr w:rsidR="00344C73" w:rsidRPr="00E940CF" w14:paraId="5442EF25" w14:textId="77777777" w:rsidTr="008001F8">
        <w:trPr>
          <w:cantSplit/>
          <w:trHeight w:val="290"/>
        </w:trPr>
        <w:tc>
          <w:tcPr>
            <w:tcW w:w="2960" w:type="dxa"/>
            <w:tcBorders>
              <w:top w:val="nil"/>
              <w:left w:val="single" w:sz="4" w:space="0" w:color="auto"/>
              <w:bottom w:val="single" w:sz="4" w:space="0" w:color="auto"/>
              <w:right w:val="single" w:sz="4" w:space="0" w:color="auto"/>
            </w:tcBorders>
            <w:noWrap/>
            <w:vAlign w:val="center"/>
            <w:hideMark/>
          </w:tcPr>
          <w:p w14:paraId="26198A19" w14:textId="77777777" w:rsidR="00344C73" w:rsidRPr="00E940CF" w:rsidRDefault="00344C73" w:rsidP="00E67CD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FY24</w:t>
            </w:r>
          </w:p>
        </w:tc>
        <w:tc>
          <w:tcPr>
            <w:tcW w:w="2160" w:type="dxa"/>
            <w:tcBorders>
              <w:top w:val="nil"/>
              <w:left w:val="nil"/>
              <w:bottom w:val="single" w:sz="4" w:space="0" w:color="auto"/>
              <w:right w:val="single" w:sz="4" w:space="0" w:color="auto"/>
            </w:tcBorders>
            <w:noWrap/>
            <w:vAlign w:val="bottom"/>
            <w:hideMark/>
          </w:tcPr>
          <w:p w14:paraId="1EBD03AE" w14:textId="55645493" w:rsidR="00344C73" w:rsidRPr="00E940CF" w:rsidRDefault="00606D65"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18</w:t>
            </w:r>
          </w:p>
        </w:tc>
      </w:tr>
      <w:tr w:rsidR="00344C73" w:rsidRPr="00E940CF" w14:paraId="6881205C" w14:textId="77777777" w:rsidTr="008001F8">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hideMark/>
          </w:tcPr>
          <w:p w14:paraId="26DD3C7A" w14:textId="77777777" w:rsidR="00344C73" w:rsidRPr="00E940CF" w:rsidRDefault="00344C73" w:rsidP="00E67CD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FY25</w:t>
            </w:r>
          </w:p>
        </w:tc>
        <w:tc>
          <w:tcPr>
            <w:tcW w:w="2160" w:type="dxa"/>
            <w:tcBorders>
              <w:top w:val="single" w:sz="4" w:space="0" w:color="auto"/>
              <w:left w:val="nil"/>
              <w:bottom w:val="single" w:sz="4" w:space="0" w:color="auto"/>
              <w:right w:val="single" w:sz="4" w:space="0" w:color="auto"/>
            </w:tcBorders>
            <w:noWrap/>
            <w:vAlign w:val="bottom"/>
            <w:hideMark/>
          </w:tcPr>
          <w:p w14:paraId="31320F49" w14:textId="5649FB8C" w:rsidR="00344C73" w:rsidRPr="00E940CF" w:rsidRDefault="00606D65"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26</w:t>
            </w:r>
          </w:p>
        </w:tc>
      </w:tr>
      <w:tr w:rsidR="00344C73" w:rsidRPr="00E940CF" w14:paraId="65E1D701" w14:textId="77777777" w:rsidTr="008001F8">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3CC35625" w14:textId="77777777" w:rsidR="00344C73" w:rsidRPr="00E940CF" w:rsidRDefault="00344C73" w:rsidP="00E67CD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FY26*</w:t>
            </w:r>
          </w:p>
        </w:tc>
        <w:tc>
          <w:tcPr>
            <w:tcW w:w="2160" w:type="dxa"/>
            <w:tcBorders>
              <w:top w:val="single" w:sz="4" w:space="0" w:color="auto"/>
              <w:left w:val="nil"/>
              <w:bottom w:val="single" w:sz="4" w:space="0" w:color="auto"/>
              <w:right w:val="single" w:sz="4" w:space="0" w:color="auto"/>
            </w:tcBorders>
            <w:noWrap/>
            <w:vAlign w:val="bottom"/>
          </w:tcPr>
          <w:p w14:paraId="3F1A0FED" w14:textId="49EAC572" w:rsidR="00344C73" w:rsidRPr="00E940CF" w:rsidRDefault="00606D65"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27</w:t>
            </w:r>
          </w:p>
        </w:tc>
      </w:tr>
      <w:tr w:rsidR="00344C73" w:rsidRPr="00E940CF" w14:paraId="57A49786" w14:textId="77777777" w:rsidTr="008001F8">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24022E63" w14:textId="77777777" w:rsidR="00344C73" w:rsidRPr="00E940CF" w:rsidRDefault="00344C73" w:rsidP="00E67CD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FY27*</w:t>
            </w:r>
          </w:p>
        </w:tc>
        <w:tc>
          <w:tcPr>
            <w:tcW w:w="2160" w:type="dxa"/>
            <w:tcBorders>
              <w:top w:val="single" w:sz="4" w:space="0" w:color="auto"/>
              <w:left w:val="nil"/>
              <w:bottom w:val="single" w:sz="4" w:space="0" w:color="auto"/>
              <w:right w:val="single" w:sz="4" w:space="0" w:color="auto"/>
            </w:tcBorders>
            <w:noWrap/>
            <w:vAlign w:val="bottom"/>
          </w:tcPr>
          <w:p w14:paraId="3FC730B6" w14:textId="25AC18E3" w:rsidR="00344C73" w:rsidRPr="00E940CF" w:rsidRDefault="00606D65"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29</w:t>
            </w:r>
          </w:p>
        </w:tc>
      </w:tr>
      <w:tr w:rsidR="00344C73" w:rsidRPr="00E940CF" w14:paraId="66B28F3C" w14:textId="77777777" w:rsidTr="008001F8">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6055E59D" w14:textId="77777777" w:rsidR="00344C73" w:rsidRPr="00E940CF" w:rsidRDefault="00344C73" w:rsidP="00E67CD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FY28*</w:t>
            </w:r>
          </w:p>
        </w:tc>
        <w:tc>
          <w:tcPr>
            <w:tcW w:w="2160" w:type="dxa"/>
            <w:tcBorders>
              <w:top w:val="single" w:sz="4" w:space="0" w:color="auto"/>
              <w:left w:val="nil"/>
              <w:bottom w:val="single" w:sz="4" w:space="0" w:color="auto"/>
              <w:right w:val="single" w:sz="4" w:space="0" w:color="auto"/>
            </w:tcBorders>
            <w:noWrap/>
            <w:vAlign w:val="bottom"/>
          </w:tcPr>
          <w:p w14:paraId="4B57144C" w14:textId="0BA6E4FD" w:rsidR="00344C73" w:rsidRPr="00E940CF" w:rsidRDefault="00606D65"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31</w:t>
            </w:r>
          </w:p>
        </w:tc>
      </w:tr>
      <w:tr w:rsidR="00344C73" w:rsidRPr="00E940CF" w14:paraId="3DA2EE5A" w14:textId="77777777" w:rsidTr="008001F8">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6B2DD2A7" w14:textId="77777777" w:rsidR="00344C73" w:rsidRPr="00E940CF" w:rsidRDefault="00344C73" w:rsidP="00E67CD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FY29*</w:t>
            </w:r>
          </w:p>
        </w:tc>
        <w:tc>
          <w:tcPr>
            <w:tcW w:w="2160" w:type="dxa"/>
            <w:tcBorders>
              <w:top w:val="single" w:sz="4" w:space="0" w:color="auto"/>
              <w:left w:val="nil"/>
              <w:bottom w:val="single" w:sz="4" w:space="0" w:color="auto"/>
              <w:right w:val="single" w:sz="4" w:space="0" w:color="auto"/>
            </w:tcBorders>
            <w:noWrap/>
            <w:vAlign w:val="bottom"/>
          </w:tcPr>
          <w:p w14:paraId="416E403B" w14:textId="4B4641D4" w:rsidR="00344C73" w:rsidRPr="00E940CF" w:rsidRDefault="00606D65"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33</w:t>
            </w:r>
          </w:p>
        </w:tc>
      </w:tr>
      <w:tr w:rsidR="00344C73" w:rsidRPr="00E940CF" w14:paraId="5AADA374" w14:textId="77777777" w:rsidTr="008001F8">
        <w:trPr>
          <w:cantSplit/>
          <w:trHeight w:val="290"/>
        </w:trPr>
        <w:tc>
          <w:tcPr>
            <w:tcW w:w="2960" w:type="dxa"/>
            <w:tcBorders>
              <w:top w:val="single" w:sz="4" w:space="0" w:color="auto"/>
              <w:left w:val="single" w:sz="4" w:space="0" w:color="auto"/>
              <w:bottom w:val="single" w:sz="4" w:space="0" w:color="auto"/>
              <w:right w:val="single" w:sz="4" w:space="0" w:color="auto"/>
            </w:tcBorders>
            <w:noWrap/>
            <w:vAlign w:val="center"/>
          </w:tcPr>
          <w:p w14:paraId="2E9EC126" w14:textId="77777777" w:rsidR="00344C73" w:rsidRPr="00E940CF" w:rsidRDefault="00344C73" w:rsidP="00E67CD8">
            <w:pPr>
              <w:spacing w:after="0" w:line="240" w:lineRule="auto"/>
              <w:jc w:val="center"/>
              <w:rPr>
                <w:rFonts w:ascii="Aptos" w:eastAsia="Times New Roman" w:hAnsi="Aptos" w:cs="Times New Roman"/>
                <w:color w:val="1F4E79"/>
                <w:sz w:val="24"/>
                <w:szCs w:val="24"/>
              </w:rPr>
            </w:pPr>
            <w:r w:rsidRPr="00E940CF">
              <w:rPr>
                <w:rFonts w:ascii="Aptos" w:eastAsia="Times New Roman" w:hAnsi="Aptos" w:cs="Times New Roman"/>
                <w:color w:val="1F4E79"/>
                <w:sz w:val="24"/>
                <w:szCs w:val="24"/>
              </w:rPr>
              <w:t>FY30*</w:t>
            </w:r>
          </w:p>
        </w:tc>
        <w:tc>
          <w:tcPr>
            <w:tcW w:w="2160" w:type="dxa"/>
            <w:tcBorders>
              <w:top w:val="single" w:sz="4" w:space="0" w:color="auto"/>
              <w:left w:val="nil"/>
              <w:bottom w:val="single" w:sz="4" w:space="0" w:color="auto"/>
              <w:right w:val="single" w:sz="4" w:space="0" w:color="auto"/>
            </w:tcBorders>
            <w:noWrap/>
            <w:vAlign w:val="bottom"/>
          </w:tcPr>
          <w:p w14:paraId="7AEC6A0E" w14:textId="2DCEB3C6" w:rsidR="00344C73" w:rsidRPr="00E940CF" w:rsidRDefault="00606D65" w:rsidP="00E67CD8">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35</w:t>
            </w:r>
          </w:p>
        </w:tc>
      </w:tr>
    </w:tbl>
    <w:p w14:paraId="05E1DC5F" w14:textId="25AB2BBC" w:rsidR="00606D65" w:rsidRPr="00E940CF" w:rsidRDefault="00186B9A" w:rsidP="007D766E">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*Projections</w:t>
      </w:r>
    </w:p>
    <w:p w14:paraId="0BB2E047" w14:textId="678A2CF8" w:rsidR="004D597D" w:rsidRPr="00E940CF" w:rsidRDefault="004D597D" w:rsidP="007D766E">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The Applicant </w:t>
      </w:r>
      <w:r w:rsidR="00606D65" w:rsidRPr="00E940CF">
        <w:rPr>
          <w:rFonts w:ascii="Aptos" w:hAnsi="Aptos" w:cs="Times New Roman"/>
          <w:color w:val="1F4E79" w:themeColor="accent5" w:themeShade="80"/>
          <w:sz w:val="24"/>
          <w:szCs w:val="24"/>
        </w:rPr>
        <w:t xml:space="preserve">conservatively </w:t>
      </w:r>
      <w:r w:rsidRPr="00E940CF">
        <w:rPr>
          <w:rFonts w:ascii="Aptos" w:hAnsi="Aptos" w:cs="Times New Roman"/>
          <w:color w:val="1F4E79" w:themeColor="accent5" w:themeShade="80"/>
          <w:sz w:val="24"/>
          <w:szCs w:val="24"/>
        </w:rPr>
        <w:t xml:space="preserve">projects growth of approximately </w:t>
      </w:r>
      <w:r w:rsidR="00AC2A26" w:rsidRPr="00E940CF">
        <w:rPr>
          <w:rFonts w:ascii="Aptos" w:hAnsi="Aptos" w:cs="Times New Roman"/>
          <w:color w:val="1F4E79" w:themeColor="accent5" w:themeShade="80"/>
          <w:sz w:val="24"/>
          <w:szCs w:val="24"/>
        </w:rPr>
        <w:t>35</w:t>
      </w:r>
      <w:r w:rsidR="00A637F5">
        <w:rPr>
          <w:rFonts w:ascii="Aptos" w:hAnsi="Aptos" w:cs="Times New Roman"/>
          <w:color w:val="1F4E79" w:themeColor="accent5" w:themeShade="80"/>
          <w:sz w:val="24"/>
          <w:szCs w:val="24"/>
        </w:rPr>
        <w:t xml:space="preserve"> </w:t>
      </w:r>
      <w:r w:rsidR="00A637F5">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over the next 5 years, up to 3</w:t>
      </w:r>
      <w:r w:rsidR="00344C73" w:rsidRPr="00E940CF">
        <w:rPr>
          <w:rFonts w:ascii="Aptos" w:hAnsi="Aptos" w:cs="Times New Roman"/>
          <w:color w:val="1F4E79" w:themeColor="accent5" w:themeShade="80"/>
          <w:sz w:val="24"/>
          <w:szCs w:val="24"/>
        </w:rPr>
        <w:t>5</w:t>
      </w:r>
      <w:r w:rsidRPr="00E940CF">
        <w:rPr>
          <w:rFonts w:ascii="Aptos" w:hAnsi="Aptos" w:cs="Times New Roman"/>
          <w:color w:val="1F4E79" w:themeColor="accent5" w:themeShade="80"/>
          <w:sz w:val="24"/>
          <w:szCs w:val="24"/>
        </w:rPr>
        <w:t xml:space="preserve"> patients </w:t>
      </w:r>
      <w:r w:rsidR="00606D65" w:rsidRPr="00E940CF">
        <w:rPr>
          <w:rFonts w:ascii="Aptos" w:hAnsi="Aptos" w:cs="Times New Roman"/>
          <w:color w:val="1F4E79" w:themeColor="accent5" w:themeShade="80"/>
          <w:sz w:val="24"/>
          <w:szCs w:val="24"/>
        </w:rPr>
        <w:t>by completion of</w:t>
      </w:r>
      <w:r w:rsidRPr="00E940CF">
        <w:rPr>
          <w:rFonts w:ascii="Aptos" w:hAnsi="Aptos" w:cs="Times New Roman"/>
          <w:color w:val="1F4E79" w:themeColor="accent5" w:themeShade="80"/>
          <w:sz w:val="24"/>
          <w:szCs w:val="24"/>
        </w:rPr>
        <w:t xml:space="preserve"> FY 2030.</w:t>
      </w:r>
    </w:p>
    <w:p w14:paraId="53328760" w14:textId="16429F1D" w:rsidR="002A12E5" w:rsidRPr="001207ED" w:rsidRDefault="002A12E5" w:rsidP="00186B9A">
      <w:pPr>
        <w:keepNext/>
        <w:ind w:left="360"/>
        <w:rPr>
          <w:rFonts w:ascii="Aptos" w:hAnsi="Aptos" w:cs="Times New Roman"/>
          <w:i/>
          <w:iCs/>
          <w:color w:val="1F4E79" w:themeColor="accent5" w:themeShade="80"/>
          <w:sz w:val="24"/>
          <w:szCs w:val="24"/>
        </w:rPr>
      </w:pPr>
      <w:r w:rsidRPr="001207ED">
        <w:rPr>
          <w:rFonts w:ascii="Aptos" w:hAnsi="Aptos" w:cs="Times New Roman"/>
          <w:i/>
          <w:iCs/>
          <w:color w:val="1F4E79" w:themeColor="accent5" w:themeShade="80"/>
          <w:sz w:val="24"/>
          <w:szCs w:val="24"/>
        </w:rPr>
        <w:t>Low Dose Radiation Therapy Treatment for Osteoarthritis Projections</w:t>
      </w:r>
    </w:p>
    <w:p w14:paraId="464B1AE3" w14:textId="0AB417B9" w:rsidR="004D597D" w:rsidRDefault="002A12E5" w:rsidP="002A12E5">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The Applicant commenced providing </w:t>
      </w:r>
      <w:r w:rsidR="0016742F" w:rsidRPr="00E940CF">
        <w:rPr>
          <w:rFonts w:ascii="Aptos" w:hAnsi="Aptos" w:cs="Times New Roman"/>
          <w:color w:val="1F4E79" w:themeColor="accent5" w:themeShade="80"/>
          <w:sz w:val="24"/>
          <w:szCs w:val="24"/>
        </w:rPr>
        <w:t>low dose radiation therapy (“</w:t>
      </w:r>
      <w:r w:rsidRPr="00E940CF">
        <w:rPr>
          <w:rFonts w:ascii="Aptos" w:hAnsi="Aptos" w:cs="Times New Roman"/>
          <w:color w:val="1F4E79" w:themeColor="accent5" w:themeShade="80"/>
          <w:sz w:val="24"/>
          <w:szCs w:val="24"/>
        </w:rPr>
        <w:t>LDRT</w:t>
      </w:r>
      <w:r w:rsidR="0016742F" w:rsidRPr="00E940CF">
        <w:rPr>
          <w:rFonts w:ascii="Aptos" w:hAnsi="Aptos" w:cs="Times New Roman"/>
          <w:color w:val="1F4E79" w:themeColor="accent5" w:themeShade="80"/>
          <w:sz w:val="24"/>
          <w:szCs w:val="24"/>
        </w:rPr>
        <w:t>”)</w:t>
      </w:r>
      <w:r w:rsidRPr="00E940CF">
        <w:rPr>
          <w:rFonts w:ascii="Aptos" w:hAnsi="Aptos" w:cs="Times New Roman"/>
          <w:color w:val="1F4E79" w:themeColor="accent5" w:themeShade="80"/>
          <w:sz w:val="24"/>
          <w:szCs w:val="24"/>
        </w:rPr>
        <w:t xml:space="preserve"> </w:t>
      </w:r>
      <w:r w:rsidR="001A5BC5" w:rsidRPr="00E940CF">
        <w:rPr>
          <w:rFonts w:ascii="Aptos" w:hAnsi="Aptos" w:cs="Times New Roman"/>
          <w:color w:val="1F4E79" w:themeColor="accent5" w:themeShade="80"/>
          <w:sz w:val="24"/>
          <w:szCs w:val="24"/>
        </w:rPr>
        <w:t>services for osteoarthritis in 2025.  The Applicant intentionally started its LDRT</w:t>
      </w:r>
      <w:r w:rsidR="00F10AD2" w:rsidRPr="00E940CF">
        <w:rPr>
          <w:rFonts w:ascii="Aptos" w:hAnsi="Aptos" w:cs="Times New Roman"/>
          <w:color w:val="1F4E79" w:themeColor="accent5" w:themeShade="80"/>
          <w:sz w:val="24"/>
          <w:szCs w:val="24"/>
        </w:rPr>
        <w:t xml:space="preserve"> </w:t>
      </w:r>
      <w:r w:rsidR="001A5BC5" w:rsidRPr="00E940CF">
        <w:rPr>
          <w:rFonts w:ascii="Aptos" w:hAnsi="Aptos" w:cs="Times New Roman"/>
          <w:color w:val="1F4E79" w:themeColor="accent5" w:themeShade="80"/>
          <w:sz w:val="24"/>
          <w:szCs w:val="24"/>
        </w:rPr>
        <w:t xml:space="preserve">program </w:t>
      </w:r>
      <w:r w:rsidR="00F10AD2" w:rsidRPr="00E940CF">
        <w:rPr>
          <w:rFonts w:ascii="Aptos" w:hAnsi="Aptos" w:cs="Times New Roman"/>
          <w:color w:val="1F4E79" w:themeColor="accent5" w:themeShade="80"/>
          <w:sz w:val="24"/>
          <w:szCs w:val="24"/>
        </w:rPr>
        <w:t>in a contained manner (i.e., not broadly advertising it or seeking to immediately add significant volume)</w:t>
      </w:r>
      <w:r w:rsidR="001A5BC5" w:rsidRPr="00E940CF">
        <w:rPr>
          <w:rFonts w:ascii="Aptos" w:hAnsi="Aptos" w:cs="Times New Roman"/>
          <w:color w:val="1F4E79" w:themeColor="accent5" w:themeShade="80"/>
          <w:sz w:val="24"/>
          <w:szCs w:val="24"/>
        </w:rPr>
        <w:t xml:space="preserve"> given its capacity issues at its Fairhaven Cancer Center site, and the need to prioritize access</w:t>
      </w:r>
      <w:r w:rsidR="00F10AD2" w:rsidRPr="00E940CF">
        <w:rPr>
          <w:rFonts w:ascii="Aptos" w:hAnsi="Aptos" w:cs="Times New Roman"/>
          <w:color w:val="1F4E79" w:themeColor="accent5" w:themeShade="80"/>
          <w:sz w:val="24"/>
          <w:szCs w:val="24"/>
        </w:rPr>
        <w:t xml:space="preserve"> to the LINAC</w:t>
      </w:r>
      <w:r w:rsidR="001A5BC5" w:rsidRPr="00E940CF">
        <w:rPr>
          <w:rFonts w:ascii="Aptos" w:hAnsi="Aptos" w:cs="Times New Roman"/>
          <w:color w:val="1F4E79" w:themeColor="accent5" w:themeShade="80"/>
          <w:sz w:val="24"/>
          <w:szCs w:val="24"/>
        </w:rPr>
        <w:t xml:space="preserve"> for oncology patients.  Accordingly, the Applicant does not have historical trends on which its projections can be based</w:t>
      </w:r>
      <w:r w:rsidR="00F10AD2" w:rsidRPr="00E940CF">
        <w:rPr>
          <w:rFonts w:ascii="Aptos" w:hAnsi="Aptos" w:cs="Times New Roman"/>
          <w:color w:val="1F4E79" w:themeColor="accent5" w:themeShade="80"/>
          <w:sz w:val="24"/>
          <w:szCs w:val="24"/>
        </w:rPr>
        <w:t xml:space="preserve">.  However, </w:t>
      </w:r>
      <w:proofErr w:type="gramStart"/>
      <w:r w:rsidR="00F10AD2" w:rsidRPr="00E940CF">
        <w:rPr>
          <w:rFonts w:ascii="Aptos" w:hAnsi="Aptos" w:cs="Times New Roman"/>
          <w:color w:val="1F4E79" w:themeColor="accent5" w:themeShade="80"/>
          <w:sz w:val="24"/>
          <w:szCs w:val="24"/>
        </w:rPr>
        <w:t>based on the fact that</w:t>
      </w:r>
      <w:proofErr w:type="gramEnd"/>
      <w:r w:rsidR="00F10AD2" w:rsidRPr="00E940CF">
        <w:rPr>
          <w:rFonts w:ascii="Aptos" w:hAnsi="Aptos" w:cs="Times New Roman"/>
          <w:color w:val="1F4E79" w:themeColor="accent5" w:themeShade="80"/>
          <w:sz w:val="24"/>
          <w:szCs w:val="24"/>
        </w:rPr>
        <w:t xml:space="preserve"> many individuals in </w:t>
      </w:r>
      <w:proofErr w:type="gramStart"/>
      <w:r w:rsidR="00F10AD2" w:rsidRPr="00E940CF">
        <w:rPr>
          <w:rFonts w:ascii="Aptos" w:hAnsi="Aptos" w:cs="Times New Roman"/>
          <w:color w:val="1F4E79" w:themeColor="accent5" w:themeShade="80"/>
          <w:sz w:val="24"/>
          <w:szCs w:val="24"/>
        </w:rPr>
        <w:t>its</w:t>
      </w:r>
      <w:proofErr w:type="gramEnd"/>
      <w:r w:rsidR="00F10AD2" w:rsidRPr="00E940CF">
        <w:rPr>
          <w:rFonts w:ascii="Aptos" w:hAnsi="Aptos" w:cs="Times New Roman"/>
          <w:color w:val="1F4E79" w:themeColor="accent5" w:themeShade="80"/>
          <w:sz w:val="24"/>
          <w:szCs w:val="24"/>
        </w:rPr>
        <w:t xml:space="preserve"> community are believed to be affected by osteoarthritis (the Applicant currently treats nearly 1000 osteoarthritis patients annually), and the growth of similar programs at other facilities, the Applicant believes the following to be reasonable and conservative</w:t>
      </w:r>
      <w:r w:rsidR="001A5BC5" w:rsidRPr="00E940CF">
        <w:rPr>
          <w:rFonts w:ascii="Aptos" w:hAnsi="Aptos" w:cs="Times New Roman"/>
          <w:color w:val="1F4E79" w:themeColor="accent5" w:themeShade="80"/>
          <w:sz w:val="24"/>
          <w:szCs w:val="24"/>
        </w:rPr>
        <w:t xml:space="preserve">.  </w:t>
      </w:r>
      <w:r w:rsidR="00F10AD2" w:rsidRPr="00E940CF">
        <w:rPr>
          <w:rFonts w:ascii="Aptos" w:hAnsi="Aptos" w:cs="Times New Roman"/>
          <w:color w:val="1F4E79" w:themeColor="accent5" w:themeShade="80"/>
          <w:sz w:val="24"/>
          <w:szCs w:val="24"/>
        </w:rPr>
        <w:t xml:space="preserve">Of note, clinical studies indicate that </w:t>
      </w:r>
      <w:r w:rsidR="00F10AD2" w:rsidRPr="00E940CF">
        <w:rPr>
          <w:rFonts w:ascii="Aptos" w:hAnsi="Aptos" w:cs="Times New Roman"/>
          <w:color w:val="1F4E79" w:themeColor="accent5" w:themeShade="80"/>
          <w:sz w:val="24"/>
          <w:szCs w:val="24"/>
        </w:rPr>
        <w:lastRenderedPageBreak/>
        <w:t>patients are candidates for LDRT if they do not respond to standard osteoarthritis therapies, and this patient population is estimated to constitute approximately 25</w:t>
      </w:r>
      <w:r w:rsidR="00A637F5">
        <w:rPr>
          <w:rFonts w:ascii="Aptos" w:hAnsi="Aptos" w:cs="Times New Roman"/>
          <w:color w:val="1F4E79" w:themeColor="accent5" w:themeShade="80"/>
          <w:sz w:val="24"/>
          <w:szCs w:val="24"/>
        </w:rPr>
        <w:t xml:space="preserve"> </w:t>
      </w:r>
      <w:r w:rsidR="00A637F5">
        <w:rPr>
          <w:rFonts w:ascii="Aptos" w:eastAsia="Times New Roman" w:hAnsi="Aptos" w:cs="Times New Roman"/>
          <w:color w:val="1F4E79" w:themeColor="accent5" w:themeShade="80"/>
          <w:sz w:val="24"/>
          <w:szCs w:val="24"/>
        </w:rPr>
        <w:t>percent</w:t>
      </w:r>
      <w:r w:rsidR="00F10AD2" w:rsidRPr="00E940CF">
        <w:rPr>
          <w:rFonts w:ascii="Aptos" w:hAnsi="Aptos" w:cs="Times New Roman"/>
          <w:color w:val="1F4E79" w:themeColor="accent5" w:themeShade="80"/>
          <w:sz w:val="24"/>
          <w:szCs w:val="24"/>
        </w:rPr>
        <w:t xml:space="preserve"> of all osteoarthritis patients.</w:t>
      </w:r>
      <w:r w:rsidR="00F10AD2" w:rsidRPr="00E940CF">
        <w:rPr>
          <w:rStyle w:val="FootnoteReference"/>
          <w:rFonts w:ascii="Aptos" w:hAnsi="Aptos" w:cs="Times New Roman"/>
          <w:color w:val="1F4E79" w:themeColor="accent5" w:themeShade="80"/>
          <w:sz w:val="24"/>
          <w:szCs w:val="24"/>
        </w:rPr>
        <w:footnoteReference w:id="8"/>
      </w:r>
    </w:p>
    <w:p w14:paraId="491391D1" w14:textId="3A58DFE9" w:rsidR="008001F8" w:rsidRPr="00E940CF" w:rsidRDefault="008001F8" w:rsidP="002A12E5">
      <w:pPr>
        <w:ind w:left="360"/>
        <w:rPr>
          <w:rFonts w:ascii="Aptos" w:hAnsi="Aptos" w:cs="Times New Roman"/>
          <w:color w:val="1F4E79" w:themeColor="accent5" w:themeShade="80"/>
          <w:sz w:val="24"/>
          <w:szCs w:val="24"/>
        </w:rPr>
      </w:pPr>
      <w:r w:rsidRPr="00E940CF">
        <w:rPr>
          <w:rFonts w:ascii="Aptos" w:eastAsia="Times New Roman" w:hAnsi="Aptos" w:cs="Times New Roman"/>
          <w:b/>
          <w:bCs/>
          <w:color w:val="1F4E78"/>
          <w:sz w:val="24"/>
          <w:szCs w:val="24"/>
        </w:rPr>
        <w:t>SHS Fairhaven Cancer Center LDRT Volume Projections</w:t>
      </w:r>
    </w:p>
    <w:tbl>
      <w:tblPr>
        <w:tblW w:w="3742" w:type="dxa"/>
        <w:tblInd w:w="355" w:type="dxa"/>
        <w:tblLook w:val="04A0" w:firstRow="1" w:lastRow="0" w:firstColumn="1" w:lastColumn="0" w:noHBand="0" w:noVBand="1"/>
        <w:tblCaption w:val="SHS Fairhaven Cancer Center LDRT Volume Projections"/>
      </w:tblPr>
      <w:tblGrid>
        <w:gridCol w:w="786"/>
        <w:gridCol w:w="2956"/>
      </w:tblGrid>
      <w:tr w:rsidR="00F10AD2" w:rsidRPr="00E940CF" w14:paraId="6083ACFF" w14:textId="77777777" w:rsidTr="008001F8">
        <w:trPr>
          <w:cantSplit/>
          <w:trHeight w:val="333"/>
          <w:tblHeader/>
        </w:trPr>
        <w:tc>
          <w:tcPr>
            <w:tcW w:w="786" w:type="dxa"/>
            <w:tcBorders>
              <w:top w:val="nil"/>
              <w:left w:val="single" w:sz="4" w:space="0" w:color="auto"/>
              <w:bottom w:val="single" w:sz="4" w:space="0" w:color="auto"/>
              <w:right w:val="single" w:sz="4" w:space="0" w:color="auto"/>
            </w:tcBorders>
            <w:noWrap/>
            <w:vAlign w:val="center"/>
            <w:hideMark/>
          </w:tcPr>
          <w:p w14:paraId="30FA1F50" w14:textId="594E187B" w:rsidR="00F10AD2" w:rsidRPr="00E940CF" w:rsidRDefault="00F10AD2" w:rsidP="00F10AD2">
            <w:pPr>
              <w:spacing w:after="0" w:line="240" w:lineRule="auto"/>
              <w:jc w:val="center"/>
              <w:rPr>
                <w:rFonts w:ascii="Aptos" w:eastAsia="Times New Roman" w:hAnsi="Aptos" w:cs="Times New Roman"/>
                <w:b/>
                <w:bCs/>
                <w:color w:val="1F4E78"/>
                <w:sz w:val="24"/>
                <w:szCs w:val="24"/>
              </w:rPr>
            </w:pPr>
            <w:r w:rsidRPr="00E940CF">
              <w:rPr>
                <w:rFonts w:ascii="Aptos" w:eastAsia="Times New Roman" w:hAnsi="Aptos" w:cs="Times New Roman"/>
                <w:b/>
                <w:bCs/>
                <w:color w:val="1F4E78"/>
                <w:sz w:val="24"/>
                <w:szCs w:val="24"/>
              </w:rPr>
              <w:t>Year</w:t>
            </w:r>
            <w:r w:rsidR="003B2845" w:rsidRPr="00E940CF">
              <w:rPr>
                <w:rStyle w:val="FootnoteReference"/>
                <w:rFonts w:ascii="Aptos" w:eastAsia="Times New Roman" w:hAnsi="Aptos" w:cs="Times New Roman"/>
                <w:b/>
                <w:bCs/>
                <w:color w:val="1F4E78"/>
                <w:sz w:val="24"/>
                <w:szCs w:val="24"/>
              </w:rPr>
              <w:footnoteReference w:id="9"/>
            </w:r>
          </w:p>
        </w:tc>
        <w:tc>
          <w:tcPr>
            <w:tcW w:w="2956" w:type="dxa"/>
            <w:tcBorders>
              <w:top w:val="nil"/>
              <w:left w:val="nil"/>
              <w:bottom w:val="single" w:sz="4" w:space="0" w:color="auto"/>
              <w:right w:val="single" w:sz="4" w:space="0" w:color="auto"/>
            </w:tcBorders>
            <w:noWrap/>
            <w:vAlign w:val="center"/>
            <w:hideMark/>
          </w:tcPr>
          <w:p w14:paraId="06901509" w14:textId="77777777" w:rsidR="00F10AD2" w:rsidRPr="00E940CF" w:rsidRDefault="00F10AD2" w:rsidP="00F10AD2">
            <w:pPr>
              <w:spacing w:after="0" w:line="240" w:lineRule="auto"/>
              <w:jc w:val="center"/>
              <w:rPr>
                <w:rFonts w:ascii="Aptos" w:eastAsia="Times New Roman" w:hAnsi="Aptos" w:cs="Times New Roman"/>
                <w:b/>
                <w:bCs/>
                <w:color w:val="1F4E78"/>
                <w:sz w:val="24"/>
                <w:szCs w:val="24"/>
              </w:rPr>
            </w:pPr>
            <w:r w:rsidRPr="00E940CF">
              <w:rPr>
                <w:rFonts w:ascii="Aptos" w:eastAsia="Times New Roman" w:hAnsi="Aptos" w:cs="Times New Roman"/>
                <w:b/>
                <w:bCs/>
                <w:color w:val="1F4E78"/>
                <w:sz w:val="24"/>
                <w:szCs w:val="24"/>
              </w:rPr>
              <w:t>Patient Volume</w:t>
            </w:r>
          </w:p>
        </w:tc>
      </w:tr>
      <w:tr w:rsidR="00F10AD2" w:rsidRPr="00E940CF" w14:paraId="1FEEB64E" w14:textId="77777777" w:rsidTr="008001F8">
        <w:trPr>
          <w:cantSplit/>
          <w:trHeight w:val="333"/>
        </w:trPr>
        <w:tc>
          <w:tcPr>
            <w:tcW w:w="786" w:type="dxa"/>
            <w:tcBorders>
              <w:top w:val="nil"/>
              <w:left w:val="single" w:sz="4" w:space="0" w:color="auto"/>
              <w:bottom w:val="single" w:sz="4" w:space="0" w:color="auto"/>
              <w:right w:val="single" w:sz="4" w:space="0" w:color="auto"/>
            </w:tcBorders>
            <w:noWrap/>
            <w:vAlign w:val="center"/>
            <w:hideMark/>
          </w:tcPr>
          <w:p w14:paraId="36908B5A" w14:textId="77777777" w:rsidR="00F10AD2" w:rsidRPr="00E940CF" w:rsidRDefault="00F10AD2" w:rsidP="00F10AD2">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2025</w:t>
            </w:r>
          </w:p>
        </w:tc>
        <w:tc>
          <w:tcPr>
            <w:tcW w:w="2956" w:type="dxa"/>
            <w:tcBorders>
              <w:top w:val="nil"/>
              <w:left w:val="nil"/>
              <w:bottom w:val="single" w:sz="4" w:space="0" w:color="auto"/>
              <w:right w:val="single" w:sz="4" w:space="0" w:color="auto"/>
            </w:tcBorders>
            <w:noWrap/>
            <w:vAlign w:val="center"/>
            <w:hideMark/>
          </w:tcPr>
          <w:p w14:paraId="623ED7EE" w14:textId="43F287E7" w:rsidR="00F10AD2" w:rsidRPr="00E940CF" w:rsidRDefault="00924A71" w:rsidP="00F10AD2">
            <w:pPr>
              <w:spacing w:after="0" w:line="240" w:lineRule="auto"/>
              <w:jc w:val="center"/>
              <w:rPr>
                <w:rFonts w:ascii="Aptos" w:eastAsia="Times New Roman" w:hAnsi="Aptos" w:cs="Times New Roman"/>
                <w:color w:val="1F4E78"/>
                <w:sz w:val="24"/>
                <w:szCs w:val="24"/>
              </w:rPr>
            </w:pPr>
            <w:r w:rsidRPr="00E940CF">
              <w:rPr>
                <w:rFonts w:ascii="Aptos" w:hAnsi="Aptos" w:cs="Times New Roman"/>
                <w:i/>
                <w:iCs/>
                <w:color w:val="1F4E79" w:themeColor="accent5" w:themeShade="80"/>
                <w:sz w:val="24"/>
                <w:szCs w:val="24"/>
              </w:rPr>
              <w:t>&lt;10</w:t>
            </w:r>
            <w:r w:rsidR="00F10AD2" w:rsidRPr="00E940CF">
              <w:rPr>
                <w:rFonts w:ascii="Aptos" w:eastAsia="Times New Roman" w:hAnsi="Aptos" w:cs="Times New Roman"/>
                <w:color w:val="1F4E78"/>
                <w:sz w:val="24"/>
                <w:szCs w:val="24"/>
              </w:rPr>
              <w:t>*</w:t>
            </w:r>
          </w:p>
        </w:tc>
      </w:tr>
      <w:tr w:rsidR="00F10AD2" w:rsidRPr="00E940CF" w14:paraId="3F45AE5B" w14:textId="77777777" w:rsidTr="008001F8">
        <w:trPr>
          <w:cantSplit/>
          <w:trHeight w:val="333"/>
        </w:trPr>
        <w:tc>
          <w:tcPr>
            <w:tcW w:w="786" w:type="dxa"/>
            <w:tcBorders>
              <w:top w:val="nil"/>
              <w:left w:val="single" w:sz="4" w:space="0" w:color="auto"/>
              <w:bottom w:val="single" w:sz="4" w:space="0" w:color="auto"/>
              <w:right w:val="single" w:sz="4" w:space="0" w:color="auto"/>
            </w:tcBorders>
            <w:noWrap/>
            <w:vAlign w:val="center"/>
            <w:hideMark/>
          </w:tcPr>
          <w:p w14:paraId="23D496F2" w14:textId="77777777" w:rsidR="00F10AD2" w:rsidRPr="00E940CF" w:rsidRDefault="00F10AD2" w:rsidP="00F10AD2">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2026</w:t>
            </w:r>
          </w:p>
        </w:tc>
        <w:tc>
          <w:tcPr>
            <w:tcW w:w="2956" w:type="dxa"/>
            <w:tcBorders>
              <w:top w:val="nil"/>
              <w:left w:val="nil"/>
              <w:bottom w:val="single" w:sz="4" w:space="0" w:color="auto"/>
              <w:right w:val="single" w:sz="4" w:space="0" w:color="auto"/>
            </w:tcBorders>
            <w:noWrap/>
            <w:vAlign w:val="center"/>
            <w:hideMark/>
          </w:tcPr>
          <w:p w14:paraId="2DAF75C4" w14:textId="77777777" w:rsidR="00F10AD2" w:rsidRPr="00E940CF" w:rsidRDefault="00F10AD2" w:rsidP="00F10AD2">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12</w:t>
            </w:r>
          </w:p>
        </w:tc>
      </w:tr>
      <w:tr w:rsidR="00F10AD2" w:rsidRPr="00E940CF" w14:paraId="64729642" w14:textId="77777777" w:rsidTr="008001F8">
        <w:trPr>
          <w:cantSplit/>
          <w:trHeight w:val="333"/>
        </w:trPr>
        <w:tc>
          <w:tcPr>
            <w:tcW w:w="786" w:type="dxa"/>
            <w:tcBorders>
              <w:top w:val="nil"/>
              <w:left w:val="single" w:sz="4" w:space="0" w:color="auto"/>
              <w:bottom w:val="single" w:sz="4" w:space="0" w:color="auto"/>
              <w:right w:val="single" w:sz="4" w:space="0" w:color="auto"/>
            </w:tcBorders>
            <w:noWrap/>
            <w:vAlign w:val="center"/>
            <w:hideMark/>
          </w:tcPr>
          <w:p w14:paraId="6F3E9DD7" w14:textId="77777777" w:rsidR="00F10AD2" w:rsidRPr="00E940CF" w:rsidRDefault="00F10AD2" w:rsidP="00F10AD2">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2027</w:t>
            </w:r>
          </w:p>
        </w:tc>
        <w:tc>
          <w:tcPr>
            <w:tcW w:w="2956" w:type="dxa"/>
            <w:tcBorders>
              <w:top w:val="nil"/>
              <w:left w:val="nil"/>
              <w:bottom w:val="single" w:sz="4" w:space="0" w:color="auto"/>
              <w:right w:val="single" w:sz="4" w:space="0" w:color="auto"/>
            </w:tcBorders>
            <w:noWrap/>
            <w:vAlign w:val="center"/>
            <w:hideMark/>
          </w:tcPr>
          <w:p w14:paraId="503A3791" w14:textId="77777777" w:rsidR="00F10AD2" w:rsidRPr="00E940CF" w:rsidRDefault="00F10AD2" w:rsidP="00F10AD2">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30</w:t>
            </w:r>
          </w:p>
        </w:tc>
      </w:tr>
      <w:tr w:rsidR="00F10AD2" w:rsidRPr="00E940CF" w14:paraId="6F295B6D" w14:textId="77777777" w:rsidTr="008001F8">
        <w:trPr>
          <w:cantSplit/>
          <w:trHeight w:val="333"/>
        </w:trPr>
        <w:tc>
          <w:tcPr>
            <w:tcW w:w="786" w:type="dxa"/>
            <w:tcBorders>
              <w:top w:val="nil"/>
              <w:left w:val="single" w:sz="4" w:space="0" w:color="auto"/>
              <w:bottom w:val="single" w:sz="4" w:space="0" w:color="auto"/>
              <w:right w:val="single" w:sz="4" w:space="0" w:color="auto"/>
            </w:tcBorders>
            <w:noWrap/>
            <w:vAlign w:val="center"/>
            <w:hideMark/>
          </w:tcPr>
          <w:p w14:paraId="1AFB40FD" w14:textId="77777777" w:rsidR="00F10AD2" w:rsidRPr="00E940CF" w:rsidRDefault="00F10AD2" w:rsidP="00F10AD2">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2028</w:t>
            </w:r>
          </w:p>
        </w:tc>
        <w:tc>
          <w:tcPr>
            <w:tcW w:w="2956" w:type="dxa"/>
            <w:tcBorders>
              <w:top w:val="nil"/>
              <w:left w:val="nil"/>
              <w:bottom w:val="single" w:sz="4" w:space="0" w:color="auto"/>
              <w:right w:val="single" w:sz="4" w:space="0" w:color="auto"/>
            </w:tcBorders>
            <w:noWrap/>
            <w:vAlign w:val="center"/>
            <w:hideMark/>
          </w:tcPr>
          <w:p w14:paraId="33F8E9AD" w14:textId="77777777" w:rsidR="00F10AD2" w:rsidRPr="00E940CF" w:rsidRDefault="00F10AD2" w:rsidP="00F10AD2">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45</w:t>
            </w:r>
          </w:p>
        </w:tc>
      </w:tr>
      <w:tr w:rsidR="00F10AD2" w:rsidRPr="00E940CF" w14:paraId="1480B9E9" w14:textId="77777777" w:rsidTr="008001F8">
        <w:trPr>
          <w:cantSplit/>
          <w:trHeight w:val="333"/>
        </w:trPr>
        <w:tc>
          <w:tcPr>
            <w:tcW w:w="786" w:type="dxa"/>
            <w:tcBorders>
              <w:top w:val="nil"/>
              <w:left w:val="single" w:sz="4" w:space="0" w:color="auto"/>
              <w:bottom w:val="single" w:sz="4" w:space="0" w:color="auto"/>
              <w:right w:val="single" w:sz="4" w:space="0" w:color="auto"/>
            </w:tcBorders>
            <w:noWrap/>
            <w:vAlign w:val="center"/>
            <w:hideMark/>
          </w:tcPr>
          <w:p w14:paraId="20A54CAD" w14:textId="77777777" w:rsidR="00F10AD2" w:rsidRPr="00E940CF" w:rsidRDefault="00F10AD2" w:rsidP="00F10AD2">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2029</w:t>
            </w:r>
          </w:p>
        </w:tc>
        <w:tc>
          <w:tcPr>
            <w:tcW w:w="2956" w:type="dxa"/>
            <w:tcBorders>
              <w:top w:val="nil"/>
              <w:left w:val="nil"/>
              <w:bottom w:val="single" w:sz="4" w:space="0" w:color="auto"/>
              <w:right w:val="single" w:sz="4" w:space="0" w:color="auto"/>
            </w:tcBorders>
            <w:noWrap/>
            <w:vAlign w:val="center"/>
            <w:hideMark/>
          </w:tcPr>
          <w:p w14:paraId="007B47DE" w14:textId="77777777" w:rsidR="00F10AD2" w:rsidRPr="00E940CF" w:rsidRDefault="00F10AD2" w:rsidP="00F10AD2">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60</w:t>
            </w:r>
          </w:p>
        </w:tc>
      </w:tr>
      <w:tr w:rsidR="00F10AD2" w:rsidRPr="00E940CF" w14:paraId="1490BE70" w14:textId="77777777" w:rsidTr="008001F8">
        <w:trPr>
          <w:cantSplit/>
          <w:trHeight w:val="333"/>
        </w:trPr>
        <w:tc>
          <w:tcPr>
            <w:tcW w:w="786" w:type="dxa"/>
            <w:tcBorders>
              <w:top w:val="nil"/>
              <w:left w:val="single" w:sz="4" w:space="0" w:color="auto"/>
              <w:bottom w:val="single" w:sz="4" w:space="0" w:color="auto"/>
              <w:right w:val="single" w:sz="4" w:space="0" w:color="auto"/>
            </w:tcBorders>
            <w:noWrap/>
            <w:vAlign w:val="center"/>
            <w:hideMark/>
          </w:tcPr>
          <w:p w14:paraId="2968E435" w14:textId="77777777" w:rsidR="00F10AD2" w:rsidRPr="00E940CF" w:rsidRDefault="00F10AD2" w:rsidP="00F10AD2">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2030</w:t>
            </w:r>
          </w:p>
        </w:tc>
        <w:tc>
          <w:tcPr>
            <w:tcW w:w="2956" w:type="dxa"/>
            <w:tcBorders>
              <w:top w:val="nil"/>
              <w:left w:val="nil"/>
              <w:bottom w:val="single" w:sz="4" w:space="0" w:color="auto"/>
              <w:right w:val="single" w:sz="4" w:space="0" w:color="auto"/>
            </w:tcBorders>
            <w:noWrap/>
            <w:vAlign w:val="center"/>
            <w:hideMark/>
          </w:tcPr>
          <w:p w14:paraId="38078BF3" w14:textId="77777777" w:rsidR="00F10AD2" w:rsidRPr="00E940CF" w:rsidRDefault="00F10AD2" w:rsidP="00F10AD2">
            <w:pPr>
              <w:spacing w:after="0" w:line="240" w:lineRule="auto"/>
              <w:jc w:val="center"/>
              <w:rPr>
                <w:rFonts w:ascii="Aptos" w:eastAsia="Times New Roman" w:hAnsi="Aptos" w:cs="Times New Roman"/>
                <w:color w:val="1F4E78"/>
                <w:sz w:val="24"/>
                <w:szCs w:val="24"/>
              </w:rPr>
            </w:pPr>
            <w:r w:rsidRPr="00E940CF">
              <w:rPr>
                <w:rFonts w:ascii="Aptos" w:eastAsia="Times New Roman" w:hAnsi="Aptos" w:cs="Times New Roman"/>
                <w:color w:val="1F4E78"/>
                <w:sz w:val="24"/>
                <w:szCs w:val="24"/>
              </w:rPr>
              <w:t>80</w:t>
            </w:r>
          </w:p>
        </w:tc>
      </w:tr>
    </w:tbl>
    <w:p w14:paraId="549FB2BC" w14:textId="1C03E4A4" w:rsidR="008001F8" w:rsidRDefault="008001F8" w:rsidP="00A53017">
      <w:pPr>
        <w:ind w:firstLine="720"/>
        <w:rPr>
          <w:rFonts w:ascii="Aptos" w:hAnsi="Aptos" w:cs="Times New Roman"/>
          <w:i/>
          <w:iCs/>
          <w:color w:val="1F4E79" w:themeColor="accent5" w:themeShade="80"/>
          <w:sz w:val="24"/>
          <w:szCs w:val="24"/>
        </w:rPr>
      </w:pPr>
      <w:r w:rsidRPr="00E940CF">
        <w:rPr>
          <w:rFonts w:ascii="Aptos" w:eastAsia="Times New Roman" w:hAnsi="Aptos" w:cs="Times New Roman"/>
          <w:color w:val="1F4E78"/>
          <w:sz w:val="24"/>
          <w:szCs w:val="24"/>
        </w:rPr>
        <w:t>*Reflects actual 2025 volume</w:t>
      </w:r>
    </w:p>
    <w:p w14:paraId="76199242" w14:textId="26D1AB27" w:rsidR="004D7E3E" w:rsidRPr="00EA6EEC" w:rsidRDefault="004D7E3E" w:rsidP="00A53017">
      <w:pPr>
        <w:ind w:firstLine="720"/>
        <w:rPr>
          <w:rFonts w:ascii="Aptos" w:hAnsi="Aptos" w:cs="Times New Roman"/>
          <w:i/>
          <w:iCs/>
          <w:color w:val="1F4E79" w:themeColor="accent5" w:themeShade="80"/>
          <w:sz w:val="24"/>
          <w:szCs w:val="24"/>
        </w:rPr>
      </w:pPr>
      <w:r w:rsidRPr="00EA6EEC">
        <w:rPr>
          <w:rFonts w:ascii="Aptos" w:hAnsi="Aptos" w:cs="Times New Roman"/>
          <w:i/>
          <w:iCs/>
          <w:color w:val="1F4E79" w:themeColor="accent5" w:themeShade="80"/>
          <w:sz w:val="24"/>
          <w:szCs w:val="24"/>
        </w:rPr>
        <w:t>SRS for Essential Tremors</w:t>
      </w:r>
    </w:p>
    <w:p w14:paraId="515EA3E5" w14:textId="428E3174" w:rsidR="004D7E3E" w:rsidRDefault="00A53017" w:rsidP="00924A71">
      <w:pPr>
        <w:ind w:left="360" w:hanging="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ab/>
        <w:t xml:space="preserve">The Applicant commenced providing SRS treatments for essential tremors in </w:t>
      </w:r>
      <w:proofErr w:type="gramStart"/>
      <w:r w:rsidRPr="00E940CF">
        <w:rPr>
          <w:rFonts w:ascii="Aptos" w:hAnsi="Aptos" w:cs="Times New Roman"/>
          <w:color w:val="1F4E79" w:themeColor="accent5" w:themeShade="80"/>
          <w:sz w:val="24"/>
          <w:szCs w:val="24"/>
        </w:rPr>
        <w:t>October 2025, and</w:t>
      </w:r>
      <w:proofErr w:type="gramEnd"/>
      <w:r w:rsidRPr="00E940CF">
        <w:rPr>
          <w:rFonts w:ascii="Aptos" w:hAnsi="Aptos" w:cs="Times New Roman"/>
          <w:color w:val="1F4E79" w:themeColor="accent5" w:themeShade="80"/>
          <w:sz w:val="24"/>
          <w:szCs w:val="24"/>
        </w:rPr>
        <w:t xml:space="preserve"> treated </w:t>
      </w:r>
      <w:r w:rsidR="00924A71" w:rsidRPr="00E940CF">
        <w:rPr>
          <w:rFonts w:ascii="Aptos" w:hAnsi="Aptos" w:cs="Times New Roman"/>
          <w:color w:val="1F4E79" w:themeColor="accent5" w:themeShade="80"/>
          <w:sz w:val="24"/>
          <w:szCs w:val="24"/>
        </w:rPr>
        <w:t>fewer than 10</w:t>
      </w:r>
      <w:r w:rsidRPr="00E940CF">
        <w:rPr>
          <w:rFonts w:ascii="Aptos" w:hAnsi="Aptos" w:cs="Times New Roman"/>
          <w:color w:val="1F4E79" w:themeColor="accent5" w:themeShade="80"/>
          <w:sz w:val="24"/>
          <w:szCs w:val="24"/>
        </w:rPr>
        <w:t xml:space="preserve"> patients through the end of calendar year 2025.</w:t>
      </w:r>
      <w:r w:rsidR="00780438" w:rsidRPr="00E940CF">
        <w:rPr>
          <w:rFonts w:ascii="Aptos" w:hAnsi="Aptos" w:cs="Times New Roman"/>
          <w:color w:val="1F4E79" w:themeColor="accent5" w:themeShade="80"/>
          <w:sz w:val="24"/>
          <w:szCs w:val="24"/>
        </w:rPr>
        <w:t xml:space="preserve">  Please see the Applicant’s projected SRS </w:t>
      </w:r>
      <w:r w:rsidR="00E36137" w:rsidRPr="00E940CF">
        <w:rPr>
          <w:rFonts w:ascii="Aptos" w:hAnsi="Aptos" w:cs="Times New Roman"/>
          <w:color w:val="1F4E79" w:themeColor="accent5" w:themeShade="80"/>
          <w:sz w:val="24"/>
          <w:szCs w:val="24"/>
        </w:rPr>
        <w:t xml:space="preserve">essential tremor </w:t>
      </w:r>
      <w:r w:rsidR="00780438" w:rsidRPr="00E940CF">
        <w:rPr>
          <w:rFonts w:ascii="Aptos" w:hAnsi="Aptos" w:cs="Times New Roman"/>
          <w:color w:val="1F4E79" w:themeColor="accent5" w:themeShade="80"/>
          <w:sz w:val="24"/>
          <w:szCs w:val="24"/>
        </w:rPr>
        <w:t>treatment volume in the figure below.</w:t>
      </w:r>
      <w:r w:rsidRPr="00E940CF">
        <w:rPr>
          <w:rFonts w:ascii="Aptos" w:hAnsi="Aptos" w:cs="Times New Roman"/>
          <w:color w:val="1F4E79" w:themeColor="accent5" w:themeShade="80"/>
          <w:sz w:val="24"/>
          <w:szCs w:val="24"/>
        </w:rPr>
        <w:t xml:space="preserve">  </w:t>
      </w:r>
    </w:p>
    <w:p w14:paraId="62F7E687" w14:textId="07CF974E" w:rsidR="008001F8" w:rsidRPr="00E940CF" w:rsidRDefault="008001F8" w:rsidP="00924A71">
      <w:pPr>
        <w:ind w:left="360" w:hanging="360"/>
        <w:rPr>
          <w:rFonts w:ascii="Aptos" w:hAnsi="Aptos" w:cs="Times New Roman"/>
          <w:color w:val="1F4E79" w:themeColor="accent5" w:themeShade="80"/>
          <w:sz w:val="24"/>
          <w:szCs w:val="24"/>
        </w:rPr>
      </w:pPr>
      <w:r w:rsidRPr="00E940CF">
        <w:rPr>
          <w:rFonts w:ascii="Aptos" w:hAnsi="Aptos" w:cs="Times New Roman"/>
          <w:b/>
          <w:bCs/>
          <w:color w:val="1F4E78"/>
          <w:sz w:val="24"/>
          <w:szCs w:val="24"/>
        </w:rPr>
        <w:t>SRS for Essential Tremors Volume Projections</w:t>
      </w:r>
    </w:p>
    <w:tbl>
      <w:tblPr>
        <w:tblW w:w="3600" w:type="dxa"/>
        <w:tblInd w:w="355" w:type="dxa"/>
        <w:tblCellMar>
          <w:left w:w="0" w:type="dxa"/>
          <w:right w:w="0" w:type="dxa"/>
        </w:tblCellMar>
        <w:tblLook w:val="04A0" w:firstRow="1" w:lastRow="0" w:firstColumn="1" w:lastColumn="0" w:noHBand="0" w:noVBand="1"/>
        <w:tblCaption w:val="SRS for Essential Tremors Volume Projections"/>
      </w:tblPr>
      <w:tblGrid>
        <w:gridCol w:w="630"/>
        <w:gridCol w:w="2970"/>
      </w:tblGrid>
      <w:tr w:rsidR="004D7E3E" w:rsidRPr="00E940CF" w14:paraId="60397983" w14:textId="77777777" w:rsidTr="00CE71B6">
        <w:trPr>
          <w:cantSplit/>
          <w:trHeight w:val="290"/>
          <w:tblHeader/>
        </w:trPr>
        <w:tc>
          <w:tcPr>
            <w:tcW w:w="63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8AE7F34" w14:textId="77777777" w:rsidR="004D7E3E" w:rsidRPr="00E940CF" w:rsidRDefault="004D7E3E">
            <w:pPr>
              <w:jc w:val="center"/>
              <w:rPr>
                <w:rFonts w:ascii="Aptos" w:hAnsi="Aptos" w:cs="Times New Roman"/>
                <w:b/>
                <w:bCs/>
                <w:color w:val="1F4E78"/>
                <w:sz w:val="24"/>
                <w:szCs w:val="24"/>
              </w:rPr>
            </w:pPr>
            <w:r w:rsidRPr="00E940CF">
              <w:rPr>
                <w:rFonts w:ascii="Aptos" w:hAnsi="Aptos" w:cs="Times New Roman"/>
                <w:b/>
                <w:bCs/>
                <w:color w:val="1F4E78"/>
                <w:sz w:val="24"/>
                <w:szCs w:val="24"/>
              </w:rPr>
              <w:t>Year</w:t>
            </w:r>
          </w:p>
        </w:tc>
        <w:tc>
          <w:tcPr>
            <w:tcW w:w="29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9529561" w14:textId="77777777" w:rsidR="004D7E3E" w:rsidRPr="00E940CF" w:rsidRDefault="004D7E3E">
            <w:pPr>
              <w:jc w:val="center"/>
              <w:rPr>
                <w:rFonts w:ascii="Aptos" w:hAnsi="Aptos" w:cs="Times New Roman"/>
                <w:b/>
                <w:bCs/>
                <w:color w:val="1F4E78"/>
                <w:sz w:val="24"/>
                <w:szCs w:val="24"/>
              </w:rPr>
            </w:pPr>
            <w:r w:rsidRPr="00E940CF">
              <w:rPr>
                <w:rFonts w:ascii="Aptos" w:hAnsi="Aptos" w:cs="Times New Roman"/>
                <w:b/>
                <w:bCs/>
                <w:color w:val="1F4E78"/>
                <w:sz w:val="24"/>
                <w:szCs w:val="24"/>
              </w:rPr>
              <w:t>Patient Volume</w:t>
            </w:r>
          </w:p>
        </w:tc>
      </w:tr>
      <w:tr w:rsidR="004D7E3E" w:rsidRPr="00E940CF" w14:paraId="21F04367" w14:textId="77777777" w:rsidTr="00CE71B6">
        <w:trPr>
          <w:cantSplit/>
          <w:trHeight w:val="290"/>
        </w:trPr>
        <w:tc>
          <w:tcPr>
            <w:tcW w:w="63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7F7772D" w14:textId="77777777" w:rsidR="004D7E3E" w:rsidRPr="00E940CF" w:rsidRDefault="004D7E3E">
            <w:pPr>
              <w:jc w:val="center"/>
              <w:rPr>
                <w:rFonts w:ascii="Aptos" w:hAnsi="Aptos" w:cs="Times New Roman"/>
                <w:color w:val="1F4E78"/>
                <w:sz w:val="24"/>
                <w:szCs w:val="24"/>
              </w:rPr>
            </w:pPr>
            <w:r w:rsidRPr="00E940CF">
              <w:rPr>
                <w:rFonts w:ascii="Aptos" w:hAnsi="Aptos" w:cs="Times New Roman"/>
                <w:color w:val="1F4E78"/>
                <w:sz w:val="24"/>
                <w:szCs w:val="24"/>
              </w:rPr>
              <w:t>2025</w:t>
            </w:r>
          </w:p>
        </w:tc>
        <w:tc>
          <w:tcPr>
            <w:tcW w:w="29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A3B1FF" w14:textId="297F0340" w:rsidR="004D7E3E" w:rsidRPr="00E940CF" w:rsidRDefault="00924A71">
            <w:pPr>
              <w:jc w:val="center"/>
              <w:rPr>
                <w:rFonts w:ascii="Aptos" w:hAnsi="Aptos" w:cs="Times New Roman"/>
                <w:color w:val="1F4E78"/>
                <w:sz w:val="24"/>
                <w:szCs w:val="24"/>
              </w:rPr>
            </w:pPr>
            <w:r w:rsidRPr="00E940CF">
              <w:rPr>
                <w:rFonts w:ascii="Aptos" w:hAnsi="Aptos" w:cs="Times New Roman"/>
                <w:i/>
                <w:iCs/>
                <w:color w:val="1F4E79" w:themeColor="accent5" w:themeShade="80"/>
                <w:sz w:val="24"/>
                <w:szCs w:val="24"/>
              </w:rPr>
              <w:t>&lt;10</w:t>
            </w:r>
            <w:r w:rsidR="004D7E3E" w:rsidRPr="00E940CF">
              <w:rPr>
                <w:rFonts w:ascii="Aptos" w:hAnsi="Aptos" w:cs="Times New Roman"/>
                <w:color w:val="1F4E78"/>
                <w:sz w:val="24"/>
                <w:szCs w:val="24"/>
              </w:rPr>
              <w:t>*</w:t>
            </w:r>
          </w:p>
        </w:tc>
      </w:tr>
      <w:tr w:rsidR="004D7E3E" w:rsidRPr="00E940CF" w14:paraId="10B7586C" w14:textId="77777777" w:rsidTr="00CE71B6">
        <w:trPr>
          <w:cantSplit/>
          <w:trHeight w:val="290"/>
        </w:trPr>
        <w:tc>
          <w:tcPr>
            <w:tcW w:w="63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9569000" w14:textId="77777777" w:rsidR="004D7E3E" w:rsidRPr="00E940CF" w:rsidRDefault="004D7E3E">
            <w:pPr>
              <w:jc w:val="center"/>
              <w:rPr>
                <w:rFonts w:ascii="Aptos" w:hAnsi="Aptos" w:cs="Times New Roman"/>
                <w:color w:val="1F4E78"/>
                <w:sz w:val="24"/>
                <w:szCs w:val="24"/>
              </w:rPr>
            </w:pPr>
            <w:r w:rsidRPr="00E940CF">
              <w:rPr>
                <w:rFonts w:ascii="Aptos" w:hAnsi="Aptos" w:cs="Times New Roman"/>
                <w:color w:val="1F4E78"/>
                <w:sz w:val="24"/>
                <w:szCs w:val="24"/>
              </w:rPr>
              <w:t>2026</w:t>
            </w:r>
          </w:p>
        </w:tc>
        <w:tc>
          <w:tcPr>
            <w:tcW w:w="29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DF11B7" w14:textId="5BE28390" w:rsidR="004D7E3E" w:rsidRPr="00E940CF" w:rsidRDefault="00924A71">
            <w:pPr>
              <w:jc w:val="center"/>
              <w:rPr>
                <w:rFonts w:ascii="Aptos" w:hAnsi="Aptos" w:cs="Times New Roman"/>
                <w:color w:val="1F4E78"/>
                <w:sz w:val="24"/>
                <w:szCs w:val="24"/>
              </w:rPr>
            </w:pPr>
            <w:r w:rsidRPr="00E940CF">
              <w:rPr>
                <w:rFonts w:ascii="Aptos" w:hAnsi="Aptos" w:cs="Times New Roman"/>
                <w:i/>
                <w:iCs/>
                <w:color w:val="1F4E79" w:themeColor="accent5" w:themeShade="80"/>
                <w:sz w:val="24"/>
                <w:szCs w:val="24"/>
              </w:rPr>
              <w:t>&lt;10</w:t>
            </w:r>
          </w:p>
        </w:tc>
      </w:tr>
      <w:tr w:rsidR="004D7E3E" w:rsidRPr="00E940CF" w14:paraId="406C1369" w14:textId="77777777" w:rsidTr="00CE71B6">
        <w:trPr>
          <w:cantSplit/>
          <w:trHeight w:val="290"/>
        </w:trPr>
        <w:tc>
          <w:tcPr>
            <w:tcW w:w="63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4C7F0E3" w14:textId="77777777" w:rsidR="004D7E3E" w:rsidRPr="00E940CF" w:rsidRDefault="004D7E3E">
            <w:pPr>
              <w:jc w:val="center"/>
              <w:rPr>
                <w:rFonts w:ascii="Aptos" w:hAnsi="Aptos" w:cs="Times New Roman"/>
                <w:color w:val="1F4E78"/>
                <w:sz w:val="24"/>
                <w:szCs w:val="24"/>
              </w:rPr>
            </w:pPr>
            <w:r w:rsidRPr="00E940CF">
              <w:rPr>
                <w:rFonts w:ascii="Aptos" w:hAnsi="Aptos" w:cs="Times New Roman"/>
                <w:color w:val="1F4E78"/>
                <w:sz w:val="24"/>
                <w:szCs w:val="24"/>
              </w:rPr>
              <w:t>2027</w:t>
            </w:r>
          </w:p>
        </w:tc>
        <w:tc>
          <w:tcPr>
            <w:tcW w:w="29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5712382" w14:textId="77777777" w:rsidR="004D7E3E" w:rsidRPr="00E940CF" w:rsidRDefault="004D7E3E">
            <w:pPr>
              <w:jc w:val="center"/>
              <w:rPr>
                <w:rFonts w:ascii="Aptos" w:hAnsi="Aptos" w:cs="Times New Roman"/>
                <w:color w:val="1F4E78"/>
                <w:sz w:val="24"/>
                <w:szCs w:val="24"/>
              </w:rPr>
            </w:pPr>
            <w:r w:rsidRPr="00E940CF">
              <w:rPr>
                <w:rFonts w:ascii="Aptos" w:hAnsi="Aptos" w:cs="Times New Roman"/>
                <w:color w:val="1F4E78"/>
                <w:sz w:val="24"/>
                <w:szCs w:val="24"/>
              </w:rPr>
              <w:t>11</w:t>
            </w:r>
          </w:p>
        </w:tc>
      </w:tr>
      <w:tr w:rsidR="004D7E3E" w:rsidRPr="00E940CF" w14:paraId="02F073CF" w14:textId="77777777" w:rsidTr="00CE71B6">
        <w:trPr>
          <w:cantSplit/>
          <w:trHeight w:val="290"/>
        </w:trPr>
        <w:tc>
          <w:tcPr>
            <w:tcW w:w="63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D316D2D" w14:textId="77777777" w:rsidR="004D7E3E" w:rsidRPr="00E940CF" w:rsidRDefault="004D7E3E">
            <w:pPr>
              <w:jc w:val="center"/>
              <w:rPr>
                <w:rFonts w:ascii="Aptos" w:hAnsi="Aptos" w:cs="Times New Roman"/>
                <w:color w:val="1F4E78"/>
                <w:sz w:val="24"/>
                <w:szCs w:val="24"/>
              </w:rPr>
            </w:pPr>
            <w:r w:rsidRPr="00E940CF">
              <w:rPr>
                <w:rFonts w:ascii="Aptos" w:hAnsi="Aptos" w:cs="Times New Roman"/>
                <w:color w:val="1F4E78"/>
                <w:sz w:val="24"/>
                <w:szCs w:val="24"/>
              </w:rPr>
              <w:lastRenderedPageBreak/>
              <w:t>2028</w:t>
            </w:r>
          </w:p>
        </w:tc>
        <w:tc>
          <w:tcPr>
            <w:tcW w:w="29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361C82" w14:textId="77777777" w:rsidR="004D7E3E" w:rsidRPr="00E940CF" w:rsidRDefault="004D7E3E">
            <w:pPr>
              <w:jc w:val="center"/>
              <w:rPr>
                <w:rFonts w:ascii="Aptos" w:hAnsi="Aptos" w:cs="Times New Roman"/>
                <w:color w:val="1F4E78"/>
                <w:sz w:val="24"/>
                <w:szCs w:val="24"/>
              </w:rPr>
            </w:pPr>
            <w:r w:rsidRPr="00E940CF">
              <w:rPr>
                <w:rFonts w:ascii="Aptos" w:hAnsi="Aptos" w:cs="Times New Roman"/>
                <w:color w:val="1F4E78"/>
                <w:sz w:val="24"/>
                <w:szCs w:val="24"/>
              </w:rPr>
              <w:t>15</w:t>
            </w:r>
          </w:p>
        </w:tc>
      </w:tr>
      <w:tr w:rsidR="004D7E3E" w:rsidRPr="00E940CF" w14:paraId="2EF4AC0C" w14:textId="77777777" w:rsidTr="00CE71B6">
        <w:trPr>
          <w:cantSplit/>
          <w:trHeight w:val="290"/>
        </w:trPr>
        <w:tc>
          <w:tcPr>
            <w:tcW w:w="63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D9771BD" w14:textId="77777777" w:rsidR="004D7E3E" w:rsidRPr="00E940CF" w:rsidRDefault="004D7E3E">
            <w:pPr>
              <w:jc w:val="center"/>
              <w:rPr>
                <w:rFonts w:ascii="Aptos" w:hAnsi="Aptos" w:cs="Times New Roman"/>
                <w:color w:val="1F4E78"/>
                <w:sz w:val="24"/>
                <w:szCs w:val="24"/>
              </w:rPr>
            </w:pPr>
            <w:r w:rsidRPr="00E940CF">
              <w:rPr>
                <w:rFonts w:ascii="Aptos" w:hAnsi="Aptos" w:cs="Times New Roman"/>
                <w:color w:val="1F4E78"/>
                <w:sz w:val="24"/>
                <w:szCs w:val="24"/>
              </w:rPr>
              <w:t>2029</w:t>
            </w:r>
          </w:p>
        </w:tc>
        <w:tc>
          <w:tcPr>
            <w:tcW w:w="29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5F33994" w14:textId="77777777" w:rsidR="004D7E3E" w:rsidRPr="00E940CF" w:rsidRDefault="004D7E3E">
            <w:pPr>
              <w:jc w:val="center"/>
              <w:rPr>
                <w:rFonts w:ascii="Aptos" w:hAnsi="Aptos" w:cs="Times New Roman"/>
                <w:color w:val="1F4E78"/>
                <w:sz w:val="24"/>
                <w:szCs w:val="24"/>
              </w:rPr>
            </w:pPr>
            <w:r w:rsidRPr="00E940CF">
              <w:rPr>
                <w:rFonts w:ascii="Aptos" w:hAnsi="Aptos" w:cs="Times New Roman"/>
                <w:color w:val="1F4E78"/>
                <w:sz w:val="24"/>
                <w:szCs w:val="24"/>
              </w:rPr>
              <w:t>19</w:t>
            </w:r>
          </w:p>
        </w:tc>
      </w:tr>
      <w:tr w:rsidR="004D7E3E" w:rsidRPr="00E940CF" w14:paraId="532DC5D1" w14:textId="77777777" w:rsidTr="00CE71B6">
        <w:trPr>
          <w:cantSplit/>
          <w:trHeight w:val="290"/>
        </w:trPr>
        <w:tc>
          <w:tcPr>
            <w:tcW w:w="63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B79148F" w14:textId="77777777" w:rsidR="004D7E3E" w:rsidRPr="00E940CF" w:rsidRDefault="004D7E3E">
            <w:pPr>
              <w:jc w:val="center"/>
              <w:rPr>
                <w:rFonts w:ascii="Aptos" w:hAnsi="Aptos" w:cs="Times New Roman"/>
                <w:color w:val="1F4E78"/>
                <w:sz w:val="24"/>
                <w:szCs w:val="24"/>
              </w:rPr>
            </w:pPr>
            <w:r w:rsidRPr="00E940CF">
              <w:rPr>
                <w:rFonts w:ascii="Aptos" w:hAnsi="Aptos" w:cs="Times New Roman"/>
                <w:color w:val="1F4E78"/>
                <w:sz w:val="24"/>
                <w:szCs w:val="24"/>
              </w:rPr>
              <w:t>2030</w:t>
            </w:r>
          </w:p>
        </w:tc>
        <w:tc>
          <w:tcPr>
            <w:tcW w:w="297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16A7BC" w14:textId="77777777" w:rsidR="004D7E3E" w:rsidRPr="00E940CF" w:rsidRDefault="004D7E3E">
            <w:pPr>
              <w:jc w:val="center"/>
              <w:rPr>
                <w:rFonts w:ascii="Aptos" w:hAnsi="Aptos" w:cs="Times New Roman"/>
                <w:color w:val="1F4E78"/>
                <w:sz w:val="24"/>
                <w:szCs w:val="24"/>
              </w:rPr>
            </w:pPr>
            <w:r w:rsidRPr="00E940CF">
              <w:rPr>
                <w:rFonts w:ascii="Aptos" w:hAnsi="Aptos" w:cs="Times New Roman"/>
                <w:color w:val="1F4E78"/>
                <w:sz w:val="24"/>
                <w:szCs w:val="24"/>
              </w:rPr>
              <w:t>24</w:t>
            </w:r>
          </w:p>
        </w:tc>
      </w:tr>
    </w:tbl>
    <w:p w14:paraId="6106C44E" w14:textId="38B94F40" w:rsidR="00395F2A" w:rsidRDefault="00395F2A" w:rsidP="00780438">
      <w:pPr>
        <w:ind w:left="360"/>
        <w:rPr>
          <w:rFonts w:ascii="Aptos" w:hAnsi="Aptos" w:cs="Times New Roman"/>
          <w:color w:val="1F4E79" w:themeColor="accent5" w:themeShade="80"/>
          <w:sz w:val="24"/>
          <w:szCs w:val="24"/>
        </w:rPr>
      </w:pPr>
      <w:r w:rsidRPr="00E940CF">
        <w:rPr>
          <w:rFonts w:ascii="Aptos" w:hAnsi="Aptos" w:cs="Times New Roman"/>
          <w:color w:val="1F4E78"/>
          <w:sz w:val="24"/>
          <w:szCs w:val="24"/>
        </w:rPr>
        <w:t>*Reflects actual 2025 volume</w:t>
      </w:r>
    </w:p>
    <w:p w14:paraId="11279CA5" w14:textId="2991FF95" w:rsidR="00A67F62" w:rsidRPr="00E940CF" w:rsidRDefault="00780438" w:rsidP="0078043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Due to the absence of historical data, the Applicant’s projections for SRS services for essential tremors are based on trends observed in the literature and local population demographics.  Specifically, the Applicant determined that per the U.S. Census Bureau</w:t>
      </w:r>
      <w:r w:rsidR="00EC3B72" w:rsidRPr="00E940CF">
        <w:rPr>
          <w:rFonts w:ascii="Aptos" w:hAnsi="Aptos" w:cs="Times New Roman"/>
          <w:color w:val="1F4E79" w:themeColor="accent5" w:themeShade="80"/>
          <w:sz w:val="24"/>
          <w:szCs w:val="24"/>
        </w:rPr>
        <w:t>,</w:t>
      </w:r>
      <w:r w:rsidRPr="00E940CF">
        <w:rPr>
          <w:rFonts w:ascii="Aptos" w:hAnsi="Aptos" w:cs="Times New Roman"/>
          <w:color w:val="1F4E79" w:themeColor="accent5" w:themeShade="80"/>
          <w:sz w:val="24"/>
          <w:szCs w:val="24"/>
        </w:rPr>
        <w:t xml:space="preserve"> Bristol County, Massachusetts, has a population of approximately 580,000 individuals,</w:t>
      </w:r>
      <w:r w:rsidR="00185514" w:rsidRPr="00E940CF">
        <w:rPr>
          <w:rStyle w:val="FootnoteReference"/>
          <w:rFonts w:ascii="Aptos" w:hAnsi="Aptos" w:cs="Times New Roman"/>
          <w:color w:val="1F4E79" w:themeColor="accent5" w:themeShade="80"/>
          <w:sz w:val="24"/>
          <w:szCs w:val="24"/>
        </w:rPr>
        <w:footnoteReference w:id="10"/>
      </w:r>
      <w:r w:rsidRPr="00E940CF">
        <w:rPr>
          <w:rFonts w:ascii="Aptos" w:hAnsi="Aptos" w:cs="Times New Roman"/>
          <w:color w:val="1F4E79" w:themeColor="accent5" w:themeShade="80"/>
          <w:sz w:val="24"/>
          <w:szCs w:val="24"/>
        </w:rPr>
        <w:t xml:space="preserve"> and a conservative estimate of those who experience essential tremors based on clinical literature is 1.33</w:t>
      </w:r>
      <w:r w:rsidR="00A637F5">
        <w:rPr>
          <w:rFonts w:ascii="Aptos" w:hAnsi="Aptos" w:cs="Times New Roman"/>
          <w:color w:val="1F4E79" w:themeColor="accent5" w:themeShade="80"/>
          <w:sz w:val="24"/>
          <w:szCs w:val="24"/>
        </w:rPr>
        <w:t xml:space="preserve"> </w:t>
      </w:r>
      <w:r w:rsidR="00A637F5">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or 7,714.</w:t>
      </w:r>
      <w:r w:rsidRPr="00E940CF">
        <w:rPr>
          <w:rStyle w:val="FootnoteReference"/>
          <w:rFonts w:ascii="Aptos" w:hAnsi="Aptos" w:cs="Times New Roman"/>
          <w:color w:val="1F4E79" w:themeColor="accent5" w:themeShade="80"/>
          <w:sz w:val="24"/>
          <w:szCs w:val="24"/>
        </w:rPr>
        <w:footnoteReference w:id="11"/>
      </w:r>
      <w:r w:rsidRPr="00E940CF">
        <w:rPr>
          <w:rFonts w:ascii="Aptos" w:hAnsi="Aptos" w:cs="Times New Roman"/>
          <w:color w:val="1F4E79" w:themeColor="accent5" w:themeShade="80"/>
          <w:sz w:val="24"/>
          <w:szCs w:val="24"/>
        </w:rPr>
        <w:t xml:space="preserve">  Of that essential tremor patient population, clinical studies indicate that approximately 3</w:t>
      </w:r>
      <w:r w:rsidR="00112758" w:rsidRPr="00112758">
        <w:rPr>
          <w:rFonts w:ascii="Aptos" w:eastAsia="Times New Roman" w:hAnsi="Aptos" w:cs="Times New Roman"/>
          <w:color w:val="1F4E79" w:themeColor="accent5" w:themeShade="80"/>
          <w:sz w:val="24"/>
          <w:szCs w:val="24"/>
        </w:rPr>
        <w:t xml:space="preserve"> </w:t>
      </w:r>
      <w:r w:rsidR="00112758">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(or 231 patients) are candidates for an active surgical intervention such as SRS,</w:t>
      </w:r>
      <w:r w:rsidRPr="00E940CF">
        <w:rPr>
          <w:rStyle w:val="FootnoteReference"/>
          <w:rFonts w:ascii="Aptos" w:hAnsi="Aptos" w:cs="Times New Roman"/>
          <w:color w:val="1F4E79" w:themeColor="accent5" w:themeShade="80"/>
          <w:sz w:val="24"/>
          <w:szCs w:val="24"/>
        </w:rPr>
        <w:footnoteReference w:id="12"/>
      </w:r>
      <w:r w:rsidRPr="00E940CF">
        <w:rPr>
          <w:rFonts w:ascii="Aptos" w:hAnsi="Aptos" w:cs="Times New Roman"/>
          <w:color w:val="1F4E79" w:themeColor="accent5" w:themeShade="80"/>
          <w:sz w:val="24"/>
          <w:szCs w:val="24"/>
        </w:rPr>
        <w:t xml:space="preserve"> and of that subset of patients it is expected that approximately 25</w:t>
      </w:r>
      <w:r w:rsidR="00112758" w:rsidRPr="00112758">
        <w:rPr>
          <w:rFonts w:ascii="Aptos" w:eastAsia="Times New Roman" w:hAnsi="Aptos" w:cs="Times New Roman"/>
          <w:color w:val="1F4E79" w:themeColor="accent5" w:themeShade="80"/>
          <w:sz w:val="24"/>
          <w:szCs w:val="24"/>
        </w:rPr>
        <w:t xml:space="preserve"> </w:t>
      </w:r>
      <w:r w:rsidR="00112758">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may opt for a non-invasive alternative (yielding 58 </w:t>
      </w:r>
      <w:r w:rsidR="004643E6" w:rsidRPr="00E940CF">
        <w:rPr>
          <w:rFonts w:ascii="Aptos" w:hAnsi="Aptos" w:cs="Times New Roman"/>
          <w:color w:val="1F4E79" w:themeColor="accent5" w:themeShade="80"/>
          <w:sz w:val="24"/>
          <w:szCs w:val="24"/>
        </w:rPr>
        <w:t xml:space="preserve">potential </w:t>
      </w:r>
      <w:r w:rsidRPr="00E940CF">
        <w:rPr>
          <w:rFonts w:ascii="Aptos" w:hAnsi="Aptos" w:cs="Times New Roman"/>
          <w:color w:val="1F4E79" w:themeColor="accent5" w:themeShade="80"/>
          <w:sz w:val="24"/>
          <w:szCs w:val="24"/>
        </w:rPr>
        <w:t>patients).</w:t>
      </w:r>
      <w:r w:rsidR="00BE2541" w:rsidRPr="00E940CF">
        <w:rPr>
          <w:rStyle w:val="FootnoteReference"/>
          <w:rFonts w:ascii="Aptos" w:hAnsi="Aptos" w:cs="Times New Roman"/>
          <w:color w:val="1F4E79" w:themeColor="accent5" w:themeShade="80"/>
          <w:sz w:val="24"/>
          <w:szCs w:val="24"/>
        </w:rPr>
        <w:footnoteReference w:id="13"/>
      </w:r>
      <w:r w:rsidRPr="00E940CF">
        <w:rPr>
          <w:rFonts w:ascii="Aptos" w:hAnsi="Aptos" w:cs="Times New Roman"/>
          <w:color w:val="1F4E79" w:themeColor="accent5" w:themeShade="80"/>
          <w:sz w:val="24"/>
          <w:szCs w:val="24"/>
        </w:rPr>
        <w:t xml:space="preserve">  </w:t>
      </w:r>
    </w:p>
    <w:p w14:paraId="63847663" w14:textId="396CD23A" w:rsidR="00FB49FA" w:rsidRPr="00E940CF" w:rsidRDefault="00780438" w:rsidP="00780438">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To the Applicant’s knowledge, it is the only provider of non-invasive SRS services for patients in its service area, but due to certain patients potentially traveling outside of the service area to obtain these services, the Applicant projects retaining 50</w:t>
      </w:r>
      <w:r w:rsidR="00112758" w:rsidRPr="00112758">
        <w:rPr>
          <w:rFonts w:ascii="Aptos" w:eastAsia="Times New Roman" w:hAnsi="Aptos" w:cs="Times New Roman"/>
          <w:color w:val="1F4E79" w:themeColor="accent5" w:themeShade="80"/>
          <w:sz w:val="24"/>
          <w:szCs w:val="24"/>
        </w:rPr>
        <w:t xml:space="preserve"> </w:t>
      </w:r>
      <w:r w:rsidR="00112758">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of those</w:t>
      </w:r>
      <w:r w:rsidR="004643E6" w:rsidRPr="00E940CF">
        <w:rPr>
          <w:rFonts w:ascii="Aptos" w:hAnsi="Aptos" w:cs="Times New Roman"/>
          <w:color w:val="1F4E79" w:themeColor="accent5" w:themeShade="80"/>
          <w:sz w:val="24"/>
          <w:szCs w:val="24"/>
        </w:rPr>
        <w:t xml:space="preserve"> potential</w:t>
      </w:r>
      <w:r w:rsidRPr="00E940CF">
        <w:rPr>
          <w:rFonts w:ascii="Aptos" w:hAnsi="Aptos" w:cs="Times New Roman"/>
          <w:color w:val="1F4E79" w:themeColor="accent5" w:themeShade="80"/>
          <w:sz w:val="24"/>
          <w:szCs w:val="24"/>
        </w:rPr>
        <w:t xml:space="preserve"> patients once the program is established and built out, which would eventually yield approximately 29 patients annually by 2031 (which is</w:t>
      </w:r>
      <w:r w:rsidR="00185514" w:rsidRPr="00E940CF">
        <w:rPr>
          <w:rFonts w:ascii="Aptos" w:hAnsi="Aptos" w:cs="Times New Roman"/>
          <w:color w:val="1F4E79" w:themeColor="accent5" w:themeShade="80"/>
          <w:sz w:val="24"/>
          <w:szCs w:val="24"/>
        </w:rPr>
        <w:t xml:space="preserve"> a conservative estimate that is</w:t>
      </w:r>
      <w:r w:rsidRPr="00E940CF">
        <w:rPr>
          <w:rFonts w:ascii="Aptos" w:hAnsi="Aptos" w:cs="Times New Roman"/>
          <w:color w:val="1F4E79" w:themeColor="accent5" w:themeShade="80"/>
          <w:sz w:val="24"/>
          <w:szCs w:val="24"/>
        </w:rPr>
        <w:t xml:space="preserve"> likely to grow further once the program grows</w:t>
      </w:r>
      <w:r w:rsidR="00185514" w:rsidRPr="00E940CF">
        <w:rPr>
          <w:rFonts w:ascii="Aptos" w:hAnsi="Aptos" w:cs="Times New Roman"/>
          <w:color w:val="1F4E79" w:themeColor="accent5" w:themeShade="80"/>
          <w:sz w:val="24"/>
          <w:szCs w:val="24"/>
        </w:rPr>
        <w:t xml:space="preserve"> and population </w:t>
      </w:r>
      <w:proofErr w:type="gramStart"/>
      <w:r w:rsidR="00185514" w:rsidRPr="00E940CF">
        <w:rPr>
          <w:rFonts w:ascii="Aptos" w:hAnsi="Aptos" w:cs="Times New Roman"/>
          <w:color w:val="1F4E79" w:themeColor="accent5" w:themeShade="80"/>
          <w:sz w:val="24"/>
          <w:szCs w:val="24"/>
        </w:rPr>
        <w:t>increases</w:t>
      </w:r>
      <w:r w:rsidRPr="00E940CF">
        <w:rPr>
          <w:rFonts w:ascii="Aptos" w:hAnsi="Aptos" w:cs="Times New Roman"/>
          <w:color w:val="1F4E79" w:themeColor="accent5" w:themeShade="80"/>
          <w:sz w:val="24"/>
          <w:szCs w:val="24"/>
        </w:rPr>
        <w:t>,</w:t>
      </w:r>
      <w:proofErr w:type="gramEnd"/>
      <w:r w:rsidRPr="00E940CF">
        <w:rPr>
          <w:rFonts w:ascii="Aptos" w:hAnsi="Aptos" w:cs="Times New Roman"/>
          <w:color w:val="1F4E79" w:themeColor="accent5" w:themeShade="80"/>
          <w:sz w:val="24"/>
          <w:szCs w:val="24"/>
        </w:rPr>
        <w:t xml:space="preserve"> if there is additional capacity for these treatments locally at the Fairhaven Cancer Center).</w:t>
      </w:r>
      <w:r w:rsidR="00924A71" w:rsidRPr="00E940CF">
        <w:rPr>
          <w:rFonts w:ascii="Aptos" w:hAnsi="Aptos" w:cs="Times New Roman"/>
          <w:color w:val="1F4E79" w:themeColor="accent5" w:themeShade="80"/>
          <w:sz w:val="24"/>
          <w:szCs w:val="24"/>
        </w:rPr>
        <w:t xml:space="preserve"> </w:t>
      </w:r>
    </w:p>
    <w:p w14:paraId="67C45BC1" w14:textId="7300F83E" w:rsidR="0024772F" w:rsidRPr="00E940CF" w:rsidRDefault="0024772F" w:rsidP="00780438">
      <w:pPr>
        <w:ind w:left="360"/>
        <w:rPr>
          <w:rFonts w:ascii="Aptos" w:hAnsi="Aptos" w:cs="Times New Roman"/>
          <w:color w:val="1F4E79" w:themeColor="accent5" w:themeShade="80"/>
          <w:sz w:val="24"/>
          <w:szCs w:val="24"/>
        </w:rPr>
      </w:pPr>
    </w:p>
    <w:p w14:paraId="362931EC" w14:textId="77777777" w:rsidR="000C2A26" w:rsidRPr="00E940CF" w:rsidRDefault="000C2A26">
      <w:pPr>
        <w:rPr>
          <w:rFonts w:ascii="Aptos" w:hAnsi="Aptos" w:cstheme="minorHAnsi"/>
          <w:b/>
          <w:bCs/>
          <w:sz w:val="24"/>
          <w:szCs w:val="24"/>
        </w:rPr>
      </w:pPr>
      <w:r w:rsidRPr="00E940CF">
        <w:rPr>
          <w:rFonts w:ascii="Aptos" w:hAnsi="Aptos" w:cstheme="minorHAnsi"/>
          <w:b/>
          <w:bCs/>
          <w:sz w:val="24"/>
          <w:szCs w:val="24"/>
        </w:rPr>
        <w:br w:type="page"/>
      </w:r>
    </w:p>
    <w:p w14:paraId="5B29DB3B" w14:textId="6725F4B2" w:rsidR="000C2A26" w:rsidRPr="00E940CF" w:rsidRDefault="000C2A26" w:rsidP="0045675A">
      <w:pPr>
        <w:pStyle w:val="Heading2"/>
        <w:rPr>
          <w:rFonts w:ascii="Aptos" w:hAnsi="Aptos"/>
          <w:sz w:val="24"/>
          <w:szCs w:val="24"/>
        </w:rPr>
      </w:pPr>
      <w:r w:rsidRPr="00E940CF">
        <w:rPr>
          <w:rFonts w:ascii="Aptos" w:hAnsi="Aptos"/>
          <w:sz w:val="24"/>
          <w:szCs w:val="24"/>
        </w:rPr>
        <w:lastRenderedPageBreak/>
        <w:t>Please explain where the next closest LINAC services are located with mileage, drivetimes, and why they are not viable alternatives to the Applicant’s services.</w:t>
      </w:r>
    </w:p>
    <w:p w14:paraId="6FCC497C" w14:textId="71097F73" w:rsidR="000C2A26" w:rsidRPr="00E940CF" w:rsidRDefault="000C2A26" w:rsidP="000C2A26">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Please see the Table attached hereto as </w:t>
      </w:r>
      <w:r w:rsidRPr="00E940CF">
        <w:rPr>
          <w:rFonts w:ascii="Aptos" w:hAnsi="Aptos" w:cs="Times New Roman"/>
          <w:color w:val="1F4E79" w:themeColor="accent5" w:themeShade="80"/>
          <w:sz w:val="24"/>
          <w:szCs w:val="24"/>
          <w:u w:val="single"/>
        </w:rPr>
        <w:t>Exhibit 5-A</w:t>
      </w:r>
      <w:r w:rsidRPr="00E940CF">
        <w:rPr>
          <w:rFonts w:ascii="Aptos" w:hAnsi="Aptos" w:cs="Times New Roman"/>
          <w:color w:val="1F4E79" w:themeColor="accent5" w:themeShade="80"/>
          <w:sz w:val="24"/>
          <w:szCs w:val="24"/>
        </w:rPr>
        <w:t>, which lists the licensed Linear Accelerators (“LINAC(s)”) located in Massachusetts within a 1-hour drive time of the Applicant’s Cancer Center at 206 Mill Road, Fairhaven, Massachusetts.  Of note, the Table shows only one other LINAC accessible within a 20-minute drive, and only two LINACs within a 30-minute drive (one of which is the other LINAC operated by the Applicant at its Charlton Memorial Hospital campus in Fall River).  The Applicant limits this Table to within a 1-hour drive time based in part on findings regarding cancer care utilization in the Northeast showing that approximately 86</w:t>
      </w:r>
      <w:r w:rsidR="00112758" w:rsidRPr="00112758">
        <w:rPr>
          <w:rFonts w:ascii="Aptos" w:eastAsia="Times New Roman" w:hAnsi="Aptos" w:cs="Times New Roman"/>
          <w:color w:val="1F4E79" w:themeColor="accent5" w:themeShade="80"/>
          <w:sz w:val="24"/>
          <w:szCs w:val="24"/>
        </w:rPr>
        <w:t xml:space="preserve"> </w:t>
      </w:r>
      <w:r w:rsidR="00112758">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of cancer care is received within a 1-hour drive time by patients.</w:t>
      </w:r>
      <w:r w:rsidRPr="00E940CF">
        <w:rPr>
          <w:rFonts w:ascii="Aptos" w:hAnsi="Aptos" w:cs="Times New Roman"/>
          <w:color w:val="1F4E79" w:themeColor="accent5" w:themeShade="80"/>
          <w:sz w:val="24"/>
          <w:szCs w:val="24"/>
          <w:vertAlign w:val="superscript"/>
        </w:rPr>
        <w:footnoteReference w:id="14"/>
      </w:r>
    </w:p>
    <w:p w14:paraId="0B2C1F33" w14:textId="4BA9FA9E" w:rsidR="000C2A26" w:rsidRPr="00E940CF" w:rsidRDefault="000C2A26" w:rsidP="000C2A26">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The listed LINACs are not viable alternatives to the Applicant’s services for the following reasons: (1) the increased burden on patients to access these alternative locations that may be outside of their community, and the “distance decay” observed in clinical literature associating worsened clinical outcomes for cancer patients located further from treatment centers; (2) the increased potential costs to patients to access alternative locations; (3) the importance of coordinating cancer care, and the adverse impact that sending patients to outside health systems and providers can have on the Applicant’s efforts to be accountable for the quality and cost of such care; and (4) many of the alternatives do not provide all of the services offered by the Applicant on its LINACs, including </w:t>
      </w:r>
      <w:r w:rsidR="0016742F" w:rsidRPr="00E940CF">
        <w:rPr>
          <w:rFonts w:ascii="Aptos" w:hAnsi="Aptos" w:cs="Times New Roman"/>
          <w:color w:val="1F4E79" w:themeColor="accent5" w:themeShade="80"/>
          <w:sz w:val="24"/>
          <w:szCs w:val="24"/>
        </w:rPr>
        <w:t>LDRT</w:t>
      </w:r>
      <w:r w:rsidRPr="00E940CF">
        <w:rPr>
          <w:rFonts w:ascii="Aptos" w:hAnsi="Aptos" w:cs="Times New Roman"/>
          <w:color w:val="1F4E79" w:themeColor="accent5" w:themeShade="80"/>
          <w:sz w:val="24"/>
          <w:szCs w:val="24"/>
        </w:rPr>
        <w:t xml:space="preserve"> for osteoarthritis, and </w:t>
      </w:r>
      <w:r w:rsidR="0016742F" w:rsidRPr="00E940CF">
        <w:rPr>
          <w:rFonts w:ascii="Aptos" w:hAnsi="Aptos" w:cs="Times New Roman"/>
          <w:color w:val="1F4E79" w:themeColor="accent5" w:themeShade="80"/>
          <w:sz w:val="24"/>
          <w:szCs w:val="24"/>
        </w:rPr>
        <w:t xml:space="preserve">SRS </w:t>
      </w:r>
      <w:r w:rsidRPr="00E940CF">
        <w:rPr>
          <w:rFonts w:ascii="Aptos" w:hAnsi="Aptos" w:cs="Times New Roman"/>
          <w:color w:val="1F4E79" w:themeColor="accent5" w:themeShade="80"/>
          <w:sz w:val="24"/>
          <w:szCs w:val="24"/>
        </w:rPr>
        <w:t>for benign conditions.</w:t>
      </w:r>
    </w:p>
    <w:p w14:paraId="36B59276" w14:textId="6733214E" w:rsidR="000C2A26" w:rsidRPr="00E940CF" w:rsidRDefault="000C2A26" w:rsidP="000C2A26">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First, as shown in the Application, the Applicant’s patient panel largely resides in communities within Bristol County, Massachusetts.</w:t>
      </w:r>
      <w:r w:rsidRPr="00E940CF">
        <w:rPr>
          <w:rFonts w:ascii="Aptos" w:hAnsi="Aptos" w:cs="Times New Roman"/>
          <w:color w:val="1F4E79" w:themeColor="accent5" w:themeShade="80"/>
          <w:sz w:val="24"/>
          <w:szCs w:val="24"/>
          <w:vertAlign w:val="superscript"/>
        </w:rPr>
        <w:footnoteReference w:id="15"/>
      </w:r>
      <w:r w:rsidRPr="00E940CF">
        <w:rPr>
          <w:rFonts w:ascii="Aptos" w:hAnsi="Aptos" w:cs="Times New Roman"/>
          <w:color w:val="1F4E79" w:themeColor="accent5" w:themeShade="80"/>
          <w:sz w:val="24"/>
          <w:szCs w:val="24"/>
        </w:rPr>
        <w:t xml:space="preserve"> Other than the LINAC at the Applicant’s Charlton Memorial Campus in Fall River, the only other LINACs within Bristol County are associated with Saint Anne’s Hospital (now part of Brown University Health), and the remainder are in separate counties and a minimum of a 40-minute drive away (including locations on Cape Cod that can be associated with significant traffic at certain times of the year).  Studies have shown the adverse impact (referred to at times as the “distance decay”) that distance and travel for cancer patients has on </w:t>
      </w:r>
      <w:r w:rsidR="00EC3B72" w:rsidRPr="00E940CF">
        <w:rPr>
          <w:rFonts w:ascii="Aptos" w:hAnsi="Aptos" w:cs="Times New Roman"/>
          <w:color w:val="1F4E79" w:themeColor="accent5" w:themeShade="80"/>
          <w:sz w:val="24"/>
          <w:szCs w:val="24"/>
        </w:rPr>
        <w:t>health</w:t>
      </w:r>
      <w:r w:rsidRPr="00E940CF">
        <w:rPr>
          <w:rFonts w:ascii="Aptos" w:hAnsi="Aptos" w:cs="Times New Roman"/>
          <w:color w:val="1F4E79" w:themeColor="accent5" w:themeShade="80"/>
          <w:sz w:val="24"/>
          <w:szCs w:val="24"/>
        </w:rPr>
        <w:t xml:space="preserve"> outcomes, an issue highlighted </w:t>
      </w:r>
      <w:r w:rsidRPr="00E940CF">
        <w:rPr>
          <w:rFonts w:ascii="Aptos" w:hAnsi="Aptos" w:cs="Times New Roman"/>
          <w:color w:val="1F4E79" w:themeColor="accent5" w:themeShade="80"/>
          <w:sz w:val="24"/>
          <w:szCs w:val="24"/>
        </w:rPr>
        <w:lastRenderedPageBreak/>
        <w:t>in the Application Narrative.</w:t>
      </w:r>
      <w:r w:rsidRPr="00E940CF">
        <w:rPr>
          <w:rFonts w:ascii="Aptos" w:hAnsi="Aptos" w:cs="Times New Roman"/>
          <w:color w:val="1F4E79" w:themeColor="accent5" w:themeShade="80"/>
          <w:sz w:val="24"/>
          <w:szCs w:val="24"/>
          <w:vertAlign w:val="superscript"/>
        </w:rPr>
        <w:footnoteReference w:id="16"/>
      </w:r>
      <w:r w:rsidRPr="00E940CF">
        <w:rPr>
          <w:rFonts w:ascii="Aptos" w:hAnsi="Aptos" w:cs="Times New Roman"/>
          <w:color w:val="1F4E79" w:themeColor="accent5" w:themeShade="80"/>
          <w:sz w:val="24"/>
          <w:szCs w:val="24"/>
        </w:rPr>
        <w:t xml:space="preserve"> Accordingly, there are limited alternative LINAC options for cancer care patients within the region surrounding the Applicant, and the options that are present are not viable alternatives for the additional reasons offered below (including additional costs to access care, potential out-of-network costs, and the adverse impact of interrupting the coordinated delivery of cancer care).  Moreover, in practice it is more common in the Applicant’s experience for patients who cannot be treated locally to seek treatment at larger institutions in Boston, which are not viable alternatives to this </w:t>
      </w:r>
      <w:r w:rsidR="0049459D" w:rsidRPr="00E940CF">
        <w:rPr>
          <w:rFonts w:ascii="Aptos" w:hAnsi="Aptos" w:cs="Times New Roman"/>
          <w:color w:val="1F4E79" w:themeColor="accent5" w:themeShade="80"/>
          <w:sz w:val="24"/>
          <w:szCs w:val="24"/>
        </w:rPr>
        <w:t xml:space="preserve">Proposed Project </w:t>
      </w:r>
      <w:r w:rsidRPr="00E940CF">
        <w:rPr>
          <w:rFonts w:ascii="Aptos" w:hAnsi="Aptos" w:cs="Times New Roman"/>
          <w:color w:val="1F4E79" w:themeColor="accent5" w:themeShade="80"/>
          <w:sz w:val="24"/>
          <w:szCs w:val="24"/>
        </w:rPr>
        <w:t>due to the additional costs of treatment,</w:t>
      </w:r>
      <w:r w:rsidRPr="00E940CF">
        <w:rPr>
          <w:rFonts w:ascii="Aptos" w:hAnsi="Aptos" w:cs="Times New Roman"/>
          <w:color w:val="1F4E79" w:themeColor="accent5" w:themeShade="80"/>
          <w:sz w:val="24"/>
          <w:szCs w:val="24"/>
          <w:vertAlign w:val="superscript"/>
        </w:rPr>
        <w:footnoteReference w:id="17"/>
      </w:r>
      <w:r w:rsidRPr="00E940CF">
        <w:rPr>
          <w:rFonts w:ascii="Aptos" w:hAnsi="Aptos" w:cs="Times New Roman"/>
          <w:color w:val="1F4E79" w:themeColor="accent5" w:themeShade="80"/>
          <w:sz w:val="24"/>
          <w:szCs w:val="24"/>
        </w:rPr>
        <w:t xml:space="preserve"> costs associated with accessing such treatment (including costs related to traffic and travel time, gas, or public transportation where accessible, for patients and their supporters), and the travel distance required to access such treatment in Boston.  The Applicant’s hospital is categorized by the Massachusetts Center for Health Information and Analysis (“CHIA”) as a “Community – High Public Payer Hospital”</w:t>
      </w:r>
      <w:r w:rsidRPr="00E940CF">
        <w:rPr>
          <w:rFonts w:ascii="Aptos" w:hAnsi="Aptos" w:cs="Times New Roman"/>
          <w:color w:val="1F4E79" w:themeColor="accent5" w:themeShade="80"/>
          <w:sz w:val="24"/>
          <w:szCs w:val="24"/>
          <w:vertAlign w:val="superscript"/>
        </w:rPr>
        <w:footnoteReference w:id="18"/>
      </w:r>
      <w:r w:rsidRPr="00E940CF">
        <w:rPr>
          <w:rFonts w:ascii="Aptos" w:hAnsi="Aptos" w:cs="Times New Roman"/>
          <w:color w:val="1F4E79" w:themeColor="accent5" w:themeShade="80"/>
          <w:sz w:val="24"/>
          <w:szCs w:val="24"/>
        </w:rPr>
        <w:t xml:space="preserve"> due to the significant number of its patients covered by government health care programs, and so these travel barriers and burdens to care are likely to exacerbate access challenges for its patient panel.</w:t>
      </w:r>
    </w:p>
    <w:p w14:paraId="6EC095C7" w14:textId="77777777" w:rsidR="000C2A26" w:rsidRPr="00E940CF" w:rsidRDefault="000C2A26" w:rsidP="000C2A26">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Second, patients of the Applicant who are forced to seek care at alternative cancer care locations face significant additional potential costs and expenses associated with such treatment.  Of principal concern for such patients, and for the Applicant as a certified accountable care organization, are costs for treatment when such alternatives are out-of-network.  These alternative locations may not participate in the payor networks that cover the Applicant’s patients, and therefore such patients may face out-of-network costs for care, which in addition to increased cost-sharing obligations can contribute to the “financial toxicity” of cancer care that inhibits access and significantly affects cancer patients.</w:t>
      </w:r>
      <w:r w:rsidRPr="00E940CF">
        <w:rPr>
          <w:rFonts w:ascii="Aptos" w:hAnsi="Aptos" w:cs="Times New Roman"/>
          <w:color w:val="1F4E79" w:themeColor="accent5" w:themeShade="80"/>
          <w:sz w:val="24"/>
          <w:szCs w:val="24"/>
          <w:vertAlign w:val="superscript"/>
        </w:rPr>
        <w:footnoteReference w:id="19"/>
      </w:r>
      <w:r w:rsidRPr="00E940CF">
        <w:rPr>
          <w:rFonts w:ascii="Aptos" w:hAnsi="Aptos" w:cs="Times New Roman"/>
          <w:color w:val="1F4E79" w:themeColor="accent5" w:themeShade="80"/>
          <w:sz w:val="24"/>
          <w:szCs w:val="24"/>
        </w:rPr>
        <w:t xml:space="preserve">  For example, the Applicant has a health plan which covers oncology services for enrollees, and that health plan is not in </w:t>
      </w:r>
      <w:r w:rsidRPr="00E940CF">
        <w:rPr>
          <w:rFonts w:ascii="Aptos" w:hAnsi="Aptos" w:cs="Times New Roman"/>
          <w:color w:val="1F4E79" w:themeColor="accent5" w:themeShade="80"/>
          <w:sz w:val="24"/>
          <w:szCs w:val="24"/>
        </w:rPr>
        <w:lastRenderedPageBreak/>
        <w:t>network with Saint Anne’s Hospital so enrollees cannot access care at the other LINACs within Bristol County without being subject to out-of-network costs.  Cancer patients who are referred out for LINAC services could also face additional costs associated with repeated tests and examinations by the receiving facility that are duplicative of the services offered by the Applicant’s providers but necessary intake procedures at the receiving facility.</w:t>
      </w:r>
    </w:p>
    <w:p w14:paraId="6D3ED61F" w14:textId="400EB433" w:rsidR="000C2A26" w:rsidRPr="00E940CF" w:rsidRDefault="000C2A26" w:rsidP="000C2A26">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Third, the Applicant has developed a multidisciplinary approach to coordinated cancer care, combining treatment with support services, to enable its patient panel to obtain the best possible outcomes and experience when facing a cancer diagnosis.  For example, patients of the Applicant’s Cancer Center are assigned patient navigators, social workers, dieticians, and financial support specialists, in addition to their clinical team, to facilitate their treatment and support their recovery.</w:t>
      </w:r>
      <w:r w:rsidRPr="00E940CF">
        <w:rPr>
          <w:rFonts w:ascii="Aptos" w:hAnsi="Aptos" w:cs="Times New Roman"/>
          <w:color w:val="1F4E79" w:themeColor="accent5" w:themeShade="80"/>
          <w:sz w:val="24"/>
          <w:szCs w:val="24"/>
          <w:vertAlign w:val="superscript"/>
        </w:rPr>
        <w:footnoteReference w:id="20"/>
      </w:r>
      <w:r w:rsidRPr="00E940CF">
        <w:rPr>
          <w:rFonts w:ascii="Aptos" w:hAnsi="Aptos" w:cs="Times New Roman"/>
          <w:color w:val="1F4E79" w:themeColor="accent5" w:themeShade="80"/>
          <w:sz w:val="24"/>
          <w:szCs w:val="24"/>
        </w:rPr>
        <w:t xml:space="preserve">  Expecting patients to potentially need to pursue LINAC services at an outside system interrupts that coordinated delivery of cancer care, which potentially heightens the risk for patients in addition to increasing their costs for care.  As noted in the Narrative, the Applicant utilizes an integrated electronic medical record, and is part of a certified accountable care organization, which enables the Applicant’s providers and facilities to coordinate and manage cancer patient care across visits to oncologists, primary care providers, and other specialists.</w:t>
      </w:r>
      <w:r w:rsidRPr="00E940CF">
        <w:rPr>
          <w:rFonts w:ascii="Aptos" w:hAnsi="Aptos" w:cs="Times New Roman"/>
          <w:color w:val="1F4E79" w:themeColor="accent5" w:themeShade="80"/>
          <w:sz w:val="24"/>
          <w:szCs w:val="24"/>
          <w:vertAlign w:val="superscript"/>
        </w:rPr>
        <w:footnoteReference w:id="21"/>
      </w:r>
      <w:r w:rsidRPr="00E940CF">
        <w:rPr>
          <w:rFonts w:ascii="Aptos" w:hAnsi="Aptos" w:cs="Times New Roman"/>
          <w:color w:val="1F4E79" w:themeColor="accent5" w:themeShade="80"/>
          <w:sz w:val="24"/>
          <w:szCs w:val="24"/>
        </w:rPr>
        <w:t xml:space="preserve">  The patient benefits from their providers and facilities being more informed regarding their ongoing care, and from their care and follow-up </w:t>
      </w:r>
      <w:r w:rsidR="00C0195C" w:rsidRPr="00E940CF">
        <w:rPr>
          <w:rFonts w:ascii="Aptos" w:hAnsi="Aptos" w:cs="Times New Roman"/>
          <w:color w:val="1F4E79" w:themeColor="accent5" w:themeShade="80"/>
          <w:sz w:val="24"/>
          <w:szCs w:val="24"/>
        </w:rPr>
        <w:t>encounters</w:t>
      </w:r>
      <w:r w:rsidRPr="00E940CF">
        <w:rPr>
          <w:rFonts w:ascii="Aptos" w:hAnsi="Aptos" w:cs="Times New Roman"/>
          <w:color w:val="1F4E79" w:themeColor="accent5" w:themeShade="80"/>
          <w:sz w:val="24"/>
          <w:szCs w:val="24"/>
        </w:rPr>
        <w:t xml:space="preserve"> being coordinated across sites of care and specialists.  The Applicant benefits by being better positioned to manage the costs of care and improve quality and outcomes by delivering care through affiliated providers who participate in systems designed to deliver high-quality care efficiently.  Also, the Commonwealth of Massachusetts benefits because successful accountable care efforts can reduce costs to the health care system and achieve the Commonwealth’s cost containment goals in healthcare.  Studies have emphasized the importance of coordinating cancer care </w:t>
      </w:r>
      <w:proofErr w:type="gramStart"/>
      <w:r w:rsidRPr="00E940CF">
        <w:rPr>
          <w:rFonts w:ascii="Aptos" w:hAnsi="Aptos" w:cs="Times New Roman"/>
          <w:color w:val="1F4E79" w:themeColor="accent5" w:themeShade="80"/>
          <w:sz w:val="24"/>
          <w:szCs w:val="24"/>
        </w:rPr>
        <w:t>in order to</w:t>
      </w:r>
      <w:proofErr w:type="gramEnd"/>
      <w:r w:rsidRPr="00E940CF">
        <w:rPr>
          <w:rFonts w:ascii="Aptos" w:hAnsi="Aptos" w:cs="Times New Roman"/>
          <w:color w:val="1F4E79" w:themeColor="accent5" w:themeShade="80"/>
          <w:sz w:val="24"/>
          <w:szCs w:val="24"/>
        </w:rPr>
        <w:t xml:space="preserve"> ensure timely access to affordable and high-quality care to improve outcomes.</w:t>
      </w:r>
      <w:r w:rsidRPr="00E940CF">
        <w:rPr>
          <w:rFonts w:ascii="Aptos" w:hAnsi="Aptos" w:cs="Times New Roman"/>
          <w:color w:val="1F4E79" w:themeColor="accent5" w:themeShade="80"/>
          <w:sz w:val="24"/>
          <w:szCs w:val="24"/>
          <w:vertAlign w:val="superscript"/>
        </w:rPr>
        <w:footnoteReference w:id="22"/>
      </w:r>
    </w:p>
    <w:p w14:paraId="60F83965" w14:textId="153373BB" w:rsidR="000C2A26" w:rsidRPr="00E940CF" w:rsidRDefault="000C2A26" w:rsidP="000C2A26">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Fourth, many of the alternative LINAC locations do not offer the specialized LINAC treatments for benign conditions that the Applicant offers for its patient panel, including LDRT for osteoarthritis and SRS for certain other benign conditions.  These are unique LINAC service offerings for patients to expand access to treatment for such conditions.  To the Applicant’s knowledge, these services are currently only available at Brigham and Women’s Hospital, Mass General </w:t>
      </w:r>
      <w:r w:rsidRPr="00E940CF">
        <w:rPr>
          <w:rFonts w:ascii="Aptos" w:hAnsi="Aptos" w:cs="Times New Roman"/>
          <w:color w:val="1F4E79" w:themeColor="accent5" w:themeShade="80"/>
          <w:sz w:val="24"/>
          <w:szCs w:val="24"/>
        </w:rPr>
        <w:lastRenderedPageBreak/>
        <w:t>Hospital, Rhode Island Hospital in Providence, and at Tufts Medical Center.  Among that group, the larger Massachusetts hospitals have been found to be higher cost than the Applicant’s hospital, and the Applicant’s patient panel is likely to encounter significant access challenges if forced to seek this care at alternative higher cost locations.  Additionally, the successful delivery of LDRT and SRS services requires ongoing coordination of care between the radiation oncology and neurosurgery teams.  This cannot be accomplished effectively if the patient is referred to an alternative location, with alternative providers and an alternative medical records system, for the LINAC treatments.</w:t>
      </w:r>
    </w:p>
    <w:p w14:paraId="49EC5B08" w14:textId="019643F5" w:rsidR="000C2A26" w:rsidRPr="00E940CF" w:rsidRDefault="000C2A26" w:rsidP="000C2A26">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Finally, the Application seeks approval to reactivate a decommissioned LINAC that is already on site at the Cancer Center to serve as a back-up second machine while also expanding treatment services and access.  This is not an application to establish a new LINAC services location.  Practically, the only real alternatives for many patients who have chosen the Applicant for cancer care, and given the barriers noted above to accessing such care at alternative locations, are the Applicant’s other two machines (one in Fall River, and the new LINAC on-site in Fairhaven).  These sites have seen significant increases in demand year-over-year in recent years (including a </w:t>
      </w:r>
      <w:r w:rsidR="004643E6" w:rsidRPr="00E940CF">
        <w:rPr>
          <w:rFonts w:ascii="Aptos" w:hAnsi="Aptos" w:cs="Times New Roman"/>
          <w:color w:val="1F4E79" w:themeColor="accent5" w:themeShade="80"/>
          <w:sz w:val="24"/>
          <w:szCs w:val="24"/>
        </w:rPr>
        <w:t>6</w:t>
      </w:r>
      <w:r w:rsidRPr="00E940CF">
        <w:rPr>
          <w:rFonts w:ascii="Aptos" w:hAnsi="Aptos" w:cs="Times New Roman"/>
          <w:color w:val="1F4E79" w:themeColor="accent5" w:themeShade="80"/>
          <w:sz w:val="24"/>
          <w:szCs w:val="24"/>
        </w:rPr>
        <w:t>.</w:t>
      </w:r>
      <w:r w:rsidR="004643E6" w:rsidRPr="00E940CF">
        <w:rPr>
          <w:rFonts w:ascii="Aptos" w:hAnsi="Aptos" w:cs="Times New Roman"/>
          <w:color w:val="1F4E79" w:themeColor="accent5" w:themeShade="80"/>
          <w:sz w:val="24"/>
          <w:szCs w:val="24"/>
        </w:rPr>
        <w:t>9</w:t>
      </w:r>
      <w:r w:rsidR="00112758" w:rsidRPr="00112758">
        <w:rPr>
          <w:rFonts w:ascii="Aptos" w:eastAsia="Times New Roman" w:hAnsi="Aptos" w:cs="Times New Roman"/>
          <w:color w:val="1F4E79" w:themeColor="accent5" w:themeShade="80"/>
          <w:sz w:val="24"/>
          <w:szCs w:val="24"/>
        </w:rPr>
        <w:t xml:space="preserve"> </w:t>
      </w:r>
      <w:r w:rsidR="00112758">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increase in treatments at the Fall River LINAC between </w:t>
      </w:r>
      <w:r w:rsidR="004643E6" w:rsidRPr="00E940CF">
        <w:rPr>
          <w:rFonts w:ascii="Aptos" w:hAnsi="Aptos" w:cs="Times New Roman"/>
          <w:color w:val="1F4E79" w:themeColor="accent5" w:themeShade="80"/>
          <w:sz w:val="24"/>
          <w:szCs w:val="24"/>
        </w:rPr>
        <w:t xml:space="preserve">FY </w:t>
      </w:r>
      <w:r w:rsidRPr="00E940CF">
        <w:rPr>
          <w:rFonts w:ascii="Aptos" w:hAnsi="Aptos" w:cs="Times New Roman"/>
          <w:color w:val="1F4E79" w:themeColor="accent5" w:themeShade="80"/>
          <w:sz w:val="24"/>
          <w:szCs w:val="24"/>
        </w:rPr>
        <w:t xml:space="preserve">2023-2025 and a </w:t>
      </w:r>
      <w:r w:rsidR="004643E6" w:rsidRPr="00E940CF">
        <w:rPr>
          <w:rFonts w:ascii="Aptos" w:hAnsi="Aptos" w:cs="Times New Roman"/>
          <w:color w:val="1F4E79" w:themeColor="accent5" w:themeShade="80"/>
          <w:sz w:val="24"/>
          <w:szCs w:val="24"/>
        </w:rPr>
        <w:t>22.3</w:t>
      </w:r>
      <w:r w:rsidR="00720147">
        <w:rPr>
          <w:rFonts w:ascii="Aptos" w:hAnsi="Aptos" w:cs="Times New Roman"/>
          <w:color w:val="1F4E79" w:themeColor="accent5" w:themeShade="80"/>
          <w:sz w:val="24"/>
          <w:szCs w:val="24"/>
        </w:rPr>
        <w:t xml:space="preserve"> </w:t>
      </w:r>
      <w:r w:rsidR="00720147">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increase in treatments at the Cancer Center LINAC in Fairhaven between 2023-2025).   That demand supports the need for an alternative option on-site at the Fairhaven Cancer Center to expand access and reduce the burden on patients and staff.  This </w:t>
      </w:r>
      <w:r w:rsidR="0049459D" w:rsidRPr="00E940CF">
        <w:rPr>
          <w:rFonts w:ascii="Aptos" w:hAnsi="Aptos" w:cs="Times New Roman"/>
          <w:color w:val="1F4E79" w:themeColor="accent5" w:themeShade="80"/>
          <w:sz w:val="24"/>
          <w:szCs w:val="24"/>
        </w:rPr>
        <w:t xml:space="preserve">Proposed Project </w:t>
      </w:r>
      <w:r w:rsidRPr="00E940CF">
        <w:rPr>
          <w:rFonts w:ascii="Aptos" w:hAnsi="Aptos" w:cs="Times New Roman"/>
          <w:color w:val="1F4E79" w:themeColor="accent5" w:themeShade="80"/>
          <w:sz w:val="24"/>
          <w:szCs w:val="24"/>
        </w:rPr>
        <w:t>seeks to meet that need.</w:t>
      </w:r>
    </w:p>
    <w:p w14:paraId="2DC484C3" w14:textId="77777777" w:rsidR="000C2A26" w:rsidRPr="00E940CF" w:rsidRDefault="000C2A26">
      <w:pPr>
        <w:rPr>
          <w:rFonts w:ascii="Aptos" w:hAnsi="Aptos" w:cstheme="minorHAnsi"/>
          <w:b/>
          <w:bCs/>
          <w:sz w:val="24"/>
          <w:szCs w:val="24"/>
        </w:rPr>
      </w:pPr>
      <w:r w:rsidRPr="00E940CF">
        <w:rPr>
          <w:rFonts w:ascii="Aptos" w:hAnsi="Aptos" w:cstheme="minorHAnsi"/>
          <w:b/>
          <w:bCs/>
          <w:sz w:val="24"/>
          <w:szCs w:val="24"/>
        </w:rPr>
        <w:br w:type="page"/>
      </w:r>
    </w:p>
    <w:p w14:paraId="09527C44" w14:textId="70F623B3" w:rsidR="000C2A26" w:rsidRPr="00E940CF" w:rsidRDefault="000C2A26" w:rsidP="0045675A">
      <w:pPr>
        <w:pStyle w:val="Heading2"/>
        <w:rPr>
          <w:rFonts w:ascii="Aptos" w:hAnsi="Aptos"/>
          <w:sz w:val="24"/>
          <w:szCs w:val="24"/>
        </w:rPr>
      </w:pPr>
      <w:r w:rsidRPr="00E940CF">
        <w:rPr>
          <w:rFonts w:ascii="Aptos" w:hAnsi="Aptos"/>
          <w:sz w:val="24"/>
          <w:szCs w:val="24"/>
        </w:rPr>
        <w:lastRenderedPageBreak/>
        <w:t xml:space="preserve">Given your growth rates, why did you not apply for a second LINAC in 2025? What has changed since you made that replacement that you </w:t>
      </w:r>
      <w:proofErr w:type="gramStart"/>
      <w:r w:rsidRPr="00E940CF">
        <w:rPr>
          <w:rFonts w:ascii="Aptos" w:hAnsi="Aptos"/>
          <w:sz w:val="24"/>
          <w:szCs w:val="24"/>
        </w:rPr>
        <w:t>need it</w:t>
      </w:r>
      <w:proofErr w:type="gramEnd"/>
      <w:r w:rsidRPr="00E940CF">
        <w:rPr>
          <w:rFonts w:ascii="Aptos" w:hAnsi="Aptos"/>
          <w:sz w:val="24"/>
          <w:szCs w:val="24"/>
        </w:rPr>
        <w:t xml:space="preserve"> now?  Did you inform the </w:t>
      </w:r>
      <w:proofErr w:type="spellStart"/>
      <w:r w:rsidRPr="00E940CF">
        <w:rPr>
          <w:rFonts w:ascii="Aptos" w:hAnsi="Aptos"/>
          <w:sz w:val="24"/>
          <w:szCs w:val="24"/>
        </w:rPr>
        <w:t>DoN</w:t>
      </w:r>
      <w:proofErr w:type="spellEnd"/>
      <w:r w:rsidRPr="00E940CF">
        <w:rPr>
          <w:rFonts w:ascii="Aptos" w:hAnsi="Aptos"/>
          <w:sz w:val="24"/>
          <w:szCs w:val="24"/>
        </w:rPr>
        <w:t xml:space="preserve"> of this replacement prior to making the change?</w:t>
      </w:r>
    </w:p>
    <w:p w14:paraId="3C75EA09" w14:textId="145F0022" w:rsidR="000C2A26" w:rsidRPr="00E940CF" w:rsidRDefault="000C2A26" w:rsidP="000C2A26">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The Applicant notified Dennis Renaud, Director of the </w:t>
      </w:r>
      <w:proofErr w:type="spellStart"/>
      <w:r w:rsidRPr="00E940CF">
        <w:rPr>
          <w:rFonts w:ascii="Aptos" w:hAnsi="Aptos" w:cs="Times New Roman"/>
          <w:color w:val="1F4E79" w:themeColor="accent5" w:themeShade="80"/>
          <w:sz w:val="24"/>
          <w:szCs w:val="24"/>
        </w:rPr>
        <w:t>DoN</w:t>
      </w:r>
      <w:proofErr w:type="spellEnd"/>
      <w:r w:rsidRPr="00E940CF">
        <w:rPr>
          <w:rFonts w:ascii="Aptos" w:hAnsi="Aptos" w:cs="Times New Roman"/>
          <w:color w:val="1F4E79" w:themeColor="accent5" w:themeShade="80"/>
          <w:sz w:val="24"/>
          <w:szCs w:val="24"/>
        </w:rPr>
        <w:t xml:space="preserve"> Program, and Susannah Arterian, Counsel for the Department of Public Health, of its plan to replace its existing LINAC machine at the Southcoast Cancer Center in Fairhaven, Massachusetts, in writing through counsel on July 28, 2025. The Applicant then met with Mr. Renaud and Attorney Arterian on July 29, </w:t>
      </w:r>
      <w:proofErr w:type="gramStart"/>
      <w:r w:rsidRPr="00E940CF">
        <w:rPr>
          <w:rFonts w:ascii="Aptos" w:hAnsi="Aptos" w:cs="Times New Roman"/>
          <w:color w:val="1F4E79" w:themeColor="accent5" w:themeShade="80"/>
          <w:sz w:val="24"/>
          <w:szCs w:val="24"/>
        </w:rPr>
        <w:t>2025</w:t>
      </w:r>
      <w:proofErr w:type="gramEnd"/>
      <w:r w:rsidRPr="00E940CF">
        <w:rPr>
          <w:rFonts w:ascii="Aptos" w:hAnsi="Aptos" w:cs="Times New Roman"/>
          <w:color w:val="1F4E79" w:themeColor="accent5" w:themeShade="80"/>
          <w:sz w:val="24"/>
          <w:szCs w:val="24"/>
        </w:rPr>
        <w:t xml:space="preserve"> to discuss its proposal to seek a </w:t>
      </w:r>
      <w:proofErr w:type="spellStart"/>
      <w:r w:rsidRPr="00E940CF">
        <w:rPr>
          <w:rFonts w:ascii="Aptos" w:hAnsi="Aptos" w:cs="Times New Roman"/>
          <w:color w:val="1F4E79" w:themeColor="accent5" w:themeShade="80"/>
          <w:sz w:val="24"/>
          <w:szCs w:val="24"/>
        </w:rPr>
        <w:t>DoN</w:t>
      </w:r>
      <w:proofErr w:type="spellEnd"/>
      <w:r w:rsidRPr="00E940CF">
        <w:rPr>
          <w:rFonts w:ascii="Aptos" w:hAnsi="Aptos" w:cs="Times New Roman"/>
          <w:color w:val="1F4E79" w:themeColor="accent5" w:themeShade="80"/>
          <w:sz w:val="24"/>
          <w:szCs w:val="24"/>
        </w:rPr>
        <w:t xml:space="preserve"> for the existing LINAC to serve as a second LINAC in Fairhaven. As described further below, in response to that meeting, the Applicant diligently prepared the above-referenced application and submitted it as soon as practicable following its receipt of guidance from the </w:t>
      </w:r>
      <w:proofErr w:type="spellStart"/>
      <w:r w:rsidRPr="00E940CF">
        <w:rPr>
          <w:rFonts w:ascii="Aptos" w:hAnsi="Aptos" w:cs="Times New Roman"/>
          <w:color w:val="1F4E79" w:themeColor="accent5" w:themeShade="80"/>
          <w:sz w:val="24"/>
          <w:szCs w:val="24"/>
        </w:rPr>
        <w:t>DoN</w:t>
      </w:r>
      <w:proofErr w:type="spellEnd"/>
      <w:r w:rsidRPr="00E940CF">
        <w:rPr>
          <w:rFonts w:ascii="Aptos" w:hAnsi="Aptos" w:cs="Times New Roman"/>
          <w:color w:val="1F4E79" w:themeColor="accent5" w:themeShade="80"/>
          <w:sz w:val="24"/>
          <w:szCs w:val="24"/>
        </w:rPr>
        <w:t xml:space="preserve"> program and its installation of the new (replacement) LINAC machine.</w:t>
      </w:r>
    </w:p>
    <w:p w14:paraId="12A030FE" w14:textId="77777777" w:rsidR="000C2A26" w:rsidRPr="00E940CF" w:rsidRDefault="000C2A26" w:rsidP="000C2A26">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As background, due to the significant lead time (~18 months) needed to obtain a new LINAC machine from its vendor (Varian), the Applicant submitted a letter of intent to Varian for the acquisition of a new state-of-the-art LINAC machine in December 2023. At that time, the Applicant was already experiencing increased demand year-over-year for radiation oncology services that necessitated the replacement of its existing LINAC (which had been commissioned in 2008), with an additional increase anticipated following the end of the COVID-19 public health emergency.  During the intervening period between late 2023 and the summer of 2025 when the new (replacement) LINAC machine was delivered for installation at the Cancer Center, the Applicant’s clinicians observed continued growth in demand for LINAC services from its patient panel, as well as enhanced use of LINACs for benign conditions. </w:t>
      </w:r>
    </w:p>
    <w:p w14:paraId="26842BF5" w14:textId="63C0CA07" w:rsidR="000C2A26" w:rsidRPr="00E940CF" w:rsidRDefault="000C2A26" w:rsidP="00186B9A">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Additionally, when the Applicant first installed the LINAC at its Cancer Center location in Fairhaven in 2008, the Applicant built out two separate vaults for LINACs within the </w:t>
      </w:r>
      <w:proofErr w:type="gramStart"/>
      <w:r w:rsidRPr="00E940CF">
        <w:rPr>
          <w:rFonts w:ascii="Aptos" w:hAnsi="Aptos" w:cs="Times New Roman"/>
          <w:color w:val="1F4E79" w:themeColor="accent5" w:themeShade="80"/>
          <w:sz w:val="24"/>
          <w:szCs w:val="24"/>
        </w:rPr>
        <w:t>Cancer Center, but</w:t>
      </w:r>
      <w:proofErr w:type="gramEnd"/>
      <w:r w:rsidRPr="00E940CF">
        <w:rPr>
          <w:rFonts w:ascii="Aptos" w:hAnsi="Aptos" w:cs="Times New Roman"/>
          <w:color w:val="1F4E79" w:themeColor="accent5" w:themeShade="80"/>
          <w:sz w:val="24"/>
          <w:szCs w:val="24"/>
        </w:rPr>
        <w:t xml:space="preserve"> only installed and used one LINAC at the Cancer Center at that time (consistent with its Determination of Need approval). When Varian delivered the new (i.e., replacement) LINAC to the Cancer Center in 2025, it was installed in the previously vacant second vault. The Applicant was able to leave the existing LINAC in its own vault without removing or disposing of it. The Applicant examined the existing LINAC and confirmed that it could continue to be used to provide treatments without an additional capital expenditure (and would only incur expenses for an additional service contract and staffing expenses associated with the additional services being offered). </w:t>
      </w:r>
      <w:r w:rsidR="00186B9A" w:rsidRPr="00E940CF">
        <w:rPr>
          <w:rFonts w:ascii="Aptos" w:hAnsi="Aptos" w:cs="Times New Roman"/>
          <w:color w:val="1F4E79" w:themeColor="accent5" w:themeShade="80"/>
          <w:sz w:val="24"/>
          <w:szCs w:val="24"/>
        </w:rPr>
        <w:t xml:space="preserve"> </w:t>
      </w:r>
      <w:r w:rsidRPr="00E940CF">
        <w:rPr>
          <w:rFonts w:ascii="Aptos" w:hAnsi="Aptos" w:cs="Times New Roman"/>
          <w:color w:val="1F4E79" w:themeColor="accent5" w:themeShade="80"/>
          <w:sz w:val="24"/>
          <w:szCs w:val="24"/>
        </w:rPr>
        <w:t>The Applicant thus determined that there was an opportunity to expand access to needed radiation oncology services and treatments for benign conditions at a very low cost by utilizing its original LINAC as a second machine on site at the Cancer Center in Fairhaven.</w:t>
      </w:r>
    </w:p>
    <w:p w14:paraId="37972BDF" w14:textId="7FC7CC15" w:rsidR="000C2A26" w:rsidRPr="00E940CF" w:rsidRDefault="000C2A26" w:rsidP="000C2A26">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lastRenderedPageBreak/>
        <w:t xml:space="preserve">The Applicant therefore reached out to the </w:t>
      </w:r>
      <w:proofErr w:type="spellStart"/>
      <w:r w:rsidRPr="00E940CF">
        <w:rPr>
          <w:rFonts w:ascii="Aptos" w:hAnsi="Aptos" w:cs="Times New Roman"/>
          <w:color w:val="1F4E79" w:themeColor="accent5" w:themeShade="80"/>
          <w:sz w:val="24"/>
          <w:szCs w:val="24"/>
        </w:rPr>
        <w:t>DoN</w:t>
      </w:r>
      <w:proofErr w:type="spellEnd"/>
      <w:r w:rsidRPr="00E940CF">
        <w:rPr>
          <w:rFonts w:ascii="Aptos" w:hAnsi="Aptos" w:cs="Times New Roman"/>
          <w:color w:val="1F4E79" w:themeColor="accent5" w:themeShade="80"/>
          <w:sz w:val="24"/>
          <w:szCs w:val="24"/>
        </w:rPr>
        <w:t xml:space="preserve"> program in July 2025 to discuss its proposal to replace the existing LINAC with a new machine, and to then apply for a </w:t>
      </w:r>
      <w:proofErr w:type="spellStart"/>
      <w:r w:rsidRPr="00E940CF">
        <w:rPr>
          <w:rFonts w:ascii="Aptos" w:hAnsi="Aptos" w:cs="Times New Roman"/>
          <w:color w:val="1F4E79" w:themeColor="accent5" w:themeShade="80"/>
          <w:sz w:val="24"/>
          <w:szCs w:val="24"/>
        </w:rPr>
        <w:t>DoN</w:t>
      </w:r>
      <w:proofErr w:type="spellEnd"/>
      <w:r w:rsidRPr="00E940CF">
        <w:rPr>
          <w:rFonts w:ascii="Aptos" w:hAnsi="Aptos" w:cs="Times New Roman"/>
          <w:color w:val="1F4E79" w:themeColor="accent5" w:themeShade="80"/>
          <w:sz w:val="24"/>
          <w:szCs w:val="24"/>
        </w:rPr>
        <w:t xml:space="preserve"> to authorize the existing LINAC to be recommissioned and utilized as a second machine at the Cancer Center in Fairhaven. The above-</w:t>
      </w:r>
      <w:proofErr w:type="gramStart"/>
      <w:r w:rsidRPr="00E940CF">
        <w:rPr>
          <w:rFonts w:ascii="Aptos" w:hAnsi="Aptos" w:cs="Times New Roman"/>
          <w:color w:val="1F4E79" w:themeColor="accent5" w:themeShade="80"/>
          <w:sz w:val="24"/>
          <w:szCs w:val="24"/>
        </w:rPr>
        <w:t>referenced</w:t>
      </w:r>
      <w:proofErr w:type="gramEnd"/>
      <w:r w:rsidRPr="00E940CF">
        <w:rPr>
          <w:rFonts w:ascii="Aptos" w:hAnsi="Aptos" w:cs="Times New Roman"/>
          <w:color w:val="1F4E79" w:themeColor="accent5" w:themeShade="80"/>
          <w:sz w:val="24"/>
          <w:szCs w:val="24"/>
        </w:rPr>
        <w:t xml:space="preserve"> representatives of the </w:t>
      </w:r>
      <w:proofErr w:type="spellStart"/>
      <w:r w:rsidRPr="00E940CF">
        <w:rPr>
          <w:rFonts w:ascii="Aptos" w:hAnsi="Aptos" w:cs="Times New Roman"/>
          <w:color w:val="1F4E79" w:themeColor="accent5" w:themeShade="80"/>
          <w:sz w:val="24"/>
          <w:szCs w:val="24"/>
        </w:rPr>
        <w:t>DoN</w:t>
      </w:r>
      <w:proofErr w:type="spellEnd"/>
      <w:r w:rsidRPr="00E940CF">
        <w:rPr>
          <w:rFonts w:ascii="Aptos" w:hAnsi="Aptos" w:cs="Times New Roman"/>
          <w:color w:val="1F4E79" w:themeColor="accent5" w:themeShade="80"/>
          <w:sz w:val="24"/>
          <w:szCs w:val="24"/>
        </w:rPr>
        <w:t xml:space="preserve"> program confirmed to the Applicant that the existing LINAC could be replaced with a new LINAC without </w:t>
      </w:r>
      <w:proofErr w:type="spellStart"/>
      <w:r w:rsidRPr="00E940CF">
        <w:rPr>
          <w:rFonts w:ascii="Aptos" w:hAnsi="Aptos" w:cs="Times New Roman"/>
          <w:color w:val="1F4E79" w:themeColor="accent5" w:themeShade="80"/>
          <w:sz w:val="24"/>
          <w:szCs w:val="24"/>
        </w:rPr>
        <w:t>DoN</w:t>
      </w:r>
      <w:proofErr w:type="spellEnd"/>
      <w:r w:rsidRPr="00E940CF">
        <w:rPr>
          <w:rFonts w:ascii="Aptos" w:hAnsi="Aptos" w:cs="Times New Roman"/>
          <w:color w:val="1F4E79" w:themeColor="accent5" w:themeShade="80"/>
          <w:sz w:val="24"/>
          <w:szCs w:val="24"/>
        </w:rPr>
        <w:t xml:space="preserve"> review under </w:t>
      </w:r>
      <w:proofErr w:type="spellStart"/>
      <w:r w:rsidRPr="00E940CF">
        <w:rPr>
          <w:rFonts w:ascii="Aptos" w:hAnsi="Aptos" w:cs="Times New Roman"/>
          <w:color w:val="1F4E79" w:themeColor="accent5" w:themeShade="80"/>
          <w:sz w:val="24"/>
          <w:szCs w:val="24"/>
        </w:rPr>
        <w:t>DoN</w:t>
      </w:r>
      <w:proofErr w:type="spellEnd"/>
      <w:r w:rsidRPr="00E940CF">
        <w:rPr>
          <w:rFonts w:ascii="Aptos" w:hAnsi="Aptos" w:cs="Times New Roman"/>
          <w:color w:val="1F4E79" w:themeColor="accent5" w:themeShade="80"/>
          <w:sz w:val="24"/>
          <w:szCs w:val="24"/>
        </w:rPr>
        <w:t xml:space="preserve"> regulations, but a </w:t>
      </w:r>
      <w:proofErr w:type="spellStart"/>
      <w:r w:rsidRPr="00E940CF">
        <w:rPr>
          <w:rFonts w:ascii="Aptos" w:hAnsi="Aptos" w:cs="Times New Roman"/>
          <w:color w:val="1F4E79" w:themeColor="accent5" w:themeShade="80"/>
          <w:sz w:val="24"/>
          <w:szCs w:val="24"/>
        </w:rPr>
        <w:t>DoN</w:t>
      </w:r>
      <w:proofErr w:type="spellEnd"/>
      <w:r w:rsidRPr="00E940CF">
        <w:rPr>
          <w:rFonts w:ascii="Aptos" w:hAnsi="Aptos" w:cs="Times New Roman"/>
          <w:color w:val="1F4E79" w:themeColor="accent5" w:themeShade="80"/>
          <w:sz w:val="24"/>
          <w:szCs w:val="24"/>
        </w:rPr>
        <w:t xml:space="preserve"> application would be needed to re</w:t>
      </w:r>
      <w:r w:rsidR="00186B9A" w:rsidRPr="00E940CF">
        <w:rPr>
          <w:rFonts w:ascii="Aptos" w:hAnsi="Aptos" w:cs="Times New Roman"/>
          <w:color w:val="1F4E79" w:themeColor="accent5" w:themeShade="80"/>
          <w:sz w:val="24"/>
          <w:szCs w:val="24"/>
        </w:rPr>
        <w:t>-</w:t>
      </w:r>
      <w:r w:rsidRPr="00E940CF">
        <w:rPr>
          <w:rFonts w:ascii="Aptos" w:hAnsi="Aptos" w:cs="Times New Roman"/>
          <w:color w:val="1F4E79" w:themeColor="accent5" w:themeShade="80"/>
          <w:sz w:val="24"/>
          <w:szCs w:val="24"/>
        </w:rPr>
        <w:t>commission the existing LINAC as a second machine on site at the Cancer Center.</w:t>
      </w:r>
    </w:p>
    <w:p w14:paraId="7252D120" w14:textId="2EED4056" w:rsidR="000C2A26" w:rsidRPr="00E940CF" w:rsidRDefault="000C2A26" w:rsidP="000C2A26">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The new (replacement) LINAC machine was installed and commissioned in September 2025.  As part of that process, the Applicant decommissioned its existing LINAC machine. The Applicant then worked diligently to prepare the </w:t>
      </w:r>
      <w:proofErr w:type="spellStart"/>
      <w:r w:rsidRPr="00E940CF">
        <w:rPr>
          <w:rFonts w:ascii="Aptos" w:hAnsi="Aptos" w:cs="Times New Roman"/>
          <w:color w:val="1F4E79" w:themeColor="accent5" w:themeShade="80"/>
          <w:sz w:val="24"/>
          <w:szCs w:val="24"/>
        </w:rPr>
        <w:t>DoN</w:t>
      </w:r>
      <w:proofErr w:type="spellEnd"/>
      <w:r w:rsidRPr="00E940CF">
        <w:rPr>
          <w:rFonts w:ascii="Aptos" w:hAnsi="Aptos" w:cs="Times New Roman"/>
          <w:color w:val="1F4E79" w:themeColor="accent5" w:themeShade="80"/>
          <w:sz w:val="24"/>
          <w:szCs w:val="24"/>
        </w:rPr>
        <w:t xml:space="preserve"> application seeking approval to re</w:t>
      </w:r>
      <w:r w:rsidR="00186B9A" w:rsidRPr="00E940CF">
        <w:rPr>
          <w:rFonts w:ascii="Aptos" w:hAnsi="Aptos" w:cs="Times New Roman"/>
          <w:color w:val="1F4E79" w:themeColor="accent5" w:themeShade="80"/>
          <w:sz w:val="24"/>
          <w:szCs w:val="24"/>
        </w:rPr>
        <w:t>-</w:t>
      </w:r>
      <w:r w:rsidRPr="00E940CF">
        <w:rPr>
          <w:rFonts w:ascii="Aptos" w:hAnsi="Aptos" w:cs="Times New Roman"/>
          <w:color w:val="1F4E79" w:themeColor="accent5" w:themeShade="80"/>
          <w:sz w:val="24"/>
          <w:szCs w:val="24"/>
        </w:rPr>
        <w:t>commission and utilize that existing LINAC, including by conducting public meetings, publicizing the forthcoming application, and requesting consultation from state agencies. The Applicant submitted the application as soon as all necessary pre-filing requirements were met, in February 2026.</w:t>
      </w:r>
    </w:p>
    <w:p w14:paraId="14BC4EDD" w14:textId="77777777" w:rsidR="00E36137" w:rsidRPr="00E940CF" w:rsidRDefault="00E36137" w:rsidP="000C2A26">
      <w:pPr>
        <w:ind w:left="360"/>
        <w:rPr>
          <w:rFonts w:ascii="Aptos" w:hAnsi="Aptos" w:cs="Times New Roman"/>
          <w:color w:val="1F4E79" w:themeColor="accent5" w:themeShade="80"/>
          <w:sz w:val="24"/>
          <w:szCs w:val="24"/>
        </w:rPr>
      </w:pPr>
    </w:p>
    <w:p w14:paraId="6A26BEA3" w14:textId="77777777" w:rsidR="0049459D" w:rsidRPr="00E940CF" w:rsidRDefault="0049459D">
      <w:pPr>
        <w:rPr>
          <w:rFonts w:ascii="Aptos" w:hAnsi="Aptos" w:cstheme="minorHAnsi"/>
          <w:b/>
          <w:bCs/>
          <w:sz w:val="24"/>
          <w:szCs w:val="24"/>
        </w:rPr>
      </w:pPr>
      <w:r w:rsidRPr="00E940CF">
        <w:rPr>
          <w:rFonts w:ascii="Aptos" w:hAnsi="Aptos" w:cstheme="minorHAnsi"/>
          <w:b/>
          <w:bCs/>
          <w:sz w:val="24"/>
          <w:szCs w:val="24"/>
        </w:rPr>
        <w:br w:type="page"/>
      </w:r>
    </w:p>
    <w:p w14:paraId="1A9A9C89" w14:textId="3B526EE4" w:rsidR="00E36137" w:rsidRPr="00E940CF" w:rsidRDefault="00E36137" w:rsidP="0045675A">
      <w:pPr>
        <w:pStyle w:val="Heading2"/>
        <w:rPr>
          <w:rFonts w:ascii="Aptos" w:hAnsi="Aptos"/>
          <w:sz w:val="24"/>
          <w:szCs w:val="24"/>
        </w:rPr>
      </w:pPr>
      <w:r w:rsidRPr="00E940CF">
        <w:rPr>
          <w:rFonts w:ascii="Aptos" w:hAnsi="Aptos"/>
          <w:sz w:val="24"/>
          <w:szCs w:val="24"/>
        </w:rPr>
        <w:lastRenderedPageBreak/>
        <w:t xml:space="preserve">Please </w:t>
      </w:r>
      <w:r w:rsidR="00633503" w:rsidRPr="00E940CF">
        <w:rPr>
          <w:rFonts w:ascii="Aptos" w:hAnsi="Aptos"/>
          <w:sz w:val="24"/>
          <w:szCs w:val="24"/>
        </w:rPr>
        <w:t xml:space="preserve">provide additional </w:t>
      </w:r>
      <w:r w:rsidR="00D3438A" w:rsidRPr="00E940CF">
        <w:rPr>
          <w:rFonts w:ascii="Aptos" w:hAnsi="Aptos"/>
          <w:sz w:val="24"/>
          <w:szCs w:val="24"/>
        </w:rPr>
        <w:t>information regarding</w:t>
      </w:r>
      <w:r w:rsidR="00633503" w:rsidRPr="00E940CF">
        <w:rPr>
          <w:rFonts w:ascii="Aptos" w:hAnsi="Aptos"/>
          <w:sz w:val="24"/>
          <w:szCs w:val="24"/>
        </w:rPr>
        <w:t xml:space="preserve"> the</w:t>
      </w:r>
      <w:r w:rsidR="004B2DC9" w:rsidRPr="00E940CF">
        <w:rPr>
          <w:rFonts w:ascii="Aptos" w:hAnsi="Aptos"/>
          <w:sz w:val="24"/>
          <w:szCs w:val="24"/>
        </w:rPr>
        <w:t xml:space="preserve"> decision to replace the existing linear accelerator and how</w:t>
      </w:r>
      <w:r w:rsidR="00633503" w:rsidRPr="00E940CF">
        <w:rPr>
          <w:rFonts w:ascii="Aptos" w:hAnsi="Aptos"/>
          <w:sz w:val="24"/>
          <w:szCs w:val="24"/>
        </w:rPr>
        <w:t xml:space="preserve"> downtime figures</w:t>
      </w:r>
      <w:r w:rsidR="00D3438A" w:rsidRPr="00E940CF">
        <w:rPr>
          <w:rFonts w:ascii="Aptos" w:hAnsi="Aptos"/>
          <w:sz w:val="24"/>
          <w:szCs w:val="24"/>
        </w:rPr>
        <w:t xml:space="preserve"> </w:t>
      </w:r>
      <w:r w:rsidR="004B2DC9" w:rsidRPr="00E940CF">
        <w:rPr>
          <w:rFonts w:ascii="Aptos" w:hAnsi="Aptos"/>
          <w:sz w:val="24"/>
          <w:szCs w:val="24"/>
        </w:rPr>
        <w:t>may have factored into that decision</w:t>
      </w:r>
      <w:r w:rsidRPr="00E940CF">
        <w:rPr>
          <w:rFonts w:ascii="Aptos" w:hAnsi="Aptos"/>
          <w:sz w:val="24"/>
          <w:szCs w:val="24"/>
        </w:rPr>
        <w:t>.</w:t>
      </w:r>
    </w:p>
    <w:p w14:paraId="7BFD9D59" w14:textId="5FB59BE7" w:rsidR="0063606F" w:rsidRPr="00E940CF" w:rsidRDefault="00971D25" w:rsidP="00186B9A">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The existing decommissioned LINAC unit (the Novalis TX SN 4975 which is the subject of this </w:t>
      </w:r>
      <w:proofErr w:type="spellStart"/>
      <w:r w:rsidRPr="00E940CF">
        <w:rPr>
          <w:rFonts w:ascii="Aptos" w:hAnsi="Aptos" w:cs="Times New Roman"/>
          <w:color w:val="1F4E79" w:themeColor="accent5" w:themeShade="80"/>
          <w:sz w:val="24"/>
          <w:szCs w:val="24"/>
        </w:rPr>
        <w:t>DoN</w:t>
      </w:r>
      <w:proofErr w:type="spellEnd"/>
      <w:r w:rsidRPr="00E940CF">
        <w:rPr>
          <w:rFonts w:ascii="Aptos" w:hAnsi="Aptos" w:cs="Times New Roman"/>
          <w:color w:val="1F4E79" w:themeColor="accent5" w:themeShade="80"/>
          <w:sz w:val="24"/>
          <w:szCs w:val="24"/>
        </w:rPr>
        <w:t xml:space="preserve">) was replaced by the Applicant in 2025 for </w:t>
      </w:r>
      <w:proofErr w:type="gramStart"/>
      <w:r w:rsidRPr="00E940CF">
        <w:rPr>
          <w:rFonts w:ascii="Aptos" w:hAnsi="Aptos" w:cs="Times New Roman"/>
          <w:color w:val="1F4E79" w:themeColor="accent5" w:themeShade="80"/>
          <w:sz w:val="24"/>
          <w:szCs w:val="24"/>
        </w:rPr>
        <w:t>a number of</w:t>
      </w:r>
      <w:proofErr w:type="gramEnd"/>
      <w:r w:rsidRPr="00E940CF">
        <w:rPr>
          <w:rFonts w:ascii="Aptos" w:hAnsi="Aptos" w:cs="Times New Roman"/>
          <w:color w:val="1F4E79" w:themeColor="accent5" w:themeShade="80"/>
          <w:sz w:val="24"/>
          <w:szCs w:val="24"/>
        </w:rPr>
        <w:t xml:space="preserve"> reasons.  The principal reason for the replacement was due to the availability of certain enhanced technologies offered with the newer LINAC machine (the Edge SN 7095), including improved imaging, higher dose rates on some energies, and other improved efficiencies.  The Applicant also elected to replace its existing Novalis LINAC because it was suboptimal to be relied upon as a solo treatment unit in a Cancer Center without any back-up service due to its age and the ongoing risk of periodic downtime that can increase as the unit ages.  The Applicant determined that it needed</w:t>
      </w:r>
      <w:r w:rsidR="00D3438A" w:rsidRPr="00E940CF">
        <w:rPr>
          <w:rFonts w:ascii="Aptos" w:hAnsi="Aptos" w:cs="Times New Roman"/>
          <w:color w:val="1F4E79" w:themeColor="accent5" w:themeShade="80"/>
          <w:sz w:val="24"/>
          <w:szCs w:val="24"/>
        </w:rPr>
        <w:t xml:space="preserve"> to</w:t>
      </w:r>
      <w:r w:rsidRPr="00E940CF">
        <w:rPr>
          <w:rFonts w:ascii="Aptos" w:hAnsi="Aptos" w:cs="Times New Roman"/>
          <w:color w:val="1F4E79" w:themeColor="accent5" w:themeShade="80"/>
          <w:sz w:val="24"/>
          <w:szCs w:val="24"/>
        </w:rPr>
        <w:t xml:space="preserve"> </w:t>
      </w:r>
      <w:r w:rsidR="00454E71" w:rsidRPr="00E940CF">
        <w:rPr>
          <w:rFonts w:ascii="Aptos" w:hAnsi="Aptos" w:cs="Times New Roman"/>
          <w:color w:val="1F4E79" w:themeColor="accent5" w:themeShade="80"/>
          <w:sz w:val="24"/>
          <w:szCs w:val="24"/>
        </w:rPr>
        <w:t>replace</w:t>
      </w:r>
      <w:r w:rsidRPr="00E940CF">
        <w:rPr>
          <w:rFonts w:ascii="Aptos" w:hAnsi="Aptos" w:cs="Times New Roman"/>
          <w:color w:val="1F4E79" w:themeColor="accent5" w:themeShade="80"/>
          <w:sz w:val="24"/>
          <w:szCs w:val="24"/>
        </w:rPr>
        <w:t xml:space="preserve"> the unit before any issues arose that would materially impact access to treatment</w:t>
      </w:r>
      <w:r w:rsidR="00E52AEA" w:rsidRPr="00E940CF">
        <w:rPr>
          <w:rFonts w:ascii="Aptos" w:hAnsi="Aptos" w:cs="Times New Roman"/>
          <w:color w:val="1F4E79" w:themeColor="accent5" w:themeShade="80"/>
          <w:sz w:val="24"/>
          <w:szCs w:val="24"/>
        </w:rPr>
        <w:t xml:space="preserve"> for its patient panel (which was at the same time showing increased demand for LINAC treatments).</w:t>
      </w:r>
      <w:r w:rsidRPr="00E940CF">
        <w:rPr>
          <w:rFonts w:ascii="Aptos" w:hAnsi="Aptos" w:cs="Times New Roman"/>
          <w:color w:val="1F4E79" w:themeColor="accent5" w:themeShade="80"/>
          <w:sz w:val="24"/>
          <w:szCs w:val="24"/>
        </w:rPr>
        <w:t xml:space="preserve">  </w:t>
      </w:r>
      <w:r w:rsidR="0063606F" w:rsidRPr="00E940CF">
        <w:rPr>
          <w:rFonts w:ascii="Aptos" w:hAnsi="Aptos" w:cs="Times New Roman"/>
          <w:color w:val="1F4E79" w:themeColor="accent5" w:themeShade="80"/>
          <w:sz w:val="24"/>
          <w:szCs w:val="24"/>
        </w:rPr>
        <w:t>For example, the existing LINAC’s downtime figures for Fiscal Years 2023 and 2024 show downtime between 2.44</w:t>
      </w:r>
      <w:r w:rsidR="005721F1">
        <w:rPr>
          <w:rFonts w:ascii="Aptos" w:hAnsi="Aptos" w:cs="Times New Roman"/>
          <w:color w:val="1F4E79" w:themeColor="accent5" w:themeShade="80"/>
          <w:sz w:val="24"/>
          <w:szCs w:val="24"/>
        </w:rPr>
        <w:t xml:space="preserve"> </w:t>
      </w:r>
      <w:r w:rsidR="005721F1">
        <w:rPr>
          <w:rFonts w:ascii="Aptos" w:eastAsia="Times New Roman" w:hAnsi="Aptos" w:cs="Times New Roman"/>
          <w:color w:val="1F4E79" w:themeColor="accent5" w:themeShade="80"/>
          <w:sz w:val="24"/>
          <w:szCs w:val="24"/>
        </w:rPr>
        <w:t>percent</w:t>
      </w:r>
      <w:r w:rsidR="0063606F" w:rsidRPr="00E940CF">
        <w:rPr>
          <w:rFonts w:ascii="Aptos" w:hAnsi="Aptos" w:cs="Times New Roman"/>
          <w:color w:val="1F4E79" w:themeColor="accent5" w:themeShade="80"/>
          <w:sz w:val="24"/>
          <w:szCs w:val="24"/>
        </w:rPr>
        <w:t xml:space="preserve"> to 3.19</w:t>
      </w:r>
      <w:r w:rsidR="005721F1">
        <w:rPr>
          <w:rFonts w:ascii="Aptos" w:hAnsi="Aptos" w:cs="Times New Roman"/>
          <w:color w:val="1F4E79" w:themeColor="accent5" w:themeShade="80"/>
          <w:sz w:val="24"/>
          <w:szCs w:val="24"/>
        </w:rPr>
        <w:t xml:space="preserve"> </w:t>
      </w:r>
      <w:r w:rsidR="005721F1">
        <w:rPr>
          <w:rFonts w:ascii="Aptos" w:eastAsia="Times New Roman" w:hAnsi="Aptos" w:cs="Times New Roman"/>
          <w:color w:val="1F4E79" w:themeColor="accent5" w:themeShade="80"/>
          <w:sz w:val="24"/>
          <w:szCs w:val="24"/>
        </w:rPr>
        <w:t>percent</w:t>
      </w:r>
      <w:r w:rsidR="0063606F" w:rsidRPr="00E940CF">
        <w:rPr>
          <w:rFonts w:ascii="Aptos" w:hAnsi="Aptos" w:cs="Times New Roman"/>
          <w:color w:val="1F4E79" w:themeColor="accent5" w:themeShade="80"/>
          <w:sz w:val="24"/>
          <w:szCs w:val="24"/>
        </w:rPr>
        <w:t xml:space="preserve">.  In addition to those downtimes, there are routine service and maintenance issues that arise from time to time that can take the LINAC offline, and that are more likely to occur in an older machine (estimated to occur approximately once per month).  This downtime plus expected additional unavailability for routine matters on the older unit could impact treatment access and scheduling, which necessitated the upgrade to a newer primary unit.  </w:t>
      </w:r>
      <w:r w:rsidR="00454E71" w:rsidRPr="00E940CF">
        <w:rPr>
          <w:rFonts w:ascii="Aptos" w:hAnsi="Aptos" w:cs="Times New Roman"/>
          <w:color w:val="1F4E79" w:themeColor="accent5" w:themeShade="80"/>
          <w:sz w:val="24"/>
          <w:szCs w:val="24"/>
        </w:rPr>
        <w:t xml:space="preserve">Accordingly, the Applicant elected in late 2023 to upgrade its LINAC to a new machine to obtain the benefit of certain advanced technologies </w:t>
      </w:r>
      <w:proofErr w:type="gramStart"/>
      <w:r w:rsidR="00454E71" w:rsidRPr="00E940CF">
        <w:rPr>
          <w:rFonts w:ascii="Aptos" w:hAnsi="Aptos" w:cs="Times New Roman"/>
          <w:color w:val="1F4E79" w:themeColor="accent5" w:themeShade="80"/>
          <w:sz w:val="24"/>
          <w:szCs w:val="24"/>
        </w:rPr>
        <w:t>and also</w:t>
      </w:r>
      <w:proofErr w:type="gramEnd"/>
      <w:r w:rsidR="00454E71" w:rsidRPr="00E940CF">
        <w:rPr>
          <w:rFonts w:ascii="Aptos" w:hAnsi="Aptos" w:cs="Times New Roman"/>
          <w:color w:val="1F4E79" w:themeColor="accent5" w:themeShade="80"/>
          <w:sz w:val="24"/>
          <w:szCs w:val="24"/>
        </w:rPr>
        <w:t xml:space="preserve"> to proactively replace its existing unit that had been the primary LINAC in use for many years.  </w:t>
      </w:r>
    </w:p>
    <w:p w14:paraId="6C0FA3A3" w14:textId="0AFA92D8" w:rsidR="000C2A26" w:rsidRPr="00E940CF" w:rsidRDefault="00454E71" w:rsidP="00186B9A">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However, the Applicant also reviewed its existing </w:t>
      </w:r>
      <w:r w:rsidR="0063606F" w:rsidRPr="00E940CF">
        <w:rPr>
          <w:rFonts w:ascii="Aptos" w:hAnsi="Aptos" w:cs="Times New Roman"/>
          <w:color w:val="1F4E79" w:themeColor="accent5" w:themeShade="80"/>
          <w:sz w:val="24"/>
          <w:szCs w:val="24"/>
        </w:rPr>
        <w:t>LINAC machine (the Novalis TX SN 4975)</w:t>
      </w:r>
      <w:r w:rsidRPr="00E940CF">
        <w:rPr>
          <w:rFonts w:ascii="Aptos" w:hAnsi="Aptos" w:cs="Times New Roman"/>
          <w:color w:val="1F4E79" w:themeColor="accent5" w:themeShade="80"/>
          <w:sz w:val="24"/>
          <w:szCs w:val="24"/>
        </w:rPr>
        <w:t xml:space="preserve"> and determined that it remains in good condition</w:t>
      </w:r>
      <w:r w:rsidR="0063606F" w:rsidRPr="00E940CF">
        <w:rPr>
          <w:rFonts w:ascii="Aptos" w:hAnsi="Aptos" w:cs="Times New Roman"/>
          <w:color w:val="1F4E79" w:themeColor="accent5" w:themeShade="80"/>
          <w:sz w:val="24"/>
          <w:szCs w:val="24"/>
        </w:rPr>
        <w:t xml:space="preserve">.  The Applicant further determined that the Novalis TX SN 4975 </w:t>
      </w:r>
      <w:r w:rsidRPr="00E940CF">
        <w:rPr>
          <w:rFonts w:ascii="Aptos" w:hAnsi="Aptos" w:cs="Times New Roman"/>
          <w:color w:val="1F4E79" w:themeColor="accent5" w:themeShade="80"/>
          <w:sz w:val="24"/>
          <w:szCs w:val="24"/>
        </w:rPr>
        <w:t>can continue to be relied upon as a second on-site LINAC to provide additional</w:t>
      </w:r>
      <w:r w:rsidR="00686DD6" w:rsidRPr="00E940CF">
        <w:rPr>
          <w:rFonts w:ascii="Aptos" w:hAnsi="Aptos" w:cs="Times New Roman"/>
          <w:color w:val="1F4E79" w:themeColor="accent5" w:themeShade="80"/>
          <w:sz w:val="24"/>
          <w:szCs w:val="24"/>
        </w:rPr>
        <w:t xml:space="preserve"> LINAC</w:t>
      </w:r>
      <w:r w:rsidRPr="00E940CF">
        <w:rPr>
          <w:rFonts w:ascii="Aptos" w:hAnsi="Aptos" w:cs="Times New Roman"/>
          <w:color w:val="1F4E79" w:themeColor="accent5" w:themeShade="80"/>
          <w:sz w:val="24"/>
          <w:szCs w:val="24"/>
        </w:rPr>
        <w:t xml:space="preserve"> treatments and services for the Applicant’s patient panel to meet the additional patient panel demand for these services.</w:t>
      </w:r>
      <w:r w:rsidR="009B7620" w:rsidRPr="00E940CF">
        <w:rPr>
          <w:rFonts w:ascii="Aptos" w:hAnsi="Aptos" w:cs="Times New Roman"/>
          <w:color w:val="1F4E79" w:themeColor="accent5" w:themeShade="80"/>
          <w:sz w:val="24"/>
          <w:szCs w:val="24"/>
        </w:rPr>
        <w:t xml:space="preserve">  </w:t>
      </w:r>
      <w:r w:rsidR="0063606F" w:rsidRPr="00E940CF">
        <w:rPr>
          <w:rFonts w:ascii="Aptos" w:hAnsi="Aptos" w:cs="Times New Roman"/>
          <w:color w:val="1F4E79" w:themeColor="accent5" w:themeShade="80"/>
          <w:sz w:val="24"/>
          <w:szCs w:val="24"/>
        </w:rPr>
        <w:t>The Applicant also saw the significant increase in demand between FY23 through FY25, particularly at its Fairhaven site (with LINAC volumes growing in excess of 21</w:t>
      </w:r>
      <w:r w:rsidR="005721F1">
        <w:rPr>
          <w:rFonts w:ascii="Aptos" w:hAnsi="Aptos" w:cs="Times New Roman"/>
          <w:color w:val="1F4E79" w:themeColor="accent5" w:themeShade="80"/>
          <w:sz w:val="24"/>
          <w:szCs w:val="24"/>
        </w:rPr>
        <w:t xml:space="preserve"> </w:t>
      </w:r>
      <w:r w:rsidR="005721F1">
        <w:rPr>
          <w:rFonts w:ascii="Aptos" w:eastAsia="Times New Roman" w:hAnsi="Aptos" w:cs="Times New Roman"/>
          <w:color w:val="1F4E79" w:themeColor="accent5" w:themeShade="80"/>
          <w:sz w:val="24"/>
          <w:szCs w:val="24"/>
        </w:rPr>
        <w:t>percent</w:t>
      </w:r>
      <w:r w:rsidR="0063606F" w:rsidRPr="00E940CF">
        <w:rPr>
          <w:rFonts w:ascii="Aptos" w:hAnsi="Aptos" w:cs="Times New Roman"/>
          <w:color w:val="1F4E79" w:themeColor="accent5" w:themeShade="80"/>
          <w:sz w:val="24"/>
          <w:szCs w:val="24"/>
        </w:rPr>
        <w:t xml:space="preserve"> between FY24-FY25 alone)</w:t>
      </w:r>
      <w:r w:rsidR="004B48E7" w:rsidRPr="00E940CF">
        <w:rPr>
          <w:rFonts w:ascii="Aptos" w:hAnsi="Aptos" w:cs="Times New Roman"/>
          <w:color w:val="1F4E79" w:themeColor="accent5" w:themeShade="80"/>
          <w:sz w:val="24"/>
          <w:szCs w:val="24"/>
        </w:rPr>
        <w:t>,</w:t>
      </w:r>
      <w:r w:rsidR="0063606F" w:rsidRPr="00E940CF">
        <w:rPr>
          <w:rFonts w:ascii="Aptos" w:hAnsi="Aptos" w:cs="Times New Roman"/>
          <w:color w:val="1F4E79" w:themeColor="accent5" w:themeShade="80"/>
          <w:sz w:val="24"/>
          <w:szCs w:val="24"/>
        </w:rPr>
        <w:t xml:space="preserve"> and the opportunity to expand access at no cost to patients, to the Applicant, or to the healthcare system by re-commissioning its existing on-site second unit.  </w:t>
      </w:r>
      <w:proofErr w:type="gramStart"/>
      <w:r w:rsidR="0063606F" w:rsidRPr="00E940CF">
        <w:rPr>
          <w:rFonts w:ascii="Aptos" w:hAnsi="Aptos" w:cs="Times New Roman"/>
          <w:color w:val="1F4E79" w:themeColor="accent5" w:themeShade="80"/>
          <w:sz w:val="24"/>
          <w:szCs w:val="24"/>
        </w:rPr>
        <w:t>That</w:t>
      </w:r>
      <w:proofErr w:type="gramEnd"/>
      <w:r w:rsidR="004B48E7" w:rsidRPr="00E940CF">
        <w:rPr>
          <w:rFonts w:ascii="Aptos" w:hAnsi="Aptos" w:cs="Times New Roman"/>
          <w:color w:val="1F4E79" w:themeColor="accent5" w:themeShade="80"/>
          <w:sz w:val="24"/>
          <w:szCs w:val="24"/>
        </w:rPr>
        <w:t xml:space="preserve"> existing LINAC remains in very good working order and is </w:t>
      </w:r>
      <w:proofErr w:type="gramStart"/>
      <w:r w:rsidR="004B48E7" w:rsidRPr="00E940CF">
        <w:rPr>
          <w:rFonts w:ascii="Aptos" w:hAnsi="Aptos" w:cs="Times New Roman"/>
          <w:color w:val="1F4E79" w:themeColor="accent5" w:themeShade="80"/>
          <w:sz w:val="24"/>
          <w:szCs w:val="24"/>
        </w:rPr>
        <w:t>being supported</w:t>
      </w:r>
      <w:proofErr w:type="gramEnd"/>
      <w:r w:rsidR="004B48E7" w:rsidRPr="00E940CF">
        <w:rPr>
          <w:rFonts w:ascii="Aptos" w:hAnsi="Aptos" w:cs="Times New Roman"/>
          <w:color w:val="1F4E79" w:themeColor="accent5" w:themeShade="80"/>
          <w:sz w:val="24"/>
          <w:szCs w:val="24"/>
        </w:rPr>
        <w:t xml:space="preserve"> by an extended service agreement with the vendor to allow it to serve as a backup machine to provide additional capacity and overflow assistance to reduce delays for patients and to serve as a backup in the event the primary LINAC experiences any downtime.</w:t>
      </w:r>
    </w:p>
    <w:p w14:paraId="3A49E4E8" w14:textId="77777777" w:rsidR="0049459D" w:rsidRPr="00E940CF" w:rsidRDefault="0049459D">
      <w:pPr>
        <w:rPr>
          <w:rFonts w:ascii="Aptos" w:hAnsi="Aptos" w:cstheme="minorHAnsi"/>
          <w:b/>
          <w:bCs/>
          <w:sz w:val="24"/>
          <w:szCs w:val="24"/>
        </w:rPr>
      </w:pPr>
      <w:r w:rsidRPr="00E940CF">
        <w:rPr>
          <w:rFonts w:ascii="Aptos" w:hAnsi="Aptos" w:cstheme="minorHAnsi"/>
          <w:b/>
          <w:bCs/>
          <w:sz w:val="24"/>
          <w:szCs w:val="24"/>
        </w:rPr>
        <w:br w:type="page"/>
      </w:r>
    </w:p>
    <w:p w14:paraId="3EABE19A" w14:textId="07F511BF" w:rsidR="004B2DC9" w:rsidRPr="00E940CF" w:rsidRDefault="0049459D" w:rsidP="0045675A">
      <w:pPr>
        <w:pStyle w:val="Heading2"/>
        <w:rPr>
          <w:rFonts w:ascii="Aptos" w:hAnsi="Aptos"/>
          <w:sz w:val="24"/>
          <w:szCs w:val="24"/>
        </w:rPr>
      </w:pPr>
      <w:r w:rsidRPr="00E940CF">
        <w:rPr>
          <w:rFonts w:ascii="Aptos" w:hAnsi="Aptos"/>
          <w:sz w:val="24"/>
          <w:szCs w:val="24"/>
        </w:rPr>
        <w:lastRenderedPageBreak/>
        <w:t>Please provide additional details on any other alternative to the Proposed Project considered by the Applicant.</w:t>
      </w:r>
    </w:p>
    <w:p w14:paraId="31145417" w14:textId="3DB47429" w:rsidR="0049459D" w:rsidRPr="00E940CF" w:rsidRDefault="0049459D" w:rsidP="0049459D">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The only other alternative considered by the Applicant to the Proposed Project is described below.  This alternative was deemed not feasible or advisable, given the significant additional capital and operating costs that would be required, as well as the inability to increase efficiency for the Applicant and patients by providing an on-site back-up LINAC in the Fairhaven Cancer Center.</w:t>
      </w:r>
    </w:p>
    <w:p w14:paraId="2B8ACFAD" w14:textId="1F43A55C" w:rsidR="0049459D" w:rsidRPr="00E940CF" w:rsidRDefault="0049459D" w:rsidP="004B2DC9">
      <w:pPr>
        <w:ind w:left="360"/>
        <w:rPr>
          <w:rFonts w:ascii="Aptos" w:hAnsi="Aptos" w:cs="Times New Roman"/>
          <w:color w:val="1F4E79" w:themeColor="accent5" w:themeShade="80"/>
          <w:sz w:val="24"/>
          <w:szCs w:val="24"/>
        </w:rPr>
      </w:pPr>
      <w:r w:rsidRPr="00E940CF">
        <w:rPr>
          <w:rFonts w:ascii="Aptos" w:hAnsi="Aptos" w:cs="Times New Roman"/>
          <w:b/>
          <w:bCs/>
          <w:color w:val="1F4E79" w:themeColor="accent5" w:themeShade="80"/>
          <w:sz w:val="24"/>
          <w:szCs w:val="24"/>
        </w:rPr>
        <w:t>Alternative Proposal</w:t>
      </w:r>
      <w:r w:rsidRPr="00E940CF">
        <w:rPr>
          <w:rFonts w:ascii="Aptos" w:hAnsi="Aptos" w:cs="Times New Roman"/>
          <w:color w:val="1F4E79" w:themeColor="accent5" w:themeShade="80"/>
          <w:sz w:val="24"/>
          <w:szCs w:val="24"/>
        </w:rPr>
        <w:t>.  The only other alternative considered by the Applicant would be to establish a linear accelerator at a separate satellite location within the Applicant’s service area, and to operate the additional LINAC from that location.</w:t>
      </w:r>
    </w:p>
    <w:p w14:paraId="40FABEF5" w14:textId="21373531" w:rsidR="0049459D" w:rsidRPr="00E940CF" w:rsidRDefault="0049459D" w:rsidP="009012ED">
      <w:pPr>
        <w:ind w:left="360"/>
        <w:rPr>
          <w:rFonts w:ascii="Aptos" w:hAnsi="Aptos" w:cs="Times New Roman"/>
          <w:i/>
          <w:iCs/>
          <w:color w:val="1F4E79" w:themeColor="accent5" w:themeShade="80"/>
          <w:sz w:val="24"/>
          <w:szCs w:val="24"/>
        </w:rPr>
      </w:pPr>
      <w:r w:rsidRPr="00E940CF">
        <w:rPr>
          <w:rFonts w:ascii="Aptos" w:hAnsi="Aptos" w:cs="Times New Roman"/>
          <w:i/>
          <w:iCs/>
          <w:color w:val="1F4E79" w:themeColor="accent5" w:themeShade="80"/>
          <w:sz w:val="24"/>
          <w:szCs w:val="24"/>
        </w:rPr>
        <w:t xml:space="preserve">Alternative Quality: </w:t>
      </w:r>
      <w:r w:rsidRPr="00E940CF">
        <w:rPr>
          <w:rFonts w:ascii="Aptos" w:hAnsi="Aptos" w:cs="Times New Roman"/>
          <w:color w:val="1F4E79" w:themeColor="accent5" w:themeShade="80"/>
          <w:sz w:val="24"/>
          <w:szCs w:val="24"/>
        </w:rPr>
        <w:t xml:space="preserve">Acquiring another new LINAC to be installed at a satellite location of the </w:t>
      </w:r>
      <w:proofErr w:type="gramStart"/>
      <w:r w:rsidRPr="00E940CF">
        <w:rPr>
          <w:rFonts w:ascii="Aptos" w:hAnsi="Aptos" w:cs="Times New Roman"/>
          <w:color w:val="1F4E79" w:themeColor="accent5" w:themeShade="80"/>
          <w:sz w:val="24"/>
          <w:szCs w:val="24"/>
        </w:rPr>
        <w:t>Applicant, or</w:t>
      </w:r>
      <w:proofErr w:type="gramEnd"/>
      <w:r w:rsidRPr="00E940CF">
        <w:rPr>
          <w:rFonts w:ascii="Aptos" w:hAnsi="Aptos" w:cs="Times New Roman"/>
          <w:color w:val="1F4E79" w:themeColor="accent5" w:themeShade="80"/>
          <w:sz w:val="24"/>
          <w:szCs w:val="24"/>
        </w:rPr>
        <w:t xml:space="preserve"> relocating the existing (but decommissioned) second LINAC unit currently installed at the Fairhaven Cancer Center to another satellite location of the Applicant, could expand access to radiation oncology services for members of the Applicant’s patient panel. The unit would be operated in accordance with the same quality and performance protocols and processes utilized across the Applicant’s Cancer Program.  That said, this alternative would necessitate the Applicant establishing a new satellite cancer </w:t>
      </w:r>
      <w:r w:rsidR="00686DD6" w:rsidRPr="00E940CF">
        <w:rPr>
          <w:rFonts w:ascii="Aptos" w:hAnsi="Aptos" w:cs="Times New Roman"/>
          <w:color w:val="1F4E79" w:themeColor="accent5" w:themeShade="80"/>
          <w:sz w:val="24"/>
          <w:szCs w:val="24"/>
        </w:rPr>
        <w:t xml:space="preserve">care </w:t>
      </w:r>
      <w:r w:rsidRPr="00E940CF">
        <w:rPr>
          <w:rFonts w:ascii="Aptos" w:hAnsi="Aptos" w:cs="Times New Roman"/>
          <w:color w:val="1F4E79" w:themeColor="accent5" w:themeShade="80"/>
          <w:sz w:val="24"/>
          <w:szCs w:val="24"/>
        </w:rPr>
        <w:t>location (unless the unit were located at the Applicant’s Fall River cancer center site, which the Applicant determined is not warranted at this time), and would prevent the unit from serving as a backup for patients and staff in the Applicant’s established Cancer Center site in Fairhaven</w:t>
      </w:r>
      <w:r w:rsidR="00686DD6" w:rsidRPr="00E940CF">
        <w:rPr>
          <w:rFonts w:ascii="Aptos" w:hAnsi="Aptos" w:cs="Times New Roman"/>
          <w:color w:val="1F4E79" w:themeColor="accent5" w:themeShade="80"/>
          <w:sz w:val="24"/>
          <w:szCs w:val="24"/>
        </w:rPr>
        <w:t xml:space="preserve"> (which has multidisciplinary teams and resources on site to deliver comprehensive cancer care and support services for patients, as described in the Application Narrative)</w:t>
      </w:r>
      <w:r w:rsidRPr="00E940CF">
        <w:rPr>
          <w:rFonts w:ascii="Aptos" w:hAnsi="Aptos" w:cs="Times New Roman"/>
          <w:color w:val="1F4E79" w:themeColor="accent5" w:themeShade="80"/>
          <w:sz w:val="24"/>
          <w:szCs w:val="24"/>
        </w:rPr>
        <w:t>.</w:t>
      </w:r>
    </w:p>
    <w:p w14:paraId="120FF97C" w14:textId="7934B866" w:rsidR="0049459D" w:rsidRPr="00E940CF" w:rsidRDefault="0049459D" w:rsidP="009012ED">
      <w:pPr>
        <w:ind w:left="360"/>
        <w:rPr>
          <w:rFonts w:ascii="Aptos" w:hAnsi="Aptos" w:cs="Times New Roman"/>
          <w:color w:val="1F4E79" w:themeColor="accent5" w:themeShade="80"/>
          <w:sz w:val="24"/>
          <w:szCs w:val="24"/>
        </w:rPr>
      </w:pPr>
      <w:r w:rsidRPr="00E940CF">
        <w:rPr>
          <w:rFonts w:ascii="Aptos" w:hAnsi="Aptos" w:cs="Times New Roman"/>
          <w:i/>
          <w:iCs/>
          <w:color w:val="1F4E79" w:themeColor="accent5" w:themeShade="80"/>
          <w:sz w:val="24"/>
          <w:szCs w:val="24"/>
        </w:rPr>
        <w:t xml:space="preserve">Alternative Efficiency: </w:t>
      </w:r>
      <w:r w:rsidRPr="00E940CF">
        <w:rPr>
          <w:rFonts w:ascii="Aptos" w:hAnsi="Aptos" w:cs="Times New Roman"/>
          <w:color w:val="1F4E79" w:themeColor="accent5" w:themeShade="80"/>
          <w:sz w:val="24"/>
          <w:szCs w:val="24"/>
        </w:rPr>
        <w:t>This alternative would not improve efficiency or allow the Applicant to obtain any of the principal efficiency gains offered by the Proposed Project.  It would not increase efficiency or make sense from an operational perspective for the Applicant to spread out its oncology providers</w:t>
      </w:r>
      <w:r w:rsidR="00686DD6" w:rsidRPr="00E940CF">
        <w:rPr>
          <w:rFonts w:ascii="Aptos" w:hAnsi="Aptos" w:cs="Times New Roman"/>
          <w:color w:val="1F4E79" w:themeColor="accent5" w:themeShade="80"/>
          <w:sz w:val="24"/>
          <w:szCs w:val="24"/>
        </w:rPr>
        <w:t xml:space="preserve">, </w:t>
      </w:r>
      <w:r w:rsidRPr="00E940CF">
        <w:rPr>
          <w:rFonts w:ascii="Aptos" w:hAnsi="Aptos" w:cs="Times New Roman"/>
          <w:color w:val="1F4E79" w:themeColor="accent5" w:themeShade="80"/>
          <w:sz w:val="24"/>
          <w:szCs w:val="24"/>
        </w:rPr>
        <w:t>staff</w:t>
      </w:r>
      <w:r w:rsidR="00686DD6" w:rsidRPr="00E940CF">
        <w:rPr>
          <w:rFonts w:ascii="Aptos" w:hAnsi="Aptos" w:cs="Times New Roman"/>
          <w:color w:val="1F4E79" w:themeColor="accent5" w:themeShade="80"/>
          <w:sz w:val="24"/>
          <w:szCs w:val="24"/>
        </w:rPr>
        <w:t xml:space="preserve"> and equipment</w:t>
      </w:r>
      <w:r w:rsidRPr="00E940CF">
        <w:rPr>
          <w:rFonts w:ascii="Aptos" w:hAnsi="Aptos" w:cs="Times New Roman"/>
          <w:color w:val="1F4E79" w:themeColor="accent5" w:themeShade="80"/>
          <w:sz w:val="24"/>
          <w:szCs w:val="24"/>
        </w:rPr>
        <w:t xml:space="preserve"> to another location to operate this LINAC, or to relocate the LINAC from the cancer center site where it is currently installed and has been for over 15 years.</w:t>
      </w:r>
    </w:p>
    <w:p w14:paraId="3D4D98BE" w14:textId="0F8EA79F" w:rsidR="0049459D" w:rsidRPr="00E940CF" w:rsidRDefault="0049459D" w:rsidP="009012ED">
      <w:pPr>
        <w:ind w:left="360"/>
        <w:rPr>
          <w:rFonts w:ascii="Aptos" w:hAnsi="Aptos" w:cs="Times New Roman"/>
          <w:color w:val="1F4E79" w:themeColor="accent5" w:themeShade="80"/>
          <w:sz w:val="24"/>
          <w:szCs w:val="24"/>
        </w:rPr>
      </w:pPr>
      <w:r w:rsidRPr="00E940CF">
        <w:rPr>
          <w:rFonts w:ascii="Aptos" w:hAnsi="Aptos" w:cs="Times New Roman"/>
          <w:i/>
          <w:iCs/>
          <w:color w:val="1F4E79" w:themeColor="accent5" w:themeShade="80"/>
          <w:sz w:val="24"/>
          <w:szCs w:val="24"/>
        </w:rPr>
        <w:t>Alternative Capital Expense:</w:t>
      </w:r>
      <w:r w:rsidR="009012ED" w:rsidRPr="00E940CF">
        <w:rPr>
          <w:rFonts w:ascii="Aptos" w:hAnsi="Aptos" w:cs="Times New Roman"/>
          <w:i/>
          <w:iCs/>
          <w:color w:val="1F4E79" w:themeColor="accent5" w:themeShade="80"/>
          <w:sz w:val="24"/>
          <w:szCs w:val="24"/>
        </w:rPr>
        <w:t xml:space="preserve"> </w:t>
      </w:r>
      <w:r w:rsidR="009012ED" w:rsidRPr="00E940CF">
        <w:rPr>
          <w:rFonts w:ascii="Aptos" w:hAnsi="Aptos" w:cs="Times New Roman"/>
          <w:color w:val="1F4E79" w:themeColor="accent5" w:themeShade="80"/>
          <w:sz w:val="24"/>
          <w:szCs w:val="24"/>
        </w:rPr>
        <w:t xml:space="preserve">This alternative would significantly increase the capital expense for the Applicant.  The Proposed Project would allow the Applicant to expand capacity and access without incurring any capital expenditure </w:t>
      </w:r>
      <w:proofErr w:type="gramStart"/>
      <w:r w:rsidR="009012ED" w:rsidRPr="00E940CF">
        <w:rPr>
          <w:rFonts w:ascii="Aptos" w:hAnsi="Aptos" w:cs="Times New Roman"/>
          <w:color w:val="1F4E79" w:themeColor="accent5" w:themeShade="80"/>
          <w:sz w:val="24"/>
          <w:szCs w:val="24"/>
        </w:rPr>
        <w:t>due to the fact that</w:t>
      </w:r>
      <w:proofErr w:type="gramEnd"/>
      <w:r w:rsidR="009012ED" w:rsidRPr="00E940CF">
        <w:rPr>
          <w:rFonts w:ascii="Aptos" w:hAnsi="Aptos" w:cs="Times New Roman"/>
          <w:color w:val="1F4E79" w:themeColor="accent5" w:themeShade="80"/>
          <w:sz w:val="24"/>
          <w:szCs w:val="24"/>
        </w:rPr>
        <w:t xml:space="preserve"> the LINAC is already installed and able to be operated (once re-commissioned) in its current vault within the Fairhaven Cancer Center.  The proposal would be significantly more expensive if the Applicant had </w:t>
      </w:r>
      <w:proofErr w:type="gramStart"/>
      <w:r w:rsidR="009012ED" w:rsidRPr="00E940CF">
        <w:rPr>
          <w:rFonts w:ascii="Aptos" w:hAnsi="Aptos" w:cs="Times New Roman"/>
          <w:color w:val="1F4E79" w:themeColor="accent5" w:themeShade="80"/>
          <w:sz w:val="24"/>
          <w:szCs w:val="24"/>
        </w:rPr>
        <w:t>to newly</w:t>
      </w:r>
      <w:proofErr w:type="gramEnd"/>
      <w:r w:rsidR="009012ED" w:rsidRPr="00E940CF">
        <w:rPr>
          <w:rFonts w:ascii="Aptos" w:hAnsi="Aptos" w:cs="Times New Roman"/>
          <w:color w:val="1F4E79" w:themeColor="accent5" w:themeShade="80"/>
          <w:sz w:val="24"/>
          <w:szCs w:val="24"/>
        </w:rPr>
        <w:t xml:space="preserve"> construct a vault to locate this LINAC in a</w:t>
      </w:r>
      <w:r w:rsidR="00686DD6" w:rsidRPr="00E940CF">
        <w:rPr>
          <w:rFonts w:ascii="Aptos" w:hAnsi="Aptos" w:cs="Times New Roman"/>
          <w:color w:val="1F4E79" w:themeColor="accent5" w:themeShade="80"/>
          <w:sz w:val="24"/>
          <w:szCs w:val="24"/>
        </w:rPr>
        <w:t>n alternative</w:t>
      </w:r>
      <w:r w:rsidR="009012ED" w:rsidRPr="00E940CF">
        <w:rPr>
          <w:rFonts w:ascii="Aptos" w:hAnsi="Aptos" w:cs="Times New Roman"/>
          <w:color w:val="1F4E79" w:themeColor="accent5" w:themeShade="80"/>
          <w:sz w:val="24"/>
          <w:szCs w:val="24"/>
        </w:rPr>
        <w:t xml:space="preserve"> satellite location.</w:t>
      </w:r>
    </w:p>
    <w:p w14:paraId="5717C4D0" w14:textId="77777777" w:rsidR="0049459D" w:rsidRPr="00E940CF" w:rsidRDefault="0049459D" w:rsidP="004B2DC9">
      <w:pPr>
        <w:ind w:left="360"/>
        <w:rPr>
          <w:rFonts w:ascii="Aptos" w:hAnsi="Aptos" w:cs="Times New Roman"/>
          <w:color w:val="1F4E79" w:themeColor="accent5" w:themeShade="80"/>
          <w:sz w:val="24"/>
          <w:szCs w:val="24"/>
        </w:rPr>
      </w:pPr>
      <w:r w:rsidRPr="00E940CF">
        <w:rPr>
          <w:rFonts w:ascii="Aptos" w:hAnsi="Aptos" w:cs="Times New Roman"/>
          <w:i/>
          <w:iCs/>
          <w:color w:val="1F4E79" w:themeColor="accent5" w:themeShade="80"/>
          <w:sz w:val="24"/>
          <w:szCs w:val="24"/>
        </w:rPr>
        <w:lastRenderedPageBreak/>
        <w:t>Alternative Operating Costs:</w:t>
      </w:r>
      <w:r w:rsidR="009012ED" w:rsidRPr="00E940CF">
        <w:rPr>
          <w:rFonts w:ascii="Aptos" w:hAnsi="Aptos" w:cs="Times New Roman"/>
          <w:color w:val="1F4E79" w:themeColor="accent5" w:themeShade="80"/>
          <w:sz w:val="24"/>
          <w:szCs w:val="24"/>
        </w:rPr>
        <w:t xml:space="preserve"> This alternative would significantly increase the operating costs associated with the LINAC and delivery of radiation </w:t>
      </w:r>
      <w:proofErr w:type="gramStart"/>
      <w:r w:rsidR="009012ED" w:rsidRPr="00E940CF">
        <w:rPr>
          <w:rFonts w:ascii="Aptos" w:hAnsi="Aptos" w:cs="Times New Roman"/>
          <w:color w:val="1F4E79" w:themeColor="accent5" w:themeShade="80"/>
          <w:sz w:val="24"/>
          <w:szCs w:val="24"/>
        </w:rPr>
        <w:t>oncology,</w:t>
      </w:r>
      <w:proofErr w:type="gramEnd"/>
      <w:r w:rsidR="009012ED" w:rsidRPr="00E940CF">
        <w:rPr>
          <w:rFonts w:ascii="Aptos" w:hAnsi="Aptos" w:cs="Times New Roman"/>
          <w:color w:val="1F4E79" w:themeColor="accent5" w:themeShade="80"/>
          <w:sz w:val="24"/>
          <w:szCs w:val="24"/>
        </w:rPr>
        <w:t xml:space="preserve"> if the Applicant had to establish a new satellite location for the additional LINAC (unless it were relocated to the site within Charlton Memorial Hospital in Fall River that already provides LINAC treatment).  The Applicant would not only incur increased costs for staffing associated with operating the service, but also increased costs associated with newly establishing the service in a satellite location.  Moreover, the Applicant would lose the operating cost efficiencies offered by the Proposed Project because staff would not be available on-site in the Fairhaven Cancer Center </w:t>
      </w:r>
      <w:proofErr w:type="gramStart"/>
      <w:r w:rsidR="009012ED" w:rsidRPr="00E940CF">
        <w:rPr>
          <w:rFonts w:ascii="Aptos" w:hAnsi="Aptos" w:cs="Times New Roman"/>
          <w:color w:val="1F4E79" w:themeColor="accent5" w:themeShade="80"/>
          <w:sz w:val="24"/>
          <w:szCs w:val="24"/>
        </w:rPr>
        <w:t>to  be</w:t>
      </w:r>
      <w:proofErr w:type="gramEnd"/>
      <w:r w:rsidR="009012ED" w:rsidRPr="00E940CF">
        <w:rPr>
          <w:rFonts w:ascii="Aptos" w:hAnsi="Aptos" w:cs="Times New Roman"/>
          <w:color w:val="1F4E79" w:themeColor="accent5" w:themeShade="80"/>
          <w:sz w:val="24"/>
          <w:szCs w:val="24"/>
        </w:rPr>
        <w:t xml:space="preserve"> efficiently deployed to meet patient panel demand, including on days with excess capacity or reduced capacity.</w:t>
      </w:r>
    </w:p>
    <w:p w14:paraId="2CB65046" w14:textId="77777777" w:rsidR="00F36D5D" w:rsidRPr="00E940CF" w:rsidRDefault="00F36D5D" w:rsidP="004B2DC9">
      <w:pPr>
        <w:ind w:left="360"/>
        <w:rPr>
          <w:rFonts w:ascii="Aptos" w:hAnsi="Aptos" w:cs="Times New Roman"/>
          <w:color w:val="1F4E79" w:themeColor="accent5" w:themeShade="80"/>
          <w:sz w:val="24"/>
          <w:szCs w:val="24"/>
        </w:rPr>
      </w:pPr>
    </w:p>
    <w:p w14:paraId="48D3EBBC" w14:textId="77777777" w:rsidR="00F36D5D" w:rsidRPr="00E940CF" w:rsidRDefault="00F36D5D" w:rsidP="004B2DC9">
      <w:pPr>
        <w:ind w:left="360"/>
        <w:rPr>
          <w:rFonts w:ascii="Aptos" w:hAnsi="Aptos" w:cs="Times New Roman"/>
          <w:color w:val="1F4E79" w:themeColor="accent5" w:themeShade="80"/>
          <w:sz w:val="24"/>
          <w:szCs w:val="24"/>
        </w:rPr>
      </w:pPr>
    </w:p>
    <w:p w14:paraId="05077865" w14:textId="4BCF6D00" w:rsidR="00F36D5D" w:rsidRPr="00E940CF" w:rsidRDefault="00F36D5D" w:rsidP="0045675A">
      <w:pPr>
        <w:pStyle w:val="Heading2"/>
        <w:rPr>
          <w:rFonts w:ascii="Aptos" w:hAnsi="Aptos"/>
          <w:sz w:val="24"/>
          <w:szCs w:val="24"/>
        </w:rPr>
      </w:pPr>
      <w:r w:rsidRPr="00E940CF">
        <w:rPr>
          <w:rFonts w:ascii="Aptos" w:hAnsi="Aptos"/>
          <w:sz w:val="24"/>
          <w:szCs w:val="24"/>
        </w:rPr>
        <w:t xml:space="preserve">In looking at </w:t>
      </w:r>
      <w:r w:rsidRPr="00E940CF">
        <w:rPr>
          <w:rFonts w:ascii="Aptos" w:hAnsi="Aptos"/>
          <w:i/>
          <w:iCs/>
          <w:sz w:val="24"/>
          <w:szCs w:val="24"/>
        </w:rPr>
        <w:t>the Southcoast Health Oncology Patients</w:t>
      </w:r>
      <w:r w:rsidRPr="00E940CF">
        <w:rPr>
          <w:rFonts w:ascii="Aptos" w:hAnsi="Aptos"/>
          <w:sz w:val="24"/>
          <w:szCs w:val="24"/>
        </w:rPr>
        <w:t xml:space="preserve"> Table 2a, and then at Figures 1a and 1b </w:t>
      </w:r>
      <w:r w:rsidRPr="00E940CF">
        <w:rPr>
          <w:rFonts w:ascii="Aptos" w:hAnsi="Aptos"/>
          <w:i/>
          <w:iCs/>
          <w:sz w:val="24"/>
          <w:szCs w:val="24"/>
        </w:rPr>
        <w:t xml:space="preserve">Total Volume of Cancer Cases, </w:t>
      </w:r>
      <w:r w:rsidRPr="00E940CF">
        <w:rPr>
          <w:rFonts w:ascii="Aptos" w:hAnsi="Aptos"/>
          <w:sz w:val="24"/>
          <w:szCs w:val="24"/>
        </w:rPr>
        <w:t>what is the difference in what is being counted? Please define each.</w:t>
      </w:r>
    </w:p>
    <w:p w14:paraId="17D95B6C" w14:textId="7FD502F8" w:rsidR="00F36D5D" w:rsidRPr="00E940CF" w:rsidRDefault="00F36D5D" w:rsidP="00F36D5D">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Please see the explanation </w:t>
      </w:r>
      <w:proofErr w:type="gramStart"/>
      <w:r w:rsidRPr="00E940CF">
        <w:rPr>
          <w:rFonts w:ascii="Aptos" w:hAnsi="Aptos" w:cs="Times New Roman"/>
          <w:color w:val="1F4E79" w:themeColor="accent5" w:themeShade="80"/>
          <w:sz w:val="24"/>
          <w:szCs w:val="24"/>
        </w:rPr>
        <w:t>bulleted</w:t>
      </w:r>
      <w:proofErr w:type="gramEnd"/>
      <w:r w:rsidRPr="00E940CF">
        <w:rPr>
          <w:rFonts w:ascii="Aptos" w:hAnsi="Aptos" w:cs="Times New Roman"/>
          <w:color w:val="1F4E79" w:themeColor="accent5" w:themeShade="80"/>
          <w:sz w:val="24"/>
          <w:szCs w:val="24"/>
        </w:rPr>
        <w:t xml:space="preserve"> below:</w:t>
      </w:r>
    </w:p>
    <w:p w14:paraId="6191716C" w14:textId="631D1954" w:rsidR="00F36D5D" w:rsidRPr="00E940CF" w:rsidRDefault="00F36D5D" w:rsidP="00F36D5D">
      <w:pPr>
        <w:pStyle w:val="ListParagraph"/>
        <w:numPr>
          <w:ilvl w:val="0"/>
          <w:numId w:val="5"/>
        </w:numP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The data in Table 2a reflects </w:t>
      </w:r>
      <w:r w:rsidR="00BA418C" w:rsidRPr="00E940CF">
        <w:rPr>
          <w:rFonts w:ascii="Aptos" w:hAnsi="Aptos" w:cs="Times New Roman"/>
          <w:color w:val="1F4E79" w:themeColor="accent5" w:themeShade="80"/>
          <w:sz w:val="24"/>
          <w:szCs w:val="24"/>
        </w:rPr>
        <w:t>the Applicant</w:t>
      </w:r>
      <w:r w:rsidRPr="00E940CF">
        <w:rPr>
          <w:rFonts w:ascii="Aptos" w:hAnsi="Aptos" w:cs="Times New Roman"/>
          <w:color w:val="1F4E79" w:themeColor="accent5" w:themeShade="80"/>
          <w:sz w:val="24"/>
          <w:szCs w:val="24"/>
        </w:rPr>
        <w:t xml:space="preserve">’s oncology patient panel (as noted it reflects data from </w:t>
      </w:r>
      <w:r w:rsidR="00BA418C" w:rsidRPr="00E940CF">
        <w:rPr>
          <w:rFonts w:ascii="Aptos" w:hAnsi="Aptos" w:cs="Times New Roman"/>
          <w:color w:val="1F4E79" w:themeColor="accent5" w:themeShade="80"/>
          <w:sz w:val="24"/>
          <w:szCs w:val="24"/>
        </w:rPr>
        <w:t>the Applicant</w:t>
      </w:r>
      <w:r w:rsidRPr="00E940CF">
        <w:rPr>
          <w:rFonts w:ascii="Aptos" w:hAnsi="Aptos" w:cs="Times New Roman"/>
          <w:color w:val="1F4E79" w:themeColor="accent5" w:themeShade="80"/>
          <w:sz w:val="24"/>
          <w:szCs w:val="24"/>
        </w:rPr>
        <w:t xml:space="preserve">’s Medical Oncology, Radiation Oncology, and </w:t>
      </w:r>
      <w:r w:rsidR="00711BFC" w:rsidRPr="00711BFC">
        <w:rPr>
          <w:rFonts w:ascii="Aptos" w:hAnsi="Aptos" w:cs="Times New Roman"/>
          <w:color w:val="1F4E79" w:themeColor="accent5" w:themeShade="80"/>
          <w:sz w:val="24"/>
          <w:szCs w:val="24"/>
        </w:rPr>
        <w:t xml:space="preserve">gynecology </w:t>
      </w:r>
      <w:r w:rsidR="00711BFC">
        <w:rPr>
          <w:rFonts w:ascii="Aptos" w:hAnsi="Aptos" w:cs="Times New Roman"/>
          <w:color w:val="1F4E79" w:themeColor="accent5" w:themeShade="80"/>
          <w:sz w:val="24"/>
          <w:szCs w:val="24"/>
        </w:rPr>
        <w:t>(</w:t>
      </w:r>
      <w:r w:rsidRPr="00E940CF">
        <w:rPr>
          <w:rFonts w:ascii="Aptos" w:hAnsi="Aptos" w:cs="Times New Roman"/>
          <w:color w:val="1F4E79" w:themeColor="accent5" w:themeShade="80"/>
          <w:sz w:val="24"/>
          <w:szCs w:val="24"/>
        </w:rPr>
        <w:t>GYN</w:t>
      </w:r>
      <w:r w:rsidR="00711BFC">
        <w:rPr>
          <w:rFonts w:ascii="Aptos" w:hAnsi="Aptos" w:cs="Times New Roman"/>
          <w:color w:val="1F4E79" w:themeColor="accent5" w:themeShade="80"/>
          <w:sz w:val="24"/>
          <w:szCs w:val="24"/>
        </w:rPr>
        <w:t>)</w:t>
      </w:r>
      <w:r w:rsidRPr="00E940CF">
        <w:rPr>
          <w:rFonts w:ascii="Aptos" w:hAnsi="Aptos" w:cs="Times New Roman"/>
          <w:color w:val="1F4E79" w:themeColor="accent5" w:themeShade="80"/>
          <w:sz w:val="24"/>
          <w:szCs w:val="24"/>
        </w:rPr>
        <w:t xml:space="preserve"> Oncology departments). </w:t>
      </w:r>
    </w:p>
    <w:p w14:paraId="5272E948" w14:textId="4F50E41F" w:rsidR="00F36D5D" w:rsidRPr="00E940CF" w:rsidRDefault="00F36D5D" w:rsidP="00F36D5D">
      <w:pPr>
        <w:pStyle w:val="ListParagraph"/>
        <w:numPr>
          <w:ilvl w:val="1"/>
          <w:numId w:val="5"/>
        </w:numP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Importantly, within the subset of medical oncology patients (of which there are approximately 10,000 patients per year), approximately 65</w:t>
      </w:r>
      <w:r w:rsidR="00FE62B3">
        <w:rPr>
          <w:rFonts w:ascii="Aptos" w:hAnsi="Aptos" w:cs="Times New Roman"/>
          <w:color w:val="1F4E79" w:themeColor="accent5" w:themeShade="80"/>
          <w:sz w:val="24"/>
          <w:szCs w:val="24"/>
        </w:rPr>
        <w:t xml:space="preserve"> </w:t>
      </w:r>
      <w:r w:rsidR="00FE62B3">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are hematology patients who do not have cancer and thus are part of the oncology patient panel but not </w:t>
      </w:r>
      <w:r w:rsidR="00BA418C" w:rsidRPr="00E940CF">
        <w:rPr>
          <w:rFonts w:ascii="Aptos" w:hAnsi="Aptos" w:cs="Times New Roman"/>
          <w:color w:val="1F4E79" w:themeColor="accent5" w:themeShade="80"/>
          <w:sz w:val="24"/>
          <w:szCs w:val="24"/>
        </w:rPr>
        <w:t xml:space="preserve">the Applicant’s </w:t>
      </w:r>
      <w:r w:rsidRPr="00E940CF">
        <w:rPr>
          <w:rFonts w:ascii="Aptos" w:hAnsi="Aptos" w:cs="Times New Roman"/>
          <w:color w:val="1F4E79" w:themeColor="accent5" w:themeShade="80"/>
          <w:sz w:val="24"/>
          <w:szCs w:val="24"/>
        </w:rPr>
        <w:t>cancer patient population calculated from cancer registry data.</w:t>
      </w:r>
    </w:p>
    <w:p w14:paraId="41EBFDE0" w14:textId="4F8F9EA1" w:rsidR="00F36D5D" w:rsidRPr="00E940CF" w:rsidRDefault="00F36D5D" w:rsidP="00F36D5D">
      <w:pPr>
        <w:pStyle w:val="ListParagraph"/>
        <w:numPr>
          <w:ilvl w:val="1"/>
          <w:numId w:val="5"/>
        </w:numP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Patients within this oncology patient panel include patients who may have been initially treated years ago and return for recurrent care, and/or non-analytic cases (patients who are diagnosed but then treated </w:t>
      </w:r>
      <w:proofErr w:type="gramStart"/>
      <w:r w:rsidRPr="00E940CF">
        <w:rPr>
          <w:rFonts w:ascii="Aptos" w:hAnsi="Aptos" w:cs="Times New Roman"/>
          <w:color w:val="1F4E79" w:themeColor="accent5" w:themeShade="80"/>
          <w:sz w:val="24"/>
          <w:szCs w:val="24"/>
        </w:rPr>
        <w:t>elsewhere, and</w:t>
      </w:r>
      <w:proofErr w:type="gramEnd"/>
      <w:r w:rsidRPr="00E940CF">
        <w:rPr>
          <w:rFonts w:ascii="Aptos" w:hAnsi="Aptos" w:cs="Times New Roman"/>
          <w:color w:val="1F4E79" w:themeColor="accent5" w:themeShade="80"/>
          <w:sz w:val="24"/>
          <w:szCs w:val="24"/>
        </w:rPr>
        <w:t xml:space="preserve"> receive treatments or consultations from </w:t>
      </w:r>
      <w:r w:rsidR="00BA418C" w:rsidRPr="00E940CF">
        <w:rPr>
          <w:rFonts w:ascii="Aptos" w:hAnsi="Aptos" w:cs="Times New Roman"/>
          <w:color w:val="1F4E79" w:themeColor="accent5" w:themeShade="80"/>
          <w:sz w:val="24"/>
          <w:szCs w:val="24"/>
        </w:rPr>
        <w:t>the Applicant</w:t>
      </w:r>
      <w:r w:rsidRPr="00E940CF">
        <w:rPr>
          <w:rFonts w:ascii="Aptos" w:hAnsi="Aptos" w:cs="Times New Roman"/>
          <w:color w:val="1F4E79" w:themeColor="accent5" w:themeShade="80"/>
          <w:sz w:val="24"/>
          <w:szCs w:val="24"/>
        </w:rPr>
        <w:t>).</w:t>
      </w:r>
    </w:p>
    <w:p w14:paraId="1CBE80FA" w14:textId="77777777" w:rsidR="00F36D5D" w:rsidRPr="00E940CF" w:rsidRDefault="00F36D5D" w:rsidP="00F36D5D">
      <w:pPr>
        <w:pStyle w:val="ListParagraph"/>
        <w:ind w:left="1800"/>
        <w:rPr>
          <w:rFonts w:ascii="Aptos" w:hAnsi="Aptos" w:cs="Times New Roman"/>
          <w:color w:val="1F4E79" w:themeColor="accent5" w:themeShade="80"/>
          <w:sz w:val="24"/>
          <w:szCs w:val="24"/>
        </w:rPr>
      </w:pPr>
    </w:p>
    <w:p w14:paraId="543AEDA0" w14:textId="53C55C94" w:rsidR="00F36D5D" w:rsidRPr="00E940CF" w:rsidRDefault="00F36D5D" w:rsidP="00F36D5D">
      <w:pPr>
        <w:pStyle w:val="ListParagraph"/>
        <w:numPr>
          <w:ilvl w:val="0"/>
          <w:numId w:val="5"/>
        </w:numP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Figures 1a and 1b – converted into Tables above – reflect cancer case volumes based on </w:t>
      </w:r>
      <w:r w:rsidR="00BA418C" w:rsidRPr="00E940CF">
        <w:rPr>
          <w:rFonts w:ascii="Aptos" w:hAnsi="Aptos" w:cs="Times New Roman"/>
          <w:color w:val="1F4E79" w:themeColor="accent5" w:themeShade="80"/>
          <w:sz w:val="24"/>
          <w:szCs w:val="24"/>
        </w:rPr>
        <w:t>the Applicant</w:t>
      </w:r>
      <w:r w:rsidRPr="00E940CF">
        <w:rPr>
          <w:rFonts w:ascii="Aptos" w:hAnsi="Aptos" w:cs="Times New Roman"/>
          <w:color w:val="1F4E79" w:themeColor="accent5" w:themeShade="80"/>
          <w:sz w:val="24"/>
          <w:szCs w:val="24"/>
        </w:rPr>
        <w:t xml:space="preserve">’s cancer registry data. </w:t>
      </w:r>
    </w:p>
    <w:p w14:paraId="5A2B057A" w14:textId="77777777" w:rsidR="00F36D5D" w:rsidRPr="00E940CF" w:rsidRDefault="00F36D5D" w:rsidP="00F36D5D">
      <w:pPr>
        <w:pStyle w:val="ListParagraph"/>
        <w:numPr>
          <w:ilvl w:val="1"/>
          <w:numId w:val="5"/>
        </w:numP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This registry data includes patients who were either diagnosed with cancer at Southcoast Health or received their first course of treatment for cancer at Southcoast.</w:t>
      </w:r>
    </w:p>
    <w:p w14:paraId="07404967" w14:textId="72484925" w:rsidR="0024772F" w:rsidRPr="00E940CF" w:rsidRDefault="00F36D5D" w:rsidP="00F36D5D">
      <w:pPr>
        <w:pStyle w:val="ListParagraph"/>
        <w:numPr>
          <w:ilvl w:val="1"/>
          <w:numId w:val="5"/>
        </w:numPr>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lastRenderedPageBreak/>
        <w:t>This data does not include hematology patients without cancer.</w:t>
      </w:r>
    </w:p>
    <w:p w14:paraId="62138D75" w14:textId="77777777" w:rsidR="00F36D5D" w:rsidRPr="00E940CF" w:rsidRDefault="00F36D5D" w:rsidP="00F36D5D">
      <w:pPr>
        <w:rPr>
          <w:rFonts w:ascii="Aptos" w:hAnsi="Aptos" w:cs="Times New Roman"/>
          <w:color w:val="1F4E79" w:themeColor="accent5" w:themeShade="80"/>
          <w:sz w:val="24"/>
          <w:szCs w:val="24"/>
        </w:rPr>
      </w:pPr>
    </w:p>
    <w:p w14:paraId="1005C1D9" w14:textId="77777777" w:rsidR="00F36D5D" w:rsidRPr="00E940CF" w:rsidRDefault="00F36D5D">
      <w:pPr>
        <w:rPr>
          <w:rFonts w:ascii="Aptos" w:hAnsi="Aptos" w:cstheme="minorHAnsi"/>
          <w:b/>
          <w:bCs/>
          <w:sz w:val="24"/>
          <w:szCs w:val="24"/>
        </w:rPr>
      </w:pPr>
      <w:r w:rsidRPr="00E940CF">
        <w:rPr>
          <w:rFonts w:ascii="Aptos" w:hAnsi="Aptos" w:cstheme="minorHAnsi"/>
          <w:b/>
          <w:bCs/>
          <w:sz w:val="24"/>
          <w:szCs w:val="24"/>
        </w:rPr>
        <w:br w:type="page"/>
      </w:r>
    </w:p>
    <w:p w14:paraId="58EE1D7A" w14:textId="66F64018" w:rsidR="00F36D5D" w:rsidRPr="00E940CF" w:rsidRDefault="00F36D5D" w:rsidP="0045675A">
      <w:pPr>
        <w:pStyle w:val="Heading2"/>
        <w:rPr>
          <w:rFonts w:ascii="Aptos" w:hAnsi="Aptos"/>
          <w:sz w:val="24"/>
          <w:szCs w:val="24"/>
        </w:rPr>
      </w:pPr>
      <w:r w:rsidRPr="00E940CF">
        <w:rPr>
          <w:rFonts w:ascii="Aptos" w:hAnsi="Aptos"/>
          <w:sz w:val="24"/>
          <w:szCs w:val="24"/>
        </w:rPr>
        <w:lastRenderedPageBreak/>
        <w:t xml:space="preserve">In Figure 2a- is labeled </w:t>
      </w:r>
      <w:r w:rsidRPr="00E940CF">
        <w:rPr>
          <w:rFonts w:ascii="Aptos" w:hAnsi="Aptos"/>
          <w:i/>
          <w:iCs/>
          <w:sz w:val="24"/>
          <w:szCs w:val="24"/>
        </w:rPr>
        <w:t>Radiation Oncology Treatment Volume</w:t>
      </w:r>
      <w:r w:rsidRPr="00E940CF">
        <w:rPr>
          <w:rFonts w:ascii="Aptos" w:hAnsi="Aptos"/>
          <w:sz w:val="24"/>
          <w:szCs w:val="24"/>
        </w:rPr>
        <w:t xml:space="preserve">, is that the same as </w:t>
      </w:r>
      <w:r w:rsidRPr="00E940CF">
        <w:rPr>
          <w:rFonts w:ascii="Aptos" w:hAnsi="Aptos"/>
          <w:i/>
          <w:iCs/>
          <w:sz w:val="24"/>
          <w:szCs w:val="24"/>
        </w:rPr>
        <w:t>LINAC treatment volume</w:t>
      </w:r>
      <w:r w:rsidRPr="00E940CF">
        <w:rPr>
          <w:rFonts w:ascii="Aptos" w:hAnsi="Aptos"/>
          <w:sz w:val="24"/>
          <w:szCs w:val="24"/>
        </w:rPr>
        <w:t xml:space="preserve">, or are there other treatments in this category, and if </w:t>
      </w:r>
      <w:proofErr w:type="gramStart"/>
      <w:r w:rsidRPr="00E940CF">
        <w:rPr>
          <w:rFonts w:ascii="Aptos" w:hAnsi="Aptos"/>
          <w:sz w:val="24"/>
          <w:szCs w:val="24"/>
        </w:rPr>
        <w:t>so</w:t>
      </w:r>
      <w:proofErr w:type="gramEnd"/>
      <w:r w:rsidRPr="00E940CF">
        <w:rPr>
          <w:rFonts w:ascii="Aptos" w:hAnsi="Aptos"/>
          <w:sz w:val="24"/>
          <w:szCs w:val="24"/>
        </w:rPr>
        <w:t xml:space="preserve"> what other radiation oncology treatments are in this category? Are SBRT and </w:t>
      </w:r>
      <w:proofErr w:type="gramStart"/>
      <w:r w:rsidRPr="00E940CF">
        <w:rPr>
          <w:rFonts w:ascii="Aptos" w:hAnsi="Aptos"/>
          <w:sz w:val="24"/>
          <w:szCs w:val="24"/>
        </w:rPr>
        <w:t>SRS,</w:t>
      </w:r>
      <w:proofErr w:type="gramEnd"/>
      <w:r w:rsidRPr="00E940CF">
        <w:rPr>
          <w:rFonts w:ascii="Aptos" w:hAnsi="Aptos"/>
          <w:sz w:val="24"/>
          <w:szCs w:val="24"/>
        </w:rPr>
        <w:t xml:space="preserve"> included in the totals of either?</w:t>
      </w:r>
    </w:p>
    <w:p w14:paraId="5F184DE1" w14:textId="557D8EA7" w:rsidR="00F36D5D" w:rsidRPr="00E940CF" w:rsidRDefault="00F36D5D" w:rsidP="00F36D5D">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The updated Figure 2a Table includes Southcoast Heath Radiation Oncology Treatment Volumes month-by-month and annually for FY23-FY25, calculated based on treatment charge data from </w:t>
      </w:r>
      <w:r w:rsidR="00BA418C" w:rsidRPr="00E940CF">
        <w:rPr>
          <w:rFonts w:ascii="Aptos" w:hAnsi="Aptos" w:cs="Times New Roman"/>
          <w:color w:val="1F4E79" w:themeColor="accent5" w:themeShade="80"/>
          <w:sz w:val="24"/>
          <w:szCs w:val="24"/>
        </w:rPr>
        <w:t>the Applicant</w:t>
      </w:r>
      <w:r w:rsidRPr="00E940CF">
        <w:rPr>
          <w:rFonts w:ascii="Aptos" w:hAnsi="Aptos" w:cs="Times New Roman"/>
          <w:color w:val="1F4E79" w:themeColor="accent5" w:themeShade="80"/>
          <w:sz w:val="24"/>
          <w:szCs w:val="24"/>
        </w:rPr>
        <w:t xml:space="preserve">’s radiation oncology patient panel data.  </w:t>
      </w:r>
    </w:p>
    <w:p w14:paraId="41EDAED5" w14:textId="0040794D" w:rsidR="00F36D5D" w:rsidRPr="00E940CF" w:rsidRDefault="00F36D5D" w:rsidP="00F36D5D">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For the Fairhaven Cancer Center location, the site-specific data is the same as the LINAC treatment </w:t>
      </w:r>
      <w:proofErr w:type="gramStart"/>
      <w:r w:rsidRPr="00E940CF">
        <w:rPr>
          <w:rFonts w:ascii="Aptos" w:hAnsi="Aptos" w:cs="Times New Roman"/>
          <w:color w:val="1F4E79" w:themeColor="accent5" w:themeShade="80"/>
          <w:sz w:val="24"/>
          <w:szCs w:val="24"/>
        </w:rPr>
        <w:t>volumes</w:t>
      </w:r>
      <w:proofErr w:type="gramEnd"/>
      <w:r w:rsidRPr="00E940CF">
        <w:rPr>
          <w:rFonts w:ascii="Aptos" w:hAnsi="Aptos" w:cs="Times New Roman"/>
          <w:color w:val="1F4E79" w:themeColor="accent5" w:themeShade="80"/>
          <w:sz w:val="24"/>
          <w:szCs w:val="24"/>
        </w:rPr>
        <w:t xml:space="preserve"> and it does include SBRT and SRS.  For combined data with Fall River or for Fall River data alone, the data also includes patients who receive brachytherapy treatments in Fall River that are not on the LINAC.  Brachytherapy volumes reflect </w:t>
      </w:r>
      <w:r w:rsidR="00E07269" w:rsidRPr="00E940CF">
        <w:rPr>
          <w:rFonts w:ascii="Aptos" w:hAnsi="Aptos" w:cs="Times New Roman"/>
          <w:color w:val="1F4E79" w:themeColor="accent5" w:themeShade="80"/>
          <w:sz w:val="24"/>
          <w:szCs w:val="24"/>
        </w:rPr>
        <w:t>approximately</w:t>
      </w:r>
      <w:r w:rsidRPr="00E940CF">
        <w:rPr>
          <w:rFonts w:ascii="Aptos" w:hAnsi="Aptos" w:cs="Times New Roman"/>
          <w:color w:val="1F4E79" w:themeColor="accent5" w:themeShade="80"/>
          <w:sz w:val="24"/>
          <w:szCs w:val="24"/>
        </w:rPr>
        <w:t xml:space="preserve"> 2</w:t>
      </w:r>
      <w:r w:rsidR="00112758">
        <w:rPr>
          <w:rFonts w:ascii="Aptos" w:hAnsi="Aptos" w:cs="Times New Roman"/>
          <w:color w:val="1F4E79" w:themeColor="accent5" w:themeShade="80"/>
          <w:sz w:val="24"/>
          <w:szCs w:val="24"/>
        </w:rPr>
        <w:t xml:space="preserve"> </w:t>
      </w:r>
      <w:r w:rsidR="00112758">
        <w:rPr>
          <w:rFonts w:ascii="Aptos" w:eastAsia="Times New Roman" w:hAnsi="Aptos" w:cs="Times New Roman"/>
          <w:color w:val="1F4E79" w:themeColor="accent5" w:themeShade="80"/>
          <w:sz w:val="24"/>
          <w:szCs w:val="24"/>
        </w:rPr>
        <w:t>percent</w:t>
      </w:r>
      <w:r w:rsidRPr="00E940CF">
        <w:rPr>
          <w:rFonts w:ascii="Aptos" w:hAnsi="Aptos" w:cs="Times New Roman"/>
          <w:color w:val="1F4E79" w:themeColor="accent5" w:themeShade="80"/>
          <w:sz w:val="24"/>
          <w:szCs w:val="24"/>
        </w:rPr>
        <w:t xml:space="preserve"> of the Fall River treatment volume.</w:t>
      </w:r>
    </w:p>
    <w:p w14:paraId="3F72AF4F" w14:textId="77777777" w:rsidR="00F36D5D" w:rsidRPr="00E940CF" w:rsidRDefault="00F36D5D" w:rsidP="00F36D5D">
      <w:pPr>
        <w:ind w:left="360"/>
        <w:rPr>
          <w:rFonts w:ascii="Aptos" w:hAnsi="Aptos" w:cs="Times New Roman"/>
          <w:color w:val="1F4E79" w:themeColor="accent5" w:themeShade="80"/>
          <w:sz w:val="24"/>
          <w:szCs w:val="24"/>
        </w:rPr>
      </w:pPr>
    </w:p>
    <w:p w14:paraId="207B3CFA" w14:textId="77777777" w:rsidR="00F36D5D" w:rsidRPr="00E940CF" w:rsidRDefault="00F36D5D">
      <w:pPr>
        <w:rPr>
          <w:rFonts w:ascii="Aptos" w:hAnsi="Aptos" w:cstheme="minorHAnsi"/>
          <w:b/>
          <w:bCs/>
          <w:sz w:val="24"/>
          <w:szCs w:val="24"/>
        </w:rPr>
      </w:pPr>
      <w:r w:rsidRPr="00E940CF">
        <w:rPr>
          <w:rFonts w:ascii="Aptos" w:hAnsi="Aptos" w:cstheme="minorHAnsi"/>
          <w:b/>
          <w:bCs/>
          <w:sz w:val="24"/>
          <w:szCs w:val="24"/>
        </w:rPr>
        <w:br w:type="page"/>
      </w:r>
    </w:p>
    <w:p w14:paraId="138B055E" w14:textId="32DF0DAD" w:rsidR="00F36D5D" w:rsidRPr="00E940CF" w:rsidRDefault="00F36D5D" w:rsidP="0045675A">
      <w:pPr>
        <w:pStyle w:val="Heading2"/>
        <w:rPr>
          <w:rFonts w:ascii="Aptos" w:hAnsi="Aptos"/>
          <w:sz w:val="24"/>
          <w:szCs w:val="24"/>
        </w:rPr>
      </w:pPr>
      <w:r w:rsidRPr="00E940CF">
        <w:rPr>
          <w:rFonts w:ascii="Aptos" w:hAnsi="Aptos"/>
          <w:sz w:val="24"/>
          <w:szCs w:val="24"/>
        </w:rPr>
        <w:lastRenderedPageBreak/>
        <w:t xml:space="preserve">Is there a difference in the terms of visits and treatments? If </w:t>
      </w:r>
      <w:proofErr w:type="gramStart"/>
      <w:r w:rsidRPr="00E940CF">
        <w:rPr>
          <w:rFonts w:ascii="Aptos" w:hAnsi="Aptos"/>
          <w:sz w:val="24"/>
          <w:szCs w:val="24"/>
        </w:rPr>
        <w:t>so</w:t>
      </w:r>
      <w:proofErr w:type="gramEnd"/>
      <w:r w:rsidRPr="00E940CF">
        <w:rPr>
          <w:rFonts w:ascii="Aptos" w:hAnsi="Aptos"/>
          <w:sz w:val="24"/>
          <w:szCs w:val="24"/>
        </w:rPr>
        <w:t xml:space="preserve"> please define.</w:t>
      </w:r>
    </w:p>
    <w:p w14:paraId="29F0BCE2" w14:textId="374FAED4" w:rsidR="00F36D5D" w:rsidRPr="00E940CF" w:rsidRDefault="00F36D5D" w:rsidP="00BA418C">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Yes, because for </w:t>
      </w:r>
      <w:r w:rsidR="00BA418C" w:rsidRPr="00E940CF">
        <w:rPr>
          <w:rFonts w:ascii="Aptos" w:hAnsi="Aptos" w:cs="Times New Roman"/>
          <w:color w:val="1F4E79" w:themeColor="accent5" w:themeShade="80"/>
          <w:sz w:val="24"/>
          <w:szCs w:val="24"/>
        </w:rPr>
        <w:t>the Applicant,</w:t>
      </w:r>
      <w:r w:rsidRPr="00E940CF">
        <w:rPr>
          <w:rFonts w:ascii="Aptos" w:hAnsi="Aptos" w:cs="Times New Roman"/>
          <w:color w:val="1F4E79" w:themeColor="accent5" w:themeShade="80"/>
          <w:sz w:val="24"/>
          <w:szCs w:val="24"/>
        </w:rPr>
        <w:t xml:space="preserve"> tracking new patient </w:t>
      </w:r>
      <w:r w:rsidR="00BA418C" w:rsidRPr="00E940CF">
        <w:rPr>
          <w:rFonts w:ascii="Aptos" w:hAnsi="Aptos" w:cs="Times New Roman"/>
          <w:color w:val="1F4E79" w:themeColor="accent5" w:themeShade="80"/>
          <w:sz w:val="24"/>
          <w:szCs w:val="24"/>
        </w:rPr>
        <w:t>“</w:t>
      </w:r>
      <w:r w:rsidRPr="00E940CF">
        <w:rPr>
          <w:rFonts w:ascii="Aptos" w:hAnsi="Aptos" w:cs="Times New Roman"/>
          <w:color w:val="1F4E79" w:themeColor="accent5" w:themeShade="80"/>
          <w:sz w:val="24"/>
          <w:szCs w:val="24"/>
        </w:rPr>
        <w:t>visits</w:t>
      </w:r>
      <w:r w:rsidR="00BA418C" w:rsidRPr="00E940CF">
        <w:rPr>
          <w:rFonts w:ascii="Aptos" w:hAnsi="Aptos" w:cs="Times New Roman"/>
          <w:color w:val="1F4E79" w:themeColor="accent5" w:themeShade="80"/>
          <w:sz w:val="24"/>
          <w:szCs w:val="24"/>
        </w:rPr>
        <w:t>”</w:t>
      </w:r>
      <w:r w:rsidRPr="00E940CF">
        <w:rPr>
          <w:rFonts w:ascii="Aptos" w:hAnsi="Aptos" w:cs="Times New Roman"/>
          <w:color w:val="1F4E79" w:themeColor="accent5" w:themeShade="80"/>
          <w:sz w:val="24"/>
          <w:szCs w:val="24"/>
        </w:rPr>
        <w:t xml:space="preserve"> is a way of tracking the volume of new patients in </w:t>
      </w:r>
      <w:r w:rsidR="00BA418C" w:rsidRPr="00E940CF">
        <w:rPr>
          <w:rFonts w:ascii="Aptos" w:hAnsi="Aptos" w:cs="Times New Roman"/>
          <w:color w:val="1F4E79" w:themeColor="accent5" w:themeShade="80"/>
          <w:sz w:val="24"/>
          <w:szCs w:val="24"/>
        </w:rPr>
        <w:t>the Applicant</w:t>
      </w:r>
      <w:r w:rsidRPr="00E940CF">
        <w:rPr>
          <w:rFonts w:ascii="Aptos" w:hAnsi="Aptos" w:cs="Times New Roman"/>
          <w:color w:val="1F4E79" w:themeColor="accent5" w:themeShade="80"/>
          <w:sz w:val="24"/>
          <w:szCs w:val="24"/>
        </w:rPr>
        <w:t>’s radiation oncology department.  These are patients who complete a “new patient consult” appointment which is an appointment type only used once for a patient receiving a course of radiation therapy.  The data accordingly is a</w:t>
      </w:r>
      <w:r w:rsidR="00BA418C" w:rsidRPr="00E940CF">
        <w:rPr>
          <w:rFonts w:ascii="Aptos" w:hAnsi="Aptos" w:cs="Times New Roman"/>
          <w:color w:val="1F4E79" w:themeColor="accent5" w:themeShade="80"/>
          <w:sz w:val="24"/>
          <w:szCs w:val="24"/>
        </w:rPr>
        <w:t xml:space="preserve"> proxy for</w:t>
      </w:r>
      <w:r w:rsidRPr="00E940CF">
        <w:rPr>
          <w:rFonts w:ascii="Aptos" w:hAnsi="Aptos" w:cs="Times New Roman"/>
          <w:color w:val="1F4E79" w:themeColor="accent5" w:themeShade="80"/>
          <w:sz w:val="24"/>
          <w:szCs w:val="24"/>
        </w:rPr>
        <w:t xml:space="preserve"> a </w:t>
      </w:r>
      <w:r w:rsidR="00BA418C" w:rsidRPr="00E940CF">
        <w:rPr>
          <w:rFonts w:ascii="Aptos" w:hAnsi="Aptos" w:cs="Times New Roman"/>
          <w:color w:val="1F4E79" w:themeColor="accent5" w:themeShade="80"/>
          <w:sz w:val="24"/>
          <w:szCs w:val="24"/>
        </w:rPr>
        <w:t xml:space="preserve">new </w:t>
      </w:r>
      <w:r w:rsidRPr="00E940CF">
        <w:rPr>
          <w:rFonts w:ascii="Aptos" w:hAnsi="Aptos" w:cs="Times New Roman"/>
          <w:color w:val="1F4E79" w:themeColor="accent5" w:themeShade="80"/>
          <w:sz w:val="24"/>
          <w:szCs w:val="24"/>
        </w:rPr>
        <w:t xml:space="preserve">patient count.  </w:t>
      </w:r>
      <w:r w:rsidR="00BA418C" w:rsidRPr="00E940CF">
        <w:rPr>
          <w:rFonts w:ascii="Aptos" w:hAnsi="Aptos" w:cs="Times New Roman"/>
          <w:color w:val="1F4E79" w:themeColor="accent5" w:themeShade="80"/>
          <w:sz w:val="24"/>
          <w:szCs w:val="24"/>
        </w:rPr>
        <w:t>“</w:t>
      </w:r>
      <w:r w:rsidRPr="00E940CF">
        <w:rPr>
          <w:rFonts w:ascii="Aptos" w:hAnsi="Aptos" w:cs="Times New Roman"/>
          <w:color w:val="1F4E79" w:themeColor="accent5" w:themeShade="80"/>
          <w:sz w:val="24"/>
          <w:szCs w:val="24"/>
        </w:rPr>
        <w:t>Treatments</w:t>
      </w:r>
      <w:r w:rsidR="00BA418C" w:rsidRPr="00E940CF">
        <w:rPr>
          <w:rFonts w:ascii="Aptos" w:hAnsi="Aptos" w:cs="Times New Roman"/>
          <w:color w:val="1F4E79" w:themeColor="accent5" w:themeShade="80"/>
          <w:sz w:val="24"/>
          <w:szCs w:val="24"/>
        </w:rPr>
        <w:t>”</w:t>
      </w:r>
      <w:r w:rsidRPr="00E940CF">
        <w:rPr>
          <w:rFonts w:ascii="Aptos" w:hAnsi="Aptos" w:cs="Times New Roman"/>
          <w:color w:val="1F4E79" w:themeColor="accent5" w:themeShade="80"/>
          <w:sz w:val="24"/>
          <w:szCs w:val="24"/>
        </w:rPr>
        <w:t xml:space="preserve"> are radiation therapy treatments and patients typically have 5-35 treatments for a course of therapy, based upon their clinician’s prescribed course of treatment.  For example, if a patient is undergoing treatment for lung cancer, and the patient’s prescribed course is for 10 radiation treatments on the LINAC, the patient would have one new patient visit and then 10 radiation treatments in the data.</w:t>
      </w:r>
    </w:p>
    <w:p w14:paraId="6B3590B2" w14:textId="77777777" w:rsidR="002715A5" w:rsidRPr="00E940CF" w:rsidRDefault="002715A5" w:rsidP="00F36D5D">
      <w:pPr>
        <w:ind w:left="360"/>
        <w:rPr>
          <w:rFonts w:ascii="Aptos" w:hAnsi="Aptos" w:cs="Times New Roman"/>
          <w:color w:val="1F4E79" w:themeColor="accent5" w:themeShade="80"/>
          <w:sz w:val="24"/>
          <w:szCs w:val="24"/>
        </w:rPr>
      </w:pPr>
    </w:p>
    <w:p w14:paraId="7881C05B" w14:textId="77777777" w:rsidR="00CF2970" w:rsidRPr="00E940CF" w:rsidRDefault="00CF2970">
      <w:pPr>
        <w:rPr>
          <w:rFonts w:ascii="Aptos" w:hAnsi="Aptos" w:cstheme="minorHAnsi"/>
          <w:b/>
          <w:bCs/>
          <w:sz w:val="24"/>
          <w:szCs w:val="24"/>
        </w:rPr>
      </w:pPr>
      <w:r w:rsidRPr="00E940CF">
        <w:rPr>
          <w:rFonts w:ascii="Aptos" w:hAnsi="Aptos" w:cstheme="minorHAnsi"/>
          <w:b/>
          <w:bCs/>
          <w:sz w:val="24"/>
          <w:szCs w:val="24"/>
        </w:rPr>
        <w:br w:type="page"/>
      </w:r>
    </w:p>
    <w:p w14:paraId="1C01A2A2" w14:textId="449A8F8C" w:rsidR="002715A5" w:rsidRPr="00E940CF" w:rsidRDefault="002715A5" w:rsidP="0045675A">
      <w:pPr>
        <w:pStyle w:val="Heading2"/>
        <w:rPr>
          <w:rFonts w:ascii="Aptos" w:hAnsi="Aptos"/>
          <w:sz w:val="24"/>
          <w:szCs w:val="24"/>
        </w:rPr>
      </w:pPr>
      <w:r w:rsidRPr="00E940CF">
        <w:rPr>
          <w:rFonts w:ascii="Aptos" w:hAnsi="Aptos"/>
          <w:sz w:val="24"/>
          <w:szCs w:val="24"/>
        </w:rPr>
        <w:lastRenderedPageBreak/>
        <w:t xml:space="preserve">In all cases how does Patient </w:t>
      </w:r>
      <w:proofErr w:type="gramStart"/>
      <w:r w:rsidRPr="00E940CF">
        <w:rPr>
          <w:rFonts w:ascii="Aptos" w:hAnsi="Aptos"/>
          <w:sz w:val="24"/>
          <w:szCs w:val="24"/>
        </w:rPr>
        <w:t>volume  translate</w:t>
      </w:r>
      <w:proofErr w:type="gramEnd"/>
      <w:r w:rsidRPr="00E940CF">
        <w:rPr>
          <w:rFonts w:ascii="Aptos" w:hAnsi="Aptos"/>
          <w:sz w:val="24"/>
          <w:szCs w:val="24"/>
        </w:rPr>
        <w:t xml:space="preserve"> to numbers of treatments and then to unit capacity? What is the capacity of a unit? How many treatments can be performed in a day, month year?</w:t>
      </w:r>
    </w:p>
    <w:p w14:paraId="083FBE94" w14:textId="16CB3A25" w:rsidR="002715A5" w:rsidRPr="00E940CF" w:rsidRDefault="002715A5" w:rsidP="002715A5">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Patient volume translates into treatment numbers based on disease site, staging, and what kind of radiation therapy prescription (the total dose and over how many fractions it should be spread) is best for that patient.  </w:t>
      </w:r>
      <w:r w:rsidR="007E7E4E" w:rsidRPr="00E940CF">
        <w:rPr>
          <w:rFonts w:ascii="Aptos" w:hAnsi="Aptos" w:cs="Times New Roman"/>
          <w:color w:val="1F4E79" w:themeColor="accent5" w:themeShade="80"/>
          <w:sz w:val="24"/>
          <w:szCs w:val="24"/>
        </w:rPr>
        <w:t>The Applicant</w:t>
      </w:r>
      <w:r w:rsidRPr="00E940CF">
        <w:rPr>
          <w:rFonts w:ascii="Aptos" w:hAnsi="Aptos" w:cs="Times New Roman"/>
          <w:color w:val="1F4E79" w:themeColor="accent5" w:themeShade="80"/>
          <w:sz w:val="24"/>
          <w:szCs w:val="24"/>
        </w:rPr>
        <w:t xml:space="preserve"> uses the shortest</w:t>
      </w:r>
      <w:r w:rsidR="007E7E4E" w:rsidRPr="00E940CF">
        <w:rPr>
          <w:rFonts w:ascii="Aptos" w:hAnsi="Aptos" w:cs="Times New Roman"/>
          <w:color w:val="1F4E79" w:themeColor="accent5" w:themeShade="80"/>
          <w:sz w:val="24"/>
          <w:szCs w:val="24"/>
        </w:rPr>
        <w:t>,</w:t>
      </w:r>
      <w:r w:rsidRPr="00E940CF">
        <w:rPr>
          <w:rFonts w:ascii="Aptos" w:hAnsi="Aptos" w:cs="Times New Roman"/>
          <w:color w:val="1F4E79" w:themeColor="accent5" w:themeShade="80"/>
          <w:sz w:val="24"/>
          <w:szCs w:val="24"/>
        </w:rPr>
        <w:t xml:space="preserve"> most efficient courses of treatment that are supported by published data and supported protocols implemented by its clinicians.  Accordingly, the answer as to how patient volumes translate to unit capacity is not straightforward, and </w:t>
      </w:r>
      <w:r w:rsidR="007E7E4E" w:rsidRPr="00E940CF">
        <w:rPr>
          <w:rFonts w:ascii="Aptos" w:hAnsi="Aptos" w:cs="Times New Roman"/>
          <w:color w:val="1F4E79" w:themeColor="accent5" w:themeShade="80"/>
          <w:sz w:val="24"/>
          <w:szCs w:val="24"/>
        </w:rPr>
        <w:t xml:space="preserve">it </w:t>
      </w:r>
      <w:r w:rsidRPr="00E940CF">
        <w:rPr>
          <w:rFonts w:ascii="Aptos" w:hAnsi="Aptos" w:cs="Times New Roman"/>
          <w:color w:val="1F4E79" w:themeColor="accent5" w:themeShade="80"/>
          <w:sz w:val="24"/>
          <w:szCs w:val="24"/>
        </w:rPr>
        <w:t xml:space="preserve">depends upon </w:t>
      </w:r>
      <w:proofErr w:type="gramStart"/>
      <w:r w:rsidRPr="00E940CF">
        <w:rPr>
          <w:rFonts w:ascii="Aptos" w:hAnsi="Aptos" w:cs="Times New Roman"/>
          <w:color w:val="1F4E79" w:themeColor="accent5" w:themeShade="80"/>
          <w:sz w:val="24"/>
          <w:szCs w:val="24"/>
        </w:rPr>
        <w:t>a number of</w:t>
      </w:r>
      <w:proofErr w:type="gramEnd"/>
      <w:r w:rsidRPr="00E940CF">
        <w:rPr>
          <w:rFonts w:ascii="Aptos" w:hAnsi="Aptos" w:cs="Times New Roman"/>
          <w:color w:val="1F4E79" w:themeColor="accent5" w:themeShade="80"/>
          <w:sz w:val="24"/>
          <w:szCs w:val="24"/>
        </w:rPr>
        <w:t xml:space="preserve"> factors.  For example, many of </w:t>
      </w:r>
      <w:r w:rsidR="007E7E4E" w:rsidRPr="00E940CF">
        <w:rPr>
          <w:rFonts w:ascii="Aptos" w:hAnsi="Aptos" w:cs="Times New Roman"/>
          <w:color w:val="1F4E79" w:themeColor="accent5" w:themeShade="80"/>
          <w:sz w:val="24"/>
          <w:szCs w:val="24"/>
        </w:rPr>
        <w:t>the Applicant</w:t>
      </w:r>
      <w:r w:rsidRPr="00E940CF">
        <w:rPr>
          <w:rFonts w:ascii="Aptos" w:hAnsi="Aptos" w:cs="Times New Roman"/>
          <w:color w:val="1F4E79" w:themeColor="accent5" w:themeShade="80"/>
          <w:sz w:val="24"/>
          <w:szCs w:val="24"/>
        </w:rPr>
        <w:t>’s breast cancer patients have a total of 21 treatments in their course of therapy, but there are a minority for whom different protocols with greater or fewer numbers of treatments make sense for different reasons, and which are determined by each patient’s physician and multidisciplinary care team.  There is variability among other disease sites as well</w:t>
      </w:r>
      <w:r w:rsidR="007E7E4E" w:rsidRPr="00E940CF">
        <w:rPr>
          <w:rFonts w:ascii="Aptos" w:hAnsi="Aptos" w:cs="Times New Roman"/>
          <w:color w:val="1F4E79" w:themeColor="accent5" w:themeShade="80"/>
          <w:sz w:val="24"/>
          <w:szCs w:val="24"/>
        </w:rPr>
        <w:t>,</w:t>
      </w:r>
      <w:r w:rsidRPr="00E940CF">
        <w:rPr>
          <w:rFonts w:ascii="Aptos" w:hAnsi="Aptos" w:cs="Times New Roman"/>
          <w:color w:val="1F4E79" w:themeColor="accent5" w:themeShade="80"/>
          <w:sz w:val="24"/>
          <w:szCs w:val="24"/>
        </w:rPr>
        <w:t xml:space="preserve"> depending on whether lymph nodes are involved, if the </w:t>
      </w:r>
      <w:r w:rsidR="007E7E4E" w:rsidRPr="00E940CF">
        <w:rPr>
          <w:rFonts w:ascii="Aptos" w:hAnsi="Aptos" w:cs="Times New Roman"/>
          <w:color w:val="1F4E79" w:themeColor="accent5" w:themeShade="80"/>
          <w:sz w:val="24"/>
          <w:szCs w:val="24"/>
        </w:rPr>
        <w:t xml:space="preserve">course of treatment </w:t>
      </w:r>
      <w:r w:rsidRPr="00E940CF">
        <w:rPr>
          <w:rFonts w:ascii="Aptos" w:hAnsi="Aptos" w:cs="Times New Roman"/>
          <w:color w:val="1F4E79" w:themeColor="accent5" w:themeShade="80"/>
          <w:sz w:val="24"/>
          <w:szCs w:val="24"/>
        </w:rPr>
        <w:t>is curative or palliative, what technique is best for that patient’s treatment delivery, etc.  In short, it is a complicated answer that requires a case-by-case analysis of the appropriate course for each individual patient.</w:t>
      </w:r>
    </w:p>
    <w:p w14:paraId="71294ACA" w14:textId="41DD09A4" w:rsidR="002715A5" w:rsidRPr="00E940CF" w:rsidRDefault="002715A5" w:rsidP="002715A5">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The capacity of a LINAC unit depends on what kinds of patients are being treated on the unit.  Sicker patients or those with certain comorbidities (inpatients, patients with mobility issues, etc.) take a lot longer to get on and off the table, which extends individual treatment times and reduces the number of possible treatments on a unit for that day.  Additionally, radiosurgeries take many times longer than conventional treatments</w:t>
      </w:r>
      <w:r w:rsidR="0082161B" w:rsidRPr="00E940CF">
        <w:rPr>
          <w:rFonts w:ascii="Aptos" w:hAnsi="Aptos" w:cs="Times New Roman"/>
          <w:color w:val="1F4E79" w:themeColor="accent5" w:themeShade="80"/>
          <w:sz w:val="24"/>
          <w:szCs w:val="24"/>
        </w:rPr>
        <w:t xml:space="preserve"> to complete</w:t>
      </w:r>
      <w:r w:rsidRPr="00E940CF">
        <w:rPr>
          <w:rFonts w:ascii="Aptos" w:hAnsi="Aptos" w:cs="Times New Roman"/>
          <w:color w:val="1F4E79" w:themeColor="accent5" w:themeShade="80"/>
          <w:sz w:val="24"/>
          <w:szCs w:val="24"/>
        </w:rPr>
        <w:t xml:space="preserve">.  As a result, if </w:t>
      </w:r>
      <w:r w:rsidR="007E7E4E" w:rsidRPr="00E940CF">
        <w:rPr>
          <w:rFonts w:ascii="Aptos" w:hAnsi="Aptos" w:cs="Times New Roman"/>
          <w:color w:val="1F4E79" w:themeColor="accent5" w:themeShade="80"/>
          <w:sz w:val="24"/>
          <w:szCs w:val="24"/>
        </w:rPr>
        <w:t>the Applicant</w:t>
      </w:r>
      <w:r w:rsidRPr="00E940CF">
        <w:rPr>
          <w:rFonts w:ascii="Aptos" w:hAnsi="Aptos" w:cs="Times New Roman"/>
          <w:color w:val="1F4E79" w:themeColor="accent5" w:themeShade="80"/>
          <w:sz w:val="24"/>
          <w:szCs w:val="24"/>
        </w:rPr>
        <w:t xml:space="preserve"> were treating just prostate patients, the answer would be a lot different than if </w:t>
      </w:r>
      <w:r w:rsidR="007E7E4E" w:rsidRPr="00E940CF">
        <w:rPr>
          <w:rFonts w:ascii="Aptos" w:hAnsi="Aptos" w:cs="Times New Roman"/>
          <w:color w:val="1F4E79" w:themeColor="accent5" w:themeShade="80"/>
          <w:sz w:val="24"/>
          <w:szCs w:val="24"/>
        </w:rPr>
        <w:t>the Applicant</w:t>
      </w:r>
      <w:r w:rsidRPr="00E940CF">
        <w:rPr>
          <w:rFonts w:ascii="Aptos" w:hAnsi="Aptos" w:cs="Times New Roman"/>
          <w:color w:val="1F4E79" w:themeColor="accent5" w:themeShade="80"/>
          <w:sz w:val="24"/>
          <w:szCs w:val="24"/>
        </w:rPr>
        <w:t xml:space="preserve"> were treating a mix or patients with more advanced disease.  </w:t>
      </w:r>
      <w:r w:rsidR="007E7E4E" w:rsidRPr="00E940CF">
        <w:rPr>
          <w:rFonts w:ascii="Aptos" w:hAnsi="Aptos" w:cs="Times New Roman"/>
          <w:color w:val="1F4E79" w:themeColor="accent5" w:themeShade="80"/>
          <w:sz w:val="24"/>
          <w:szCs w:val="24"/>
        </w:rPr>
        <w:t xml:space="preserve">The Applicant </w:t>
      </w:r>
      <w:r w:rsidRPr="00E940CF">
        <w:rPr>
          <w:rFonts w:ascii="Aptos" w:hAnsi="Aptos" w:cs="Times New Roman"/>
          <w:color w:val="1F4E79" w:themeColor="accent5" w:themeShade="80"/>
          <w:sz w:val="24"/>
          <w:szCs w:val="24"/>
        </w:rPr>
        <w:t xml:space="preserve">also does a lot of work to consider social determinants of health and the health disparities within </w:t>
      </w:r>
      <w:r w:rsidR="007E7E4E" w:rsidRPr="00E940CF">
        <w:rPr>
          <w:rFonts w:ascii="Aptos" w:hAnsi="Aptos" w:cs="Times New Roman"/>
          <w:color w:val="1F4E79" w:themeColor="accent5" w:themeShade="80"/>
          <w:sz w:val="24"/>
          <w:szCs w:val="24"/>
        </w:rPr>
        <w:t xml:space="preserve">its </w:t>
      </w:r>
      <w:r w:rsidRPr="00E940CF">
        <w:rPr>
          <w:rFonts w:ascii="Aptos" w:hAnsi="Aptos" w:cs="Times New Roman"/>
          <w:color w:val="1F4E79" w:themeColor="accent5" w:themeShade="80"/>
          <w:sz w:val="24"/>
          <w:szCs w:val="24"/>
        </w:rPr>
        <w:t xml:space="preserve">patient panel, and </w:t>
      </w:r>
      <w:r w:rsidR="007E7E4E" w:rsidRPr="00E940CF">
        <w:rPr>
          <w:rFonts w:ascii="Aptos" w:hAnsi="Aptos" w:cs="Times New Roman"/>
          <w:color w:val="1F4E79" w:themeColor="accent5" w:themeShade="80"/>
          <w:sz w:val="24"/>
          <w:szCs w:val="24"/>
        </w:rPr>
        <w:t>the Applicant</w:t>
      </w:r>
      <w:r w:rsidRPr="00E940CF">
        <w:rPr>
          <w:rFonts w:ascii="Aptos" w:hAnsi="Aptos" w:cs="Times New Roman"/>
          <w:color w:val="1F4E79" w:themeColor="accent5" w:themeShade="80"/>
          <w:sz w:val="24"/>
          <w:szCs w:val="24"/>
        </w:rPr>
        <w:t xml:space="preserve">’s patient panel faces </w:t>
      </w:r>
      <w:proofErr w:type="gramStart"/>
      <w:r w:rsidRPr="00E940CF">
        <w:rPr>
          <w:rFonts w:ascii="Aptos" w:hAnsi="Aptos" w:cs="Times New Roman"/>
          <w:color w:val="1F4E79" w:themeColor="accent5" w:themeShade="80"/>
          <w:sz w:val="24"/>
          <w:szCs w:val="24"/>
        </w:rPr>
        <w:t>a number of</w:t>
      </w:r>
      <w:proofErr w:type="gramEnd"/>
      <w:r w:rsidRPr="00E940CF">
        <w:rPr>
          <w:rFonts w:ascii="Aptos" w:hAnsi="Aptos" w:cs="Times New Roman"/>
          <w:color w:val="1F4E79" w:themeColor="accent5" w:themeShade="80"/>
          <w:sz w:val="24"/>
          <w:szCs w:val="24"/>
        </w:rPr>
        <w:t xml:space="preserve"> unique social determinants of health and barriers to care as described in its </w:t>
      </w:r>
      <w:proofErr w:type="gramStart"/>
      <w:r w:rsidRPr="00E940CF">
        <w:rPr>
          <w:rFonts w:ascii="Aptos" w:hAnsi="Aptos" w:cs="Times New Roman"/>
          <w:color w:val="1F4E79" w:themeColor="accent5" w:themeShade="80"/>
          <w:sz w:val="24"/>
          <w:szCs w:val="24"/>
        </w:rPr>
        <w:t>Application</w:t>
      </w:r>
      <w:proofErr w:type="gramEnd"/>
      <w:r w:rsidRPr="00E940CF">
        <w:rPr>
          <w:rFonts w:ascii="Aptos" w:hAnsi="Aptos" w:cs="Times New Roman"/>
          <w:color w:val="1F4E79" w:themeColor="accent5" w:themeShade="80"/>
          <w:sz w:val="24"/>
          <w:szCs w:val="24"/>
        </w:rPr>
        <w:t xml:space="preserve">.  </w:t>
      </w:r>
      <w:r w:rsidR="007E7E4E" w:rsidRPr="00E940CF">
        <w:rPr>
          <w:rFonts w:ascii="Aptos" w:hAnsi="Aptos" w:cs="Times New Roman"/>
          <w:color w:val="1F4E79" w:themeColor="accent5" w:themeShade="80"/>
          <w:sz w:val="24"/>
          <w:szCs w:val="24"/>
        </w:rPr>
        <w:t>The Applicant</w:t>
      </w:r>
      <w:r w:rsidRPr="00E940CF">
        <w:rPr>
          <w:rFonts w:ascii="Aptos" w:hAnsi="Aptos" w:cs="Times New Roman"/>
          <w:color w:val="1F4E79" w:themeColor="accent5" w:themeShade="80"/>
          <w:sz w:val="24"/>
          <w:szCs w:val="24"/>
        </w:rPr>
        <w:t>’s patient panel treated at the Cancer Center are often needier and more time consuming as a result.  With that, in the Fairhaven Cancer Center</w:t>
      </w:r>
      <w:r w:rsidR="007E7E4E" w:rsidRPr="00E940CF">
        <w:rPr>
          <w:rFonts w:ascii="Aptos" w:hAnsi="Aptos" w:cs="Times New Roman"/>
          <w:color w:val="1F4E79" w:themeColor="accent5" w:themeShade="80"/>
          <w:sz w:val="24"/>
          <w:szCs w:val="24"/>
        </w:rPr>
        <w:t xml:space="preserve">, the Applicant </w:t>
      </w:r>
      <w:r w:rsidRPr="00E940CF">
        <w:rPr>
          <w:rFonts w:ascii="Aptos" w:hAnsi="Aptos" w:cs="Times New Roman"/>
          <w:color w:val="1F4E79" w:themeColor="accent5" w:themeShade="80"/>
          <w:sz w:val="24"/>
          <w:szCs w:val="24"/>
        </w:rPr>
        <w:t>estimates that a reasonable capacity for a single LINAC would be to provide approximately 30 patient treatments per day with a full day (up to 7,500 treatments per year, assuming 5 treatment days per week over 50 weeks of the year</w:t>
      </w:r>
      <w:r w:rsidR="00320534" w:rsidRPr="00E940CF">
        <w:rPr>
          <w:rFonts w:ascii="Aptos" w:hAnsi="Aptos" w:cs="Times New Roman"/>
          <w:color w:val="1F4E79" w:themeColor="accent5" w:themeShade="80"/>
          <w:sz w:val="24"/>
          <w:szCs w:val="24"/>
        </w:rPr>
        <w:t>; with a more conservative estimate at 600 patients per month (30 per day) for 7,200-7,500 per month as a reasonable estimate</w:t>
      </w:r>
      <w:r w:rsidRPr="00E940CF">
        <w:rPr>
          <w:rFonts w:ascii="Aptos" w:hAnsi="Aptos" w:cs="Times New Roman"/>
          <w:color w:val="1F4E79" w:themeColor="accent5" w:themeShade="80"/>
          <w:sz w:val="24"/>
          <w:szCs w:val="24"/>
        </w:rPr>
        <w:t xml:space="preserve">).  Currently, </w:t>
      </w:r>
      <w:r w:rsidR="007E7E4E" w:rsidRPr="00E940CF">
        <w:rPr>
          <w:rFonts w:ascii="Aptos" w:hAnsi="Aptos" w:cs="Times New Roman"/>
          <w:color w:val="1F4E79" w:themeColor="accent5" w:themeShade="80"/>
          <w:sz w:val="24"/>
          <w:szCs w:val="24"/>
        </w:rPr>
        <w:t>the Applicant</w:t>
      </w:r>
      <w:r w:rsidRPr="00E940CF">
        <w:rPr>
          <w:rFonts w:ascii="Aptos" w:hAnsi="Aptos" w:cs="Times New Roman"/>
          <w:color w:val="1F4E79" w:themeColor="accent5" w:themeShade="80"/>
          <w:sz w:val="24"/>
          <w:szCs w:val="24"/>
        </w:rPr>
        <w:t xml:space="preserve">’s daily volume fluctuates from 25-45 treatments per day depending on what the patient load looks like at any given time, and 35 patient treatments a day is </w:t>
      </w:r>
      <w:proofErr w:type="gramStart"/>
      <w:r w:rsidRPr="00E940CF">
        <w:rPr>
          <w:rFonts w:ascii="Aptos" w:hAnsi="Aptos" w:cs="Times New Roman"/>
          <w:color w:val="1F4E79" w:themeColor="accent5" w:themeShade="80"/>
          <w:sz w:val="24"/>
          <w:szCs w:val="24"/>
        </w:rPr>
        <w:t>pretty typical</w:t>
      </w:r>
      <w:proofErr w:type="gramEnd"/>
      <w:r w:rsidRPr="00E940CF">
        <w:rPr>
          <w:rFonts w:ascii="Aptos" w:hAnsi="Aptos" w:cs="Times New Roman"/>
          <w:color w:val="1F4E79" w:themeColor="accent5" w:themeShade="80"/>
          <w:sz w:val="24"/>
          <w:szCs w:val="24"/>
        </w:rPr>
        <w:t xml:space="preserve"> (indicating that the single unit in Fairhaven is already over capacity).  Of note, the Table provided in Response to Question 3 above</w:t>
      </w:r>
      <w:r w:rsidR="00320534" w:rsidRPr="00E940CF">
        <w:rPr>
          <w:rFonts w:ascii="Aptos" w:hAnsi="Aptos" w:cs="Times New Roman"/>
          <w:color w:val="1F4E79" w:themeColor="accent5" w:themeShade="80"/>
          <w:sz w:val="24"/>
          <w:szCs w:val="24"/>
        </w:rPr>
        <w:t xml:space="preserve"> </w:t>
      </w:r>
      <w:r w:rsidRPr="00E940CF">
        <w:rPr>
          <w:rFonts w:ascii="Aptos" w:hAnsi="Aptos" w:cs="Times New Roman"/>
          <w:color w:val="1F4E79" w:themeColor="accent5" w:themeShade="80"/>
          <w:sz w:val="24"/>
          <w:szCs w:val="24"/>
        </w:rPr>
        <w:t xml:space="preserve">shows LINAC treatment </w:t>
      </w:r>
      <w:r w:rsidRPr="00E940CF">
        <w:rPr>
          <w:rFonts w:ascii="Aptos" w:hAnsi="Aptos" w:cs="Times New Roman"/>
          <w:color w:val="1F4E79" w:themeColor="accent5" w:themeShade="80"/>
          <w:sz w:val="24"/>
          <w:szCs w:val="24"/>
        </w:rPr>
        <w:lastRenderedPageBreak/>
        <w:t>volume in Fairhaven of 8,242 in FY25, with that number projected to increase to 8,800 by FY30.</w:t>
      </w:r>
      <w:r w:rsidR="00320534" w:rsidRPr="00E940CF">
        <w:rPr>
          <w:rFonts w:ascii="Aptos" w:hAnsi="Aptos" w:cs="Times New Roman"/>
          <w:color w:val="1F4E79" w:themeColor="accent5" w:themeShade="80"/>
          <w:sz w:val="24"/>
          <w:szCs w:val="24"/>
        </w:rPr>
        <w:t xml:space="preserve">  Both exceed current </w:t>
      </w:r>
      <w:r w:rsidR="00CF2970" w:rsidRPr="00E940CF">
        <w:rPr>
          <w:rFonts w:ascii="Aptos" w:hAnsi="Aptos" w:cs="Times New Roman"/>
          <w:color w:val="1F4E79" w:themeColor="accent5" w:themeShade="80"/>
          <w:sz w:val="24"/>
          <w:szCs w:val="24"/>
        </w:rPr>
        <w:t xml:space="preserve">reasonable </w:t>
      </w:r>
      <w:r w:rsidR="00320534" w:rsidRPr="00E940CF">
        <w:rPr>
          <w:rFonts w:ascii="Aptos" w:hAnsi="Aptos" w:cs="Times New Roman"/>
          <w:color w:val="1F4E79" w:themeColor="accent5" w:themeShade="80"/>
          <w:sz w:val="24"/>
          <w:szCs w:val="24"/>
        </w:rPr>
        <w:t>capacity for a single unit (</w:t>
      </w:r>
      <w:r w:rsidR="00CF2970" w:rsidRPr="00E940CF">
        <w:rPr>
          <w:rFonts w:ascii="Aptos" w:hAnsi="Aptos" w:cs="Times New Roman"/>
          <w:color w:val="1F4E79" w:themeColor="accent5" w:themeShade="80"/>
          <w:sz w:val="24"/>
          <w:szCs w:val="24"/>
        </w:rPr>
        <w:t>and note further that this reasonable capacity assumes</w:t>
      </w:r>
      <w:r w:rsidR="00320534" w:rsidRPr="00E940CF">
        <w:rPr>
          <w:rFonts w:ascii="Aptos" w:hAnsi="Aptos" w:cs="Times New Roman"/>
          <w:color w:val="1F4E79" w:themeColor="accent5" w:themeShade="80"/>
          <w:sz w:val="24"/>
          <w:szCs w:val="24"/>
        </w:rPr>
        <w:t xml:space="preserve"> that unit is up and running 100</w:t>
      </w:r>
      <w:r w:rsidR="00112758">
        <w:rPr>
          <w:rFonts w:ascii="Aptos" w:hAnsi="Aptos" w:cs="Times New Roman"/>
          <w:color w:val="1F4E79" w:themeColor="accent5" w:themeShade="80"/>
          <w:sz w:val="24"/>
          <w:szCs w:val="24"/>
        </w:rPr>
        <w:t xml:space="preserve"> </w:t>
      </w:r>
      <w:r w:rsidR="00112758">
        <w:rPr>
          <w:rFonts w:ascii="Aptos" w:eastAsia="Times New Roman" w:hAnsi="Aptos" w:cs="Times New Roman"/>
          <w:color w:val="1F4E79" w:themeColor="accent5" w:themeShade="80"/>
          <w:sz w:val="24"/>
          <w:szCs w:val="24"/>
        </w:rPr>
        <w:t>percent</w:t>
      </w:r>
      <w:r w:rsidR="00320534" w:rsidRPr="00E940CF">
        <w:rPr>
          <w:rFonts w:ascii="Aptos" w:hAnsi="Aptos" w:cs="Times New Roman"/>
          <w:color w:val="1F4E79" w:themeColor="accent5" w:themeShade="80"/>
          <w:sz w:val="24"/>
          <w:szCs w:val="24"/>
        </w:rPr>
        <w:t xml:space="preserve"> of the time, which </w:t>
      </w:r>
      <w:r w:rsidR="00CF2970" w:rsidRPr="00E940CF">
        <w:rPr>
          <w:rFonts w:ascii="Aptos" w:hAnsi="Aptos" w:cs="Times New Roman"/>
          <w:color w:val="1F4E79" w:themeColor="accent5" w:themeShade="80"/>
          <w:sz w:val="24"/>
          <w:szCs w:val="24"/>
        </w:rPr>
        <w:t>in practice is not always the case</w:t>
      </w:r>
      <w:r w:rsidR="00320534" w:rsidRPr="00E940CF">
        <w:rPr>
          <w:rFonts w:ascii="Aptos" w:hAnsi="Aptos" w:cs="Times New Roman"/>
          <w:color w:val="1F4E79" w:themeColor="accent5" w:themeShade="80"/>
          <w:sz w:val="24"/>
          <w:szCs w:val="24"/>
        </w:rPr>
        <w:t>).</w:t>
      </w:r>
      <w:r w:rsidRPr="00E940CF">
        <w:rPr>
          <w:rFonts w:ascii="Aptos" w:hAnsi="Aptos" w:cs="Times New Roman"/>
          <w:color w:val="1F4E79" w:themeColor="accent5" w:themeShade="80"/>
          <w:sz w:val="24"/>
          <w:szCs w:val="24"/>
        </w:rPr>
        <w:t xml:space="preserve">  The monthly volume data </w:t>
      </w:r>
      <w:r w:rsidR="00CF2970" w:rsidRPr="00E940CF">
        <w:rPr>
          <w:rFonts w:ascii="Aptos" w:hAnsi="Aptos" w:cs="Times New Roman"/>
          <w:color w:val="1F4E79" w:themeColor="accent5" w:themeShade="80"/>
          <w:sz w:val="24"/>
          <w:szCs w:val="24"/>
        </w:rPr>
        <w:t>show</w:t>
      </w:r>
      <w:r w:rsidRPr="00E940CF">
        <w:rPr>
          <w:rFonts w:ascii="Aptos" w:hAnsi="Aptos" w:cs="Times New Roman"/>
          <w:color w:val="1F4E79" w:themeColor="accent5" w:themeShade="80"/>
          <w:sz w:val="24"/>
          <w:szCs w:val="24"/>
        </w:rPr>
        <w:t xml:space="preserve"> many months during which capacity exceeds the reasonable capacity for a single LINAC, necessitating an extension of treatment hours, which could be alleviated by a second machine on-site.</w:t>
      </w:r>
      <w:r w:rsidR="00320534" w:rsidRPr="00E940CF">
        <w:rPr>
          <w:rFonts w:ascii="Aptos" w:hAnsi="Aptos" w:cs="Times New Roman"/>
          <w:color w:val="1F4E79" w:themeColor="accent5" w:themeShade="80"/>
          <w:sz w:val="24"/>
          <w:szCs w:val="24"/>
        </w:rPr>
        <w:t xml:space="preserve">  Viewed over the course of a year, or </w:t>
      </w:r>
      <w:proofErr w:type="gramStart"/>
      <w:r w:rsidR="00320534" w:rsidRPr="00E940CF">
        <w:rPr>
          <w:rFonts w:ascii="Aptos" w:hAnsi="Aptos" w:cs="Times New Roman"/>
          <w:color w:val="1F4E79" w:themeColor="accent5" w:themeShade="80"/>
          <w:sz w:val="24"/>
          <w:szCs w:val="24"/>
        </w:rPr>
        <w:t>on a monthly basis</w:t>
      </w:r>
      <w:proofErr w:type="gramEnd"/>
      <w:r w:rsidR="00320534" w:rsidRPr="00E940CF">
        <w:rPr>
          <w:rFonts w:ascii="Aptos" w:hAnsi="Aptos" w:cs="Times New Roman"/>
          <w:color w:val="1F4E79" w:themeColor="accent5" w:themeShade="80"/>
          <w:sz w:val="24"/>
          <w:szCs w:val="24"/>
        </w:rPr>
        <w:t>, there is significant demand for additional LINAC capacity at the Applicant’s Fairhaven Cancer Center location.</w:t>
      </w:r>
    </w:p>
    <w:p w14:paraId="004AA9B2" w14:textId="4DB0529F" w:rsidR="002715A5" w:rsidRPr="00E940CF" w:rsidRDefault="002715A5" w:rsidP="002715A5">
      <w:pPr>
        <w:ind w:left="360"/>
        <w:rPr>
          <w:rFonts w:ascii="Aptos" w:hAnsi="Aptos" w:cs="Times New Roman"/>
          <w:color w:val="1F4E79" w:themeColor="accent5" w:themeShade="80"/>
          <w:sz w:val="24"/>
          <w:szCs w:val="24"/>
        </w:rPr>
      </w:pPr>
      <w:r w:rsidRPr="00E940CF">
        <w:rPr>
          <w:rFonts w:ascii="Aptos" w:hAnsi="Aptos" w:cs="Times New Roman"/>
          <w:color w:val="1F4E79" w:themeColor="accent5" w:themeShade="80"/>
          <w:sz w:val="24"/>
          <w:szCs w:val="24"/>
        </w:rPr>
        <w:t xml:space="preserve">Additionally, it is important to note that </w:t>
      </w:r>
      <w:r w:rsidR="007E7E4E" w:rsidRPr="00E940CF">
        <w:rPr>
          <w:rFonts w:ascii="Aptos" w:hAnsi="Aptos" w:cs="Times New Roman"/>
          <w:color w:val="1F4E79" w:themeColor="accent5" w:themeShade="80"/>
          <w:sz w:val="24"/>
          <w:szCs w:val="24"/>
        </w:rPr>
        <w:t>the Applicant</w:t>
      </w:r>
      <w:r w:rsidRPr="00E940CF">
        <w:rPr>
          <w:rFonts w:ascii="Aptos" w:hAnsi="Aptos" w:cs="Times New Roman"/>
          <w:color w:val="1F4E79" w:themeColor="accent5" w:themeShade="80"/>
          <w:sz w:val="24"/>
          <w:szCs w:val="24"/>
        </w:rPr>
        <w:t xml:space="preserve">’s Cancer Center is accredited by the American College of Radiology (ACR) for radiation oncology.  ACR’s accreditation report includes an assessment of Southcoast Health’s radiation oncology volumes.  ACR data indicates that other ACR accredited facilities have 248 new patients per linear accelerator, and </w:t>
      </w:r>
      <w:r w:rsidR="007E7E4E" w:rsidRPr="00E940CF">
        <w:rPr>
          <w:rFonts w:ascii="Aptos" w:hAnsi="Aptos" w:cs="Times New Roman"/>
          <w:color w:val="1F4E79" w:themeColor="accent5" w:themeShade="80"/>
          <w:sz w:val="24"/>
          <w:szCs w:val="24"/>
        </w:rPr>
        <w:t>the Applicant</w:t>
      </w:r>
      <w:r w:rsidRPr="00E940CF">
        <w:rPr>
          <w:rFonts w:ascii="Aptos" w:hAnsi="Aptos" w:cs="Times New Roman"/>
          <w:color w:val="1F4E79" w:themeColor="accent5" w:themeShade="80"/>
          <w:sz w:val="24"/>
          <w:szCs w:val="24"/>
        </w:rPr>
        <w:t xml:space="preserve"> was in the range of 360-380 patients per linear accelerator.  </w:t>
      </w:r>
      <w:r w:rsidR="007E7E4E" w:rsidRPr="00E940CF">
        <w:rPr>
          <w:rFonts w:ascii="Aptos" w:hAnsi="Aptos" w:cs="Times New Roman"/>
          <w:color w:val="1F4E79" w:themeColor="accent5" w:themeShade="80"/>
          <w:sz w:val="24"/>
          <w:szCs w:val="24"/>
        </w:rPr>
        <w:t>The Applicant</w:t>
      </w:r>
      <w:r w:rsidRPr="00E940CF">
        <w:rPr>
          <w:rFonts w:ascii="Aptos" w:hAnsi="Aptos" w:cs="Times New Roman"/>
          <w:color w:val="1F4E79" w:themeColor="accent5" w:themeShade="80"/>
          <w:sz w:val="24"/>
          <w:szCs w:val="24"/>
        </w:rPr>
        <w:t xml:space="preserve"> is now closer to 500 new patients per treatment </w:t>
      </w:r>
      <w:proofErr w:type="gramStart"/>
      <w:r w:rsidRPr="00E940CF">
        <w:rPr>
          <w:rFonts w:ascii="Aptos" w:hAnsi="Aptos" w:cs="Times New Roman"/>
          <w:color w:val="1F4E79" w:themeColor="accent5" w:themeShade="80"/>
          <w:sz w:val="24"/>
          <w:szCs w:val="24"/>
        </w:rPr>
        <w:t>unit</w:t>
      </w:r>
      <w:proofErr w:type="gramEnd"/>
      <w:r w:rsidRPr="00E940CF">
        <w:rPr>
          <w:rFonts w:ascii="Aptos" w:hAnsi="Aptos" w:cs="Times New Roman"/>
          <w:color w:val="1F4E79" w:themeColor="accent5" w:themeShade="80"/>
          <w:sz w:val="24"/>
          <w:szCs w:val="24"/>
        </w:rPr>
        <w:t xml:space="preserve"> which is nearly double what other ACR facilities report for their LINAC units.  This data provides further support for the need for a second LINAC on-site in Fairhaven.</w:t>
      </w:r>
    </w:p>
    <w:p w14:paraId="1A359A92" w14:textId="77777777" w:rsidR="00F36D5D" w:rsidRPr="00E940CF" w:rsidRDefault="00F36D5D">
      <w:pPr>
        <w:rPr>
          <w:rFonts w:ascii="Aptos" w:hAnsi="Aptos" w:cs="Times New Roman"/>
          <w:b/>
          <w:bCs/>
          <w:color w:val="1F4E79" w:themeColor="accent5" w:themeShade="80"/>
          <w:sz w:val="24"/>
          <w:szCs w:val="24"/>
          <w:u w:val="single"/>
        </w:rPr>
      </w:pPr>
      <w:r w:rsidRPr="00E940CF">
        <w:rPr>
          <w:rFonts w:ascii="Aptos" w:hAnsi="Aptos" w:cs="Times New Roman"/>
          <w:b/>
          <w:bCs/>
          <w:color w:val="1F4E79" w:themeColor="accent5" w:themeShade="80"/>
          <w:sz w:val="24"/>
          <w:szCs w:val="24"/>
          <w:u w:val="single"/>
        </w:rPr>
        <w:br w:type="page"/>
      </w:r>
    </w:p>
    <w:p w14:paraId="759515EB" w14:textId="1612F243" w:rsidR="001E01F9" w:rsidRPr="00E940CF" w:rsidRDefault="00CD08CD" w:rsidP="00D40004">
      <w:pPr>
        <w:jc w:val="center"/>
        <w:rPr>
          <w:rFonts w:ascii="Aptos" w:hAnsi="Aptos" w:cs="Times New Roman"/>
          <w:b/>
          <w:bCs/>
          <w:color w:val="1F4E79" w:themeColor="accent5" w:themeShade="80"/>
          <w:sz w:val="24"/>
          <w:szCs w:val="24"/>
          <w:u w:val="single"/>
        </w:rPr>
      </w:pPr>
      <w:r w:rsidRPr="00E940CF">
        <w:rPr>
          <w:rFonts w:ascii="Aptos" w:hAnsi="Aptos" w:cs="Times New Roman"/>
          <w:b/>
          <w:bCs/>
          <w:color w:val="1F4E79" w:themeColor="accent5" w:themeShade="80"/>
          <w:sz w:val="24"/>
          <w:szCs w:val="24"/>
          <w:u w:val="single"/>
        </w:rPr>
        <w:lastRenderedPageBreak/>
        <w:t xml:space="preserve">Exhibit </w:t>
      </w:r>
      <w:r w:rsidR="00EC7614" w:rsidRPr="00E940CF">
        <w:rPr>
          <w:rFonts w:ascii="Aptos" w:hAnsi="Aptos" w:cs="Times New Roman"/>
          <w:b/>
          <w:bCs/>
          <w:color w:val="1F4E79" w:themeColor="accent5" w:themeShade="80"/>
          <w:sz w:val="24"/>
          <w:szCs w:val="24"/>
          <w:u w:val="single"/>
        </w:rPr>
        <w:t>5-</w:t>
      </w:r>
      <w:r w:rsidR="001E01F9" w:rsidRPr="00E940CF">
        <w:rPr>
          <w:rFonts w:ascii="Aptos" w:hAnsi="Aptos" w:cs="Times New Roman"/>
          <w:b/>
          <w:bCs/>
          <w:color w:val="1F4E79" w:themeColor="accent5" w:themeShade="80"/>
          <w:sz w:val="24"/>
          <w:szCs w:val="24"/>
          <w:u w:val="single"/>
        </w:rPr>
        <w:t>A</w:t>
      </w:r>
    </w:p>
    <w:p w14:paraId="295D06F2" w14:textId="005E817F" w:rsidR="001E01F9" w:rsidRPr="00E940CF" w:rsidRDefault="001E01F9" w:rsidP="00D17207">
      <w:pPr>
        <w:rPr>
          <w:rFonts w:ascii="Aptos" w:hAnsi="Aptos"/>
          <w:b/>
          <w:bCs/>
          <w:sz w:val="24"/>
          <w:szCs w:val="24"/>
        </w:rPr>
      </w:pPr>
    </w:p>
    <w:tbl>
      <w:tblPr>
        <w:tblStyle w:val="TableGrid"/>
        <w:tblW w:w="0" w:type="auto"/>
        <w:tblLook w:val="04A0" w:firstRow="1" w:lastRow="0" w:firstColumn="1" w:lastColumn="0" w:noHBand="0" w:noVBand="1"/>
      </w:tblPr>
      <w:tblGrid>
        <w:gridCol w:w="1106"/>
        <w:gridCol w:w="4196"/>
        <w:gridCol w:w="2125"/>
        <w:gridCol w:w="1421"/>
        <w:gridCol w:w="797"/>
        <w:gridCol w:w="983"/>
        <w:gridCol w:w="1248"/>
        <w:gridCol w:w="1074"/>
      </w:tblGrid>
      <w:tr w:rsidR="00137FC9" w:rsidRPr="00E940CF" w14:paraId="4D9FB4D8" w14:textId="2DE6D85B" w:rsidTr="00997AE6">
        <w:tc>
          <w:tcPr>
            <w:tcW w:w="1106" w:type="dxa"/>
            <w:tcBorders>
              <w:bottom w:val="single" w:sz="12" w:space="0" w:color="auto"/>
            </w:tcBorders>
            <w:shd w:val="clear" w:color="auto" w:fill="DEEAF6" w:themeFill="accent5" w:themeFillTint="33"/>
          </w:tcPr>
          <w:p w14:paraId="472CC2E8" w14:textId="684F2A42" w:rsidR="00137FC9" w:rsidRPr="00E940CF" w:rsidRDefault="00137FC9" w:rsidP="00D17207">
            <w:pPr>
              <w:rPr>
                <w:rFonts w:ascii="Aptos" w:hAnsi="Aptos" w:cs="Times New Roman"/>
                <w:b/>
                <w:bCs/>
                <w:sz w:val="24"/>
                <w:szCs w:val="24"/>
                <w:u w:val="single"/>
              </w:rPr>
            </w:pPr>
            <w:r w:rsidRPr="00E940CF">
              <w:rPr>
                <w:rFonts w:ascii="Aptos" w:hAnsi="Aptos" w:cs="Times New Roman"/>
                <w:b/>
                <w:bCs/>
                <w:sz w:val="24"/>
                <w:szCs w:val="24"/>
                <w:u w:val="single"/>
              </w:rPr>
              <w:t>License Number</w:t>
            </w:r>
          </w:p>
        </w:tc>
        <w:tc>
          <w:tcPr>
            <w:tcW w:w="4196" w:type="dxa"/>
            <w:tcBorders>
              <w:bottom w:val="single" w:sz="12" w:space="0" w:color="auto"/>
            </w:tcBorders>
            <w:shd w:val="clear" w:color="auto" w:fill="DEEAF6" w:themeFill="accent5" w:themeFillTint="33"/>
          </w:tcPr>
          <w:p w14:paraId="1B3E095D" w14:textId="6841A568" w:rsidR="00137FC9" w:rsidRPr="00E940CF" w:rsidRDefault="00137FC9" w:rsidP="00D17207">
            <w:pPr>
              <w:rPr>
                <w:rFonts w:ascii="Aptos" w:hAnsi="Aptos" w:cs="Times New Roman"/>
                <w:b/>
                <w:bCs/>
                <w:sz w:val="24"/>
                <w:szCs w:val="24"/>
                <w:u w:val="single"/>
              </w:rPr>
            </w:pPr>
            <w:r w:rsidRPr="00E940CF">
              <w:rPr>
                <w:rFonts w:ascii="Aptos" w:hAnsi="Aptos" w:cs="Times New Roman"/>
                <w:b/>
                <w:bCs/>
                <w:sz w:val="24"/>
                <w:szCs w:val="24"/>
                <w:u w:val="single"/>
              </w:rPr>
              <w:t>Organization Name</w:t>
            </w:r>
          </w:p>
        </w:tc>
        <w:tc>
          <w:tcPr>
            <w:tcW w:w="2125" w:type="dxa"/>
            <w:tcBorders>
              <w:bottom w:val="single" w:sz="12" w:space="0" w:color="auto"/>
            </w:tcBorders>
            <w:shd w:val="clear" w:color="auto" w:fill="DEEAF6" w:themeFill="accent5" w:themeFillTint="33"/>
          </w:tcPr>
          <w:p w14:paraId="35F9E869" w14:textId="6E565A15" w:rsidR="00137FC9" w:rsidRPr="00E940CF" w:rsidRDefault="00137FC9" w:rsidP="00D17207">
            <w:pPr>
              <w:rPr>
                <w:rFonts w:ascii="Aptos" w:hAnsi="Aptos" w:cs="Times New Roman"/>
                <w:b/>
                <w:bCs/>
                <w:sz w:val="24"/>
                <w:szCs w:val="24"/>
                <w:u w:val="single"/>
              </w:rPr>
            </w:pPr>
            <w:r w:rsidRPr="00E940CF">
              <w:rPr>
                <w:rFonts w:ascii="Aptos" w:hAnsi="Aptos" w:cs="Times New Roman"/>
                <w:b/>
                <w:bCs/>
                <w:sz w:val="24"/>
                <w:szCs w:val="24"/>
                <w:u w:val="single"/>
              </w:rPr>
              <w:t>Address</w:t>
            </w:r>
          </w:p>
        </w:tc>
        <w:tc>
          <w:tcPr>
            <w:tcW w:w="1421" w:type="dxa"/>
            <w:tcBorders>
              <w:bottom w:val="single" w:sz="12" w:space="0" w:color="auto"/>
            </w:tcBorders>
            <w:shd w:val="clear" w:color="auto" w:fill="DEEAF6" w:themeFill="accent5" w:themeFillTint="33"/>
          </w:tcPr>
          <w:p w14:paraId="4F55E3C1" w14:textId="21A0D6DF" w:rsidR="00137FC9" w:rsidRPr="00E940CF" w:rsidRDefault="00137FC9" w:rsidP="00D17207">
            <w:pPr>
              <w:rPr>
                <w:rFonts w:ascii="Aptos" w:hAnsi="Aptos" w:cs="Times New Roman"/>
                <w:b/>
                <w:bCs/>
                <w:sz w:val="24"/>
                <w:szCs w:val="24"/>
                <w:u w:val="single"/>
              </w:rPr>
            </w:pPr>
            <w:r w:rsidRPr="00E940CF">
              <w:rPr>
                <w:rFonts w:ascii="Aptos" w:hAnsi="Aptos" w:cs="Times New Roman"/>
                <w:b/>
                <w:bCs/>
                <w:sz w:val="24"/>
                <w:szCs w:val="24"/>
                <w:u w:val="single"/>
              </w:rPr>
              <w:t>City</w:t>
            </w:r>
          </w:p>
        </w:tc>
        <w:tc>
          <w:tcPr>
            <w:tcW w:w="797" w:type="dxa"/>
            <w:tcBorders>
              <w:bottom w:val="single" w:sz="12" w:space="0" w:color="auto"/>
            </w:tcBorders>
            <w:shd w:val="clear" w:color="auto" w:fill="DEEAF6" w:themeFill="accent5" w:themeFillTint="33"/>
          </w:tcPr>
          <w:p w14:paraId="2D0F3443" w14:textId="57B1DB77" w:rsidR="00137FC9" w:rsidRPr="00E940CF" w:rsidRDefault="00137FC9" w:rsidP="00D17207">
            <w:pPr>
              <w:rPr>
                <w:rFonts w:ascii="Aptos" w:hAnsi="Aptos" w:cs="Times New Roman"/>
                <w:b/>
                <w:bCs/>
                <w:sz w:val="24"/>
                <w:szCs w:val="24"/>
                <w:u w:val="single"/>
              </w:rPr>
            </w:pPr>
            <w:r w:rsidRPr="00E940CF">
              <w:rPr>
                <w:rFonts w:ascii="Aptos" w:hAnsi="Aptos" w:cs="Times New Roman"/>
                <w:b/>
                <w:bCs/>
                <w:sz w:val="24"/>
                <w:szCs w:val="24"/>
                <w:u w:val="single"/>
              </w:rPr>
              <w:t>State</w:t>
            </w:r>
          </w:p>
        </w:tc>
        <w:tc>
          <w:tcPr>
            <w:tcW w:w="983" w:type="dxa"/>
            <w:tcBorders>
              <w:bottom w:val="single" w:sz="12" w:space="0" w:color="auto"/>
            </w:tcBorders>
            <w:shd w:val="clear" w:color="auto" w:fill="DEEAF6" w:themeFill="accent5" w:themeFillTint="33"/>
          </w:tcPr>
          <w:p w14:paraId="3B54BD51" w14:textId="1A2023A3" w:rsidR="00137FC9" w:rsidRPr="00E940CF" w:rsidRDefault="00137FC9" w:rsidP="00D17207">
            <w:pPr>
              <w:rPr>
                <w:rFonts w:ascii="Aptos" w:hAnsi="Aptos" w:cs="Times New Roman"/>
                <w:b/>
                <w:bCs/>
                <w:sz w:val="24"/>
                <w:szCs w:val="24"/>
                <w:u w:val="single"/>
              </w:rPr>
            </w:pPr>
            <w:r w:rsidRPr="00E940CF">
              <w:rPr>
                <w:rFonts w:ascii="Aptos" w:hAnsi="Aptos" w:cs="Times New Roman"/>
                <w:b/>
                <w:bCs/>
                <w:sz w:val="24"/>
                <w:szCs w:val="24"/>
                <w:u w:val="single"/>
              </w:rPr>
              <w:t>Zip Code</w:t>
            </w:r>
          </w:p>
        </w:tc>
        <w:tc>
          <w:tcPr>
            <w:tcW w:w="1248" w:type="dxa"/>
            <w:tcBorders>
              <w:bottom w:val="single" w:sz="12" w:space="0" w:color="auto"/>
            </w:tcBorders>
            <w:shd w:val="clear" w:color="auto" w:fill="DEEAF6" w:themeFill="accent5" w:themeFillTint="33"/>
          </w:tcPr>
          <w:p w14:paraId="3CEF9123" w14:textId="23600297" w:rsidR="00137FC9" w:rsidRPr="00E940CF" w:rsidRDefault="00137FC9" w:rsidP="00D17207">
            <w:pPr>
              <w:rPr>
                <w:rFonts w:ascii="Aptos" w:hAnsi="Aptos" w:cs="Times New Roman"/>
                <w:b/>
                <w:bCs/>
                <w:sz w:val="24"/>
                <w:szCs w:val="24"/>
                <w:u w:val="single"/>
              </w:rPr>
            </w:pPr>
            <w:r w:rsidRPr="00E940CF">
              <w:rPr>
                <w:rFonts w:ascii="Aptos" w:hAnsi="Aptos" w:cs="Times New Roman"/>
                <w:b/>
                <w:bCs/>
                <w:sz w:val="24"/>
                <w:szCs w:val="24"/>
                <w:u w:val="single"/>
              </w:rPr>
              <w:t>Drive Time from 206 Mill R</w:t>
            </w:r>
            <w:r w:rsidR="00CD08CD">
              <w:rPr>
                <w:rFonts w:ascii="Aptos" w:hAnsi="Aptos" w:cs="Times New Roman"/>
                <w:b/>
                <w:bCs/>
                <w:sz w:val="24"/>
                <w:szCs w:val="24"/>
                <w:u w:val="single"/>
              </w:rPr>
              <w:t>oa</w:t>
            </w:r>
            <w:r w:rsidRPr="00E940CF">
              <w:rPr>
                <w:rFonts w:ascii="Aptos" w:hAnsi="Aptos" w:cs="Times New Roman"/>
                <w:b/>
                <w:bCs/>
                <w:sz w:val="24"/>
                <w:szCs w:val="24"/>
                <w:u w:val="single"/>
              </w:rPr>
              <w:t>d</w:t>
            </w:r>
          </w:p>
        </w:tc>
        <w:tc>
          <w:tcPr>
            <w:tcW w:w="1074" w:type="dxa"/>
            <w:tcBorders>
              <w:bottom w:val="single" w:sz="12" w:space="0" w:color="auto"/>
            </w:tcBorders>
            <w:shd w:val="clear" w:color="auto" w:fill="DEEAF6" w:themeFill="accent5" w:themeFillTint="33"/>
          </w:tcPr>
          <w:p w14:paraId="0C06DA3A" w14:textId="601C6CAE" w:rsidR="00137FC9" w:rsidRPr="00E940CF" w:rsidRDefault="00137FC9" w:rsidP="00D17207">
            <w:pPr>
              <w:rPr>
                <w:rFonts w:ascii="Aptos" w:hAnsi="Aptos" w:cs="Times New Roman"/>
                <w:b/>
                <w:bCs/>
                <w:sz w:val="24"/>
                <w:szCs w:val="24"/>
                <w:u w:val="single"/>
              </w:rPr>
            </w:pPr>
            <w:r w:rsidRPr="00E940CF">
              <w:rPr>
                <w:rFonts w:ascii="Aptos" w:hAnsi="Aptos" w:cs="Times New Roman"/>
                <w:b/>
                <w:bCs/>
                <w:sz w:val="24"/>
                <w:szCs w:val="24"/>
                <w:u w:val="single"/>
              </w:rPr>
              <w:t xml:space="preserve">Mileage </w:t>
            </w:r>
            <w:proofErr w:type="gramStart"/>
            <w:r w:rsidRPr="00E940CF">
              <w:rPr>
                <w:rFonts w:ascii="Aptos" w:hAnsi="Aptos" w:cs="Times New Roman"/>
                <w:b/>
                <w:bCs/>
                <w:sz w:val="24"/>
                <w:szCs w:val="24"/>
                <w:u w:val="single"/>
              </w:rPr>
              <w:t>from</w:t>
            </w:r>
            <w:proofErr w:type="gramEnd"/>
            <w:r w:rsidRPr="00E940CF">
              <w:rPr>
                <w:rFonts w:ascii="Aptos" w:hAnsi="Aptos" w:cs="Times New Roman"/>
                <w:b/>
                <w:bCs/>
                <w:sz w:val="24"/>
                <w:szCs w:val="24"/>
                <w:u w:val="single"/>
              </w:rPr>
              <w:t xml:space="preserve"> 206 Mill R</w:t>
            </w:r>
            <w:r w:rsidR="00CD08CD">
              <w:rPr>
                <w:rFonts w:ascii="Aptos" w:hAnsi="Aptos" w:cs="Times New Roman"/>
                <w:b/>
                <w:bCs/>
                <w:sz w:val="24"/>
                <w:szCs w:val="24"/>
                <w:u w:val="single"/>
              </w:rPr>
              <w:t>oa</w:t>
            </w:r>
            <w:r w:rsidRPr="00E940CF">
              <w:rPr>
                <w:rFonts w:ascii="Aptos" w:hAnsi="Aptos" w:cs="Times New Roman"/>
                <w:b/>
                <w:bCs/>
                <w:sz w:val="24"/>
                <w:szCs w:val="24"/>
                <w:u w:val="single"/>
              </w:rPr>
              <w:t>d</w:t>
            </w:r>
          </w:p>
        </w:tc>
      </w:tr>
      <w:tr w:rsidR="00137FC9" w:rsidRPr="00E940CF" w14:paraId="2889EC19" w14:textId="7DEE9B43" w:rsidTr="00997AE6">
        <w:tc>
          <w:tcPr>
            <w:tcW w:w="1106" w:type="dxa"/>
            <w:tcBorders>
              <w:top w:val="single" w:sz="12" w:space="0" w:color="auto"/>
            </w:tcBorders>
          </w:tcPr>
          <w:p w14:paraId="02E9A71A" w14:textId="7882228F" w:rsidR="00137FC9" w:rsidRPr="00E940CF" w:rsidRDefault="006A4923" w:rsidP="00D17207">
            <w:pPr>
              <w:rPr>
                <w:rFonts w:ascii="Aptos" w:hAnsi="Aptos" w:cs="Times New Roman"/>
                <w:sz w:val="24"/>
                <w:szCs w:val="24"/>
              </w:rPr>
            </w:pPr>
            <w:r w:rsidRPr="00E940CF">
              <w:rPr>
                <w:rFonts w:ascii="Aptos" w:hAnsi="Aptos" w:cs="Times New Roman"/>
                <w:sz w:val="24"/>
                <w:szCs w:val="24"/>
              </w:rPr>
              <w:t>10476</w:t>
            </w:r>
          </w:p>
        </w:tc>
        <w:tc>
          <w:tcPr>
            <w:tcW w:w="4196" w:type="dxa"/>
            <w:tcBorders>
              <w:top w:val="single" w:sz="12" w:space="0" w:color="auto"/>
            </w:tcBorders>
          </w:tcPr>
          <w:p w14:paraId="58BC41BF" w14:textId="0F6EF3A2" w:rsidR="00137FC9" w:rsidRPr="00E940CF" w:rsidRDefault="00CD08CD" w:rsidP="00D17207">
            <w:pPr>
              <w:rPr>
                <w:rFonts w:ascii="Aptos" w:hAnsi="Aptos" w:cs="Times New Roman"/>
                <w:sz w:val="24"/>
                <w:szCs w:val="24"/>
              </w:rPr>
            </w:pPr>
            <w:r w:rsidRPr="00E940CF">
              <w:rPr>
                <w:rFonts w:ascii="Aptos" w:hAnsi="Aptos" w:cs="Times New Roman"/>
                <w:sz w:val="24"/>
                <w:szCs w:val="24"/>
              </w:rPr>
              <w:t>St. Anne’s Hospital Regional Cancer Center</w:t>
            </w:r>
          </w:p>
        </w:tc>
        <w:tc>
          <w:tcPr>
            <w:tcW w:w="2125" w:type="dxa"/>
            <w:tcBorders>
              <w:top w:val="single" w:sz="12" w:space="0" w:color="auto"/>
            </w:tcBorders>
          </w:tcPr>
          <w:p w14:paraId="49332A29" w14:textId="4989C0CA" w:rsidR="00137FC9" w:rsidRPr="00E940CF" w:rsidRDefault="006A4923" w:rsidP="00D17207">
            <w:pPr>
              <w:rPr>
                <w:rFonts w:ascii="Aptos" w:hAnsi="Aptos" w:cs="Times New Roman"/>
                <w:sz w:val="24"/>
                <w:szCs w:val="24"/>
              </w:rPr>
            </w:pPr>
            <w:r w:rsidRPr="00E940CF">
              <w:rPr>
                <w:rFonts w:ascii="Aptos" w:hAnsi="Aptos" w:cs="Times New Roman"/>
                <w:sz w:val="24"/>
                <w:szCs w:val="24"/>
              </w:rPr>
              <w:t xml:space="preserve">537 </w:t>
            </w:r>
            <w:r w:rsidR="00CD08CD" w:rsidRPr="00E940CF">
              <w:rPr>
                <w:rFonts w:ascii="Aptos" w:hAnsi="Aptos" w:cs="Times New Roman"/>
                <w:sz w:val="24"/>
                <w:szCs w:val="24"/>
              </w:rPr>
              <w:t>Faunce Corner Road</w:t>
            </w:r>
          </w:p>
        </w:tc>
        <w:tc>
          <w:tcPr>
            <w:tcW w:w="1421" w:type="dxa"/>
            <w:tcBorders>
              <w:top w:val="single" w:sz="12" w:space="0" w:color="auto"/>
            </w:tcBorders>
          </w:tcPr>
          <w:p w14:paraId="4AE53558" w14:textId="122FC923" w:rsidR="00137FC9" w:rsidRPr="00E940CF" w:rsidRDefault="00CD08CD" w:rsidP="00D17207">
            <w:pPr>
              <w:rPr>
                <w:rFonts w:ascii="Aptos" w:hAnsi="Aptos" w:cs="Times New Roman"/>
                <w:sz w:val="24"/>
                <w:szCs w:val="24"/>
              </w:rPr>
            </w:pPr>
            <w:r w:rsidRPr="00E940CF">
              <w:rPr>
                <w:rFonts w:ascii="Aptos" w:hAnsi="Aptos" w:cs="Times New Roman"/>
                <w:sz w:val="24"/>
                <w:szCs w:val="24"/>
              </w:rPr>
              <w:t>North Dartmouth</w:t>
            </w:r>
          </w:p>
        </w:tc>
        <w:tc>
          <w:tcPr>
            <w:tcW w:w="797" w:type="dxa"/>
            <w:tcBorders>
              <w:top w:val="single" w:sz="12" w:space="0" w:color="auto"/>
            </w:tcBorders>
          </w:tcPr>
          <w:p w14:paraId="563C51A0" w14:textId="676BF05A" w:rsidR="00137FC9" w:rsidRPr="00E940CF" w:rsidRDefault="006A4923" w:rsidP="00D17207">
            <w:pPr>
              <w:rPr>
                <w:rFonts w:ascii="Aptos" w:hAnsi="Aptos" w:cs="Times New Roman"/>
                <w:sz w:val="24"/>
                <w:szCs w:val="24"/>
              </w:rPr>
            </w:pPr>
            <w:r w:rsidRPr="00E940CF">
              <w:rPr>
                <w:rFonts w:ascii="Aptos" w:hAnsi="Aptos" w:cs="Times New Roman"/>
                <w:sz w:val="24"/>
                <w:szCs w:val="24"/>
              </w:rPr>
              <w:t>MA</w:t>
            </w:r>
          </w:p>
        </w:tc>
        <w:tc>
          <w:tcPr>
            <w:tcW w:w="983" w:type="dxa"/>
            <w:tcBorders>
              <w:top w:val="single" w:sz="12" w:space="0" w:color="auto"/>
            </w:tcBorders>
          </w:tcPr>
          <w:p w14:paraId="63144D1A" w14:textId="47B657EA" w:rsidR="00137FC9" w:rsidRPr="00E940CF" w:rsidRDefault="006A4923" w:rsidP="00D17207">
            <w:pPr>
              <w:rPr>
                <w:rFonts w:ascii="Aptos" w:hAnsi="Aptos" w:cs="Times New Roman"/>
                <w:sz w:val="24"/>
                <w:szCs w:val="24"/>
              </w:rPr>
            </w:pPr>
            <w:r w:rsidRPr="00E940CF">
              <w:rPr>
                <w:rFonts w:ascii="Aptos" w:hAnsi="Aptos" w:cs="Times New Roman"/>
                <w:sz w:val="24"/>
                <w:szCs w:val="24"/>
              </w:rPr>
              <w:t>02747</w:t>
            </w:r>
          </w:p>
        </w:tc>
        <w:tc>
          <w:tcPr>
            <w:tcW w:w="1248" w:type="dxa"/>
            <w:tcBorders>
              <w:top w:val="single" w:sz="12" w:space="0" w:color="auto"/>
            </w:tcBorders>
          </w:tcPr>
          <w:p w14:paraId="1CDEC074" w14:textId="2604017F" w:rsidR="00137FC9" w:rsidRPr="00E940CF" w:rsidRDefault="00D8143A" w:rsidP="00D17207">
            <w:pPr>
              <w:rPr>
                <w:rFonts w:ascii="Aptos" w:hAnsi="Aptos" w:cs="Times New Roman"/>
                <w:sz w:val="24"/>
                <w:szCs w:val="24"/>
              </w:rPr>
            </w:pPr>
            <w:r w:rsidRPr="00E940CF">
              <w:rPr>
                <w:rFonts w:ascii="Aptos" w:hAnsi="Aptos" w:cs="Times New Roman"/>
                <w:sz w:val="24"/>
                <w:szCs w:val="24"/>
              </w:rPr>
              <w:t>15 Minutes</w:t>
            </w:r>
          </w:p>
        </w:tc>
        <w:tc>
          <w:tcPr>
            <w:tcW w:w="1074" w:type="dxa"/>
            <w:tcBorders>
              <w:top w:val="single" w:sz="12" w:space="0" w:color="auto"/>
            </w:tcBorders>
          </w:tcPr>
          <w:p w14:paraId="45C76262" w14:textId="765B7010" w:rsidR="00137FC9" w:rsidRPr="00E940CF" w:rsidRDefault="00D8143A" w:rsidP="00D17207">
            <w:pPr>
              <w:rPr>
                <w:rFonts w:ascii="Aptos" w:hAnsi="Aptos" w:cs="Times New Roman"/>
                <w:sz w:val="24"/>
                <w:szCs w:val="24"/>
              </w:rPr>
            </w:pPr>
            <w:r w:rsidRPr="00E940CF">
              <w:rPr>
                <w:rFonts w:ascii="Aptos" w:hAnsi="Aptos" w:cs="Times New Roman"/>
                <w:sz w:val="24"/>
                <w:szCs w:val="24"/>
              </w:rPr>
              <w:t>9 Miles</w:t>
            </w:r>
          </w:p>
        </w:tc>
      </w:tr>
      <w:tr w:rsidR="00137FC9" w:rsidRPr="00E940CF" w14:paraId="2BC2B824" w14:textId="0D162BFC" w:rsidTr="00997AE6">
        <w:tc>
          <w:tcPr>
            <w:tcW w:w="1106" w:type="dxa"/>
          </w:tcPr>
          <w:p w14:paraId="4E333946" w14:textId="37C4A4CF" w:rsidR="00137FC9" w:rsidRPr="00E940CF" w:rsidRDefault="006A4923" w:rsidP="00D17207">
            <w:pPr>
              <w:rPr>
                <w:rFonts w:ascii="Aptos" w:hAnsi="Aptos" w:cs="Times New Roman"/>
                <w:sz w:val="24"/>
                <w:szCs w:val="24"/>
              </w:rPr>
            </w:pPr>
            <w:r w:rsidRPr="00E940CF">
              <w:rPr>
                <w:rFonts w:ascii="Aptos" w:hAnsi="Aptos" w:cs="Times New Roman"/>
                <w:sz w:val="24"/>
                <w:szCs w:val="24"/>
              </w:rPr>
              <w:t>2408</w:t>
            </w:r>
          </w:p>
        </w:tc>
        <w:tc>
          <w:tcPr>
            <w:tcW w:w="4196" w:type="dxa"/>
          </w:tcPr>
          <w:p w14:paraId="1E290321" w14:textId="48C642DB" w:rsidR="00137FC9" w:rsidRPr="00E940CF" w:rsidRDefault="00CD08CD" w:rsidP="00D17207">
            <w:pPr>
              <w:rPr>
                <w:rFonts w:ascii="Aptos" w:hAnsi="Aptos" w:cs="Times New Roman"/>
                <w:sz w:val="24"/>
                <w:szCs w:val="24"/>
              </w:rPr>
            </w:pPr>
            <w:r w:rsidRPr="00E940CF">
              <w:rPr>
                <w:rFonts w:ascii="Aptos" w:hAnsi="Aptos" w:cs="Times New Roman"/>
                <w:sz w:val="24"/>
                <w:szCs w:val="24"/>
              </w:rPr>
              <w:t>St. Anne’s Hospital – Hudner Oncology Center</w:t>
            </w:r>
          </w:p>
        </w:tc>
        <w:tc>
          <w:tcPr>
            <w:tcW w:w="2125" w:type="dxa"/>
          </w:tcPr>
          <w:p w14:paraId="2669D485" w14:textId="02568D48" w:rsidR="00137FC9" w:rsidRPr="00E940CF" w:rsidRDefault="006A4923" w:rsidP="00D17207">
            <w:pPr>
              <w:rPr>
                <w:rFonts w:ascii="Aptos" w:hAnsi="Aptos" w:cs="Times New Roman"/>
                <w:sz w:val="24"/>
                <w:szCs w:val="24"/>
              </w:rPr>
            </w:pPr>
            <w:r w:rsidRPr="00E940CF">
              <w:rPr>
                <w:rFonts w:ascii="Aptos" w:hAnsi="Aptos" w:cs="Times New Roman"/>
                <w:sz w:val="24"/>
                <w:szCs w:val="24"/>
              </w:rPr>
              <w:t xml:space="preserve">795 </w:t>
            </w:r>
            <w:r w:rsidR="00CD08CD" w:rsidRPr="00E940CF">
              <w:rPr>
                <w:rFonts w:ascii="Aptos" w:hAnsi="Aptos" w:cs="Times New Roman"/>
                <w:sz w:val="24"/>
                <w:szCs w:val="24"/>
              </w:rPr>
              <w:t>Middle Street</w:t>
            </w:r>
          </w:p>
        </w:tc>
        <w:tc>
          <w:tcPr>
            <w:tcW w:w="1421" w:type="dxa"/>
          </w:tcPr>
          <w:p w14:paraId="450AA964" w14:textId="5FE723E7" w:rsidR="00137FC9" w:rsidRPr="00E940CF" w:rsidRDefault="00CD08CD" w:rsidP="00D17207">
            <w:pPr>
              <w:rPr>
                <w:rFonts w:ascii="Aptos" w:hAnsi="Aptos" w:cs="Times New Roman"/>
                <w:sz w:val="24"/>
                <w:szCs w:val="24"/>
              </w:rPr>
            </w:pPr>
            <w:r w:rsidRPr="00E940CF">
              <w:rPr>
                <w:rFonts w:ascii="Aptos" w:hAnsi="Aptos" w:cs="Times New Roman"/>
                <w:sz w:val="24"/>
                <w:szCs w:val="24"/>
              </w:rPr>
              <w:t>Fall River</w:t>
            </w:r>
          </w:p>
        </w:tc>
        <w:tc>
          <w:tcPr>
            <w:tcW w:w="797" w:type="dxa"/>
          </w:tcPr>
          <w:p w14:paraId="45112836" w14:textId="176B3F0D" w:rsidR="00137FC9" w:rsidRPr="00E940CF" w:rsidRDefault="006A4923" w:rsidP="00D17207">
            <w:pPr>
              <w:rPr>
                <w:rFonts w:ascii="Aptos" w:hAnsi="Aptos" w:cs="Times New Roman"/>
                <w:sz w:val="24"/>
                <w:szCs w:val="24"/>
              </w:rPr>
            </w:pPr>
            <w:r w:rsidRPr="00E940CF">
              <w:rPr>
                <w:rFonts w:ascii="Aptos" w:hAnsi="Aptos" w:cs="Times New Roman"/>
                <w:sz w:val="24"/>
                <w:szCs w:val="24"/>
              </w:rPr>
              <w:t>MA</w:t>
            </w:r>
          </w:p>
        </w:tc>
        <w:tc>
          <w:tcPr>
            <w:tcW w:w="983" w:type="dxa"/>
          </w:tcPr>
          <w:p w14:paraId="3E407303" w14:textId="41BA858F" w:rsidR="00137FC9" w:rsidRPr="00E940CF" w:rsidRDefault="006A4923" w:rsidP="00D17207">
            <w:pPr>
              <w:rPr>
                <w:rFonts w:ascii="Aptos" w:hAnsi="Aptos" w:cs="Times New Roman"/>
                <w:sz w:val="24"/>
                <w:szCs w:val="24"/>
              </w:rPr>
            </w:pPr>
            <w:r w:rsidRPr="00E940CF">
              <w:rPr>
                <w:rFonts w:ascii="Aptos" w:hAnsi="Aptos" w:cs="Times New Roman"/>
                <w:sz w:val="24"/>
                <w:szCs w:val="24"/>
              </w:rPr>
              <w:t>02721</w:t>
            </w:r>
          </w:p>
        </w:tc>
        <w:tc>
          <w:tcPr>
            <w:tcW w:w="1248" w:type="dxa"/>
          </w:tcPr>
          <w:p w14:paraId="49891A4C" w14:textId="03FCBBDC" w:rsidR="00137FC9" w:rsidRPr="00E940CF" w:rsidRDefault="00D8143A" w:rsidP="00D17207">
            <w:pPr>
              <w:rPr>
                <w:rFonts w:ascii="Aptos" w:hAnsi="Aptos" w:cs="Times New Roman"/>
                <w:sz w:val="24"/>
                <w:szCs w:val="24"/>
              </w:rPr>
            </w:pPr>
            <w:r w:rsidRPr="00E940CF">
              <w:rPr>
                <w:rFonts w:ascii="Aptos" w:hAnsi="Aptos" w:cs="Times New Roman"/>
                <w:sz w:val="24"/>
                <w:szCs w:val="24"/>
              </w:rPr>
              <w:t>23 Minutes</w:t>
            </w:r>
          </w:p>
        </w:tc>
        <w:tc>
          <w:tcPr>
            <w:tcW w:w="1074" w:type="dxa"/>
          </w:tcPr>
          <w:p w14:paraId="26A228FB" w14:textId="0718D08C" w:rsidR="00137FC9" w:rsidRPr="00E940CF" w:rsidRDefault="00D8143A" w:rsidP="00D17207">
            <w:pPr>
              <w:rPr>
                <w:rFonts w:ascii="Aptos" w:hAnsi="Aptos" w:cs="Times New Roman"/>
                <w:sz w:val="24"/>
                <w:szCs w:val="24"/>
              </w:rPr>
            </w:pPr>
            <w:r w:rsidRPr="00E940CF">
              <w:rPr>
                <w:rFonts w:ascii="Aptos" w:hAnsi="Aptos" w:cs="Times New Roman"/>
                <w:sz w:val="24"/>
                <w:szCs w:val="24"/>
              </w:rPr>
              <w:t>17 Miles</w:t>
            </w:r>
          </w:p>
        </w:tc>
      </w:tr>
      <w:tr w:rsidR="00137FC9" w:rsidRPr="00E940CF" w14:paraId="2D97444C" w14:textId="360AF522" w:rsidTr="00997AE6">
        <w:tc>
          <w:tcPr>
            <w:tcW w:w="1106" w:type="dxa"/>
            <w:tcBorders>
              <w:bottom w:val="single" w:sz="12" w:space="0" w:color="auto"/>
            </w:tcBorders>
          </w:tcPr>
          <w:p w14:paraId="681F1172" w14:textId="4C3A7A2E" w:rsidR="00137FC9" w:rsidRPr="00E940CF" w:rsidRDefault="006A4923" w:rsidP="00D17207">
            <w:pPr>
              <w:rPr>
                <w:rFonts w:ascii="Aptos" w:hAnsi="Aptos" w:cs="Times New Roman"/>
                <w:sz w:val="24"/>
                <w:szCs w:val="24"/>
              </w:rPr>
            </w:pPr>
            <w:r w:rsidRPr="00E940CF">
              <w:rPr>
                <w:rFonts w:ascii="Aptos" w:hAnsi="Aptos" w:cs="Times New Roman"/>
                <w:sz w:val="24"/>
                <w:szCs w:val="24"/>
              </w:rPr>
              <w:t>2337</w:t>
            </w:r>
          </w:p>
        </w:tc>
        <w:tc>
          <w:tcPr>
            <w:tcW w:w="4196" w:type="dxa"/>
            <w:tcBorders>
              <w:bottom w:val="single" w:sz="12" w:space="0" w:color="auto"/>
            </w:tcBorders>
          </w:tcPr>
          <w:p w14:paraId="0AED307D" w14:textId="3487D1C2" w:rsidR="00137FC9" w:rsidRPr="00E940CF" w:rsidRDefault="00CD08CD" w:rsidP="00D17207">
            <w:pPr>
              <w:rPr>
                <w:rFonts w:ascii="Aptos" w:hAnsi="Aptos" w:cs="Times New Roman"/>
                <w:sz w:val="24"/>
                <w:szCs w:val="24"/>
              </w:rPr>
            </w:pPr>
            <w:r w:rsidRPr="00E940CF">
              <w:rPr>
                <w:rFonts w:ascii="Aptos" w:hAnsi="Aptos" w:cs="Times New Roman"/>
                <w:sz w:val="24"/>
                <w:szCs w:val="24"/>
              </w:rPr>
              <w:t>Southcoast Hospitals Group, Inc.</w:t>
            </w:r>
          </w:p>
        </w:tc>
        <w:tc>
          <w:tcPr>
            <w:tcW w:w="2125" w:type="dxa"/>
            <w:tcBorders>
              <w:bottom w:val="single" w:sz="12" w:space="0" w:color="auto"/>
            </w:tcBorders>
          </w:tcPr>
          <w:p w14:paraId="4869D85E" w14:textId="7926559D" w:rsidR="00137FC9" w:rsidRPr="00E940CF" w:rsidRDefault="006A4923" w:rsidP="00D17207">
            <w:pPr>
              <w:rPr>
                <w:rFonts w:ascii="Aptos" w:hAnsi="Aptos" w:cs="Times New Roman"/>
                <w:sz w:val="24"/>
                <w:szCs w:val="24"/>
              </w:rPr>
            </w:pPr>
            <w:r w:rsidRPr="00E940CF">
              <w:rPr>
                <w:rFonts w:ascii="Aptos" w:hAnsi="Aptos" w:cs="Times New Roman"/>
                <w:sz w:val="24"/>
                <w:szCs w:val="24"/>
              </w:rPr>
              <w:t xml:space="preserve">363 </w:t>
            </w:r>
            <w:r w:rsidR="00CD08CD" w:rsidRPr="00E940CF">
              <w:rPr>
                <w:rFonts w:ascii="Aptos" w:hAnsi="Aptos" w:cs="Times New Roman"/>
                <w:sz w:val="24"/>
                <w:szCs w:val="24"/>
              </w:rPr>
              <w:t>Highland Avenue, Mitchell</w:t>
            </w:r>
            <w:r w:rsidRPr="00E940CF">
              <w:rPr>
                <w:rFonts w:ascii="Aptos" w:hAnsi="Aptos" w:cs="Times New Roman"/>
                <w:sz w:val="24"/>
                <w:szCs w:val="24"/>
              </w:rPr>
              <w:t xml:space="preserve"> </w:t>
            </w:r>
            <w:r w:rsidR="00CD08CD">
              <w:rPr>
                <w:rFonts w:ascii="Aptos" w:hAnsi="Aptos" w:cs="Times New Roman"/>
                <w:sz w:val="24"/>
                <w:szCs w:val="24"/>
              </w:rPr>
              <w:t xml:space="preserve">Building </w:t>
            </w:r>
          </w:p>
        </w:tc>
        <w:tc>
          <w:tcPr>
            <w:tcW w:w="1421" w:type="dxa"/>
            <w:tcBorders>
              <w:bottom w:val="single" w:sz="12" w:space="0" w:color="auto"/>
            </w:tcBorders>
          </w:tcPr>
          <w:p w14:paraId="1F9E6764" w14:textId="3613E0D8" w:rsidR="00137FC9" w:rsidRPr="00E940CF" w:rsidRDefault="00F73B23" w:rsidP="00D17207">
            <w:pPr>
              <w:rPr>
                <w:rFonts w:ascii="Aptos" w:hAnsi="Aptos" w:cs="Times New Roman"/>
                <w:sz w:val="24"/>
                <w:szCs w:val="24"/>
              </w:rPr>
            </w:pPr>
            <w:r w:rsidRPr="00E940CF">
              <w:rPr>
                <w:rFonts w:ascii="Aptos" w:hAnsi="Aptos" w:cs="Times New Roman"/>
                <w:sz w:val="24"/>
                <w:szCs w:val="24"/>
              </w:rPr>
              <w:t>Fall River</w:t>
            </w:r>
          </w:p>
        </w:tc>
        <w:tc>
          <w:tcPr>
            <w:tcW w:w="797" w:type="dxa"/>
            <w:tcBorders>
              <w:bottom w:val="single" w:sz="12" w:space="0" w:color="auto"/>
            </w:tcBorders>
          </w:tcPr>
          <w:p w14:paraId="1AF1279F" w14:textId="0D620075" w:rsidR="00137FC9" w:rsidRPr="00E940CF" w:rsidRDefault="006A4923" w:rsidP="00D17207">
            <w:pPr>
              <w:rPr>
                <w:rFonts w:ascii="Aptos" w:hAnsi="Aptos" w:cs="Times New Roman"/>
                <w:sz w:val="24"/>
                <w:szCs w:val="24"/>
              </w:rPr>
            </w:pPr>
            <w:r w:rsidRPr="00E940CF">
              <w:rPr>
                <w:rFonts w:ascii="Aptos" w:hAnsi="Aptos" w:cs="Times New Roman"/>
                <w:sz w:val="24"/>
                <w:szCs w:val="24"/>
              </w:rPr>
              <w:t>MA</w:t>
            </w:r>
          </w:p>
        </w:tc>
        <w:tc>
          <w:tcPr>
            <w:tcW w:w="983" w:type="dxa"/>
            <w:tcBorders>
              <w:bottom w:val="single" w:sz="12" w:space="0" w:color="auto"/>
            </w:tcBorders>
          </w:tcPr>
          <w:p w14:paraId="3089AC65" w14:textId="7C85A8CD" w:rsidR="00137FC9" w:rsidRPr="00E940CF" w:rsidRDefault="006A4923" w:rsidP="00D17207">
            <w:pPr>
              <w:rPr>
                <w:rFonts w:ascii="Aptos" w:hAnsi="Aptos" w:cs="Times New Roman"/>
                <w:sz w:val="24"/>
                <w:szCs w:val="24"/>
              </w:rPr>
            </w:pPr>
            <w:r w:rsidRPr="00E940CF">
              <w:rPr>
                <w:rFonts w:ascii="Aptos" w:hAnsi="Aptos" w:cs="Times New Roman"/>
                <w:sz w:val="24"/>
                <w:szCs w:val="24"/>
              </w:rPr>
              <w:t>02720</w:t>
            </w:r>
          </w:p>
        </w:tc>
        <w:tc>
          <w:tcPr>
            <w:tcW w:w="1248" w:type="dxa"/>
            <w:tcBorders>
              <w:bottom w:val="single" w:sz="12" w:space="0" w:color="auto"/>
            </w:tcBorders>
          </w:tcPr>
          <w:p w14:paraId="2CA769EC" w14:textId="42255ED0" w:rsidR="00137FC9" w:rsidRPr="00E940CF" w:rsidRDefault="00D8143A" w:rsidP="00D17207">
            <w:pPr>
              <w:rPr>
                <w:rFonts w:ascii="Aptos" w:hAnsi="Aptos" w:cs="Times New Roman"/>
                <w:sz w:val="24"/>
                <w:szCs w:val="24"/>
              </w:rPr>
            </w:pPr>
            <w:r w:rsidRPr="00E940CF">
              <w:rPr>
                <w:rFonts w:ascii="Aptos" w:hAnsi="Aptos" w:cs="Times New Roman"/>
                <w:sz w:val="24"/>
                <w:szCs w:val="24"/>
              </w:rPr>
              <w:t>24 Minutes</w:t>
            </w:r>
          </w:p>
        </w:tc>
        <w:tc>
          <w:tcPr>
            <w:tcW w:w="1074" w:type="dxa"/>
            <w:tcBorders>
              <w:bottom w:val="single" w:sz="12" w:space="0" w:color="auto"/>
            </w:tcBorders>
          </w:tcPr>
          <w:p w14:paraId="5D6AEBEC" w14:textId="03F72674" w:rsidR="00137FC9" w:rsidRPr="00E940CF" w:rsidRDefault="00D8143A" w:rsidP="00D17207">
            <w:pPr>
              <w:rPr>
                <w:rFonts w:ascii="Aptos" w:hAnsi="Aptos" w:cs="Times New Roman"/>
                <w:sz w:val="24"/>
                <w:szCs w:val="24"/>
              </w:rPr>
            </w:pPr>
            <w:r w:rsidRPr="00E940CF">
              <w:rPr>
                <w:rFonts w:ascii="Aptos" w:hAnsi="Aptos" w:cs="Times New Roman"/>
                <w:sz w:val="24"/>
                <w:szCs w:val="24"/>
              </w:rPr>
              <w:t>18 Miles</w:t>
            </w:r>
          </w:p>
        </w:tc>
      </w:tr>
      <w:tr w:rsidR="00137FC9" w:rsidRPr="00E940CF" w14:paraId="6872E878" w14:textId="69E99D04" w:rsidTr="00997AE6">
        <w:tc>
          <w:tcPr>
            <w:tcW w:w="1106" w:type="dxa"/>
            <w:tcBorders>
              <w:top w:val="single" w:sz="12" w:space="0" w:color="auto"/>
            </w:tcBorders>
          </w:tcPr>
          <w:p w14:paraId="1F23EEFA" w14:textId="1BEACFBB" w:rsidR="00137FC9" w:rsidRPr="00E940CF" w:rsidRDefault="006A4923" w:rsidP="00D17207">
            <w:pPr>
              <w:rPr>
                <w:rFonts w:ascii="Aptos" w:hAnsi="Aptos" w:cs="Times New Roman"/>
                <w:sz w:val="24"/>
                <w:szCs w:val="24"/>
              </w:rPr>
            </w:pPr>
            <w:r w:rsidRPr="00E940CF">
              <w:rPr>
                <w:rFonts w:ascii="Aptos" w:hAnsi="Aptos" w:cs="Times New Roman"/>
                <w:sz w:val="24"/>
                <w:szCs w:val="24"/>
              </w:rPr>
              <w:t>10723</w:t>
            </w:r>
          </w:p>
        </w:tc>
        <w:tc>
          <w:tcPr>
            <w:tcW w:w="4196" w:type="dxa"/>
            <w:tcBorders>
              <w:top w:val="single" w:sz="12" w:space="0" w:color="auto"/>
            </w:tcBorders>
          </w:tcPr>
          <w:p w14:paraId="4093BEB8" w14:textId="0E790D59" w:rsidR="00137FC9" w:rsidRPr="00E940CF" w:rsidRDefault="006A4923" w:rsidP="00D17207">
            <w:pPr>
              <w:rPr>
                <w:rFonts w:ascii="Aptos" w:hAnsi="Aptos" w:cs="Times New Roman"/>
                <w:sz w:val="24"/>
                <w:szCs w:val="24"/>
              </w:rPr>
            </w:pPr>
            <w:r w:rsidRPr="00E940CF">
              <w:rPr>
                <w:rFonts w:ascii="Aptos" w:hAnsi="Aptos" w:cs="Times New Roman"/>
                <w:sz w:val="24"/>
                <w:szCs w:val="24"/>
              </w:rPr>
              <w:t>Cape Cod Hospital – Clark Cancer Center</w:t>
            </w:r>
          </w:p>
        </w:tc>
        <w:tc>
          <w:tcPr>
            <w:tcW w:w="2125" w:type="dxa"/>
            <w:tcBorders>
              <w:top w:val="single" w:sz="12" w:space="0" w:color="auto"/>
            </w:tcBorders>
          </w:tcPr>
          <w:p w14:paraId="7F0860C5" w14:textId="3C1ECEB1" w:rsidR="00137FC9" w:rsidRPr="00E940CF" w:rsidRDefault="006A4923" w:rsidP="00D17207">
            <w:pPr>
              <w:rPr>
                <w:rFonts w:ascii="Aptos" w:hAnsi="Aptos" w:cs="Times New Roman"/>
                <w:sz w:val="24"/>
                <w:szCs w:val="24"/>
              </w:rPr>
            </w:pPr>
            <w:r w:rsidRPr="00E940CF">
              <w:rPr>
                <w:rFonts w:ascii="Aptos" w:hAnsi="Aptos" w:cs="Times New Roman"/>
                <w:sz w:val="24"/>
                <w:szCs w:val="24"/>
              </w:rPr>
              <w:t xml:space="preserve">90 </w:t>
            </w:r>
            <w:r w:rsidR="00A619A7" w:rsidRPr="00E940CF">
              <w:rPr>
                <w:rFonts w:ascii="Aptos" w:hAnsi="Aptos" w:cs="Times New Roman"/>
                <w:sz w:val="24"/>
                <w:szCs w:val="24"/>
              </w:rPr>
              <w:t>Ter Huen Drive</w:t>
            </w:r>
          </w:p>
        </w:tc>
        <w:tc>
          <w:tcPr>
            <w:tcW w:w="1421" w:type="dxa"/>
            <w:tcBorders>
              <w:top w:val="single" w:sz="12" w:space="0" w:color="auto"/>
            </w:tcBorders>
          </w:tcPr>
          <w:p w14:paraId="7F757427" w14:textId="743C3C61" w:rsidR="00137FC9" w:rsidRPr="00E940CF" w:rsidRDefault="00A619A7" w:rsidP="00D17207">
            <w:pPr>
              <w:rPr>
                <w:rFonts w:ascii="Aptos" w:hAnsi="Aptos" w:cs="Times New Roman"/>
                <w:sz w:val="24"/>
                <w:szCs w:val="24"/>
              </w:rPr>
            </w:pPr>
            <w:r w:rsidRPr="00E940CF">
              <w:rPr>
                <w:rFonts w:ascii="Aptos" w:hAnsi="Aptos" w:cs="Times New Roman"/>
                <w:sz w:val="24"/>
                <w:szCs w:val="24"/>
              </w:rPr>
              <w:t>Falmouth</w:t>
            </w:r>
          </w:p>
        </w:tc>
        <w:tc>
          <w:tcPr>
            <w:tcW w:w="797" w:type="dxa"/>
            <w:tcBorders>
              <w:top w:val="single" w:sz="12" w:space="0" w:color="auto"/>
            </w:tcBorders>
          </w:tcPr>
          <w:p w14:paraId="57F5EF7B" w14:textId="271AAF98" w:rsidR="00137FC9" w:rsidRPr="00E940CF" w:rsidRDefault="006A4923" w:rsidP="00D17207">
            <w:pPr>
              <w:rPr>
                <w:rFonts w:ascii="Aptos" w:hAnsi="Aptos" w:cs="Times New Roman"/>
                <w:sz w:val="24"/>
                <w:szCs w:val="24"/>
              </w:rPr>
            </w:pPr>
            <w:r w:rsidRPr="00E940CF">
              <w:rPr>
                <w:rFonts w:ascii="Aptos" w:hAnsi="Aptos" w:cs="Times New Roman"/>
                <w:sz w:val="24"/>
                <w:szCs w:val="24"/>
              </w:rPr>
              <w:t>MA</w:t>
            </w:r>
          </w:p>
        </w:tc>
        <w:tc>
          <w:tcPr>
            <w:tcW w:w="983" w:type="dxa"/>
            <w:tcBorders>
              <w:top w:val="single" w:sz="12" w:space="0" w:color="auto"/>
            </w:tcBorders>
          </w:tcPr>
          <w:p w14:paraId="10F13081" w14:textId="1B47110C" w:rsidR="00137FC9" w:rsidRPr="00E940CF" w:rsidRDefault="006A4923" w:rsidP="00D17207">
            <w:pPr>
              <w:rPr>
                <w:rFonts w:ascii="Aptos" w:hAnsi="Aptos" w:cs="Times New Roman"/>
                <w:sz w:val="24"/>
                <w:szCs w:val="24"/>
              </w:rPr>
            </w:pPr>
            <w:r w:rsidRPr="00E940CF">
              <w:rPr>
                <w:rFonts w:ascii="Aptos" w:hAnsi="Aptos" w:cs="Times New Roman"/>
                <w:sz w:val="24"/>
                <w:szCs w:val="24"/>
              </w:rPr>
              <w:t>02540</w:t>
            </w:r>
          </w:p>
        </w:tc>
        <w:tc>
          <w:tcPr>
            <w:tcW w:w="1248" w:type="dxa"/>
            <w:tcBorders>
              <w:top w:val="single" w:sz="12" w:space="0" w:color="auto"/>
            </w:tcBorders>
          </w:tcPr>
          <w:p w14:paraId="0FDE9125" w14:textId="485A3B57" w:rsidR="00137FC9" w:rsidRPr="00E940CF" w:rsidRDefault="00D8143A" w:rsidP="00D17207">
            <w:pPr>
              <w:rPr>
                <w:rFonts w:ascii="Aptos" w:hAnsi="Aptos" w:cs="Times New Roman"/>
                <w:sz w:val="24"/>
                <w:szCs w:val="24"/>
              </w:rPr>
            </w:pPr>
            <w:r w:rsidRPr="00E940CF">
              <w:rPr>
                <w:rFonts w:ascii="Aptos" w:hAnsi="Aptos" w:cs="Times New Roman"/>
                <w:sz w:val="24"/>
                <w:szCs w:val="24"/>
              </w:rPr>
              <w:t>40 Minutes</w:t>
            </w:r>
          </w:p>
        </w:tc>
        <w:tc>
          <w:tcPr>
            <w:tcW w:w="1074" w:type="dxa"/>
            <w:tcBorders>
              <w:top w:val="single" w:sz="12" w:space="0" w:color="auto"/>
            </w:tcBorders>
          </w:tcPr>
          <w:p w14:paraId="42398BF4" w14:textId="11FBEB5C" w:rsidR="00137FC9" w:rsidRPr="00E940CF" w:rsidRDefault="00D8143A" w:rsidP="00D17207">
            <w:pPr>
              <w:rPr>
                <w:rFonts w:ascii="Aptos" w:hAnsi="Aptos" w:cs="Times New Roman"/>
                <w:sz w:val="24"/>
                <w:szCs w:val="24"/>
              </w:rPr>
            </w:pPr>
            <w:r w:rsidRPr="00E940CF">
              <w:rPr>
                <w:rFonts w:ascii="Aptos" w:hAnsi="Aptos" w:cs="Times New Roman"/>
                <w:sz w:val="24"/>
                <w:szCs w:val="24"/>
              </w:rPr>
              <w:t>38 Miles</w:t>
            </w:r>
          </w:p>
        </w:tc>
      </w:tr>
      <w:tr w:rsidR="00137FC9" w:rsidRPr="00E940CF" w14:paraId="183282E9" w14:textId="34BADFE4" w:rsidTr="00997AE6">
        <w:tc>
          <w:tcPr>
            <w:tcW w:w="1106" w:type="dxa"/>
          </w:tcPr>
          <w:p w14:paraId="1B4D2DFF" w14:textId="05EFAAFF" w:rsidR="00137FC9" w:rsidRPr="00E940CF" w:rsidRDefault="006A4923" w:rsidP="00D17207">
            <w:pPr>
              <w:rPr>
                <w:rFonts w:ascii="Aptos" w:hAnsi="Aptos" w:cs="Times New Roman"/>
                <w:sz w:val="24"/>
                <w:szCs w:val="24"/>
              </w:rPr>
            </w:pPr>
            <w:r w:rsidRPr="00E940CF">
              <w:rPr>
                <w:rFonts w:ascii="Aptos" w:hAnsi="Aptos" w:cs="Times New Roman"/>
                <w:sz w:val="24"/>
                <w:szCs w:val="24"/>
              </w:rPr>
              <w:t>10340</w:t>
            </w:r>
          </w:p>
        </w:tc>
        <w:tc>
          <w:tcPr>
            <w:tcW w:w="4196" w:type="dxa"/>
          </w:tcPr>
          <w:p w14:paraId="7AEA4069" w14:textId="09E9E8F9" w:rsidR="00137FC9" w:rsidRPr="00E940CF" w:rsidRDefault="006A4923" w:rsidP="00D17207">
            <w:pPr>
              <w:rPr>
                <w:rFonts w:ascii="Aptos" w:hAnsi="Aptos" w:cs="Times New Roman"/>
                <w:sz w:val="24"/>
                <w:szCs w:val="24"/>
              </w:rPr>
            </w:pPr>
            <w:r w:rsidRPr="00E940CF">
              <w:rPr>
                <w:rFonts w:ascii="Aptos" w:hAnsi="Aptos" w:cs="Times New Roman"/>
                <w:sz w:val="24"/>
                <w:szCs w:val="24"/>
              </w:rPr>
              <w:t>BMC Radiation Oncology Center</w:t>
            </w:r>
          </w:p>
        </w:tc>
        <w:tc>
          <w:tcPr>
            <w:tcW w:w="2125" w:type="dxa"/>
          </w:tcPr>
          <w:p w14:paraId="07B605DE" w14:textId="441142AF" w:rsidR="00137FC9" w:rsidRPr="00E940CF" w:rsidRDefault="006A4923" w:rsidP="00D17207">
            <w:pPr>
              <w:rPr>
                <w:rFonts w:ascii="Aptos" w:hAnsi="Aptos" w:cs="Times New Roman"/>
                <w:sz w:val="24"/>
                <w:szCs w:val="24"/>
              </w:rPr>
            </w:pPr>
            <w:r w:rsidRPr="00E940CF">
              <w:rPr>
                <w:rFonts w:ascii="Aptos" w:hAnsi="Aptos" w:cs="Times New Roman"/>
                <w:sz w:val="24"/>
                <w:szCs w:val="24"/>
              </w:rPr>
              <w:t xml:space="preserve">818 </w:t>
            </w:r>
            <w:r w:rsidR="00A619A7" w:rsidRPr="00E940CF">
              <w:rPr>
                <w:rFonts w:ascii="Aptos" w:hAnsi="Aptos" w:cs="Times New Roman"/>
                <w:sz w:val="24"/>
                <w:szCs w:val="24"/>
              </w:rPr>
              <w:t>Oak St</w:t>
            </w:r>
            <w:r w:rsidR="00A619A7">
              <w:rPr>
                <w:rFonts w:ascii="Aptos" w:hAnsi="Aptos" w:cs="Times New Roman"/>
                <w:sz w:val="24"/>
                <w:szCs w:val="24"/>
              </w:rPr>
              <w:t>reet</w:t>
            </w:r>
          </w:p>
        </w:tc>
        <w:tc>
          <w:tcPr>
            <w:tcW w:w="1421" w:type="dxa"/>
          </w:tcPr>
          <w:p w14:paraId="6D0BC3BA" w14:textId="34477795" w:rsidR="00137FC9" w:rsidRPr="00E940CF" w:rsidRDefault="00A619A7" w:rsidP="00D17207">
            <w:pPr>
              <w:rPr>
                <w:rFonts w:ascii="Aptos" w:hAnsi="Aptos" w:cs="Times New Roman"/>
                <w:sz w:val="24"/>
                <w:szCs w:val="24"/>
              </w:rPr>
            </w:pPr>
            <w:r w:rsidRPr="00E940CF">
              <w:rPr>
                <w:rFonts w:ascii="Aptos" w:hAnsi="Aptos" w:cs="Times New Roman"/>
                <w:sz w:val="24"/>
                <w:szCs w:val="24"/>
              </w:rPr>
              <w:t>Brockton</w:t>
            </w:r>
          </w:p>
        </w:tc>
        <w:tc>
          <w:tcPr>
            <w:tcW w:w="797" w:type="dxa"/>
          </w:tcPr>
          <w:p w14:paraId="7760AB9B" w14:textId="14A64159" w:rsidR="00137FC9" w:rsidRPr="00E940CF" w:rsidRDefault="006A4923" w:rsidP="00D17207">
            <w:pPr>
              <w:rPr>
                <w:rFonts w:ascii="Aptos" w:hAnsi="Aptos" w:cs="Times New Roman"/>
                <w:sz w:val="24"/>
                <w:szCs w:val="24"/>
              </w:rPr>
            </w:pPr>
            <w:r w:rsidRPr="00E940CF">
              <w:rPr>
                <w:rFonts w:ascii="Aptos" w:hAnsi="Aptos" w:cs="Times New Roman"/>
                <w:sz w:val="24"/>
                <w:szCs w:val="24"/>
              </w:rPr>
              <w:t>MA</w:t>
            </w:r>
          </w:p>
        </w:tc>
        <w:tc>
          <w:tcPr>
            <w:tcW w:w="983" w:type="dxa"/>
          </w:tcPr>
          <w:p w14:paraId="52A44F05" w14:textId="2DF51B7B" w:rsidR="00137FC9" w:rsidRPr="00E940CF" w:rsidRDefault="006A4923" w:rsidP="00D17207">
            <w:pPr>
              <w:rPr>
                <w:rFonts w:ascii="Aptos" w:hAnsi="Aptos" w:cs="Times New Roman"/>
                <w:sz w:val="24"/>
                <w:szCs w:val="24"/>
              </w:rPr>
            </w:pPr>
            <w:r w:rsidRPr="00E940CF">
              <w:rPr>
                <w:rFonts w:ascii="Aptos" w:hAnsi="Aptos" w:cs="Times New Roman"/>
                <w:sz w:val="24"/>
                <w:szCs w:val="24"/>
              </w:rPr>
              <w:t>02301</w:t>
            </w:r>
          </w:p>
        </w:tc>
        <w:tc>
          <w:tcPr>
            <w:tcW w:w="1248" w:type="dxa"/>
          </w:tcPr>
          <w:p w14:paraId="04785A72" w14:textId="5BFBA789" w:rsidR="00137FC9" w:rsidRPr="00E940CF" w:rsidRDefault="00D8143A" w:rsidP="00D17207">
            <w:pPr>
              <w:rPr>
                <w:rFonts w:ascii="Aptos" w:hAnsi="Aptos" w:cs="Times New Roman"/>
                <w:sz w:val="24"/>
                <w:szCs w:val="24"/>
              </w:rPr>
            </w:pPr>
            <w:r w:rsidRPr="00E940CF">
              <w:rPr>
                <w:rFonts w:ascii="Aptos" w:hAnsi="Aptos" w:cs="Times New Roman"/>
                <w:sz w:val="24"/>
                <w:szCs w:val="24"/>
              </w:rPr>
              <w:t>44 Minutes</w:t>
            </w:r>
          </w:p>
        </w:tc>
        <w:tc>
          <w:tcPr>
            <w:tcW w:w="1074" w:type="dxa"/>
          </w:tcPr>
          <w:p w14:paraId="002BF5EA" w14:textId="06F6E756" w:rsidR="00137FC9" w:rsidRPr="00E940CF" w:rsidRDefault="00D8143A" w:rsidP="00D17207">
            <w:pPr>
              <w:rPr>
                <w:rFonts w:ascii="Aptos" w:hAnsi="Aptos" w:cs="Times New Roman"/>
                <w:sz w:val="24"/>
                <w:szCs w:val="24"/>
              </w:rPr>
            </w:pPr>
            <w:r w:rsidRPr="00E940CF">
              <w:rPr>
                <w:rFonts w:ascii="Aptos" w:hAnsi="Aptos" w:cs="Times New Roman"/>
                <w:sz w:val="24"/>
                <w:szCs w:val="24"/>
              </w:rPr>
              <w:t>41 Miles</w:t>
            </w:r>
          </w:p>
        </w:tc>
      </w:tr>
      <w:tr w:rsidR="006A4923" w:rsidRPr="00E940CF" w14:paraId="61593F4B" w14:textId="77777777" w:rsidTr="00997AE6">
        <w:tc>
          <w:tcPr>
            <w:tcW w:w="1106" w:type="dxa"/>
            <w:tcBorders>
              <w:bottom w:val="single" w:sz="12" w:space="0" w:color="auto"/>
            </w:tcBorders>
          </w:tcPr>
          <w:p w14:paraId="23C4CCEB" w14:textId="0CC1A9CF" w:rsidR="006A4923" w:rsidRPr="00E940CF" w:rsidRDefault="006A4923" w:rsidP="00D17207">
            <w:pPr>
              <w:rPr>
                <w:rFonts w:ascii="Aptos" w:hAnsi="Aptos" w:cs="Times New Roman"/>
                <w:sz w:val="24"/>
                <w:szCs w:val="24"/>
              </w:rPr>
            </w:pPr>
            <w:r w:rsidRPr="00E940CF">
              <w:rPr>
                <w:rFonts w:ascii="Aptos" w:hAnsi="Aptos" w:cs="Times New Roman"/>
                <w:sz w:val="24"/>
                <w:szCs w:val="24"/>
              </w:rPr>
              <w:t>2365</w:t>
            </w:r>
          </w:p>
        </w:tc>
        <w:tc>
          <w:tcPr>
            <w:tcW w:w="4196" w:type="dxa"/>
            <w:tcBorders>
              <w:bottom w:val="single" w:sz="12" w:space="0" w:color="auto"/>
            </w:tcBorders>
          </w:tcPr>
          <w:p w14:paraId="4FF624F8" w14:textId="47E6A088" w:rsidR="006A4923" w:rsidRPr="00E940CF" w:rsidRDefault="00A619A7" w:rsidP="00D17207">
            <w:pPr>
              <w:rPr>
                <w:rFonts w:ascii="Aptos" w:hAnsi="Aptos" w:cs="Times New Roman"/>
                <w:sz w:val="24"/>
                <w:szCs w:val="24"/>
              </w:rPr>
            </w:pPr>
            <w:r w:rsidRPr="00E940CF">
              <w:rPr>
                <w:rFonts w:ascii="Aptos" w:hAnsi="Aptos" w:cs="Times New Roman"/>
                <w:sz w:val="24"/>
                <w:szCs w:val="24"/>
              </w:rPr>
              <w:t>Beth Israel Deaconess Hospital – Plymouth, Inc.</w:t>
            </w:r>
          </w:p>
        </w:tc>
        <w:tc>
          <w:tcPr>
            <w:tcW w:w="2125" w:type="dxa"/>
            <w:tcBorders>
              <w:bottom w:val="single" w:sz="12" w:space="0" w:color="auto"/>
            </w:tcBorders>
          </w:tcPr>
          <w:p w14:paraId="30F51084" w14:textId="7EDBDD82" w:rsidR="006A4923" w:rsidRPr="00E940CF" w:rsidRDefault="006A4923" w:rsidP="00D17207">
            <w:pPr>
              <w:rPr>
                <w:rFonts w:ascii="Aptos" w:hAnsi="Aptos" w:cs="Times New Roman"/>
                <w:sz w:val="24"/>
                <w:szCs w:val="24"/>
              </w:rPr>
            </w:pPr>
            <w:r w:rsidRPr="00E940CF">
              <w:rPr>
                <w:rFonts w:ascii="Aptos" w:hAnsi="Aptos" w:cs="Times New Roman"/>
                <w:sz w:val="24"/>
                <w:szCs w:val="24"/>
              </w:rPr>
              <w:t xml:space="preserve">275 </w:t>
            </w:r>
            <w:r w:rsidR="00A619A7" w:rsidRPr="00E940CF">
              <w:rPr>
                <w:rFonts w:ascii="Aptos" w:hAnsi="Aptos" w:cs="Times New Roman"/>
                <w:sz w:val="24"/>
                <w:szCs w:val="24"/>
              </w:rPr>
              <w:t>Sandwich Street</w:t>
            </w:r>
          </w:p>
        </w:tc>
        <w:tc>
          <w:tcPr>
            <w:tcW w:w="1421" w:type="dxa"/>
            <w:tcBorders>
              <w:bottom w:val="single" w:sz="12" w:space="0" w:color="auto"/>
            </w:tcBorders>
          </w:tcPr>
          <w:p w14:paraId="44876A4D" w14:textId="19E9AB35" w:rsidR="006A4923" w:rsidRPr="00E940CF" w:rsidRDefault="00A619A7" w:rsidP="00D17207">
            <w:pPr>
              <w:rPr>
                <w:rFonts w:ascii="Aptos" w:hAnsi="Aptos" w:cs="Times New Roman"/>
                <w:sz w:val="24"/>
                <w:szCs w:val="24"/>
              </w:rPr>
            </w:pPr>
            <w:r w:rsidRPr="00E940CF">
              <w:rPr>
                <w:rFonts w:ascii="Aptos" w:hAnsi="Aptos" w:cs="Times New Roman"/>
                <w:sz w:val="24"/>
                <w:szCs w:val="24"/>
              </w:rPr>
              <w:t>Plymouth</w:t>
            </w:r>
          </w:p>
        </w:tc>
        <w:tc>
          <w:tcPr>
            <w:tcW w:w="797" w:type="dxa"/>
            <w:tcBorders>
              <w:bottom w:val="single" w:sz="12" w:space="0" w:color="auto"/>
            </w:tcBorders>
          </w:tcPr>
          <w:p w14:paraId="1A05D75A" w14:textId="2A59CB40" w:rsidR="006A4923" w:rsidRPr="00E940CF" w:rsidRDefault="006A4923" w:rsidP="00D17207">
            <w:pPr>
              <w:rPr>
                <w:rFonts w:ascii="Aptos" w:hAnsi="Aptos" w:cs="Times New Roman"/>
                <w:sz w:val="24"/>
                <w:szCs w:val="24"/>
              </w:rPr>
            </w:pPr>
            <w:r w:rsidRPr="00E940CF">
              <w:rPr>
                <w:rFonts w:ascii="Aptos" w:hAnsi="Aptos" w:cs="Times New Roman"/>
                <w:sz w:val="24"/>
                <w:szCs w:val="24"/>
              </w:rPr>
              <w:t>MA</w:t>
            </w:r>
          </w:p>
        </w:tc>
        <w:tc>
          <w:tcPr>
            <w:tcW w:w="983" w:type="dxa"/>
            <w:tcBorders>
              <w:bottom w:val="single" w:sz="12" w:space="0" w:color="auto"/>
            </w:tcBorders>
          </w:tcPr>
          <w:p w14:paraId="6D236731" w14:textId="4C1E93E5" w:rsidR="006A4923" w:rsidRPr="00E940CF" w:rsidRDefault="006A4923" w:rsidP="00D17207">
            <w:pPr>
              <w:rPr>
                <w:rFonts w:ascii="Aptos" w:hAnsi="Aptos" w:cs="Times New Roman"/>
                <w:sz w:val="24"/>
                <w:szCs w:val="24"/>
              </w:rPr>
            </w:pPr>
            <w:r w:rsidRPr="00E940CF">
              <w:rPr>
                <w:rFonts w:ascii="Aptos" w:hAnsi="Aptos" w:cs="Times New Roman"/>
                <w:sz w:val="24"/>
                <w:szCs w:val="24"/>
              </w:rPr>
              <w:t>02360</w:t>
            </w:r>
          </w:p>
        </w:tc>
        <w:tc>
          <w:tcPr>
            <w:tcW w:w="1248" w:type="dxa"/>
            <w:tcBorders>
              <w:bottom w:val="single" w:sz="12" w:space="0" w:color="auto"/>
            </w:tcBorders>
          </w:tcPr>
          <w:p w14:paraId="023AB84B" w14:textId="73462F7D" w:rsidR="006A4923" w:rsidRPr="00E940CF" w:rsidRDefault="00D8143A" w:rsidP="00D17207">
            <w:pPr>
              <w:rPr>
                <w:rFonts w:ascii="Aptos" w:hAnsi="Aptos" w:cs="Times New Roman"/>
                <w:sz w:val="24"/>
                <w:szCs w:val="24"/>
              </w:rPr>
            </w:pPr>
            <w:r w:rsidRPr="00E940CF">
              <w:rPr>
                <w:rFonts w:ascii="Aptos" w:hAnsi="Aptos" w:cs="Times New Roman"/>
                <w:sz w:val="24"/>
                <w:szCs w:val="24"/>
              </w:rPr>
              <w:t>46 Minutes</w:t>
            </w:r>
          </w:p>
        </w:tc>
        <w:tc>
          <w:tcPr>
            <w:tcW w:w="1074" w:type="dxa"/>
            <w:tcBorders>
              <w:bottom w:val="single" w:sz="12" w:space="0" w:color="auto"/>
            </w:tcBorders>
          </w:tcPr>
          <w:p w14:paraId="21BCC188" w14:textId="56B654EB" w:rsidR="006A4923" w:rsidRPr="00E940CF" w:rsidRDefault="00D8143A" w:rsidP="00D17207">
            <w:pPr>
              <w:rPr>
                <w:rFonts w:ascii="Aptos" w:hAnsi="Aptos" w:cs="Times New Roman"/>
                <w:sz w:val="24"/>
                <w:szCs w:val="24"/>
              </w:rPr>
            </w:pPr>
            <w:r w:rsidRPr="00E940CF">
              <w:rPr>
                <w:rFonts w:ascii="Aptos" w:hAnsi="Aptos" w:cs="Times New Roman"/>
                <w:sz w:val="24"/>
                <w:szCs w:val="24"/>
              </w:rPr>
              <w:t>31 Miles</w:t>
            </w:r>
          </w:p>
        </w:tc>
      </w:tr>
      <w:tr w:rsidR="006A4923" w:rsidRPr="00E940CF" w14:paraId="53A44637" w14:textId="77777777" w:rsidTr="00997AE6">
        <w:tc>
          <w:tcPr>
            <w:tcW w:w="1106" w:type="dxa"/>
            <w:tcBorders>
              <w:top w:val="single" w:sz="12" w:space="0" w:color="auto"/>
            </w:tcBorders>
          </w:tcPr>
          <w:p w14:paraId="7979613F" w14:textId="35E91A0C" w:rsidR="006A4923" w:rsidRPr="00E940CF" w:rsidRDefault="006A4923" w:rsidP="00D17207">
            <w:pPr>
              <w:rPr>
                <w:rFonts w:ascii="Aptos" w:hAnsi="Aptos" w:cs="Times New Roman"/>
                <w:sz w:val="24"/>
                <w:szCs w:val="24"/>
              </w:rPr>
            </w:pPr>
            <w:r w:rsidRPr="00E940CF">
              <w:rPr>
                <w:rFonts w:ascii="Aptos" w:hAnsi="Aptos" w:cs="Times New Roman"/>
                <w:sz w:val="24"/>
                <w:szCs w:val="24"/>
              </w:rPr>
              <w:t>9880</w:t>
            </w:r>
          </w:p>
        </w:tc>
        <w:tc>
          <w:tcPr>
            <w:tcW w:w="4196" w:type="dxa"/>
            <w:tcBorders>
              <w:top w:val="single" w:sz="12" w:space="0" w:color="auto"/>
            </w:tcBorders>
          </w:tcPr>
          <w:p w14:paraId="4094A21A" w14:textId="7576EEEB" w:rsidR="006A4923" w:rsidRPr="00E940CF" w:rsidRDefault="00A619A7" w:rsidP="00D17207">
            <w:pPr>
              <w:rPr>
                <w:rFonts w:ascii="Aptos" w:hAnsi="Aptos" w:cs="Times New Roman"/>
                <w:sz w:val="24"/>
                <w:szCs w:val="24"/>
              </w:rPr>
            </w:pPr>
            <w:r w:rsidRPr="00E940CF">
              <w:rPr>
                <w:rFonts w:ascii="Aptos" w:hAnsi="Aptos" w:cs="Times New Roman"/>
                <w:sz w:val="24"/>
                <w:szCs w:val="24"/>
              </w:rPr>
              <w:t>Brigham &amp; Women’s Hospital</w:t>
            </w:r>
          </w:p>
        </w:tc>
        <w:tc>
          <w:tcPr>
            <w:tcW w:w="2125" w:type="dxa"/>
            <w:tcBorders>
              <w:top w:val="single" w:sz="12" w:space="0" w:color="auto"/>
            </w:tcBorders>
          </w:tcPr>
          <w:p w14:paraId="211B8ECC" w14:textId="3C01E815" w:rsidR="006A4923" w:rsidRPr="00E940CF" w:rsidRDefault="006A4923" w:rsidP="00D17207">
            <w:pPr>
              <w:rPr>
                <w:rFonts w:ascii="Aptos" w:hAnsi="Aptos" w:cs="Times New Roman"/>
                <w:sz w:val="24"/>
                <w:szCs w:val="24"/>
              </w:rPr>
            </w:pPr>
            <w:r w:rsidRPr="00E940CF">
              <w:rPr>
                <w:rFonts w:ascii="Aptos" w:hAnsi="Aptos" w:cs="Times New Roman"/>
                <w:sz w:val="24"/>
                <w:szCs w:val="24"/>
              </w:rPr>
              <w:t xml:space="preserve">89 </w:t>
            </w:r>
            <w:r w:rsidR="00A619A7" w:rsidRPr="00E940CF">
              <w:rPr>
                <w:rFonts w:ascii="Aptos" w:hAnsi="Aptos" w:cs="Times New Roman"/>
                <w:sz w:val="24"/>
                <w:szCs w:val="24"/>
              </w:rPr>
              <w:t>Forbes Boulevard</w:t>
            </w:r>
          </w:p>
        </w:tc>
        <w:tc>
          <w:tcPr>
            <w:tcW w:w="1421" w:type="dxa"/>
            <w:tcBorders>
              <w:top w:val="single" w:sz="12" w:space="0" w:color="auto"/>
            </w:tcBorders>
          </w:tcPr>
          <w:p w14:paraId="3941E94C" w14:textId="6ABB38DA" w:rsidR="006A4923" w:rsidRPr="00E940CF" w:rsidRDefault="00A619A7" w:rsidP="00D17207">
            <w:pPr>
              <w:rPr>
                <w:rFonts w:ascii="Aptos" w:hAnsi="Aptos" w:cs="Times New Roman"/>
                <w:sz w:val="24"/>
                <w:szCs w:val="24"/>
              </w:rPr>
            </w:pPr>
            <w:r w:rsidRPr="00E940CF">
              <w:rPr>
                <w:rFonts w:ascii="Aptos" w:hAnsi="Aptos" w:cs="Times New Roman"/>
                <w:sz w:val="24"/>
                <w:szCs w:val="24"/>
              </w:rPr>
              <w:t>Mansfield</w:t>
            </w:r>
          </w:p>
        </w:tc>
        <w:tc>
          <w:tcPr>
            <w:tcW w:w="797" w:type="dxa"/>
            <w:tcBorders>
              <w:top w:val="single" w:sz="12" w:space="0" w:color="auto"/>
            </w:tcBorders>
          </w:tcPr>
          <w:p w14:paraId="309FE380" w14:textId="25007B54" w:rsidR="006A4923" w:rsidRPr="00E940CF" w:rsidRDefault="006A4923" w:rsidP="00D17207">
            <w:pPr>
              <w:rPr>
                <w:rFonts w:ascii="Aptos" w:hAnsi="Aptos" w:cs="Times New Roman"/>
                <w:sz w:val="24"/>
                <w:szCs w:val="24"/>
              </w:rPr>
            </w:pPr>
            <w:r w:rsidRPr="00E940CF">
              <w:rPr>
                <w:rFonts w:ascii="Aptos" w:hAnsi="Aptos" w:cs="Times New Roman"/>
                <w:sz w:val="24"/>
                <w:szCs w:val="24"/>
              </w:rPr>
              <w:t>MA</w:t>
            </w:r>
          </w:p>
        </w:tc>
        <w:tc>
          <w:tcPr>
            <w:tcW w:w="983" w:type="dxa"/>
            <w:tcBorders>
              <w:top w:val="single" w:sz="12" w:space="0" w:color="auto"/>
            </w:tcBorders>
          </w:tcPr>
          <w:p w14:paraId="00E765A5" w14:textId="32E5C065" w:rsidR="006A4923" w:rsidRPr="00E940CF" w:rsidRDefault="006A4923" w:rsidP="00D17207">
            <w:pPr>
              <w:rPr>
                <w:rFonts w:ascii="Aptos" w:hAnsi="Aptos" w:cs="Times New Roman"/>
                <w:sz w:val="24"/>
                <w:szCs w:val="24"/>
              </w:rPr>
            </w:pPr>
            <w:r w:rsidRPr="00E940CF">
              <w:rPr>
                <w:rFonts w:ascii="Aptos" w:hAnsi="Aptos" w:cs="Times New Roman"/>
                <w:sz w:val="24"/>
                <w:szCs w:val="24"/>
              </w:rPr>
              <w:t>02048</w:t>
            </w:r>
          </w:p>
        </w:tc>
        <w:tc>
          <w:tcPr>
            <w:tcW w:w="1248" w:type="dxa"/>
            <w:tcBorders>
              <w:top w:val="single" w:sz="12" w:space="0" w:color="auto"/>
            </w:tcBorders>
          </w:tcPr>
          <w:p w14:paraId="48330AA3" w14:textId="670D8CC1" w:rsidR="006A4923" w:rsidRPr="00E940CF" w:rsidRDefault="00D8143A" w:rsidP="00D17207">
            <w:pPr>
              <w:rPr>
                <w:rFonts w:ascii="Aptos" w:hAnsi="Aptos" w:cs="Times New Roman"/>
                <w:sz w:val="24"/>
                <w:szCs w:val="24"/>
              </w:rPr>
            </w:pPr>
            <w:r w:rsidRPr="00E940CF">
              <w:rPr>
                <w:rFonts w:ascii="Aptos" w:hAnsi="Aptos" w:cs="Times New Roman"/>
                <w:sz w:val="24"/>
                <w:szCs w:val="24"/>
              </w:rPr>
              <w:t>51 Minutes</w:t>
            </w:r>
          </w:p>
        </w:tc>
        <w:tc>
          <w:tcPr>
            <w:tcW w:w="1074" w:type="dxa"/>
            <w:tcBorders>
              <w:top w:val="single" w:sz="12" w:space="0" w:color="auto"/>
            </w:tcBorders>
          </w:tcPr>
          <w:p w14:paraId="692BE2AF" w14:textId="6A7DD639" w:rsidR="006A4923" w:rsidRPr="00E940CF" w:rsidRDefault="00D8143A" w:rsidP="00D17207">
            <w:pPr>
              <w:rPr>
                <w:rFonts w:ascii="Aptos" w:hAnsi="Aptos" w:cs="Times New Roman"/>
                <w:sz w:val="24"/>
                <w:szCs w:val="24"/>
              </w:rPr>
            </w:pPr>
            <w:r w:rsidRPr="00E940CF">
              <w:rPr>
                <w:rFonts w:ascii="Aptos" w:hAnsi="Aptos" w:cs="Times New Roman"/>
                <w:sz w:val="24"/>
                <w:szCs w:val="24"/>
              </w:rPr>
              <w:t>44 Miles</w:t>
            </w:r>
          </w:p>
        </w:tc>
      </w:tr>
      <w:tr w:rsidR="006A4923" w:rsidRPr="00E940CF" w14:paraId="6A5822F9" w14:textId="77777777" w:rsidTr="00997AE6">
        <w:tc>
          <w:tcPr>
            <w:tcW w:w="1106" w:type="dxa"/>
          </w:tcPr>
          <w:p w14:paraId="258CBC34" w14:textId="7C3D190D" w:rsidR="006A4923" w:rsidRPr="00E940CF" w:rsidRDefault="006A4923" w:rsidP="00D17207">
            <w:pPr>
              <w:rPr>
                <w:rFonts w:ascii="Aptos" w:hAnsi="Aptos" w:cs="Times New Roman"/>
                <w:sz w:val="24"/>
                <w:szCs w:val="24"/>
              </w:rPr>
            </w:pPr>
            <w:r w:rsidRPr="00E940CF">
              <w:rPr>
                <w:rFonts w:ascii="Aptos" w:hAnsi="Aptos" w:cs="Times New Roman"/>
                <w:sz w:val="24"/>
                <w:szCs w:val="24"/>
              </w:rPr>
              <w:t>2331</w:t>
            </w:r>
          </w:p>
        </w:tc>
        <w:tc>
          <w:tcPr>
            <w:tcW w:w="4196" w:type="dxa"/>
          </w:tcPr>
          <w:p w14:paraId="231CE9B0" w14:textId="0FC26DDA" w:rsidR="006A4923" w:rsidRPr="00E940CF" w:rsidRDefault="00A619A7" w:rsidP="00D17207">
            <w:pPr>
              <w:rPr>
                <w:rFonts w:ascii="Aptos" w:hAnsi="Aptos" w:cs="Times New Roman"/>
                <w:sz w:val="24"/>
                <w:szCs w:val="24"/>
              </w:rPr>
            </w:pPr>
            <w:r w:rsidRPr="00E940CF">
              <w:rPr>
                <w:rFonts w:ascii="Aptos" w:hAnsi="Aptos" w:cs="Times New Roman"/>
                <w:sz w:val="24"/>
                <w:szCs w:val="24"/>
              </w:rPr>
              <w:t>Brockton Hospital – Greene Cancer Center</w:t>
            </w:r>
          </w:p>
        </w:tc>
        <w:tc>
          <w:tcPr>
            <w:tcW w:w="2125" w:type="dxa"/>
          </w:tcPr>
          <w:p w14:paraId="273DD3C4" w14:textId="33A28451" w:rsidR="006A4923" w:rsidRPr="00E940CF" w:rsidRDefault="006A4923" w:rsidP="00D17207">
            <w:pPr>
              <w:rPr>
                <w:rFonts w:ascii="Aptos" w:hAnsi="Aptos" w:cs="Times New Roman"/>
                <w:sz w:val="24"/>
                <w:szCs w:val="24"/>
              </w:rPr>
            </w:pPr>
            <w:r w:rsidRPr="00E940CF">
              <w:rPr>
                <w:rFonts w:ascii="Aptos" w:hAnsi="Aptos" w:cs="Times New Roman"/>
                <w:sz w:val="24"/>
                <w:szCs w:val="24"/>
              </w:rPr>
              <w:t>25 Libby Street</w:t>
            </w:r>
          </w:p>
        </w:tc>
        <w:tc>
          <w:tcPr>
            <w:tcW w:w="1421" w:type="dxa"/>
          </w:tcPr>
          <w:p w14:paraId="09F1BCFB" w14:textId="725D62AC" w:rsidR="006A4923" w:rsidRPr="00E940CF" w:rsidRDefault="00A619A7" w:rsidP="00D17207">
            <w:pPr>
              <w:rPr>
                <w:rFonts w:ascii="Aptos" w:hAnsi="Aptos" w:cs="Times New Roman"/>
                <w:sz w:val="24"/>
                <w:szCs w:val="24"/>
              </w:rPr>
            </w:pPr>
            <w:r w:rsidRPr="00E940CF">
              <w:rPr>
                <w:rFonts w:ascii="Aptos" w:hAnsi="Aptos" w:cs="Times New Roman"/>
                <w:sz w:val="24"/>
                <w:szCs w:val="24"/>
              </w:rPr>
              <w:t>Brockton</w:t>
            </w:r>
          </w:p>
        </w:tc>
        <w:tc>
          <w:tcPr>
            <w:tcW w:w="797" w:type="dxa"/>
          </w:tcPr>
          <w:p w14:paraId="19EB9432" w14:textId="7BFBCA57" w:rsidR="006A4923" w:rsidRPr="00E940CF" w:rsidRDefault="006A4923" w:rsidP="00D17207">
            <w:pPr>
              <w:rPr>
                <w:rFonts w:ascii="Aptos" w:hAnsi="Aptos" w:cs="Times New Roman"/>
                <w:sz w:val="24"/>
                <w:szCs w:val="24"/>
              </w:rPr>
            </w:pPr>
            <w:r w:rsidRPr="00E940CF">
              <w:rPr>
                <w:rFonts w:ascii="Aptos" w:hAnsi="Aptos" w:cs="Times New Roman"/>
                <w:sz w:val="24"/>
                <w:szCs w:val="24"/>
              </w:rPr>
              <w:t>MA</w:t>
            </w:r>
          </w:p>
        </w:tc>
        <w:tc>
          <w:tcPr>
            <w:tcW w:w="983" w:type="dxa"/>
          </w:tcPr>
          <w:p w14:paraId="7DA0FFAD" w14:textId="1C55F82F" w:rsidR="006A4923" w:rsidRPr="00E940CF" w:rsidRDefault="006A4923" w:rsidP="00D17207">
            <w:pPr>
              <w:rPr>
                <w:rFonts w:ascii="Aptos" w:hAnsi="Aptos" w:cs="Times New Roman"/>
                <w:sz w:val="24"/>
                <w:szCs w:val="24"/>
              </w:rPr>
            </w:pPr>
            <w:r w:rsidRPr="00E940CF">
              <w:rPr>
                <w:rFonts w:ascii="Aptos" w:hAnsi="Aptos" w:cs="Times New Roman"/>
                <w:sz w:val="24"/>
                <w:szCs w:val="24"/>
              </w:rPr>
              <w:t>02302</w:t>
            </w:r>
          </w:p>
        </w:tc>
        <w:tc>
          <w:tcPr>
            <w:tcW w:w="1248" w:type="dxa"/>
          </w:tcPr>
          <w:p w14:paraId="247D94EC" w14:textId="3F388A7B" w:rsidR="006A4923" w:rsidRPr="00E940CF" w:rsidRDefault="00D8143A" w:rsidP="00D17207">
            <w:pPr>
              <w:rPr>
                <w:rFonts w:ascii="Aptos" w:hAnsi="Aptos" w:cs="Times New Roman"/>
                <w:sz w:val="24"/>
                <w:szCs w:val="24"/>
              </w:rPr>
            </w:pPr>
            <w:r w:rsidRPr="00E940CF">
              <w:rPr>
                <w:rFonts w:ascii="Aptos" w:hAnsi="Aptos" w:cs="Times New Roman"/>
                <w:sz w:val="24"/>
                <w:szCs w:val="24"/>
              </w:rPr>
              <w:t>53 Minutes</w:t>
            </w:r>
          </w:p>
        </w:tc>
        <w:tc>
          <w:tcPr>
            <w:tcW w:w="1074" w:type="dxa"/>
          </w:tcPr>
          <w:p w14:paraId="00C6EBFE" w14:textId="1DC698FD" w:rsidR="006A4923" w:rsidRPr="00E940CF" w:rsidRDefault="00D8143A" w:rsidP="00D17207">
            <w:pPr>
              <w:rPr>
                <w:rFonts w:ascii="Aptos" w:hAnsi="Aptos" w:cs="Times New Roman"/>
                <w:sz w:val="24"/>
                <w:szCs w:val="24"/>
              </w:rPr>
            </w:pPr>
            <w:r w:rsidRPr="00E940CF">
              <w:rPr>
                <w:rFonts w:ascii="Aptos" w:hAnsi="Aptos" w:cs="Times New Roman"/>
                <w:sz w:val="24"/>
                <w:szCs w:val="24"/>
              </w:rPr>
              <w:t>42 Miles</w:t>
            </w:r>
          </w:p>
        </w:tc>
      </w:tr>
      <w:tr w:rsidR="006A4923" w:rsidRPr="00E940CF" w14:paraId="6D9F3143" w14:textId="77777777" w:rsidTr="00997AE6">
        <w:tc>
          <w:tcPr>
            <w:tcW w:w="1106" w:type="dxa"/>
          </w:tcPr>
          <w:p w14:paraId="2EC8AC12" w14:textId="508E96E1" w:rsidR="006A4923" w:rsidRPr="00E940CF" w:rsidRDefault="006A4923" w:rsidP="00D17207">
            <w:pPr>
              <w:rPr>
                <w:rFonts w:ascii="Aptos" w:hAnsi="Aptos" w:cs="Times New Roman"/>
                <w:sz w:val="24"/>
                <w:szCs w:val="24"/>
              </w:rPr>
            </w:pPr>
            <w:r w:rsidRPr="00E940CF">
              <w:rPr>
                <w:rFonts w:ascii="Aptos" w:hAnsi="Aptos" w:cs="Times New Roman"/>
                <w:sz w:val="24"/>
                <w:szCs w:val="24"/>
              </w:rPr>
              <w:t>4288</w:t>
            </w:r>
          </w:p>
        </w:tc>
        <w:tc>
          <w:tcPr>
            <w:tcW w:w="4196" w:type="dxa"/>
          </w:tcPr>
          <w:p w14:paraId="637DF93E" w14:textId="1182FA38" w:rsidR="006A4923" w:rsidRPr="00E940CF" w:rsidRDefault="006A4923" w:rsidP="00D17207">
            <w:pPr>
              <w:rPr>
                <w:rFonts w:ascii="Aptos" w:hAnsi="Aptos" w:cs="Times New Roman"/>
                <w:sz w:val="24"/>
                <w:szCs w:val="24"/>
              </w:rPr>
            </w:pPr>
            <w:r w:rsidRPr="00E940CF">
              <w:rPr>
                <w:rFonts w:ascii="Aptos" w:hAnsi="Aptos" w:cs="Times New Roman"/>
                <w:sz w:val="24"/>
                <w:szCs w:val="24"/>
              </w:rPr>
              <w:t>Brown University Health Cancer Institute at Foxboro</w:t>
            </w:r>
          </w:p>
        </w:tc>
        <w:tc>
          <w:tcPr>
            <w:tcW w:w="2125" w:type="dxa"/>
          </w:tcPr>
          <w:p w14:paraId="72CF9D08" w14:textId="139AD9B5" w:rsidR="006A4923" w:rsidRPr="00E940CF" w:rsidRDefault="006A4923" w:rsidP="00D17207">
            <w:pPr>
              <w:rPr>
                <w:rFonts w:ascii="Aptos" w:hAnsi="Aptos" w:cs="Times New Roman"/>
                <w:sz w:val="24"/>
                <w:szCs w:val="24"/>
              </w:rPr>
            </w:pPr>
            <w:r w:rsidRPr="00E940CF">
              <w:rPr>
                <w:rFonts w:ascii="Aptos" w:hAnsi="Aptos" w:cs="Times New Roman"/>
                <w:sz w:val="24"/>
                <w:szCs w:val="24"/>
              </w:rPr>
              <w:t xml:space="preserve">70 </w:t>
            </w:r>
            <w:r w:rsidR="00A619A7" w:rsidRPr="00E940CF">
              <w:rPr>
                <w:rFonts w:ascii="Aptos" w:hAnsi="Aptos" w:cs="Times New Roman"/>
                <w:sz w:val="24"/>
                <w:szCs w:val="24"/>
              </w:rPr>
              <w:t>Walnut Street</w:t>
            </w:r>
          </w:p>
        </w:tc>
        <w:tc>
          <w:tcPr>
            <w:tcW w:w="1421" w:type="dxa"/>
          </w:tcPr>
          <w:p w14:paraId="21C8301F" w14:textId="7EAE9C5A" w:rsidR="006A4923" w:rsidRPr="00E940CF" w:rsidRDefault="00A619A7" w:rsidP="00D17207">
            <w:pPr>
              <w:rPr>
                <w:rFonts w:ascii="Aptos" w:hAnsi="Aptos" w:cs="Times New Roman"/>
                <w:sz w:val="24"/>
                <w:szCs w:val="24"/>
              </w:rPr>
            </w:pPr>
            <w:r w:rsidRPr="00E940CF">
              <w:rPr>
                <w:rFonts w:ascii="Aptos" w:hAnsi="Aptos" w:cs="Times New Roman"/>
                <w:sz w:val="24"/>
                <w:szCs w:val="24"/>
              </w:rPr>
              <w:t>Foxboro</w:t>
            </w:r>
          </w:p>
        </w:tc>
        <w:tc>
          <w:tcPr>
            <w:tcW w:w="797" w:type="dxa"/>
          </w:tcPr>
          <w:p w14:paraId="17EAE49D" w14:textId="2E5F44F5" w:rsidR="006A4923" w:rsidRPr="00E940CF" w:rsidRDefault="006A4923" w:rsidP="00D17207">
            <w:pPr>
              <w:rPr>
                <w:rFonts w:ascii="Aptos" w:hAnsi="Aptos" w:cs="Times New Roman"/>
                <w:sz w:val="24"/>
                <w:szCs w:val="24"/>
              </w:rPr>
            </w:pPr>
            <w:r w:rsidRPr="00E940CF">
              <w:rPr>
                <w:rFonts w:ascii="Aptos" w:hAnsi="Aptos" w:cs="Times New Roman"/>
                <w:sz w:val="24"/>
                <w:szCs w:val="24"/>
              </w:rPr>
              <w:t>MA</w:t>
            </w:r>
          </w:p>
        </w:tc>
        <w:tc>
          <w:tcPr>
            <w:tcW w:w="983" w:type="dxa"/>
          </w:tcPr>
          <w:p w14:paraId="29511C39" w14:textId="103300F4" w:rsidR="006A4923" w:rsidRPr="00E940CF" w:rsidRDefault="006A4923" w:rsidP="00D17207">
            <w:pPr>
              <w:rPr>
                <w:rFonts w:ascii="Aptos" w:hAnsi="Aptos" w:cs="Times New Roman"/>
                <w:sz w:val="24"/>
                <w:szCs w:val="24"/>
              </w:rPr>
            </w:pPr>
            <w:r w:rsidRPr="00E940CF">
              <w:rPr>
                <w:rFonts w:ascii="Aptos" w:hAnsi="Aptos" w:cs="Times New Roman"/>
                <w:sz w:val="24"/>
                <w:szCs w:val="24"/>
              </w:rPr>
              <w:t>02305</w:t>
            </w:r>
          </w:p>
        </w:tc>
        <w:tc>
          <w:tcPr>
            <w:tcW w:w="1248" w:type="dxa"/>
          </w:tcPr>
          <w:p w14:paraId="27B49199" w14:textId="7F663D8B" w:rsidR="006A4923" w:rsidRPr="00E940CF" w:rsidRDefault="00D8143A" w:rsidP="00D17207">
            <w:pPr>
              <w:rPr>
                <w:rFonts w:ascii="Aptos" w:hAnsi="Aptos" w:cs="Times New Roman"/>
                <w:sz w:val="24"/>
                <w:szCs w:val="24"/>
              </w:rPr>
            </w:pPr>
            <w:r w:rsidRPr="00E940CF">
              <w:rPr>
                <w:rFonts w:ascii="Aptos" w:hAnsi="Aptos" w:cs="Times New Roman"/>
                <w:sz w:val="24"/>
                <w:szCs w:val="24"/>
              </w:rPr>
              <w:t>55 Minutes</w:t>
            </w:r>
          </w:p>
        </w:tc>
        <w:tc>
          <w:tcPr>
            <w:tcW w:w="1074" w:type="dxa"/>
          </w:tcPr>
          <w:p w14:paraId="55425AB8" w14:textId="169A2FF1" w:rsidR="006A4923" w:rsidRPr="00E940CF" w:rsidRDefault="00D8143A" w:rsidP="00D17207">
            <w:pPr>
              <w:rPr>
                <w:rFonts w:ascii="Aptos" w:hAnsi="Aptos" w:cs="Times New Roman"/>
                <w:sz w:val="24"/>
                <w:szCs w:val="24"/>
              </w:rPr>
            </w:pPr>
            <w:r w:rsidRPr="00E940CF">
              <w:rPr>
                <w:rFonts w:ascii="Aptos" w:hAnsi="Aptos" w:cs="Times New Roman"/>
                <w:sz w:val="24"/>
                <w:szCs w:val="24"/>
              </w:rPr>
              <w:t>46 Miles</w:t>
            </w:r>
          </w:p>
        </w:tc>
      </w:tr>
      <w:tr w:rsidR="006A4923" w:rsidRPr="00E940CF" w14:paraId="0694328A" w14:textId="77777777" w:rsidTr="00997AE6">
        <w:tc>
          <w:tcPr>
            <w:tcW w:w="1106" w:type="dxa"/>
          </w:tcPr>
          <w:p w14:paraId="1581E221" w14:textId="7670B9EF" w:rsidR="006A4923" w:rsidRPr="00E940CF" w:rsidRDefault="006A4923" w:rsidP="00D17207">
            <w:pPr>
              <w:rPr>
                <w:rFonts w:ascii="Aptos" w:hAnsi="Aptos" w:cs="Times New Roman"/>
                <w:sz w:val="24"/>
                <w:szCs w:val="24"/>
              </w:rPr>
            </w:pPr>
            <w:r w:rsidRPr="00E940CF">
              <w:rPr>
                <w:rFonts w:ascii="Aptos" w:hAnsi="Aptos" w:cs="Times New Roman"/>
                <w:sz w:val="24"/>
                <w:szCs w:val="24"/>
              </w:rPr>
              <w:t>4284</w:t>
            </w:r>
          </w:p>
        </w:tc>
        <w:tc>
          <w:tcPr>
            <w:tcW w:w="4196" w:type="dxa"/>
          </w:tcPr>
          <w:p w14:paraId="32CCB7AC" w14:textId="28665B43" w:rsidR="006A4923" w:rsidRPr="00E940CF" w:rsidRDefault="00A619A7" w:rsidP="00D17207">
            <w:pPr>
              <w:rPr>
                <w:rFonts w:ascii="Aptos" w:hAnsi="Aptos" w:cs="Times New Roman"/>
                <w:sz w:val="24"/>
                <w:szCs w:val="24"/>
              </w:rPr>
            </w:pPr>
            <w:r w:rsidRPr="00E940CF">
              <w:rPr>
                <w:rFonts w:ascii="Aptos" w:hAnsi="Aptos" w:cs="Times New Roman"/>
                <w:sz w:val="24"/>
                <w:szCs w:val="24"/>
              </w:rPr>
              <w:t>Cape Cod Hospital</w:t>
            </w:r>
          </w:p>
        </w:tc>
        <w:tc>
          <w:tcPr>
            <w:tcW w:w="2125" w:type="dxa"/>
          </w:tcPr>
          <w:p w14:paraId="72AF1759" w14:textId="4C14B982" w:rsidR="006A4923" w:rsidRPr="00E940CF" w:rsidRDefault="00A619A7" w:rsidP="00D17207">
            <w:pPr>
              <w:rPr>
                <w:rFonts w:ascii="Aptos" w:hAnsi="Aptos" w:cs="Times New Roman"/>
                <w:sz w:val="24"/>
                <w:szCs w:val="24"/>
              </w:rPr>
            </w:pPr>
            <w:r w:rsidRPr="00E940CF">
              <w:rPr>
                <w:rFonts w:ascii="Aptos" w:hAnsi="Aptos" w:cs="Times New Roman"/>
                <w:sz w:val="24"/>
                <w:szCs w:val="24"/>
              </w:rPr>
              <w:t>27 Park St</w:t>
            </w:r>
            <w:r>
              <w:rPr>
                <w:rFonts w:ascii="Aptos" w:hAnsi="Aptos" w:cs="Times New Roman"/>
                <w:sz w:val="24"/>
                <w:szCs w:val="24"/>
              </w:rPr>
              <w:t>reet</w:t>
            </w:r>
          </w:p>
        </w:tc>
        <w:tc>
          <w:tcPr>
            <w:tcW w:w="1421" w:type="dxa"/>
          </w:tcPr>
          <w:p w14:paraId="421FB7AE" w14:textId="50F62EFA" w:rsidR="006A4923" w:rsidRPr="00E940CF" w:rsidRDefault="00A619A7" w:rsidP="00D17207">
            <w:pPr>
              <w:rPr>
                <w:rFonts w:ascii="Aptos" w:hAnsi="Aptos" w:cs="Times New Roman"/>
                <w:sz w:val="24"/>
                <w:szCs w:val="24"/>
              </w:rPr>
            </w:pPr>
            <w:r w:rsidRPr="00E940CF">
              <w:rPr>
                <w:rFonts w:ascii="Aptos" w:hAnsi="Aptos" w:cs="Times New Roman"/>
                <w:sz w:val="24"/>
                <w:szCs w:val="24"/>
              </w:rPr>
              <w:t>Hyannis</w:t>
            </w:r>
          </w:p>
        </w:tc>
        <w:tc>
          <w:tcPr>
            <w:tcW w:w="797" w:type="dxa"/>
          </w:tcPr>
          <w:p w14:paraId="55D65BE9" w14:textId="4D6826BB" w:rsidR="006A4923" w:rsidRPr="00E940CF" w:rsidRDefault="006A4923" w:rsidP="00D17207">
            <w:pPr>
              <w:rPr>
                <w:rFonts w:ascii="Aptos" w:hAnsi="Aptos" w:cs="Times New Roman"/>
                <w:sz w:val="24"/>
                <w:szCs w:val="24"/>
              </w:rPr>
            </w:pPr>
            <w:r w:rsidRPr="00E940CF">
              <w:rPr>
                <w:rFonts w:ascii="Aptos" w:hAnsi="Aptos" w:cs="Times New Roman"/>
                <w:sz w:val="24"/>
                <w:szCs w:val="24"/>
              </w:rPr>
              <w:t>MA</w:t>
            </w:r>
          </w:p>
        </w:tc>
        <w:tc>
          <w:tcPr>
            <w:tcW w:w="983" w:type="dxa"/>
          </w:tcPr>
          <w:p w14:paraId="1B90E159" w14:textId="1DC3D1F6" w:rsidR="006A4923" w:rsidRPr="00E940CF" w:rsidRDefault="006A4923" w:rsidP="00D17207">
            <w:pPr>
              <w:rPr>
                <w:rFonts w:ascii="Aptos" w:hAnsi="Aptos" w:cs="Times New Roman"/>
                <w:sz w:val="24"/>
                <w:szCs w:val="24"/>
              </w:rPr>
            </w:pPr>
            <w:r w:rsidRPr="00E940CF">
              <w:rPr>
                <w:rFonts w:ascii="Aptos" w:hAnsi="Aptos" w:cs="Times New Roman"/>
                <w:sz w:val="24"/>
                <w:szCs w:val="24"/>
              </w:rPr>
              <w:t>02601</w:t>
            </w:r>
          </w:p>
        </w:tc>
        <w:tc>
          <w:tcPr>
            <w:tcW w:w="1248" w:type="dxa"/>
          </w:tcPr>
          <w:p w14:paraId="2021D5CC" w14:textId="1390B3C2" w:rsidR="006A4923" w:rsidRPr="00E940CF" w:rsidRDefault="00D8143A" w:rsidP="00D17207">
            <w:pPr>
              <w:rPr>
                <w:rFonts w:ascii="Aptos" w:hAnsi="Aptos" w:cs="Times New Roman"/>
                <w:sz w:val="24"/>
                <w:szCs w:val="24"/>
              </w:rPr>
            </w:pPr>
            <w:r w:rsidRPr="00E940CF">
              <w:rPr>
                <w:rFonts w:ascii="Aptos" w:hAnsi="Aptos" w:cs="Times New Roman"/>
                <w:sz w:val="24"/>
                <w:szCs w:val="24"/>
              </w:rPr>
              <w:t>55 Minutes</w:t>
            </w:r>
          </w:p>
        </w:tc>
        <w:tc>
          <w:tcPr>
            <w:tcW w:w="1074" w:type="dxa"/>
          </w:tcPr>
          <w:p w14:paraId="4D13AB01" w14:textId="521E4EE6" w:rsidR="006A4923" w:rsidRPr="00E940CF" w:rsidRDefault="00D8143A" w:rsidP="00D17207">
            <w:pPr>
              <w:rPr>
                <w:rFonts w:ascii="Aptos" w:hAnsi="Aptos" w:cs="Times New Roman"/>
                <w:sz w:val="24"/>
                <w:szCs w:val="24"/>
              </w:rPr>
            </w:pPr>
            <w:r w:rsidRPr="00E940CF">
              <w:rPr>
                <w:rFonts w:ascii="Aptos" w:hAnsi="Aptos" w:cs="Times New Roman"/>
                <w:sz w:val="24"/>
                <w:szCs w:val="24"/>
              </w:rPr>
              <w:t>48 Miles</w:t>
            </w:r>
          </w:p>
        </w:tc>
      </w:tr>
    </w:tbl>
    <w:p w14:paraId="463068C3" w14:textId="0D209BDD" w:rsidR="00137FC9" w:rsidRPr="00E940CF" w:rsidRDefault="00997AE6" w:rsidP="00D17207">
      <w:pPr>
        <w:rPr>
          <w:rFonts w:ascii="Aptos" w:hAnsi="Aptos"/>
          <w:b/>
          <w:bCs/>
          <w:sz w:val="24"/>
          <w:szCs w:val="24"/>
        </w:rPr>
      </w:pPr>
      <w:r w:rsidRPr="00E940CF">
        <w:rPr>
          <w:rFonts w:ascii="Aptos" w:hAnsi="Aptos" w:cs="Times New Roman"/>
          <w:i/>
          <w:iCs/>
          <w:sz w:val="24"/>
          <w:szCs w:val="24"/>
        </w:rPr>
        <w:t>Source: Massachusetts Division of Radiation Control</w:t>
      </w:r>
    </w:p>
    <w:sectPr w:rsidR="00137FC9" w:rsidRPr="00E940CF" w:rsidSect="00D40004">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540D" w14:textId="77777777" w:rsidR="004C741C" w:rsidRDefault="004C741C" w:rsidP="00FA5884">
      <w:pPr>
        <w:spacing w:after="0" w:line="240" w:lineRule="auto"/>
      </w:pPr>
      <w:r>
        <w:separator/>
      </w:r>
    </w:p>
  </w:endnote>
  <w:endnote w:type="continuationSeparator" w:id="0">
    <w:p w14:paraId="7513D327" w14:textId="77777777" w:rsidR="004C741C" w:rsidRDefault="004C741C" w:rsidP="00FA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781AC" w14:textId="77777777" w:rsidR="004C741C" w:rsidRDefault="004C741C" w:rsidP="00FA5884">
      <w:pPr>
        <w:spacing w:after="0" w:line="240" w:lineRule="auto"/>
      </w:pPr>
      <w:r>
        <w:separator/>
      </w:r>
    </w:p>
  </w:footnote>
  <w:footnote w:type="continuationSeparator" w:id="0">
    <w:p w14:paraId="71EFF676" w14:textId="77777777" w:rsidR="004C741C" w:rsidRDefault="004C741C" w:rsidP="00FA5884">
      <w:pPr>
        <w:spacing w:after="0" w:line="240" w:lineRule="auto"/>
      </w:pPr>
      <w:r>
        <w:continuationSeparator/>
      </w:r>
    </w:p>
  </w:footnote>
  <w:footnote w:id="1">
    <w:p w14:paraId="182358C7" w14:textId="2533119A" w:rsidR="00615ED6" w:rsidRPr="00615ED6" w:rsidRDefault="00615ED6">
      <w:pPr>
        <w:pStyle w:val="FootnoteText"/>
        <w:rPr>
          <w:rFonts w:ascii="Times New Roman" w:hAnsi="Times New Roman" w:cs="Times New Roman"/>
        </w:rPr>
      </w:pPr>
      <w:r w:rsidRPr="00615ED6">
        <w:rPr>
          <w:rStyle w:val="FootnoteReference"/>
          <w:rFonts w:ascii="Times New Roman" w:hAnsi="Times New Roman" w:cs="Times New Roman"/>
        </w:rPr>
        <w:footnoteRef/>
      </w:r>
      <w:r w:rsidRPr="00615ED6">
        <w:rPr>
          <w:rFonts w:ascii="Times New Roman" w:hAnsi="Times New Roman" w:cs="Times New Roman"/>
        </w:rPr>
        <w:t xml:space="preserve"> </w:t>
      </w:r>
      <w:r w:rsidR="007F27EF">
        <w:rPr>
          <w:rFonts w:ascii="Times New Roman" w:hAnsi="Times New Roman" w:cs="Times New Roman"/>
        </w:rPr>
        <w:t xml:space="preserve">The Patient Panel data reflected in Tables 1a through 6a reflect unique patients with an encounter in the Applicant’s medical oncology, radiation oncology, or gynecologic oncology departments during the listed </w:t>
      </w:r>
      <w:proofErr w:type="gramStart"/>
      <w:r w:rsidR="007F27EF">
        <w:rPr>
          <w:rFonts w:ascii="Times New Roman" w:hAnsi="Times New Roman" w:cs="Times New Roman"/>
        </w:rPr>
        <w:t>time period</w:t>
      </w:r>
      <w:proofErr w:type="gramEnd"/>
      <w:r w:rsidR="007F27EF">
        <w:rPr>
          <w:rFonts w:ascii="Times New Roman" w:hAnsi="Times New Roman" w:cs="Times New Roman"/>
        </w:rPr>
        <w:t>.</w:t>
      </w:r>
    </w:p>
  </w:footnote>
  <w:footnote w:id="2">
    <w:p w14:paraId="1FF78D52" w14:textId="24D0CEC3" w:rsidR="00924A71" w:rsidRPr="00924A71" w:rsidRDefault="00924A71">
      <w:pPr>
        <w:pStyle w:val="FootnoteText"/>
        <w:rPr>
          <w:rFonts w:ascii="Times New Roman" w:hAnsi="Times New Roman" w:cs="Times New Roman"/>
        </w:rPr>
      </w:pPr>
      <w:r w:rsidRPr="00924A71">
        <w:rPr>
          <w:rStyle w:val="FootnoteReference"/>
          <w:rFonts w:ascii="Times New Roman" w:hAnsi="Times New Roman" w:cs="Times New Roman"/>
        </w:rPr>
        <w:footnoteRef/>
      </w:r>
      <w:r w:rsidRPr="00924A71">
        <w:rPr>
          <w:rFonts w:ascii="Times New Roman" w:hAnsi="Times New Roman" w:cs="Times New Roman"/>
        </w:rPr>
        <w:t xml:space="preserve"> Please note that for privacy purposes, volume figures less than 10 are listed as “</w:t>
      </w:r>
      <w:r w:rsidRPr="00924A71">
        <w:rPr>
          <w:rFonts w:ascii="Times New Roman" w:hAnsi="Times New Roman" w:cs="Times New Roman"/>
          <w:i/>
          <w:iCs/>
        </w:rPr>
        <w:t>&lt;10</w:t>
      </w:r>
      <w:r w:rsidRPr="00924A71">
        <w:rPr>
          <w:rFonts w:ascii="Times New Roman" w:hAnsi="Times New Roman" w:cs="Times New Roman"/>
        </w:rPr>
        <w:t>” throughout these responses.</w:t>
      </w:r>
    </w:p>
  </w:footnote>
  <w:footnote w:id="3">
    <w:p w14:paraId="3BB74CBD" w14:textId="70F46B12" w:rsidR="00D60C5B" w:rsidRPr="00D60C5B" w:rsidRDefault="00D60C5B">
      <w:pPr>
        <w:pStyle w:val="FootnoteText"/>
        <w:rPr>
          <w:rFonts w:ascii="Times New Roman" w:hAnsi="Times New Roman" w:cs="Times New Roman"/>
        </w:rPr>
      </w:pPr>
      <w:r w:rsidRPr="00D60C5B">
        <w:rPr>
          <w:rStyle w:val="FootnoteReference"/>
          <w:rFonts w:ascii="Times New Roman" w:hAnsi="Times New Roman" w:cs="Times New Roman"/>
        </w:rPr>
        <w:footnoteRef/>
      </w:r>
      <w:r w:rsidRPr="00D60C5B">
        <w:rPr>
          <w:rFonts w:ascii="Times New Roman" w:hAnsi="Times New Roman" w:cs="Times New Roman"/>
        </w:rPr>
        <w:t xml:space="preserve"> The Patient Panel cancer case volume reflected in updated Figures 1a and 1b reflects </w:t>
      </w:r>
      <w:r w:rsidRPr="00FD55E6">
        <w:rPr>
          <w:rFonts w:ascii="Times New Roman" w:hAnsi="Times New Roman" w:cs="Times New Roman"/>
        </w:rPr>
        <w:t>new</w:t>
      </w:r>
      <w:r w:rsidRPr="00D60C5B">
        <w:rPr>
          <w:rFonts w:ascii="Times New Roman" w:hAnsi="Times New Roman" w:cs="Times New Roman"/>
        </w:rPr>
        <w:t xml:space="preserve"> cancer diagnoses during the listed </w:t>
      </w:r>
      <w:proofErr w:type="gramStart"/>
      <w:r w:rsidRPr="00D60C5B">
        <w:rPr>
          <w:rFonts w:ascii="Times New Roman" w:hAnsi="Times New Roman" w:cs="Times New Roman"/>
        </w:rPr>
        <w:t>time period</w:t>
      </w:r>
      <w:proofErr w:type="gramEnd"/>
      <w:r w:rsidRPr="00D60C5B">
        <w:rPr>
          <w:rFonts w:ascii="Times New Roman" w:hAnsi="Times New Roman" w:cs="Times New Roman"/>
        </w:rPr>
        <w:t>.</w:t>
      </w:r>
    </w:p>
  </w:footnote>
  <w:footnote w:id="4">
    <w:p w14:paraId="42A0D873" w14:textId="5CD4FE65" w:rsidR="00705804" w:rsidRPr="00705804" w:rsidRDefault="00705804">
      <w:pPr>
        <w:pStyle w:val="FootnoteText"/>
        <w:rPr>
          <w:rFonts w:ascii="Times New Roman" w:hAnsi="Times New Roman" w:cs="Times New Roman"/>
        </w:rPr>
      </w:pPr>
      <w:r w:rsidRPr="00705804">
        <w:rPr>
          <w:rStyle w:val="FootnoteReference"/>
          <w:rFonts w:ascii="Times New Roman" w:hAnsi="Times New Roman" w:cs="Times New Roman"/>
        </w:rPr>
        <w:footnoteRef/>
      </w:r>
      <w:r w:rsidRPr="00705804">
        <w:rPr>
          <w:rFonts w:ascii="Times New Roman" w:hAnsi="Times New Roman" w:cs="Times New Roman"/>
        </w:rPr>
        <w:t xml:space="preserve"> </w:t>
      </w:r>
      <w:r w:rsidRPr="00705804">
        <w:rPr>
          <w:rFonts w:ascii="Times New Roman" w:hAnsi="Times New Roman" w:cs="Times New Roman"/>
          <w:i/>
          <w:iCs/>
        </w:rPr>
        <w:t>See, e.g.</w:t>
      </w:r>
      <w:r w:rsidRPr="00705804">
        <w:rPr>
          <w:rFonts w:ascii="Times New Roman" w:hAnsi="Times New Roman" w:cs="Times New Roman"/>
        </w:rPr>
        <w:t>, Application Narrative at Page 7 indicating that the “</w:t>
      </w:r>
      <w:r w:rsidRPr="00705804">
        <w:rPr>
          <w:rFonts w:ascii="Times New Roman" w:eastAsia="Times New Roman" w:hAnsi="Times New Roman" w:cs="Times New Roman"/>
          <w:color w:val="000000"/>
          <w:szCs w:val="24"/>
          <w:lang w:val="x-none"/>
        </w:rPr>
        <w:t>median age of SHS patients diagnosed or treated with cancer between 2022 and 2024 is approximately 55 years old</w:t>
      </w:r>
      <w:r w:rsidRPr="00705804">
        <w:rPr>
          <w:rFonts w:ascii="Times New Roman" w:eastAsia="Times New Roman" w:hAnsi="Times New Roman" w:cs="Times New Roman"/>
          <w:color w:val="000000"/>
          <w:szCs w:val="24"/>
        </w:rPr>
        <w:t>” when the actual median age is 69 years (in line with national averages); this was due to a blank cell</w:t>
      </w:r>
      <w:r w:rsidR="00896388">
        <w:rPr>
          <w:rFonts w:ascii="Times New Roman" w:eastAsia="Times New Roman" w:hAnsi="Times New Roman" w:cs="Times New Roman"/>
          <w:color w:val="000000"/>
          <w:szCs w:val="24"/>
        </w:rPr>
        <w:t xml:space="preserve"> for ages 0-14</w:t>
      </w:r>
      <w:r w:rsidRPr="00705804">
        <w:rPr>
          <w:rFonts w:ascii="Times New Roman" w:eastAsia="Times New Roman" w:hAnsi="Times New Roman" w:cs="Times New Roman"/>
          <w:color w:val="000000"/>
          <w:szCs w:val="24"/>
        </w:rPr>
        <w:t xml:space="preserve"> being interpolated as “O years of age” which skewed the median data for patients between ages 0-1</w:t>
      </w:r>
      <w:r w:rsidR="00896388">
        <w:rPr>
          <w:rFonts w:ascii="Times New Roman" w:eastAsia="Times New Roman" w:hAnsi="Times New Roman" w:cs="Times New Roman"/>
          <w:color w:val="000000"/>
          <w:szCs w:val="24"/>
        </w:rPr>
        <w:t>4</w:t>
      </w:r>
      <w:r w:rsidRPr="00705804">
        <w:rPr>
          <w:rFonts w:ascii="Times New Roman" w:eastAsia="Times New Roman" w:hAnsi="Times New Roman" w:cs="Times New Roman"/>
          <w:color w:val="000000"/>
          <w:szCs w:val="24"/>
        </w:rPr>
        <w:t xml:space="preserve"> when there were not in fact any such patients</w:t>
      </w:r>
      <w:r w:rsidR="00896388">
        <w:rPr>
          <w:rFonts w:ascii="Times New Roman" w:eastAsia="Times New Roman" w:hAnsi="Times New Roman" w:cs="Times New Roman"/>
          <w:color w:val="000000"/>
          <w:szCs w:val="24"/>
        </w:rPr>
        <w:t xml:space="preserve"> diagnosed with cancer during the time period</w:t>
      </w:r>
      <w:r w:rsidR="00BB1847">
        <w:rPr>
          <w:rFonts w:ascii="Times New Roman" w:eastAsia="Times New Roman" w:hAnsi="Times New Roman" w:cs="Times New Roman"/>
          <w:color w:val="000000"/>
          <w:szCs w:val="24"/>
        </w:rPr>
        <w:t>, and is now corrected here</w:t>
      </w:r>
      <w:r w:rsidRPr="00705804">
        <w:rPr>
          <w:rFonts w:ascii="Times New Roman" w:eastAsia="Times New Roman" w:hAnsi="Times New Roman" w:cs="Times New Roman"/>
          <w:color w:val="000000"/>
          <w:szCs w:val="24"/>
        </w:rPr>
        <w:t>.</w:t>
      </w:r>
    </w:p>
  </w:footnote>
  <w:footnote w:id="5">
    <w:p w14:paraId="3F31F484" w14:textId="67D66853" w:rsidR="00705804" w:rsidRPr="00705804" w:rsidRDefault="00705804">
      <w:pPr>
        <w:pStyle w:val="FootnoteText"/>
      </w:pPr>
      <w:r w:rsidRPr="00705804">
        <w:rPr>
          <w:rStyle w:val="FootnoteReference"/>
          <w:rFonts w:ascii="Times New Roman" w:hAnsi="Times New Roman" w:cs="Times New Roman"/>
        </w:rPr>
        <w:footnoteRef/>
      </w:r>
      <w:r w:rsidRPr="00705804">
        <w:rPr>
          <w:rFonts w:ascii="Times New Roman" w:hAnsi="Times New Roman" w:cs="Times New Roman"/>
        </w:rPr>
        <w:t xml:space="preserve"> </w:t>
      </w:r>
      <w:r w:rsidRPr="00705804">
        <w:rPr>
          <w:rFonts w:ascii="Times New Roman" w:hAnsi="Times New Roman" w:cs="Times New Roman"/>
          <w:i/>
          <w:iCs/>
        </w:rPr>
        <w:t>See</w:t>
      </w:r>
      <w:r w:rsidRPr="00705804">
        <w:rPr>
          <w:rFonts w:ascii="Times New Roman" w:hAnsi="Times New Roman" w:cs="Times New Roman"/>
        </w:rPr>
        <w:t xml:space="preserve"> Application Narrative at Page 7, Footnote 9.</w:t>
      </w:r>
    </w:p>
  </w:footnote>
  <w:footnote w:id="6">
    <w:p w14:paraId="471AF458" w14:textId="2F13CBFD" w:rsidR="00AC5A0F" w:rsidRPr="00FE299E" w:rsidRDefault="00AC5A0F">
      <w:pPr>
        <w:pStyle w:val="FootnoteText"/>
        <w:rPr>
          <w:rFonts w:ascii="Times New Roman" w:hAnsi="Times New Roman" w:cs="Times New Roman"/>
          <w:color w:val="1F3864" w:themeColor="accent1" w:themeShade="80"/>
        </w:rPr>
      </w:pPr>
      <w:r w:rsidRPr="00FE299E">
        <w:rPr>
          <w:rStyle w:val="FootnoteReference"/>
          <w:rFonts w:ascii="Times New Roman" w:hAnsi="Times New Roman" w:cs="Times New Roman"/>
          <w:color w:val="1F3864" w:themeColor="accent1" w:themeShade="80"/>
        </w:rPr>
        <w:footnoteRef/>
      </w:r>
      <w:r w:rsidRPr="00FE299E">
        <w:rPr>
          <w:rFonts w:ascii="Times New Roman" w:hAnsi="Times New Roman" w:cs="Times New Roman"/>
          <w:color w:val="1F3864" w:themeColor="accent1" w:themeShade="80"/>
        </w:rPr>
        <w:t xml:space="preserve"> Inclusive of Fairhaven and Fall River</w:t>
      </w:r>
      <w:r w:rsidR="00FE299E" w:rsidRPr="00FE299E">
        <w:rPr>
          <w:rFonts w:ascii="Times New Roman" w:hAnsi="Times New Roman" w:cs="Times New Roman"/>
          <w:color w:val="1F3864" w:themeColor="accent1" w:themeShade="80"/>
        </w:rPr>
        <w:t xml:space="preserve"> sites of service</w:t>
      </w:r>
      <w:r w:rsidR="004A6EA2">
        <w:rPr>
          <w:rFonts w:ascii="Times New Roman" w:hAnsi="Times New Roman" w:cs="Times New Roman"/>
          <w:color w:val="1F3864" w:themeColor="accent1" w:themeShade="80"/>
        </w:rPr>
        <w:t xml:space="preserve"> for radiation oncology</w:t>
      </w:r>
      <w:r w:rsidR="00FE299E" w:rsidRPr="00FE299E">
        <w:rPr>
          <w:rFonts w:ascii="Times New Roman" w:hAnsi="Times New Roman" w:cs="Times New Roman"/>
          <w:color w:val="1F3864" w:themeColor="accent1" w:themeShade="80"/>
        </w:rPr>
        <w:t>.</w:t>
      </w:r>
    </w:p>
  </w:footnote>
  <w:footnote w:id="7">
    <w:p w14:paraId="296AC07E" w14:textId="2D16A8F4" w:rsidR="00201865" w:rsidRPr="009721DF" w:rsidRDefault="00201865" w:rsidP="00201865">
      <w:pPr>
        <w:pStyle w:val="FootnoteText"/>
        <w:rPr>
          <w:rFonts w:ascii="Times New Roman" w:hAnsi="Times New Roman" w:cs="Times New Roman"/>
        </w:rPr>
      </w:pPr>
      <w:r w:rsidRPr="009721DF">
        <w:rPr>
          <w:rStyle w:val="FootnoteReference"/>
          <w:rFonts w:ascii="Times New Roman" w:hAnsi="Times New Roman" w:cs="Times New Roman"/>
        </w:rPr>
        <w:footnoteRef/>
      </w:r>
      <w:r w:rsidRPr="009721DF">
        <w:rPr>
          <w:rFonts w:ascii="Times New Roman" w:hAnsi="Times New Roman" w:cs="Times New Roman"/>
        </w:rPr>
        <w:t xml:space="preserve"> </w:t>
      </w:r>
      <w:r w:rsidRPr="009721DF">
        <w:rPr>
          <w:rFonts w:ascii="Times New Roman" w:hAnsi="Times New Roman" w:cs="Times New Roman"/>
          <w:i/>
          <w:iCs/>
        </w:rPr>
        <w:t>See</w:t>
      </w:r>
      <w:r w:rsidRPr="009721DF">
        <w:rPr>
          <w:rFonts w:ascii="Times New Roman" w:hAnsi="Times New Roman" w:cs="Times New Roman"/>
        </w:rPr>
        <w:t xml:space="preserve"> Cher, B. et al, </w:t>
      </w:r>
      <w:hyperlink r:id="rId1" w:history="1">
        <w:r w:rsidRPr="0098604E">
          <w:rPr>
            <w:rStyle w:val="Hyperlink"/>
            <w:rFonts w:ascii="Times New Roman" w:hAnsi="Times New Roman" w:cs="Times New Roman"/>
            <w:i/>
            <w:iCs/>
          </w:rPr>
          <w:t>Trends in Radiation Oncology Treatment Fractionation at a Single Academic Center</w:t>
        </w:r>
      </w:hyperlink>
      <w:r w:rsidRPr="009721DF">
        <w:rPr>
          <w:rFonts w:ascii="Times New Roman" w:hAnsi="Times New Roman" w:cs="Times New Roman"/>
          <w:i/>
          <w:iCs/>
        </w:rPr>
        <w:t>, 2010 to 2020</w:t>
      </w:r>
      <w:r w:rsidRPr="009721DF">
        <w:rPr>
          <w:rFonts w:ascii="Times New Roman" w:hAnsi="Times New Roman" w:cs="Times New Roman"/>
        </w:rPr>
        <w:t xml:space="preserve">, Advances in Radiation Oncology, 2022, </w:t>
      </w:r>
      <w:r>
        <w:rPr>
          <w:rFonts w:ascii="Times New Roman" w:hAnsi="Times New Roman" w:cs="Times New Roman"/>
        </w:rPr>
        <w:t xml:space="preserve">(explaining in pertinent part that “recent landmark clinical trials in radiation oncology suggest </w:t>
      </w:r>
      <w:proofErr w:type="spellStart"/>
      <w:r>
        <w:rPr>
          <w:rFonts w:ascii="Times New Roman" w:hAnsi="Times New Roman" w:cs="Times New Roman"/>
        </w:rPr>
        <w:t>hypofractionated</w:t>
      </w:r>
      <w:proofErr w:type="spellEnd"/>
      <w:r>
        <w:rPr>
          <w:rFonts w:ascii="Times New Roman" w:hAnsi="Times New Roman" w:cs="Times New Roman"/>
        </w:rPr>
        <w:t xml:space="preserve"> treatment regimens are appropriate for treatment of many cancers” and has become the preferred standard of care for certain cancer sites, and ultimately observing “</w:t>
      </w:r>
      <w:r w:rsidRPr="009721DF">
        <w:rPr>
          <w:rFonts w:ascii="Times New Roman" w:hAnsi="Times New Roman" w:cs="Times New Roman"/>
        </w:rPr>
        <w:t>increased adoption of hypofractionation at our institution during the study period for all</w:t>
      </w:r>
      <w:r>
        <w:rPr>
          <w:rFonts w:ascii="Times New Roman" w:hAnsi="Times New Roman" w:cs="Times New Roman"/>
        </w:rPr>
        <w:t xml:space="preserve"> </w:t>
      </w:r>
      <w:r w:rsidRPr="009721DF">
        <w:rPr>
          <w:rFonts w:ascii="Times New Roman" w:hAnsi="Times New Roman" w:cs="Times New Roman"/>
        </w:rPr>
        <w:t>cancers and specifically for both breast and prostate cancer</w:t>
      </w:r>
      <w:r>
        <w:rPr>
          <w:rFonts w:ascii="Times New Roman" w:hAnsi="Times New Roman" w:cs="Times New Roman"/>
        </w:rPr>
        <w:t>”)</w:t>
      </w:r>
      <w:r w:rsidRPr="009721DF">
        <w:rPr>
          <w:rFonts w:ascii="Times New Roman" w:hAnsi="Times New Roman" w:cs="Times New Roman"/>
        </w:rPr>
        <w:t>.</w:t>
      </w:r>
    </w:p>
  </w:footnote>
  <w:footnote w:id="8">
    <w:p w14:paraId="6B9D2B5F" w14:textId="01E49AFB" w:rsidR="00F10AD2" w:rsidRPr="00A67F62" w:rsidRDefault="00F10AD2">
      <w:pPr>
        <w:pStyle w:val="FootnoteText"/>
        <w:rPr>
          <w:rFonts w:ascii="Times New Roman" w:hAnsi="Times New Roman" w:cs="Times New Roman"/>
        </w:rPr>
      </w:pPr>
      <w:r w:rsidRPr="00A67F62">
        <w:rPr>
          <w:rStyle w:val="FootnoteReference"/>
          <w:rFonts w:ascii="Times New Roman" w:hAnsi="Times New Roman" w:cs="Times New Roman"/>
        </w:rPr>
        <w:footnoteRef/>
      </w:r>
      <w:r w:rsidRPr="00A67F62">
        <w:rPr>
          <w:rFonts w:ascii="Times New Roman" w:hAnsi="Times New Roman" w:cs="Times New Roman"/>
        </w:rPr>
        <w:t xml:space="preserve"> </w:t>
      </w:r>
      <w:r w:rsidRPr="00A67F62">
        <w:rPr>
          <w:rFonts w:ascii="Times New Roman" w:hAnsi="Times New Roman" w:cs="Times New Roman"/>
          <w:i/>
          <w:iCs/>
        </w:rPr>
        <w:t>See</w:t>
      </w:r>
      <w:r w:rsidRPr="00A67F62">
        <w:rPr>
          <w:rFonts w:ascii="Times New Roman" w:hAnsi="Times New Roman" w:cs="Times New Roman"/>
        </w:rPr>
        <w:t xml:space="preserve"> Dove, A. P., et al, </w:t>
      </w:r>
      <w:hyperlink r:id="rId2" w:history="1">
        <w:r w:rsidRPr="000411E7">
          <w:rPr>
            <w:rStyle w:val="Hyperlink"/>
            <w:rFonts w:ascii="Times New Roman" w:hAnsi="Times New Roman" w:cs="Times New Roman"/>
            <w:i/>
            <w:iCs/>
          </w:rPr>
          <w:t>The use of low-dose radiation therapy in osteoarthritis: a review</w:t>
        </w:r>
      </w:hyperlink>
      <w:r w:rsidRPr="00A67F62">
        <w:rPr>
          <w:rFonts w:ascii="Times New Roman" w:hAnsi="Times New Roman" w:cs="Times New Roman"/>
        </w:rPr>
        <w:t xml:space="preserve">, International Journal of Radiation Oncology, Biology, Physics, 2022, 114(2)  </w:t>
      </w:r>
    </w:p>
  </w:footnote>
  <w:footnote w:id="9">
    <w:p w14:paraId="240DFC8E" w14:textId="53EA612B" w:rsidR="003B2845" w:rsidRDefault="003B2845">
      <w:pPr>
        <w:pStyle w:val="FootnoteText"/>
      </w:pPr>
      <w:r>
        <w:rPr>
          <w:rStyle w:val="FootnoteReference"/>
        </w:rPr>
        <w:footnoteRef/>
      </w:r>
      <w:r>
        <w:t xml:space="preserve"> </w:t>
      </w:r>
      <w:r w:rsidRPr="00686DD6">
        <w:rPr>
          <w:rFonts w:ascii="Times New Roman" w:hAnsi="Times New Roman" w:cs="Times New Roman"/>
        </w:rPr>
        <w:t>Please note that due to recency of available data</w:t>
      </w:r>
      <w:r w:rsidR="00686DD6" w:rsidRPr="00686DD6">
        <w:rPr>
          <w:rFonts w:ascii="Times New Roman" w:hAnsi="Times New Roman" w:cs="Times New Roman"/>
        </w:rPr>
        <w:t xml:space="preserve"> on LDRT and SRS for essential tumors,</w:t>
      </w:r>
      <w:r w:rsidRPr="00686DD6">
        <w:rPr>
          <w:rFonts w:ascii="Times New Roman" w:hAnsi="Times New Roman" w:cs="Times New Roman"/>
        </w:rPr>
        <w:t xml:space="preserve"> the information</w:t>
      </w:r>
      <w:r w:rsidR="00686DD6" w:rsidRPr="00686DD6">
        <w:rPr>
          <w:rFonts w:ascii="Times New Roman" w:hAnsi="Times New Roman" w:cs="Times New Roman"/>
        </w:rPr>
        <w:t xml:space="preserve"> and projections are</w:t>
      </w:r>
      <w:r w:rsidRPr="00686DD6">
        <w:rPr>
          <w:rFonts w:ascii="Times New Roman" w:hAnsi="Times New Roman" w:cs="Times New Roman"/>
        </w:rPr>
        <w:t xml:space="preserve"> presented based on calendar year</w:t>
      </w:r>
      <w:r w:rsidR="00686DD6" w:rsidRPr="00686DD6">
        <w:rPr>
          <w:rFonts w:ascii="Times New Roman" w:hAnsi="Times New Roman" w:cs="Times New Roman"/>
        </w:rPr>
        <w:t>s.</w:t>
      </w:r>
    </w:p>
  </w:footnote>
  <w:footnote w:id="10">
    <w:p w14:paraId="63D72A64" w14:textId="0A5330A2" w:rsidR="00185514" w:rsidRPr="00185514" w:rsidRDefault="00185514">
      <w:pPr>
        <w:pStyle w:val="FootnoteText"/>
        <w:rPr>
          <w:rFonts w:ascii="Times New Roman" w:hAnsi="Times New Roman" w:cs="Times New Roman"/>
        </w:rPr>
      </w:pPr>
      <w:r w:rsidRPr="00185514">
        <w:rPr>
          <w:rStyle w:val="FootnoteReference"/>
          <w:rFonts w:ascii="Times New Roman" w:hAnsi="Times New Roman" w:cs="Times New Roman"/>
        </w:rPr>
        <w:footnoteRef/>
      </w:r>
      <w:r w:rsidRPr="00185514">
        <w:rPr>
          <w:rFonts w:ascii="Times New Roman" w:hAnsi="Times New Roman" w:cs="Times New Roman"/>
        </w:rPr>
        <w:t xml:space="preserve"> </w:t>
      </w:r>
      <w:r w:rsidRPr="00185514">
        <w:rPr>
          <w:rFonts w:ascii="Times New Roman" w:hAnsi="Times New Roman" w:cs="Times New Roman"/>
          <w:i/>
          <w:iCs/>
        </w:rPr>
        <w:t>See</w:t>
      </w:r>
      <w:r w:rsidRPr="00185514">
        <w:rPr>
          <w:rFonts w:ascii="Times New Roman" w:hAnsi="Times New Roman" w:cs="Times New Roman"/>
        </w:rPr>
        <w:t xml:space="preserve"> </w:t>
      </w:r>
      <w:hyperlink r:id="rId3" w:history="1">
        <w:r w:rsidRPr="008E1F81">
          <w:rPr>
            <w:rStyle w:val="Hyperlink"/>
            <w:rFonts w:ascii="Times New Roman" w:hAnsi="Times New Roman" w:cs="Times New Roman"/>
          </w:rPr>
          <w:t>U.S. Census Bureau, QuickFacts, Bristol County, Massachusetts</w:t>
        </w:r>
      </w:hyperlink>
      <w:r w:rsidRPr="00185514">
        <w:rPr>
          <w:rFonts w:ascii="Times New Roman" w:hAnsi="Times New Roman" w:cs="Times New Roman"/>
        </w:rPr>
        <w:t xml:space="preserve"> (using the 2020 Population Estimates base). </w:t>
      </w:r>
    </w:p>
  </w:footnote>
  <w:footnote w:id="11">
    <w:p w14:paraId="78547A80" w14:textId="3ACA2341" w:rsidR="00780438" w:rsidRPr="00BE2541" w:rsidRDefault="00780438" w:rsidP="00780438">
      <w:pPr>
        <w:pStyle w:val="FootnoteText"/>
        <w:rPr>
          <w:rFonts w:ascii="Times New Roman" w:hAnsi="Times New Roman" w:cs="Times New Roman"/>
        </w:rPr>
      </w:pPr>
      <w:r w:rsidRPr="00185514">
        <w:rPr>
          <w:rStyle w:val="FootnoteReference"/>
          <w:rFonts w:ascii="Times New Roman" w:hAnsi="Times New Roman" w:cs="Times New Roman"/>
        </w:rPr>
        <w:footnoteRef/>
      </w:r>
      <w:r w:rsidRPr="00185514">
        <w:rPr>
          <w:rFonts w:ascii="Times New Roman" w:hAnsi="Times New Roman" w:cs="Times New Roman"/>
        </w:rPr>
        <w:t xml:space="preserve"> </w:t>
      </w:r>
      <w:r w:rsidRPr="00185514">
        <w:rPr>
          <w:rFonts w:ascii="Times New Roman" w:hAnsi="Times New Roman" w:cs="Times New Roman"/>
          <w:i/>
          <w:iCs/>
        </w:rPr>
        <w:t>See</w:t>
      </w:r>
      <w:r w:rsidRPr="00185514">
        <w:rPr>
          <w:rFonts w:ascii="Times New Roman" w:hAnsi="Times New Roman" w:cs="Times New Roman"/>
        </w:rPr>
        <w:t xml:space="preserve"> Louis, E., and McCreary, M., </w:t>
      </w:r>
      <w:hyperlink r:id="rId4" w:history="1">
        <w:r w:rsidRPr="00A92133">
          <w:rPr>
            <w:rStyle w:val="Hyperlink"/>
            <w:rFonts w:ascii="Times New Roman" w:hAnsi="Times New Roman" w:cs="Times New Roman"/>
            <w:i/>
            <w:iCs/>
          </w:rPr>
          <w:t>How Common is Essential Tremor? Update on the Worldwide Prevalence of Essential Tremor</w:t>
        </w:r>
      </w:hyperlink>
      <w:r w:rsidRPr="00185514">
        <w:rPr>
          <w:rFonts w:ascii="Times New Roman" w:hAnsi="Times New Roman" w:cs="Times New Roman"/>
        </w:rPr>
        <w:t xml:space="preserve">, Tremor and Other Hyperkinetic Movements, 2021, </w:t>
      </w:r>
      <w:r w:rsidRPr="00BE2541">
        <w:rPr>
          <w:rFonts w:ascii="Times New Roman" w:hAnsi="Times New Roman" w:cs="Times New Roman"/>
        </w:rPr>
        <w:t xml:space="preserve">(finding, </w:t>
      </w:r>
      <w:proofErr w:type="gramStart"/>
      <w:r w:rsidRPr="00BE2541">
        <w:rPr>
          <w:rFonts w:ascii="Times New Roman" w:hAnsi="Times New Roman" w:cs="Times New Roman"/>
        </w:rPr>
        <w:t>as a result of</w:t>
      </w:r>
      <w:proofErr w:type="gramEnd"/>
      <w:r w:rsidRPr="00BE2541">
        <w:rPr>
          <w:rFonts w:ascii="Times New Roman" w:hAnsi="Times New Roman" w:cs="Times New Roman"/>
        </w:rPr>
        <w:t xml:space="preserve"> a meta-analysis, pooled prevalence of essential tremors across all ages of 1.33</w:t>
      </w:r>
      <w:r w:rsidR="00643026" w:rsidRPr="00643026">
        <w:t xml:space="preserve"> </w:t>
      </w:r>
      <w:r w:rsidR="00643026" w:rsidRPr="00643026">
        <w:rPr>
          <w:rFonts w:ascii="Times New Roman" w:hAnsi="Times New Roman" w:cs="Times New Roman"/>
        </w:rPr>
        <w:t>percent</w:t>
      </w:r>
      <w:r w:rsidRPr="00BE2541">
        <w:rPr>
          <w:rFonts w:ascii="Times New Roman" w:hAnsi="Times New Roman" w:cs="Times New Roman"/>
        </w:rPr>
        <w:t>).</w:t>
      </w:r>
    </w:p>
  </w:footnote>
  <w:footnote w:id="12">
    <w:p w14:paraId="5BEC8BF1" w14:textId="5BEA9254" w:rsidR="00780438" w:rsidRPr="00BE2541" w:rsidRDefault="00780438" w:rsidP="00780438">
      <w:pPr>
        <w:pStyle w:val="FootnoteText"/>
        <w:rPr>
          <w:rFonts w:ascii="Times New Roman" w:hAnsi="Times New Roman" w:cs="Times New Roman"/>
        </w:rPr>
      </w:pPr>
      <w:r w:rsidRPr="00BE2541">
        <w:rPr>
          <w:rStyle w:val="FootnoteReference"/>
          <w:rFonts w:ascii="Times New Roman" w:hAnsi="Times New Roman" w:cs="Times New Roman"/>
        </w:rPr>
        <w:footnoteRef/>
      </w:r>
      <w:r w:rsidRPr="00BE2541">
        <w:rPr>
          <w:rFonts w:ascii="Times New Roman" w:hAnsi="Times New Roman" w:cs="Times New Roman"/>
        </w:rPr>
        <w:t xml:space="preserve"> </w:t>
      </w:r>
      <w:r w:rsidRPr="00BE2541">
        <w:rPr>
          <w:rFonts w:ascii="Times New Roman" w:hAnsi="Times New Roman" w:cs="Times New Roman"/>
          <w:i/>
          <w:iCs/>
        </w:rPr>
        <w:t>See</w:t>
      </w:r>
      <w:r w:rsidRPr="00BE2541">
        <w:rPr>
          <w:rFonts w:ascii="Times New Roman" w:hAnsi="Times New Roman" w:cs="Times New Roman"/>
        </w:rPr>
        <w:t xml:space="preserve"> Vetterick, C., et al, </w:t>
      </w:r>
      <w:hyperlink r:id="rId5" w:history="1">
        <w:r w:rsidRPr="007E26BA">
          <w:rPr>
            <w:rStyle w:val="Hyperlink"/>
            <w:rFonts w:ascii="Times New Roman" w:hAnsi="Times New Roman" w:cs="Times New Roman"/>
            <w:i/>
            <w:iCs/>
          </w:rPr>
          <w:t>The Hidden Burden of Disease and Treatment Experiences of Patients with Essential Tremor: A Retrospective Claims Data Analysis</w:t>
        </w:r>
      </w:hyperlink>
      <w:r w:rsidRPr="00BE2541">
        <w:rPr>
          <w:rFonts w:ascii="Times New Roman" w:hAnsi="Times New Roman" w:cs="Times New Roman"/>
        </w:rPr>
        <w:t xml:space="preserve">, </w:t>
      </w:r>
      <w:r w:rsidR="00BE2541" w:rsidRPr="00BE2541">
        <w:rPr>
          <w:rFonts w:ascii="Times New Roman" w:hAnsi="Times New Roman" w:cs="Times New Roman"/>
        </w:rPr>
        <w:t xml:space="preserve">Advances in Therapy, </w:t>
      </w:r>
      <w:r w:rsidRPr="00BE2541">
        <w:rPr>
          <w:rFonts w:ascii="Times New Roman" w:hAnsi="Times New Roman" w:cs="Times New Roman"/>
        </w:rPr>
        <w:t>2022</w:t>
      </w:r>
      <w:r w:rsidR="007E26BA">
        <w:rPr>
          <w:rFonts w:ascii="Times New Roman" w:hAnsi="Times New Roman" w:cs="Times New Roman"/>
        </w:rPr>
        <w:t xml:space="preserve"> </w:t>
      </w:r>
      <w:r w:rsidRPr="00BE2541">
        <w:rPr>
          <w:rFonts w:ascii="Times New Roman" w:hAnsi="Times New Roman" w:cs="Times New Roman"/>
        </w:rPr>
        <w:t>(</w:t>
      </w:r>
      <w:r w:rsidR="00BE2541" w:rsidRPr="00BE2541">
        <w:rPr>
          <w:rFonts w:ascii="Times New Roman" w:hAnsi="Times New Roman" w:cs="Times New Roman"/>
        </w:rPr>
        <w:t>finding in pertinent part that in certain cohorts approximately 3</w:t>
      </w:r>
      <w:r w:rsidR="00643026" w:rsidRPr="00643026">
        <w:t xml:space="preserve"> </w:t>
      </w:r>
      <w:r w:rsidR="00643026" w:rsidRPr="00643026">
        <w:rPr>
          <w:rFonts w:ascii="Times New Roman" w:hAnsi="Times New Roman" w:cs="Times New Roman"/>
        </w:rPr>
        <w:t>percent</w:t>
      </w:r>
      <w:r w:rsidR="00BE2541" w:rsidRPr="00BE2541">
        <w:rPr>
          <w:rFonts w:ascii="Times New Roman" w:hAnsi="Times New Roman" w:cs="Times New Roman"/>
        </w:rPr>
        <w:t xml:space="preserve"> of patients underwent a procedural intervention for essential tremors).</w:t>
      </w:r>
    </w:p>
  </w:footnote>
  <w:footnote w:id="13">
    <w:p w14:paraId="74A76D8C" w14:textId="3AD32A1C" w:rsidR="00BE2541" w:rsidRPr="00BE2541" w:rsidRDefault="00BE2541">
      <w:pPr>
        <w:pStyle w:val="FootnoteText"/>
        <w:rPr>
          <w:rFonts w:ascii="Times New Roman" w:hAnsi="Times New Roman" w:cs="Times New Roman"/>
        </w:rPr>
      </w:pPr>
      <w:r w:rsidRPr="00BE2541">
        <w:rPr>
          <w:rStyle w:val="FootnoteReference"/>
          <w:rFonts w:ascii="Times New Roman" w:hAnsi="Times New Roman" w:cs="Times New Roman"/>
        </w:rPr>
        <w:footnoteRef/>
      </w:r>
      <w:r w:rsidRPr="00BE2541">
        <w:rPr>
          <w:rFonts w:ascii="Times New Roman" w:hAnsi="Times New Roman" w:cs="Times New Roman"/>
        </w:rPr>
        <w:t xml:space="preserve"> </w:t>
      </w:r>
      <w:r w:rsidRPr="00BE2541">
        <w:rPr>
          <w:rFonts w:ascii="Times New Roman" w:hAnsi="Times New Roman" w:cs="Times New Roman"/>
          <w:i/>
          <w:iCs/>
        </w:rPr>
        <w:t>See</w:t>
      </w:r>
      <w:r w:rsidRPr="00BE2541">
        <w:rPr>
          <w:rFonts w:ascii="Times New Roman" w:hAnsi="Times New Roman" w:cs="Times New Roman"/>
        </w:rPr>
        <w:t xml:space="preserve"> Gautam, D. et al, </w:t>
      </w:r>
      <w:hyperlink r:id="rId6" w:history="1">
        <w:r w:rsidRPr="007E26BA">
          <w:rPr>
            <w:rStyle w:val="Hyperlink"/>
            <w:rFonts w:ascii="Times New Roman" w:hAnsi="Times New Roman" w:cs="Times New Roman"/>
            <w:i/>
            <w:iCs/>
          </w:rPr>
          <w:t>Demographics of focused ultrasound thalamotomy for essential tremor and trends in deep brain stimulation surgery after its introduction in the USA</w:t>
        </w:r>
      </w:hyperlink>
      <w:r w:rsidRPr="00BE2541">
        <w:rPr>
          <w:rFonts w:ascii="Times New Roman" w:hAnsi="Times New Roman" w:cs="Times New Roman"/>
        </w:rPr>
        <w:t xml:space="preserve">, BMJ Neurology Open, 2024. </w:t>
      </w:r>
    </w:p>
  </w:footnote>
  <w:footnote w:id="14">
    <w:p w14:paraId="075A23D5" w14:textId="29C9A60B" w:rsidR="000C2A26" w:rsidRPr="00A67F62" w:rsidRDefault="000C2A26" w:rsidP="000C2A26">
      <w:pPr>
        <w:pStyle w:val="FootnoteText"/>
        <w:rPr>
          <w:rFonts w:ascii="Times New Roman" w:hAnsi="Times New Roman" w:cs="Times New Roman"/>
        </w:rPr>
      </w:pPr>
      <w:r w:rsidRPr="0039653B">
        <w:rPr>
          <w:rStyle w:val="FootnoteReference"/>
          <w:rFonts w:ascii="Times New Roman" w:hAnsi="Times New Roman" w:cs="Times New Roman"/>
        </w:rPr>
        <w:footnoteRef/>
      </w:r>
      <w:r w:rsidRPr="0039653B">
        <w:rPr>
          <w:rFonts w:ascii="Times New Roman" w:hAnsi="Times New Roman" w:cs="Times New Roman"/>
        </w:rPr>
        <w:t xml:space="preserve"> </w:t>
      </w:r>
      <w:r w:rsidRPr="00A67F62">
        <w:rPr>
          <w:rFonts w:ascii="Times New Roman" w:hAnsi="Times New Roman" w:cs="Times New Roman"/>
          <w:i/>
          <w:iCs/>
        </w:rPr>
        <w:t>See</w:t>
      </w:r>
      <w:r w:rsidRPr="00A67F62">
        <w:rPr>
          <w:rFonts w:ascii="Times New Roman" w:hAnsi="Times New Roman" w:cs="Times New Roman"/>
        </w:rPr>
        <w:t xml:space="preserve"> Wang et al., </w:t>
      </w:r>
      <w:hyperlink r:id="rId7" w:history="1">
        <w:r w:rsidRPr="007E26BA">
          <w:rPr>
            <w:rStyle w:val="Hyperlink"/>
            <w:rFonts w:ascii="Times New Roman" w:hAnsi="Times New Roman" w:cs="Times New Roman"/>
            <w:i/>
            <w:iCs/>
          </w:rPr>
          <w:t>Spatial Behavior of Cancer Care Utilization in Distance Decay in the Northeast Region of the U.S.</w:t>
        </w:r>
      </w:hyperlink>
      <w:r w:rsidRPr="00A67F62">
        <w:rPr>
          <w:rFonts w:ascii="Times New Roman" w:hAnsi="Times New Roman" w:cs="Times New Roman"/>
        </w:rPr>
        <w:t xml:space="preserve">, Travel </w:t>
      </w:r>
      <w:proofErr w:type="spellStart"/>
      <w:r w:rsidRPr="00A67F62">
        <w:rPr>
          <w:rFonts w:ascii="Times New Roman" w:hAnsi="Times New Roman" w:cs="Times New Roman"/>
        </w:rPr>
        <w:t>Behav</w:t>
      </w:r>
      <w:proofErr w:type="spellEnd"/>
      <w:r w:rsidRPr="00A67F62">
        <w:rPr>
          <w:rFonts w:ascii="Times New Roman" w:hAnsi="Times New Roman" w:cs="Times New Roman"/>
        </w:rPr>
        <w:t xml:space="preserve"> Soc. 2021 May 15;24:291–302</w:t>
      </w:r>
      <w:r w:rsidR="007E26BA">
        <w:rPr>
          <w:rFonts w:ascii="Times New Roman" w:hAnsi="Times New Roman" w:cs="Times New Roman"/>
        </w:rPr>
        <w:t xml:space="preserve"> </w:t>
      </w:r>
      <w:r w:rsidRPr="00A67F62">
        <w:rPr>
          <w:rFonts w:ascii="Times New Roman" w:hAnsi="Times New Roman" w:cs="Times New Roman"/>
        </w:rPr>
        <w:t>(finding in pertinent part that “46.8</w:t>
      </w:r>
      <w:r w:rsidR="00112758" w:rsidRPr="00112758">
        <w:t xml:space="preserve"> </w:t>
      </w:r>
      <w:r w:rsidR="00112758" w:rsidRPr="00112758">
        <w:rPr>
          <w:rFonts w:ascii="Times New Roman" w:hAnsi="Times New Roman" w:cs="Times New Roman"/>
        </w:rPr>
        <w:t>percent</w:t>
      </w:r>
      <w:r w:rsidRPr="00A67F62">
        <w:rPr>
          <w:rFonts w:ascii="Times New Roman" w:hAnsi="Times New Roman" w:cs="Times New Roman"/>
        </w:rPr>
        <w:t>, 85.5</w:t>
      </w:r>
      <w:r w:rsidR="00112758" w:rsidRPr="00112758">
        <w:t xml:space="preserve"> </w:t>
      </w:r>
      <w:r w:rsidR="00112758" w:rsidRPr="00112758">
        <w:rPr>
          <w:rFonts w:ascii="Times New Roman" w:hAnsi="Times New Roman" w:cs="Times New Roman"/>
        </w:rPr>
        <w:t>percent</w:t>
      </w:r>
      <w:r w:rsidRPr="00A67F62">
        <w:rPr>
          <w:rFonts w:ascii="Times New Roman" w:hAnsi="Times New Roman" w:cs="Times New Roman"/>
        </w:rPr>
        <w:t>, and 99.6</w:t>
      </w:r>
      <w:r w:rsidR="00112758" w:rsidRPr="00112758">
        <w:t xml:space="preserve"> </w:t>
      </w:r>
      <w:r w:rsidR="00112758" w:rsidRPr="00112758">
        <w:rPr>
          <w:rFonts w:ascii="Times New Roman" w:hAnsi="Times New Roman" w:cs="Times New Roman"/>
        </w:rPr>
        <w:t>percent</w:t>
      </w:r>
      <w:r w:rsidRPr="00A67F62">
        <w:rPr>
          <w:rFonts w:ascii="Times New Roman" w:hAnsi="Times New Roman" w:cs="Times New Roman"/>
        </w:rPr>
        <w:t xml:space="preserve"> of cancer care received was within a driving time of 30, 60 and 180 minutes, respectively”).</w:t>
      </w:r>
    </w:p>
  </w:footnote>
  <w:footnote w:id="15">
    <w:p w14:paraId="281D59D4" w14:textId="77777777" w:rsidR="000C2A26" w:rsidRPr="00A67F62" w:rsidRDefault="000C2A26" w:rsidP="000C2A26">
      <w:pPr>
        <w:pStyle w:val="FootnoteText"/>
        <w:rPr>
          <w:rFonts w:ascii="Times New Roman" w:hAnsi="Times New Roman" w:cs="Times New Roman"/>
        </w:rPr>
      </w:pPr>
      <w:r w:rsidRPr="00A67F62">
        <w:rPr>
          <w:rStyle w:val="FootnoteReference"/>
          <w:rFonts w:ascii="Times New Roman" w:hAnsi="Times New Roman" w:cs="Times New Roman"/>
        </w:rPr>
        <w:footnoteRef/>
      </w:r>
      <w:r w:rsidRPr="00A67F62">
        <w:rPr>
          <w:rFonts w:ascii="Times New Roman" w:hAnsi="Times New Roman" w:cs="Times New Roman"/>
        </w:rPr>
        <w:t xml:space="preserve"> </w:t>
      </w:r>
      <w:r w:rsidRPr="00A67F62">
        <w:rPr>
          <w:rFonts w:ascii="Times New Roman" w:hAnsi="Times New Roman" w:cs="Times New Roman"/>
          <w:i/>
          <w:iCs/>
        </w:rPr>
        <w:t>See</w:t>
      </w:r>
      <w:r w:rsidRPr="00A67F62">
        <w:rPr>
          <w:rFonts w:ascii="Times New Roman" w:hAnsi="Times New Roman" w:cs="Times New Roman"/>
        </w:rPr>
        <w:t xml:space="preserve"> Application Narrative, Table 7, at Page 6, and Footnote 8, at Page 7 (noting that “Fourteen of the top fifteen zip codes where SHS patients reside are in Bristol County”).</w:t>
      </w:r>
    </w:p>
  </w:footnote>
  <w:footnote w:id="16">
    <w:p w14:paraId="090BDD61" w14:textId="77777777" w:rsidR="000C2A26" w:rsidRPr="0039653B" w:rsidRDefault="000C2A26" w:rsidP="000C2A26">
      <w:pPr>
        <w:pStyle w:val="FootnoteText"/>
        <w:rPr>
          <w:rFonts w:ascii="Times New Roman" w:hAnsi="Times New Roman" w:cs="Times New Roman"/>
          <w:i/>
          <w:iCs/>
        </w:rPr>
      </w:pPr>
      <w:r w:rsidRPr="00A67F62">
        <w:rPr>
          <w:rStyle w:val="FootnoteReference"/>
          <w:rFonts w:ascii="Times New Roman" w:hAnsi="Times New Roman" w:cs="Times New Roman"/>
        </w:rPr>
        <w:footnoteRef/>
      </w:r>
      <w:r w:rsidRPr="00A67F62">
        <w:rPr>
          <w:rFonts w:ascii="Times New Roman" w:hAnsi="Times New Roman" w:cs="Times New Roman"/>
        </w:rPr>
        <w:t xml:space="preserve"> </w:t>
      </w:r>
      <w:r w:rsidRPr="00A67F62">
        <w:rPr>
          <w:rFonts w:ascii="Times New Roman" w:hAnsi="Times New Roman" w:cs="Times New Roman"/>
          <w:i/>
          <w:iCs/>
        </w:rPr>
        <w:t>See</w:t>
      </w:r>
      <w:r w:rsidRPr="00A67F62">
        <w:rPr>
          <w:rFonts w:ascii="Times New Roman" w:hAnsi="Times New Roman" w:cs="Times New Roman"/>
        </w:rPr>
        <w:t xml:space="preserve"> Application Narrative, at Page 18 (stating that “Receiving cancer care far from the patient’s residence often leads to delayed or incomplete care for the patient, which is associated with poorer outcomes, including lower rates of survival, higher mortality, increased risk of cancer recurrence, and greater risk of persistent disease. These effects are present in every cancer type most common among the SHS patient panel.”) and s</w:t>
      </w:r>
      <w:r w:rsidRPr="00A67F62">
        <w:rPr>
          <w:rFonts w:ascii="Times New Roman" w:hAnsi="Times New Roman" w:cs="Times New Roman"/>
          <w:i/>
          <w:iCs/>
        </w:rPr>
        <w:t>ee</w:t>
      </w:r>
      <w:r w:rsidRPr="00A67F62">
        <w:rPr>
          <w:rFonts w:ascii="Times New Roman" w:hAnsi="Times New Roman" w:cs="Times New Roman"/>
        </w:rPr>
        <w:t xml:space="preserve"> Footnotes 66-70.</w:t>
      </w:r>
    </w:p>
  </w:footnote>
  <w:footnote w:id="17">
    <w:p w14:paraId="27389108" w14:textId="6CDC978F" w:rsidR="000C2A26" w:rsidRPr="0039653B" w:rsidRDefault="000C2A26" w:rsidP="000C2A26">
      <w:pPr>
        <w:pStyle w:val="FootnoteText"/>
        <w:rPr>
          <w:rFonts w:ascii="Times New Roman" w:hAnsi="Times New Roman" w:cs="Times New Roman"/>
        </w:rPr>
      </w:pPr>
      <w:r w:rsidRPr="0039653B">
        <w:rPr>
          <w:rStyle w:val="FootnoteReference"/>
          <w:rFonts w:ascii="Times New Roman" w:hAnsi="Times New Roman" w:cs="Times New Roman"/>
        </w:rPr>
        <w:footnoteRef/>
      </w:r>
      <w:r w:rsidRPr="0039653B">
        <w:rPr>
          <w:rFonts w:ascii="Times New Roman" w:hAnsi="Times New Roman" w:cs="Times New Roman"/>
        </w:rPr>
        <w:t xml:space="preserve"> </w:t>
      </w:r>
      <w:r w:rsidRPr="0039653B">
        <w:rPr>
          <w:rFonts w:ascii="Times New Roman" w:hAnsi="Times New Roman" w:cs="Times New Roman"/>
          <w:i/>
          <w:iCs/>
        </w:rPr>
        <w:t>See, e.g.</w:t>
      </w:r>
      <w:r w:rsidRPr="0039653B">
        <w:rPr>
          <w:rFonts w:ascii="Times New Roman" w:hAnsi="Times New Roman" w:cs="Times New Roman"/>
        </w:rPr>
        <w:t xml:space="preserve">, Center for Health Information and Analysis, </w:t>
      </w:r>
      <w:hyperlink r:id="rId8" w:history="1">
        <w:r w:rsidRPr="007E26BA">
          <w:rPr>
            <w:rStyle w:val="Hyperlink"/>
            <w:rFonts w:ascii="Times New Roman" w:hAnsi="Times New Roman" w:cs="Times New Roman"/>
            <w:i/>
            <w:iCs/>
          </w:rPr>
          <w:t>Massachusetts' biggest hospitals are also the most expensive, CHIA report finds</w:t>
        </w:r>
      </w:hyperlink>
      <w:r w:rsidRPr="0039653B">
        <w:rPr>
          <w:rFonts w:ascii="Times New Roman" w:hAnsi="Times New Roman" w:cs="Times New Roman"/>
          <w:i/>
          <w:iCs/>
        </w:rPr>
        <w:t xml:space="preserve"> - Boston Business Journal</w:t>
      </w:r>
      <w:r w:rsidRPr="0039653B">
        <w:rPr>
          <w:rFonts w:ascii="Times New Roman" w:hAnsi="Times New Roman" w:cs="Times New Roman"/>
        </w:rPr>
        <w:t>, August 17, 2023</w:t>
      </w:r>
      <w:r>
        <w:rPr>
          <w:rFonts w:ascii="Times New Roman" w:hAnsi="Times New Roman" w:cs="Times New Roman"/>
        </w:rPr>
        <w:t>.</w:t>
      </w:r>
    </w:p>
  </w:footnote>
  <w:footnote w:id="18">
    <w:p w14:paraId="40209BA0" w14:textId="283B4340" w:rsidR="000C2A26" w:rsidRPr="0039653B" w:rsidRDefault="000C2A26" w:rsidP="000C2A26">
      <w:pPr>
        <w:pStyle w:val="FootnoteText"/>
        <w:rPr>
          <w:rFonts w:ascii="Times New Roman" w:hAnsi="Times New Roman" w:cs="Times New Roman"/>
        </w:rPr>
      </w:pPr>
      <w:r w:rsidRPr="0039653B">
        <w:rPr>
          <w:rStyle w:val="FootnoteReference"/>
          <w:rFonts w:ascii="Times New Roman" w:hAnsi="Times New Roman" w:cs="Times New Roman"/>
        </w:rPr>
        <w:footnoteRef/>
      </w:r>
      <w:r w:rsidRPr="0039653B">
        <w:rPr>
          <w:rFonts w:ascii="Times New Roman" w:hAnsi="Times New Roman" w:cs="Times New Roman"/>
        </w:rPr>
        <w:t xml:space="preserve"> </w:t>
      </w:r>
      <w:r w:rsidRPr="0039653B">
        <w:rPr>
          <w:rFonts w:ascii="Times New Roman" w:hAnsi="Times New Roman" w:cs="Times New Roman"/>
          <w:i/>
          <w:iCs/>
        </w:rPr>
        <w:t>See</w:t>
      </w:r>
      <w:r w:rsidRPr="0039653B">
        <w:rPr>
          <w:rFonts w:ascii="Times New Roman" w:hAnsi="Times New Roman" w:cs="Times New Roman"/>
        </w:rPr>
        <w:t xml:space="preserve"> </w:t>
      </w:r>
      <w:hyperlink r:id="rId9" w:history="1">
        <w:r w:rsidRPr="004414E2">
          <w:rPr>
            <w:rStyle w:val="Hyperlink"/>
            <w:rFonts w:ascii="Times New Roman" w:hAnsi="Times New Roman" w:cs="Times New Roman"/>
          </w:rPr>
          <w:t>CHIA, Southcoast Hospitals Group, Hospital Fiscal Year 2023</w:t>
        </w:r>
      </w:hyperlink>
      <w:r w:rsidRPr="0039653B">
        <w:rPr>
          <w:rFonts w:ascii="Times New Roman" w:hAnsi="Times New Roman" w:cs="Times New Roman"/>
        </w:rPr>
        <w:t xml:space="preserve"> </w:t>
      </w:r>
    </w:p>
  </w:footnote>
  <w:footnote w:id="19">
    <w:p w14:paraId="3DFF1A0C" w14:textId="7194A035" w:rsidR="000C2A26" w:rsidRPr="0039653B" w:rsidRDefault="000C2A26" w:rsidP="000C2A26">
      <w:pPr>
        <w:pStyle w:val="FootnoteText"/>
        <w:rPr>
          <w:rFonts w:ascii="Times New Roman" w:hAnsi="Times New Roman" w:cs="Times New Roman"/>
        </w:rPr>
      </w:pPr>
      <w:r w:rsidRPr="0039653B">
        <w:rPr>
          <w:rStyle w:val="FootnoteReference"/>
          <w:rFonts w:ascii="Times New Roman" w:hAnsi="Times New Roman" w:cs="Times New Roman"/>
        </w:rPr>
        <w:footnoteRef/>
      </w:r>
      <w:r w:rsidRPr="0039653B">
        <w:rPr>
          <w:rFonts w:ascii="Times New Roman" w:hAnsi="Times New Roman" w:cs="Times New Roman"/>
        </w:rPr>
        <w:t xml:space="preserve"> </w:t>
      </w:r>
      <w:r w:rsidRPr="0039653B">
        <w:rPr>
          <w:rFonts w:ascii="Times New Roman" w:hAnsi="Times New Roman" w:cs="Times New Roman"/>
          <w:i/>
          <w:iCs/>
        </w:rPr>
        <w:t>See, e.g.</w:t>
      </w:r>
      <w:r w:rsidRPr="0039653B">
        <w:rPr>
          <w:rFonts w:ascii="Times New Roman" w:hAnsi="Times New Roman" w:cs="Times New Roman"/>
        </w:rPr>
        <w:t xml:space="preserve">, PDQ® Adult Treatment Editorial Board, </w:t>
      </w:r>
      <w:hyperlink r:id="rId10" w:history="1">
        <w:r w:rsidRPr="004414E2">
          <w:rPr>
            <w:rStyle w:val="Hyperlink"/>
            <w:rFonts w:ascii="Times New Roman" w:hAnsi="Times New Roman" w:cs="Times New Roman"/>
            <w:i/>
            <w:iCs/>
          </w:rPr>
          <w:t>Financial Toxicity (Financial Distress) and Cancer Treatment (PDQ®)–Patient Version</w:t>
        </w:r>
      </w:hyperlink>
      <w:r w:rsidRPr="0039653B">
        <w:rPr>
          <w:rFonts w:ascii="Times New Roman" w:hAnsi="Times New Roman" w:cs="Times New Roman"/>
        </w:rPr>
        <w:t>, Bethesda, MD: National Cancer Institute, updated June 6, 2024, (noting in pertinent part that “several studies show that people with cancer and survivors are more likely to have financial toxicity than are people without cancer,” that “cancer survivors usually report higher out-of-pocket spending than people who have not had cancer. Some cancer survivors report spending more than 20</w:t>
      </w:r>
      <w:r w:rsidR="00112758" w:rsidRPr="00112758">
        <w:t xml:space="preserve"> </w:t>
      </w:r>
      <w:r w:rsidR="00112758" w:rsidRPr="00112758">
        <w:rPr>
          <w:rFonts w:ascii="Times New Roman" w:hAnsi="Times New Roman" w:cs="Times New Roman"/>
        </w:rPr>
        <w:t>percent</w:t>
      </w:r>
      <w:r w:rsidRPr="0039653B">
        <w:rPr>
          <w:rFonts w:ascii="Times New Roman" w:hAnsi="Times New Roman" w:cs="Times New Roman"/>
        </w:rPr>
        <w:t xml:space="preserve"> of their annual income on medical care” and further that “cancer is one of the most expensive medical conditions to treat in the United States. People with cancer may receive multiple types of treatments, including radiation therapy and systemic treatment, and may be hospitalized. People with cancer who have health insurance are paying higher premiums than in the past. They are also paying more for copayments, deductibles, and coinsurance.”</w:t>
      </w:r>
      <w:r>
        <w:rPr>
          <w:rFonts w:ascii="Times New Roman" w:hAnsi="Times New Roman" w:cs="Times New Roman"/>
        </w:rPr>
        <w:t>).</w:t>
      </w:r>
    </w:p>
  </w:footnote>
  <w:footnote w:id="20">
    <w:p w14:paraId="7E971ECA" w14:textId="77777777" w:rsidR="000C2A26" w:rsidRPr="0039653B" w:rsidRDefault="000C2A26" w:rsidP="000C2A26">
      <w:pPr>
        <w:pStyle w:val="FootnoteText"/>
        <w:rPr>
          <w:rFonts w:ascii="Times New Roman" w:hAnsi="Times New Roman" w:cs="Times New Roman"/>
        </w:rPr>
      </w:pPr>
      <w:r w:rsidRPr="0039653B">
        <w:rPr>
          <w:rStyle w:val="FootnoteReference"/>
          <w:rFonts w:ascii="Times New Roman" w:hAnsi="Times New Roman" w:cs="Times New Roman"/>
        </w:rPr>
        <w:footnoteRef/>
      </w:r>
      <w:r w:rsidRPr="0039653B">
        <w:rPr>
          <w:rFonts w:ascii="Times New Roman" w:hAnsi="Times New Roman" w:cs="Times New Roman"/>
        </w:rPr>
        <w:t xml:space="preserve"> </w:t>
      </w:r>
      <w:r w:rsidRPr="0039653B">
        <w:rPr>
          <w:rFonts w:ascii="Times New Roman" w:hAnsi="Times New Roman" w:cs="Times New Roman"/>
          <w:i/>
          <w:iCs/>
        </w:rPr>
        <w:t>See</w:t>
      </w:r>
      <w:r w:rsidRPr="0039653B">
        <w:rPr>
          <w:rFonts w:ascii="Times New Roman" w:hAnsi="Times New Roman" w:cs="Times New Roman"/>
        </w:rPr>
        <w:t xml:space="preserve"> Application Narrative at Pages 23-24.</w:t>
      </w:r>
    </w:p>
  </w:footnote>
  <w:footnote w:id="21">
    <w:p w14:paraId="068522D3" w14:textId="77777777" w:rsidR="000C2A26" w:rsidRPr="00EB3485" w:rsidRDefault="000C2A26" w:rsidP="000C2A26">
      <w:pPr>
        <w:pStyle w:val="FootnoteText"/>
      </w:pPr>
      <w:r>
        <w:rPr>
          <w:rStyle w:val="FootnoteReference"/>
        </w:rPr>
        <w:footnoteRef/>
      </w:r>
      <w:r>
        <w:t xml:space="preserve"> </w:t>
      </w:r>
      <w:r>
        <w:rPr>
          <w:rFonts w:ascii="Times New Roman" w:hAnsi="Times New Roman" w:cs="Times New Roman"/>
          <w:i/>
          <w:iCs/>
        </w:rPr>
        <w:t>Id.</w:t>
      </w:r>
    </w:p>
  </w:footnote>
  <w:footnote w:id="22">
    <w:p w14:paraId="3C959A72" w14:textId="53FE14B5" w:rsidR="000C2A26" w:rsidRPr="0039653B" w:rsidRDefault="000C2A26" w:rsidP="000C2A26">
      <w:pPr>
        <w:pStyle w:val="FootnoteText"/>
        <w:rPr>
          <w:rFonts w:ascii="Times New Roman" w:hAnsi="Times New Roman" w:cs="Times New Roman"/>
        </w:rPr>
      </w:pPr>
      <w:r w:rsidRPr="0039653B">
        <w:rPr>
          <w:rStyle w:val="FootnoteReference"/>
          <w:rFonts w:ascii="Times New Roman" w:hAnsi="Times New Roman" w:cs="Times New Roman"/>
        </w:rPr>
        <w:footnoteRef/>
      </w:r>
      <w:r w:rsidRPr="0039653B">
        <w:rPr>
          <w:rFonts w:ascii="Times New Roman" w:hAnsi="Times New Roman" w:cs="Times New Roman"/>
        </w:rPr>
        <w:t xml:space="preserve"> </w:t>
      </w:r>
      <w:r w:rsidRPr="0039653B">
        <w:rPr>
          <w:rFonts w:ascii="Times New Roman" w:hAnsi="Times New Roman" w:cs="Times New Roman"/>
          <w:i/>
          <w:iCs/>
        </w:rPr>
        <w:t xml:space="preserve">See Wang et al., </w:t>
      </w:r>
      <w:proofErr w:type="gramStart"/>
      <w:r w:rsidRPr="0039653B">
        <w:rPr>
          <w:rFonts w:ascii="Times New Roman" w:hAnsi="Times New Roman" w:cs="Times New Roman"/>
          <w:i/>
          <w:iCs/>
        </w:rPr>
        <w:t xml:space="preserve">supra </w:t>
      </w:r>
      <w:r w:rsidRPr="0039653B">
        <w:rPr>
          <w:rFonts w:ascii="Times New Roman" w:hAnsi="Times New Roman" w:cs="Times New Roman"/>
        </w:rPr>
        <w:t>FN</w:t>
      </w:r>
      <w:proofErr w:type="gramEnd"/>
      <w:r w:rsidRPr="0039653B">
        <w:rPr>
          <w:rFonts w:ascii="Times New Roman" w:hAnsi="Times New Roman" w:cs="Times New Roman"/>
        </w:rPr>
        <w:t xml:space="preserve"> </w:t>
      </w:r>
      <w:r w:rsidR="00B844B2">
        <w:rPr>
          <w:rFonts w:ascii="Times New Roman" w:hAnsi="Times New Roman" w:cs="Times New Roman"/>
        </w:rPr>
        <w:t>14</w:t>
      </w:r>
      <w:r w:rsidRPr="0039653B">
        <w:rPr>
          <w:rFonts w:ascii="Times New Roman" w:hAnsi="Times New Roman" w:cs="Times New Roman"/>
        </w:rPr>
        <w:t xml:space="preserve"> (which state</w:t>
      </w:r>
      <w:r>
        <w:rPr>
          <w:rFonts w:ascii="Times New Roman" w:hAnsi="Times New Roman" w:cs="Times New Roman"/>
        </w:rPr>
        <w:t>s</w:t>
      </w:r>
      <w:r w:rsidRPr="0039653B">
        <w:rPr>
          <w:rFonts w:ascii="Times New Roman" w:hAnsi="Times New Roman" w:cs="Times New Roman"/>
        </w:rPr>
        <w:t xml:space="preserve"> in pertinent part that “Cancer care involves complex, coordinated care and specialized services in either an inpatient or outpatient setting. Hence, timely access to appropriate, affordable, and high-quality cancer care is critically important. Due to the aging population and growing demand of cancer care, the spatial barrier from a patient’s residence to health care providers is a major challenge for all stages of cancer.”).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33C5" w14:textId="073082CF" w:rsidR="00FA5884" w:rsidRPr="00FA5884" w:rsidRDefault="00FA5884" w:rsidP="00FA5884">
    <w:pPr>
      <w:pStyle w:val="Header"/>
      <w:jc w:val="center"/>
      <w:rPr>
        <w:rFonts w:ascii="Calibri" w:hAnsi="Calibri" w:cs="Calibri"/>
        <w:b/>
        <w:bCs/>
        <w:color w:val="806000" w:themeColor="accent4" w:themeShade="80"/>
        <w:sz w:val="28"/>
        <w:szCs w:val="28"/>
      </w:rPr>
    </w:pPr>
    <w:r>
      <w:rPr>
        <w:rFonts w:ascii="Calibri" w:hAnsi="Calibri" w:cs="Calibri"/>
        <w:b/>
        <w:bCs/>
        <w:color w:val="806000" w:themeColor="accent4" w:themeShade="80"/>
        <w:sz w:val="28"/>
        <w:szCs w:val="28"/>
      </w:rPr>
      <w:t xml:space="preserve">SHS – LINAC </w:t>
    </w:r>
    <w:proofErr w:type="spellStart"/>
    <w:r>
      <w:rPr>
        <w:rFonts w:ascii="Calibri" w:hAnsi="Calibri" w:cs="Calibri"/>
        <w:b/>
        <w:bCs/>
        <w:color w:val="806000" w:themeColor="accent4" w:themeShade="80"/>
        <w:sz w:val="28"/>
        <w:szCs w:val="28"/>
      </w:rPr>
      <w:t>DoN</w:t>
    </w:r>
    <w:proofErr w:type="spellEnd"/>
    <w:r>
      <w:rPr>
        <w:rFonts w:ascii="Calibri" w:hAnsi="Calibri" w:cs="Calibri"/>
        <w:b/>
        <w:bCs/>
        <w:color w:val="806000" w:themeColor="accent4" w:themeShade="80"/>
        <w:sz w:val="28"/>
        <w:szCs w:val="28"/>
      </w:rPr>
      <w:t xml:space="preserve"> Application Submission No. SHS-26021610-RE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F47"/>
    <w:multiLevelType w:val="hybridMultilevel"/>
    <w:tmpl w:val="A4D27880"/>
    <w:lvl w:ilvl="0" w:tplc="9298464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54346"/>
    <w:multiLevelType w:val="hybridMultilevel"/>
    <w:tmpl w:val="1578F23A"/>
    <w:lvl w:ilvl="0" w:tplc="335CDFA8">
      <w:start w:val="1"/>
      <w:numFmt w:val="decimal"/>
      <w:pStyle w:val="Heading2"/>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0E80AE6"/>
    <w:multiLevelType w:val="hybridMultilevel"/>
    <w:tmpl w:val="B77CB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66D5EA4"/>
    <w:multiLevelType w:val="hybridMultilevel"/>
    <w:tmpl w:val="1CF2E3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0072057">
    <w:abstractNumId w:val="1"/>
  </w:num>
  <w:num w:numId="2" w16cid:durableId="1937709451">
    <w:abstractNumId w:val="0"/>
  </w:num>
  <w:num w:numId="3" w16cid:durableId="1055620150">
    <w:abstractNumId w:val="1"/>
  </w:num>
  <w:num w:numId="4" w16cid:durableId="2061398749">
    <w:abstractNumId w:val="2"/>
  </w:num>
  <w:num w:numId="5" w16cid:durableId="1564678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84"/>
    <w:rsid w:val="0000002D"/>
    <w:rsid w:val="000047CD"/>
    <w:rsid w:val="00030C1E"/>
    <w:rsid w:val="00031E57"/>
    <w:rsid w:val="0003405C"/>
    <w:rsid w:val="00035C83"/>
    <w:rsid w:val="000411E7"/>
    <w:rsid w:val="00055DDE"/>
    <w:rsid w:val="000713A2"/>
    <w:rsid w:val="000747FD"/>
    <w:rsid w:val="000803E8"/>
    <w:rsid w:val="000A5630"/>
    <w:rsid w:val="000B525C"/>
    <w:rsid w:val="000B6E72"/>
    <w:rsid w:val="000C247B"/>
    <w:rsid w:val="000C2A26"/>
    <w:rsid w:val="000E42D3"/>
    <w:rsid w:val="00104C30"/>
    <w:rsid w:val="00110B6B"/>
    <w:rsid w:val="00112758"/>
    <w:rsid w:val="001207ED"/>
    <w:rsid w:val="00123BA7"/>
    <w:rsid w:val="00123D21"/>
    <w:rsid w:val="00132651"/>
    <w:rsid w:val="00137FC9"/>
    <w:rsid w:val="00145682"/>
    <w:rsid w:val="00154A4A"/>
    <w:rsid w:val="0015549A"/>
    <w:rsid w:val="001603C5"/>
    <w:rsid w:val="0016397B"/>
    <w:rsid w:val="00165945"/>
    <w:rsid w:val="0016742F"/>
    <w:rsid w:val="001750DA"/>
    <w:rsid w:val="001814A7"/>
    <w:rsid w:val="00185514"/>
    <w:rsid w:val="00186B9A"/>
    <w:rsid w:val="001A5BC5"/>
    <w:rsid w:val="001B0AB5"/>
    <w:rsid w:val="001B2549"/>
    <w:rsid w:val="001C075F"/>
    <w:rsid w:val="001C3310"/>
    <w:rsid w:val="001D2511"/>
    <w:rsid w:val="001D3492"/>
    <w:rsid w:val="001E01F9"/>
    <w:rsid w:val="001E1800"/>
    <w:rsid w:val="001E2482"/>
    <w:rsid w:val="001E7076"/>
    <w:rsid w:val="001F3A93"/>
    <w:rsid w:val="001F7CA2"/>
    <w:rsid w:val="00201865"/>
    <w:rsid w:val="00201DE4"/>
    <w:rsid w:val="00220F17"/>
    <w:rsid w:val="002246D5"/>
    <w:rsid w:val="00241C6D"/>
    <w:rsid w:val="00242490"/>
    <w:rsid w:val="0024772F"/>
    <w:rsid w:val="00256728"/>
    <w:rsid w:val="00257B56"/>
    <w:rsid w:val="00264561"/>
    <w:rsid w:val="002715A5"/>
    <w:rsid w:val="00287D59"/>
    <w:rsid w:val="00291CC6"/>
    <w:rsid w:val="002938CB"/>
    <w:rsid w:val="002A12E5"/>
    <w:rsid w:val="002A76F7"/>
    <w:rsid w:val="002C4A02"/>
    <w:rsid w:val="002D73C6"/>
    <w:rsid w:val="002E5D5B"/>
    <w:rsid w:val="002F74C9"/>
    <w:rsid w:val="00300416"/>
    <w:rsid w:val="00301697"/>
    <w:rsid w:val="00310E57"/>
    <w:rsid w:val="00311BFC"/>
    <w:rsid w:val="00320534"/>
    <w:rsid w:val="00324315"/>
    <w:rsid w:val="00324CF1"/>
    <w:rsid w:val="00326EDE"/>
    <w:rsid w:val="003272CE"/>
    <w:rsid w:val="003322C5"/>
    <w:rsid w:val="00340DDF"/>
    <w:rsid w:val="00342515"/>
    <w:rsid w:val="00344C73"/>
    <w:rsid w:val="00351C28"/>
    <w:rsid w:val="0036388B"/>
    <w:rsid w:val="003655C9"/>
    <w:rsid w:val="003672CA"/>
    <w:rsid w:val="003723EF"/>
    <w:rsid w:val="00377CE4"/>
    <w:rsid w:val="00380BFB"/>
    <w:rsid w:val="00387CC6"/>
    <w:rsid w:val="00395F2A"/>
    <w:rsid w:val="0039653B"/>
    <w:rsid w:val="003B2845"/>
    <w:rsid w:val="003D22E1"/>
    <w:rsid w:val="003D380A"/>
    <w:rsid w:val="003D47E9"/>
    <w:rsid w:val="003D526F"/>
    <w:rsid w:val="003D6A73"/>
    <w:rsid w:val="003E1A11"/>
    <w:rsid w:val="00401109"/>
    <w:rsid w:val="00401E30"/>
    <w:rsid w:val="004114EC"/>
    <w:rsid w:val="004144F1"/>
    <w:rsid w:val="00422F26"/>
    <w:rsid w:val="004414E2"/>
    <w:rsid w:val="00445B99"/>
    <w:rsid w:val="00454E71"/>
    <w:rsid w:val="0045675A"/>
    <w:rsid w:val="004643E6"/>
    <w:rsid w:val="004704E2"/>
    <w:rsid w:val="00476069"/>
    <w:rsid w:val="00486FB7"/>
    <w:rsid w:val="00487F35"/>
    <w:rsid w:val="00493422"/>
    <w:rsid w:val="0049459D"/>
    <w:rsid w:val="00495BAB"/>
    <w:rsid w:val="00497253"/>
    <w:rsid w:val="004A092C"/>
    <w:rsid w:val="004A6EA2"/>
    <w:rsid w:val="004B2DC9"/>
    <w:rsid w:val="004B3F4A"/>
    <w:rsid w:val="004B48E7"/>
    <w:rsid w:val="004C2534"/>
    <w:rsid w:val="004C27A7"/>
    <w:rsid w:val="004C5222"/>
    <w:rsid w:val="004C741C"/>
    <w:rsid w:val="004D0B28"/>
    <w:rsid w:val="004D4284"/>
    <w:rsid w:val="004D597D"/>
    <w:rsid w:val="004D7E3E"/>
    <w:rsid w:val="004E13D9"/>
    <w:rsid w:val="004F4996"/>
    <w:rsid w:val="0050077E"/>
    <w:rsid w:val="005007A7"/>
    <w:rsid w:val="005037FD"/>
    <w:rsid w:val="00510018"/>
    <w:rsid w:val="00516009"/>
    <w:rsid w:val="00516919"/>
    <w:rsid w:val="0053007E"/>
    <w:rsid w:val="0054086A"/>
    <w:rsid w:val="0054400B"/>
    <w:rsid w:val="00547362"/>
    <w:rsid w:val="00553E4F"/>
    <w:rsid w:val="00556F06"/>
    <w:rsid w:val="005659A3"/>
    <w:rsid w:val="0056651E"/>
    <w:rsid w:val="0056655F"/>
    <w:rsid w:val="00566706"/>
    <w:rsid w:val="005721F1"/>
    <w:rsid w:val="005740FE"/>
    <w:rsid w:val="00584BEC"/>
    <w:rsid w:val="00587F1F"/>
    <w:rsid w:val="00596395"/>
    <w:rsid w:val="00597AE1"/>
    <w:rsid w:val="005A297C"/>
    <w:rsid w:val="005B6577"/>
    <w:rsid w:val="005B77C3"/>
    <w:rsid w:val="005C2686"/>
    <w:rsid w:val="005C50A5"/>
    <w:rsid w:val="005D0ECC"/>
    <w:rsid w:val="005D374D"/>
    <w:rsid w:val="005E1222"/>
    <w:rsid w:val="005E2117"/>
    <w:rsid w:val="005E26E5"/>
    <w:rsid w:val="005E44F5"/>
    <w:rsid w:val="005E5554"/>
    <w:rsid w:val="005E746B"/>
    <w:rsid w:val="005F4D8A"/>
    <w:rsid w:val="005F5DC9"/>
    <w:rsid w:val="006008A7"/>
    <w:rsid w:val="00603982"/>
    <w:rsid w:val="00606067"/>
    <w:rsid w:val="00606D65"/>
    <w:rsid w:val="0061332D"/>
    <w:rsid w:val="006133DF"/>
    <w:rsid w:val="00615ED6"/>
    <w:rsid w:val="006213D9"/>
    <w:rsid w:val="00623B38"/>
    <w:rsid w:val="006268BD"/>
    <w:rsid w:val="00626C99"/>
    <w:rsid w:val="00633503"/>
    <w:rsid w:val="0063606F"/>
    <w:rsid w:val="00643026"/>
    <w:rsid w:val="00646916"/>
    <w:rsid w:val="006534B3"/>
    <w:rsid w:val="0065484D"/>
    <w:rsid w:val="00660E33"/>
    <w:rsid w:val="00661136"/>
    <w:rsid w:val="00662C0C"/>
    <w:rsid w:val="00663251"/>
    <w:rsid w:val="0067238E"/>
    <w:rsid w:val="00672615"/>
    <w:rsid w:val="0068411C"/>
    <w:rsid w:val="006848CD"/>
    <w:rsid w:val="00686DD6"/>
    <w:rsid w:val="00687445"/>
    <w:rsid w:val="006963CF"/>
    <w:rsid w:val="006A4923"/>
    <w:rsid w:val="006A7E36"/>
    <w:rsid w:val="006B1B0A"/>
    <w:rsid w:val="006B1BED"/>
    <w:rsid w:val="006B37C1"/>
    <w:rsid w:val="006B7DA8"/>
    <w:rsid w:val="006C3804"/>
    <w:rsid w:val="00705804"/>
    <w:rsid w:val="00705B06"/>
    <w:rsid w:val="00706136"/>
    <w:rsid w:val="00711BFC"/>
    <w:rsid w:val="00720147"/>
    <w:rsid w:val="0072047C"/>
    <w:rsid w:val="007219C9"/>
    <w:rsid w:val="00735967"/>
    <w:rsid w:val="007543DE"/>
    <w:rsid w:val="00756F57"/>
    <w:rsid w:val="007642A0"/>
    <w:rsid w:val="0077088D"/>
    <w:rsid w:val="00775BCF"/>
    <w:rsid w:val="00780438"/>
    <w:rsid w:val="00782437"/>
    <w:rsid w:val="0078660A"/>
    <w:rsid w:val="00790FBB"/>
    <w:rsid w:val="007A21D6"/>
    <w:rsid w:val="007B26A5"/>
    <w:rsid w:val="007B7336"/>
    <w:rsid w:val="007B7A16"/>
    <w:rsid w:val="007B7F5D"/>
    <w:rsid w:val="007D66C6"/>
    <w:rsid w:val="007D766E"/>
    <w:rsid w:val="007E128D"/>
    <w:rsid w:val="007E26BA"/>
    <w:rsid w:val="007E43A0"/>
    <w:rsid w:val="007E43A6"/>
    <w:rsid w:val="007E7E4E"/>
    <w:rsid w:val="007F27EF"/>
    <w:rsid w:val="007F6604"/>
    <w:rsid w:val="007F6E7C"/>
    <w:rsid w:val="008001F8"/>
    <w:rsid w:val="00800A59"/>
    <w:rsid w:val="0080348C"/>
    <w:rsid w:val="00803D80"/>
    <w:rsid w:val="00803D8D"/>
    <w:rsid w:val="008057F5"/>
    <w:rsid w:val="00811B05"/>
    <w:rsid w:val="00814FD0"/>
    <w:rsid w:val="0082161B"/>
    <w:rsid w:val="00822767"/>
    <w:rsid w:val="0083221E"/>
    <w:rsid w:val="0083517F"/>
    <w:rsid w:val="00836E2E"/>
    <w:rsid w:val="00840C49"/>
    <w:rsid w:val="008511D0"/>
    <w:rsid w:val="00853834"/>
    <w:rsid w:val="00875DDC"/>
    <w:rsid w:val="0088180A"/>
    <w:rsid w:val="00891EB8"/>
    <w:rsid w:val="00896388"/>
    <w:rsid w:val="008A3F54"/>
    <w:rsid w:val="008C3375"/>
    <w:rsid w:val="008C4837"/>
    <w:rsid w:val="008C61B8"/>
    <w:rsid w:val="008E1F81"/>
    <w:rsid w:val="008E4742"/>
    <w:rsid w:val="008F54AD"/>
    <w:rsid w:val="008F657B"/>
    <w:rsid w:val="009012ED"/>
    <w:rsid w:val="00917089"/>
    <w:rsid w:val="0091752E"/>
    <w:rsid w:val="00924A71"/>
    <w:rsid w:val="00931F26"/>
    <w:rsid w:val="009348EC"/>
    <w:rsid w:val="00970E68"/>
    <w:rsid w:val="00971A2B"/>
    <w:rsid w:val="00971D25"/>
    <w:rsid w:val="009721DF"/>
    <w:rsid w:val="00980E13"/>
    <w:rsid w:val="009815FD"/>
    <w:rsid w:val="00982419"/>
    <w:rsid w:val="0098604E"/>
    <w:rsid w:val="00986D1E"/>
    <w:rsid w:val="00997AE6"/>
    <w:rsid w:val="009A4426"/>
    <w:rsid w:val="009A53DE"/>
    <w:rsid w:val="009B024A"/>
    <w:rsid w:val="009B7620"/>
    <w:rsid w:val="009B7DF4"/>
    <w:rsid w:val="009C56EC"/>
    <w:rsid w:val="009D6837"/>
    <w:rsid w:val="009D7B3B"/>
    <w:rsid w:val="009E0449"/>
    <w:rsid w:val="009E511F"/>
    <w:rsid w:val="009E72D4"/>
    <w:rsid w:val="009E7373"/>
    <w:rsid w:val="00A13057"/>
    <w:rsid w:val="00A1360F"/>
    <w:rsid w:val="00A245EA"/>
    <w:rsid w:val="00A31A6F"/>
    <w:rsid w:val="00A323EE"/>
    <w:rsid w:val="00A34524"/>
    <w:rsid w:val="00A40503"/>
    <w:rsid w:val="00A42528"/>
    <w:rsid w:val="00A53017"/>
    <w:rsid w:val="00A56DF9"/>
    <w:rsid w:val="00A619A7"/>
    <w:rsid w:val="00A627D6"/>
    <w:rsid w:val="00A637F5"/>
    <w:rsid w:val="00A65564"/>
    <w:rsid w:val="00A67F62"/>
    <w:rsid w:val="00A73EB0"/>
    <w:rsid w:val="00A750AD"/>
    <w:rsid w:val="00A82487"/>
    <w:rsid w:val="00A82EEE"/>
    <w:rsid w:val="00A87A14"/>
    <w:rsid w:val="00A92133"/>
    <w:rsid w:val="00A9215F"/>
    <w:rsid w:val="00AB1FD9"/>
    <w:rsid w:val="00AB46E4"/>
    <w:rsid w:val="00AB7021"/>
    <w:rsid w:val="00AC2A26"/>
    <w:rsid w:val="00AC30CD"/>
    <w:rsid w:val="00AC5A0F"/>
    <w:rsid w:val="00AD0B09"/>
    <w:rsid w:val="00AD246A"/>
    <w:rsid w:val="00AD3682"/>
    <w:rsid w:val="00AE41D3"/>
    <w:rsid w:val="00AF6FAE"/>
    <w:rsid w:val="00AF7AF9"/>
    <w:rsid w:val="00B075DE"/>
    <w:rsid w:val="00B111AB"/>
    <w:rsid w:val="00B26D6D"/>
    <w:rsid w:val="00B30967"/>
    <w:rsid w:val="00B32909"/>
    <w:rsid w:val="00B373D9"/>
    <w:rsid w:val="00B44F51"/>
    <w:rsid w:val="00B50F2F"/>
    <w:rsid w:val="00B5176A"/>
    <w:rsid w:val="00B5383A"/>
    <w:rsid w:val="00B55850"/>
    <w:rsid w:val="00B57484"/>
    <w:rsid w:val="00B67C29"/>
    <w:rsid w:val="00B70E2B"/>
    <w:rsid w:val="00B710AC"/>
    <w:rsid w:val="00B77C7E"/>
    <w:rsid w:val="00B844B2"/>
    <w:rsid w:val="00B97D22"/>
    <w:rsid w:val="00BA1787"/>
    <w:rsid w:val="00BA418C"/>
    <w:rsid w:val="00BA6DE8"/>
    <w:rsid w:val="00BB1847"/>
    <w:rsid w:val="00BB5612"/>
    <w:rsid w:val="00BB7E77"/>
    <w:rsid w:val="00BE2541"/>
    <w:rsid w:val="00BE2E16"/>
    <w:rsid w:val="00BE4088"/>
    <w:rsid w:val="00BE5666"/>
    <w:rsid w:val="00BE7D70"/>
    <w:rsid w:val="00C0195C"/>
    <w:rsid w:val="00C04ECC"/>
    <w:rsid w:val="00C16DA5"/>
    <w:rsid w:val="00C2630F"/>
    <w:rsid w:val="00C27E5B"/>
    <w:rsid w:val="00C3395F"/>
    <w:rsid w:val="00C36DBD"/>
    <w:rsid w:val="00C37AC8"/>
    <w:rsid w:val="00C452BB"/>
    <w:rsid w:val="00C562ED"/>
    <w:rsid w:val="00C636CA"/>
    <w:rsid w:val="00C8589D"/>
    <w:rsid w:val="00C92808"/>
    <w:rsid w:val="00C968D4"/>
    <w:rsid w:val="00CA0A5B"/>
    <w:rsid w:val="00CB03D0"/>
    <w:rsid w:val="00CB2C38"/>
    <w:rsid w:val="00CB6773"/>
    <w:rsid w:val="00CB73E9"/>
    <w:rsid w:val="00CC52DC"/>
    <w:rsid w:val="00CC58ED"/>
    <w:rsid w:val="00CD08CD"/>
    <w:rsid w:val="00CE1FE6"/>
    <w:rsid w:val="00CE71B6"/>
    <w:rsid w:val="00CF2970"/>
    <w:rsid w:val="00D021BA"/>
    <w:rsid w:val="00D03F46"/>
    <w:rsid w:val="00D07BF4"/>
    <w:rsid w:val="00D133A9"/>
    <w:rsid w:val="00D17207"/>
    <w:rsid w:val="00D22D80"/>
    <w:rsid w:val="00D22E1E"/>
    <w:rsid w:val="00D3438A"/>
    <w:rsid w:val="00D40004"/>
    <w:rsid w:val="00D4781B"/>
    <w:rsid w:val="00D60C5B"/>
    <w:rsid w:val="00D6331F"/>
    <w:rsid w:val="00D71C29"/>
    <w:rsid w:val="00D8143A"/>
    <w:rsid w:val="00D83A0A"/>
    <w:rsid w:val="00D84154"/>
    <w:rsid w:val="00D94EA9"/>
    <w:rsid w:val="00D96343"/>
    <w:rsid w:val="00DB19BD"/>
    <w:rsid w:val="00DD115A"/>
    <w:rsid w:val="00DD1252"/>
    <w:rsid w:val="00DD265B"/>
    <w:rsid w:val="00DD3275"/>
    <w:rsid w:val="00DD34BF"/>
    <w:rsid w:val="00DD66FC"/>
    <w:rsid w:val="00DE0177"/>
    <w:rsid w:val="00E04012"/>
    <w:rsid w:val="00E0687E"/>
    <w:rsid w:val="00E07269"/>
    <w:rsid w:val="00E1298E"/>
    <w:rsid w:val="00E12D97"/>
    <w:rsid w:val="00E36137"/>
    <w:rsid w:val="00E432C2"/>
    <w:rsid w:val="00E46C50"/>
    <w:rsid w:val="00E52AEA"/>
    <w:rsid w:val="00E54126"/>
    <w:rsid w:val="00E67CD8"/>
    <w:rsid w:val="00E73C7E"/>
    <w:rsid w:val="00E75C4D"/>
    <w:rsid w:val="00E76AF5"/>
    <w:rsid w:val="00E840B3"/>
    <w:rsid w:val="00E85DB9"/>
    <w:rsid w:val="00E940CF"/>
    <w:rsid w:val="00E97D4E"/>
    <w:rsid w:val="00EA3199"/>
    <w:rsid w:val="00EA494A"/>
    <w:rsid w:val="00EA6EEC"/>
    <w:rsid w:val="00EB0695"/>
    <w:rsid w:val="00EB3485"/>
    <w:rsid w:val="00EC3B72"/>
    <w:rsid w:val="00EC503B"/>
    <w:rsid w:val="00EC7614"/>
    <w:rsid w:val="00EC7EAD"/>
    <w:rsid w:val="00ED38EC"/>
    <w:rsid w:val="00ED4666"/>
    <w:rsid w:val="00EE1EA1"/>
    <w:rsid w:val="00EF0F55"/>
    <w:rsid w:val="00EF24A4"/>
    <w:rsid w:val="00EF591E"/>
    <w:rsid w:val="00EF64C8"/>
    <w:rsid w:val="00F02912"/>
    <w:rsid w:val="00F10AD2"/>
    <w:rsid w:val="00F13CF8"/>
    <w:rsid w:val="00F2382A"/>
    <w:rsid w:val="00F35C5E"/>
    <w:rsid w:val="00F36D5D"/>
    <w:rsid w:val="00F375B4"/>
    <w:rsid w:val="00F446CC"/>
    <w:rsid w:val="00F51EF6"/>
    <w:rsid w:val="00F53540"/>
    <w:rsid w:val="00F73B23"/>
    <w:rsid w:val="00F76C69"/>
    <w:rsid w:val="00F77E0B"/>
    <w:rsid w:val="00F8691A"/>
    <w:rsid w:val="00F95C75"/>
    <w:rsid w:val="00F973EF"/>
    <w:rsid w:val="00F979D7"/>
    <w:rsid w:val="00FA5884"/>
    <w:rsid w:val="00FA6797"/>
    <w:rsid w:val="00FA75A3"/>
    <w:rsid w:val="00FB2611"/>
    <w:rsid w:val="00FB49FA"/>
    <w:rsid w:val="00FB4E7C"/>
    <w:rsid w:val="00FC2650"/>
    <w:rsid w:val="00FC42E1"/>
    <w:rsid w:val="00FC567F"/>
    <w:rsid w:val="00FD2EDA"/>
    <w:rsid w:val="00FD55E6"/>
    <w:rsid w:val="00FD5B35"/>
    <w:rsid w:val="00FD65D3"/>
    <w:rsid w:val="00FE299E"/>
    <w:rsid w:val="00FE6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322C0"/>
  <w15:chartTrackingRefBased/>
  <w15:docId w15:val="{85F86553-B876-438F-986E-EE0BD2DC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A2B"/>
    <w:pPr>
      <w:ind w:firstLine="720"/>
      <w:jc w:val="center"/>
      <w:outlineLvl w:val="0"/>
    </w:pPr>
    <w:rPr>
      <w:b/>
      <w:bCs/>
    </w:rPr>
  </w:style>
  <w:style w:type="paragraph" w:styleId="Heading2">
    <w:name w:val="heading 2"/>
    <w:basedOn w:val="Normal"/>
    <w:next w:val="Normal"/>
    <w:link w:val="Heading2Char"/>
    <w:uiPriority w:val="9"/>
    <w:unhideWhenUsed/>
    <w:qFormat/>
    <w:rsid w:val="009E7373"/>
    <w:pPr>
      <w:numPr>
        <w:numId w:val="1"/>
      </w:numPr>
      <w:outlineLvl w:val="1"/>
    </w:pPr>
    <w:rPr>
      <w:rFonts w:ascii="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884"/>
  </w:style>
  <w:style w:type="paragraph" w:styleId="Footer">
    <w:name w:val="footer"/>
    <w:basedOn w:val="Normal"/>
    <w:link w:val="FooterChar"/>
    <w:uiPriority w:val="99"/>
    <w:unhideWhenUsed/>
    <w:rsid w:val="00FA5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884"/>
  </w:style>
  <w:style w:type="character" w:styleId="CommentReference">
    <w:name w:val="annotation reference"/>
    <w:basedOn w:val="DefaultParagraphFont"/>
    <w:uiPriority w:val="99"/>
    <w:semiHidden/>
    <w:unhideWhenUsed/>
    <w:rsid w:val="003655C9"/>
    <w:rPr>
      <w:sz w:val="16"/>
      <w:szCs w:val="16"/>
    </w:rPr>
  </w:style>
  <w:style w:type="paragraph" w:styleId="CommentText">
    <w:name w:val="annotation text"/>
    <w:basedOn w:val="Normal"/>
    <w:link w:val="CommentTextChar"/>
    <w:uiPriority w:val="99"/>
    <w:unhideWhenUsed/>
    <w:rsid w:val="003655C9"/>
    <w:pPr>
      <w:spacing w:line="240" w:lineRule="auto"/>
    </w:pPr>
    <w:rPr>
      <w:sz w:val="20"/>
      <w:szCs w:val="20"/>
    </w:rPr>
  </w:style>
  <w:style w:type="character" w:customStyle="1" w:styleId="CommentTextChar">
    <w:name w:val="Comment Text Char"/>
    <w:basedOn w:val="DefaultParagraphFont"/>
    <w:link w:val="CommentText"/>
    <w:uiPriority w:val="99"/>
    <w:rsid w:val="003655C9"/>
    <w:rPr>
      <w:sz w:val="20"/>
      <w:szCs w:val="20"/>
    </w:rPr>
  </w:style>
  <w:style w:type="paragraph" w:styleId="CommentSubject">
    <w:name w:val="annotation subject"/>
    <w:basedOn w:val="CommentText"/>
    <w:next w:val="CommentText"/>
    <w:link w:val="CommentSubjectChar"/>
    <w:uiPriority w:val="99"/>
    <w:semiHidden/>
    <w:unhideWhenUsed/>
    <w:rsid w:val="003655C9"/>
    <w:rPr>
      <w:b/>
      <w:bCs/>
    </w:rPr>
  </w:style>
  <w:style w:type="character" w:customStyle="1" w:styleId="CommentSubjectChar">
    <w:name w:val="Comment Subject Char"/>
    <w:basedOn w:val="CommentTextChar"/>
    <w:link w:val="CommentSubject"/>
    <w:uiPriority w:val="99"/>
    <w:semiHidden/>
    <w:rsid w:val="003655C9"/>
    <w:rPr>
      <w:b/>
      <w:bCs/>
      <w:sz w:val="20"/>
      <w:szCs w:val="20"/>
    </w:rPr>
  </w:style>
  <w:style w:type="paragraph" w:styleId="Revision">
    <w:name w:val="Revision"/>
    <w:hidden/>
    <w:uiPriority w:val="99"/>
    <w:semiHidden/>
    <w:rsid w:val="003655C9"/>
    <w:pPr>
      <w:spacing w:after="0" w:line="240" w:lineRule="auto"/>
    </w:pPr>
  </w:style>
  <w:style w:type="paragraph" w:styleId="FootnoteText">
    <w:name w:val="footnote text"/>
    <w:basedOn w:val="Normal"/>
    <w:link w:val="FootnoteTextChar"/>
    <w:uiPriority w:val="99"/>
    <w:semiHidden/>
    <w:unhideWhenUsed/>
    <w:rsid w:val="00D07B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7BF4"/>
    <w:rPr>
      <w:sz w:val="20"/>
      <w:szCs w:val="20"/>
    </w:rPr>
  </w:style>
  <w:style w:type="character" w:styleId="FootnoteReference">
    <w:name w:val="footnote reference"/>
    <w:basedOn w:val="DefaultParagraphFont"/>
    <w:uiPriority w:val="99"/>
    <w:semiHidden/>
    <w:unhideWhenUsed/>
    <w:rsid w:val="00D07BF4"/>
    <w:rPr>
      <w:vertAlign w:val="superscript"/>
    </w:rPr>
  </w:style>
  <w:style w:type="character" w:styleId="Hyperlink">
    <w:name w:val="Hyperlink"/>
    <w:basedOn w:val="DefaultParagraphFont"/>
    <w:uiPriority w:val="99"/>
    <w:unhideWhenUsed/>
    <w:rsid w:val="00790FBB"/>
    <w:rPr>
      <w:color w:val="0563C1" w:themeColor="hyperlink"/>
      <w:u w:val="single"/>
    </w:rPr>
  </w:style>
  <w:style w:type="character" w:styleId="UnresolvedMention">
    <w:name w:val="Unresolved Mention"/>
    <w:basedOn w:val="DefaultParagraphFont"/>
    <w:uiPriority w:val="99"/>
    <w:semiHidden/>
    <w:unhideWhenUsed/>
    <w:rsid w:val="00790FBB"/>
    <w:rPr>
      <w:color w:val="605E5C"/>
      <w:shd w:val="clear" w:color="auto" w:fill="E1DFDD"/>
    </w:rPr>
  </w:style>
  <w:style w:type="paragraph" w:styleId="ListParagraph">
    <w:name w:val="List Paragraph"/>
    <w:basedOn w:val="Normal"/>
    <w:uiPriority w:val="34"/>
    <w:qFormat/>
    <w:rsid w:val="007D766E"/>
    <w:pPr>
      <w:ind w:left="720"/>
      <w:contextualSpacing/>
    </w:pPr>
  </w:style>
  <w:style w:type="character" w:styleId="FollowedHyperlink">
    <w:name w:val="FollowedHyperlink"/>
    <w:basedOn w:val="DefaultParagraphFont"/>
    <w:uiPriority w:val="99"/>
    <w:semiHidden/>
    <w:unhideWhenUsed/>
    <w:rsid w:val="00185514"/>
    <w:rPr>
      <w:color w:val="954F72" w:themeColor="followedHyperlink"/>
      <w:u w:val="single"/>
    </w:rPr>
  </w:style>
  <w:style w:type="table" w:styleId="TableGrid">
    <w:name w:val="Table Grid"/>
    <w:basedOn w:val="TableNormal"/>
    <w:uiPriority w:val="39"/>
    <w:rsid w:val="00B67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71A2B"/>
    <w:rPr>
      <w:b/>
      <w:bCs/>
    </w:rPr>
  </w:style>
  <w:style w:type="character" w:customStyle="1" w:styleId="Heading2Char">
    <w:name w:val="Heading 2 Char"/>
    <w:basedOn w:val="DefaultParagraphFont"/>
    <w:link w:val="Heading2"/>
    <w:uiPriority w:val="9"/>
    <w:rsid w:val="009E7373"/>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0029">
      <w:bodyDiv w:val="1"/>
      <w:marLeft w:val="0"/>
      <w:marRight w:val="0"/>
      <w:marTop w:val="0"/>
      <w:marBottom w:val="0"/>
      <w:divBdr>
        <w:top w:val="none" w:sz="0" w:space="0" w:color="auto"/>
        <w:left w:val="none" w:sz="0" w:space="0" w:color="auto"/>
        <w:bottom w:val="none" w:sz="0" w:space="0" w:color="auto"/>
        <w:right w:val="none" w:sz="0" w:space="0" w:color="auto"/>
      </w:divBdr>
    </w:div>
    <w:div w:id="202059493">
      <w:bodyDiv w:val="1"/>
      <w:marLeft w:val="0"/>
      <w:marRight w:val="0"/>
      <w:marTop w:val="0"/>
      <w:marBottom w:val="0"/>
      <w:divBdr>
        <w:top w:val="none" w:sz="0" w:space="0" w:color="auto"/>
        <w:left w:val="none" w:sz="0" w:space="0" w:color="auto"/>
        <w:bottom w:val="none" w:sz="0" w:space="0" w:color="auto"/>
        <w:right w:val="none" w:sz="0" w:space="0" w:color="auto"/>
      </w:divBdr>
    </w:div>
    <w:div w:id="268316880">
      <w:bodyDiv w:val="1"/>
      <w:marLeft w:val="0"/>
      <w:marRight w:val="0"/>
      <w:marTop w:val="0"/>
      <w:marBottom w:val="0"/>
      <w:divBdr>
        <w:top w:val="none" w:sz="0" w:space="0" w:color="auto"/>
        <w:left w:val="none" w:sz="0" w:space="0" w:color="auto"/>
        <w:bottom w:val="none" w:sz="0" w:space="0" w:color="auto"/>
        <w:right w:val="none" w:sz="0" w:space="0" w:color="auto"/>
      </w:divBdr>
    </w:div>
    <w:div w:id="468784921">
      <w:bodyDiv w:val="1"/>
      <w:marLeft w:val="0"/>
      <w:marRight w:val="0"/>
      <w:marTop w:val="0"/>
      <w:marBottom w:val="0"/>
      <w:divBdr>
        <w:top w:val="none" w:sz="0" w:space="0" w:color="auto"/>
        <w:left w:val="none" w:sz="0" w:space="0" w:color="auto"/>
        <w:bottom w:val="none" w:sz="0" w:space="0" w:color="auto"/>
        <w:right w:val="none" w:sz="0" w:space="0" w:color="auto"/>
      </w:divBdr>
    </w:div>
    <w:div w:id="482430639">
      <w:bodyDiv w:val="1"/>
      <w:marLeft w:val="0"/>
      <w:marRight w:val="0"/>
      <w:marTop w:val="0"/>
      <w:marBottom w:val="0"/>
      <w:divBdr>
        <w:top w:val="none" w:sz="0" w:space="0" w:color="auto"/>
        <w:left w:val="none" w:sz="0" w:space="0" w:color="auto"/>
        <w:bottom w:val="none" w:sz="0" w:space="0" w:color="auto"/>
        <w:right w:val="none" w:sz="0" w:space="0" w:color="auto"/>
      </w:divBdr>
    </w:div>
    <w:div w:id="560752723">
      <w:bodyDiv w:val="1"/>
      <w:marLeft w:val="0"/>
      <w:marRight w:val="0"/>
      <w:marTop w:val="0"/>
      <w:marBottom w:val="0"/>
      <w:divBdr>
        <w:top w:val="none" w:sz="0" w:space="0" w:color="auto"/>
        <w:left w:val="none" w:sz="0" w:space="0" w:color="auto"/>
        <w:bottom w:val="none" w:sz="0" w:space="0" w:color="auto"/>
        <w:right w:val="none" w:sz="0" w:space="0" w:color="auto"/>
      </w:divBdr>
    </w:div>
    <w:div w:id="722410694">
      <w:bodyDiv w:val="1"/>
      <w:marLeft w:val="0"/>
      <w:marRight w:val="0"/>
      <w:marTop w:val="0"/>
      <w:marBottom w:val="0"/>
      <w:divBdr>
        <w:top w:val="none" w:sz="0" w:space="0" w:color="auto"/>
        <w:left w:val="none" w:sz="0" w:space="0" w:color="auto"/>
        <w:bottom w:val="none" w:sz="0" w:space="0" w:color="auto"/>
        <w:right w:val="none" w:sz="0" w:space="0" w:color="auto"/>
      </w:divBdr>
    </w:div>
    <w:div w:id="732386311">
      <w:bodyDiv w:val="1"/>
      <w:marLeft w:val="0"/>
      <w:marRight w:val="0"/>
      <w:marTop w:val="0"/>
      <w:marBottom w:val="0"/>
      <w:divBdr>
        <w:top w:val="none" w:sz="0" w:space="0" w:color="auto"/>
        <w:left w:val="none" w:sz="0" w:space="0" w:color="auto"/>
        <w:bottom w:val="none" w:sz="0" w:space="0" w:color="auto"/>
        <w:right w:val="none" w:sz="0" w:space="0" w:color="auto"/>
      </w:divBdr>
    </w:div>
    <w:div w:id="775248812">
      <w:bodyDiv w:val="1"/>
      <w:marLeft w:val="0"/>
      <w:marRight w:val="0"/>
      <w:marTop w:val="0"/>
      <w:marBottom w:val="0"/>
      <w:divBdr>
        <w:top w:val="none" w:sz="0" w:space="0" w:color="auto"/>
        <w:left w:val="none" w:sz="0" w:space="0" w:color="auto"/>
        <w:bottom w:val="none" w:sz="0" w:space="0" w:color="auto"/>
        <w:right w:val="none" w:sz="0" w:space="0" w:color="auto"/>
      </w:divBdr>
    </w:div>
    <w:div w:id="862399393">
      <w:bodyDiv w:val="1"/>
      <w:marLeft w:val="0"/>
      <w:marRight w:val="0"/>
      <w:marTop w:val="0"/>
      <w:marBottom w:val="0"/>
      <w:divBdr>
        <w:top w:val="none" w:sz="0" w:space="0" w:color="auto"/>
        <w:left w:val="none" w:sz="0" w:space="0" w:color="auto"/>
        <w:bottom w:val="none" w:sz="0" w:space="0" w:color="auto"/>
        <w:right w:val="none" w:sz="0" w:space="0" w:color="auto"/>
      </w:divBdr>
    </w:div>
    <w:div w:id="918101315">
      <w:bodyDiv w:val="1"/>
      <w:marLeft w:val="0"/>
      <w:marRight w:val="0"/>
      <w:marTop w:val="0"/>
      <w:marBottom w:val="0"/>
      <w:divBdr>
        <w:top w:val="none" w:sz="0" w:space="0" w:color="auto"/>
        <w:left w:val="none" w:sz="0" w:space="0" w:color="auto"/>
        <w:bottom w:val="none" w:sz="0" w:space="0" w:color="auto"/>
        <w:right w:val="none" w:sz="0" w:space="0" w:color="auto"/>
      </w:divBdr>
    </w:div>
    <w:div w:id="1051877867">
      <w:bodyDiv w:val="1"/>
      <w:marLeft w:val="0"/>
      <w:marRight w:val="0"/>
      <w:marTop w:val="0"/>
      <w:marBottom w:val="0"/>
      <w:divBdr>
        <w:top w:val="none" w:sz="0" w:space="0" w:color="auto"/>
        <w:left w:val="none" w:sz="0" w:space="0" w:color="auto"/>
        <w:bottom w:val="none" w:sz="0" w:space="0" w:color="auto"/>
        <w:right w:val="none" w:sz="0" w:space="0" w:color="auto"/>
      </w:divBdr>
    </w:div>
    <w:div w:id="1079328943">
      <w:bodyDiv w:val="1"/>
      <w:marLeft w:val="0"/>
      <w:marRight w:val="0"/>
      <w:marTop w:val="0"/>
      <w:marBottom w:val="0"/>
      <w:divBdr>
        <w:top w:val="none" w:sz="0" w:space="0" w:color="auto"/>
        <w:left w:val="none" w:sz="0" w:space="0" w:color="auto"/>
        <w:bottom w:val="none" w:sz="0" w:space="0" w:color="auto"/>
        <w:right w:val="none" w:sz="0" w:space="0" w:color="auto"/>
      </w:divBdr>
    </w:div>
    <w:div w:id="1107651086">
      <w:bodyDiv w:val="1"/>
      <w:marLeft w:val="0"/>
      <w:marRight w:val="0"/>
      <w:marTop w:val="0"/>
      <w:marBottom w:val="0"/>
      <w:divBdr>
        <w:top w:val="none" w:sz="0" w:space="0" w:color="auto"/>
        <w:left w:val="none" w:sz="0" w:space="0" w:color="auto"/>
        <w:bottom w:val="none" w:sz="0" w:space="0" w:color="auto"/>
        <w:right w:val="none" w:sz="0" w:space="0" w:color="auto"/>
      </w:divBdr>
    </w:div>
    <w:div w:id="1122261907">
      <w:bodyDiv w:val="1"/>
      <w:marLeft w:val="0"/>
      <w:marRight w:val="0"/>
      <w:marTop w:val="0"/>
      <w:marBottom w:val="0"/>
      <w:divBdr>
        <w:top w:val="none" w:sz="0" w:space="0" w:color="auto"/>
        <w:left w:val="none" w:sz="0" w:space="0" w:color="auto"/>
        <w:bottom w:val="none" w:sz="0" w:space="0" w:color="auto"/>
        <w:right w:val="none" w:sz="0" w:space="0" w:color="auto"/>
      </w:divBdr>
    </w:div>
    <w:div w:id="1125660984">
      <w:bodyDiv w:val="1"/>
      <w:marLeft w:val="0"/>
      <w:marRight w:val="0"/>
      <w:marTop w:val="0"/>
      <w:marBottom w:val="0"/>
      <w:divBdr>
        <w:top w:val="none" w:sz="0" w:space="0" w:color="auto"/>
        <w:left w:val="none" w:sz="0" w:space="0" w:color="auto"/>
        <w:bottom w:val="none" w:sz="0" w:space="0" w:color="auto"/>
        <w:right w:val="none" w:sz="0" w:space="0" w:color="auto"/>
      </w:divBdr>
    </w:div>
    <w:div w:id="1178230297">
      <w:bodyDiv w:val="1"/>
      <w:marLeft w:val="0"/>
      <w:marRight w:val="0"/>
      <w:marTop w:val="0"/>
      <w:marBottom w:val="0"/>
      <w:divBdr>
        <w:top w:val="none" w:sz="0" w:space="0" w:color="auto"/>
        <w:left w:val="none" w:sz="0" w:space="0" w:color="auto"/>
        <w:bottom w:val="none" w:sz="0" w:space="0" w:color="auto"/>
        <w:right w:val="none" w:sz="0" w:space="0" w:color="auto"/>
      </w:divBdr>
    </w:div>
    <w:div w:id="1210726109">
      <w:bodyDiv w:val="1"/>
      <w:marLeft w:val="0"/>
      <w:marRight w:val="0"/>
      <w:marTop w:val="0"/>
      <w:marBottom w:val="0"/>
      <w:divBdr>
        <w:top w:val="none" w:sz="0" w:space="0" w:color="auto"/>
        <w:left w:val="none" w:sz="0" w:space="0" w:color="auto"/>
        <w:bottom w:val="none" w:sz="0" w:space="0" w:color="auto"/>
        <w:right w:val="none" w:sz="0" w:space="0" w:color="auto"/>
      </w:divBdr>
    </w:div>
    <w:div w:id="1213616858">
      <w:bodyDiv w:val="1"/>
      <w:marLeft w:val="0"/>
      <w:marRight w:val="0"/>
      <w:marTop w:val="0"/>
      <w:marBottom w:val="0"/>
      <w:divBdr>
        <w:top w:val="none" w:sz="0" w:space="0" w:color="auto"/>
        <w:left w:val="none" w:sz="0" w:space="0" w:color="auto"/>
        <w:bottom w:val="none" w:sz="0" w:space="0" w:color="auto"/>
        <w:right w:val="none" w:sz="0" w:space="0" w:color="auto"/>
      </w:divBdr>
    </w:div>
    <w:div w:id="1221818933">
      <w:bodyDiv w:val="1"/>
      <w:marLeft w:val="0"/>
      <w:marRight w:val="0"/>
      <w:marTop w:val="0"/>
      <w:marBottom w:val="0"/>
      <w:divBdr>
        <w:top w:val="none" w:sz="0" w:space="0" w:color="auto"/>
        <w:left w:val="none" w:sz="0" w:space="0" w:color="auto"/>
        <w:bottom w:val="none" w:sz="0" w:space="0" w:color="auto"/>
        <w:right w:val="none" w:sz="0" w:space="0" w:color="auto"/>
      </w:divBdr>
    </w:div>
    <w:div w:id="1230456285">
      <w:bodyDiv w:val="1"/>
      <w:marLeft w:val="0"/>
      <w:marRight w:val="0"/>
      <w:marTop w:val="0"/>
      <w:marBottom w:val="0"/>
      <w:divBdr>
        <w:top w:val="none" w:sz="0" w:space="0" w:color="auto"/>
        <w:left w:val="none" w:sz="0" w:space="0" w:color="auto"/>
        <w:bottom w:val="none" w:sz="0" w:space="0" w:color="auto"/>
        <w:right w:val="none" w:sz="0" w:space="0" w:color="auto"/>
      </w:divBdr>
    </w:div>
    <w:div w:id="1230968999">
      <w:bodyDiv w:val="1"/>
      <w:marLeft w:val="0"/>
      <w:marRight w:val="0"/>
      <w:marTop w:val="0"/>
      <w:marBottom w:val="0"/>
      <w:divBdr>
        <w:top w:val="none" w:sz="0" w:space="0" w:color="auto"/>
        <w:left w:val="none" w:sz="0" w:space="0" w:color="auto"/>
        <w:bottom w:val="none" w:sz="0" w:space="0" w:color="auto"/>
        <w:right w:val="none" w:sz="0" w:space="0" w:color="auto"/>
      </w:divBdr>
    </w:div>
    <w:div w:id="1408575616">
      <w:bodyDiv w:val="1"/>
      <w:marLeft w:val="0"/>
      <w:marRight w:val="0"/>
      <w:marTop w:val="0"/>
      <w:marBottom w:val="0"/>
      <w:divBdr>
        <w:top w:val="none" w:sz="0" w:space="0" w:color="auto"/>
        <w:left w:val="none" w:sz="0" w:space="0" w:color="auto"/>
        <w:bottom w:val="none" w:sz="0" w:space="0" w:color="auto"/>
        <w:right w:val="none" w:sz="0" w:space="0" w:color="auto"/>
      </w:divBdr>
    </w:div>
    <w:div w:id="1474525655">
      <w:bodyDiv w:val="1"/>
      <w:marLeft w:val="0"/>
      <w:marRight w:val="0"/>
      <w:marTop w:val="0"/>
      <w:marBottom w:val="0"/>
      <w:divBdr>
        <w:top w:val="none" w:sz="0" w:space="0" w:color="auto"/>
        <w:left w:val="none" w:sz="0" w:space="0" w:color="auto"/>
        <w:bottom w:val="none" w:sz="0" w:space="0" w:color="auto"/>
        <w:right w:val="none" w:sz="0" w:space="0" w:color="auto"/>
      </w:divBdr>
    </w:div>
    <w:div w:id="1586570997">
      <w:bodyDiv w:val="1"/>
      <w:marLeft w:val="0"/>
      <w:marRight w:val="0"/>
      <w:marTop w:val="0"/>
      <w:marBottom w:val="0"/>
      <w:divBdr>
        <w:top w:val="none" w:sz="0" w:space="0" w:color="auto"/>
        <w:left w:val="none" w:sz="0" w:space="0" w:color="auto"/>
        <w:bottom w:val="none" w:sz="0" w:space="0" w:color="auto"/>
        <w:right w:val="none" w:sz="0" w:space="0" w:color="auto"/>
      </w:divBdr>
    </w:div>
    <w:div w:id="1678842580">
      <w:bodyDiv w:val="1"/>
      <w:marLeft w:val="0"/>
      <w:marRight w:val="0"/>
      <w:marTop w:val="0"/>
      <w:marBottom w:val="0"/>
      <w:divBdr>
        <w:top w:val="none" w:sz="0" w:space="0" w:color="auto"/>
        <w:left w:val="none" w:sz="0" w:space="0" w:color="auto"/>
        <w:bottom w:val="none" w:sz="0" w:space="0" w:color="auto"/>
        <w:right w:val="none" w:sz="0" w:space="0" w:color="auto"/>
      </w:divBdr>
    </w:div>
    <w:div w:id="1743402979">
      <w:bodyDiv w:val="1"/>
      <w:marLeft w:val="0"/>
      <w:marRight w:val="0"/>
      <w:marTop w:val="0"/>
      <w:marBottom w:val="0"/>
      <w:divBdr>
        <w:top w:val="none" w:sz="0" w:space="0" w:color="auto"/>
        <w:left w:val="none" w:sz="0" w:space="0" w:color="auto"/>
        <w:bottom w:val="none" w:sz="0" w:space="0" w:color="auto"/>
        <w:right w:val="none" w:sz="0" w:space="0" w:color="auto"/>
      </w:divBdr>
    </w:div>
    <w:div w:id="1770848894">
      <w:bodyDiv w:val="1"/>
      <w:marLeft w:val="0"/>
      <w:marRight w:val="0"/>
      <w:marTop w:val="0"/>
      <w:marBottom w:val="0"/>
      <w:divBdr>
        <w:top w:val="none" w:sz="0" w:space="0" w:color="auto"/>
        <w:left w:val="none" w:sz="0" w:space="0" w:color="auto"/>
        <w:bottom w:val="none" w:sz="0" w:space="0" w:color="auto"/>
        <w:right w:val="none" w:sz="0" w:space="0" w:color="auto"/>
      </w:divBdr>
    </w:div>
    <w:div w:id="1904486550">
      <w:bodyDiv w:val="1"/>
      <w:marLeft w:val="0"/>
      <w:marRight w:val="0"/>
      <w:marTop w:val="0"/>
      <w:marBottom w:val="0"/>
      <w:divBdr>
        <w:top w:val="none" w:sz="0" w:space="0" w:color="auto"/>
        <w:left w:val="none" w:sz="0" w:space="0" w:color="auto"/>
        <w:bottom w:val="none" w:sz="0" w:space="0" w:color="auto"/>
        <w:right w:val="none" w:sz="0" w:space="0" w:color="auto"/>
      </w:divBdr>
    </w:div>
    <w:div w:id="1955671456">
      <w:bodyDiv w:val="1"/>
      <w:marLeft w:val="0"/>
      <w:marRight w:val="0"/>
      <w:marTop w:val="0"/>
      <w:marBottom w:val="0"/>
      <w:divBdr>
        <w:top w:val="none" w:sz="0" w:space="0" w:color="auto"/>
        <w:left w:val="none" w:sz="0" w:space="0" w:color="auto"/>
        <w:bottom w:val="none" w:sz="0" w:space="0" w:color="auto"/>
        <w:right w:val="none" w:sz="0" w:space="0" w:color="auto"/>
      </w:divBdr>
    </w:div>
    <w:div w:id="2014457587">
      <w:bodyDiv w:val="1"/>
      <w:marLeft w:val="0"/>
      <w:marRight w:val="0"/>
      <w:marTop w:val="0"/>
      <w:marBottom w:val="0"/>
      <w:divBdr>
        <w:top w:val="none" w:sz="0" w:space="0" w:color="auto"/>
        <w:left w:val="none" w:sz="0" w:space="0" w:color="auto"/>
        <w:bottom w:val="none" w:sz="0" w:space="0" w:color="auto"/>
        <w:right w:val="none" w:sz="0" w:space="0" w:color="auto"/>
      </w:divBdr>
    </w:div>
    <w:div w:id="2014720591">
      <w:bodyDiv w:val="1"/>
      <w:marLeft w:val="0"/>
      <w:marRight w:val="0"/>
      <w:marTop w:val="0"/>
      <w:marBottom w:val="0"/>
      <w:divBdr>
        <w:top w:val="none" w:sz="0" w:space="0" w:color="auto"/>
        <w:left w:val="none" w:sz="0" w:space="0" w:color="auto"/>
        <w:bottom w:val="none" w:sz="0" w:space="0" w:color="auto"/>
        <w:right w:val="none" w:sz="0" w:space="0" w:color="auto"/>
      </w:divBdr>
    </w:div>
    <w:div w:id="2032801499">
      <w:bodyDiv w:val="1"/>
      <w:marLeft w:val="0"/>
      <w:marRight w:val="0"/>
      <w:marTop w:val="0"/>
      <w:marBottom w:val="0"/>
      <w:divBdr>
        <w:top w:val="none" w:sz="0" w:space="0" w:color="auto"/>
        <w:left w:val="none" w:sz="0" w:space="0" w:color="auto"/>
        <w:bottom w:val="none" w:sz="0" w:space="0" w:color="auto"/>
        <w:right w:val="none" w:sz="0" w:space="0" w:color="auto"/>
      </w:divBdr>
    </w:div>
    <w:div w:id="2065329166">
      <w:bodyDiv w:val="1"/>
      <w:marLeft w:val="0"/>
      <w:marRight w:val="0"/>
      <w:marTop w:val="0"/>
      <w:marBottom w:val="0"/>
      <w:divBdr>
        <w:top w:val="none" w:sz="0" w:space="0" w:color="auto"/>
        <w:left w:val="none" w:sz="0" w:space="0" w:color="auto"/>
        <w:bottom w:val="none" w:sz="0" w:space="0" w:color="auto"/>
        <w:right w:val="none" w:sz="0" w:space="0" w:color="auto"/>
      </w:divBdr>
    </w:div>
    <w:div w:id="2094204020">
      <w:bodyDiv w:val="1"/>
      <w:marLeft w:val="0"/>
      <w:marRight w:val="0"/>
      <w:marTop w:val="0"/>
      <w:marBottom w:val="0"/>
      <w:divBdr>
        <w:top w:val="none" w:sz="0" w:space="0" w:color="auto"/>
        <w:left w:val="none" w:sz="0" w:space="0" w:color="auto"/>
        <w:bottom w:val="none" w:sz="0" w:space="0" w:color="auto"/>
        <w:right w:val="none" w:sz="0" w:space="0" w:color="auto"/>
      </w:divBdr>
    </w:div>
    <w:div w:id="2094474660">
      <w:bodyDiv w:val="1"/>
      <w:marLeft w:val="0"/>
      <w:marRight w:val="0"/>
      <w:marTop w:val="0"/>
      <w:marBottom w:val="0"/>
      <w:divBdr>
        <w:top w:val="none" w:sz="0" w:space="0" w:color="auto"/>
        <w:left w:val="none" w:sz="0" w:space="0" w:color="auto"/>
        <w:bottom w:val="none" w:sz="0" w:space="0" w:color="auto"/>
        <w:right w:val="none" w:sz="0" w:space="0" w:color="auto"/>
      </w:divBdr>
    </w:div>
    <w:div w:id="212441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hiamass.gov/massachusetts-biggest-hospitals-are-also-the-most-expensive-chia-report-finds-boston-business-journal" TargetMode="External"/><Relationship Id="rId3" Type="http://schemas.openxmlformats.org/officeDocument/2006/relationships/hyperlink" Target="https://www.census.gov/quickfacts/fact/table/bristolcountymassachusetts/PST045225.%20Accessed%2031%20Mar.%202026" TargetMode="External"/><Relationship Id="rId7" Type="http://schemas.openxmlformats.org/officeDocument/2006/relationships/hyperlink" Target="https://pmc.ncbi.nlm.nih.gov/articles/PMC8189327/" TargetMode="External"/><Relationship Id="rId2" Type="http://schemas.openxmlformats.org/officeDocument/2006/relationships/hyperlink" Target="https://www.redjournal.org/article/S0360-3016(22)00357-1/fulltext" TargetMode="External"/><Relationship Id="rId1" Type="http://schemas.openxmlformats.org/officeDocument/2006/relationships/hyperlink" Target="https://pmc.ncbi.nlm.nih.gov/articles/PMC9441303/" TargetMode="External"/><Relationship Id="rId6" Type="http://schemas.openxmlformats.org/officeDocument/2006/relationships/hyperlink" Target="https://neurologyopen.bmj.com/content/6/1/e000582" TargetMode="External"/><Relationship Id="rId5" Type="http://schemas.openxmlformats.org/officeDocument/2006/relationships/hyperlink" Target="https://link.springer.com/article/10.1007/s12325-022-02318-8" TargetMode="External"/><Relationship Id="rId10" Type="http://schemas.openxmlformats.org/officeDocument/2006/relationships/hyperlink" Target="https://www.cancer.gov/about-cancer/managing-care/track-care-costs/financial-toxicity-pdq" TargetMode="External"/><Relationship Id="rId4" Type="http://schemas.openxmlformats.org/officeDocument/2006/relationships/hyperlink" Target="https://tremorjournal.org/articles/10.5334/tohm.632" TargetMode="External"/><Relationship Id="rId9" Type="http://schemas.openxmlformats.org/officeDocument/2006/relationships/hyperlink" Target="https://www.chiamass.gov/assets/docs/r/hospital-profiles/2023/sou-co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e8292e-eb8d-461f-9417-beecf1cb49e4}" enabled="0" method="" siteId="{19e8292e-eb8d-461f-9417-beecf1cb49e4}" removed="1"/>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223</TotalTime>
  <Pages>49</Pages>
  <Words>8926</Words>
  <Characters>50879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Southcoast Health Responses to DON</dc:title>
  <dc:subject/>
  <cp:keywords/>
  <dc:description/>
  <cp:lastModifiedBy>Marks, Brett (DPH)</cp:lastModifiedBy>
  <cp:revision>71</cp:revision>
  <dcterms:created xsi:type="dcterms:W3CDTF">2026-05-21T11:49:00Z</dcterms:created>
  <dcterms:modified xsi:type="dcterms:W3CDTF">2026-05-21T16:28:00Z</dcterms:modified>
</cp:coreProperties>
</file>