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09A5" w14:textId="77777777" w:rsidR="00AB4D25" w:rsidRPr="005B7EE4" w:rsidRDefault="00F65E13" w:rsidP="00F65E13">
      <w:pPr>
        <w:spacing w:after="0" w:line="240" w:lineRule="auto"/>
        <w:jc w:val="center"/>
        <w:rPr>
          <w:rFonts w:cs="Calibri"/>
          <w:b/>
          <w:bCs/>
          <w:sz w:val="20"/>
          <w:szCs w:val="20"/>
        </w:rPr>
      </w:pPr>
      <w:r w:rsidRPr="005B7EE4">
        <w:rPr>
          <w:rFonts w:cs="Calibri"/>
          <w:b/>
          <w:bCs/>
          <w:sz w:val="20"/>
          <w:szCs w:val="20"/>
        </w:rPr>
        <w:t xml:space="preserve">APPLICANT </w:t>
      </w:r>
      <w:r w:rsidR="00AB4D25" w:rsidRPr="005B7EE4">
        <w:rPr>
          <w:rFonts w:cs="Calibri"/>
          <w:b/>
          <w:bCs/>
          <w:sz w:val="20"/>
          <w:szCs w:val="20"/>
        </w:rPr>
        <w:t>RESPONSES</w:t>
      </w:r>
      <w:r w:rsidRPr="005B7EE4">
        <w:rPr>
          <w:rFonts w:cs="Calibri"/>
          <w:b/>
          <w:bCs/>
          <w:sz w:val="20"/>
          <w:szCs w:val="20"/>
        </w:rPr>
        <w:t xml:space="preserve"> #</w:t>
      </w:r>
      <w:r w:rsidR="00DE3663" w:rsidRPr="005B7EE4">
        <w:rPr>
          <w:rFonts w:cs="Calibri"/>
          <w:b/>
          <w:bCs/>
          <w:sz w:val="20"/>
          <w:szCs w:val="20"/>
        </w:rPr>
        <w:t>1</w:t>
      </w:r>
      <w:r w:rsidRPr="005B7EE4">
        <w:rPr>
          <w:rFonts w:cs="Calibri"/>
          <w:b/>
          <w:bCs/>
          <w:sz w:val="20"/>
          <w:szCs w:val="20"/>
        </w:rPr>
        <w:t xml:space="preserve"> </w:t>
      </w:r>
    </w:p>
    <w:p w14:paraId="682FDD09" w14:textId="54274DF1" w:rsidR="00F65E13" w:rsidRPr="005B7EE4" w:rsidRDefault="002B19A2" w:rsidP="00F65E13">
      <w:pPr>
        <w:spacing w:after="0" w:line="240" w:lineRule="auto"/>
        <w:jc w:val="center"/>
        <w:rPr>
          <w:rFonts w:cs="Calibri"/>
          <w:b/>
          <w:bCs/>
          <w:sz w:val="20"/>
          <w:szCs w:val="20"/>
        </w:rPr>
      </w:pPr>
      <w:r w:rsidRPr="005B7EE4">
        <w:rPr>
          <w:rFonts w:cs="Calibri"/>
          <w:b/>
          <w:bCs/>
          <w:sz w:val="20"/>
          <w:szCs w:val="20"/>
        </w:rPr>
        <w:t xml:space="preserve">Please </w:t>
      </w:r>
      <w:r w:rsidR="00F65E13" w:rsidRPr="005B7EE4">
        <w:rPr>
          <w:rFonts w:cs="Calibri"/>
          <w:b/>
          <w:bCs/>
          <w:sz w:val="20"/>
          <w:szCs w:val="20"/>
        </w:rPr>
        <w:t>Respond by</w:t>
      </w:r>
      <w:r w:rsidR="00E8380B" w:rsidRPr="005B7EE4">
        <w:rPr>
          <w:rFonts w:cs="Calibri"/>
          <w:b/>
          <w:bCs/>
          <w:sz w:val="20"/>
          <w:szCs w:val="20"/>
        </w:rPr>
        <w:t xml:space="preserve"> </w:t>
      </w:r>
      <w:r w:rsidRPr="005B7EE4">
        <w:rPr>
          <w:rFonts w:cs="Calibri"/>
          <w:b/>
          <w:bCs/>
          <w:sz w:val="20"/>
          <w:szCs w:val="20"/>
        </w:rPr>
        <w:t>March 21,</w:t>
      </w:r>
      <w:r w:rsidR="00F65E13" w:rsidRPr="005B7EE4">
        <w:rPr>
          <w:rFonts w:cs="Calibri"/>
          <w:b/>
          <w:bCs/>
          <w:sz w:val="20"/>
          <w:szCs w:val="20"/>
        </w:rPr>
        <w:t xml:space="preserve"> 2025</w:t>
      </w:r>
    </w:p>
    <w:p w14:paraId="0F3FA360" w14:textId="77777777" w:rsidR="00F65E13" w:rsidRPr="005B7EE4" w:rsidRDefault="00F65E13" w:rsidP="00F65E13">
      <w:pPr>
        <w:spacing w:after="0" w:line="240" w:lineRule="auto"/>
        <w:jc w:val="center"/>
        <w:rPr>
          <w:rFonts w:cs="Calibri"/>
          <w:sz w:val="20"/>
          <w:szCs w:val="20"/>
        </w:rPr>
      </w:pPr>
      <w:r w:rsidRPr="005B7EE4">
        <w:rPr>
          <w:rFonts w:cs="Calibri"/>
          <w:i/>
          <w:iCs/>
          <w:sz w:val="20"/>
          <w:szCs w:val="20"/>
        </w:rPr>
        <w:t xml:space="preserve">Responses should be sent to </w:t>
      </w:r>
      <w:proofErr w:type="spellStart"/>
      <w:r w:rsidRPr="005B7EE4">
        <w:rPr>
          <w:rFonts w:cs="Calibri"/>
          <w:i/>
          <w:iCs/>
          <w:sz w:val="20"/>
          <w:szCs w:val="20"/>
        </w:rPr>
        <w:t>DoN</w:t>
      </w:r>
      <w:proofErr w:type="spellEnd"/>
      <w:r w:rsidRPr="005B7EE4">
        <w:rPr>
          <w:rFonts w:cs="Calibri"/>
          <w:i/>
          <w:iCs/>
          <w:sz w:val="20"/>
          <w:szCs w:val="20"/>
        </w:rPr>
        <w:t xml:space="preserve"> staff at </w:t>
      </w:r>
      <w:hyperlink r:id="rId7" w:history="1">
        <w:r w:rsidRPr="005B7EE4">
          <w:rPr>
            <w:rStyle w:val="Hyperlink"/>
            <w:rFonts w:cs="Calibri"/>
            <w:sz w:val="20"/>
            <w:szCs w:val="20"/>
          </w:rPr>
          <w:t>DPH.DON@State.MA.US</w:t>
        </w:r>
      </w:hyperlink>
    </w:p>
    <w:p w14:paraId="176B4C14" w14:textId="77777777" w:rsidR="00F65E13" w:rsidRPr="005B7EE4" w:rsidRDefault="00F65E13" w:rsidP="00F65E13">
      <w:pPr>
        <w:spacing w:after="0" w:line="240" w:lineRule="auto"/>
        <w:jc w:val="center"/>
        <w:rPr>
          <w:rFonts w:cs="Calibri"/>
          <w:sz w:val="20"/>
          <w:szCs w:val="20"/>
        </w:rPr>
      </w:pPr>
    </w:p>
    <w:tbl>
      <w:tblPr>
        <w:tblStyle w:val="TableGrid"/>
        <w:tblW w:w="0" w:type="auto"/>
        <w:jc w:val="center"/>
        <w:tblLook w:val="04A0" w:firstRow="1" w:lastRow="0" w:firstColumn="1" w:lastColumn="0" w:noHBand="0" w:noVBand="1"/>
      </w:tblPr>
      <w:tblGrid>
        <w:gridCol w:w="9350"/>
      </w:tblGrid>
      <w:tr w:rsidR="00F65E13" w:rsidRPr="005B7EE4" w14:paraId="5DE91776" w14:textId="77777777" w:rsidTr="0024468F">
        <w:trPr>
          <w:jc w:val="center"/>
        </w:trPr>
        <w:tc>
          <w:tcPr>
            <w:tcW w:w="9350" w:type="dxa"/>
          </w:tcPr>
          <w:p w14:paraId="0A526992" w14:textId="77777777" w:rsidR="00F65E13" w:rsidRPr="005B7EE4" w:rsidRDefault="00F65E13" w:rsidP="0024468F">
            <w:pPr>
              <w:rPr>
                <w:rFonts w:cs="Calibri"/>
                <w:bCs/>
                <w:sz w:val="20"/>
                <w:szCs w:val="20"/>
              </w:rPr>
            </w:pPr>
            <w:proofErr w:type="gramStart"/>
            <w:r w:rsidRPr="005B7EE4">
              <w:rPr>
                <w:rFonts w:cs="Calibri"/>
                <w:bCs/>
                <w:sz w:val="20"/>
                <w:szCs w:val="20"/>
              </w:rPr>
              <w:t>While</w:t>
            </w:r>
            <w:proofErr w:type="gramEnd"/>
            <w:r w:rsidRPr="005B7EE4">
              <w:rPr>
                <w:rFonts w:cs="Calibri"/>
                <w:bCs/>
                <w:sz w:val="20"/>
                <w:szCs w:val="20"/>
              </w:rPr>
              <w:t xml:space="preserve"> you may submit each answer as available, please </w:t>
            </w:r>
          </w:p>
          <w:p w14:paraId="16A8B266" w14:textId="77777777" w:rsidR="00F65E13" w:rsidRPr="005B7EE4" w:rsidRDefault="00F65E13" w:rsidP="00F65E13">
            <w:pPr>
              <w:numPr>
                <w:ilvl w:val="0"/>
                <w:numId w:val="8"/>
              </w:numPr>
              <w:rPr>
                <w:rFonts w:cs="Calibri"/>
                <w:bCs/>
                <w:sz w:val="20"/>
                <w:szCs w:val="20"/>
              </w:rPr>
            </w:pPr>
            <w:r w:rsidRPr="005B7EE4">
              <w:rPr>
                <w:rFonts w:cs="Calibri"/>
                <w:bCs/>
                <w:sz w:val="20"/>
                <w:szCs w:val="20"/>
              </w:rPr>
              <w:t>List question number and question for each answer you provide.</w:t>
            </w:r>
          </w:p>
          <w:p w14:paraId="60D0BAE9" w14:textId="77777777" w:rsidR="00F65E13" w:rsidRPr="005B7EE4" w:rsidRDefault="00F65E13" w:rsidP="00F65E13">
            <w:pPr>
              <w:numPr>
                <w:ilvl w:val="0"/>
                <w:numId w:val="8"/>
              </w:numPr>
              <w:rPr>
                <w:rFonts w:cs="Calibri"/>
                <w:bCs/>
                <w:sz w:val="20"/>
                <w:szCs w:val="20"/>
              </w:rPr>
            </w:pPr>
            <w:r w:rsidRPr="005B7EE4">
              <w:rPr>
                <w:rFonts w:cs="Calibri"/>
                <w:bCs/>
                <w:sz w:val="20"/>
                <w:szCs w:val="20"/>
              </w:rPr>
              <w:t>Submit responses as a separate word document, using the above application title and number as a running header and page numbers in the footer.</w:t>
            </w:r>
          </w:p>
          <w:p w14:paraId="429F5DE7" w14:textId="77777777" w:rsidR="00F65E13" w:rsidRPr="005B7EE4" w:rsidRDefault="00F65E13" w:rsidP="00F65E13">
            <w:pPr>
              <w:numPr>
                <w:ilvl w:val="0"/>
                <w:numId w:val="8"/>
              </w:numPr>
              <w:rPr>
                <w:rFonts w:cs="Calibri"/>
                <w:bCs/>
                <w:sz w:val="20"/>
                <w:szCs w:val="20"/>
              </w:rPr>
            </w:pPr>
            <w:r w:rsidRPr="005B7EE4">
              <w:rPr>
                <w:rFonts w:cs="Calibri"/>
                <w:bCs/>
                <w:sz w:val="20"/>
                <w:szCs w:val="20"/>
              </w:rPr>
              <w:t xml:space="preserve">When providing the answer to the final question, submit all questions and answers in order in one final document. </w:t>
            </w:r>
          </w:p>
          <w:p w14:paraId="76E237EA" w14:textId="77777777" w:rsidR="00F65E13" w:rsidRPr="005B7EE4" w:rsidRDefault="00F65E13" w:rsidP="00F65E13">
            <w:pPr>
              <w:numPr>
                <w:ilvl w:val="0"/>
                <w:numId w:val="8"/>
              </w:numPr>
              <w:rPr>
                <w:rFonts w:cs="Calibri"/>
                <w:b/>
                <w:sz w:val="20"/>
                <w:szCs w:val="20"/>
              </w:rPr>
            </w:pPr>
            <w:r w:rsidRPr="005B7EE4">
              <w:rPr>
                <w:rFonts w:cs="Calibri"/>
                <w:bCs/>
                <w:sz w:val="20"/>
                <w:szCs w:val="20"/>
              </w:rPr>
              <w:t>Submit responses in editable WORD or EXCEL format.</w:t>
            </w:r>
          </w:p>
          <w:p w14:paraId="5F87F368" w14:textId="2C22C3A0" w:rsidR="00F65E13" w:rsidRPr="005B7EE4" w:rsidRDefault="00F65E13" w:rsidP="00F65E13">
            <w:pPr>
              <w:numPr>
                <w:ilvl w:val="0"/>
                <w:numId w:val="8"/>
              </w:numPr>
              <w:rPr>
                <w:rFonts w:cs="Calibri"/>
                <w:bCs/>
                <w:sz w:val="20"/>
                <w:szCs w:val="20"/>
              </w:rPr>
            </w:pPr>
            <w:r w:rsidRPr="005B7EE4">
              <w:rPr>
                <w:rFonts w:cs="Calibri"/>
                <w:bCs/>
                <w:sz w:val="20"/>
                <w:szCs w:val="20"/>
              </w:rPr>
              <w:t>Whenever possible, include a table with the response</w:t>
            </w:r>
            <w:r w:rsidR="00E8380B" w:rsidRPr="005B7EE4">
              <w:rPr>
                <w:rFonts w:cs="Calibri"/>
                <w:bCs/>
                <w:sz w:val="20"/>
                <w:szCs w:val="20"/>
              </w:rPr>
              <w:t xml:space="preserve"> data.</w:t>
            </w:r>
          </w:p>
          <w:p w14:paraId="7D91D018" w14:textId="77777777" w:rsidR="00F65E13" w:rsidRPr="005B7EE4" w:rsidRDefault="00F65E13" w:rsidP="00F65E13">
            <w:pPr>
              <w:numPr>
                <w:ilvl w:val="0"/>
                <w:numId w:val="8"/>
              </w:numPr>
              <w:rPr>
                <w:rFonts w:cs="Calibri"/>
                <w:b/>
                <w:sz w:val="20"/>
                <w:szCs w:val="20"/>
              </w:rPr>
            </w:pPr>
            <w:r w:rsidRPr="005B7EE4">
              <w:rPr>
                <w:rFonts w:cs="Calibri"/>
                <w:b/>
                <w:sz w:val="20"/>
                <w:szCs w:val="20"/>
              </w:rPr>
              <w:t>For HIPAA compliance Do not include numbers &lt;11.</w:t>
            </w:r>
          </w:p>
        </w:tc>
      </w:tr>
    </w:tbl>
    <w:p w14:paraId="16CFAFBF" w14:textId="77777777" w:rsidR="00F65E13" w:rsidRPr="005B7EE4" w:rsidRDefault="00F65E13" w:rsidP="003103F4">
      <w:pPr>
        <w:rPr>
          <w:rFonts w:cs="Calibri"/>
          <w:b/>
          <w:sz w:val="20"/>
          <w:szCs w:val="20"/>
        </w:rPr>
      </w:pPr>
    </w:p>
    <w:p w14:paraId="583B2A24" w14:textId="2BDC166C" w:rsidR="003103F4" w:rsidRPr="00AB3967" w:rsidRDefault="003103F4" w:rsidP="003103F4">
      <w:pPr>
        <w:rPr>
          <w:rFonts w:cs="Arial"/>
          <w:b/>
          <w:sz w:val="20"/>
          <w:szCs w:val="20"/>
        </w:rPr>
      </w:pPr>
      <w:r w:rsidRPr="00AB3967">
        <w:rPr>
          <w:rFonts w:cs="Arial"/>
          <w:b/>
          <w:sz w:val="20"/>
          <w:szCs w:val="20"/>
        </w:rPr>
        <w:t xml:space="preserve">Factor </w:t>
      </w:r>
      <w:r w:rsidR="002B19A2" w:rsidRPr="00AB3967">
        <w:rPr>
          <w:rFonts w:cs="Arial"/>
          <w:b/>
          <w:sz w:val="20"/>
          <w:szCs w:val="20"/>
        </w:rPr>
        <w:t>1</w:t>
      </w:r>
    </w:p>
    <w:p w14:paraId="01725A86" w14:textId="6B87697B" w:rsidR="005F4A3E" w:rsidRPr="00AB3967" w:rsidRDefault="00146600" w:rsidP="00FC421F">
      <w:pPr>
        <w:pStyle w:val="ListParagraph"/>
        <w:numPr>
          <w:ilvl w:val="0"/>
          <w:numId w:val="17"/>
        </w:numPr>
        <w:rPr>
          <w:rFonts w:cs="Arial"/>
          <w:b/>
          <w:sz w:val="20"/>
          <w:szCs w:val="20"/>
        </w:rPr>
      </w:pPr>
      <w:r w:rsidRPr="00AB3967">
        <w:rPr>
          <w:rFonts w:cs="Arial"/>
          <w:b/>
          <w:sz w:val="20"/>
          <w:szCs w:val="20"/>
        </w:rPr>
        <w:t xml:space="preserve">Provide </w:t>
      </w:r>
      <w:r w:rsidR="001C6BEE" w:rsidRPr="00AB3967">
        <w:rPr>
          <w:rFonts w:cs="Arial"/>
          <w:b/>
          <w:sz w:val="20"/>
          <w:szCs w:val="20"/>
        </w:rPr>
        <w:t>the most recent utilization data</w:t>
      </w:r>
      <w:r w:rsidR="00C65E44" w:rsidRPr="00AB3967">
        <w:rPr>
          <w:rFonts w:cs="Arial"/>
          <w:b/>
          <w:sz w:val="20"/>
          <w:szCs w:val="20"/>
        </w:rPr>
        <w:t xml:space="preserve"> FY(2024)</w:t>
      </w:r>
      <w:r w:rsidR="001C6BEE" w:rsidRPr="00AB3967">
        <w:rPr>
          <w:rFonts w:cs="Arial"/>
          <w:b/>
          <w:sz w:val="20"/>
          <w:szCs w:val="20"/>
        </w:rPr>
        <w:t xml:space="preserve"> for </w:t>
      </w:r>
      <w:r w:rsidR="00516670" w:rsidRPr="00AB3967">
        <w:rPr>
          <w:rFonts w:cs="Arial"/>
          <w:b/>
          <w:sz w:val="20"/>
          <w:szCs w:val="20"/>
        </w:rPr>
        <w:t xml:space="preserve">Marlborough Hospital </w:t>
      </w:r>
      <w:r w:rsidR="002121AB" w:rsidRPr="00AB3967">
        <w:rPr>
          <w:rFonts w:cs="Arial"/>
          <w:b/>
          <w:sz w:val="20"/>
          <w:szCs w:val="20"/>
        </w:rPr>
        <w:t>vs for UMM</w:t>
      </w:r>
      <w:r w:rsidR="00C8061D" w:rsidRPr="00AB3967">
        <w:rPr>
          <w:rFonts w:cs="Arial"/>
          <w:b/>
          <w:sz w:val="20"/>
          <w:szCs w:val="20"/>
        </w:rPr>
        <w:t>MC</w:t>
      </w:r>
      <w:r w:rsidR="00C65E44" w:rsidRPr="00AB3967">
        <w:rPr>
          <w:rFonts w:cs="Arial"/>
          <w:b/>
          <w:sz w:val="20"/>
          <w:szCs w:val="20"/>
        </w:rPr>
        <w:t xml:space="preserve"> in a manner that </w:t>
      </w:r>
      <w:r w:rsidR="00872A44" w:rsidRPr="00AB3967">
        <w:rPr>
          <w:rFonts w:cs="Arial"/>
          <w:b/>
          <w:sz w:val="20"/>
          <w:szCs w:val="20"/>
        </w:rPr>
        <w:t xml:space="preserve">is compatible </w:t>
      </w:r>
      <w:r w:rsidR="00C65E44" w:rsidRPr="00AB3967">
        <w:rPr>
          <w:rFonts w:cs="Arial"/>
          <w:b/>
          <w:sz w:val="20"/>
          <w:szCs w:val="20"/>
        </w:rPr>
        <w:t xml:space="preserve">with CHIAA’s Hospital </w:t>
      </w:r>
      <w:r w:rsidR="00EE20E8" w:rsidRPr="00AB3967">
        <w:rPr>
          <w:rFonts w:cs="Arial"/>
          <w:b/>
          <w:sz w:val="20"/>
          <w:szCs w:val="20"/>
        </w:rPr>
        <w:t>P</w:t>
      </w:r>
      <w:r w:rsidR="00C65E44" w:rsidRPr="00AB3967">
        <w:rPr>
          <w:rFonts w:cs="Arial"/>
          <w:b/>
          <w:sz w:val="20"/>
          <w:szCs w:val="20"/>
        </w:rPr>
        <w:t xml:space="preserve">rofiles </w:t>
      </w:r>
      <w:r w:rsidR="00EE20E8" w:rsidRPr="00AB3967">
        <w:rPr>
          <w:rFonts w:cs="Arial"/>
          <w:b/>
          <w:sz w:val="20"/>
          <w:szCs w:val="20"/>
        </w:rPr>
        <w:t>FFY</w:t>
      </w:r>
      <w:r w:rsidR="00872A44" w:rsidRPr="00AB3967">
        <w:rPr>
          <w:rFonts w:cs="Arial"/>
          <w:b/>
          <w:sz w:val="20"/>
          <w:szCs w:val="20"/>
        </w:rPr>
        <w:t xml:space="preserve"> 2023 </w:t>
      </w:r>
      <w:r w:rsidR="00C65E44" w:rsidRPr="00AB3967">
        <w:rPr>
          <w:rFonts w:cs="Arial"/>
          <w:b/>
          <w:sz w:val="20"/>
          <w:szCs w:val="20"/>
        </w:rPr>
        <w:t>A</w:t>
      </w:r>
      <w:r w:rsidR="00E86329" w:rsidRPr="00AB3967">
        <w:rPr>
          <w:rFonts w:cs="Arial"/>
          <w:b/>
          <w:sz w:val="20"/>
          <w:szCs w:val="20"/>
        </w:rPr>
        <w:t>pp</w:t>
      </w:r>
      <w:r w:rsidR="00C65E44" w:rsidRPr="00AB3967">
        <w:rPr>
          <w:rFonts w:cs="Arial"/>
          <w:b/>
          <w:sz w:val="20"/>
          <w:szCs w:val="20"/>
        </w:rPr>
        <w:t xml:space="preserve">endices </w:t>
      </w:r>
      <w:r w:rsidR="00E86329" w:rsidRPr="00AB3967">
        <w:rPr>
          <w:rFonts w:cs="Arial"/>
          <w:b/>
          <w:sz w:val="20"/>
          <w:szCs w:val="20"/>
        </w:rPr>
        <w:t>a-j</w:t>
      </w:r>
      <w:r w:rsidR="00872A44" w:rsidRPr="00AB3967">
        <w:rPr>
          <w:rFonts w:cs="Arial"/>
          <w:b/>
          <w:sz w:val="20"/>
          <w:szCs w:val="20"/>
        </w:rPr>
        <w:t xml:space="preserve"> </w:t>
      </w:r>
      <w:hyperlink r:id="rId8" w:history="1">
        <w:r w:rsidR="00FC421F" w:rsidRPr="00AB3967">
          <w:rPr>
            <w:rStyle w:val="Hyperlink"/>
            <w:rFonts w:cs="Arial"/>
            <w:b/>
            <w:sz w:val="20"/>
            <w:szCs w:val="20"/>
          </w:rPr>
          <w:t>https://www.chiamass.gov/massachusetts-acute-hospital-profiles</w:t>
        </w:r>
      </w:hyperlink>
      <w:r w:rsidR="005F4A3E" w:rsidRPr="00AB3967">
        <w:rPr>
          <w:rFonts w:cs="Arial"/>
          <w:b/>
          <w:sz w:val="20"/>
          <w:szCs w:val="20"/>
        </w:rPr>
        <w:t xml:space="preserve"> </w:t>
      </w:r>
    </w:p>
    <w:p w14:paraId="0B2A878B" w14:textId="17493C9D" w:rsidR="00057CD6" w:rsidRPr="00AB3967" w:rsidRDefault="00AB3967" w:rsidP="00057CD6">
      <w:pPr>
        <w:ind w:left="720"/>
        <w:rPr>
          <w:rFonts w:cs="Arial"/>
          <w:bCs/>
          <w:i/>
          <w:iCs/>
          <w:sz w:val="20"/>
          <w:szCs w:val="20"/>
        </w:rPr>
      </w:pPr>
      <w:r>
        <w:rPr>
          <w:rFonts w:cs="Arial"/>
          <w:bCs/>
          <w:i/>
          <w:iCs/>
          <w:sz w:val="20"/>
          <w:szCs w:val="20"/>
        </w:rPr>
        <w:t xml:space="preserve">To be provided. </w:t>
      </w:r>
    </w:p>
    <w:p w14:paraId="08938596" w14:textId="77777777" w:rsidR="00FC421F" w:rsidRPr="00AB3967" w:rsidRDefault="00FC421F" w:rsidP="00FC421F">
      <w:pPr>
        <w:pStyle w:val="ListParagraph"/>
        <w:rPr>
          <w:rFonts w:cs="Arial"/>
          <w:bCs/>
          <w:sz w:val="20"/>
          <w:szCs w:val="20"/>
        </w:rPr>
      </w:pPr>
    </w:p>
    <w:p w14:paraId="05C78C1E" w14:textId="3F9BC3B3" w:rsidR="005305D2" w:rsidRPr="00AB3967" w:rsidRDefault="005305D2" w:rsidP="00FC421F">
      <w:pPr>
        <w:pStyle w:val="ListParagraph"/>
        <w:numPr>
          <w:ilvl w:val="0"/>
          <w:numId w:val="17"/>
        </w:numPr>
        <w:rPr>
          <w:rFonts w:cs="Arial"/>
          <w:b/>
          <w:sz w:val="20"/>
          <w:szCs w:val="20"/>
        </w:rPr>
      </w:pPr>
      <w:r w:rsidRPr="00AB3967">
        <w:rPr>
          <w:rFonts w:cs="Arial"/>
          <w:b/>
          <w:sz w:val="20"/>
          <w:szCs w:val="20"/>
        </w:rPr>
        <w:t>Provide the data on the transfers including</w:t>
      </w:r>
      <w:r w:rsidR="007A5B50" w:rsidRPr="00AB3967">
        <w:rPr>
          <w:rFonts w:cs="Arial"/>
          <w:b/>
          <w:sz w:val="20"/>
          <w:szCs w:val="20"/>
        </w:rPr>
        <w:t xml:space="preserve"> differentiating ED</w:t>
      </w:r>
      <w:r w:rsidR="000E44B9" w:rsidRPr="00AB3967">
        <w:rPr>
          <w:rFonts w:cs="Arial"/>
          <w:b/>
          <w:sz w:val="20"/>
          <w:szCs w:val="20"/>
        </w:rPr>
        <w:t xml:space="preserve"> and ED boarders</w:t>
      </w:r>
      <w:r w:rsidR="0001294E" w:rsidRPr="00AB3967">
        <w:rPr>
          <w:rFonts w:cs="Arial"/>
          <w:b/>
          <w:sz w:val="20"/>
          <w:szCs w:val="20"/>
        </w:rPr>
        <w:t>:</w:t>
      </w:r>
    </w:p>
    <w:p w14:paraId="38083C25" w14:textId="3DF2A38F" w:rsidR="003E5D76" w:rsidRPr="00AB3967" w:rsidRDefault="005305D2" w:rsidP="001E281E">
      <w:pPr>
        <w:pStyle w:val="ListParagraph"/>
        <w:numPr>
          <w:ilvl w:val="0"/>
          <w:numId w:val="10"/>
        </w:numPr>
        <w:rPr>
          <w:rFonts w:cs="Arial"/>
          <w:b/>
          <w:sz w:val="20"/>
          <w:szCs w:val="20"/>
        </w:rPr>
      </w:pPr>
      <w:r w:rsidRPr="00AB3967">
        <w:rPr>
          <w:rFonts w:cs="Arial"/>
          <w:b/>
          <w:sz w:val="20"/>
          <w:szCs w:val="20"/>
        </w:rPr>
        <w:t xml:space="preserve">Transfers from </w:t>
      </w:r>
      <w:r w:rsidR="00393F19" w:rsidRPr="00AB3967">
        <w:rPr>
          <w:rFonts w:cs="Arial"/>
          <w:b/>
          <w:sz w:val="20"/>
          <w:szCs w:val="20"/>
        </w:rPr>
        <w:t>Marlborough to UMMMC</w:t>
      </w:r>
      <w:r w:rsidR="006D43E8" w:rsidRPr="00AB3967">
        <w:rPr>
          <w:rFonts w:cs="Arial"/>
          <w:b/>
          <w:sz w:val="20"/>
          <w:szCs w:val="20"/>
        </w:rPr>
        <w:t xml:space="preserve"> by specialty and by acuity</w:t>
      </w:r>
    </w:p>
    <w:p w14:paraId="41C798DD" w14:textId="113D0006" w:rsidR="001B3B2C" w:rsidRPr="001B3B2C" w:rsidRDefault="001B3B2C" w:rsidP="001B3B2C">
      <w:pPr>
        <w:rPr>
          <w:rFonts w:cs="Calibri"/>
          <w:bCs/>
          <w:sz w:val="20"/>
          <w:szCs w:val="20"/>
        </w:rPr>
      </w:pPr>
      <w:r>
        <w:rPr>
          <w:rFonts w:cs="Calibri"/>
          <w:bCs/>
          <w:sz w:val="20"/>
          <w:szCs w:val="20"/>
        </w:rPr>
        <w:t xml:space="preserve">Please see Tables 1 and 2 below. </w:t>
      </w:r>
    </w:p>
    <w:tbl>
      <w:tblPr>
        <w:tblStyle w:val="TableGrid"/>
        <w:tblW w:w="0" w:type="auto"/>
        <w:tblInd w:w="-5" w:type="dxa"/>
        <w:tblLook w:val="04A0" w:firstRow="1" w:lastRow="0" w:firstColumn="1" w:lastColumn="0" w:noHBand="0" w:noVBand="1"/>
      </w:tblPr>
      <w:tblGrid>
        <w:gridCol w:w="3780"/>
        <w:gridCol w:w="1372"/>
        <w:gridCol w:w="1373"/>
        <w:gridCol w:w="1372"/>
        <w:gridCol w:w="1373"/>
      </w:tblGrid>
      <w:tr w:rsidR="001B3B2C" w:rsidRPr="00004D82" w14:paraId="0D05FEBA" w14:textId="77777777" w:rsidTr="005E4EAE">
        <w:trPr>
          <w:cantSplit/>
          <w:trHeight w:val="488"/>
          <w:tblHeader/>
        </w:trPr>
        <w:tc>
          <w:tcPr>
            <w:tcW w:w="3780" w:type="dxa"/>
          </w:tcPr>
          <w:p w14:paraId="07C46E70" w14:textId="77777777" w:rsidR="001B3B2C" w:rsidRPr="001B3B2C" w:rsidRDefault="001B3B2C" w:rsidP="00A44D3E">
            <w:pPr>
              <w:rPr>
                <w:rFonts w:cs="Calibri"/>
                <w:b/>
                <w:sz w:val="20"/>
                <w:szCs w:val="20"/>
              </w:rPr>
            </w:pPr>
            <w:r w:rsidRPr="001B3B2C">
              <w:rPr>
                <w:rFonts w:cs="Calibri"/>
                <w:b/>
                <w:sz w:val="20"/>
                <w:szCs w:val="20"/>
              </w:rPr>
              <w:t>Table 1: Transfers MH to UMMMC</w:t>
            </w:r>
          </w:p>
        </w:tc>
        <w:tc>
          <w:tcPr>
            <w:tcW w:w="1372" w:type="dxa"/>
            <w:vAlign w:val="center"/>
          </w:tcPr>
          <w:p w14:paraId="15CD6F3E"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FY2023</w:t>
            </w:r>
          </w:p>
          <w:p w14:paraId="05316BFA"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Transfer #</w:t>
            </w:r>
          </w:p>
        </w:tc>
        <w:tc>
          <w:tcPr>
            <w:tcW w:w="1373" w:type="dxa"/>
            <w:vAlign w:val="center"/>
          </w:tcPr>
          <w:p w14:paraId="5408101D"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FY2023</w:t>
            </w:r>
          </w:p>
          <w:p w14:paraId="545F0E83"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Transfer %</w:t>
            </w:r>
          </w:p>
        </w:tc>
        <w:tc>
          <w:tcPr>
            <w:tcW w:w="1372" w:type="dxa"/>
            <w:vAlign w:val="center"/>
          </w:tcPr>
          <w:p w14:paraId="5DBC9998"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FY2024</w:t>
            </w:r>
          </w:p>
          <w:p w14:paraId="275D4C8A"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Transfer #</w:t>
            </w:r>
          </w:p>
        </w:tc>
        <w:tc>
          <w:tcPr>
            <w:tcW w:w="1373" w:type="dxa"/>
            <w:vAlign w:val="center"/>
          </w:tcPr>
          <w:p w14:paraId="414E0853"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FY2024</w:t>
            </w:r>
          </w:p>
          <w:p w14:paraId="69A228D9"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Transfer %</w:t>
            </w:r>
          </w:p>
        </w:tc>
      </w:tr>
      <w:tr w:rsidR="001B3B2C" w:rsidRPr="00004D82" w14:paraId="7933409F" w14:textId="77777777" w:rsidTr="005E4EAE">
        <w:trPr>
          <w:cantSplit/>
          <w:trHeight w:val="296"/>
        </w:trPr>
        <w:tc>
          <w:tcPr>
            <w:tcW w:w="3780" w:type="dxa"/>
          </w:tcPr>
          <w:p w14:paraId="3A09DCA5" w14:textId="77777777" w:rsidR="001B3B2C" w:rsidRPr="001B3B2C" w:rsidRDefault="001B3B2C" w:rsidP="00A44D3E">
            <w:pPr>
              <w:pStyle w:val="ListParagraph"/>
              <w:ind w:left="0"/>
              <w:rPr>
                <w:rFonts w:cs="Calibri"/>
                <w:bCs/>
                <w:sz w:val="20"/>
                <w:szCs w:val="20"/>
              </w:rPr>
            </w:pPr>
            <w:r w:rsidRPr="001B3B2C">
              <w:rPr>
                <w:rFonts w:cs="Calibri"/>
                <w:bCs/>
                <w:sz w:val="20"/>
                <w:szCs w:val="20"/>
              </w:rPr>
              <w:t>Higher Level of Care</w:t>
            </w:r>
          </w:p>
        </w:tc>
        <w:tc>
          <w:tcPr>
            <w:tcW w:w="1372" w:type="dxa"/>
            <w:vAlign w:val="center"/>
          </w:tcPr>
          <w:p w14:paraId="27626CD3"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605</w:t>
            </w:r>
          </w:p>
        </w:tc>
        <w:tc>
          <w:tcPr>
            <w:tcW w:w="1373" w:type="dxa"/>
            <w:vAlign w:val="center"/>
          </w:tcPr>
          <w:p w14:paraId="05F5AE0D"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69.5%</w:t>
            </w:r>
          </w:p>
        </w:tc>
        <w:tc>
          <w:tcPr>
            <w:tcW w:w="1372" w:type="dxa"/>
            <w:vAlign w:val="center"/>
          </w:tcPr>
          <w:p w14:paraId="3D22E291"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604</w:t>
            </w:r>
          </w:p>
        </w:tc>
        <w:tc>
          <w:tcPr>
            <w:tcW w:w="1373" w:type="dxa"/>
            <w:vAlign w:val="center"/>
          </w:tcPr>
          <w:p w14:paraId="7E5AB734"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71.5%</w:t>
            </w:r>
          </w:p>
        </w:tc>
      </w:tr>
      <w:tr w:rsidR="001B3B2C" w:rsidRPr="00004D82" w14:paraId="33C2F27F" w14:textId="77777777" w:rsidTr="005E4EAE">
        <w:trPr>
          <w:cantSplit/>
          <w:trHeight w:val="269"/>
        </w:trPr>
        <w:tc>
          <w:tcPr>
            <w:tcW w:w="3780" w:type="dxa"/>
          </w:tcPr>
          <w:p w14:paraId="3E4301FB" w14:textId="77777777" w:rsidR="001B3B2C" w:rsidRPr="001B3B2C" w:rsidRDefault="001B3B2C" w:rsidP="00A44D3E">
            <w:pPr>
              <w:pStyle w:val="ListParagraph"/>
              <w:ind w:left="0"/>
              <w:rPr>
                <w:rFonts w:cs="Calibri"/>
                <w:bCs/>
                <w:sz w:val="20"/>
                <w:szCs w:val="20"/>
              </w:rPr>
            </w:pPr>
            <w:r w:rsidRPr="001B3B2C">
              <w:rPr>
                <w:rFonts w:cs="Calibri"/>
                <w:bCs/>
                <w:sz w:val="20"/>
                <w:szCs w:val="20"/>
              </w:rPr>
              <w:t>Service Not Supported</w:t>
            </w:r>
          </w:p>
        </w:tc>
        <w:tc>
          <w:tcPr>
            <w:tcW w:w="1372" w:type="dxa"/>
            <w:vAlign w:val="center"/>
          </w:tcPr>
          <w:p w14:paraId="2BAFDB84"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238</w:t>
            </w:r>
          </w:p>
        </w:tc>
        <w:tc>
          <w:tcPr>
            <w:tcW w:w="1373" w:type="dxa"/>
            <w:vAlign w:val="center"/>
          </w:tcPr>
          <w:p w14:paraId="14852EEC"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27.4%</w:t>
            </w:r>
          </w:p>
        </w:tc>
        <w:tc>
          <w:tcPr>
            <w:tcW w:w="1372" w:type="dxa"/>
            <w:vAlign w:val="center"/>
          </w:tcPr>
          <w:p w14:paraId="5465D0A6"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211</w:t>
            </w:r>
          </w:p>
        </w:tc>
        <w:tc>
          <w:tcPr>
            <w:tcW w:w="1373" w:type="dxa"/>
            <w:vAlign w:val="center"/>
          </w:tcPr>
          <w:p w14:paraId="610263FE"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25.0%</w:t>
            </w:r>
          </w:p>
        </w:tc>
      </w:tr>
      <w:tr w:rsidR="001B3B2C" w:rsidRPr="00004D82" w14:paraId="2BA497C9" w14:textId="77777777" w:rsidTr="005E4EAE">
        <w:trPr>
          <w:cantSplit/>
          <w:trHeight w:val="260"/>
        </w:trPr>
        <w:tc>
          <w:tcPr>
            <w:tcW w:w="3780" w:type="dxa"/>
          </w:tcPr>
          <w:p w14:paraId="58DDC934" w14:textId="77777777" w:rsidR="001B3B2C" w:rsidRPr="001B3B2C" w:rsidRDefault="001B3B2C" w:rsidP="00A44D3E">
            <w:pPr>
              <w:pStyle w:val="ListParagraph"/>
              <w:ind w:left="0"/>
              <w:rPr>
                <w:rFonts w:cs="Calibri"/>
                <w:bCs/>
                <w:sz w:val="20"/>
                <w:szCs w:val="20"/>
              </w:rPr>
            </w:pPr>
            <w:r w:rsidRPr="001B3B2C">
              <w:rPr>
                <w:rFonts w:cs="Calibri"/>
                <w:bCs/>
                <w:sz w:val="20"/>
                <w:szCs w:val="20"/>
              </w:rPr>
              <w:t>Other</w:t>
            </w:r>
          </w:p>
        </w:tc>
        <w:tc>
          <w:tcPr>
            <w:tcW w:w="1372" w:type="dxa"/>
            <w:vAlign w:val="center"/>
          </w:tcPr>
          <w:p w14:paraId="4F7CAC47"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27</w:t>
            </w:r>
          </w:p>
        </w:tc>
        <w:tc>
          <w:tcPr>
            <w:tcW w:w="1373" w:type="dxa"/>
            <w:vAlign w:val="center"/>
          </w:tcPr>
          <w:p w14:paraId="7CE9F834"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3.1%</w:t>
            </w:r>
          </w:p>
        </w:tc>
        <w:tc>
          <w:tcPr>
            <w:tcW w:w="1372" w:type="dxa"/>
            <w:vAlign w:val="center"/>
          </w:tcPr>
          <w:p w14:paraId="36E3EFFB" w14:textId="77777777" w:rsidR="001B3B2C" w:rsidRPr="001B3B2C" w:rsidRDefault="001B3B2C" w:rsidP="00A44D3E">
            <w:pPr>
              <w:pStyle w:val="ListParagraph"/>
              <w:ind w:left="0"/>
              <w:contextualSpacing w:val="0"/>
              <w:jc w:val="center"/>
              <w:rPr>
                <w:rFonts w:cs="Calibri"/>
                <w:bCs/>
                <w:sz w:val="20"/>
                <w:szCs w:val="20"/>
              </w:rPr>
            </w:pPr>
            <w:r w:rsidRPr="001B3B2C">
              <w:rPr>
                <w:rFonts w:cs="Calibri"/>
                <w:bCs/>
                <w:sz w:val="20"/>
                <w:szCs w:val="20"/>
              </w:rPr>
              <w:t>30</w:t>
            </w:r>
          </w:p>
        </w:tc>
        <w:tc>
          <w:tcPr>
            <w:tcW w:w="1373" w:type="dxa"/>
            <w:vAlign w:val="center"/>
          </w:tcPr>
          <w:p w14:paraId="617A4B38" w14:textId="77777777" w:rsidR="001B3B2C" w:rsidRPr="001B3B2C" w:rsidRDefault="001B3B2C" w:rsidP="00A44D3E">
            <w:pPr>
              <w:pStyle w:val="ListParagraph"/>
              <w:ind w:left="0"/>
              <w:contextualSpacing w:val="0"/>
              <w:jc w:val="center"/>
              <w:rPr>
                <w:rFonts w:cs="Calibri"/>
                <w:bCs/>
                <w:sz w:val="20"/>
                <w:szCs w:val="20"/>
              </w:rPr>
            </w:pPr>
            <w:r w:rsidRPr="001B3B2C">
              <w:rPr>
                <w:rFonts w:eastAsia="Times New Roman" w:cs="Calibri"/>
                <w:color w:val="000000"/>
                <w:sz w:val="20"/>
                <w:szCs w:val="20"/>
              </w:rPr>
              <w:t>3.6%</w:t>
            </w:r>
          </w:p>
        </w:tc>
      </w:tr>
      <w:tr w:rsidR="001B3B2C" w:rsidRPr="00004D82" w14:paraId="3FCAE8AB" w14:textId="77777777" w:rsidTr="005E4EAE">
        <w:trPr>
          <w:cantSplit/>
          <w:trHeight w:val="260"/>
        </w:trPr>
        <w:tc>
          <w:tcPr>
            <w:tcW w:w="3780" w:type="dxa"/>
          </w:tcPr>
          <w:p w14:paraId="645FB7D5" w14:textId="77777777" w:rsidR="001B3B2C" w:rsidRPr="001B3B2C" w:rsidRDefault="001B3B2C" w:rsidP="00A44D3E">
            <w:pPr>
              <w:pStyle w:val="ListParagraph"/>
              <w:ind w:left="0"/>
              <w:rPr>
                <w:rFonts w:cs="Calibri"/>
                <w:b/>
                <w:sz w:val="20"/>
                <w:szCs w:val="20"/>
              </w:rPr>
            </w:pPr>
            <w:r w:rsidRPr="001B3B2C">
              <w:rPr>
                <w:rFonts w:cs="Calibri"/>
                <w:b/>
                <w:sz w:val="20"/>
                <w:szCs w:val="20"/>
              </w:rPr>
              <w:t>Total</w:t>
            </w:r>
          </w:p>
        </w:tc>
        <w:tc>
          <w:tcPr>
            <w:tcW w:w="1372" w:type="dxa"/>
            <w:vAlign w:val="center"/>
          </w:tcPr>
          <w:p w14:paraId="471C60F6"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870</w:t>
            </w:r>
          </w:p>
        </w:tc>
        <w:tc>
          <w:tcPr>
            <w:tcW w:w="1373" w:type="dxa"/>
            <w:vAlign w:val="center"/>
          </w:tcPr>
          <w:p w14:paraId="26C09D81" w14:textId="77777777" w:rsidR="001B3B2C" w:rsidRPr="001B3B2C" w:rsidRDefault="001B3B2C" w:rsidP="00A44D3E">
            <w:pPr>
              <w:pStyle w:val="ListParagraph"/>
              <w:ind w:left="0"/>
              <w:contextualSpacing w:val="0"/>
              <w:jc w:val="center"/>
              <w:rPr>
                <w:rFonts w:cs="Calibri"/>
                <w:b/>
                <w:sz w:val="20"/>
                <w:szCs w:val="20"/>
              </w:rPr>
            </w:pPr>
            <w:r w:rsidRPr="001B3B2C">
              <w:rPr>
                <w:rFonts w:eastAsia="Times New Roman" w:cs="Calibri"/>
                <w:b/>
                <w:color w:val="000000"/>
                <w:sz w:val="20"/>
                <w:szCs w:val="20"/>
              </w:rPr>
              <w:t>100.0%</w:t>
            </w:r>
          </w:p>
        </w:tc>
        <w:tc>
          <w:tcPr>
            <w:tcW w:w="1372" w:type="dxa"/>
            <w:vAlign w:val="center"/>
          </w:tcPr>
          <w:p w14:paraId="46671310" w14:textId="77777777" w:rsidR="001B3B2C" w:rsidRPr="001B3B2C" w:rsidRDefault="001B3B2C" w:rsidP="00A44D3E">
            <w:pPr>
              <w:pStyle w:val="ListParagraph"/>
              <w:ind w:left="0"/>
              <w:contextualSpacing w:val="0"/>
              <w:jc w:val="center"/>
              <w:rPr>
                <w:rFonts w:cs="Calibri"/>
                <w:b/>
                <w:sz w:val="20"/>
                <w:szCs w:val="20"/>
              </w:rPr>
            </w:pPr>
            <w:r w:rsidRPr="001B3B2C">
              <w:rPr>
                <w:rFonts w:cs="Calibri"/>
                <w:b/>
                <w:sz w:val="20"/>
                <w:szCs w:val="20"/>
              </w:rPr>
              <w:t>845</w:t>
            </w:r>
          </w:p>
        </w:tc>
        <w:tc>
          <w:tcPr>
            <w:tcW w:w="1373" w:type="dxa"/>
            <w:vAlign w:val="center"/>
          </w:tcPr>
          <w:p w14:paraId="7B53254D" w14:textId="77777777" w:rsidR="001B3B2C" w:rsidRPr="001B3B2C" w:rsidRDefault="001B3B2C" w:rsidP="00A44D3E">
            <w:pPr>
              <w:pStyle w:val="ListParagraph"/>
              <w:ind w:left="0"/>
              <w:contextualSpacing w:val="0"/>
              <w:jc w:val="center"/>
              <w:rPr>
                <w:rFonts w:cs="Calibri"/>
                <w:b/>
                <w:sz w:val="20"/>
                <w:szCs w:val="20"/>
              </w:rPr>
            </w:pPr>
            <w:r w:rsidRPr="001B3B2C">
              <w:rPr>
                <w:rFonts w:eastAsia="Times New Roman" w:cs="Calibri"/>
                <w:b/>
                <w:color w:val="000000"/>
                <w:sz w:val="20"/>
                <w:szCs w:val="20"/>
              </w:rPr>
              <w:t>100.0%</w:t>
            </w:r>
          </w:p>
        </w:tc>
      </w:tr>
    </w:tbl>
    <w:p w14:paraId="19ACB204" w14:textId="77777777" w:rsidR="001B3B2C" w:rsidRDefault="001B3B2C" w:rsidP="003E5D76">
      <w:pPr>
        <w:pStyle w:val="ListParagraph"/>
        <w:rPr>
          <w:rFonts w:cs="Calibri"/>
          <w:bCs/>
          <w:sz w:val="20"/>
          <w:szCs w:val="20"/>
        </w:rPr>
      </w:pPr>
    </w:p>
    <w:p w14:paraId="0666AB8F" w14:textId="77777777" w:rsidR="001B3B2C" w:rsidRDefault="001B3B2C" w:rsidP="003E5D76">
      <w:pPr>
        <w:pStyle w:val="ListParagraph"/>
        <w:rPr>
          <w:rFonts w:cs="Calibri"/>
          <w:bCs/>
          <w:sz w:val="20"/>
          <w:szCs w:val="20"/>
        </w:rPr>
      </w:pPr>
    </w:p>
    <w:p w14:paraId="708C1886" w14:textId="77777777" w:rsidR="001B3B2C" w:rsidRDefault="001B3B2C" w:rsidP="003E5D76">
      <w:pPr>
        <w:pStyle w:val="ListParagraph"/>
        <w:rPr>
          <w:rFonts w:cs="Calibri"/>
          <w:bCs/>
          <w:sz w:val="20"/>
          <w:szCs w:val="20"/>
        </w:rPr>
      </w:pPr>
    </w:p>
    <w:p w14:paraId="11665CEC" w14:textId="77777777" w:rsidR="001B3B2C" w:rsidRDefault="001B3B2C" w:rsidP="003E5D76">
      <w:pPr>
        <w:pStyle w:val="ListParagraph"/>
        <w:rPr>
          <w:rFonts w:cs="Calibri"/>
          <w:bCs/>
          <w:sz w:val="20"/>
          <w:szCs w:val="20"/>
        </w:rPr>
      </w:pPr>
    </w:p>
    <w:p w14:paraId="7F5DDB23" w14:textId="77777777" w:rsidR="001B3B2C" w:rsidRDefault="001B3B2C" w:rsidP="003E5D76">
      <w:pPr>
        <w:pStyle w:val="ListParagraph"/>
        <w:rPr>
          <w:rFonts w:cs="Calibri"/>
          <w:bCs/>
          <w:sz w:val="20"/>
          <w:szCs w:val="20"/>
        </w:rPr>
      </w:pPr>
    </w:p>
    <w:p w14:paraId="5502F1F3" w14:textId="77777777" w:rsidR="001B3B2C" w:rsidRDefault="001B3B2C" w:rsidP="003E5D76">
      <w:pPr>
        <w:pStyle w:val="ListParagraph"/>
        <w:rPr>
          <w:rFonts w:cs="Calibri"/>
          <w:bCs/>
          <w:sz w:val="20"/>
          <w:szCs w:val="20"/>
        </w:rPr>
      </w:pPr>
    </w:p>
    <w:p w14:paraId="07735041" w14:textId="77777777" w:rsidR="001B3B2C" w:rsidRDefault="001B3B2C" w:rsidP="003E5D76">
      <w:pPr>
        <w:pStyle w:val="ListParagraph"/>
        <w:rPr>
          <w:rFonts w:cs="Calibri"/>
          <w:bCs/>
          <w:sz w:val="20"/>
          <w:szCs w:val="20"/>
        </w:rPr>
      </w:pPr>
    </w:p>
    <w:p w14:paraId="7229E5F0" w14:textId="77777777" w:rsidR="001B3B2C" w:rsidRDefault="001B3B2C" w:rsidP="003E5D76">
      <w:pPr>
        <w:pStyle w:val="ListParagraph"/>
        <w:rPr>
          <w:rFonts w:cs="Calibri"/>
          <w:bCs/>
          <w:sz w:val="20"/>
          <w:szCs w:val="20"/>
        </w:rPr>
      </w:pPr>
    </w:p>
    <w:p w14:paraId="2CECD16C" w14:textId="77777777" w:rsidR="001B3B2C" w:rsidRDefault="001B3B2C" w:rsidP="003E5D76">
      <w:pPr>
        <w:pStyle w:val="ListParagraph"/>
        <w:rPr>
          <w:rFonts w:cs="Calibri"/>
          <w:bCs/>
          <w:sz w:val="20"/>
          <w:szCs w:val="20"/>
        </w:rPr>
      </w:pPr>
    </w:p>
    <w:p w14:paraId="4B2CD6BE" w14:textId="77777777" w:rsidR="001B3B2C" w:rsidRDefault="001B3B2C" w:rsidP="003E5D76">
      <w:pPr>
        <w:pStyle w:val="ListParagraph"/>
        <w:rPr>
          <w:rFonts w:cs="Calibri"/>
          <w:bCs/>
          <w:sz w:val="20"/>
          <w:szCs w:val="20"/>
        </w:rPr>
      </w:pPr>
    </w:p>
    <w:p w14:paraId="67800995" w14:textId="77777777" w:rsidR="001B3B2C" w:rsidRDefault="001B3B2C" w:rsidP="003E5D76">
      <w:pPr>
        <w:pStyle w:val="ListParagraph"/>
        <w:rPr>
          <w:rFonts w:cs="Calibri"/>
          <w:bCs/>
          <w:sz w:val="20"/>
          <w:szCs w:val="20"/>
        </w:rPr>
      </w:pPr>
    </w:p>
    <w:p w14:paraId="33266AFF" w14:textId="77777777" w:rsidR="001B3B2C" w:rsidRDefault="001B3B2C" w:rsidP="003E5D76">
      <w:pPr>
        <w:pStyle w:val="ListParagraph"/>
        <w:rPr>
          <w:rFonts w:cs="Calibri"/>
          <w:bCs/>
          <w:sz w:val="20"/>
          <w:szCs w:val="20"/>
        </w:rPr>
      </w:pPr>
    </w:p>
    <w:p w14:paraId="2B0A146B" w14:textId="77777777" w:rsidR="001B3B2C" w:rsidRDefault="001B3B2C" w:rsidP="003E5D76">
      <w:pPr>
        <w:pStyle w:val="ListParagraph"/>
        <w:rPr>
          <w:rFonts w:cs="Calibri"/>
          <w:bCs/>
          <w:sz w:val="20"/>
          <w:szCs w:val="20"/>
        </w:rPr>
      </w:pPr>
    </w:p>
    <w:p w14:paraId="63C09E3B" w14:textId="77777777" w:rsidR="001B3B2C" w:rsidRDefault="001B3B2C" w:rsidP="003E5D76">
      <w:pPr>
        <w:pStyle w:val="ListParagraph"/>
        <w:rPr>
          <w:rFonts w:cs="Calibri"/>
          <w:bCs/>
          <w:sz w:val="20"/>
          <w:szCs w:val="20"/>
        </w:rPr>
      </w:pPr>
    </w:p>
    <w:p w14:paraId="14CCF6D6" w14:textId="77777777" w:rsidR="001B3B2C" w:rsidRDefault="001B3B2C" w:rsidP="003E5D76">
      <w:pPr>
        <w:pStyle w:val="ListParagraph"/>
        <w:rPr>
          <w:rFonts w:cs="Calibri"/>
          <w:bCs/>
          <w:sz w:val="20"/>
          <w:szCs w:val="2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0"/>
        <w:gridCol w:w="1372"/>
        <w:gridCol w:w="1373"/>
        <w:gridCol w:w="1372"/>
        <w:gridCol w:w="1373"/>
      </w:tblGrid>
      <w:tr w:rsidR="001B3B2C" w:rsidRPr="00004D82" w14:paraId="643E54F4" w14:textId="77777777" w:rsidTr="005E4EAE">
        <w:trPr>
          <w:cantSplit/>
          <w:tblHeader/>
        </w:trPr>
        <w:tc>
          <w:tcPr>
            <w:tcW w:w="3780" w:type="dxa"/>
            <w:tcMar>
              <w:top w:w="0" w:type="dxa"/>
              <w:left w:w="108" w:type="dxa"/>
              <w:bottom w:w="0" w:type="dxa"/>
              <w:right w:w="108" w:type="dxa"/>
            </w:tcMar>
            <w:hideMark/>
          </w:tcPr>
          <w:p w14:paraId="5CBB89E7" w14:textId="77777777" w:rsidR="001B3B2C" w:rsidRPr="001B3B2C" w:rsidRDefault="001B3B2C" w:rsidP="00A44D3E">
            <w:pPr>
              <w:pStyle w:val="ListParagraph"/>
              <w:spacing w:after="0" w:line="240" w:lineRule="auto"/>
              <w:ind w:left="0" w:hanging="20"/>
              <w:contextualSpacing w:val="0"/>
              <w:rPr>
                <w:rFonts w:cs="Calibri"/>
                <w:b/>
                <w:sz w:val="20"/>
                <w:szCs w:val="20"/>
              </w:rPr>
            </w:pPr>
            <w:r w:rsidRPr="001B3B2C">
              <w:rPr>
                <w:rFonts w:cs="Calibri"/>
                <w:b/>
                <w:sz w:val="20"/>
                <w:szCs w:val="20"/>
              </w:rPr>
              <w:lastRenderedPageBreak/>
              <w:t>Table 2: Transfers MH to UMMMC by Specialty</w:t>
            </w:r>
          </w:p>
        </w:tc>
        <w:tc>
          <w:tcPr>
            <w:tcW w:w="1372" w:type="dxa"/>
            <w:tcMar>
              <w:top w:w="0" w:type="dxa"/>
              <w:left w:w="108" w:type="dxa"/>
              <w:bottom w:w="0" w:type="dxa"/>
              <w:right w:w="108" w:type="dxa"/>
            </w:tcMar>
            <w:hideMark/>
          </w:tcPr>
          <w:p w14:paraId="21A6564F" w14:textId="77777777" w:rsidR="001B3B2C" w:rsidRPr="001B3B2C" w:rsidRDefault="001B3B2C" w:rsidP="00A44D3E">
            <w:pPr>
              <w:pStyle w:val="ListParagraph"/>
              <w:ind w:left="0"/>
              <w:jc w:val="center"/>
              <w:rPr>
                <w:rFonts w:cs="Calibri"/>
                <w:b/>
                <w:sz w:val="20"/>
                <w:szCs w:val="20"/>
              </w:rPr>
            </w:pPr>
            <w:r w:rsidRPr="001B3B2C">
              <w:rPr>
                <w:rFonts w:cs="Calibri"/>
                <w:b/>
                <w:sz w:val="20"/>
                <w:szCs w:val="20"/>
              </w:rPr>
              <w:t>FY2023</w:t>
            </w:r>
          </w:p>
          <w:p w14:paraId="0549E40D" w14:textId="77777777" w:rsidR="001B3B2C" w:rsidRPr="001B3B2C" w:rsidRDefault="001B3B2C" w:rsidP="00A44D3E">
            <w:pPr>
              <w:pStyle w:val="ListParagraph"/>
              <w:spacing w:after="0" w:line="240" w:lineRule="auto"/>
              <w:ind w:hanging="740"/>
              <w:contextualSpacing w:val="0"/>
              <w:jc w:val="center"/>
              <w:rPr>
                <w:rFonts w:cs="Calibri"/>
                <w:b/>
                <w:sz w:val="20"/>
                <w:szCs w:val="20"/>
              </w:rPr>
            </w:pPr>
            <w:r w:rsidRPr="001B3B2C">
              <w:rPr>
                <w:rFonts w:cs="Calibri"/>
                <w:b/>
                <w:sz w:val="20"/>
                <w:szCs w:val="20"/>
              </w:rPr>
              <w:t>Transfer #</w:t>
            </w:r>
          </w:p>
        </w:tc>
        <w:tc>
          <w:tcPr>
            <w:tcW w:w="1373" w:type="dxa"/>
            <w:tcMar>
              <w:top w:w="0" w:type="dxa"/>
              <w:left w:w="108" w:type="dxa"/>
              <w:bottom w:w="0" w:type="dxa"/>
              <w:right w:w="108" w:type="dxa"/>
            </w:tcMar>
            <w:hideMark/>
          </w:tcPr>
          <w:p w14:paraId="7EBE87E8" w14:textId="77777777" w:rsidR="001B3B2C" w:rsidRPr="001B3B2C" w:rsidRDefault="001B3B2C" w:rsidP="00A44D3E">
            <w:pPr>
              <w:pStyle w:val="ListParagraph"/>
              <w:ind w:left="0"/>
              <w:jc w:val="center"/>
              <w:rPr>
                <w:rFonts w:cs="Calibri"/>
                <w:b/>
                <w:sz w:val="20"/>
                <w:szCs w:val="20"/>
              </w:rPr>
            </w:pPr>
            <w:r w:rsidRPr="001B3B2C">
              <w:rPr>
                <w:rFonts w:cs="Calibri"/>
                <w:b/>
                <w:sz w:val="20"/>
                <w:szCs w:val="20"/>
              </w:rPr>
              <w:t>FY2023</w:t>
            </w:r>
          </w:p>
          <w:p w14:paraId="6E70D088" w14:textId="77777777" w:rsidR="001B3B2C" w:rsidRPr="001B3B2C" w:rsidRDefault="001B3B2C" w:rsidP="00A44D3E">
            <w:pPr>
              <w:pStyle w:val="ListParagraph"/>
              <w:spacing w:after="0" w:line="240" w:lineRule="auto"/>
              <w:ind w:hanging="720"/>
              <w:contextualSpacing w:val="0"/>
              <w:jc w:val="center"/>
              <w:rPr>
                <w:rFonts w:cs="Calibri"/>
                <w:b/>
                <w:sz w:val="20"/>
                <w:szCs w:val="20"/>
              </w:rPr>
            </w:pPr>
            <w:r w:rsidRPr="001B3B2C">
              <w:rPr>
                <w:rFonts w:cs="Calibri"/>
                <w:b/>
                <w:sz w:val="20"/>
                <w:szCs w:val="20"/>
              </w:rPr>
              <w:t>Transfer %</w:t>
            </w:r>
          </w:p>
        </w:tc>
        <w:tc>
          <w:tcPr>
            <w:tcW w:w="1372" w:type="dxa"/>
          </w:tcPr>
          <w:p w14:paraId="78FCD7FB" w14:textId="77777777" w:rsidR="001B3B2C" w:rsidRPr="001B3B2C" w:rsidRDefault="001B3B2C" w:rsidP="00A44D3E">
            <w:pPr>
              <w:pStyle w:val="ListParagraph"/>
              <w:ind w:left="0"/>
              <w:jc w:val="center"/>
              <w:rPr>
                <w:rFonts w:cs="Calibri"/>
                <w:b/>
                <w:sz w:val="20"/>
                <w:szCs w:val="20"/>
              </w:rPr>
            </w:pPr>
            <w:r w:rsidRPr="001B3B2C">
              <w:rPr>
                <w:rFonts w:cs="Calibri"/>
                <w:b/>
                <w:sz w:val="20"/>
                <w:szCs w:val="20"/>
              </w:rPr>
              <w:t>FY2024</w:t>
            </w:r>
          </w:p>
          <w:p w14:paraId="16F6ABA7" w14:textId="77777777" w:rsidR="001B3B2C" w:rsidRPr="001B3B2C" w:rsidRDefault="001B3B2C" w:rsidP="00A44D3E">
            <w:pPr>
              <w:pStyle w:val="ListParagraph"/>
              <w:spacing w:after="0" w:line="240" w:lineRule="auto"/>
              <w:ind w:hanging="660"/>
              <w:contextualSpacing w:val="0"/>
              <w:jc w:val="center"/>
              <w:rPr>
                <w:rFonts w:cs="Calibri"/>
                <w:b/>
                <w:sz w:val="20"/>
                <w:szCs w:val="20"/>
              </w:rPr>
            </w:pPr>
            <w:r w:rsidRPr="001B3B2C">
              <w:rPr>
                <w:rFonts w:cs="Calibri"/>
                <w:b/>
                <w:sz w:val="20"/>
                <w:szCs w:val="20"/>
              </w:rPr>
              <w:t>Transfer #</w:t>
            </w:r>
          </w:p>
        </w:tc>
        <w:tc>
          <w:tcPr>
            <w:tcW w:w="1373" w:type="dxa"/>
          </w:tcPr>
          <w:p w14:paraId="1023D5B3" w14:textId="77777777" w:rsidR="001B3B2C" w:rsidRPr="001B3B2C" w:rsidRDefault="001B3B2C" w:rsidP="00A44D3E">
            <w:pPr>
              <w:pStyle w:val="ListParagraph"/>
              <w:ind w:left="0"/>
              <w:jc w:val="center"/>
              <w:rPr>
                <w:rFonts w:cs="Calibri"/>
                <w:b/>
                <w:sz w:val="20"/>
                <w:szCs w:val="20"/>
              </w:rPr>
            </w:pPr>
            <w:r w:rsidRPr="001B3B2C">
              <w:rPr>
                <w:rFonts w:cs="Calibri"/>
                <w:b/>
                <w:sz w:val="20"/>
                <w:szCs w:val="20"/>
              </w:rPr>
              <w:t>FY2024</w:t>
            </w:r>
          </w:p>
          <w:p w14:paraId="49C9F810" w14:textId="77777777" w:rsidR="001B3B2C" w:rsidRPr="001B3B2C" w:rsidRDefault="001B3B2C" w:rsidP="00A44D3E">
            <w:pPr>
              <w:pStyle w:val="ListParagraph"/>
              <w:spacing w:after="0" w:line="240" w:lineRule="auto"/>
              <w:ind w:hanging="660"/>
              <w:contextualSpacing w:val="0"/>
              <w:jc w:val="center"/>
              <w:rPr>
                <w:rFonts w:cs="Calibri"/>
                <w:b/>
                <w:sz w:val="20"/>
                <w:szCs w:val="20"/>
              </w:rPr>
            </w:pPr>
            <w:r w:rsidRPr="001B3B2C">
              <w:rPr>
                <w:rFonts w:cs="Calibri"/>
                <w:b/>
                <w:sz w:val="20"/>
                <w:szCs w:val="20"/>
              </w:rPr>
              <w:t>Transfer %</w:t>
            </w:r>
          </w:p>
        </w:tc>
      </w:tr>
      <w:tr w:rsidR="001B3B2C" w:rsidRPr="00004D82" w14:paraId="6BF941FE" w14:textId="77777777" w:rsidTr="005E4EAE">
        <w:trPr>
          <w:cantSplit/>
        </w:trPr>
        <w:tc>
          <w:tcPr>
            <w:tcW w:w="3780" w:type="dxa"/>
            <w:tcMar>
              <w:top w:w="0" w:type="dxa"/>
              <w:left w:w="108" w:type="dxa"/>
              <w:bottom w:w="0" w:type="dxa"/>
              <w:right w:w="108" w:type="dxa"/>
            </w:tcMar>
            <w:hideMark/>
          </w:tcPr>
          <w:p w14:paraId="464DF7FF"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Trauma Surgery</w:t>
            </w:r>
          </w:p>
        </w:tc>
        <w:tc>
          <w:tcPr>
            <w:tcW w:w="1372" w:type="dxa"/>
            <w:tcMar>
              <w:top w:w="0" w:type="dxa"/>
              <w:left w:w="108" w:type="dxa"/>
              <w:bottom w:w="0" w:type="dxa"/>
              <w:right w:w="108" w:type="dxa"/>
            </w:tcMar>
            <w:hideMark/>
          </w:tcPr>
          <w:p w14:paraId="382FC5E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111</w:t>
            </w:r>
          </w:p>
        </w:tc>
        <w:tc>
          <w:tcPr>
            <w:tcW w:w="1373" w:type="dxa"/>
            <w:tcMar>
              <w:top w:w="0" w:type="dxa"/>
              <w:left w:w="108" w:type="dxa"/>
              <w:bottom w:w="0" w:type="dxa"/>
              <w:right w:w="108" w:type="dxa"/>
            </w:tcMar>
            <w:hideMark/>
          </w:tcPr>
          <w:p w14:paraId="1BC92291"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12.8%</w:t>
            </w:r>
          </w:p>
        </w:tc>
        <w:tc>
          <w:tcPr>
            <w:tcW w:w="1372" w:type="dxa"/>
          </w:tcPr>
          <w:p w14:paraId="0E3FC5C2"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153</w:t>
            </w:r>
          </w:p>
        </w:tc>
        <w:tc>
          <w:tcPr>
            <w:tcW w:w="1373" w:type="dxa"/>
          </w:tcPr>
          <w:p w14:paraId="3F9255F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18.1%</w:t>
            </w:r>
          </w:p>
        </w:tc>
      </w:tr>
      <w:tr w:rsidR="001B3B2C" w:rsidRPr="00004D82" w14:paraId="77FAD36B" w14:textId="77777777" w:rsidTr="005E4EAE">
        <w:trPr>
          <w:cantSplit/>
        </w:trPr>
        <w:tc>
          <w:tcPr>
            <w:tcW w:w="3780" w:type="dxa"/>
            <w:tcMar>
              <w:top w:w="0" w:type="dxa"/>
              <w:left w:w="108" w:type="dxa"/>
              <w:bottom w:w="0" w:type="dxa"/>
              <w:right w:w="108" w:type="dxa"/>
            </w:tcMar>
            <w:hideMark/>
          </w:tcPr>
          <w:p w14:paraId="546595DF"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Pediatrics</w:t>
            </w:r>
          </w:p>
        </w:tc>
        <w:tc>
          <w:tcPr>
            <w:tcW w:w="1372" w:type="dxa"/>
            <w:tcMar>
              <w:top w:w="0" w:type="dxa"/>
              <w:left w:w="108" w:type="dxa"/>
              <w:bottom w:w="0" w:type="dxa"/>
              <w:right w:w="108" w:type="dxa"/>
            </w:tcMar>
            <w:hideMark/>
          </w:tcPr>
          <w:p w14:paraId="58337BB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148</w:t>
            </w:r>
          </w:p>
        </w:tc>
        <w:tc>
          <w:tcPr>
            <w:tcW w:w="1373" w:type="dxa"/>
            <w:tcMar>
              <w:top w:w="0" w:type="dxa"/>
              <w:left w:w="108" w:type="dxa"/>
              <w:bottom w:w="0" w:type="dxa"/>
              <w:right w:w="108" w:type="dxa"/>
            </w:tcMar>
            <w:hideMark/>
          </w:tcPr>
          <w:p w14:paraId="4A1E881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17.0%</w:t>
            </w:r>
          </w:p>
        </w:tc>
        <w:tc>
          <w:tcPr>
            <w:tcW w:w="1372" w:type="dxa"/>
          </w:tcPr>
          <w:p w14:paraId="10583F1D"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131</w:t>
            </w:r>
          </w:p>
        </w:tc>
        <w:tc>
          <w:tcPr>
            <w:tcW w:w="1373" w:type="dxa"/>
          </w:tcPr>
          <w:p w14:paraId="247A0411"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15.5%</w:t>
            </w:r>
          </w:p>
        </w:tc>
      </w:tr>
      <w:tr w:rsidR="001B3B2C" w:rsidRPr="00004D82" w14:paraId="69F583FC" w14:textId="77777777" w:rsidTr="005E4EAE">
        <w:trPr>
          <w:cantSplit/>
        </w:trPr>
        <w:tc>
          <w:tcPr>
            <w:tcW w:w="3780" w:type="dxa"/>
            <w:tcMar>
              <w:top w:w="0" w:type="dxa"/>
              <w:left w:w="108" w:type="dxa"/>
              <w:bottom w:w="0" w:type="dxa"/>
              <w:right w:w="108" w:type="dxa"/>
            </w:tcMar>
            <w:hideMark/>
          </w:tcPr>
          <w:p w14:paraId="6C8DA881"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Neuro/Neuro-Surg</w:t>
            </w:r>
          </w:p>
        </w:tc>
        <w:tc>
          <w:tcPr>
            <w:tcW w:w="1372" w:type="dxa"/>
            <w:tcMar>
              <w:top w:w="0" w:type="dxa"/>
              <w:left w:w="108" w:type="dxa"/>
              <w:bottom w:w="0" w:type="dxa"/>
              <w:right w:w="108" w:type="dxa"/>
            </w:tcMar>
            <w:hideMark/>
          </w:tcPr>
          <w:p w14:paraId="118647CA"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86</w:t>
            </w:r>
          </w:p>
        </w:tc>
        <w:tc>
          <w:tcPr>
            <w:tcW w:w="1373" w:type="dxa"/>
            <w:tcMar>
              <w:top w:w="0" w:type="dxa"/>
              <w:left w:w="108" w:type="dxa"/>
              <w:bottom w:w="0" w:type="dxa"/>
              <w:right w:w="108" w:type="dxa"/>
            </w:tcMar>
            <w:hideMark/>
          </w:tcPr>
          <w:p w14:paraId="677CCBA6"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9.9%</w:t>
            </w:r>
          </w:p>
        </w:tc>
        <w:tc>
          <w:tcPr>
            <w:tcW w:w="1372" w:type="dxa"/>
          </w:tcPr>
          <w:p w14:paraId="399D932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78</w:t>
            </w:r>
          </w:p>
        </w:tc>
        <w:tc>
          <w:tcPr>
            <w:tcW w:w="1373" w:type="dxa"/>
          </w:tcPr>
          <w:p w14:paraId="6D22C53C"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9.2%</w:t>
            </w:r>
          </w:p>
        </w:tc>
      </w:tr>
      <w:tr w:rsidR="001B3B2C" w:rsidRPr="00004D82" w14:paraId="2713A89E" w14:textId="77777777" w:rsidTr="005E4EAE">
        <w:trPr>
          <w:cantSplit/>
        </w:trPr>
        <w:tc>
          <w:tcPr>
            <w:tcW w:w="3780" w:type="dxa"/>
            <w:tcMar>
              <w:top w:w="0" w:type="dxa"/>
              <w:left w:w="108" w:type="dxa"/>
              <w:bottom w:w="0" w:type="dxa"/>
              <w:right w:w="108" w:type="dxa"/>
            </w:tcMar>
            <w:hideMark/>
          </w:tcPr>
          <w:p w14:paraId="0AD537B0"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Hospital Medicine</w:t>
            </w:r>
          </w:p>
        </w:tc>
        <w:tc>
          <w:tcPr>
            <w:tcW w:w="1372" w:type="dxa"/>
            <w:tcMar>
              <w:top w:w="0" w:type="dxa"/>
              <w:left w:w="108" w:type="dxa"/>
              <w:bottom w:w="0" w:type="dxa"/>
              <w:right w:w="108" w:type="dxa"/>
            </w:tcMar>
            <w:hideMark/>
          </w:tcPr>
          <w:p w14:paraId="30C605F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81</w:t>
            </w:r>
          </w:p>
        </w:tc>
        <w:tc>
          <w:tcPr>
            <w:tcW w:w="1373" w:type="dxa"/>
            <w:tcMar>
              <w:top w:w="0" w:type="dxa"/>
              <w:left w:w="108" w:type="dxa"/>
              <w:bottom w:w="0" w:type="dxa"/>
              <w:right w:w="108" w:type="dxa"/>
            </w:tcMar>
            <w:hideMark/>
          </w:tcPr>
          <w:p w14:paraId="37DEF8C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9.3%</w:t>
            </w:r>
          </w:p>
        </w:tc>
        <w:tc>
          <w:tcPr>
            <w:tcW w:w="1372" w:type="dxa"/>
          </w:tcPr>
          <w:p w14:paraId="7FFB6274"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74</w:t>
            </w:r>
          </w:p>
        </w:tc>
        <w:tc>
          <w:tcPr>
            <w:tcW w:w="1373" w:type="dxa"/>
          </w:tcPr>
          <w:p w14:paraId="69FCECC1"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8.8%</w:t>
            </w:r>
          </w:p>
        </w:tc>
      </w:tr>
      <w:tr w:rsidR="001B3B2C" w:rsidRPr="00004D82" w14:paraId="5FE848C6" w14:textId="77777777" w:rsidTr="005E4EAE">
        <w:trPr>
          <w:cantSplit/>
        </w:trPr>
        <w:tc>
          <w:tcPr>
            <w:tcW w:w="3780" w:type="dxa"/>
            <w:tcMar>
              <w:top w:w="0" w:type="dxa"/>
              <w:left w:w="108" w:type="dxa"/>
              <w:bottom w:w="0" w:type="dxa"/>
              <w:right w:w="108" w:type="dxa"/>
            </w:tcMar>
            <w:hideMark/>
          </w:tcPr>
          <w:p w14:paraId="38387C95"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Obstetrics</w:t>
            </w:r>
          </w:p>
        </w:tc>
        <w:tc>
          <w:tcPr>
            <w:tcW w:w="1372" w:type="dxa"/>
            <w:tcMar>
              <w:top w:w="0" w:type="dxa"/>
              <w:left w:w="108" w:type="dxa"/>
              <w:bottom w:w="0" w:type="dxa"/>
              <w:right w:w="108" w:type="dxa"/>
            </w:tcMar>
            <w:hideMark/>
          </w:tcPr>
          <w:p w14:paraId="6A102908"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61</w:t>
            </w:r>
          </w:p>
        </w:tc>
        <w:tc>
          <w:tcPr>
            <w:tcW w:w="1373" w:type="dxa"/>
            <w:tcMar>
              <w:top w:w="0" w:type="dxa"/>
              <w:left w:w="108" w:type="dxa"/>
              <w:bottom w:w="0" w:type="dxa"/>
              <w:right w:w="108" w:type="dxa"/>
            </w:tcMar>
            <w:hideMark/>
          </w:tcPr>
          <w:p w14:paraId="09030DF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7.0%</w:t>
            </w:r>
          </w:p>
        </w:tc>
        <w:tc>
          <w:tcPr>
            <w:tcW w:w="1372" w:type="dxa"/>
          </w:tcPr>
          <w:p w14:paraId="553CAD4D"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70</w:t>
            </w:r>
          </w:p>
        </w:tc>
        <w:tc>
          <w:tcPr>
            <w:tcW w:w="1373" w:type="dxa"/>
          </w:tcPr>
          <w:p w14:paraId="13D14F9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8.3%</w:t>
            </w:r>
          </w:p>
        </w:tc>
      </w:tr>
      <w:tr w:rsidR="001B3B2C" w:rsidRPr="00004D82" w14:paraId="5F8EF61C" w14:textId="77777777" w:rsidTr="005E4EAE">
        <w:trPr>
          <w:cantSplit/>
        </w:trPr>
        <w:tc>
          <w:tcPr>
            <w:tcW w:w="3780" w:type="dxa"/>
            <w:tcMar>
              <w:top w:w="0" w:type="dxa"/>
              <w:left w:w="108" w:type="dxa"/>
              <w:bottom w:w="0" w:type="dxa"/>
              <w:right w:w="108" w:type="dxa"/>
            </w:tcMar>
            <w:hideMark/>
          </w:tcPr>
          <w:p w14:paraId="6D3CAEBE"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Critical Care</w:t>
            </w:r>
          </w:p>
        </w:tc>
        <w:tc>
          <w:tcPr>
            <w:tcW w:w="1372" w:type="dxa"/>
            <w:tcMar>
              <w:top w:w="0" w:type="dxa"/>
              <w:left w:w="108" w:type="dxa"/>
              <w:bottom w:w="0" w:type="dxa"/>
              <w:right w:w="108" w:type="dxa"/>
            </w:tcMar>
            <w:hideMark/>
          </w:tcPr>
          <w:p w14:paraId="4C088E8E"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77</w:t>
            </w:r>
          </w:p>
        </w:tc>
        <w:tc>
          <w:tcPr>
            <w:tcW w:w="1373" w:type="dxa"/>
            <w:tcMar>
              <w:top w:w="0" w:type="dxa"/>
              <w:left w:w="108" w:type="dxa"/>
              <w:bottom w:w="0" w:type="dxa"/>
              <w:right w:w="108" w:type="dxa"/>
            </w:tcMar>
            <w:hideMark/>
          </w:tcPr>
          <w:p w14:paraId="7F51CE3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8.9%</w:t>
            </w:r>
          </w:p>
        </w:tc>
        <w:tc>
          <w:tcPr>
            <w:tcW w:w="1372" w:type="dxa"/>
          </w:tcPr>
          <w:p w14:paraId="00607AF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68</w:t>
            </w:r>
          </w:p>
        </w:tc>
        <w:tc>
          <w:tcPr>
            <w:tcW w:w="1373" w:type="dxa"/>
          </w:tcPr>
          <w:p w14:paraId="1059C95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8.0%</w:t>
            </w:r>
          </w:p>
        </w:tc>
      </w:tr>
      <w:tr w:rsidR="001B3B2C" w:rsidRPr="00004D82" w14:paraId="7DC27A4A" w14:textId="77777777" w:rsidTr="005E4EAE">
        <w:trPr>
          <w:cantSplit/>
        </w:trPr>
        <w:tc>
          <w:tcPr>
            <w:tcW w:w="3780" w:type="dxa"/>
            <w:tcMar>
              <w:top w:w="0" w:type="dxa"/>
              <w:left w:w="108" w:type="dxa"/>
              <w:bottom w:w="0" w:type="dxa"/>
              <w:right w:w="108" w:type="dxa"/>
            </w:tcMar>
            <w:hideMark/>
          </w:tcPr>
          <w:p w14:paraId="0A848C03"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Cardiology</w:t>
            </w:r>
          </w:p>
        </w:tc>
        <w:tc>
          <w:tcPr>
            <w:tcW w:w="1372" w:type="dxa"/>
            <w:tcMar>
              <w:top w:w="0" w:type="dxa"/>
              <w:left w:w="108" w:type="dxa"/>
              <w:bottom w:w="0" w:type="dxa"/>
              <w:right w:w="108" w:type="dxa"/>
            </w:tcMar>
            <w:hideMark/>
          </w:tcPr>
          <w:p w14:paraId="19FC141A"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67</w:t>
            </w:r>
          </w:p>
        </w:tc>
        <w:tc>
          <w:tcPr>
            <w:tcW w:w="1373" w:type="dxa"/>
            <w:tcMar>
              <w:top w:w="0" w:type="dxa"/>
              <w:left w:w="108" w:type="dxa"/>
              <w:bottom w:w="0" w:type="dxa"/>
              <w:right w:w="108" w:type="dxa"/>
            </w:tcMar>
            <w:hideMark/>
          </w:tcPr>
          <w:p w14:paraId="769BE81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7.7%</w:t>
            </w:r>
          </w:p>
        </w:tc>
        <w:tc>
          <w:tcPr>
            <w:tcW w:w="1372" w:type="dxa"/>
          </w:tcPr>
          <w:p w14:paraId="5623682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61</w:t>
            </w:r>
          </w:p>
        </w:tc>
        <w:tc>
          <w:tcPr>
            <w:tcW w:w="1373" w:type="dxa"/>
          </w:tcPr>
          <w:p w14:paraId="275EDFF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7.2%</w:t>
            </w:r>
          </w:p>
        </w:tc>
      </w:tr>
      <w:tr w:rsidR="001B3B2C" w:rsidRPr="00004D82" w14:paraId="0F27DB0B" w14:textId="77777777" w:rsidTr="005E4EAE">
        <w:trPr>
          <w:cantSplit/>
        </w:trPr>
        <w:tc>
          <w:tcPr>
            <w:tcW w:w="3780" w:type="dxa"/>
            <w:tcMar>
              <w:top w:w="0" w:type="dxa"/>
              <w:left w:w="108" w:type="dxa"/>
              <w:bottom w:w="0" w:type="dxa"/>
              <w:right w:w="108" w:type="dxa"/>
            </w:tcMar>
            <w:hideMark/>
          </w:tcPr>
          <w:p w14:paraId="28DA633E"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General Gynecology</w:t>
            </w:r>
          </w:p>
        </w:tc>
        <w:tc>
          <w:tcPr>
            <w:tcW w:w="1372" w:type="dxa"/>
            <w:tcMar>
              <w:top w:w="0" w:type="dxa"/>
              <w:left w:w="108" w:type="dxa"/>
              <w:bottom w:w="0" w:type="dxa"/>
              <w:right w:w="108" w:type="dxa"/>
            </w:tcMar>
            <w:hideMark/>
          </w:tcPr>
          <w:p w14:paraId="5D1E0CD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32</w:t>
            </w:r>
          </w:p>
        </w:tc>
        <w:tc>
          <w:tcPr>
            <w:tcW w:w="1373" w:type="dxa"/>
            <w:tcMar>
              <w:top w:w="0" w:type="dxa"/>
              <w:left w:w="108" w:type="dxa"/>
              <w:bottom w:w="0" w:type="dxa"/>
              <w:right w:w="108" w:type="dxa"/>
            </w:tcMar>
            <w:hideMark/>
          </w:tcPr>
          <w:p w14:paraId="64DEE98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3.7%</w:t>
            </w:r>
          </w:p>
        </w:tc>
        <w:tc>
          <w:tcPr>
            <w:tcW w:w="1372" w:type="dxa"/>
          </w:tcPr>
          <w:p w14:paraId="56B2731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36</w:t>
            </w:r>
          </w:p>
        </w:tc>
        <w:tc>
          <w:tcPr>
            <w:tcW w:w="1373" w:type="dxa"/>
          </w:tcPr>
          <w:p w14:paraId="16F6A51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4.3%</w:t>
            </w:r>
          </w:p>
        </w:tc>
      </w:tr>
      <w:tr w:rsidR="001B3B2C" w:rsidRPr="00004D82" w14:paraId="274737A9" w14:textId="77777777" w:rsidTr="005E4EAE">
        <w:trPr>
          <w:cantSplit/>
        </w:trPr>
        <w:tc>
          <w:tcPr>
            <w:tcW w:w="3780" w:type="dxa"/>
            <w:tcMar>
              <w:top w:w="0" w:type="dxa"/>
              <w:left w:w="108" w:type="dxa"/>
              <w:bottom w:w="0" w:type="dxa"/>
              <w:right w:w="108" w:type="dxa"/>
            </w:tcMar>
            <w:hideMark/>
          </w:tcPr>
          <w:p w14:paraId="070AE242"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General Surgery</w:t>
            </w:r>
          </w:p>
        </w:tc>
        <w:tc>
          <w:tcPr>
            <w:tcW w:w="1372" w:type="dxa"/>
            <w:tcMar>
              <w:top w:w="0" w:type="dxa"/>
              <w:left w:w="108" w:type="dxa"/>
              <w:bottom w:w="0" w:type="dxa"/>
              <w:right w:w="108" w:type="dxa"/>
            </w:tcMar>
            <w:hideMark/>
          </w:tcPr>
          <w:p w14:paraId="4796A65D"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31</w:t>
            </w:r>
          </w:p>
        </w:tc>
        <w:tc>
          <w:tcPr>
            <w:tcW w:w="1373" w:type="dxa"/>
            <w:tcMar>
              <w:top w:w="0" w:type="dxa"/>
              <w:left w:w="108" w:type="dxa"/>
              <w:bottom w:w="0" w:type="dxa"/>
              <w:right w:w="108" w:type="dxa"/>
            </w:tcMar>
            <w:hideMark/>
          </w:tcPr>
          <w:p w14:paraId="797913F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3.6%</w:t>
            </w:r>
          </w:p>
        </w:tc>
        <w:tc>
          <w:tcPr>
            <w:tcW w:w="1372" w:type="dxa"/>
          </w:tcPr>
          <w:p w14:paraId="34FF4D2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34</w:t>
            </w:r>
          </w:p>
        </w:tc>
        <w:tc>
          <w:tcPr>
            <w:tcW w:w="1373" w:type="dxa"/>
          </w:tcPr>
          <w:p w14:paraId="413EF4EE"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4.0%</w:t>
            </w:r>
          </w:p>
        </w:tc>
      </w:tr>
      <w:tr w:rsidR="001B3B2C" w:rsidRPr="00004D82" w14:paraId="34BC07D6" w14:textId="77777777" w:rsidTr="005E4EAE">
        <w:trPr>
          <w:cantSplit/>
        </w:trPr>
        <w:tc>
          <w:tcPr>
            <w:tcW w:w="3780" w:type="dxa"/>
            <w:tcMar>
              <w:top w:w="0" w:type="dxa"/>
              <w:left w:w="108" w:type="dxa"/>
              <w:bottom w:w="0" w:type="dxa"/>
              <w:right w:w="108" w:type="dxa"/>
            </w:tcMar>
            <w:hideMark/>
          </w:tcPr>
          <w:p w14:paraId="722F2921"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Orthopedics</w:t>
            </w:r>
          </w:p>
        </w:tc>
        <w:tc>
          <w:tcPr>
            <w:tcW w:w="1372" w:type="dxa"/>
            <w:tcMar>
              <w:top w:w="0" w:type="dxa"/>
              <w:left w:w="108" w:type="dxa"/>
              <w:bottom w:w="0" w:type="dxa"/>
              <w:right w:w="108" w:type="dxa"/>
            </w:tcMar>
            <w:hideMark/>
          </w:tcPr>
          <w:p w14:paraId="1649D5EB"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35</w:t>
            </w:r>
          </w:p>
        </w:tc>
        <w:tc>
          <w:tcPr>
            <w:tcW w:w="1373" w:type="dxa"/>
            <w:tcMar>
              <w:top w:w="0" w:type="dxa"/>
              <w:left w:w="108" w:type="dxa"/>
              <w:bottom w:w="0" w:type="dxa"/>
              <w:right w:w="108" w:type="dxa"/>
            </w:tcMar>
            <w:hideMark/>
          </w:tcPr>
          <w:p w14:paraId="29A066D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4.0%</w:t>
            </w:r>
          </w:p>
        </w:tc>
        <w:tc>
          <w:tcPr>
            <w:tcW w:w="1372" w:type="dxa"/>
          </w:tcPr>
          <w:p w14:paraId="099566F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33</w:t>
            </w:r>
          </w:p>
        </w:tc>
        <w:tc>
          <w:tcPr>
            <w:tcW w:w="1373" w:type="dxa"/>
          </w:tcPr>
          <w:p w14:paraId="439B37E4"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3.9%</w:t>
            </w:r>
          </w:p>
        </w:tc>
      </w:tr>
      <w:tr w:rsidR="001B3B2C" w:rsidRPr="00004D82" w14:paraId="1196C0DC" w14:textId="77777777" w:rsidTr="005E4EAE">
        <w:trPr>
          <w:cantSplit/>
        </w:trPr>
        <w:tc>
          <w:tcPr>
            <w:tcW w:w="3780" w:type="dxa"/>
            <w:tcMar>
              <w:top w:w="0" w:type="dxa"/>
              <w:left w:w="108" w:type="dxa"/>
              <w:bottom w:w="0" w:type="dxa"/>
              <w:right w:w="108" w:type="dxa"/>
            </w:tcMar>
            <w:hideMark/>
          </w:tcPr>
          <w:p w14:paraId="2C8566B3"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Other Surgery</w:t>
            </w:r>
          </w:p>
        </w:tc>
        <w:tc>
          <w:tcPr>
            <w:tcW w:w="1372" w:type="dxa"/>
            <w:tcMar>
              <w:top w:w="0" w:type="dxa"/>
              <w:left w:w="108" w:type="dxa"/>
              <w:bottom w:w="0" w:type="dxa"/>
              <w:right w:w="108" w:type="dxa"/>
            </w:tcMar>
            <w:hideMark/>
          </w:tcPr>
          <w:p w14:paraId="14C19F39"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30</w:t>
            </w:r>
          </w:p>
        </w:tc>
        <w:tc>
          <w:tcPr>
            <w:tcW w:w="1373" w:type="dxa"/>
            <w:tcMar>
              <w:top w:w="0" w:type="dxa"/>
              <w:left w:w="108" w:type="dxa"/>
              <w:bottom w:w="0" w:type="dxa"/>
              <w:right w:w="108" w:type="dxa"/>
            </w:tcMar>
            <w:hideMark/>
          </w:tcPr>
          <w:p w14:paraId="6305F80A"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3.4%</w:t>
            </w:r>
          </w:p>
        </w:tc>
        <w:tc>
          <w:tcPr>
            <w:tcW w:w="1372" w:type="dxa"/>
          </w:tcPr>
          <w:p w14:paraId="77098985"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32</w:t>
            </w:r>
          </w:p>
        </w:tc>
        <w:tc>
          <w:tcPr>
            <w:tcW w:w="1373" w:type="dxa"/>
          </w:tcPr>
          <w:p w14:paraId="43EDB71E"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3.8%</w:t>
            </w:r>
          </w:p>
        </w:tc>
      </w:tr>
      <w:tr w:rsidR="001B3B2C" w:rsidRPr="00004D82" w14:paraId="645B1EC7" w14:textId="77777777" w:rsidTr="005E4EAE">
        <w:trPr>
          <w:cantSplit/>
        </w:trPr>
        <w:tc>
          <w:tcPr>
            <w:tcW w:w="3780" w:type="dxa"/>
            <w:tcMar>
              <w:top w:w="0" w:type="dxa"/>
              <w:left w:w="108" w:type="dxa"/>
              <w:bottom w:w="0" w:type="dxa"/>
              <w:right w:w="108" w:type="dxa"/>
            </w:tcMar>
            <w:hideMark/>
          </w:tcPr>
          <w:p w14:paraId="5F716BEC"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Urology</w:t>
            </w:r>
          </w:p>
        </w:tc>
        <w:tc>
          <w:tcPr>
            <w:tcW w:w="1372" w:type="dxa"/>
            <w:tcMar>
              <w:top w:w="0" w:type="dxa"/>
              <w:left w:w="108" w:type="dxa"/>
              <w:bottom w:w="0" w:type="dxa"/>
              <w:right w:w="108" w:type="dxa"/>
            </w:tcMar>
            <w:hideMark/>
          </w:tcPr>
          <w:p w14:paraId="1D4618D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36</w:t>
            </w:r>
          </w:p>
        </w:tc>
        <w:tc>
          <w:tcPr>
            <w:tcW w:w="1373" w:type="dxa"/>
            <w:tcMar>
              <w:top w:w="0" w:type="dxa"/>
              <w:left w:w="108" w:type="dxa"/>
              <w:bottom w:w="0" w:type="dxa"/>
              <w:right w:w="108" w:type="dxa"/>
            </w:tcMar>
            <w:hideMark/>
          </w:tcPr>
          <w:p w14:paraId="25331332"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4.1%</w:t>
            </w:r>
          </w:p>
        </w:tc>
        <w:tc>
          <w:tcPr>
            <w:tcW w:w="1372" w:type="dxa"/>
          </w:tcPr>
          <w:p w14:paraId="3374360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28</w:t>
            </w:r>
          </w:p>
        </w:tc>
        <w:tc>
          <w:tcPr>
            <w:tcW w:w="1373" w:type="dxa"/>
          </w:tcPr>
          <w:p w14:paraId="0C48EA8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3.3%</w:t>
            </w:r>
          </w:p>
        </w:tc>
      </w:tr>
      <w:tr w:rsidR="001B3B2C" w:rsidRPr="00004D82" w14:paraId="7A1C9B63" w14:textId="77777777" w:rsidTr="005E4EAE">
        <w:trPr>
          <w:cantSplit/>
        </w:trPr>
        <w:tc>
          <w:tcPr>
            <w:tcW w:w="3780" w:type="dxa"/>
            <w:tcMar>
              <w:top w:w="0" w:type="dxa"/>
              <w:left w:w="108" w:type="dxa"/>
              <w:bottom w:w="0" w:type="dxa"/>
              <w:right w:w="108" w:type="dxa"/>
            </w:tcMar>
            <w:hideMark/>
          </w:tcPr>
          <w:p w14:paraId="16B8A64A"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Vascular Surgery</w:t>
            </w:r>
          </w:p>
        </w:tc>
        <w:tc>
          <w:tcPr>
            <w:tcW w:w="1372" w:type="dxa"/>
            <w:tcMar>
              <w:top w:w="0" w:type="dxa"/>
              <w:left w:w="108" w:type="dxa"/>
              <w:bottom w:w="0" w:type="dxa"/>
              <w:right w:w="108" w:type="dxa"/>
            </w:tcMar>
            <w:hideMark/>
          </w:tcPr>
          <w:p w14:paraId="44D0313C"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20</w:t>
            </w:r>
          </w:p>
        </w:tc>
        <w:tc>
          <w:tcPr>
            <w:tcW w:w="1373" w:type="dxa"/>
            <w:tcMar>
              <w:top w:w="0" w:type="dxa"/>
              <w:left w:w="108" w:type="dxa"/>
              <w:bottom w:w="0" w:type="dxa"/>
              <w:right w:w="108" w:type="dxa"/>
            </w:tcMar>
            <w:hideMark/>
          </w:tcPr>
          <w:p w14:paraId="01FDA829"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2.3%</w:t>
            </w:r>
          </w:p>
        </w:tc>
        <w:tc>
          <w:tcPr>
            <w:tcW w:w="1372" w:type="dxa"/>
          </w:tcPr>
          <w:p w14:paraId="7B28ECCE"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21</w:t>
            </w:r>
          </w:p>
        </w:tc>
        <w:tc>
          <w:tcPr>
            <w:tcW w:w="1373" w:type="dxa"/>
          </w:tcPr>
          <w:p w14:paraId="6C1198B7"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2.5%</w:t>
            </w:r>
          </w:p>
        </w:tc>
      </w:tr>
      <w:tr w:rsidR="001B3B2C" w:rsidRPr="00004D82" w14:paraId="12525476" w14:textId="77777777" w:rsidTr="005E4EAE">
        <w:trPr>
          <w:cantSplit/>
        </w:trPr>
        <w:tc>
          <w:tcPr>
            <w:tcW w:w="3780" w:type="dxa"/>
            <w:tcMar>
              <w:top w:w="0" w:type="dxa"/>
              <w:left w:w="108" w:type="dxa"/>
              <w:bottom w:w="0" w:type="dxa"/>
              <w:right w:w="108" w:type="dxa"/>
            </w:tcMar>
            <w:hideMark/>
          </w:tcPr>
          <w:p w14:paraId="36822F5C"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Emergency Medicine</w:t>
            </w:r>
          </w:p>
        </w:tc>
        <w:tc>
          <w:tcPr>
            <w:tcW w:w="1372" w:type="dxa"/>
            <w:tcMar>
              <w:top w:w="0" w:type="dxa"/>
              <w:left w:w="108" w:type="dxa"/>
              <w:bottom w:w="0" w:type="dxa"/>
              <w:right w:w="108" w:type="dxa"/>
            </w:tcMar>
            <w:hideMark/>
          </w:tcPr>
          <w:p w14:paraId="3B5FA2C8"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23</w:t>
            </w:r>
          </w:p>
        </w:tc>
        <w:tc>
          <w:tcPr>
            <w:tcW w:w="1373" w:type="dxa"/>
            <w:tcMar>
              <w:top w:w="0" w:type="dxa"/>
              <w:left w:w="108" w:type="dxa"/>
              <w:bottom w:w="0" w:type="dxa"/>
              <w:right w:w="108" w:type="dxa"/>
            </w:tcMar>
            <w:hideMark/>
          </w:tcPr>
          <w:p w14:paraId="5EF49BA3"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2.6%</w:t>
            </w:r>
          </w:p>
        </w:tc>
        <w:tc>
          <w:tcPr>
            <w:tcW w:w="1372" w:type="dxa"/>
          </w:tcPr>
          <w:p w14:paraId="690392E8"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13</w:t>
            </w:r>
          </w:p>
        </w:tc>
        <w:tc>
          <w:tcPr>
            <w:tcW w:w="1373" w:type="dxa"/>
          </w:tcPr>
          <w:p w14:paraId="4927AE30"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1.5%</w:t>
            </w:r>
          </w:p>
        </w:tc>
      </w:tr>
      <w:tr w:rsidR="001B3B2C" w:rsidRPr="00004D82" w14:paraId="60D48FEC" w14:textId="77777777" w:rsidTr="005E4EAE">
        <w:trPr>
          <w:cantSplit/>
        </w:trPr>
        <w:tc>
          <w:tcPr>
            <w:tcW w:w="3780" w:type="dxa"/>
            <w:tcMar>
              <w:top w:w="0" w:type="dxa"/>
              <w:left w:w="108" w:type="dxa"/>
              <w:bottom w:w="0" w:type="dxa"/>
              <w:right w:w="108" w:type="dxa"/>
            </w:tcMar>
            <w:hideMark/>
          </w:tcPr>
          <w:p w14:paraId="7B7EF15B" w14:textId="77777777" w:rsidR="001B3B2C" w:rsidRPr="001B3B2C" w:rsidRDefault="001B3B2C" w:rsidP="00A44D3E">
            <w:pPr>
              <w:pStyle w:val="ListParagraph"/>
              <w:spacing w:after="0" w:line="240" w:lineRule="auto"/>
              <w:ind w:hanging="660"/>
              <w:contextualSpacing w:val="0"/>
              <w:rPr>
                <w:rFonts w:cs="Calibri"/>
                <w:bCs/>
                <w:sz w:val="20"/>
                <w:szCs w:val="20"/>
              </w:rPr>
            </w:pPr>
            <w:r w:rsidRPr="001B3B2C">
              <w:rPr>
                <w:rFonts w:cs="Calibri"/>
                <w:bCs/>
                <w:sz w:val="20"/>
                <w:szCs w:val="20"/>
              </w:rPr>
              <w:t>Other</w:t>
            </w:r>
          </w:p>
        </w:tc>
        <w:tc>
          <w:tcPr>
            <w:tcW w:w="1372" w:type="dxa"/>
            <w:tcMar>
              <w:top w:w="0" w:type="dxa"/>
              <w:left w:w="108" w:type="dxa"/>
              <w:bottom w:w="0" w:type="dxa"/>
              <w:right w:w="108" w:type="dxa"/>
            </w:tcMar>
            <w:hideMark/>
          </w:tcPr>
          <w:p w14:paraId="4FFE1CA1"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32</w:t>
            </w:r>
          </w:p>
        </w:tc>
        <w:tc>
          <w:tcPr>
            <w:tcW w:w="1373" w:type="dxa"/>
            <w:tcMar>
              <w:top w:w="0" w:type="dxa"/>
              <w:left w:w="108" w:type="dxa"/>
              <w:bottom w:w="0" w:type="dxa"/>
              <w:right w:w="108" w:type="dxa"/>
            </w:tcMar>
            <w:hideMark/>
          </w:tcPr>
          <w:p w14:paraId="629D2DF8"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3.7%</w:t>
            </w:r>
          </w:p>
        </w:tc>
        <w:tc>
          <w:tcPr>
            <w:tcW w:w="1372" w:type="dxa"/>
          </w:tcPr>
          <w:p w14:paraId="42F968FF"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13</w:t>
            </w:r>
          </w:p>
        </w:tc>
        <w:tc>
          <w:tcPr>
            <w:tcW w:w="1373" w:type="dxa"/>
          </w:tcPr>
          <w:p w14:paraId="753DD9AC" w14:textId="77777777" w:rsidR="001B3B2C" w:rsidRPr="001B3B2C" w:rsidRDefault="001B3B2C" w:rsidP="00A44D3E">
            <w:pPr>
              <w:pStyle w:val="ListParagraph"/>
              <w:spacing w:after="0" w:line="240" w:lineRule="auto"/>
              <w:ind w:hanging="660"/>
              <w:contextualSpacing w:val="0"/>
              <w:jc w:val="center"/>
              <w:rPr>
                <w:rFonts w:cs="Calibri"/>
                <w:bCs/>
                <w:sz w:val="20"/>
                <w:szCs w:val="20"/>
              </w:rPr>
            </w:pPr>
            <w:r w:rsidRPr="001B3B2C">
              <w:rPr>
                <w:rFonts w:cs="Calibri"/>
                <w:bCs/>
                <w:sz w:val="20"/>
                <w:szCs w:val="20"/>
              </w:rPr>
              <w:t>1.5%</w:t>
            </w:r>
          </w:p>
        </w:tc>
      </w:tr>
      <w:tr w:rsidR="001B3B2C" w:rsidRPr="00004D82" w14:paraId="1697EA13" w14:textId="77777777" w:rsidTr="005E4EAE">
        <w:trPr>
          <w:cantSplit/>
        </w:trPr>
        <w:tc>
          <w:tcPr>
            <w:tcW w:w="3780" w:type="dxa"/>
            <w:tcMar>
              <w:top w:w="0" w:type="dxa"/>
              <w:left w:w="108" w:type="dxa"/>
              <w:bottom w:w="0" w:type="dxa"/>
              <w:right w:w="108" w:type="dxa"/>
            </w:tcMar>
            <w:hideMark/>
          </w:tcPr>
          <w:p w14:paraId="55A23510" w14:textId="77777777" w:rsidR="001B3B2C" w:rsidRPr="001B3B2C" w:rsidRDefault="001B3B2C" w:rsidP="00A44D3E">
            <w:pPr>
              <w:pStyle w:val="ListParagraph"/>
              <w:spacing w:after="0" w:line="240" w:lineRule="auto"/>
              <w:ind w:hanging="660"/>
              <w:contextualSpacing w:val="0"/>
              <w:rPr>
                <w:rFonts w:cs="Calibri"/>
                <w:b/>
                <w:bCs/>
                <w:sz w:val="20"/>
                <w:szCs w:val="20"/>
              </w:rPr>
            </w:pPr>
            <w:r w:rsidRPr="001B3B2C">
              <w:rPr>
                <w:rFonts w:cs="Calibri"/>
                <w:b/>
                <w:bCs/>
                <w:sz w:val="20"/>
                <w:szCs w:val="20"/>
              </w:rPr>
              <w:t>Total</w:t>
            </w:r>
          </w:p>
        </w:tc>
        <w:tc>
          <w:tcPr>
            <w:tcW w:w="1372" w:type="dxa"/>
            <w:tcMar>
              <w:top w:w="0" w:type="dxa"/>
              <w:left w:w="108" w:type="dxa"/>
              <w:bottom w:w="0" w:type="dxa"/>
              <w:right w:w="108" w:type="dxa"/>
            </w:tcMar>
            <w:hideMark/>
          </w:tcPr>
          <w:p w14:paraId="4ADA88F8" w14:textId="77777777" w:rsidR="001B3B2C" w:rsidRPr="001B3B2C" w:rsidRDefault="001B3B2C" w:rsidP="00A44D3E">
            <w:pPr>
              <w:pStyle w:val="ListParagraph"/>
              <w:spacing w:after="0" w:line="240" w:lineRule="auto"/>
              <w:ind w:hanging="660"/>
              <w:contextualSpacing w:val="0"/>
              <w:jc w:val="center"/>
              <w:rPr>
                <w:rFonts w:cs="Calibri"/>
                <w:b/>
                <w:bCs/>
                <w:sz w:val="20"/>
                <w:szCs w:val="20"/>
              </w:rPr>
            </w:pPr>
            <w:r w:rsidRPr="001B3B2C">
              <w:rPr>
                <w:rFonts w:cs="Calibri"/>
                <w:b/>
                <w:bCs/>
                <w:sz w:val="20"/>
                <w:szCs w:val="20"/>
              </w:rPr>
              <w:t>870</w:t>
            </w:r>
          </w:p>
        </w:tc>
        <w:tc>
          <w:tcPr>
            <w:tcW w:w="1373" w:type="dxa"/>
            <w:tcMar>
              <w:top w:w="0" w:type="dxa"/>
              <w:left w:w="108" w:type="dxa"/>
              <w:bottom w:w="0" w:type="dxa"/>
              <w:right w:w="108" w:type="dxa"/>
            </w:tcMar>
            <w:hideMark/>
          </w:tcPr>
          <w:p w14:paraId="3CC569FC" w14:textId="77777777" w:rsidR="001B3B2C" w:rsidRPr="001B3B2C" w:rsidRDefault="001B3B2C" w:rsidP="00A44D3E">
            <w:pPr>
              <w:pStyle w:val="ListParagraph"/>
              <w:spacing w:after="0" w:line="240" w:lineRule="auto"/>
              <w:ind w:hanging="660"/>
              <w:contextualSpacing w:val="0"/>
              <w:jc w:val="center"/>
              <w:rPr>
                <w:rFonts w:cs="Calibri"/>
                <w:b/>
                <w:bCs/>
                <w:sz w:val="20"/>
                <w:szCs w:val="20"/>
              </w:rPr>
            </w:pPr>
            <w:r w:rsidRPr="001B3B2C">
              <w:rPr>
                <w:rFonts w:cs="Calibri"/>
                <w:b/>
                <w:bCs/>
                <w:sz w:val="20"/>
                <w:szCs w:val="20"/>
              </w:rPr>
              <w:t>100.0%</w:t>
            </w:r>
          </w:p>
        </w:tc>
        <w:tc>
          <w:tcPr>
            <w:tcW w:w="1372" w:type="dxa"/>
          </w:tcPr>
          <w:p w14:paraId="7C7FC4DB" w14:textId="77777777" w:rsidR="001B3B2C" w:rsidRPr="001B3B2C" w:rsidRDefault="001B3B2C" w:rsidP="00A44D3E">
            <w:pPr>
              <w:pStyle w:val="ListParagraph"/>
              <w:spacing w:after="0" w:line="240" w:lineRule="auto"/>
              <w:ind w:hanging="660"/>
              <w:contextualSpacing w:val="0"/>
              <w:jc w:val="center"/>
              <w:rPr>
                <w:rFonts w:cs="Calibri"/>
                <w:b/>
                <w:bCs/>
                <w:sz w:val="20"/>
                <w:szCs w:val="20"/>
              </w:rPr>
            </w:pPr>
            <w:r w:rsidRPr="001B3B2C">
              <w:rPr>
                <w:rFonts w:cs="Calibri"/>
                <w:b/>
                <w:bCs/>
                <w:sz w:val="20"/>
                <w:szCs w:val="20"/>
              </w:rPr>
              <w:t>845</w:t>
            </w:r>
          </w:p>
        </w:tc>
        <w:tc>
          <w:tcPr>
            <w:tcW w:w="1373" w:type="dxa"/>
          </w:tcPr>
          <w:p w14:paraId="4CAFFD5E" w14:textId="77777777" w:rsidR="001B3B2C" w:rsidRPr="001B3B2C" w:rsidRDefault="001B3B2C" w:rsidP="00A44D3E">
            <w:pPr>
              <w:pStyle w:val="ListParagraph"/>
              <w:spacing w:after="0" w:line="240" w:lineRule="auto"/>
              <w:ind w:hanging="660"/>
              <w:contextualSpacing w:val="0"/>
              <w:jc w:val="center"/>
              <w:rPr>
                <w:rFonts w:cs="Calibri"/>
                <w:b/>
                <w:bCs/>
                <w:sz w:val="20"/>
                <w:szCs w:val="20"/>
              </w:rPr>
            </w:pPr>
            <w:r w:rsidRPr="001B3B2C">
              <w:rPr>
                <w:rFonts w:cs="Calibri"/>
                <w:b/>
                <w:bCs/>
                <w:sz w:val="20"/>
                <w:szCs w:val="20"/>
              </w:rPr>
              <w:t>100.0%</w:t>
            </w:r>
          </w:p>
        </w:tc>
      </w:tr>
    </w:tbl>
    <w:p w14:paraId="62230E08" w14:textId="77777777" w:rsidR="001B3B2C" w:rsidRDefault="001B3B2C" w:rsidP="003E5D76">
      <w:pPr>
        <w:pStyle w:val="ListParagraph"/>
        <w:rPr>
          <w:rFonts w:cs="Calibri"/>
          <w:bCs/>
          <w:sz w:val="20"/>
          <w:szCs w:val="20"/>
        </w:rPr>
      </w:pPr>
    </w:p>
    <w:p w14:paraId="67F5D364" w14:textId="77777777" w:rsidR="001B3B2C" w:rsidRPr="00AB3967" w:rsidRDefault="001B3B2C" w:rsidP="003E5D76">
      <w:pPr>
        <w:pStyle w:val="ListParagraph"/>
        <w:rPr>
          <w:rFonts w:cs="Calibri"/>
          <w:bCs/>
          <w:sz w:val="20"/>
          <w:szCs w:val="20"/>
        </w:rPr>
      </w:pPr>
    </w:p>
    <w:p w14:paraId="4D48DCF1" w14:textId="77777777" w:rsidR="001B3B2C" w:rsidRDefault="003E5D76" w:rsidP="001B3B2C">
      <w:pPr>
        <w:pStyle w:val="ListParagraph"/>
        <w:numPr>
          <w:ilvl w:val="0"/>
          <w:numId w:val="10"/>
        </w:numPr>
        <w:spacing w:line="256" w:lineRule="auto"/>
        <w:rPr>
          <w:rFonts w:cs="Arial"/>
          <w:b/>
          <w:sz w:val="20"/>
          <w:szCs w:val="20"/>
        </w:rPr>
      </w:pPr>
      <w:r w:rsidRPr="00AB3967">
        <w:rPr>
          <w:rFonts w:cs="Arial"/>
          <w:b/>
          <w:sz w:val="20"/>
          <w:szCs w:val="20"/>
        </w:rPr>
        <w:t>Transfers from UMMMC to Marlborough by specialty and by acuity.</w:t>
      </w:r>
    </w:p>
    <w:p w14:paraId="4C1F6194" w14:textId="3F4B780A" w:rsidR="003E5D76" w:rsidRPr="001B3B2C" w:rsidRDefault="00650977" w:rsidP="001B3B2C">
      <w:pPr>
        <w:pStyle w:val="ListParagraph"/>
        <w:spacing w:line="256" w:lineRule="auto"/>
        <w:rPr>
          <w:rFonts w:cs="Arial"/>
          <w:b/>
          <w:sz w:val="20"/>
          <w:szCs w:val="20"/>
        </w:rPr>
      </w:pPr>
      <w:r w:rsidRPr="001B3B2C">
        <w:rPr>
          <w:rFonts w:cs="Arial"/>
          <w:bCs/>
          <w:sz w:val="20"/>
          <w:szCs w:val="20"/>
        </w:rPr>
        <w:t>UMMMC t</w:t>
      </w:r>
      <w:r w:rsidR="003E5D76" w:rsidRPr="001B3B2C">
        <w:rPr>
          <w:rFonts w:cs="Arial"/>
          <w:bCs/>
          <w:sz w:val="20"/>
          <w:szCs w:val="20"/>
        </w:rPr>
        <w:t>ransferred 7 patients in FY23 and 13 patients in FY24 to Marlborough Hospital.</w:t>
      </w:r>
      <w:r w:rsidR="001E281E" w:rsidRPr="001B3B2C">
        <w:rPr>
          <w:rFonts w:cs="Arial"/>
          <w:bCs/>
          <w:sz w:val="20"/>
          <w:szCs w:val="20"/>
        </w:rPr>
        <w:t xml:space="preserve"> Due to HIPAA prohibitions, the hospital is unable to provide further breakdown of these patients by specialty and acuity.</w:t>
      </w:r>
    </w:p>
    <w:p w14:paraId="1B7C2986" w14:textId="77777777" w:rsidR="003E5D76" w:rsidRPr="00AB3967" w:rsidRDefault="003E5D76" w:rsidP="003E5D76">
      <w:pPr>
        <w:pStyle w:val="ListParagraph"/>
        <w:rPr>
          <w:rFonts w:cs="Calibri"/>
          <w:bCs/>
          <w:sz w:val="20"/>
          <w:szCs w:val="20"/>
        </w:rPr>
      </w:pPr>
    </w:p>
    <w:p w14:paraId="1460DFEF" w14:textId="369475E8" w:rsidR="00E21496" w:rsidRPr="00AB3967" w:rsidRDefault="001433C8" w:rsidP="00FC421F">
      <w:pPr>
        <w:pStyle w:val="ListParagraph"/>
        <w:numPr>
          <w:ilvl w:val="0"/>
          <w:numId w:val="17"/>
        </w:numPr>
        <w:rPr>
          <w:rFonts w:cs="Arial"/>
          <w:b/>
          <w:sz w:val="20"/>
          <w:szCs w:val="20"/>
        </w:rPr>
      </w:pPr>
      <w:r w:rsidRPr="00AB3967">
        <w:rPr>
          <w:rFonts w:cs="Arial"/>
          <w:b/>
          <w:sz w:val="20"/>
          <w:szCs w:val="20"/>
        </w:rPr>
        <w:t>P</w:t>
      </w:r>
      <w:r w:rsidR="00FA7F39" w:rsidRPr="00AB3967">
        <w:rPr>
          <w:rFonts w:cs="Arial"/>
          <w:b/>
          <w:sz w:val="20"/>
          <w:szCs w:val="20"/>
        </w:rPr>
        <w:t xml:space="preserve">rovide </w:t>
      </w:r>
      <w:r w:rsidR="00FD37A0" w:rsidRPr="00AB3967">
        <w:rPr>
          <w:rFonts w:cs="Arial"/>
          <w:b/>
          <w:sz w:val="20"/>
          <w:szCs w:val="20"/>
        </w:rPr>
        <w:t xml:space="preserve">more </w:t>
      </w:r>
      <w:r w:rsidR="00FA7F39" w:rsidRPr="00AB3967">
        <w:rPr>
          <w:rFonts w:cs="Arial"/>
          <w:b/>
          <w:sz w:val="20"/>
          <w:szCs w:val="20"/>
        </w:rPr>
        <w:t>details of the</w:t>
      </w:r>
      <w:r w:rsidR="00FD37A0" w:rsidRPr="00AB3967">
        <w:rPr>
          <w:rFonts w:cs="Arial"/>
          <w:b/>
          <w:sz w:val="20"/>
          <w:szCs w:val="20"/>
        </w:rPr>
        <w:t xml:space="preserve"> specific</w:t>
      </w:r>
      <w:r w:rsidR="00FA7F39" w:rsidRPr="00AB3967">
        <w:rPr>
          <w:rFonts w:cs="Arial"/>
          <w:b/>
          <w:sz w:val="20"/>
          <w:szCs w:val="20"/>
        </w:rPr>
        <w:t xml:space="preserve"> </w:t>
      </w:r>
      <w:r w:rsidR="00EF1631" w:rsidRPr="00AB3967">
        <w:rPr>
          <w:rFonts w:cs="Arial"/>
          <w:b/>
          <w:sz w:val="20"/>
          <w:szCs w:val="20"/>
        </w:rPr>
        <w:t xml:space="preserve">annual </w:t>
      </w:r>
      <w:r w:rsidR="00FA7F39" w:rsidRPr="00AB3967">
        <w:rPr>
          <w:rFonts w:cs="Arial"/>
          <w:b/>
          <w:sz w:val="20"/>
          <w:szCs w:val="20"/>
        </w:rPr>
        <w:t xml:space="preserve">cost savings associated with the </w:t>
      </w:r>
      <w:r w:rsidR="00F03660" w:rsidRPr="00AB3967">
        <w:rPr>
          <w:rFonts w:cs="Arial"/>
          <w:b/>
          <w:sz w:val="20"/>
          <w:szCs w:val="20"/>
        </w:rPr>
        <w:t xml:space="preserve">items described on </w:t>
      </w:r>
      <w:r w:rsidRPr="00AB3967">
        <w:rPr>
          <w:rFonts w:cs="Arial"/>
          <w:b/>
          <w:sz w:val="20"/>
          <w:szCs w:val="20"/>
        </w:rPr>
        <w:t>page 2 of Patient Panel Need</w:t>
      </w:r>
      <w:r w:rsidR="0001294E" w:rsidRPr="00AB3967">
        <w:rPr>
          <w:rFonts w:cs="Arial"/>
          <w:b/>
          <w:sz w:val="20"/>
          <w:szCs w:val="20"/>
        </w:rPr>
        <w:t>:</w:t>
      </w:r>
    </w:p>
    <w:p w14:paraId="70245B80" w14:textId="77777777" w:rsidR="001E281E" w:rsidRPr="00AB3967" w:rsidRDefault="001E281E" w:rsidP="001E281E">
      <w:pPr>
        <w:pStyle w:val="ListParagraph"/>
        <w:rPr>
          <w:rFonts w:cs="Arial"/>
          <w:bCs/>
          <w:sz w:val="20"/>
          <w:szCs w:val="20"/>
        </w:rPr>
      </w:pPr>
    </w:p>
    <w:p w14:paraId="4C79E1AB" w14:textId="77777777" w:rsidR="00EF1631" w:rsidRPr="00AB3967" w:rsidRDefault="00EF1631" w:rsidP="00FC421F">
      <w:pPr>
        <w:pStyle w:val="ListParagraph"/>
        <w:numPr>
          <w:ilvl w:val="0"/>
          <w:numId w:val="15"/>
        </w:numPr>
        <w:spacing w:after="0" w:line="240" w:lineRule="auto"/>
        <w:rPr>
          <w:rFonts w:cs="Arial"/>
          <w:b/>
          <w:sz w:val="20"/>
          <w:szCs w:val="20"/>
        </w:rPr>
      </w:pPr>
      <w:r w:rsidRPr="00AB3967">
        <w:rPr>
          <w:rFonts w:cs="Arial"/>
          <w:b/>
          <w:sz w:val="20"/>
          <w:szCs w:val="20"/>
        </w:rPr>
        <w:t>Maintaining 2 licenses</w:t>
      </w:r>
    </w:p>
    <w:p w14:paraId="1484AA5F" w14:textId="33CF635D" w:rsidR="00DB1F5E" w:rsidRPr="00AB3967" w:rsidRDefault="00DB1F5E" w:rsidP="00700155">
      <w:pPr>
        <w:spacing w:after="0" w:line="240" w:lineRule="auto"/>
        <w:ind w:left="720"/>
        <w:jc w:val="both"/>
        <w:rPr>
          <w:rFonts w:cs="Arial"/>
          <w:bCs/>
          <w:sz w:val="20"/>
          <w:szCs w:val="20"/>
        </w:rPr>
      </w:pPr>
      <w:r w:rsidRPr="00AB3967">
        <w:rPr>
          <w:rFonts w:cs="Arial"/>
          <w:bCs/>
          <w:sz w:val="20"/>
          <w:szCs w:val="20"/>
        </w:rPr>
        <w:t>Based on a preliminary analysis, the Applicant anticipates that the elimination of a separate license for MH will result in annual savings of approximately $20,000. This includes the elimination of duplicative licenses, registrations, accreditations and certifications that UMMMC already holds and would be extended to the Marlborough campus.</w:t>
      </w:r>
    </w:p>
    <w:p w14:paraId="578149C9" w14:textId="77777777" w:rsidR="00DB1F5E" w:rsidRPr="00AB3967" w:rsidRDefault="00DB1F5E" w:rsidP="00DB1F5E">
      <w:pPr>
        <w:spacing w:after="0" w:line="240" w:lineRule="auto"/>
        <w:ind w:left="720"/>
        <w:rPr>
          <w:rFonts w:cs="Arial"/>
          <w:bCs/>
          <w:sz w:val="20"/>
          <w:szCs w:val="20"/>
        </w:rPr>
      </w:pPr>
    </w:p>
    <w:p w14:paraId="57B949CE" w14:textId="439A1B42" w:rsidR="00FB3814" w:rsidRPr="00AB3967" w:rsidRDefault="00EF1631" w:rsidP="00FC421F">
      <w:pPr>
        <w:pStyle w:val="ListParagraph"/>
        <w:numPr>
          <w:ilvl w:val="0"/>
          <w:numId w:val="15"/>
        </w:numPr>
        <w:spacing w:after="0" w:line="240" w:lineRule="auto"/>
        <w:rPr>
          <w:rFonts w:cs="Arial"/>
          <w:b/>
          <w:sz w:val="20"/>
          <w:szCs w:val="20"/>
        </w:rPr>
      </w:pPr>
      <w:r w:rsidRPr="00AB3967">
        <w:rPr>
          <w:rFonts w:cs="Arial"/>
          <w:b/>
          <w:sz w:val="20"/>
          <w:szCs w:val="20"/>
        </w:rPr>
        <w:t xml:space="preserve">Maintaining 2 </w:t>
      </w:r>
      <w:r w:rsidR="00FB3814" w:rsidRPr="00AB3967">
        <w:rPr>
          <w:rFonts w:cs="Arial"/>
          <w:b/>
          <w:sz w:val="20"/>
          <w:szCs w:val="20"/>
        </w:rPr>
        <w:t xml:space="preserve">administrative </w:t>
      </w:r>
      <w:proofErr w:type="gramStart"/>
      <w:r w:rsidR="00FB3814" w:rsidRPr="00AB3967">
        <w:rPr>
          <w:rFonts w:cs="Arial"/>
          <w:b/>
          <w:sz w:val="20"/>
          <w:szCs w:val="20"/>
        </w:rPr>
        <w:t>st</w:t>
      </w:r>
      <w:r w:rsidR="00F83742" w:rsidRPr="00AB3967">
        <w:rPr>
          <w:rFonts w:cs="Arial"/>
          <w:b/>
          <w:sz w:val="20"/>
          <w:szCs w:val="20"/>
        </w:rPr>
        <w:t>affs</w:t>
      </w:r>
      <w:proofErr w:type="gramEnd"/>
    </w:p>
    <w:p w14:paraId="21DF6A62" w14:textId="11B09C07" w:rsidR="00E833A6" w:rsidRPr="001B3B2C" w:rsidRDefault="00057CD6" w:rsidP="001B3B2C">
      <w:pPr>
        <w:pStyle w:val="ListParagraph"/>
        <w:spacing w:after="120" w:line="240" w:lineRule="auto"/>
        <w:contextualSpacing w:val="0"/>
        <w:jc w:val="both"/>
        <w:rPr>
          <w:rFonts w:cs="Arial"/>
          <w:bCs/>
          <w:sz w:val="20"/>
          <w:szCs w:val="20"/>
        </w:rPr>
      </w:pPr>
      <w:r w:rsidRPr="00AB3967">
        <w:rPr>
          <w:rFonts w:cs="Arial"/>
          <w:bCs/>
          <w:sz w:val="20"/>
          <w:szCs w:val="20"/>
        </w:rPr>
        <w:t xml:space="preserve">There are multiple synergies gained from eliminating the need for two administrative </w:t>
      </w:r>
      <w:proofErr w:type="gramStart"/>
      <w:r w:rsidRPr="00AB3967">
        <w:rPr>
          <w:rFonts w:cs="Arial"/>
          <w:bCs/>
          <w:sz w:val="20"/>
          <w:szCs w:val="20"/>
        </w:rPr>
        <w:t>staffs</w:t>
      </w:r>
      <w:proofErr w:type="gramEnd"/>
      <w:r w:rsidRPr="00AB3967">
        <w:rPr>
          <w:rFonts w:cs="Arial"/>
          <w:bCs/>
          <w:sz w:val="20"/>
          <w:szCs w:val="20"/>
        </w:rPr>
        <w:t xml:space="preserve">.  The President of UMMMC will assume oversight of the Marlborough Hospital campus which will become a satellite of UMMMC, reducing the current allocation of a 0.4 FTE for a president of Marlborough Hospital.  </w:t>
      </w:r>
      <w:r w:rsidR="002A6C75" w:rsidRPr="00AB3967">
        <w:rPr>
          <w:rFonts w:cs="Arial"/>
          <w:bCs/>
          <w:sz w:val="20"/>
          <w:szCs w:val="20"/>
        </w:rPr>
        <w:t xml:space="preserve">Additional roles that will be reduced and folded into UMMMC’s governance and management structure following the merger include the chief medical officer, the assistant vice president for clinical services, and other administrative functions. </w:t>
      </w:r>
    </w:p>
    <w:p w14:paraId="0AC765C4" w14:textId="7C09E5EC" w:rsidR="00057CD6" w:rsidRDefault="00057CD6" w:rsidP="008510CE">
      <w:pPr>
        <w:pStyle w:val="ListParagraph"/>
        <w:spacing w:after="0" w:line="240" w:lineRule="auto"/>
        <w:jc w:val="both"/>
        <w:rPr>
          <w:rFonts w:cs="Arial"/>
          <w:bCs/>
          <w:sz w:val="20"/>
          <w:szCs w:val="20"/>
        </w:rPr>
      </w:pPr>
      <w:r w:rsidRPr="00AB3967">
        <w:rPr>
          <w:rFonts w:cs="Arial"/>
          <w:bCs/>
          <w:sz w:val="20"/>
          <w:szCs w:val="20"/>
        </w:rPr>
        <w:t xml:space="preserve">This will save a total of </w:t>
      </w:r>
      <w:r w:rsidR="008510CE" w:rsidRPr="00AB3967">
        <w:rPr>
          <w:rFonts w:cs="Arial"/>
          <w:bCs/>
          <w:sz w:val="20"/>
          <w:szCs w:val="20"/>
        </w:rPr>
        <w:t>2.83</w:t>
      </w:r>
      <w:r w:rsidRPr="00AB3967">
        <w:rPr>
          <w:rFonts w:cs="Arial"/>
          <w:bCs/>
          <w:sz w:val="20"/>
          <w:szCs w:val="20"/>
        </w:rPr>
        <w:t xml:space="preserve"> </w:t>
      </w:r>
      <w:r w:rsidR="00DB1F5E" w:rsidRPr="00AB3967">
        <w:rPr>
          <w:rFonts w:cs="Arial"/>
          <w:bCs/>
          <w:sz w:val="20"/>
          <w:szCs w:val="20"/>
        </w:rPr>
        <w:t>FTE</w:t>
      </w:r>
      <w:r w:rsidRPr="00AB3967">
        <w:rPr>
          <w:rFonts w:cs="Arial"/>
          <w:bCs/>
          <w:sz w:val="20"/>
          <w:szCs w:val="20"/>
        </w:rPr>
        <w:t>’s</w:t>
      </w:r>
      <w:r w:rsidR="008510CE" w:rsidRPr="00AB3967">
        <w:rPr>
          <w:rFonts w:cs="Arial"/>
          <w:bCs/>
          <w:sz w:val="20"/>
          <w:szCs w:val="20"/>
        </w:rPr>
        <w:t xml:space="preserve"> and 4 physician leadership stipends.  For </w:t>
      </w:r>
      <w:proofErr w:type="gramStart"/>
      <w:r w:rsidR="008510CE" w:rsidRPr="00AB3967">
        <w:rPr>
          <w:rFonts w:cs="Arial"/>
          <w:bCs/>
          <w:sz w:val="20"/>
          <w:szCs w:val="20"/>
        </w:rPr>
        <w:t>an annualized</w:t>
      </w:r>
      <w:proofErr w:type="gramEnd"/>
      <w:r w:rsidR="008510CE" w:rsidRPr="00AB3967">
        <w:rPr>
          <w:rFonts w:cs="Arial"/>
          <w:bCs/>
          <w:sz w:val="20"/>
          <w:szCs w:val="20"/>
        </w:rPr>
        <w:t xml:space="preserve"> savings of approximately $890,000. In</w:t>
      </w:r>
      <w:r w:rsidRPr="00AB3967">
        <w:rPr>
          <w:rFonts w:cs="Arial"/>
          <w:bCs/>
          <w:sz w:val="20"/>
          <w:szCs w:val="20"/>
        </w:rPr>
        <w:t xml:space="preserve"> an effort, to preserve jobs and protect individual livelihood, individuals may be reassigned to other roles within the health system once their roles at Marlborough Hospitals transition to </w:t>
      </w:r>
      <w:r w:rsidR="008510CE" w:rsidRPr="00AB3967">
        <w:rPr>
          <w:rFonts w:cs="Arial"/>
          <w:bCs/>
          <w:sz w:val="20"/>
          <w:szCs w:val="20"/>
        </w:rPr>
        <w:t>UMMMC.</w:t>
      </w:r>
    </w:p>
    <w:p w14:paraId="395CEDB9" w14:textId="77777777" w:rsidR="001B3B2C" w:rsidRPr="00AB3967" w:rsidRDefault="001B3B2C" w:rsidP="008510CE">
      <w:pPr>
        <w:pStyle w:val="ListParagraph"/>
        <w:spacing w:after="0" w:line="240" w:lineRule="auto"/>
        <w:jc w:val="both"/>
        <w:rPr>
          <w:rFonts w:cs="Arial"/>
          <w:bCs/>
          <w:sz w:val="20"/>
          <w:szCs w:val="20"/>
        </w:rPr>
      </w:pPr>
    </w:p>
    <w:p w14:paraId="56F35CD5" w14:textId="1DC6CDFB" w:rsidR="002A6C75" w:rsidRPr="001B3B2C" w:rsidRDefault="00FB3814" w:rsidP="002A6C75">
      <w:pPr>
        <w:pStyle w:val="ListParagraph"/>
        <w:numPr>
          <w:ilvl w:val="0"/>
          <w:numId w:val="15"/>
        </w:numPr>
        <w:spacing w:after="0" w:line="240" w:lineRule="auto"/>
        <w:rPr>
          <w:rFonts w:cs="Arial"/>
          <w:b/>
          <w:sz w:val="20"/>
          <w:szCs w:val="20"/>
        </w:rPr>
      </w:pPr>
      <w:r w:rsidRPr="00AB3967">
        <w:rPr>
          <w:rFonts w:cs="Arial"/>
          <w:b/>
          <w:sz w:val="20"/>
          <w:szCs w:val="20"/>
        </w:rPr>
        <w:t>Maintaining 2 governing bodies</w:t>
      </w:r>
    </w:p>
    <w:p w14:paraId="2639F207" w14:textId="3EAB653B" w:rsidR="002A6C75" w:rsidRPr="00AB3967" w:rsidRDefault="002A6C75" w:rsidP="002A6C75">
      <w:pPr>
        <w:pStyle w:val="ListParagraph"/>
        <w:spacing w:after="0" w:line="240" w:lineRule="auto"/>
        <w:jc w:val="both"/>
        <w:rPr>
          <w:rFonts w:cs="Arial"/>
          <w:bCs/>
          <w:sz w:val="20"/>
          <w:szCs w:val="20"/>
        </w:rPr>
      </w:pPr>
      <w:r w:rsidRPr="00AB3967">
        <w:rPr>
          <w:rFonts w:cs="Arial"/>
          <w:bCs/>
          <w:sz w:val="20"/>
          <w:szCs w:val="20"/>
        </w:rPr>
        <w:t xml:space="preserve">The Marlborough Hospital Board </w:t>
      </w:r>
      <w:r w:rsidR="00C940D6" w:rsidRPr="00AB3967">
        <w:rPr>
          <w:rFonts w:cs="Arial"/>
          <w:bCs/>
          <w:sz w:val="20"/>
          <w:szCs w:val="20"/>
        </w:rPr>
        <w:t>convenes</w:t>
      </w:r>
      <w:r w:rsidRPr="00AB3967">
        <w:rPr>
          <w:rFonts w:cs="Arial"/>
          <w:bCs/>
          <w:sz w:val="20"/>
          <w:szCs w:val="20"/>
        </w:rPr>
        <w:t xml:space="preserve"> ten times annually for </w:t>
      </w:r>
      <w:r w:rsidR="00C940D6" w:rsidRPr="00AB3967">
        <w:rPr>
          <w:rFonts w:cs="Arial"/>
          <w:bCs/>
          <w:sz w:val="20"/>
          <w:szCs w:val="20"/>
        </w:rPr>
        <w:t>a two-hour meeting</w:t>
      </w:r>
      <w:r w:rsidRPr="00AB3967">
        <w:rPr>
          <w:rFonts w:cs="Arial"/>
          <w:bCs/>
          <w:sz w:val="20"/>
          <w:szCs w:val="20"/>
        </w:rPr>
        <w:t xml:space="preserve">.  For each board meeting, the Applicant estimates that ten hours of </w:t>
      </w:r>
      <w:r w:rsidR="00C940D6" w:rsidRPr="00AB3967">
        <w:rPr>
          <w:rFonts w:cs="Arial"/>
          <w:bCs/>
          <w:sz w:val="20"/>
          <w:szCs w:val="20"/>
        </w:rPr>
        <w:t xml:space="preserve">preparation </w:t>
      </w:r>
      <w:r w:rsidRPr="00AB3967">
        <w:rPr>
          <w:rFonts w:cs="Arial"/>
          <w:bCs/>
          <w:sz w:val="20"/>
          <w:szCs w:val="20"/>
        </w:rPr>
        <w:t>work are performed. Eliminat</w:t>
      </w:r>
      <w:r w:rsidR="00C940D6" w:rsidRPr="00AB3967">
        <w:rPr>
          <w:rFonts w:cs="Arial"/>
          <w:bCs/>
          <w:sz w:val="20"/>
          <w:szCs w:val="20"/>
        </w:rPr>
        <w:t>ing</w:t>
      </w:r>
      <w:r w:rsidRPr="00AB3967">
        <w:rPr>
          <w:rFonts w:cs="Arial"/>
          <w:bCs/>
          <w:sz w:val="20"/>
          <w:szCs w:val="20"/>
        </w:rPr>
        <w:t xml:space="preserve"> the Marlborough governing body</w:t>
      </w:r>
      <w:r w:rsidR="00C940D6" w:rsidRPr="00AB3967">
        <w:rPr>
          <w:rFonts w:cs="Arial"/>
          <w:bCs/>
          <w:sz w:val="20"/>
          <w:szCs w:val="20"/>
        </w:rPr>
        <w:t xml:space="preserve"> through the proposed merger</w:t>
      </w:r>
      <w:r w:rsidRPr="00AB3967">
        <w:rPr>
          <w:rFonts w:cs="Arial"/>
          <w:bCs/>
          <w:sz w:val="20"/>
          <w:szCs w:val="20"/>
        </w:rPr>
        <w:t xml:space="preserve"> </w:t>
      </w:r>
      <w:r w:rsidR="00C940D6" w:rsidRPr="00AB3967">
        <w:rPr>
          <w:rFonts w:cs="Arial"/>
          <w:bCs/>
          <w:sz w:val="20"/>
          <w:szCs w:val="20"/>
        </w:rPr>
        <w:t xml:space="preserve">would </w:t>
      </w:r>
      <w:r w:rsidR="00DB1F5E" w:rsidRPr="00AB3967">
        <w:rPr>
          <w:rFonts w:cs="Arial"/>
          <w:bCs/>
          <w:sz w:val="20"/>
          <w:szCs w:val="20"/>
        </w:rPr>
        <w:t xml:space="preserve">save </w:t>
      </w:r>
      <w:r w:rsidR="00C940D6" w:rsidRPr="00AB3967">
        <w:rPr>
          <w:rFonts w:cs="Arial"/>
          <w:bCs/>
          <w:sz w:val="20"/>
          <w:szCs w:val="20"/>
        </w:rPr>
        <w:t>approximately</w:t>
      </w:r>
      <w:r w:rsidRPr="00AB3967">
        <w:rPr>
          <w:rFonts w:cs="Arial"/>
          <w:bCs/>
          <w:sz w:val="20"/>
          <w:szCs w:val="20"/>
        </w:rPr>
        <w:t xml:space="preserve"> 120 hours of </w:t>
      </w:r>
      <w:r w:rsidRPr="00AB3967">
        <w:rPr>
          <w:rFonts w:cs="Arial"/>
          <w:bCs/>
          <w:sz w:val="20"/>
          <w:szCs w:val="20"/>
        </w:rPr>
        <w:lastRenderedPageBreak/>
        <w:t xml:space="preserve">tracked management time annually to manage, prepare, and deliver for the board of trustees.  </w:t>
      </w:r>
      <w:r w:rsidR="00C940D6" w:rsidRPr="00AB3967">
        <w:rPr>
          <w:rFonts w:cs="Arial"/>
          <w:bCs/>
          <w:sz w:val="20"/>
          <w:szCs w:val="20"/>
        </w:rPr>
        <w:t xml:space="preserve">As a licensed satellite of UMMMC, Marlborough governance and operations will fall under UMMMC, resulting in a minimal increase to the preparation and duration of each UMMMC board meeting. </w:t>
      </w:r>
    </w:p>
    <w:p w14:paraId="7661EFD0" w14:textId="77777777" w:rsidR="002A6C75" w:rsidRPr="00AB3967" w:rsidRDefault="002A6C75" w:rsidP="002A6C75">
      <w:pPr>
        <w:spacing w:after="0" w:line="240" w:lineRule="auto"/>
        <w:rPr>
          <w:rFonts w:cs="Arial"/>
          <w:b/>
          <w:sz w:val="20"/>
          <w:szCs w:val="20"/>
        </w:rPr>
      </w:pPr>
    </w:p>
    <w:p w14:paraId="4E404E17" w14:textId="4F6A4AC9" w:rsidR="00F83742" w:rsidRPr="00AB3967" w:rsidRDefault="00F83742" w:rsidP="00FC421F">
      <w:pPr>
        <w:pStyle w:val="ListParagraph"/>
        <w:numPr>
          <w:ilvl w:val="0"/>
          <w:numId w:val="15"/>
        </w:numPr>
        <w:spacing w:after="0" w:line="240" w:lineRule="auto"/>
        <w:rPr>
          <w:rFonts w:cs="Arial"/>
          <w:b/>
          <w:sz w:val="20"/>
          <w:szCs w:val="20"/>
        </w:rPr>
      </w:pPr>
      <w:r w:rsidRPr="00AB3967">
        <w:rPr>
          <w:rFonts w:cs="Arial"/>
          <w:b/>
          <w:sz w:val="20"/>
          <w:szCs w:val="20"/>
        </w:rPr>
        <w:t xml:space="preserve">Reduction in </w:t>
      </w:r>
      <w:proofErr w:type="gramStart"/>
      <w:r w:rsidRPr="00AB3967">
        <w:rPr>
          <w:rFonts w:cs="Arial"/>
          <w:b/>
          <w:sz w:val="20"/>
          <w:szCs w:val="20"/>
        </w:rPr>
        <w:t>transports</w:t>
      </w:r>
      <w:proofErr w:type="gramEnd"/>
      <w:r w:rsidRPr="00AB3967">
        <w:rPr>
          <w:rFonts w:cs="Arial"/>
          <w:b/>
          <w:sz w:val="20"/>
          <w:szCs w:val="20"/>
        </w:rPr>
        <w:t xml:space="preserve"> </w:t>
      </w:r>
      <w:r w:rsidR="00BC6275" w:rsidRPr="00AB3967">
        <w:rPr>
          <w:rFonts w:cs="Arial"/>
          <w:b/>
          <w:sz w:val="20"/>
          <w:szCs w:val="20"/>
        </w:rPr>
        <w:t>between the 2 entities</w:t>
      </w:r>
    </w:p>
    <w:p w14:paraId="3D7E60F0" w14:textId="1626229F" w:rsidR="00FB69D4" w:rsidRPr="00AB3967" w:rsidRDefault="00165FD3" w:rsidP="001B3B2C">
      <w:pPr>
        <w:spacing w:after="120" w:line="240" w:lineRule="auto"/>
        <w:ind w:left="720"/>
        <w:jc w:val="both"/>
        <w:rPr>
          <w:rFonts w:cs="Arial"/>
          <w:bCs/>
          <w:sz w:val="20"/>
          <w:szCs w:val="20"/>
        </w:rPr>
      </w:pPr>
      <w:r w:rsidRPr="00AB3967">
        <w:rPr>
          <w:rFonts w:cs="Arial"/>
          <w:bCs/>
          <w:sz w:val="20"/>
          <w:szCs w:val="20"/>
        </w:rPr>
        <w:t xml:space="preserve">In the current state, patients requiring services not available at Marlborough Hospital must be transferred to another facility.  Because of capacity issues, </w:t>
      </w:r>
      <w:r w:rsidR="00CD1A43" w:rsidRPr="00AB3967">
        <w:rPr>
          <w:rFonts w:cs="Arial"/>
          <w:bCs/>
          <w:sz w:val="20"/>
          <w:szCs w:val="20"/>
        </w:rPr>
        <w:t>UMMMC is often unable to accept transfers</w:t>
      </w:r>
      <w:r w:rsidRPr="00AB3967">
        <w:rPr>
          <w:rFonts w:cs="Arial"/>
          <w:bCs/>
          <w:sz w:val="20"/>
          <w:szCs w:val="20"/>
        </w:rPr>
        <w:t>.  These transfers between hospitals occur by ambulance</w:t>
      </w:r>
      <w:r w:rsidR="00D67014" w:rsidRPr="00AB3967">
        <w:rPr>
          <w:rFonts w:cs="Arial"/>
          <w:bCs/>
          <w:sz w:val="20"/>
          <w:szCs w:val="20"/>
        </w:rPr>
        <w:t>, the cost of which is the responsibility of the patient</w:t>
      </w:r>
      <w:r w:rsidRPr="00AB3967">
        <w:rPr>
          <w:rFonts w:cs="Arial"/>
          <w:bCs/>
          <w:sz w:val="20"/>
          <w:szCs w:val="20"/>
        </w:rPr>
        <w:t xml:space="preserve">.  It is not uncommon for a patient’s insurance to decline payment for </w:t>
      </w:r>
      <w:r w:rsidR="00D67014" w:rsidRPr="00AB3967">
        <w:rPr>
          <w:rFonts w:cs="Arial"/>
          <w:bCs/>
          <w:sz w:val="20"/>
          <w:szCs w:val="20"/>
        </w:rPr>
        <w:t>the ambulance transport</w:t>
      </w:r>
      <w:r w:rsidRPr="00AB3967">
        <w:rPr>
          <w:rFonts w:cs="Arial"/>
          <w:bCs/>
          <w:sz w:val="20"/>
          <w:szCs w:val="20"/>
        </w:rPr>
        <w:t xml:space="preserve"> or to pay only a small portion</w:t>
      </w:r>
      <w:r w:rsidR="00D67014" w:rsidRPr="00AB3967">
        <w:rPr>
          <w:rFonts w:cs="Arial"/>
          <w:bCs/>
          <w:sz w:val="20"/>
          <w:szCs w:val="20"/>
        </w:rPr>
        <w:t>, leaving the patient with a significant cost burden</w:t>
      </w:r>
      <w:r w:rsidR="00FB69D4" w:rsidRPr="00AB3967">
        <w:rPr>
          <w:rFonts w:cs="Arial"/>
          <w:bCs/>
          <w:sz w:val="20"/>
          <w:szCs w:val="20"/>
        </w:rPr>
        <w:t xml:space="preserve"> that varies based on the patient’s individual coverage</w:t>
      </w:r>
      <w:r w:rsidR="00D67014" w:rsidRPr="00AB3967">
        <w:rPr>
          <w:rFonts w:cs="Arial"/>
          <w:bCs/>
          <w:sz w:val="20"/>
          <w:szCs w:val="20"/>
        </w:rPr>
        <w:t xml:space="preserve">. </w:t>
      </w:r>
      <w:r w:rsidRPr="00AB3967">
        <w:rPr>
          <w:rFonts w:cs="Arial"/>
          <w:bCs/>
          <w:sz w:val="20"/>
          <w:szCs w:val="20"/>
        </w:rPr>
        <w:t>This has even led patients to refuse ambulance transfer because of fear of excessive bills.</w:t>
      </w:r>
    </w:p>
    <w:p w14:paraId="49738F42" w14:textId="500AEE0D" w:rsidR="00150855" w:rsidRPr="00AB3967" w:rsidRDefault="003527EC" w:rsidP="001B3B2C">
      <w:pPr>
        <w:spacing w:after="120" w:line="240" w:lineRule="auto"/>
        <w:ind w:left="720"/>
        <w:jc w:val="both"/>
        <w:rPr>
          <w:rFonts w:cs="Arial"/>
          <w:bCs/>
          <w:sz w:val="20"/>
          <w:szCs w:val="20"/>
        </w:rPr>
      </w:pPr>
      <w:r w:rsidRPr="00AB3967">
        <w:rPr>
          <w:rFonts w:cs="Arial"/>
          <w:bCs/>
          <w:sz w:val="20"/>
          <w:szCs w:val="20"/>
        </w:rPr>
        <w:t>As a licensed campus of UMMMC, w</w:t>
      </w:r>
      <w:r w:rsidR="00165FD3" w:rsidRPr="00AB3967">
        <w:rPr>
          <w:rFonts w:cs="Arial"/>
          <w:bCs/>
          <w:sz w:val="20"/>
          <w:szCs w:val="20"/>
        </w:rPr>
        <w:t xml:space="preserve">hen an admitted patient is </w:t>
      </w:r>
      <w:r w:rsidR="009B1E25" w:rsidRPr="00AB3967">
        <w:rPr>
          <w:rFonts w:cs="Arial"/>
          <w:bCs/>
          <w:sz w:val="20"/>
          <w:szCs w:val="20"/>
        </w:rPr>
        <w:t xml:space="preserve">transported </w:t>
      </w:r>
      <w:r w:rsidR="00165FD3" w:rsidRPr="00AB3967">
        <w:rPr>
          <w:rFonts w:cs="Arial"/>
          <w:bCs/>
          <w:sz w:val="20"/>
          <w:szCs w:val="20"/>
        </w:rPr>
        <w:t xml:space="preserve">between campuses of the same hospital, </w:t>
      </w:r>
      <w:r w:rsidRPr="00AB3967">
        <w:rPr>
          <w:rFonts w:cs="Arial"/>
          <w:bCs/>
          <w:sz w:val="20"/>
          <w:szCs w:val="20"/>
        </w:rPr>
        <w:t xml:space="preserve">the hospital incurs the cost of the ambulance transport because it </w:t>
      </w:r>
      <w:r w:rsidR="00CE74B8" w:rsidRPr="00AB3967">
        <w:rPr>
          <w:rFonts w:cs="Arial"/>
          <w:bCs/>
          <w:sz w:val="20"/>
          <w:szCs w:val="20"/>
        </w:rPr>
        <w:t xml:space="preserve">is for the movement of a patient from one location to another of the same licensed provider. </w:t>
      </w:r>
      <w:r w:rsidR="006F4259" w:rsidRPr="00AB3967">
        <w:rPr>
          <w:rFonts w:cs="Arial"/>
          <w:bCs/>
          <w:sz w:val="20"/>
          <w:szCs w:val="20"/>
        </w:rPr>
        <w:t xml:space="preserve">As a result, with the merger, </w:t>
      </w:r>
      <w:r w:rsidR="00165FD3" w:rsidRPr="00AB3967">
        <w:rPr>
          <w:rFonts w:cs="Arial"/>
          <w:bCs/>
          <w:sz w:val="20"/>
          <w:szCs w:val="20"/>
        </w:rPr>
        <w:t xml:space="preserve">the </w:t>
      </w:r>
      <w:r w:rsidR="006F4259" w:rsidRPr="00AB3967">
        <w:rPr>
          <w:rFonts w:cs="Arial"/>
          <w:bCs/>
          <w:sz w:val="20"/>
          <w:szCs w:val="20"/>
        </w:rPr>
        <w:t xml:space="preserve">cost </w:t>
      </w:r>
      <w:r w:rsidR="00165FD3" w:rsidRPr="00AB3967">
        <w:rPr>
          <w:rFonts w:cs="Arial"/>
          <w:bCs/>
          <w:sz w:val="20"/>
          <w:szCs w:val="20"/>
        </w:rPr>
        <w:t xml:space="preserve">impact </w:t>
      </w:r>
      <w:proofErr w:type="gramStart"/>
      <w:r w:rsidR="00165FD3" w:rsidRPr="00AB3967">
        <w:rPr>
          <w:rFonts w:cs="Arial"/>
          <w:bCs/>
          <w:sz w:val="20"/>
          <w:szCs w:val="20"/>
        </w:rPr>
        <w:t>to</w:t>
      </w:r>
      <w:proofErr w:type="gramEnd"/>
      <w:r w:rsidR="00165FD3" w:rsidRPr="00AB3967">
        <w:rPr>
          <w:rFonts w:cs="Arial"/>
          <w:bCs/>
          <w:sz w:val="20"/>
          <w:szCs w:val="20"/>
        </w:rPr>
        <w:t xml:space="preserve"> public and private payors and </w:t>
      </w:r>
      <w:proofErr w:type="gramStart"/>
      <w:r w:rsidR="006F4259" w:rsidRPr="00AB3967">
        <w:rPr>
          <w:rFonts w:cs="Arial"/>
          <w:bCs/>
          <w:sz w:val="20"/>
          <w:szCs w:val="20"/>
        </w:rPr>
        <w:t>to</w:t>
      </w:r>
      <w:proofErr w:type="gramEnd"/>
      <w:r w:rsidR="00165FD3" w:rsidRPr="00AB3967">
        <w:rPr>
          <w:rFonts w:cs="Arial"/>
          <w:bCs/>
          <w:sz w:val="20"/>
          <w:szCs w:val="20"/>
        </w:rPr>
        <w:t xml:space="preserve"> patients</w:t>
      </w:r>
      <w:r w:rsidR="006F4259" w:rsidRPr="00AB3967">
        <w:rPr>
          <w:rFonts w:cs="Arial"/>
          <w:bCs/>
          <w:sz w:val="20"/>
          <w:szCs w:val="20"/>
        </w:rPr>
        <w:t xml:space="preserve"> will be eliminated</w:t>
      </w:r>
      <w:r w:rsidR="00165FD3" w:rsidRPr="00AB3967">
        <w:rPr>
          <w:rFonts w:cs="Arial"/>
          <w:bCs/>
          <w:sz w:val="20"/>
          <w:szCs w:val="20"/>
        </w:rPr>
        <w:t>.</w:t>
      </w:r>
    </w:p>
    <w:p w14:paraId="74399779" w14:textId="109606EB" w:rsidR="00165FD3" w:rsidRPr="00AB3967" w:rsidRDefault="00AD1F2B" w:rsidP="001B3B2C">
      <w:pPr>
        <w:spacing w:after="120" w:line="240" w:lineRule="auto"/>
        <w:ind w:left="720"/>
        <w:jc w:val="both"/>
        <w:rPr>
          <w:rFonts w:cs="Arial"/>
          <w:bCs/>
          <w:sz w:val="20"/>
          <w:szCs w:val="20"/>
        </w:rPr>
      </w:pPr>
      <w:r w:rsidRPr="00AB3967">
        <w:rPr>
          <w:rFonts w:cs="Arial"/>
          <w:bCs/>
          <w:sz w:val="20"/>
          <w:szCs w:val="20"/>
        </w:rPr>
        <w:t xml:space="preserve">With the merger there will always be patients that require transport from MH to UMMMC due to </w:t>
      </w:r>
      <w:r w:rsidR="00572935" w:rsidRPr="00AB3967">
        <w:rPr>
          <w:rFonts w:cs="Arial"/>
          <w:bCs/>
          <w:sz w:val="20"/>
          <w:szCs w:val="20"/>
        </w:rPr>
        <w:t xml:space="preserve">the need for a higher level of care or the lack of specific services being available at MH. However, as a campus of MH, it will be possible </w:t>
      </w:r>
      <w:r w:rsidR="00163B7E" w:rsidRPr="00AB3967">
        <w:rPr>
          <w:rFonts w:cs="Arial"/>
          <w:bCs/>
          <w:sz w:val="20"/>
          <w:szCs w:val="20"/>
        </w:rPr>
        <w:t xml:space="preserve">for more patients to receive </w:t>
      </w:r>
      <w:proofErr w:type="spellStart"/>
      <w:r w:rsidR="00163B7E" w:rsidRPr="00AB3967">
        <w:rPr>
          <w:rFonts w:cs="Arial"/>
          <w:bCs/>
          <w:sz w:val="20"/>
          <w:szCs w:val="20"/>
        </w:rPr>
        <w:t>teleconsults</w:t>
      </w:r>
      <w:proofErr w:type="spellEnd"/>
      <w:r w:rsidR="00163B7E" w:rsidRPr="00AB3967">
        <w:rPr>
          <w:rFonts w:cs="Arial"/>
          <w:bCs/>
          <w:sz w:val="20"/>
          <w:szCs w:val="20"/>
        </w:rPr>
        <w:t xml:space="preserve"> at MH and not need to be transported to UMMMC for specialty consultation as occurs today. </w:t>
      </w:r>
    </w:p>
    <w:p w14:paraId="335A3C62" w14:textId="77777777" w:rsidR="0001294E" w:rsidRPr="00AB3967" w:rsidRDefault="0001294E" w:rsidP="001B3B2C">
      <w:pPr>
        <w:pStyle w:val="ListParagraph"/>
        <w:spacing w:after="120" w:line="240" w:lineRule="auto"/>
        <w:rPr>
          <w:rFonts w:cs="Arial"/>
          <w:bCs/>
          <w:sz w:val="20"/>
          <w:szCs w:val="20"/>
        </w:rPr>
      </w:pPr>
    </w:p>
    <w:p w14:paraId="199A2DCC" w14:textId="77777777" w:rsidR="00FC421F" w:rsidRPr="00AB3967" w:rsidRDefault="00201ECF" w:rsidP="00FC421F">
      <w:pPr>
        <w:pStyle w:val="ListParagraph"/>
        <w:numPr>
          <w:ilvl w:val="0"/>
          <w:numId w:val="16"/>
        </w:numPr>
        <w:rPr>
          <w:rFonts w:cs="Arial"/>
          <w:b/>
          <w:sz w:val="20"/>
          <w:szCs w:val="20"/>
        </w:rPr>
      </w:pPr>
      <w:r w:rsidRPr="00AB3967">
        <w:rPr>
          <w:rFonts w:cs="Arial"/>
          <w:b/>
          <w:sz w:val="20"/>
          <w:szCs w:val="20"/>
        </w:rPr>
        <w:t xml:space="preserve">Since both Hospitals are under the same </w:t>
      </w:r>
      <w:r w:rsidR="00475DA8" w:rsidRPr="00AB3967">
        <w:rPr>
          <w:rFonts w:cs="Arial"/>
          <w:b/>
          <w:sz w:val="20"/>
          <w:szCs w:val="20"/>
        </w:rPr>
        <w:t>health system,</w:t>
      </w:r>
      <w:r w:rsidR="00DA4053" w:rsidRPr="00AB3967">
        <w:rPr>
          <w:rFonts w:cs="Arial"/>
          <w:b/>
          <w:sz w:val="20"/>
          <w:szCs w:val="20"/>
        </w:rPr>
        <w:t xml:space="preserve"> and since UMMHC uses the EPIC system, explain why the integration is </w:t>
      </w:r>
      <w:r w:rsidR="00380562" w:rsidRPr="00AB3967">
        <w:rPr>
          <w:rFonts w:cs="Arial"/>
          <w:b/>
          <w:sz w:val="20"/>
          <w:szCs w:val="20"/>
        </w:rPr>
        <w:t>not more seamless. Explain why there are impediments</w:t>
      </w:r>
      <w:r w:rsidR="0095283D" w:rsidRPr="00AB3967">
        <w:rPr>
          <w:rFonts w:cs="Arial"/>
          <w:b/>
          <w:sz w:val="20"/>
          <w:szCs w:val="20"/>
        </w:rPr>
        <w:t xml:space="preserve"> and how much more </w:t>
      </w:r>
      <w:r w:rsidR="00DC47E2" w:rsidRPr="00AB3967">
        <w:rPr>
          <w:rFonts w:cs="Arial"/>
          <w:b/>
          <w:sz w:val="20"/>
          <w:szCs w:val="20"/>
        </w:rPr>
        <w:t xml:space="preserve">burdensome such </w:t>
      </w:r>
      <w:r w:rsidR="008767B3" w:rsidRPr="00AB3967">
        <w:rPr>
          <w:rFonts w:cs="Arial"/>
          <w:b/>
          <w:sz w:val="20"/>
          <w:szCs w:val="20"/>
        </w:rPr>
        <w:t>process</w:t>
      </w:r>
      <w:r w:rsidR="00EB362C" w:rsidRPr="00AB3967">
        <w:rPr>
          <w:rFonts w:cs="Arial"/>
          <w:b/>
          <w:sz w:val="20"/>
          <w:szCs w:val="20"/>
        </w:rPr>
        <w:t>es</w:t>
      </w:r>
      <w:r w:rsidR="008767B3" w:rsidRPr="00AB3967">
        <w:rPr>
          <w:rFonts w:cs="Arial"/>
          <w:b/>
          <w:sz w:val="20"/>
          <w:szCs w:val="20"/>
        </w:rPr>
        <w:t xml:space="preserve"> as telecommunication and the rotations of the intern and resident program poses.</w:t>
      </w:r>
      <w:r w:rsidR="004F7BDA" w:rsidRPr="00AB3967">
        <w:rPr>
          <w:rFonts w:cs="Arial"/>
          <w:b/>
          <w:sz w:val="20"/>
          <w:szCs w:val="20"/>
        </w:rPr>
        <w:t xml:space="preserve"> Why are tele-consults not possible under the current structure?</w:t>
      </w:r>
    </w:p>
    <w:p w14:paraId="0863DC52" w14:textId="29B18077" w:rsidR="00FC421F" w:rsidRPr="00AB3967" w:rsidRDefault="00FC421F" w:rsidP="00FC421F">
      <w:pPr>
        <w:pStyle w:val="ListParagraph"/>
        <w:rPr>
          <w:rFonts w:cs="Arial"/>
          <w:bCs/>
          <w:sz w:val="20"/>
          <w:szCs w:val="20"/>
        </w:rPr>
      </w:pPr>
      <w:r w:rsidRPr="00AB3967">
        <w:rPr>
          <w:rFonts w:cs="Arial"/>
          <w:bCs/>
          <w:sz w:val="20"/>
          <w:szCs w:val="20"/>
        </w:rPr>
        <w:t> </w:t>
      </w:r>
    </w:p>
    <w:p w14:paraId="42AA01E2" w14:textId="715CE19B" w:rsidR="001018CA" w:rsidRPr="00AB3967" w:rsidRDefault="00C940D6" w:rsidP="001B3B2C">
      <w:pPr>
        <w:pStyle w:val="ListParagraph"/>
        <w:spacing w:after="120" w:line="240" w:lineRule="auto"/>
        <w:contextualSpacing w:val="0"/>
        <w:jc w:val="both"/>
        <w:rPr>
          <w:rFonts w:cs="Arial"/>
          <w:bCs/>
          <w:sz w:val="20"/>
          <w:szCs w:val="20"/>
        </w:rPr>
      </w:pPr>
      <w:r w:rsidRPr="00AB3967">
        <w:rPr>
          <w:rFonts w:cs="Arial"/>
          <w:bCs/>
          <w:sz w:val="20"/>
          <w:szCs w:val="20"/>
        </w:rPr>
        <w:t xml:space="preserve">A. </w:t>
      </w:r>
      <w:r w:rsidR="0083462E" w:rsidRPr="00AB3967">
        <w:rPr>
          <w:rFonts w:cs="Arial"/>
          <w:bCs/>
          <w:sz w:val="20"/>
          <w:szCs w:val="20"/>
          <w:u w:val="single"/>
        </w:rPr>
        <w:t>Regulatory Obligations</w:t>
      </w:r>
      <w:r w:rsidR="0083462E" w:rsidRPr="00AB3967">
        <w:rPr>
          <w:rFonts w:cs="Arial"/>
          <w:bCs/>
          <w:sz w:val="20"/>
          <w:szCs w:val="20"/>
        </w:rPr>
        <w:t xml:space="preserve"> </w:t>
      </w:r>
    </w:p>
    <w:p w14:paraId="68E88ECC" w14:textId="1561CEF2" w:rsidR="009A691D" w:rsidRPr="001B3B2C" w:rsidRDefault="0083462E" w:rsidP="001B3B2C">
      <w:pPr>
        <w:pStyle w:val="ListParagraph"/>
        <w:spacing w:after="120" w:line="240" w:lineRule="auto"/>
        <w:contextualSpacing w:val="0"/>
        <w:jc w:val="both"/>
        <w:rPr>
          <w:rFonts w:cs="Arial"/>
          <w:bCs/>
          <w:sz w:val="20"/>
          <w:szCs w:val="20"/>
        </w:rPr>
      </w:pPr>
      <w:r w:rsidRPr="00AB3967">
        <w:rPr>
          <w:rFonts w:cs="Arial"/>
          <w:bCs/>
          <w:sz w:val="20"/>
          <w:szCs w:val="20"/>
        </w:rPr>
        <w:t xml:space="preserve">As a preliminary matter, </w:t>
      </w:r>
      <w:r w:rsidR="001018CA" w:rsidRPr="00AB3967">
        <w:rPr>
          <w:rFonts w:cs="Arial"/>
          <w:bCs/>
          <w:sz w:val="20"/>
          <w:szCs w:val="20"/>
        </w:rPr>
        <w:t>MH and UMMMC are two separate</w:t>
      </w:r>
      <w:r w:rsidRPr="00AB3967">
        <w:rPr>
          <w:rFonts w:cs="Arial"/>
          <w:bCs/>
          <w:sz w:val="20"/>
          <w:szCs w:val="20"/>
        </w:rPr>
        <w:t>ly</w:t>
      </w:r>
      <w:r w:rsidR="001018CA" w:rsidRPr="00AB3967">
        <w:rPr>
          <w:rFonts w:cs="Arial"/>
          <w:bCs/>
          <w:sz w:val="20"/>
          <w:szCs w:val="20"/>
        </w:rPr>
        <w:t xml:space="preserve"> licensed hospitals within the </w:t>
      </w:r>
      <w:r w:rsidRPr="00AB3967">
        <w:rPr>
          <w:rFonts w:cs="Arial"/>
          <w:bCs/>
          <w:sz w:val="20"/>
          <w:szCs w:val="20"/>
        </w:rPr>
        <w:t>UMass Memorial Health (“UMass Memorial”) system</w:t>
      </w:r>
      <w:r w:rsidR="001018CA" w:rsidRPr="00AB3967">
        <w:rPr>
          <w:rFonts w:cs="Arial"/>
          <w:bCs/>
          <w:sz w:val="20"/>
          <w:szCs w:val="20"/>
        </w:rPr>
        <w:t>.</w:t>
      </w:r>
      <w:r w:rsidR="00DB1F5E" w:rsidRPr="00AB3967">
        <w:rPr>
          <w:rFonts w:cs="Arial"/>
          <w:bCs/>
          <w:sz w:val="20"/>
          <w:szCs w:val="20"/>
        </w:rPr>
        <w:t xml:space="preserve"> Each hospital also holds its own Medicare Certification. As a result, each hospital must separately and independently comply with the regulatory requirements for licensure as well as the Medicare Conditions of Participation (CoPs).</w:t>
      </w:r>
      <w:r w:rsidR="001018CA" w:rsidRPr="00AB3967">
        <w:rPr>
          <w:rFonts w:cs="Arial"/>
          <w:bCs/>
          <w:sz w:val="20"/>
          <w:szCs w:val="20"/>
        </w:rPr>
        <w:t xml:space="preserve">  </w:t>
      </w:r>
    </w:p>
    <w:p w14:paraId="73231570" w14:textId="221F0A60" w:rsidR="009A691D" w:rsidRPr="00AB3967" w:rsidRDefault="009A691D" w:rsidP="001B3B2C">
      <w:pPr>
        <w:pStyle w:val="ListParagraph"/>
        <w:spacing w:after="120" w:line="240" w:lineRule="auto"/>
        <w:contextualSpacing w:val="0"/>
        <w:jc w:val="both"/>
        <w:rPr>
          <w:rFonts w:cs="Arial"/>
          <w:bCs/>
          <w:i/>
          <w:iCs/>
          <w:sz w:val="20"/>
          <w:szCs w:val="20"/>
        </w:rPr>
      </w:pPr>
      <w:r w:rsidRPr="00AB3967">
        <w:rPr>
          <w:rFonts w:cs="Arial"/>
          <w:bCs/>
          <w:sz w:val="20"/>
          <w:szCs w:val="20"/>
        </w:rPr>
        <w:tab/>
      </w:r>
      <w:r w:rsidRPr="00AB3967">
        <w:rPr>
          <w:rFonts w:cs="Arial"/>
          <w:bCs/>
          <w:i/>
          <w:iCs/>
          <w:sz w:val="20"/>
          <w:szCs w:val="20"/>
        </w:rPr>
        <w:t xml:space="preserve">Physician Staffing </w:t>
      </w:r>
      <w:r w:rsidR="002D0B9E" w:rsidRPr="00AB3967">
        <w:rPr>
          <w:rFonts w:cs="Arial"/>
          <w:bCs/>
          <w:i/>
          <w:iCs/>
          <w:sz w:val="20"/>
          <w:szCs w:val="20"/>
        </w:rPr>
        <w:t xml:space="preserve">and Contracting </w:t>
      </w:r>
    </w:p>
    <w:p w14:paraId="5E250B30" w14:textId="276DBC85" w:rsidR="00497DAA" w:rsidRPr="001B3B2C" w:rsidRDefault="00A036CD" w:rsidP="001B3B2C">
      <w:pPr>
        <w:pStyle w:val="ListParagraph"/>
        <w:spacing w:after="120" w:line="240" w:lineRule="auto"/>
        <w:contextualSpacing w:val="0"/>
        <w:jc w:val="both"/>
        <w:rPr>
          <w:rFonts w:cs="Arial"/>
          <w:bCs/>
          <w:sz w:val="20"/>
          <w:szCs w:val="20"/>
        </w:rPr>
      </w:pPr>
      <w:r w:rsidRPr="00AB3967">
        <w:rPr>
          <w:rFonts w:cs="Arial"/>
          <w:bCs/>
          <w:sz w:val="20"/>
          <w:szCs w:val="20"/>
        </w:rPr>
        <w:t>Each</w:t>
      </w:r>
      <w:r w:rsidR="002D0B9E" w:rsidRPr="00AB3967">
        <w:rPr>
          <w:rFonts w:cs="Arial"/>
          <w:bCs/>
          <w:sz w:val="20"/>
          <w:szCs w:val="20"/>
        </w:rPr>
        <w:t xml:space="preserve"> hospital must maintain </w:t>
      </w:r>
      <w:r w:rsidR="00DB1F5E" w:rsidRPr="00AB3967">
        <w:rPr>
          <w:rFonts w:cs="Arial"/>
          <w:bCs/>
          <w:sz w:val="20"/>
          <w:szCs w:val="20"/>
        </w:rPr>
        <w:t>its</w:t>
      </w:r>
      <w:r w:rsidR="002D0B9E" w:rsidRPr="00AB3967">
        <w:rPr>
          <w:rFonts w:cs="Arial"/>
          <w:bCs/>
          <w:sz w:val="20"/>
          <w:szCs w:val="20"/>
        </w:rPr>
        <w:t xml:space="preserve"> own medical staff as well as credentialing teams and workflows </w:t>
      </w:r>
      <w:r w:rsidR="00DB1F5E" w:rsidRPr="00AB3967">
        <w:rPr>
          <w:rFonts w:cs="Arial"/>
          <w:bCs/>
          <w:sz w:val="20"/>
          <w:szCs w:val="20"/>
        </w:rPr>
        <w:t>in compliance with the Medicare CoPs</w:t>
      </w:r>
      <w:r w:rsidR="002D0B9E" w:rsidRPr="00AB3967">
        <w:rPr>
          <w:rFonts w:cs="Arial"/>
          <w:bCs/>
          <w:sz w:val="20"/>
          <w:szCs w:val="20"/>
        </w:rPr>
        <w:t xml:space="preserve">. This entails a significant and costly administrative effort to oversee and administer the medical staff, as well as contracted services when on-staff services are not available.  </w:t>
      </w:r>
    </w:p>
    <w:p w14:paraId="66BCDA5D" w14:textId="77777777" w:rsidR="00497DAA" w:rsidRPr="00AB3967" w:rsidRDefault="0083462E" w:rsidP="001B3B2C">
      <w:pPr>
        <w:pStyle w:val="ListParagraph"/>
        <w:spacing w:after="120" w:line="240" w:lineRule="auto"/>
        <w:contextualSpacing w:val="0"/>
        <w:jc w:val="both"/>
        <w:rPr>
          <w:rFonts w:cs="Arial"/>
          <w:bCs/>
          <w:sz w:val="20"/>
          <w:szCs w:val="20"/>
        </w:rPr>
      </w:pPr>
      <w:r w:rsidRPr="00AB3967">
        <w:rPr>
          <w:rFonts w:cs="Arial"/>
          <w:bCs/>
          <w:sz w:val="20"/>
          <w:szCs w:val="20"/>
        </w:rPr>
        <w:t xml:space="preserve">In practical terms, this means that a physician credentialed at </w:t>
      </w:r>
      <w:r w:rsidR="009A691D" w:rsidRPr="00AB3967">
        <w:rPr>
          <w:rFonts w:cs="Arial"/>
          <w:bCs/>
          <w:sz w:val="20"/>
          <w:szCs w:val="20"/>
        </w:rPr>
        <w:t>Facility A</w:t>
      </w:r>
      <w:r w:rsidRPr="00AB3967">
        <w:rPr>
          <w:rFonts w:cs="Arial"/>
          <w:bCs/>
          <w:sz w:val="20"/>
          <w:szCs w:val="20"/>
        </w:rPr>
        <w:t xml:space="preserve"> cannot provide clinical services </w:t>
      </w:r>
      <w:r w:rsidR="009A691D" w:rsidRPr="00AB3967">
        <w:rPr>
          <w:rFonts w:cs="Arial"/>
          <w:bCs/>
          <w:sz w:val="20"/>
          <w:szCs w:val="20"/>
        </w:rPr>
        <w:t>to Facility B’s</w:t>
      </w:r>
      <w:r w:rsidRPr="00AB3967">
        <w:rPr>
          <w:rFonts w:cs="Arial"/>
          <w:bCs/>
          <w:sz w:val="20"/>
          <w:szCs w:val="20"/>
        </w:rPr>
        <w:t xml:space="preserve"> patients</w:t>
      </w:r>
      <w:r w:rsidR="009A691D" w:rsidRPr="00AB3967">
        <w:rPr>
          <w:rFonts w:cs="Arial"/>
          <w:bCs/>
          <w:sz w:val="20"/>
          <w:szCs w:val="20"/>
        </w:rPr>
        <w:t xml:space="preserve"> unless the physician is also a credentialed provider of Facility B. </w:t>
      </w:r>
      <w:r w:rsidR="002D0B9E" w:rsidRPr="00AB3967">
        <w:rPr>
          <w:rFonts w:cs="Arial"/>
          <w:bCs/>
          <w:sz w:val="20"/>
          <w:szCs w:val="20"/>
        </w:rPr>
        <w:t xml:space="preserve">These clinical services include both in-person care and </w:t>
      </w:r>
      <w:proofErr w:type="spellStart"/>
      <w:r w:rsidR="002D0B9E" w:rsidRPr="00AB3967">
        <w:rPr>
          <w:rFonts w:cs="Arial"/>
          <w:bCs/>
          <w:sz w:val="20"/>
          <w:szCs w:val="20"/>
        </w:rPr>
        <w:t>teleconsults</w:t>
      </w:r>
      <w:proofErr w:type="spellEnd"/>
      <w:r w:rsidR="002D0B9E" w:rsidRPr="00AB3967">
        <w:rPr>
          <w:rFonts w:cs="Arial"/>
          <w:bCs/>
          <w:sz w:val="20"/>
          <w:szCs w:val="20"/>
        </w:rPr>
        <w:t xml:space="preserve">. </w:t>
      </w:r>
      <w:r w:rsidR="00DB1F5E" w:rsidRPr="00AB3967">
        <w:rPr>
          <w:rFonts w:cs="Arial"/>
          <w:bCs/>
          <w:sz w:val="20"/>
          <w:szCs w:val="20"/>
        </w:rPr>
        <w:t xml:space="preserve">This means that UMMMC medical staff cannot provide care to MH patients unless the individual staff member is duly credentialed and holds privileges as a member of the MH medical staff. </w:t>
      </w:r>
    </w:p>
    <w:p w14:paraId="2FA3649C" w14:textId="77777777" w:rsidR="00497DAA" w:rsidRPr="00AB3967" w:rsidRDefault="00497DAA" w:rsidP="001B3B2C">
      <w:pPr>
        <w:pStyle w:val="ListParagraph"/>
        <w:spacing w:after="120" w:line="240" w:lineRule="auto"/>
        <w:contextualSpacing w:val="0"/>
        <w:jc w:val="both"/>
        <w:rPr>
          <w:rFonts w:cs="Arial"/>
          <w:bCs/>
          <w:sz w:val="20"/>
          <w:szCs w:val="20"/>
        </w:rPr>
      </w:pPr>
    </w:p>
    <w:p w14:paraId="77F2E7B8" w14:textId="4E5569B0" w:rsidR="00497DAA" w:rsidRPr="001B3B2C" w:rsidRDefault="00A036CD" w:rsidP="001B3B2C">
      <w:pPr>
        <w:pStyle w:val="ListParagraph"/>
        <w:spacing w:after="120" w:line="240" w:lineRule="auto"/>
        <w:contextualSpacing w:val="0"/>
        <w:jc w:val="both"/>
        <w:rPr>
          <w:rFonts w:cs="Arial"/>
          <w:bCs/>
          <w:sz w:val="20"/>
          <w:szCs w:val="20"/>
        </w:rPr>
      </w:pPr>
      <w:r w:rsidRPr="00AB3967">
        <w:rPr>
          <w:rFonts w:cs="Arial"/>
          <w:bCs/>
          <w:sz w:val="20"/>
          <w:szCs w:val="20"/>
        </w:rPr>
        <w:t>C</w:t>
      </w:r>
      <w:r w:rsidR="009A691D" w:rsidRPr="00AB3967">
        <w:rPr>
          <w:rFonts w:cs="Arial"/>
          <w:bCs/>
          <w:sz w:val="20"/>
          <w:szCs w:val="20"/>
        </w:rPr>
        <w:t xml:space="preserve">redentialling all providers at both </w:t>
      </w:r>
      <w:r w:rsidR="00477DD6" w:rsidRPr="00AB3967">
        <w:rPr>
          <w:rFonts w:cs="Arial"/>
          <w:bCs/>
          <w:sz w:val="20"/>
          <w:szCs w:val="20"/>
        </w:rPr>
        <w:t>UMMMC and MH</w:t>
      </w:r>
      <w:r w:rsidR="009A691D" w:rsidRPr="00AB3967">
        <w:rPr>
          <w:rFonts w:cs="Arial"/>
          <w:bCs/>
          <w:sz w:val="20"/>
          <w:szCs w:val="20"/>
        </w:rPr>
        <w:t xml:space="preserve"> is not a practical option because of the </w:t>
      </w:r>
      <w:r w:rsidR="009B1E25" w:rsidRPr="00AB3967">
        <w:rPr>
          <w:rFonts w:cs="Arial"/>
          <w:bCs/>
          <w:sz w:val="20"/>
          <w:szCs w:val="20"/>
        </w:rPr>
        <w:t xml:space="preserve">significant </w:t>
      </w:r>
      <w:r w:rsidR="009A691D" w:rsidRPr="00AB3967">
        <w:rPr>
          <w:rFonts w:cs="Arial"/>
          <w:bCs/>
          <w:sz w:val="20"/>
          <w:szCs w:val="20"/>
        </w:rPr>
        <w:t>cost to providers (two medical staff dues) and it would impose significantly more administrative burden on the Medical Staff Office at Marlborough Hospital.</w:t>
      </w:r>
    </w:p>
    <w:p w14:paraId="412B1915" w14:textId="384B85C3" w:rsidR="008510CE" w:rsidRPr="00AB3967" w:rsidRDefault="00477DD6" w:rsidP="001B3B2C">
      <w:pPr>
        <w:pStyle w:val="ListParagraph"/>
        <w:spacing w:after="120" w:line="240" w:lineRule="auto"/>
        <w:contextualSpacing w:val="0"/>
        <w:jc w:val="both"/>
        <w:rPr>
          <w:rFonts w:cs="Arial"/>
          <w:bCs/>
          <w:sz w:val="20"/>
          <w:szCs w:val="20"/>
        </w:rPr>
      </w:pPr>
      <w:r w:rsidRPr="00AB3967">
        <w:rPr>
          <w:rFonts w:cs="Arial"/>
          <w:bCs/>
          <w:sz w:val="20"/>
          <w:szCs w:val="20"/>
        </w:rPr>
        <w:lastRenderedPageBreak/>
        <w:t xml:space="preserve">As a result of these medical staff limitations, Marlborough Hospital </w:t>
      </w:r>
      <w:r w:rsidR="001018CA" w:rsidRPr="00AB3967">
        <w:rPr>
          <w:rFonts w:cs="Arial"/>
          <w:bCs/>
          <w:sz w:val="20"/>
          <w:szCs w:val="20"/>
        </w:rPr>
        <w:t>must purchase coverage models from physician groups</w:t>
      </w:r>
      <w:r w:rsidRPr="00AB3967">
        <w:rPr>
          <w:rFonts w:cs="Arial"/>
          <w:bCs/>
          <w:sz w:val="20"/>
          <w:szCs w:val="20"/>
        </w:rPr>
        <w:t xml:space="preserve"> to provide basic hospital services to its patients</w:t>
      </w:r>
      <w:r w:rsidR="001018CA" w:rsidRPr="00AB3967">
        <w:rPr>
          <w:rFonts w:cs="Arial"/>
          <w:bCs/>
          <w:sz w:val="20"/>
          <w:szCs w:val="20"/>
        </w:rPr>
        <w:t xml:space="preserve">. </w:t>
      </w:r>
      <w:r w:rsidR="008510CE" w:rsidRPr="00AB3967">
        <w:rPr>
          <w:rFonts w:cs="Arial"/>
          <w:bCs/>
          <w:sz w:val="20"/>
          <w:szCs w:val="20"/>
        </w:rPr>
        <w:t xml:space="preserve">In many cases, this coverage is purchased from private physicians or groups.  In some cases, it is purchased from medical groups which are owned by the healthcare system.  Unlike many community hospitals, Marlborough Hospital does not own and </w:t>
      </w:r>
      <w:proofErr w:type="gramStart"/>
      <w:r w:rsidR="008510CE" w:rsidRPr="00AB3967">
        <w:rPr>
          <w:rFonts w:cs="Arial"/>
          <w:bCs/>
          <w:sz w:val="20"/>
          <w:szCs w:val="20"/>
        </w:rPr>
        <w:t>operate</w:t>
      </w:r>
      <w:proofErr w:type="gramEnd"/>
      <w:r w:rsidR="008510CE" w:rsidRPr="00AB3967">
        <w:rPr>
          <w:rFonts w:cs="Arial"/>
          <w:bCs/>
          <w:sz w:val="20"/>
          <w:szCs w:val="20"/>
        </w:rPr>
        <w:t xml:space="preserve"> an employed physician group. National data shows a growing proportion of physicians prefer employment to private practice, shrinking the pool of available specialists to hospitals without employed medical groups.</w:t>
      </w:r>
      <w:bookmarkStart w:id="0" w:name="x__ftnref1"/>
      <w:r w:rsidR="008510CE" w:rsidRPr="00AB3967">
        <w:rPr>
          <w:rStyle w:val="FootnoteReference"/>
          <w:rFonts w:cs="Arial"/>
          <w:bCs/>
          <w:sz w:val="20"/>
          <w:szCs w:val="20"/>
        </w:rPr>
        <w:footnoteReference w:id="1"/>
      </w:r>
      <w:bookmarkEnd w:id="0"/>
      <w:r w:rsidR="008510CE" w:rsidRPr="00AB3967">
        <w:rPr>
          <w:rFonts w:cs="Arial"/>
          <w:bCs/>
          <w:sz w:val="20"/>
          <w:szCs w:val="20"/>
        </w:rPr>
        <w:t xml:space="preserve"> </w:t>
      </w:r>
    </w:p>
    <w:p w14:paraId="246637E9" w14:textId="77777777" w:rsidR="001B3B2C" w:rsidRDefault="008510CE" w:rsidP="001B3B2C">
      <w:pPr>
        <w:pStyle w:val="ListParagraph"/>
        <w:spacing w:after="120" w:line="240" w:lineRule="auto"/>
        <w:contextualSpacing w:val="0"/>
        <w:jc w:val="both"/>
        <w:rPr>
          <w:rFonts w:cs="Arial"/>
          <w:bCs/>
          <w:sz w:val="20"/>
          <w:szCs w:val="20"/>
        </w:rPr>
      </w:pPr>
      <w:r w:rsidRPr="00AB3967">
        <w:rPr>
          <w:rFonts w:cs="Arial"/>
          <w:bCs/>
          <w:sz w:val="20"/>
          <w:szCs w:val="20"/>
        </w:rPr>
        <w:t> </w:t>
      </w:r>
      <w:r w:rsidR="00497DAA" w:rsidRPr="001B3B2C">
        <w:rPr>
          <w:rFonts w:cs="Arial"/>
          <w:bCs/>
          <w:sz w:val="20"/>
          <w:szCs w:val="20"/>
        </w:rPr>
        <w:t>The Medicare CoPs require a separate review of contracted quality standards which entails a significant and costly administrative effort.  Due to t</w:t>
      </w:r>
      <w:r w:rsidR="00A036CD" w:rsidRPr="001B3B2C">
        <w:rPr>
          <w:rFonts w:cs="Arial"/>
          <w:bCs/>
          <w:sz w:val="20"/>
          <w:szCs w:val="20"/>
        </w:rPr>
        <w:t>h</w:t>
      </w:r>
      <w:r w:rsidR="00497DAA" w:rsidRPr="001B3B2C">
        <w:rPr>
          <w:rFonts w:cs="Arial"/>
          <w:bCs/>
          <w:sz w:val="20"/>
          <w:szCs w:val="20"/>
        </w:rPr>
        <w:t xml:space="preserve">e high costs associated with contracted specialty </w:t>
      </w:r>
      <w:r w:rsidR="00A036CD" w:rsidRPr="001B3B2C">
        <w:rPr>
          <w:rFonts w:cs="Arial"/>
          <w:bCs/>
          <w:sz w:val="20"/>
          <w:szCs w:val="20"/>
        </w:rPr>
        <w:t>coverage</w:t>
      </w:r>
      <w:r w:rsidR="00497DAA" w:rsidRPr="001B3B2C">
        <w:rPr>
          <w:rFonts w:cs="Arial"/>
          <w:bCs/>
          <w:sz w:val="20"/>
          <w:szCs w:val="20"/>
        </w:rPr>
        <w:t>,</w:t>
      </w:r>
      <w:r w:rsidR="00A036CD" w:rsidRPr="001B3B2C">
        <w:rPr>
          <w:rFonts w:cs="Arial"/>
          <w:bCs/>
          <w:sz w:val="20"/>
          <w:szCs w:val="20"/>
        </w:rPr>
        <w:t xml:space="preserve"> </w:t>
      </w:r>
      <w:proofErr w:type="gramStart"/>
      <w:r w:rsidR="00A036CD" w:rsidRPr="001B3B2C">
        <w:rPr>
          <w:rFonts w:cs="Arial"/>
          <w:bCs/>
          <w:sz w:val="20"/>
          <w:szCs w:val="20"/>
        </w:rPr>
        <w:t>is</w:t>
      </w:r>
      <w:proofErr w:type="gramEnd"/>
      <w:r w:rsidR="00A036CD" w:rsidRPr="001B3B2C">
        <w:rPr>
          <w:rFonts w:cs="Arial"/>
          <w:bCs/>
          <w:sz w:val="20"/>
          <w:szCs w:val="20"/>
        </w:rPr>
        <w:t xml:space="preserve"> not financially sustainable for MH to obtain coverage for </w:t>
      </w:r>
      <w:proofErr w:type="gramStart"/>
      <w:r w:rsidR="00A036CD" w:rsidRPr="001B3B2C">
        <w:rPr>
          <w:rFonts w:cs="Arial"/>
          <w:bCs/>
          <w:sz w:val="20"/>
          <w:szCs w:val="20"/>
        </w:rPr>
        <w:t>a number of</w:t>
      </w:r>
      <w:proofErr w:type="gramEnd"/>
      <w:r w:rsidR="00A036CD" w:rsidRPr="001B3B2C">
        <w:rPr>
          <w:rFonts w:cs="Arial"/>
          <w:bCs/>
          <w:sz w:val="20"/>
          <w:szCs w:val="20"/>
        </w:rPr>
        <w:t xml:space="preserve"> services that would allow patients to remain in the community but are not utilized at a high enough rate to justify the cost of 24/7 coverage. Examples of services that have seen reductions in coverage or lost entirely over the past year alone include Anesthesia (weekend coverage now every other weekend), General Surgery (from 24/7/365 to 3 weeks out of 4), and a complete loss of Urology call coverage.</w:t>
      </w:r>
      <w:r w:rsidR="00497DAA" w:rsidRPr="001B3B2C">
        <w:rPr>
          <w:rFonts w:cs="Arial"/>
          <w:bCs/>
          <w:sz w:val="20"/>
          <w:szCs w:val="20"/>
        </w:rPr>
        <w:t xml:space="preserve"> As a result, MH is limited in providing these services to patients impacting access to care at MH.</w:t>
      </w:r>
    </w:p>
    <w:p w14:paraId="016A8D49" w14:textId="19C747C5" w:rsidR="009A691D" w:rsidRPr="001B3B2C" w:rsidRDefault="00A036CD" w:rsidP="001B3B2C">
      <w:pPr>
        <w:pStyle w:val="ListParagraph"/>
        <w:spacing w:after="120" w:line="240" w:lineRule="auto"/>
        <w:contextualSpacing w:val="0"/>
        <w:jc w:val="both"/>
        <w:rPr>
          <w:rFonts w:cs="Arial"/>
          <w:bCs/>
          <w:sz w:val="20"/>
          <w:szCs w:val="20"/>
        </w:rPr>
      </w:pPr>
      <w:r w:rsidRPr="001B3B2C">
        <w:rPr>
          <w:rFonts w:cs="Arial"/>
          <w:bCs/>
          <w:sz w:val="20"/>
          <w:szCs w:val="20"/>
        </w:rPr>
        <w:t>Due to the limited availability of specialty services at MH because it</w:t>
      </w:r>
      <w:r w:rsidR="009B1E25" w:rsidRPr="001B3B2C">
        <w:rPr>
          <w:rFonts w:cs="Arial"/>
          <w:bCs/>
          <w:sz w:val="20"/>
          <w:szCs w:val="20"/>
        </w:rPr>
        <w:t xml:space="preserve"> i</w:t>
      </w:r>
      <w:r w:rsidRPr="001B3B2C">
        <w:rPr>
          <w:rFonts w:cs="Arial"/>
          <w:bCs/>
          <w:sz w:val="20"/>
          <w:szCs w:val="20"/>
        </w:rPr>
        <w:t xml:space="preserve">s cost prohibitive to maintain clinical coverage, </w:t>
      </w:r>
      <w:r w:rsidR="001018CA" w:rsidRPr="001B3B2C">
        <w:rPr>
          <w:rFonts w:cs="Arial"/>
          <w:bCs/>
          <w:sz w:val="20"/>
          <w:szCs w:val="20"/>
        </w:rPr>
        <w:t xml:space="preserve">MH patients </w:t>
      </w:r>
      <w:r w:rsidR="00477DD6" w:rsidRPr="001B3B2C">
        <w:rPr>
          <w:rFonts w:cs="Arial"/>
          <w:bCs/>
          <w:sz w:val="20"/>
          <w:szCs w:val="20"/>
        </w:rPr>
        <w:t xml:space="preserve">must be transferred to </w:t>
      </w:r>
      <w:r w:rsidRPr="001B3B2C">
        <w:rPr>
          <w:rFonts w:cs="Arial"/>
          <w:bCs/>
          <w:sz w:val="20"/>
          <w:szCs w:val="20"/>
        </w:rPr>
        <w:t xml:space="preserve">UMMMC to obtain necessary specialty </w:t>
      </w:r>
      <w:proofErr w:type="gramStart"/>
      <w:r w:rsidRPr="001B3B2C">
        <w:rPr>
          <w:rFonts w:cs="Arial"/>
          <w:bCs/>
          <w:sz w:val="20"/>
          <w:szCs w:val="20"/>
        </w:rPr>
        <w:t>consults</w:t>
      </w:r>
      <w:proofErr w:type="gramEnd"/>
      <w:r w:rsidR="000A731E" w:rsidRPr="001B3B2C">
        <w:rPr>
          <w:rFonts w:cs="Arial"/>
          <w:bCs/>
          <w:sz w:val="20"/>
          <w:szCs w:val="20"/>
        </w:rPr>
        <w:t xml:space="preserve"> and services.</w:t>
      </w:r>
      <w:r w:rsidR="00477DD6" w:rsidRPr="001B3B2C">
        <w:rPr>
          <w:rFonts w:cs="Arial"/>
          <w:bCs/>
          <w:sz w:val="20"/>
          <w:szCs w:val="20"/>
        </w:rPr>
        <w:t xml:space="preserve"> However, b</w:t>
      </w:r>
      <w:r w:rsidR="001018CA" w:rsidRPr="001B3B2C">
        <w:rPr>
          <w:rFonts w:cs="Arial"/>
          <w:bCs/>
          <w:sz w:val="20"/>
          <w:szCs w:val="20"/>
        </w:rPr>
        <w:t xml:space="preserve">ecause of the capacity </w:t>
      </w:r>
      <w:r w:rsidR="000A731E" w:rsidRPr="001B3B2C">
        <w:rPr>
          <w:rFonts w:cs="Arial"/>
          <w:bCs/>
          <w:sz w:val="20"/>
          <w:szCs w:val="20"/>
        </w:rPr>
        <w:t>constraints</w:t>
      </w:r>
      <w:r w:rsidR="001018CA" w:rsidRPr="001B3B2C">
        <w:rPr>
          <w:rFonts w:cs="Arial"/>
          <w:bCs/>
          <w:sz w:val="20"/>
          <w:szCs w:val="20"/>
        </w:rPr>
        <w:t xml:space="preserve"> within Central Massachusetts, UMMMC often cannot accept these patients, prompting </w:t>
      </w:r>
      <w:r w:rsidR="00477DD6" w:rsidRPr="001B3B2C">
        <w:rPr>
          <w:rFonts w:cs="Arial"/>
          <w:bCs/>
          <w:sz w:val="20"/>
          <w:szCs w:val="20"/>
        </w:rPr>
        <w:t xml:space="preserve">a </w:t>
      </w:r>
      <w:r w:rsidR="001018CA" w:rsidRPr="001B3B2C">
        <w:rPr>
          <w:rFonts w:cs="Arial"/>
          <w:bCs/>
          <w:sz w:val="20"/>
          <w:szCs w:val="20"/>
        </w:rPr>
        <w:t xml:space="preserve">transfer to </w:t>
      </w:r>
      <w:r w:rsidR="00477DD6" w:rsidRPr="001B3B2C">
        <w:rPr>
          <w:rFonts w:cs="Arial"/>
          <w:bCs/>
          <w:sz w:val="20"/>
          <w:szCs w:val="20"/>
        </w:rPr>
        <w:t>the closest tertiary care facility that has capacity</w:t>
      </w:r>
      <w:r w:rsidR="001018CA" w:rsidRPr="001B3B2C">
        <w:rPr>
          <w:rFonts w:cs="Arial"/>
          <w:bCs/>
          <w:sz w:val="20"/>
          <w:szCs w:val="20"/>
        </w:rPr>
        <w:t xml:space="preserve">.  This is a hardship for the patient as they </w:t>
      </w:r>
      <w:r w:rsidR="009B1E25" w:rsidRPr="001B3B2C">
        <w:rPr>
          <w:rFonts w:cs="Arial"/>
          <w:bCs/>
          <w:sz w:val="20"/>
          <w:szCs w:val="20"/>
        </w:rPr>
        <w:t xml:space="preserve">are left with no option but to seek </w:t>
      </w:r>
      <w:proofErr w:type="gramStart"/>
      <w:r w:rsidR="009B1E25" w:rsidRPr="001B3B2C">
        <w:rPr>
          <w:rFonts w:cs="Arial"/>
          <w:bCs/>
          <w:sz w:val="20"/>
          <w:szCs w:val="20"/>
        </w:rPr>
        <w:t xml:space="preserve">care </w:t>
      </w:r>
      <w:r w:rsidR="001018CA" w:rsidRPr="001B3B2C">
        <w:rPr>
          <w:rFonts w:cs="Arial"/>
          <w:bCs/>
          <w:sz w:val="20"/>
          <w:szCs w:val="20"/>
        </w:rPr>
        <w:t xml:space="preserve"> outside</w:t>
      </w:r>
      <w:proofErr w:type="gramEnd"/>
      <w:r w:rsidR="001018CA" w:rsidRPr="001B3B2C">
        <w:rPr>
          <w:rFonts w:cs="Arial"/>
          <w:bCs/>
          <w:sz w:val="20"/>
          <w:szCs w:val="20"/>
        </w:rPr>
        <w:t xml:space="preserve"> </w:t>
      </w:r>
      <w:r w:rsidR="00477DD6" w:rsidRPr="001B3B2C">
        <w:rPr>
          <w:rFonts w:cs="Arial"/>
          <w:bCs/>
          <w:sz w:val="20"/>
          <w:szCs w:val="20"/>
        </w:rPr>
        <w:t>UMass Memorial</w:t>
      </w:r>
      <w:r w:rsidR="001018CA" w:rsidRPr="001B3B2C">
        <w:rPr>
          <w:rFonts w:cs="Arial"/>
          <w:bCs/>
          <w:sz w:val="20"/>
          <w:szCs w:val="20"/>
        </w:rPr>
        <w:t xml:space="preserve"> </w:t>
      </w:r>
      <w:r w:rsidR="009B1E25" w:rsidRPr="001B3B2C">
        <w:rPr>
          <w:rFonts w:cs="Arial"/>
          <w:bCs/>
          <w:sz w:val="20"/>
          <w:szCs w:val="20"/>
        </w:rPr>
        <w:t xml:space="preserve">from </w:t>
      </w:r>
      <w:r w:rsidR="001018CA" w:rsidRPr="001B3B2C">
        <w:rPr>
          <w:rFonts w:cs="Arial"/>
          <w:bCs/>
          <w:sz w:val="20"/>
          <w:szCs w:val="20"/>
        </w:rPr>
        <w:t xml:space="preserve">providers </w:t>
      </w:r>
      <w:r w:rsidR="00477DD6" w:rsidRPr="001B3B2C">
        <w:rPr>
          <w:rFonts w:cs="Arial"/>
          <w:bCs/>
          <w:sz w:val="20"/>
          <w:szCs w:val="20"/>
        </w:rPr>
        <w:t>un</w:t>
      </w:r>
      <w:r w:rsidR="001018CA" w:rsidRPr="001B3B2C">
        <w:rPr>
          <w:rFonts w:cs="Arial"/>
          <w:bCs/>
          <w:sz w:val="20"/>
          <w:szCs w:val="20"/>
        </w:rPr>
        <w:t xml:space="preserve">familiar with their care, with less access to their existing health information and often at considerable distance from their home and family. </w:t>
      </w:r>
      <w:r w:rsidR="002D0B9E" w:rsidRPr="001B3B2C">
        <w:rPr>
          <w:rFonts w:cs="Arial"/>
          <w:bCs/>
          <w:sz w:val="20"/>
          <w:szCs w:val="20"/>
        </w:rPr>
        <w:t>The resulting</w:t>
      </w:r>
      <w:r w:rsidR="001018CA" w:rsidRPr="001B3B2C">
        <w:rPr>
          <w:rFonts w:cs="Arial"/>
          <w:bCs/>
          <w:sz w:val="20"/>
          <w:szCs w:val="20"/>
        </w:rPr>
        <w:t xml:space="preserve"> transfer also delays</w:t>
      </w:r>
      <w:r w:rsidR="002D0B9E" w:rsidRPr="001B3B2C">
        <w:rPr>
          <w:rFonts w:cs="Arial"/>
          <w:bCs/>
          <w:sz w:val="20"/>
          <w:szCs w:val="20"/>
        </w:rPr>
        <w:t xml:space="preserve"> the delivery of</w:t>
      </w:r>
      <w:r w:rsidR="001018CA" w:rsidRPr="001B3B2C">
        <w:rPr>
          <w:rFonts w:cs="Arial"/>
          <w:bCs/>
          <w:sz w:val="20"/>
          <w:szCs w:val="20"/>
        </w:rPr>
        <w:t xml:space="preserve"> care.  </w:t>
      </w:r>
    </w:p>
    <w:p w14:paraId="063DB25E" w14:textId="5AC6217C" w:rsidR="00700155" w:rsidRPr="001B3B2C" w:rsidRDefault="00E907FF" w:rsidP="001B3B2C">
      <w:pPr>
        <w:pStyle w:val="ListParagraph"/>
        <w:spacing w:after="120" w:line="240" w:lineRule="auto"/>
        <w:contextualSpacing w:val="0"/>
        <w:jc w:val="both"/>
        <w:rPr>
          <w:rFonts w:cs="Arial"/>
          <w:bCs/>
          <w:sz w:val="20"/>
          <w:szCs w:val="20"/>
        </w:rPr>
      </w:pPr>
      <w:r w:rsidRPr="00AB3967">
        <w:rPr>
          <w:rFonts w:cs="Arial"/>
          <w:bCs/>
          <w:sz w:val="20"/>
          <w:szCs w:val="20"/>
        </w:rPr>
        <w:t>Through the proposed merger, t</w:t>
      </w:r>
      <w:r w:rsidR="001018CA" w:rsidRPr="00AB3967">
        <w:rPr>
          <w:rFonts w:cs="Arial"/>
          <w:bCs/>
          <w:sz w:val="20"/>
          <w:szCs w:val="20"/>
        </w:rPr>
        <w:t xml:space="preserve">he consolidation of the medical staff </w:t>
      </w:r>
      <w:r w:rsidRPr="00AB3967">
        <w:rPr>
          <w:rFonts w:cs="Arial"/>
          <w:bCs/>
          <w:sz w:val="20"/>
          <w:szCs w:val="20"/>
        </w:rPr>
        <w:t>at</w:t>
      </w:r>
      <w:r w:rsidR="001018CA" w:rsidRPr="00AB3967">
        <w:rPr>
          <w:rFonts w:cs="Arial"/>
          <w:bCs/>
          <w:sz w:val="20"/>
          <w:szCs w:val="20"/>
        </w:rPr>
        <w:t xml:space="preserve"> </w:t>
      </w:r>
      <w:r w:rsidR="002D0B9E" w:rsidRPr="00AB3967">
        <w:rPr>
          <w:rFonts w:cs="Arial"/>
          <w:bCs/>
          <w:sz w:val="20"/>
          <w:szCs w:val="20"/>
        </w:rPr>
        <w:t>UMMMC</w:t>
      </w:r>
      <w:r w:rsidR="001018CA" w:rsidRPr="00AB3967">
        <w:rPr>
          <w:rFonts w:cs="Arial"/>
          <w:bCs/>
          <w:sz w:val="20"/>
          <w:szCs w:val="20"/>
        </w:rPr>
        <w:t xml:space="preserve"> and MH will provide expanded opportunities for </w:t>
      </w:r>
      <w:proofErr w:type="gramStart"/>
      <w:r w:rsidR="001018CA" w:rsidRPr="00AB3967">
        <w:rPr>
          <w:rFonts w:cs="Arial"/>
          <w:bCs/>
          <w:sz w:val="20"/>
          <w:szCs w:val="20"/>
        </w:rPr>
        <w:t>tele-consultation</w:t>
      </w:r>
      <w:proofErr w:type="gramEnd"/>
      <w:r w:rsidR="001018CA" w:rsidRPr="00AB3967">
        <w:rPr>
          <w:rFonts w:cs="Arial"/>
          <w:bCs/>
          <w:sz w:val="20"/>
          <w:szCs w:val="20"/>
        </w:rPr>
        <w:t xml:space="preserve"> at no additional cost </w:t>
      </w:r>
      <w:r w:rsidR="002D0B9E" w:rsidRPr="00AB3967">
        <w:rPr>
          <w:rFonts w:cs="Arial"/>
          <w:bCs/>
          <w:sz w:val="20"/>
          <w:szCs w:val="20"/>
        </w:rPr>
        <w:t xml:space="preserve">to providers </w:t>
      </w:r>
      <w:r w:rsidR="001018CA" w:rsidRPr="00AB3967">
        <w:rPr>
          <w:rFonts w:cs="Arial"/>
          <w:bCs/>
          <w:sz w:val="20"/>
          <w:szCs w:val="20"/>
        </w:rPr>
        <w:t xml:space="preserve">and </w:t>
      </w:r>
      <w:r w:rsidR="002D0B9E" w:rsidRPr="00AB3967">
        <w:rPr>
          <w:rFonts w:cs="Arial"/>
          <w:bCs/>
          <w:sz w:val="20"/>
          <w:szCs w:val="20"/>
        </w:rPr>
        <w:t xml:space="preserve">without the </w:t>
      </w:r>
      <w:r w:rsidR="001018CA" w:rsidRPr="00AB3967">
        <w:rPr>
          <w:rFonts w:cs="Arial"/>
          <w:bCs/>
          <w:sz w:val="20"/>
          <w:szCs w:val="20"/>
        </w:rPr>
        <w:t xml:space="preserve">need for separate </w:t>
      </w:r>
      <w:proofErr w:type="gramStart"/>
      <w:r w:rsidR="001018CA" w:rsidRPr="00AB3967">
        <w:rPr>
          <w:rFonts w:cs="Arial"/>
          <w:bCs/>
          <w:sz w:val="20"/>
          <w:szCs w:val="20"/>
        </w:rPr>
        <w:t>contracting</w:t>
      </w:r>
      <w:proofErr w:type="gramEnd"/>
      <w:r w:rsidR="001018CA" w:rsidRPr="00AB3967">
        <w:rPr>
          <w:rFonts w:cs="Arial"/>
          <w:bCs/>
          <w:sz w:val="20"/>
          <w:szCs w:val="20"/>
        </w:rPr>
        <w:t xml:space="preserve">.  </w:t>
      </w:r>
      <w:r w:rsidRPr="00AB3967">
        <w:rPr>
          <w:rFonts w:cs="Arial"/>
          <w:bCs/>
          <w:sz w:val="20"/>
          <w:szCs w:val="20"/>
        </w:rPr>
        <w:t>P</w:t>
      </w:r>
      <w:r w:rsidR="001018CA" w:rsidRPr="00AB3967">
        <w:rPr>
          <w:rFonts w:cs="Arial"/>
          <w:bCs/>
          <w:sz w:val="20"/>
          <w:szCs w:val="20"/>
        </w:rPr>
        <w:t xml:space="preserve">roviders of the unified medical staff </w:t>
      </w:r>
      <w:r w:rsidRPr="00AB3967">
        <w:rPr>
          <w:rFonts w:cs="Arial"/>
          <w:bCs/>
          <w:sz w:val="20"/>
          <w:szCs w:val="20"/>
        </w:rPr>
        <w:t>will</w:t>
      </w:r>
      <w:r w:rsidR="001018CA" w:rsidRPr="00AB3967">
        <w:rPr>
          <w:rFonts w:cs="Arial"/>
          <w:bCs/>
          <w:sz w:val="20"/>
          <w:szCs w:val="20"/>
        </w:rPr>
        <w:t xml:space="preserve"> be able to provide formal opinions to their colleagues when requested; and would, in fact, be required to do so by the Medical </w:t>
      </w:r>
      <w:proofErr w:type="gramStart"/>
      <w:r w:rsidR="001018CA" w:rsidRPr="00AB3967">
        <w:rPr>
          <w:rFonts w:cs="Arial"/>
          <w:bCs/>
          <w:sz w:val="20"/>
          <w:szCs w:val="20"/>
        </w:rPr>
        <w:t>Staff bylaws</w:t>
      </w:r>
      <w:proofErr w:type="gramEnd"/>
      <w:r w:rsidR="001018CA" w:rsidRPr="00AB3967">
        <w:rPr>
          <w:rFonts w:cs="Arial"/>
          <w:bCs/>
          <w:sz w:val="20"/>
          <w:szCs w:val="20"/>
        </w:rPr>
        <w:t xml:space="preserve">. </w:t>
      </w:r>
    </w:p>
    <w:p w14:paraId="07262AA8" w14:textId="5B5501CB" w:rsidR="00C940D6" w:rsidRPr="00AB3967" w:rsidRDefault="00E907FF" w:rsidP="00AB3967">
      <w:pPr>
        <w:pStyle w:val="ListParagraph"/>
        <w:ind w:firstLine="720"/>
        <w:jc w:val="both"/>
        <w:rPr>
          <w:rFonts w:cs="Arial"/>
          <w:bCs/>
          <w:i/>
          <w:iCs/>
          <w:sz w:val="20"/>
          <w:szCs w:val="20"/>
        </w:rPr>
      </w:pPr>
      <w:r w:rsidRPr="00AB3967">
        <w:rPr>
          <w:rFonts w:cs="Arial"/>
          <w:bCs/>
          <w:i/>
          <w:iCs/>
          <w:sz w:val="20"/>
          <w:szCs w:val="20"/>
        </w:rPr>
        <w:t xml:space="preserve">Medical Records and Billing </w:t>
      </w:r>
    </w:p>
    <w:p w14:paraId="7A07F759" w14:textId="61D633D9" w:rsidR="00FC421F" w:rsidRPr="00AB3967" w:rsidRDefault="00C940D6" w:rsidP="00C940D6">
      <w:pPr>
        <w:ind w:left="720"/>
        <w:jc w:val="both"/>
        <w:rPr>
          <w:rFonts w:cs="Arial"/>
          <w:bCs/>
          <w:sz w:val="20"/>
          <w:szCs w:val="20"/>
        </w:rPr>
      </w:pPr>
      <w:r w:rsidRPr="00AB3967">
        <w:rPr>
          <w:rFonts w:cs="Arial"/>
          <w:bCs/>
          <w:sz w:val="20"/>
          <w:szCs w:val="20"/>
        </w:rPr>
        <w:t xml:space="preserve">As a separately licensed entity, </w:t>
      </w:r>
      <w:r w:rsidR="00E907FF" w:rsidRPr="00AB3967">
        <w:rPr>
          <w:rFonts w:cs="Arial"/>
          <w:bCs/>
          <w:sz w:val="20"/>
          <w:szCs w:val="20"/>
        </w:rPr>
        <w:t>MH</w:t>
      </w:r>
      <w:r w:rsidR="00FC421F" w:rsidRPr="00AB3967">
        <w:rPr>
          <w:rFonts w:cs="Arial"/>
          <w:bCs/>
          <w:sz w:val="20"/>
          <w:szCs w:val="20"/>
        </w:rPr>
        <w:t xml:space="preserve"> is required to be </w:t>
      </w:r>
      <w:r w:rsidRPr="00AB3967">
        <w:rPr>
          <w:rFonts w:cs="Arial"/>
          <w:bCs/>
          <w:sz w:val="20"/>
          <w:szCs w:val="20"/>
        </w:rPr>
        <w:t xml:space="preserve">set up as </w:t>
      </w:r>
      <w:r w:rsidR="00FC421F" w:rsidRPr="00AB3967">
        <w:rPr>
          <w:rFonts w:cs="Arial"/>
          <w:bCs/>
          <w:sz w:val="20"/>
          <w:szCs w:val="20"/>
        </w:rPr>
        <w:t>a</w:t>
      </w:r>
      <w:r w:rsidRPr="00AB3967">
        <w:rPr>
          <w:rFonts w:cs="Arial"/>
          <w:bCs/>
          <w:sz w:val="20"/>
          <w:szCs w:val="20"/>
        </w:rPr>
        <w:t xml:space="preserve">n independent </w:t>
      </w:r>
      <w:r w:rsidR="00FC421F" w:rsidRPr="00AB3967">
        <w:rPr>
          <w:rFonts w:cs="Arial"/>
          <w:bCs/>
          <w:sz w:val="20"/>
          <w:szCs w:val="20"/>
        </w:rPr>
        <w:t>entity in E</w:t>
      </w:r>
      <w:r w:rsidR="00D27F5F" w:rsidRPr="00AB3967">
        <w:rPr>
          <w:rFonts w:cs="Arial"/>
          <w:bCs/>
          <w:sz w:val="20"/>
          <w:szCs w:val="20"/>
        </w:rPr>
        <w:t>PIC</w:t>
      </w:r>
      <w:r w:rsidR="00FC421F" w:rsidRPr="00AB3967">
        <w:rPr>
          <w:rFonts w:cs="Arial"/>
          <w:bCs/>
          <w:sz w:val="20"/>
          <w:szCs w:val="20"/>
        </w:rPr>
        <w:t xml:space="preserve"> for billing purposes.   </w:t>
      </w:r>
      <w:r w:rsidRPr="00AB3967">
        <w:rPr>
          <w:rFonts w:cs="Arial"/>
          <w:bCs/>
          <w:sz w:val="20"/>
          <w:szCs w:val="20"/>
        </w:rPr>
        <w:t>Following the proposed merger</w:t>
      </w:r>
      <w:r w:rsidR="00FC421F" w:rsidRPr="00AB3967">
        <w:rPr>
          <w:rFonts w:cs="Arial"/>
          <w:bCs/>
          <w:sz w:val="20"/>
          <w:szCs w:val="20"/>
        </w:rPr>
        <w:t>,</w:t>
      </w:r>
      <w:r w:rsidR="00D27F5F" w:rsidRPr="00AB3967">
        <w:rPr>
          <w:rFonts w:cs="Arial"/>
          <w:bCs/>
          <w:sz w:val="20"/>
          <w:szCs w:val="20"/>
        </w:rPr>
        <w:t xml:space="preserve"> </w:t>
      </w:r>
      <w:r w:rsidRPr="00AB3967">
        <w:rPr>
          <w:rFonts w:cs="Arial"/>
          <w:bCs/>
          <w:sz w:val="20"/>
          <w:szCs w:val="20"/>
        </w:rPr>
        <w:t xml:space="preserve">the </w:t>
      </w:r>
      <w:r w:rsidR="00D27F5F" w:rsidRPr="00AB3967">
        <w:rPr>
          <w:rFonts w:cs="Arial"/>
          <w:bCs/>
          <w:sz w:val="20"/>
          <w:szCs w:val="20"/>
        </w:rPr>
        <w:t xml:space="preserve">Marlborough campus can </w:t>
      </w:r>
      <w:proofErr w:type="gramStart"/>
      <w:r w:rsidRPr="00AB3967">
        <w:rPr>
          <w:rFonts w:cs="Arial"/>
          <w:bCs/>
          <w:sz w:val="20"/>
          <w:szCs w:val="20"/>
        </w:rPr>
        <w:t>set</w:t>
      </w:r>
      <w:proofErr w:type="gramEnd"/>
      <w:r w:rsidRPr="00AB3967">
        <w:rPr>
          <w:rFonts w:cs="Arial"/>
          <w:bCs/>
          <w:sz w:val="20"/>
          <w:szCs w:val="20"/>
        </w:rPr>
        <w:t xml:space="preserve"> up in</w:t>
      </w:r>
      <w:r w:rsidR="00D27F5F" w:rsidRPr="00AB3967">
        <w:rPr>
          <w:rFonts w:cs="Arial"/>
          <w:bCs/>
          <w:sz w:val="20"/>
          <w:szCs w:val="20"/>
        </w:rPr>
        <w:t xml:space="preserve"> EPIC </w:t>
      </w:r>
      <w:r w:rsidRPr="00AB3967">
        <w:rPr>
          <w:rFonts w:cs="Arial"/>
          <w:bCs/>
          <w:sz w:val="20"/>
          <w:szCs w:val="20"/>
        </w:rPr>
        <w:t xml:space="preserve">as a connected entity </w:t>
      </w:r>
      <w:r w:rsidR="00D27F5F" w:rsidRPr="00AB3967">
        <w:rPr>
          <w:rFonts w:cs="Arial"/>
          <w:bCs/>
          <w:sz w:val="20"/>
          <w:szCs w:val="20"/>
        </w:rPr>
        <w:t>which will allow for the following capabilities</w:t>
      </w:r>
      <w:r w:rsidR="00FC421F" w:rsidRPr="00AB3967">
        <w:rPr>
          <w:rFonts w:cs="Arial"/>
          <w:bCs/>
          <w:sz w:val="20"/>
          <w:szCs w:val="20"/>
        </w:rPr>
        <w:t>:</w:t>
      </w:r>
    </w:p>
    <w:p w14:paraId="56B3AADC" w14:textId="63AA6B24" w:rsidR="00FC421F" w:rsidRPr="00AB3967" w:rsidRDefault="00FC421F" w:rsidP="00FC421F">
      <w:pPr>
        <w:pStyle w:val="ListParagraph"/>
        <w:numPr>
          <w:ilvl w:val="1"/>
          <w:numId w:val="18"/>
        </w:numPr>
        <w:jc w:val="both"/>
        <w:rPr>
          <w:rFonts w:cs="Arial"/>
          <w:bCs/>
          <w:sz w:val="20"/>
          <w:szCs w:val="20"/>
        </w:rPr>
      </w:pPr>
      <w:r w:rsidRPr="00AB3967">
        <w:rPr>
          <w:rFonts w:cs="Arial"/>
          <w:bCs/>
          <w:sz w:val="20"/>
          <w:szCs w:val="20"/>
        </w:rPr>
        <w:t xml:space="preserve">Patients who move from </w:t>
      </w:r>
      <w:r w:rsidR="00E907FF" w:rsidRPr="00AB3967">
        <w:rPr>
          <w:rFonts w:cs="Arial"/>
          <w:bCs/>
          <w:sz w:val="20"/>
          <w:szCs w:val="20"/>
        </w:rPr>
        <w:t>MH</w:t>
      </w:r>
      <w:r w:rsidRPr="00AB3967">
        <w:rPr>
          <w:rFonts w:cs="Arial"/>
          <w:bCs/>
          <w:sz w:val="20"/>
          <w:szCs w:val="20"/>
        </w:rPr>
        <w:t xml:space="preserve"> to </w:t>
      </w:r>
      <w:r w:rsidR="00E907FF" w:rsidRPr="00AB3967">
        <w:rPr>
          <w:rFonts w:cs="Arial"/>
          <w:bCs/>
          <w:sz w:val="20"/>
          <w:szCs w:val="20"/>
        </w:rPr>
        <w:t>UMMMC</w:t>
      </w:r>
      <w:r w:rsidRPr="00AB3967">
        <w:rPr>
          <w:rFonts w:cs="Arial"/>
          <w:bCs/>
          <w:sz w:val="20"/>
          <w:szCs w:val="20"/>
        </w:rPr>
        <w:t xml:space="preserve"> </w:t>
      </w:r>
      <w:r w:rsidR="00E907FF" w:rsidRPr="00AB3967">
        <w:rPr>
          <w:rFonts w:cs="Arial"/>
          <w:bCs/>
          <w:sz w:val="20"/>
          <w:szCs w:val="20"/>
        </w:rPr>
        <w:t>will no longer need to be discharged from MH and registered at UMMMC. There will only be one registration and admission to UMMMC</w:t>
      </w:r>
      <w:r w:rsidR="00EA5868" w:rsidRPr="00AB3967">
        <w:rPr>
          <w:rFonts w:cs="Arial"/>
          <w:bCs/>
          <w:sz w:val="20"/>
          <w:szCs w:val="20"/>
        </w:rPr>
        <w:t xml:space="preserve"> because the physical move from MH to UMMMC’s Worcester campuses will be treated as internal t</w:t>
      </w:r>
      <w:r w:rsidR="00AB3967" w:rsidRPr="00AB3967">
        <w:rPr>
          <w:rFonts w:cs="Arial"/>
          <w:bCs/>
          <w:sz w:val="20"/>
          <w:szCs w:val="20"/>
        </w:rPr>
        <w:t>ransport</w:t>
      </w:r>
      <w:r w:rsidR="00EA5868" w:rsidRPr="00AB3967">
        <w:rPr>
          <w:rFonts w:cs="Arial"/>
          <w:bCs/>
          <w:sz w:val="20"/>
          <w:szCs w:val="20"/>
        </w:rPr>
        <w:t xml:space="preserve">. This administratively simpler process will result in </w:t>
      </w:r>
      <w:r w:rsidR="007E136C">
        <w:rPr>
          <w:rFonts w:cs="Arial"/>
          <w:bCs/>
          <w:sz w:val="20"/>
          <w:szCs w:val="20"/>
        </w:rPr>
        <w:t xml:space="preserve">patients being moved </w:t>
      </w:r>
      <w:r w:rsidR="00EA5868" w:rsidRPr="00AB3967">
        <w:rPr>
          <w:rFonts w:cs="Arial"/>
          <w:bCs/>
          <w:sz w:val="20"/>
          <w:szCs w:val="20"/>
        </w:rPr>
        <w:t xml:space="preserve">faster </w:t>
      </w:r>
      <w:r w:rsidR="00AB3967" w:rsidRPr="00AB3967">
        <w:rPr>
          <w:rFonts w:cs="Arial"/>
          <w:bCs/>
          <w:sz w:val="20"/>
          <w:szCs w:val="20"/>
        </w:rPr>
        <w:t xml:space="preserve">between the </w:t>
      </w:r>
      <w:r w:rsidR="007E136C">
        <w:rPr>
          <w:rFonts w:cs="Arial"/>
          <w:bCs/>
          <w:sz w:val="20"/>
          <w:szCs w:val="20"/>
        </w:rPr>
        <w:t>campuses</w:t>
      </w:r>
      <w:r w:rsidR="00EA5868" w:rsidRPr="00AB3967">
        <w:rPr>
          <w:rFonts w:cs="Arial"/>
          <w:bCs/>
          <w:sz w:val="20"/>
          <w:szCs w:val="20"/>
        </w:rPr>
        <w:t xml:space="preserve">. </w:t>
      </w:r>
    </w:p>
    <w:p w14:paraId="45AE8FCA" w14:textId="72966C9C" w:rsidR="00FC421F" w:rsidRPr="00AB3967" w:rsidRDefault="00FC421F" w:rsidP="00FC421F">
      <w:pPr>
        <w:pStyle w:val="ListParagraph"/>
        <w:numPr>
          <w:ilvl w:val="1"/>
          <w:numId w:val="18"/>
        </w:numPr>
        <w:jc w:val="both"/>
        <w:rPr>
          <w:rFonts w:cs="Arial"/>
          <w:bCs/>
          <w:sz w:val="20"/>
          <w:szCs w:val="20"/>
        </w:rPr>
      </w:pPr>
      <w:r w:rsidRPr="00AB3967">
        <w:rPr>
          <w:rFonts w:cs="Arial"/>
          <w:bCs/>
          <w:sz w:val="20"/>
          <w:szCs w:val="20"/>
        </w:rPr>
        <w:t xml:space="preserve">Providers will be able to view all aspects of the </w:t>
      </w:r>
      <w:proofErr w:type="gramStart"/>
      <w:r w:rsidRPr="00AB3967">
        <w:rPr>
          <w:rFonts w:cs="Arial"/>
          <w:bCs/>
          <w:sz w:val="20"/>
          <w:szCs w:val="20"/>
        </w:rPr>
        <w:t>patient</w:t>
      </w:r>
      <w:proofErr w:type="gramEnd"/>
      <w:r w:rsidRPr="00AB3967">
        <w:rPr>
          <w:rFonts w:cs="Arial"/>
          <w:bCs/>
          <w:sz w:val="20"/>
          <w:szCs w:val="20"/>
        </w:rPr>
        <w:t xml:space="preserve"> encounter</w:t>
      </w:r>
      <w:r w:rsidR="00E907FF" w:rsidRPr="00AB3967">
        <w:rPr>
          <w:rFonts w:cs="Arial"/>
          <w:bCs/>
          <w:sz w:val="20"/>
          <w:szCs w:val="20"/>
        </w:rPr>
        <w:t xml:space="preserve">, such as </w:t>
      </w:r>
      <w:r w:rsidRPr="00AB3967">
        <w:rPr>
          <w:rFonts w:cs="Arial"/>
          <w:bCs/>
          <w:sz w:val="20"/>
          <w:szCs w:val="20"/>
        </w:rPr>
        <w:t>key vitals</w:t>
      </w:r>
      <w:r w:rsidR="00E907FF" w:rsidRPr="00AB3967">
        <w:rPr>
          <w:rFonts w:cs="Arial"/>
          <w:bCs/>
          <w:sz w:val="20"/>
          <w:szCs w:val="20"/>
        </w:rPr>
        <w:t xml:space="preserve"> trends,</w:t>
      </w:r>
      <w:r w:rsidRPr="00AB3967">
        <w:rPr>
          <w:rFonts w:cs="Arial"/>
          <w:bCs/>
          <w:sz w:val="20"/>
          <w:szCs w:val="20"/>
        </w:rPr>
        <w:t xml:space="preserve"> at both facilities seamlessly once integrated.  </w:t>
      </w:r>
    </w:p>
    <w:p w14:paraId="1D816539" w14:textId="77777777" w:rsidR="00EA5868" w:rsidRPr="00AB3967" w:rsidRDefault="00FC421F" w:rsidP="00EA5868">
      <w:pPr>
        <w:pStyle w:val="ListParagraph"/>
        <w:numPr>
          <w:ilvl w:val="1"/>
          <w:numId w:val="18"/>
        </w:numPr>
        <w:jc w:val="both"/>
        <w:rPr>
          <w:rFonts w:cs="Arial"/>
          <w:bCs/>
          <w:sz w:val="20"/>
          <w:szCs w:val="20"/>
        </w:rPr>
      </w:pPr>
      <w:r w:rsidRPr="00AB3967">
        <w:rPr>
          <w:rFonts w:cs="Arial"/>
          <w:bCs/>
          <w:sz w:val="20"/>
          <w:szCs w:val="20"/>
        </w:rPr>
        <w:t xml:space="preserve">There will be increased transparency regarding capacity and access as the Marlborough departments will now be visible directly within </w:t>
      </w:r>
      <w:r w:rsidR="00E907FF" w:rsidRPr="00AB3967">
        <w:rPr>
          <w:rFonts w:cs="Arial"/>
          <w:bCs/>
          <w:sz w:val="20"/>
          <w:szCs w:val="20"/>
        </w:rPr>
        <w:t>UMMMC</w:t>
      </w:r>
      <w:r w:rsidRPr="00AB3967">
        <w:rPr>
          <w:rFonts w:cs="Arial"/>
          <w:bCs/>
          <w:sz w:val="20"/>
          <w:szCs w:val="20"/>
        </w:rPr>
        <w:t xml:space="preserve"> views</w:t>
      </w:r>
      <w:r w:rsidR="00E907FF" w:rsidRPr="00AB3967">
        <w:rPr>
          <w:rFonts w:cs="Arial"/>
          <w:bCs/>
          <w:sz w:val="20"/>
          <w:szCs w:val="20"/>
        </w:rPr>
        <w:t xml:space="preserve"> in EPIC</w:t>
      </w:r>
      <w:r w:rsidRPr="00AB3967">
        <w:rPr>
          <w:rFonts w:cs="Arial"/>
          <w:bCs/>
          <w:sz w:val="20"/>
          <w:szCs w:val="20"/>
        </w:rPr>
        <w:t>.</w:t>
      </w:r>
    </w:p>
    <w:p w14:paraId="25A75591" w14:textId="527F64B0" w:rsidR="00EA5868" w:rsidRPr="00AB3967" w:rsidRDefault="00FC421F" w:rsidP="00EA5868">
      <w:pPr>
        <w:pStyle w:val="ListParagraph"/>
        <w:numPr>
          <w:ilvl w:val="1"/>
          <w:numId w:val="18"/>
        </w:numPr>
        <w:jc w:val="both"/>
        <w:rPr>
          <w:rFonts w:cs="Arial"/>
          <w:bCs/>
          <w:sz w:val="20"/>
          <w:szCs w:val="20"/>
        </w:rPr>
      </w:pPr>
      <w:r w:rsidRPr="00AB3967">
        <w:rPr>
          <w:rFonts w:cs="Arial"/>
          <w:bCs/>
          <w:sz w:val="20"/>
          <w:szCs w:val="20"/>
        </w:rPr>
        <w:t xml:space="preserve">Administratively, coding and billing will be </w:t>
      </w:r>
      <w:r w:rsidR="00E907FF" w:rsidRPr="00AB3967">
        <w:rPr>
          <w:rFonts w:cs="Arial"/>
          <w:bCs/>
          <w:sz w:val="20"/>
          <w:szCs w:val="20"/>
        </w:rPr>
        <w:t>tied to</w:t>
      </w:r>
      <w:r w:rsidRPr="00AB3967">
        <w:rPr>
          <w:rFonts w:cs="Arial"/>
          <w:bCs/>
          <w:sz w:val="20"/>
          <w:szCs w:val="20"/>
        </w:rPr>
        <w:t xml:space="preserve"> one encounter instead of two based on the separate </w:t>
      </w:r>
      <w:r w:rsidR="00E907FF" w:rsidRPr="00AB3967">
        <w:rPr>
          <w:rFonts w:cs="Arial"/>
          <w:bCs/>
          <w:sz w:val="20"/>
          <w:szCs w:val="20"/>
        </w:rPr>
        <w:t>entities</w:t>
      </w:r>
      <w:r w:rsidRPr="00AB3967">
        <w:rPr>
          <w:rFonts w:cs="Arial"/>
          <w:bCs/>
          <w:sz w:val="20"/>
          <w:szCs w:val="20"/>
        </w:rPr>
        <w:t xml:space="preserve">.  </w:t>
      </w:r>
      <w:r w:rsidR="00E907FF" w:rsidRPr="00AB3967">
        <w:rPr>
          <w:rFonts w:cs="Arial"/>
          <w:bCs/>
          <w:sz w:val="20"/>
          <w:szCs w:val="20"/>
        </w:rPr>
        <w:t xml:space="preserve">Moreover, </w:t>
      </w:r>
      <w:r w:rsidR="009B1E25" w:rsidRPr="00AB3967">
        <w:rPr>
          <w:rFonts w:cs="Arial"/>
          <w:bCs/>
          <w:sz w:val="20"/>
          <w:szCs w:val="20"/>
        </w:rPr>
        <w:t xml:space="preserve">only </w:t>
      </w:r>
      <w:r w:rsidR="00E907FF" w:rsidRPr="00AB3967">
        <w:rPr>
          <w:rFonts w:cs="Arial"/>
          <w:bCs/>
          <w:sz w:val="20"/>
          <w:szCs w:val="20"/>
        </w:rPr>
        <w:t>o</w:t>
      </w:r>
      <w:r w:rsidRPr="00AB3967">
        <w:rPr>
          <w:rFonts w:cs="Arial"/>
          <w:bCs/>
          <w:sz w:val="20"/>
          <w:szCs w:val="20"/>
        </w:rPr>
        <w:t xml:space="preserve">ne </w:t>
      </w:r>
      <w:r w:rsidR="009B1E25" w:rsidRPr="00AB3967">
        <w:rPr>
          <w:rFonts w:cs="Arial"/>
          <w:bCs/>
          <w:sz w:val="20"/>
          <w:szCs w:val="20"/>
        </w:rPr>
        <w:t xml:space="preserve">payer </w:t>
      </w:r>
      <w:r w:rsidRPr="00AB3967">
        <w:rPr>
          <w:rFonts w:cs="Arial"/>
          <w:bCs/>
          <w:sz w:val="20"/>
          <w:szCs w:val="20"/>
        </w:rPr>
        <w:t xml:space="preserve">prior authorization for services will be needed.  </w:t>
      </w:r>
    </w:p>
    <w:p w14:paraId="7AF5DC7B" w14:textId="77777777" w:rsidR="005B7EE4" w:rsidRPr="00AB3967" w:rsidRDefault="005B7EE4" w:rsidP="00FC421F">
      <w:pPr>
        <w:pStyle w:val="ListParagraph"/>
        <w:rPr>
          <w:rFonts w:cs="Arial"/>
          <w:bCs/>
          <w:sz w:val="20"/>
          <w:szCs w:val="20"/>
        </w:rPr>
      </w:pPr>
    </w:p>
    <w:p w14:paraId="5EE0860C" w14:textId="3D321501" w:rsidR="00C940D6" w:rsidRPr="00AB3967" w:rsidRDefault="00AB3967" w:rsidP="00FC421F">
      <w:pPr>
        <w:pStyle w:val="ListParagraph"/>
        <w:rPr>
          <w:rFonts w:cs="Arial"/>
          <w:bCs/>
          <w:sz w:val="20"/>
          <w:szCs w:val="20"/>
        </w:rPr>
      </w:pPr>
      <w:r w:rsidRPr="00AB3967">
        <w:rPr>
          <w:rFonts w:cs="Arial"/>
          <w:bCs/>
          <w:sz w:val="20"/>
          <w:szCs w:val="20"/>
        </w:rPr>
        <w:t>B</w:t>
      </w:r>
      <w:r w:rsidR="00C940D6" w:rsidRPr="00AB3967">
        <w:rPr>
          <w:rFonts w:cs="Arial"/>
          <w:bCs/>
          <w:sz w:val="20"/>
          <w:szCs w:val="20"/>
        </w:rPr>
        <w:t xml:space="preserve">. </w:t>
      </w:r>
      <w:r w:rsidR="00C940D6" w:rsidRPr="00AB3967">
        <w:rPr>
          <w:rFonts w:cs="Arial"/>
          <w:bCs/>
          <w:sz w:val="20"/>
          <w:szCs w:val="20"/>
          <w:u w:val="single"/>
        </w:rPr>
        <w:t>Intern and Resident Rotations</w:t>
      </w:r>
      <w:r w:rsidR="00C940D6" w:rsidRPr="00AB3967">
        <w:rPr>
          <w:rFonts w:cs="Arial"/>
          <w:bCs/>
          <w:sz w:val="20"/>
          <w:szCs w:val="20"/>
        </w:rPr>
        <w:t xml:space="preserve"> </w:t>
      </w:r>
    </w:p>
    <w:p w14:paraId="366D1755" w14:textId="77777777" w:rsidR="00421C21" w:rsidRPr="00AB3967" w:rsidRDefault="00421C21" w:rsidP="00700155">
      <w:pPr>
        <w:ind w:left="720"/>
        <w:jc w:val="both"/>
        <w:rPr>
          <w:rFonts w:cs="Arial"/>
          <w:bCs/>
          <w:sz w:val="20"/>
          <w:szCs w:val="20"/>
        </w:rPr>
      </w:pPr>
      <w:r w:rsidRPr="00AB3967">
        <w:rPr>
          <w:rFonts w:cs="Arial"/>
          <w:bCs/>
          <w:sz w:val="20"/>
          <w:szCs w:val="20"/>
        </w:rPr>
        <w:t>Per the guidelines from the Accreditation Council for Graduate Medical Education (ACGME), t</w:t>
      </w:r>
      <w:r w:rsidR="005B7EE4" w:rsidRPr="00AB3967">
        <w:rPr>
          <w:rFonts w:cs="Arial"/>
          <w:bCs/>
          <w:sz w:val="20"/>
          <w:szCs w:val="20"/>
        </w:rPr>
        <w:t xml:space="preserve">raining programs must designate a specific, licensed facility for interns and residents to train at. As separately licensed facilities, </w:t>
      </w:r>
      <w:r w:rsidRPr="00AB3967">
        <w:rPr>
          <w:rFonts w:cs="Arial"/>
          <w:bCs/>
          <w:sz w:val="20"/>
          <w:szCs w:val="20"/>
        </w:rPr>
        <w:t xml:space="preserve">numerous inefficiencies exist due to these guidelines: </w:t>
      </w:r>
    </w:p>
    <w:p w14:paraId="384EE64C" w14:textId="77D4D571" w:rsidR="00421C21" w:rsidRPr="00AB3967" w:rsidRDefault="00421C21" w:rsidP="00700155">
      <w:pPr>
        <w:pStyle w:val="ListParagraph"/>
        <w:numPr>
          <w:ilvl w:val="0"/>
          <w:numId w:val="19"/>
        </w:numPr>
        <w:jc w:val="both"/>
        <w:rPr>
          <w:rFonts w:cs="Arial"/>
          <w:bCs/>
          <w:sz w:val="20"/>
          <w:szCs w:val="20"/>
        </w:rPr>
      </w:pPr>
      <w:proofErr w:type="gramStart"/>
      <w:r w:rsidRPr="00AB3967">
        <w:rPr>
          <w:rFonts w:cs="Arial"/>
          <w:bCs/>
          <w:sz w:val="20"/>
          <w:szCs w:val="20"/>
        </w:rPr>
        <w:t>In order for</w:t>
      </w:r>
      <w:proofErr w:type="gramEnd"/>
      <w:r w:rsidRPr="00AB3967">
        <w:rPr>
          <w:rFonts w:cs="Arial"/>
          <w:bCs/>
          <w:sz w:val="20"/>
          <w:szCs w:val="20"/>
        </w:rPr>
        <w:t xml:space="preserve"> departments at </w:t>
      </w:r>
      <w:r w:rsidR="008510CE" w:rsidRPr="00AB3967">
        <w:rPr>
          <w:rFonts w:cs="Arial"/>
          <w:bCs/>
          <w:sz w:val="20"/>
          <w:szCs w:val="20"/>
        </w:rPr>
        <w:t>UMM</w:t>
      </w:r>
      <w:r w:rsidR="009B1E25" w:rsidRPr="00AB3967">
        <w:rPr>
          <w:rFonts w:cs="Arial"/>
          <w:bCs/>
          <w:sz w:val="20"/>
          <w:szCs w:val="20"/>
        </w:rPr>
        <w:t>M</w:t>
      </w:r>
      <w:r w:rsidR="008510CE" w:rsidRPr="00AB3967">
        <w:rPr>
          <w:rFonts w:cs="Arial"/>
          <w:bCs/>
          <w:sz w:val="20"/>
          <w:szCs w:val="20"/>
        </w:rPr>
        <w:t>C</w:t>
      </w:r>
      <w:r w:rsidRPr="00AB3967">
        <w:rPr>
          <w:rFonts w:cs="Arial"/>
          <w:bCs/>
          <w:sz w:val="20"/>
          <w:szCs w:val="20"/>
        </w:rPr>
        <w:t xml:space="preserve"> to have interns, residents or fellows provide clinical care at Marlborough Hospital, each training program must separately </w:t>
      </w:r>
      <w:proofErr w:type="gramStart"/>
      <w:r w:rsidRPr="00AB3967">
        <w:rPr>
          <w:rFonts w:cs="Arial"/>
          <w:bCs/>
          <w:sz w:val="20"/>
          <w:szCs w:val="20"/>
        </w:rPr>
        <w:t>submit an application</w:t>
      </w:r>
      <w:proofErr w:type="gramEnd"/>
      <w:r w:rsidRPr="00AB3967">
        <w:rPr>
          <w:rFonts w:cs="Arial"/>
          <w:bCs/>
          <w:sz w:val="20"/>
          <w:szCs w:val="20"/>
        </w:rPr>
        <w:t xml:space="preserve"> to add Marlborough Hospital as a participating site. Due to requirements by most training programs, </w:t>
      </w:r>
      <w:r w:rsidR="008510CE" w:rsidRPr="00AB3967">
        <w:rPr>
          <w:rFonts w:cs="Arial"/>
          <w:bCs/>
          <w:sz w:val="20"/>
          <w:szCs w:val="20"/>
        </w:rPr>
        <w:t>MH</w:t>
      </w:r>
      <w:r w:rsidRPr="00AB3967">
        <w:rPr>
          <w:rFonts w:cs="Arial"/>
          <w:bCs/>
          <w:sz w:val="20"/>
          <w:szCs w:val="20"/>
        </w:rPr>
        <w:t xml:space="preserve"> also must maintain a separate educational infrastructure separate from UMMMC including roles </w:t>
      </w:r>
      <w:proofErr w:type="gramStart"/>
      <w:r w:rsidRPr="00AB3967">
        <w:rPr>
          <w:rFonts w:cs="Arial"/>
          <w:bCs/>
          <w:sz w:val="20"/>
          <w:szCs w:val="20"/>
        </w:rPr>
        <w:t>like</w:t>
      </w:r>
      <w:proofErr w:type="gramEnd"/>
      <w:r w:rsidRPr="00AB3967">
        <w:rPr>
          <w:rFonts w:cs="Arial"/>
          <w:bCs/>
          <w:sz w:val="20"/>
          <w:szCs w:val="20"/>
        </w:rPr>
        <w:t xml:space="preserve"> a designated program director. </w:t>
      </w:r>
    </w:p>
    <w:p w14:paraId="041616FF" w14:textId="3B0D5413" w:rsidR="00770361" w:rsidRPr="00AB3967" w:rsidRDefault="00421C21" w:rsidP="00700155">
      <w:pPr>
        <w:pStyle w:val="ListParagraph"/>
        <w:numPr>
          <w:ilvl w:val="0"/>
          <w:numId w:val="19"/>
        </w:numPr>
        <w:jc w:val="both"/>
        <w:rPr>
          <w:rFonts w:cs="Arial"/>
          <w:bCs/>
          <w:sz w:val="20"/>
          <w:szCs w:val="20"/>
        </w:rPr>
      </w:pPr>
      <w:r w:rsidRPr="00AB3967">
        <w:rPr>
          <w:rFonts w:cs="Arial"/>
          <w:bCs/>
          <w:sz w:val="20"/>
          <w:szCs w:val="20"/>
        </w:rPr>
        <w:t xml:space="preserve">Due to the above, </w:t>
      </w:r>
      <w:r w:rsidR="00770361" w:rsidRPr="00AB3967">
        <w:rPr>
          <w:rFonts w:cs="Arial"/>
          <w:bCs/>
          <w:sz w:val="20"/>
          <w:szCs w:val="20"/>
        </w:rPr>
        <w:t xml:space="preserve">under the current structure, interns, residents and fellows cannot freely float between the two hospitals. If there was an urgent provider staffing need at Marlborough Hospital that could be helped by deploying a trainee from UMMMC this would not be possible on an urgent basis as the process for adding a participating site takes time. The greater freedom to deploy trainees to Marlborough Hospital under the same license </w:t>
      </w:r>
      <w:r w:rsidR="008510CE" w:rsidRPr="00AB3967">
        <w:rPr>
          <w:rFonts w:cs="Arial"/>
          <w:bCs/>
          <w:sz w:val="20"/>
          <w:szCs w:val="20"/>
        </w:rPr>
        <w:t xml:space="preserve">as UMMMC </w:t>
      </w:r>
      <w:r w:rsidR="00770361" w:rsidRPr="00AB3967">
        <w:rPr>
          <w:rFonts w:cs="Arial"/>
          <w:bCs/>
          <w:sz w:val="20"/>
          <w:szCs w:val="20"/>
        </w:rPr>
        <w:t xml:space="preserve">would greatly enhance potential services available at Marlborough Hospital and increase </w:t>
      </w:r>
      <w:r w:rsidR="009B1E25" w:rsidRPr="00AB3967">
        <w:rPr>
          <w:rFonts w:cs="Arial"/>
          <w:bCs/>
          <w:sz w:val="20"/>
          <w:szCs w:val="20"/>
        </w:rPr>
        <w:t xml:space="preserve">the trainees’ </w:t>
      </w:r>
      <w:r w:rsidR="00770361" w:rsidRPr="00AB3967">
        <w:rPr>
          <w:rFonts w:cs="Arial"/>
          <w:bCs/>
          <w:sz w:val="20"/>
          <w:szCs w:val="20"/>
        </w:rPr>
        <w:t xml:space="preserve">educational exposure. </w:t>
      </w:r>
    </w:p>
    <w:p w14:paraId="3B5BC9C8" w14:textId="7CACE536" w:rsidR="005B7EE4" w:rsidRPr="00AB3967" w:rsidRDefault="00770361" w:rsidP="00700155">
      <w:pPr>
        <w:pStyle w:val="ListParagraph"/>
        <w:numPr>
          <w:ilvl w:val="0"/>
          <w:numId w:val="19"/>
        </w:numPr>
        <w:jc w:val="both"/>
        <w:rPr>
          <w:rFonts w:cs="Arial"/>
          <w:bCs/>
          <w:sz w:val="20"/>
          <w:szCs w:val="20"/>
        </w:rPr>
      </w:pPr>
      <w:r w:rsidRPr="00AB3967">
        <w:rPr>
          <w:rFonts w:cs="Arial"/>
          <w:bCs/>
          <w:sz w:val="20"/>
          <w:szCs w:val="20"/>
        </w:rPr>
        <w:t>On-call structures that currently exist at UMMMC often depend on a resident working under the supervision of an attending</w:t>
      </w:r>
      <w:r w:rsidR="009B1E25" w:rsidRPr="00AB3967">
        <w:rPr>
          <w:rFonts w:cs="Arial"/>
          <w:bCs/>
          <w:sz w:val="20"/>
          <w:szCs w:val="20"/>
        </w:rPr>
        <w:t xml:space="preserve"> physician</w:t>
      </w:r>
      <w:r w:rsidRPr="00AB3967">
        <w:rPr>
          <w:rFonts w:cs="Arial"/>
          <w:bCs/>
          <w:sz w:val="20"/>
          <w:szCs w:val="20"/>
        </w:rPr>
        <w:t xml:space="preserve">. This model, even for teleconsultation, cannot be used to extend services to Marlborough Hospital under the current licensing structure. </w:t>
      </w:r>
    </w:p>
    <w:p w14:paraId="235E1761" w14:textId="77777777" w:rsidR="00FC421F" w:rsidRPr="00AB3967" w:rsidRDefault="00FC421F" w:rsidP="00FC421F">
      <w:pPr>
        <w:pStyle w:val="ListParagraph"/>
        <w:rPr>
          <w:rFonts w:cs="Arial"/>
          <w:bCs/>
          <w:sz w:val="20"/>
          <w:szCs w:val="20"/>
        </w:rPr>
      </w:pPr>
    </w:p>
    <w:p w14:paraId="5AFC5860" w14:textId="77777777" w:rsidR="00EA5868" w:rsidRPr="00AB3967" w:rsidRDefault="00746182" w:rsidP="00DB1BBC">
      <w:pPr>
        <w:pStyle w:val="ListParagraph"/>
        <w:numPr>
          <w:ilvl w:val="0"/>
          <w:numId w:val="16"/>
        </w:numPr>
        <w:rPr>
          <w:rFonts w:cs="Arial"/>
          <w:b/>
          <w:sz w:val="20"/>
          <w:szCs w:val="20"/>
        </w:rPr>
      </w:pPr>
      <w:r w:rsidRPr="00AB3967">
        <w:rPr>
          <w:rFonts w:cs="Arial"/>
          <w:b/>
          <w:sz w:val="20"/>
          <w:szCs w:val="20"/>
        </w:rPr>
        <w:t>Co</w:t>
      </w:r>
      <w:r w:rsidR="007B23B4" w:rsidRPr="00AB3967">
        <w:rPr>
          <w:rFonts w:cs="Arial"/>
          <w:b/>
          <w:sz w:val="20"/>
          <w:szCs w:val="20"/>
        </w:rPr>
        <w:t>mpare the quality, patient safety</w:t>
      </w:r>
      <w:r w:rsidR="00212CF6" w:rsidRPr="00AB3967">
        <w:rPr>
          <w:rFonts w:cs="Arial"/>
          <w:b/>
          <w:sz w:val="20"/>
          <w:szCs w:val="20"/>
        </w:rPr>
        <w:t xml:space="preserve">, and regulatory oversight </w:t>
      </w:r>
      <w:r w:rsidRPr="00AB3967">
        <w:rPr>
          <w:rFonts w:cs="Arial"/>
          <w:b/>
          <w:sz w:val="20"/>
          <w:szCs w:val="20"/>
        </w:rPr>
        <w:t>processes now</w:t>
      </w:r>
      <w:r w:rsidR="0001294E" w:rsidRPr="00AB3967">
        <w:rPr>
          <w:rFonts w:cs="Arial"/>
          <w:b/>
          <w:sz w:val="20"/>
          <w:szCs w:val="20"/>
        </w:rPr>
        <w:t>,</w:t>
      </w:r>
      <w:r w:rsidRPr="00AB3967">
        <w:rPr>
          <w:rFonts w:cs="Arial"/>
          <w:b/>
          <w:sz w:val="20"/>
          <w:szCs w:val="20"/>
        </w:rPr>
        <w:t xml:space="preserve"> and how will they be different </w:t>
      </w:r>
      <w:r w:rsidR="000C6AE5" w:rsidRPr="00AB3967">
        <w:rPr>
          <w:rFonts w:cs="Arial"/>
          <w:b/>
          <w:sz w:val="20"/>
          <w:szCs w:val="20"/>
        </w:rPr>
        <w:t>assuming project approval.</w:t>
      </w:r>
      <w:r w:rsidR="00890937" w:rsidRPr="00AB3967">
        <w:rPr>
          <w:rFonts w:cs="Arial"/>
          <w:b/>
          <w:sz w:val="20"/>
          <w:szCs w:val="20"/>
        </w:rPr>
        <w:t xml:space="preserve"> </w:t>
      </w:r>
    </w:p>
    <w:p w14:paraId="20B24CB2" w14:textId="1C63E86C" w:rsidR="00EA5868" w:rsidRPr="00AB3967" w:rsidRDefault="00890937" w:rsidP="00EA5868">
      <w:pPr>
        <w:pStyle w:val="ListParagraph"/>
        <w:numPr>
          <w:ilvl w:val="0"/>
          <w:numId w:val="21"/>
        </w:numPr>
        <w:rPr>
          <w:rFonts w:cs="Arial"/>
          <w:b/>
          <w:sz w:val="20"/>
          <w:szCs w:val="20"/>
        </w:rPr>
      </w:pPr>
      <w:r w:rsidRPr="00AB3967">
        <w:rPr>
          <w:rFonts w:cs="Arial"/>
          <w:b/>
          <w:sz w:val="20"/>
          <w:szCs w:val="20"/>
        </w:rPr>
        <w:t xml:space="preserve">Why are these programs not </w:t>
      </w:r>
      <w:r w:rsidR="00E770E0" w:rsidRPr="00AB3967">
        <w:rPr>
          <w:rFonts w:cs="Arial"/>
          <w:b/>
          <w:sz w:val="20"/>
          <w:szCs w:val="20"/>
        </w:rPr>
        <w:t xml:space="preserve">currently integrated in the long-term planning around quality, safety </w:t>
      </w:r>
      <w:r w:rsidR="00532FAF" w:rsidRPr="00AB3967">
        <w:rPr>
          <w:rFonts w:cs="Arial"/>
          <w:b/>
          <w:sz w:val="20"/>
          <w:szCs w:val="20"/>
        </w:rPr>
        <w:t>and outcomes.</w:t>
      </w:r>
      <w:r w:rsidR="009B2A94" w:rsidRPr="00AB3967">
        <w:rPr>
          <w:rFonts w:cs="Arial"/>
          <w:b/>
          <w:sz w:val="20"/>
          <w:szCs w:val="20"/>
        </w:rPr>
        <w:t xml:space="preserve"> Explain why as part of the UMMHC system </w:t>
      </w:r>
      <w:r w:rsidR="00150504" w:rsidRPr="00AB3967">
        <w:rPr>
          <w:rFonts w:cs="Arial"/>
          <w:b/>
          <w:sz w:val="20"/>
          <w:szCs w:val="20"/>
        </w:rPr>
        <w:t>these functions are not currently possible.</w:t>
      </w:r>
      <w:r w:rsidR="00FC421F" w:rsidRPr="00AB3967">
        <w:rPr>
          <w:rFonts w:cs="Arial"/>
          <w:b/>
          <w:sz w:val="20"/>
          <w:szCs w:val="20"/>
        </w:rPr>
        <w:t xml:space="preserve"> </w:t>
      </w:r>
    </w:p>
    <w:p w14:paraId="085BE8D2" w14:textId="77777777" w:rsidR="00EA5868" w:rsidRPr="00AB3967" w:rsidRDefault="00EA5868" w:rsidP="00EA5868">
      <w:pPr>
        <w:pStyle w:val="ListParagraph"/>
        <w:ind w:left="1080"/>
        <w:jc w:val="both"/>
        <w:rPr>
          <w:rFonts w:cs="Arial"/>
          <w:bCs/>
          <w:sz w:val="20"/>
          <w:szCs w:val="20"/>
        </w:rPr>
      </w:pPr>
    </w:p>
    <w:p w14:paraId="399DD1E5" w14:textId="095F38D8" w:rsidR="00EA5868" w:rsidRPr="00AB3967" w:rsidRDefault="00EA5868" w:rsidP="001B3B2C">
      <w:pPr>
        <w:pStyle w:val="ListParagraph"/>
        <w:spacing w:after="120" w:line="240" w:lineRule="auto"/>
        <w:ind w:left="1080"/>
        <w:contextualSpacing w:val="0"/>
        <w:jc w:val="both"/>
        <w:rPr>
          <w:rFonts w:cs="Arial"/>
          <w:bCs/>
          <w:sz w:val="20"/>
          <w:szCs w:val="20"/>
        </w:rPr>
      </w:pPr>
      <w:r w:rsidRPr="00AB3967">
        <w:rPr>
          <w:rFonts w:cs="Arial"/>
          <w:bCs/>
          <w:sz w:val="20"/>
          <w:szCs w:val="20"/>
        </w:rPr>
        <w:t>As noted in the response to Question #4, the responsibility for quality and patient safety</w:t>
      </w:r>
      <w:r w:rsidR="009D3ABA" w:rsidRPr="00AB3967">
        <w:rPr>
          <w:rFonts w:cs="Arial"/>
          <w:bCs/>
          <w:sz w:val="20"/>
          <w:szCs w:val="20"/>
        </w:rPr>
        <w:t xml:space="preserve"> is</w:t>
      </w:r>
      <w:r w:rsidRPr="00AB3967">
        <w:rPr>
          <w:rFonts w:cs="Arial"/>
          <w:bCs/>
          <w:sz w:val="20"/>
          <w:szCs w:val="20"/>
        </w:rPr>
        <w:t xml:space="preserve"> with the licensed </w:t>
      </w:r>
      <w:r w:rsidR="009D3ABA" w:rsidRPr="00AB3967">
        <w:rPr>
          <w:rFonts w:cs="Arial"/>
          <w:bCs/>
          <w:sz w:val="20"/>
          <w:szCs w:val="20"/>
        </w:rPr>
        <w:t>and certified hospital</w:t>
      </w:r>
      <w:r w:rsidRPr="00AB3967">
        <w:rPr>
          <w:rFonts w:cs="Arial"/>
          <w:bCs/>
          <w:sz w:val="20"/>
          <w:szCs w:val="20"/>
        </w:rPr>
        <w:t xml:space="preserve">. </w:t>
      </w:r>
      <w:r w:rsidR="009D3ABA" w:rsidRPr="00AB3967">
        <w:rPr>
          <w:rFonts w:cs="Arial"/>
          <w:bCs/>
          <w:sz w:val="20"/>
          <w:szCs w:val="20"/>
        </w:rPr>
        <w:t>From a regulatory compliance perspective, e</w:t>
      </w:r>
      <w:r w:rsidRPr="00AB3967">
        <w:rPr>
          <w:rFonts w:cs="Arial"/>
          <w:bCs/>
          <w:sz w:val="20"/>
          <w:szCs w:val="20"/>
        </w:rPr>
        <w:t xml:space="preserve">ach </w:t>
      </w:r>
      <w:r w:rsidR="009D3ABA" w:rsidRPr="00AB3967">
        <w:rPr>
          <w:rFonts w:cs="Arial"/>
          <w:bCs/>
          <w:sz w:val="20"/>
          <w:szCs w:val="20"/>
        </w:rPr>
        <w:t>hospital</w:t>
      </w:r>
      <w:r w:rsidRPr="00AB3967">
        <w:rPr>
          <w:rFonts w:cs="Arial"/>
          <w:bCs/>
          <w:sz w:val="20"/>
          <w:szCs w:val="20"/>
        </w:rPr>
        <w:t xml:space="preserve"> is solely responsible for its Governing Body, Administration and Medical Staff, as well as the associated costs. This important work of the licensed hospital is supported at the </w:t>
      </w:r>
      <w:r w:rsidR="009D3ABA" w:rsidRPr="00AB3967">
        <w:rPr>
          <w:rFonts w:cs="Arial"/>
          <w:bCs/>
          <w:sz w:val="20"/>
          <w:szCs w:val="20"/>
        </w:rPr>
        <w:t xml:space="preserve">UMass Memorial system </w:t>
      </w:r>
      <w:r w:rsidRPr="00AB3967">
        <w:rPr>
          <w:rFonts w:cs="Arial"/>
          <w:bCs/>
          <w:sz w:val="20"/>
          <w:szCs w:val="20"/>
        </w:rPr>
        <w:t xml:space="preserve">level for quality, patient safety, and regulatory oversight </w:t>
      </w:r>
      <w:r w:rsidR="009D3ABA" w:rsidRPr="00AB3967">
        <w:rPr>
          <w:rFonts w:cs="Arial"/>
          <w:bCs/>
          <w:sz w:val="20"/>
          <w:szCs w:val="20"/>
        </w:rPr>
        <w:t>including</w:t>
      </w:r>
      <w:r w:rsidRPr="00AB3967">
        <w:rPr>
          <w:rFonts w:cs="Arial"/>
          <w:bCs/>
          <w:sz w:val="20"/>
          <w:szCs w:val="20"/>
        </w:rPr>
        <w:t xml:space="preserve"> centralized efforts at federal and state data reporting, quality reporting through standardized metrics, and overall system-wide legal, audit, compliance, and risk management activities. However, support cannot be provided or leveraged between separately licensed hospitals. </w:t>
      </w:r>
      <w:r w:rsidR="00AB03FB" w:rsidRPr="00AB3967">
        <w:rPr>
          <w:rFonts w:cs="Arial"/>
          <w:bCs/>
          <w:sz w:val="20"/>
          <w:szCs w:val="20"/>
        </w:rPr>
        <w:t xml:space="preserve">Any programs of one hospital, such as UMMMC, could be duplicated at another hospital, but they cannot </w:t>
      </w:r>
      <w:r w:rsidR="000F4DD8" w:rsidRPr="00AB3967">
        <w:rPr>
          <w:rFonts w:cs="Arial"/>
          <w:bCs/>
          <w:sz w:val="20"/>
          <w:szCs w:val="20"/>
        </w:rPr>
        <w:t xml:space="preserve">be fully integrated </w:t>
      </w:r>
      <w:r w:rsidR="00AB03FB" w:rsidRPr="00AB3967">
        <w:rPr>
          <w:rFonts w:cs="Arial"/>
          <w:bCs/>
          <w:sz w:val="20"/>
          <w:szCs w:val="20"/>
        </w:rPr>
        <w:t>or otherwise act as a singular program.</w:t>
      </w:r>
      <w:r w:rsidR="009D3ABA" w:rsidRPr="00AB3967">
        <w:rPr>
          <w:rFonts w:cs="Arial"/>
          <w:bCs/>
          <w:sz w:val="20"/>
          <w:szCs w:val="20"/>
        </w:rPr>
        <w:t xml:space="preserve"> As a small community hospital, MH does not have the personnel resources to implement the same level of programming available at UMMMC which has significantly more resources to carry out this work. </w:t>
      </w:r>
    </w:p>
    <w:p w14:paraId="0765F857" w14:textId="77777777" w:rsidR="00EA5868" w:rsidRPr="00AB3967" w:rsidRDefault="00EA5868" w:rsidP="001B3B2C">
      <w:pPr>
        <w:pStyle w:val="ListParagraph"/>
        <w:spacing w:after="120" w:line="240" w:lineRule="auto"/>
        <w:ind w:left="1080"/>
        <w:contextualSpacing w:val="0"/>
        <w:jc w:val="both"/>
        <w:rPr>
          <w:rFonts w:cs="Arial"/>
          <w:bCs/>
          <w:sz w:val="20"/>
          <w:szCs w:val="20"/>
        </w:rPr>
      </w:pPr>
    </w:p>
    <w:p w14:paraId="6E19CD15" w14:textId="4CB162B1" w:rsidR="00EA5868" w:rsidRPr="00AB3967" w:rsidRDefault="009D3ABA" w:rsidP="001B3B2C">
      <w:pPr>
        <w:pStyle w:val="ListParagraph"/>
        <w:spacing w:after="120" w:line="240" w:lineRule="auto"/>
        <w:ind w:left="1080"/>
        <w:contextualSpacing w:val="0"/>
        <w:jc w:val="both"/>
        <w:rPr>
          <w:rFonts w:cs="Arial"/>
          <w:bCs/>
          <w:sz w:val="20"/>
          <w:szCs w:val="20"/>
        </w:rPr>
      </w:pPr>
      <w:r w:rsidRPr="00AB3967">
        <w:rPr>
          <w:rFonts w:cs="Arial"/>
          <w:bCs/>
          <w:sz w:val="20"/>
          <w:szCs w:val="20"/>
        </w:rPr>
        <w:t xml:space="preserve">For example, </w:t>
      </w:r>
      <w:r w:rsidR="00EA5868" w:rsidRPr="00AB3967">
        <w:rPr>
          <w:rFonts w:cs="Arial"/>
          <w:bCs/>
          <w:sz w:val="20"/>
          <w:szCs w:val="20"/>
        </w:rPr>
        <w:t xml:space="preserve">UMMMC has a robust patient quality, safety and regulatory readiness program anchored by a Chief Quality Officer and an AVP of Patient Safety and Regulatory Affairs. Additionally, every </w:t>
      </w:r>
      <w:r w:rsidR="000F4DD8" w:rsidRPr="00AB3967">
        <w:rPr>
          <w:rFonts w:cs="Arial"/>
          <w:bCs/>
          <w:sz w:val="20"/>
          <w:szCs w:val="20"/>
        </w:rPr>
        <w:t xml:space="preserve">UMMMC </w:t>
      </w:r>
      <w:r w:rsidR="00EA5868" w:rsidRPr="00AB3967">
        <w:rPr>
          <w:rFonts w:cs="Arial"/>
          <w:bCs/>
          <w:sz w:val="20"/>
          <w:szCs w:val="20"/>
        </w:rPr>
        <w:t xml:space="preserve">Medical Staff Department has Physician Quality Officers that are responsible for quality within the department from a provider perspective. This depth of expertise and quality control is </w:t>
      </w:r>
      <w:proofErr w:type="gramStart"/>
      <w:r w:rsidR="00EA5868" w:rsidRPr="00AB3967">
        <w:rPr>
          <w:rFonts w:cs="Arial"/>
          <w:bCs/>
          <w:sz w:val="20"/>
          <w:szCs w:val="20"/>
        </w:rPr>
        <w:t>simple</w:t>
      </w:r>
      <w:proofErr w:type="gramEnd"/>
      <w:r w:rsidR="00EA5868" w:rsidRPr="00AB3967">
        <w:rPr>
          <w:rFonts w:cs="Arial"/>
          <w:bCs/>
          <w:sz w:val="20"/>
          <w:szCs w:val="20"/>
        </w:rPr>
        <w:t xml:space="preserve"> not possible for a Medical Staff of an entity the size of Marlborough Hospital. </w:t>
      </w:r>
      <w:r w:rsidRPr="00AB3967">
        <w:rPr>
          <w:rFonts w:cs="Arial"/>
          <w:bCs/>
          <w:sz w:val="20"/>
          <w:szCs w:val="20"/>
        </w:rPr>
        <w:t xml:space="preserve">With the merger, </w:t>
      </w:r>
      <w:r w:rsidR="00EA5868" w:rsidRPr="00AB3967">
        <w:rPr>
          <w:rFonts w:cs="Arial"/>
          <w:bCs/>
          <w:sz w:val="20"/>
          <w:szCs w:val="20"/>
        </w:rPr>
        <w:t xml:space="preserve">UMMMC will have the ability to absorb MH into the currently </w:t>
      </w:r>
      <w:r w:rsidR="00EA5868" w:rsidRPr="00AB3967">
        <w:rPr>
          <w:rFonts w:cs="Arial"/>
          <w:bCs/>
          <w:sz w:val="20"/>
          <w:szCs w:val="20"/>
        </w:rPr>
        <w:lastRenderedPageBreak/>
        <w:t>established program with virtually no additional cost and improve the quantity and depth of quality and safety activities</w:t>
      </w:r>
      <w:r w:rsidR="000F4DD8" w:rsidRPr="00AB3967">
        <w:rPr>
          <w:rFonts w:cs="Arial"/>
          <w:bCs/>
          <w:sz w:val="20"/>
          <w:szCs w:val="20"/>
        </w:rPr>
        <w:t xml:space="preserve"> at MH</w:t>
      </w:r>
      <w:r w:rsidR="00EA5868" w:rsidRPr="00AB3967">
        <w:rPr>
          <w:rFonts w:cs="Arial"/>
          <w:bCs/>
          <w:sz w:val="20"/>
          <w:szCs w:val="20"/>
        </w:rPr>
        <w:t>.</w:t>
      </w:r>
    </w:p>
    <w:p w14:paraId="436F5888" w14:textId="6C475CD9" w:rsidR="00EA5868" w:rsidRPr="00AB3967" w:rsidRDefault="00EA5868" w:rsidP="001B3B2C">
      <w:pPr>
        <w:pStyle w:val="ListParagraph"/>
        <w:spacing w:after="120" w:line="240" w:lineRule="auto"/>
        <w:ind w:left="1080"/>
        <w:contextualSpacing w:val="0"/>
        <w:jc w:val="both"/>
        <w:rPr>
          <w:rFonts w:cs="Arial"/>
          <w:bCs/>
          <w:sz w:val="20"/>
          <w:szCs w:val="20"/>
        </w:rPr>
      </w:pPr>
      <w:r w:rsidRPr="00AB3967">
        <w:rPr>
          <w:rFonts w:cs="Arial"/>
          <w:bCs/>
          <w:sz w:val="20"/>
          <w:szCs w:val="20"/>
        </w:rPr>
        <w:t>UMMMC additionally has a robust patient grievance and patient experience office which will be able to further support MH with patient grievances and patient experience.  MH will be</w:t>
      </w:r>
      <w:r w:rsidR="000F4DD8" w:rsidRPr="00AB3967">
        <w:rPr>
          <w:rFonts w:cs="Arial"/>
          <w:bCs/>
          <w:sz w:val="20"/>
          <w:szCs w:val="20"/>
        </w:rPr>
        <w:t xml:space="preserve"> fully</w:t>
      </w:r>
      <w:r w:rsidRPr="00AB3967">
        <w:rPr>
          <w:rFonts w:cs="Arial"/>
          <w:bCs/>
          <w:sz w:val="20"/>
          <w:szCs w:val="20"/>
        </w:rPr>
        <w:t xml:space="preserve"> incorporated into the Medical Center’s patient grievance and patient experience governance process.</w:t>
      </w:r>
    </w:p>
    <w:p w14:paraId="448E00DF" w14:textId="77777777" w:rsidR="00EA5868" w:rsidRPr="00AB3967" w:rsidRDefault="00EA5868" w:rsidP="00EA5868">
      <w:pPr>
        <w:pStyle w:val="ListParagraph"/>
        <w:ind w:left="1080"/>
        <w:jc w:val="both"/>
        <w:rPr>
          <w:rFonts w:cs="Arial"/>
          <w:bCs/>
          <w:sz w:val="20"/>
          <w:szCs w:val="20"/>
        </w:rPr>
      </w:pPr>
    </w:p>
    <w:p w14:paraId="4F6F2F3C" w14:textId="22974802" w:rsidR="00726CD9" w:rsidRPr="00AB3967" w:rsidRDefault="00726CD9" w:rsidP="00EA5868">
      <w:pPr>
        <w:pStyle w:val="ListParagraph"/>
        <w:numPr>
          <w:ilvl w:val="0"/>
          <w:numId w:val="21"/>
        </w:numPr>
        <w:rPr>
          <w:rFonts w:cs="Arial"/>
          <w:b/>
          <w:sz w:val="20"/>
          <w:szCs w:val="20"/>
        </w:rPr>
      </w:pPr>
      <w:r w:rsidRPr="00AB3967">
        <w:rPr>
          <w:rFonts w:cs="Arial"/>
          <w:b/>
          <w:sz w:val="20"/>
          <w:szCs w:val="20"/>
        </w:rPr>
        <w:t xml:space="preserve">Explain why </w:t>
      </w:r>
      <w:r w:rsidR="008C08B7" w:rsidRPr="00AB3967">
        <w:rPr>
          <w:rFonts w:cs="Arial"/>
          <w:b/>
          <w:sz w:val="20"/>
          <w:szCs w:val="20"/>
        </w:rPr>
        <w:t>“</w:t>
      </w:r>
      <w:r w:rsidR="00F31F8E" w:rsidRPr="00AB3967">
        <w:rPr>
          <w:rFonts w:cs="Arial"/>
          <w:b/>
          <w:sz w:val="20"/>
          <w:szCs w:val="20"/>
        </w:rPr>
        <w:t>redesigning patient care</w:t>
      </w:r>
      <w:r w:rsidR="008C08B7" w:rsidRPr="00AB3967">
        <w:rPr>
          <w:rFonts w:cs="Arial"/>
          <w:b/>
          <w:sz w:val="20"/>
          <w:szCs w:val="20"/>
        </w:rPr>
        <w:t>”</w:t>
      </w:r>
      <w:r w:rsidR="00F31F8E" w:rsidRPr="00AB3967">
        <w:rPr>
          <w:rFonts w:cs="Arial"/>
          <w:b/>
          <w:sz w:val="20"/>
          <w:szCs w:val="20"/>
        </w:rPr>
        <w:t xml:space="preserve"> at Marlborough Hospital</w:t>
      </w:r>
      <w:r w:rsidR="008C08B7" w:rsidRPr="00AB3967">
        <w:rPr>
          <w:rFonts w:cs="Arial"/>
          <w:b/>
          <w:sz w:val="20"/>
          <w:szCs w:val="20"/>
        </w:rPr>
        <w:t xml:space="preserve"> that achieves efficiencies and</w:t>
      </w:r>
      <w:r w:rsidR="007E0BC9" w:rsidRPr="00AB3967">
        <w:rPr>
          <w:rFonts w:cs="Arial"/>
          <w:b/>
          <w:sz w:val="20"/>
          <w:szCs w:val="20"/>
        </w:rPr>
        <w:t xml:space="preserve"> </w:t>
      </w:r>
      <w:r w:rsidR="008C08B7" w:rsidRPr="00AB3967">
        <w:rPr>
          <w:rFonts w:cs="Arial"/>
          <w:b/>
          <w:sz w:val="20"/>
          <w:szCs w:val="20"/>
        </w:rPr>
        <w:t>r</w:t>
      </w:r>
      <w:r w:rsidR="007E0BC9" w:rsidRPr="00AB3967">
        <w:rPr>
          <w:rFonts w:cs="Arial"/>
          <w:b/>
          <w:sz w:val="20"/>
          <w:szCs w:val="20"/>
        </w:rPr>
        <w:t>educes operational costs</w:t>
      </w:r>
      <w:r w:rsidR="00F31F8E" w:rsidRPr="00AB3967">
        <w:rPr>
          <w:rFonts w:cs="Arial"/>
          <w:b/>
          <w:sz w:val="20"/>
          <w:szCs w:val="20"/>
        </w:rPr>
        <w:t xml:space="preserve"> is not possible as part of the </w:t>
      </w:r>
      <w:r w:rsidR="007E0BC9" w:rsidRPr="00AB3967">
        <w:rPr>
          <w:rFonts w:cs="Arial"/>
          <w:b/>
          <w:sz w:val="20"/>
          <w:szCs w:val="20"/>
        </w:rPr>
        <w:t>U</w:t>
      </w:r>
      <w:r w:rsidR="00F31F8E" w:rsidRPr="00AB3967">
        <w:rPr>
          <w:rFonts w:cs="Arial"/>
          <w:b/>
          <w:sz w:val="20"/>
          <w:szCs w:val="20"/>
        </w:rPr>
        <w:t>MMHC system</w:t>
      </w:r>
      <w:r w:rsidR="007E0BC9" w:rsidRPr="00AB3967">
        <w:rPr>
          <w:rFonts w:cs="Arial"/>
          <w:b/>
          <w:sz w:val="20"/>
          <w:szCs w:val="20"/>
        </w:rPr>
        <w:t xml:space="preserve"> currently.</w:t>
      </w:r>
    </w:p>
    <w:p w14:paraId="357C0A2F" w14:textId="77777777" w:rsidR="00064E8A" w:rsidRPr="00AB3967" w:rsidRDefault="00064E8A" w:rsidP="00064E8A">
      <w:pPr>
        <w:pStyle w:val="ListParagraph"/>
        <w:ind w:left="1080"/>
        <w:rPr>
          <w:rFonts w:cs="Arial"/>
          <w:bCs/>
          <w:sz w:val="20"/>
          <w:szCs w:val="20"/>
        </w:rPr>
      </w:pPr>
    </w:p>
    <w:p w14:paraId="7E76A13D" w14:textId="29ACA72B" w:rsidR="00064E8A" w:rsidRPr="00AB3967" w:rsidRDefault="009D3ABA" w:rsidP="00064E8A">
      <w:pPr>
        <w:pStyle w:val="ListParagraph"/>
        <w:ind w:left="1080"/>
        <w:jc w:val="both"/>
        <w:rPr>
          <w:rFonts w:cs="Arial"/>
          <w:bCs/>
          <w:sz w:val="20"/>
          <w:szCs w:val="20"/>
        </w:rPr>
      </w:pPr>
      <w:r w:rsidRPr="00AB3967">
        <w:rPr>
          <w:rFonts w:cs="Arial"/>
          <w:bCs/>
          <w:sz w:val="20"/>
          <w:szCs w:val="20"/>
        </w:rPr>
        <w:t xml:space="preserve">As discussed in these responses and in the </w:t>
      </w:r>
      <w:proofErr w:type="spellStart"/>
      <w:r w:rsidRPr="00AB3967">
        <w:rPr>
          <w:rFonts w:cs="Arial"/>
          <w:bCs/>
          <w:sz w:val="20"/>
          <w:szCs w:val="20"/>
        </w:rPr>
        <w:t>DoN</w:t>
      </w:r>
      <w:proofErr w:type="spellEnd"/>
      <w:r w:rsidRPr="00AB3967">
        <w:rPr>
          <w:rFonts w:cs="Arial"/>
          <w:bCs/>
          <w:sz w:val="20"/>
          <w:szCs w:val="20"/>
        </w:rPr>
        <w:t xml:space="preserve"> narrative, </w:t>
      </w:r>
      <w:r w:rsidR="00F94036" w:rsidRPr="00AB3967">
        <w:rPr>
          <w:rFonts w:cs="Arial"/>
          <w:bCs/>
          <w:sz w:val="20"/>
          <w:szCs w:val="20"/>
        </w:rPr>
        <w:t xml:space="preserve">the major challenge that MH is facing is its ability to provide access to community hospital services because of the significant costs involved with obtaining specialty coverage to support the provision of inpatient community-hospital level care. </w:t>
      </w:r>
      <w:r w:rsidR="00064E8A" w:rsidRPr="00AB3967">
        <w:rPr>
          <w:rFonts w:cs="Arial"/>
          <w:bCs/>
          <w:sz w:val="20"/>
          <w:szCs w:val="20"/>
        </w:rPr>
        <w:t xml:space="preserve"> As more fully described in the response to Question #4, </w:t>
      </w:r>
      <w:r w:rsidR="00F94036" w:rsidRPr="00AB3967">
        <w:rPr>
          <w:rFonts w:cs="Arial"/>
          <w:bCs/>
          <w:sz w:val="20"/>
          <w:szCs w:val="20"/>
        </w:rPr>
        <w:t>regulatory</w:t>
      </w:r>
      <w:r w:rsidR="00064E8A" w:rsidRPr="00AB3967">
        <w:rPr>
          <w:rFonts w:cs="Arial"/>
          <w:bCs/>
          <w:sz w:val="20"/>
          <w:szCs w:val="20"/>
        </w:rPr>
        <w:t xml:space="preserve"> barriers exist </w:t>
      </w:r>
      <w:r w:rsidR="00F94036" w:rsidRPr="00AB3967">
        <w:rPr>
          <w:rFonts w:cs="Arial"/>
          <w:bCs/>
          <w:sz w:val="20"/>
          <w:szCs w:val="20"/>
        </w:rPr>
        <w:t>with the current two hospital model that do not permit MH to obtain clinical and administrative services from UMMMC without significant costs and administrative burden</w:t>
      </w:r>
      <w:r w:rsidR="00064E8A" w:rsidRPr="00AB3967">
        <w:rPr>
          <w:rFonts w:cs="Arial"/>
          <w:bCs/>
          <w:sz w:val="20"/>
          <w:szCs w:val="20"/>
        </w:rPr>
        <w:t xml:space="preserve">. Through the proposed merger, patients in the Marlborough region will have access to a wider array of specialists through the integration of UMMMC’s and MH’s medical </w:t>
      </w:r>
      <w:proofErr w:type="gramStart"/>
      <w:r w:rsidR="00064E8A" w:rsidRPr="00AB3967">
        <w:rPr>
          <w:rFonts w:cs="Arial"/>
          <w:bCs/>
          <w:sz w:val="20"/>
          <w:szCs w:val="20"/>
        </w:rPr>
        <w:t>staffs</w:t>
      </w:r>
      <w:proofErr w:type="gramEnd"/>
      <w:r w:rsidR="00064E8A" w:rsidRPr="00AB3967">
        <w:rPr>
          <w:rFonts w:cs="Arial"/>
          <w:bCs/>
          <w:sz w:val="20"/>
          <w:szCs w:val="20"/>
        </w:rPr>
        <w:t xml:space="preserve">. For example, providing call coverage singularly to a </w:t>
      </w:r>
      <w:proofErr w:type="gramStart"/>
      <w:r w:rsidR="00064E8A" w:rsidRPr="00AB3967">
        <w:rPr>
          <w:rFonts w:cs="Arial"/>
          <w:bCs/>
          <w:sz w:val="20"/>
          <w:szCs w:val="20"/>
        </w:rPr>
        <w:t>79 bed</w:t>
      </w:r>
      <w:proofErr w:type="gramEnd"/>
      <w:r w:rsidR="00064E8A" w:rsidRPr="00AB3967">
        <w:rPr>
          <w:rFonts w:cs="Arial"/>
          <w:bCs/>
          <w:sz w:val="20"/>
          <w:szCs w:val="20"/>
        </w:rPr>
        <w:t xml:space="preserve"> hospital is less efficient than providing coverage to both the 79-bed hospital </w:t>
      </w:r>
      <w:r w:rsidR="000F4DD8" w:rsidRPr="00AB3967">
        <w:rPr>
          <w:rFonts w:cs="Arial"/>
          <w:bCs/>
          <w:sz w:val="20"/>
          <w:szCs w:val="20"/>
        </w:rPr>
        <w:t xml:space="preserve">campus </w:t>
      </w:r>
      <w:r w:rsidR="00064E8A" w:rsidRPr="00AB3967">
        <w:rPr>
          <w:rFonts w:cs="Arial"/>
          <w:bCs/>
          <w:sz w:val="20"/>
          <w:szCs w:val="20"/>
        </w:rPr>
        <w:t>and a large academic medical center</w:t>
      </w:r>
      <w:r w:rsidR="00F94036" w:rsidRPr="00AB3967">
        <w:rPr>
          <w:rFonts w:cs="Arial"/>
          <w:bCs/>
          <w:sz w:val="20"/>
          <w:szCs w:val="20"/>
        </w:rPr>
        <w:t xml:space="preserve">. </w:t>
      </w:r>
      <w:r w:rsidR="00064E8A" w:rsidRPr="00AB3967">
        <w:rPr>
          <w:rFonts w:cs="Arial"/>
          <w:bCs/>
          <w:sz w:val="20"/>
          <w:szCs w:val="20"/>
        </w:rPr>
        <w:t xml:space="preserve">As a result, the needed expansion of specialty services can be achieved much more efficiently </w:t>
      </w:r>
      <w:r w:rsidR="00F94036" w:rsidRPr="00AB3967">
        <w:rPr>
          <w:rFonts w:cs="Arial"/>
          <w:bCs/>
          <w:sz w:val="20"/>
          <w:szCs w:val="20"/>
        </w:rPr>
        <w:t xml:space="preserve">with MH operating </w:t>
      </w:r>
      <w:r w:rsidR="00064E8A" w:rsidRPr="00AB3967">
        <w:rPr>
          <w:rFonts w:cs="Arial"/>
          <w:bCs/>
          <w:sz w:val="20"/>
          <w:szCs w:val="20"/>
        </w:rPr>
        <w:t xml:space="preserve">as a licensed campus of UMMMC than any efforts to do so as a separately licensed campus. </w:t>
      </w:r>
    </w:p>
    <w:p w14:paraId="3A78B633" w14:textId="77777777" w:rsidR="003D40A5" w:rsidRPr="00AB3967" w:rsidRDefault="003D40A5" w:rsidP="003D40A5">
      <w:pPr>
        <w:pStyle w:val="ListParagraph"/>
        <w:rPr>
          <w:rFonts w:cs="Arial"/>
          <w:bCs/>
          <w:sz w:val="20"/>
          <w:szCs w:val="20"/>
        </w:rPr>
      </w:pPr>
    </w:p>
    <w:p w14:paraId="79956223" w14:textId="14F2D16B" w:rsidR="007A777D" w:rsidRPr="00AB3967" w:rsidRDefault="007A777D" w:rsidP="00EA5868">
      <w:pPr>
        <w:pStyle w:val="ListParagraph"/>
        <w:numPr>
          <w:ilvl w:val="0"/>
          <w:numId w:val="21"/>
        </w:numPr>
        <w:rPr>
          <w:rFonts w:cs="Arial"/>
          <w:b/>
          <w:sz w:val="20"/>
          <w:szCs w:val="20"/>
        </w:rPr>
      </w:pPr>
      <w:r w:rsidRPr="00AB3967">
        <w:rPr>
          <w:rFonts w:cs="Arial"/>
          <w:b/>
          <w:sz w:val="20"/>
          <w:szCs w:val="20"/>
        </w:rPr>
        <w:t>Public Health Value Equity focused</w:t>
      </w:r>
    </w:p>
    <w:p w14:paraId="34528741" w14:textId="572E8BFC" w:rsidR="00437B18" w:rsidRPr="00AB3967" w:rsidRDefault="00827771" w:rsidP="00FC421F">
      <w:pPr>
        <w:pStyle w:val="ListParagraph"/>
        <w:numPr>
          <w:ilvl w:val="0"/>
          <w:numId w:val="13"/>
        </w:numPr>
        <w:rPr>
          <w:rFonts w:cs="Arial"/>
          <w:b/>
          <w:sz w:val="20"/>
          <w:szCs w:val="20"/>
        </w:rPr>
      </w:pPr>
      <w:r w:rsidRPr="00AB3967">
        <w:rPr>
          <w:rFonts w:cs="Arial"/>
          <w:b/>
          <w:sz w:val="20"/>
          <w:szCs w:val="20"/>
        </w:rPr>
        <w:t xml:space="preserve">Are the programs </w:t>
      </w:r>
      <w:r w:rsidR="00437B18" w:rsidRPr="00AB3967">
        <w:rPr>
          <w:rFonts w:cs="Arial"/>
          <w:b/>
          <w:sz w:val="20"/>
          <w:szCs w:val="20"/>
        </w:rPr>
        <w:t xml:space="preserve">listed currently not </w:t>
      </w:r>
      <w:proofErr w:type="gramStart"/>
      <w:r w:rsidR="00437B18" w:rsidRPr="00AB3967">
        <w:rPr>
          <w:rFonts w:cs="Arial"/>
          <w:b/>
          <w:sz w:val="20"/>
          <w:szCs w:val="20"/>
        </w:rPr>
        <w:t>available at</w:t>
      </w:r>
      <w:proofErr w:type="gramEnd"/>
      <w:r w:rsidR="009166EC" w:rsidRPr="00AB3967">
        <w:rPr>
          <w:rFonts w:cs="Arial"/>
          <w:b/>
          <w:sz w:val="20"/>
          <w:szCs w:val="20"/>
        </w:rPr>
        <w:t xml:space="preserve"> to MH patients</w:t>
      </w:r>
      <w:r w:rsidR="00437B18" w:rsidRPr="00AB3967">
        <w:rPr>
          <w:rFonts w:cs="Arial"/>
          <w:b/>
          <w:sz w:val="20"/>
          <w:szCs w:val="20"/>
        </w:rPr>
        <w:t xml:space="preserve">? </w:t>
      </w:r>
    </w:p>
    <w:p w14:paraId="09E39910" w14:textId="4054C25E" w:rsidR="00D57063" w:rsidRPr="00AB3967" w:rsidRDefault="00D57063" w:rsidP="00700155">
      <w:pPr>
        <w:ind w:left="1080"/>
        <w:jc w:val="both"/>
        <w:rPr>
          <w:rFonts w:cs="Arial"/>
          <w:bCs/>
          <w:sz w:val="20"/>
          <w:szCs w:val="20"/>
        </w:rPr>
      </w:pPr>
      <w:r w:rsidRPr="00AB3967">
        <w:rPr>
          <w:rFonts w:cs="Arial"/>
          <w:bCs/>
          <w:sz w:val="20"/>
          <w:szCs w:val="20"/>
        </w:rPr>
        <w:t xml:space="preserve">The programs listed in the </w:t>
      </w:r>
      <w:proofErr w:type="spellStart"/>
      <w:r w:rsidRPr="00AB3967">
        <w:rPr>
          <w:rFonts w:cs="Arial"/>
          <w:bCs/>
          <w:sz w:val="20"/>
          <w:szCs w:val="20"/>
        </w:rPr>
        <w:t>DoN</w:t>
      </w:r>
      <w:proofErr w:type="spellEnd"/>
      <w:r w:rsidRPr="00AB3967">
        <w:rPr>
          <w:rFonts w:cs="Arial"/>
          <w:bCs/>
          <w:sz w:val="20"/>
          <w:szCs w:val="20"/>
        </w:rPr>
        <w:t xml:space="preserve"> narrative are primarily UMMMC programs. MH currently has the following programs described in more detail in the narrative: Interpreter Services; Culturally Competent Staff; MyChart in English and Spanish; UMass Memorial Health Equity Improvement Initiatives; MassHealth Health Equity Incentive Program; and CommunityHelp.net and </w:t>
      </w:r>
      <w:proofErr w:type="spellStart"/>
      <w:r w:rsidRPr="00AB3967">
        <w:rPr>
          <w:rFonts w:cs="Arial"/>
          <w:bCs/>
          <w:sz w:val="20"/>
          <w:szCs w:val="20"/>
        </w:rPr>
        <w:t>GetWell</w:t>
      </w:r>
      <w:proofErr w:type="spellEnd"/>
      <w:r w:rsidRPr="00AB3967">
        <w:rPr>
          <w:rFonts w:cs="Arial"/>
          <w:bCs/>
          <w:sz w:val="20"/>
          <w:szCs w:val="20"/>
        </w:rPr>
        <w:t xml:space="preserve">.  Marlborough Hospital does not have a doula program because it does not provide maternity services. With respect to Community Benefits Programs, those listed in the </w:t>
      </w:r>
      <w:proofErr w:type="spellStart"/>
      <w:r w:rsidRPr="00AB3967">
        <w:rPr>
          <w:rFonts w:cs="Arial"/>
          <w:bCs/>
          <w:sz w:val="20"/>
          <w:szCs w:val="20"/>
        </w:rPr>
        <w:t>DoN</w:t>
      </w:r>
      <w:proofErr w:type="spellEnd"/>
      <w:r w:rsidRPr="00AB3967">
        <w:rPr>
          <w:rFonts w:cs="Arial"/>
          <w:bCs/>
          <w:sz w:val="20"/>
          <w:szCs w:val="20"/>
        </w:rPr>
        <w:t xml:space="preserve"> are programs of UMMMC. Following the merger, the Marlborough Campus will be part of the UMMMC license and as a result some of the Community Benefits Programs may be extended to the Marlborough service area as appropriate.</w:t>
      </w:r>
    </w:p>
    <w:p w14:paraId="25118C0D" w14:textId="2D424137" w:rsidR="00D57063" w:rsidRPr="00AB3967" w:rsidRDefault="009166EC" w:rsidP="00B8203A">
      <w:pPr>
        <w:pStyle w:val="ListParagraph"/>
        <w:numPr>
          <w:ilvl w:val="0"/>
          <w:numId w:val="13"/>
        </w:numPr>
        <w:rPr>
          <w:rFonts w:cs="Arial"/>
          <w:b/>
          <w:sz w:val="20"/>
          <w:szCs w:val="20"/>
        </w:rPr>
      </w:pPr>
      <w:r w:rsidRPr="00AB3967">
        <w:rPr>
          <w:rFonts w:cs="Arial"/>
          <w:b/>
          <w:sz w:val="20"/>
          <w:szCs w:val="20"/>
        </w:rPr>
        <w:t>If not will these all be available to MH patients?</w:t>
      </w:r>
    </w:p>
    <w:p w14:paraId="20F3DBC5" w14:textId="64A48653" w:rsidR="00D57063" w:rsidRPr="00AB3967" w:rsidRDefault="00D57063" w:rsidP="00B8203A">
      <w:pPr>
        <w:ind w:left="360" w:firstLine="720"/>
        <w:rPr>
          <w:rFonts w:cs="Arial"/>
          <w:bCs/>
          <w:sz w:val="20"/>
          <w:szCs w:val="20"/>
        </w:rPr>
      </w:pPr>
      <w:r w:rsidRPr="00AB3967">
        <w:rPr>
          <w:rFonts w:cs="Arial"/>
          <w:bCs/>
          <w:sz w:val="20"/>
          <w:szCs w:val="20"/>
        </w:rPr>
        <w:t>Please see response to question #6a.</w:t>
      </w:r>
    </w:p>
    <w:p w14:paraId="1CED134F" w14:textId="7C4B02B1" w:rsidR="00CF3C85" w:rsidRPr="00AB3967" w:rsidRDefault="00191E10" w:rsidP="00CF3C85">
      <w:pPr>
        <w:pStyle w:val="ListParagraph"/>
        <w:numPr>
          <w:ilvl w:val="0"/>
          <w:numId w:val="13"/>
        </w:numPr>
        <w:rPr>
          <w:rFonts w:cs="Arial"/>
          <w:b/>
          <w:sz w:val="20"/>
          <w:szCs w:val="20"/>
        </w:rPr>
      </w:pPr>
      <w:r w:rsidRPr="00AB3967">
        <w:rPr>
          <w:rFonts w:cs="Arial"/>
          <w:b/>
          <w:sz w:val="20"/>
          <w:szCs w:val="20"/>
        </w:rPr>
        <w:t xml:space="preserve">SDOH screening- </w:t>
      </w:r>
      <w:r w:rsidR="001A5F01" w:rsidRPr="00AB3967">
        <w:rPr>
          <w:rFonts w:cs="Arial"/>
          <w:b/>
          <w:sz w:val="20"/>
          <w:szCs w:val="20"/>
        </w:rPr>
        <w:t xml:space="preserve">Is this screening available in languages other than English. </w:t>
      </w:r>
    </w:p>
    <w:p w14:paraId="218589ED" w14:textId="77777777" w:rsidR="00DD0554" w:rsidRPr="00AB3967" w:rsidRDefault="00DD0554" w:rsidP="00700155">
      <w:pPr>
        <w:ind w:left="1080"/>
        <w:jc w:val="both"/>
        <w:rPr>
          <w:rFonts w:cs="Arial"/>
          <w:bCs/>
          <w:sz w:val="20"/>
          <w:szCs w:val="20"/>
        </w:rPr>
      </w:pPr>
      <w:r w:rsidRPr="00AB3967">
        <w:rPr>
          <w:rFonts w:cs="Arial"/>
          <w:bCs/>
          <w:sz w:val="20"/>
          <w:szCs w:val="20"/>
        </w:rPr>
        <w:t xml:space="preserve">The Inpatient </w:t>
      </w:r>
      <w:proofErr w:type="spellStart"/>
      <w:r w:rsidRPr="00AB3967">
        <w:rPr>
          <w:rFonts w:cs="Arial"/>
          <w:bCs/>
          <w:sz w:val="20"/>
          <w:szCs w:val="20"/>
        </w:rPr>
        <w:t>SDoH</w:t>
      </w:r>
      <w:proofErr w:type="spellEnd"/>
      <w:r w:rsidRPr="00AB3967">
        <w:rPr>
          <w:rFonts w:cs="Arial"/>
          <w:bCs/>
          <w:sz w:val="20"/>
          <w:szCs w:val="20"/>
        </w:rPr>
        <w:t xml:space="preserve"> screenings are done by the nurse as part of the admission process.   For patients with limited English Proficiency, the nurse utilizes Interpreter Services which includes phone, video conference and in-person to facilitate the screening.</w:t>
      </w:r>
    </w:p>
    <w:p w14:paraId="720F209C" w14:textId="77777777" w:rsidR="00D57063" w:rsidRPr="005B7EE4" w:rsidRDefault="00D57063" w:rsidP="003103F4">
      <w:pPr>
        <w:rPr>
          <w:rFonts w:cs="Calibri"/>
          <w:b/>
          <w:sz w:val="20"/>
          <w:szCs w:val="20"/>
        </w:rPr>
      </w:pPr>
    </w:p>
    <w:sectPr w:rsidR="00D57063" w:rsidRPr="005B7E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0228" w14:textId="77777777" w:rsidR="00E50157" w:rsidRDefault="00E50157" w:rsidP="00F65E13">
      <w:pPr>
        <w:spacing w:after="0" w:line="240" w:lineRule="auto"/>
      </w:pPr>
      <w:r>
        <w:separator/>
      </w:r>
    </w:p>
  </w:endnote>
  <w:endnote w:type="continuationSeparator" w:id="0">
    <w:p w14:paraId="39A7196D" w14:textId="77777777" w:rsidR="00E50157" w:rsidRDefault="00E50157" w:rsidP="00F6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1D5" w14:textId="2F9EC82E" w:rsidR="000C5E5E" w:rsidRPr="00A10922" w:rsidRDefault="002C0E11" w:rsidP="00143FF6">
    <w:pPr>
      <w:pStyle w:val="DocID"/>
    </w:pPr>
    <w:r>
      <w:t>HB: 4916-8468-8164.6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2C90" w14:textId="24690E9B" w:rsidR="000C5E5E" w:rsidRPr="00A10922" w:rsidRDefault="002C0E11" w:rsidP="00143FF6">
    <w:pPr>
      <w:pStyle w:val="DocID"/>
    </w:pPr>
    <w:r>
      <w:t>HB: 4916-8468-8164.6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8ED" w14:textId="0781B14E" w:rsidR="000C5E5E" w:rsidRPr="00A10922" w:rsidRDefault="002C0E11" w:rsidP="00143FF6">
    <w:pPr>
      <w:pStyle w:val="DocID"/>
    </w:pPr>
    <w:r>
      <w:t>HB: 4916-8468-8164.6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503" w14:textId="77777777" w:rsidR="00E50157" w:rsidRDefault="00E50157" w:rsidP="00F65E13">
      <w:pPr>
        <w:spacing w:after="0" w:line="240" w:lineRule="auto"/>
      </w:pPr>
      <w:r>
        <w:separator/>
      </w:r>
    </w:p>
  </w:footnote>
  <w:footnote w:type="continuationSeparator" w:id="0">
    <w:p w14:paraId="6E9A9D9A" w14:textId="77777777" w:rsidR="00E50157" w:rsidRDefault="00E50157" w:rsidP="00F65E13">
      <w:pPr>
        <w:spacing w:after="0" w:line="240" w:lineRule="auto"/>
      </w:pPr>
      <w:r>
        <w:continuationSeparator/>
      </w:r>
    </w:p>
  </w:footnote>
  <w:footnote w:id="1">
    <w:p w14:paraId="64730018" w14:textId="2D4FC18F" w:rsidR="008510CE" w:rsidRPr="00AB3967" w:rsidRDefault="008510CE" w:rsidP="008510CE">
      <w:pPr>
        <w:pStyle w:val="ListParagraph"/>
        <w:jc w:val="both"/>
        <w:rPr>
          <w:rFonts w:ascii="Arial" w:hAnsi="Arial" w:cs="Arial"/>
          <w:bCs/>
          <w:sz w:val="16"/>
          <w:szCs w:val="16"/>
        </w:rPr>
      </w:pPr>
      <w:r w:rsidRPr="00AB3967">
        <w:rPr>
          <w:rStyle w:val="FootnoteReference"/>
          <w:sz w:val="16"/>
          <w:szCs w:val="16"/>
        </w:rPr>
        <w:footnoteRef/>
      </w:r>
      <w:r w:rsidRPr="00AB3967">
        <w:rPr>
          <w:sz w:val="16"/>
          <w:szCs w:val="16"/>
        </w:rPr>
        <w:t xml:space="preserve"> C</w:t>
      </w:r>
      <w:r w:rsidRPr="00AB3967">
        <w:rPr>
          <w:rFonts w:ascii="Arial" w:hAnsi="Arial" w:cs="Arial"/>
          <w:bCs/>
          <w:sz w:val="16"/>
          <w:szCs w:val="16"/>
        </w:rPr>
        <w:t>ondon, Becker’s Hospital Review April 11, 2024: “Nearly 80% of Physicians Now Employed by Hospitals, Corporations.”</w:t>
      </w:r>
    </w:p>
    <w:p w14:paraId="7279C649" w14:textId="2AD7751B" w:rsidR="008510CE" w:rsidRDefault="008510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7007" w14:textId="77777777" w:rsidR="000C5E5E" w:rsidRDefault="000C5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223" w14:textId="72B0E119" w:rsidR="00F65E13" w:rsidRPr="00E2267A" w:rsidRDefault="00C2319E" w:rsidP="00F65E13">
    <w:pPr>
      <w:pStyle w:val="Header"/>
      <w:jc w:val="center"/>
      <w:rPr>
        <w:rFonts w:ascii="Calibri" w:hAnsi="Calibri" w:cs="Calibri"/>
        <w:b/>
        <w:bCs/>
        <w:color w:val="156082" w:themeColor="accent1"/>
        <w:sz w:val="28"/>
        <w:szCs w:val="28"/>
      </w:rPr>
    </w:pPr>
    <w:r>
      <w:rPr>
        <w:rFonts w:ascii="Calibri" w:hAnsi="Calibri" w:cs="Calibri"/>
        <w:b/>
        <w:bCs/>
        <w:color w:val="156082" w:themeColor="accent1"/>
        <w:sz w:val="28"/>
        <w:szCs w:val="28"/>
      </w:rPr>
      <w:t>UMMHC Transfer of Ownership of Marlborough Hospital</w:t>
    </w:r>
  </w:p>
  <w:p w14:paraId="098F2296" w14:textId="4D2D407C" w:rsidR="00F65E13" w:rsidRDefault="00F65E13">
    <w:pPr>
      <w:pStyle w:val="Header"/>
    </w:pPr>
  </w:p>
  <w:p w14:paraId="59C4465A" w14:textId="77777777" w:rsidR="00F65E13" w:rsidRDefault="00F65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3307" w14:textId="77777777" w:rsidR="000C5E5E" w:rsidRDefault="000C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714"/>
    <w:multiLevelType w:val="hybridMultilevel"/>
    <w:tmpl w:val="6D76A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21BDB"/>
    <w:multiLevelType w:val="hybridMultilevel"/>
    <w:tmpl w:val="74E85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29CF"/>
    <w:multiLevelType w:val="hybridMultilevel"/>
    <w:tmpl w:val="D8A272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850277"/>
    <w:multiLevelType w:val="hybridMultilevel"/>
    <w:tmpl w:val="8FFA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D2908"/>
    <w:multiLevelType w:val="hybridMultilevel"/>
    <w:tmpl w:val="81481872"/>
    <w:lvl w:ilvl="0" w:tplc="99C8F31E">
      <w:start w:val="1"/>
      <w:numFmt w:val="bullet"/>
      <w:lvlText w:val="-"/>
      <w:lvlJc w:val="left"/>
      <w:pPr>
        <w:ind w:left="1080" w:hanging="360"/>
      </w:pPr>
      <w:rPr>
        <w:rFonts w:ascii="Aptos" w:eastAsiaTheme="minorHAnsi" w:hAnsi="Apto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044D59"/>
    <w:multiLevelType w:val="hybridMultilevel"/>
    <w:tmpl w:val="36FEF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908B9"/>
    <w:multiLevelType w:val="hybridMultilevel"/>
    <w:tmpl w:val="7C124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B0E6A"/>
    <w:multiLevelType w:val="hybridMultilevel"/>
    <w:tmpl w:val="5F3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66F8A"/>
    <w:multiLevelType w:val="hybridMultilevel"/>
    <w:tmpl w:val="9C26D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FE371D"/>
    <w:multiLevelType w:val="hybridMultilevel"/>
    <w:tmpl w:val="0C2E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178B6"/>
    <w:multiLevelType w:val="hybridMultilevel"/>
    <w:tmpl w:val="0BCE290A"/>
    <w:lvl w:ilvl="0" w:tplc="ABC07644">
      <w:start w:val="1"/>
      <w:numFmt w:val="lowerLetter"/>
      <w:lvlText w:val="%1."/>
      <w:lvlJc w:val="left"/>
      <w:pPr>
        <w:ind w:left="1440" w:hanging="360"/>
      </w:pPr>
      <w:rPr>
        <w:rFonts w:ascii="Calibri" w:eastAsiaTheme="minorHAnsi" w:hAnsi="Calibri" w:cs="Calibr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7A5019A"/>
    <w:multiLevelType w:val="hybridMultilevel"/>
    <w:tmpl w:val="5556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F50E7"/>
    <w:multiLevelType w:val="hybridMultilevel"/>
    <w:tmpl w:val="CE1A4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FC5D0F"/>
    <w:multiLevelType w:val="hybridMultilevel"/>
    <w:tmpl w:val="26DC365E"/>
    <w:lvl w:ilvl="0" w:tplc="ECAE8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C27A10"/>
    <w:multiLevelType w:val="hybridMultilevel"/>
    <w:tmpl w:val="1542E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D7BA5"/>
    <w:multiLevelType w:val="hybridMultilevel"/>
    <w:tmpl w:val="A04C0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812607"/>
    <w:multiLevelType w:val="hybridMultilevel"/>
    <w:tmpl w:val="D6760B90"/>
    <w:lvl w:ilvl="0" w:tplc="510CCE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B5B1D"/>
    <w:multiLevelType w:val="hybridMultilevel"/>
    <w:tmpl w:val="47D6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F4307"/>
    <w:multiLevelType w:val="hybridMultilevel"/>
    <w:tmpl w:val="FD2C2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76C1D"/>
    <w:multiLevelType w:val="hybridMultilevel"/>
    <w:tmpl w:val="6220D1C0"/>
    <w:lvl w:ilvl="0" w:tplc="DB2EF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34FFF"/>
    <w:multiLevelType w:val="hybridMultilevel"/>
    <w:tmpl w:val="ED3A64D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2866C0"/>
    <w:multiLevelType w:val="hybridMultilevel"/>
    <w:tmpl w:val="39BC34A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56796541">
    <w:abstractNumId w:val="18"/>
  </w:num>
  <w:num w:numId="2" w16cid:durableId="669021645">
    <w:abstractNumId w:val="15"/>
  </w:num>
  <w:num w:numId="3" w16cid:durableId="1678996246">
    <w:abstractNumId w:val="19"/>
  </w:num>
  <w:num w:numId="4" w16cid:durableId="76445620">
    <w:abstractNumId w:val="5"/>
  </w:num>
  <w:num w:numId="5" w16cid:durableId="1886601910">
    <w:abstractNumId w:val="21"/>
  </w:num>
  <w:num w:numId="6" w16cid:durableId="1167792255">
    <w:abstractNumId w:val="7"/>
  </w:num>
  <w:num w:numId="7" w16cid:durableId="1475175795">
    <w:abstractNumId w:val="12"/>
  </w:num>
  <w:num w:numId="8" w16cid:durableId="197747052">
    <w:abstractNumId w:val="6"/>
  </w:num>
  <w:num w:numId="9" w16cid:durableId="1835955707">
    <w:abstractNumId w:val="10"/>
  </w:num>
  <w:num w:numId="10" w16cid:durableId="297490660">
    <w:abstractNumId w:val="16"/>
  </w:num>
  <w:num w:numId="11" w16cid:durableId="1076509523">
    <w:abstractNumId w:val="3"/>
  </w:num>
  <w:num w:numId="12" w16cid:durableId="1540629048">
    <w:abstractNumId w:val="8"/>
  </w:num>
  <w:num w:numId="13" w16cid:durableId="1888952776">
    <w:abstractNumId w:val="11"/>
  </w:num>
  <w:num w:numId="14" w16cid:durableId="433404888">
    <w:abstractNumId w:val="1"/>
  </w:num>
  <w:num w:numId="15" w16cid:durableId="1664041577">
    <w:abstractNumId w:val="22"/>
  </w:num>
  <w:num w:numId="16" w16cid:durableId="1079062552">
    <w:abstractNumId w:val="17"/>
  </w:num>
  <w:num w:numId="17" w16cid:durableId="1944335293">
    <w:abstractNumId w:val="20"/>
  </w:num>
  <w:num w:numId="18" w16cid:durableId="1485969018">
    <w:abstractNumId w:val="13"/>
  </w:num>
  <w:num w:numId="19" w16cid:durableId="829441088">
    <w:abstractNumId w:val="0"/>
  </w:num>
  <w:num w:numId="20" w16cid:durableId="184834794">
    <w:abstractNumId w:val="4"/>
  </w:num>
  <w:num w:numId="21" w16cid:durableId="1119908754">
    <w:abstractNumId w:val="14"/>
  </w:num>
  <w:num w:numId="22" w16cid:durableId="1262832521">
    <w:abstractNumId w:val="9"/>
  </w:num>
  <w:num w:numId="23" w16cid:durableId="1837333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405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F4"/>
    <w:rsid w:val="00001928"/>
    <w:rsid w:val="00012627"/>
    <w:rsid w:val="0001294E"/>
    <w:rsid w:val="00020EE0"/>
    <w:rsid w:val="00030221"/>
    <w:rsid w:val="00040893"/>
    <w:rsid w:val="00040EB2"/>
    <w:rsid w:val="00047B79"/>
    <w:rsid w:val="00052E75"/>
    <w:rsid w:val="00057CD6"/>
    <w:rsid w:val="00064E8A"/>
    <w:rsid w:val="000A4365"/>
    <w:rsid w:val="000A731E"/>
    <w:rsid w:val="000B1C8B"/>
    <w:rsid w:val="000C5E5E"/>
    <w:rsid w:val="000C6AE5"/>
    <w:rsid w:val="000E44B9"/>
    <w:rsid w:val="000F4DD8"/>
    <w:rsid w:val="001018CA"/>
    <w:rsid w:val="001433C8"/>
    <w:rsid w:val="00143FF6"/>
    <w:rsid w:val="00146600"/>
    <w:rsid w:val="00150504"/>
    <w:rsid w:val="00150855"/>
    <w:rsid w:val="00163B7E"/>
    <w:rsid w:val="00165FD3"/>
    <w:rsid w:val="001732D7"/>
    <w:rsid w:val="00191E10"/>
    <w:rsid w:val="001A5F01"/>
    <w:rsid w:val="001B3B2C"/>
    <w:rsid w:val="001C6BEE"/>
    <w:rsid w:val="001D3DCC"/>
    <w:rsid w:val="001E281E"/>
    <w:rsid w:val="001E2EB0"/>
    <w:rsid w:val="00201ECF"/>
    <w:rsid w:val="002121AB"/>
    <w:rsid w:val="00212CF6"/>
    <w:rsid w:val="002A6C75"/>
    <w:rsid w:val="002B19A2"/>
    <w:rsid w:val="002C0E11"/>
    <w:rsid w:val="002C337C"/>
    <w:rsid w:val="002D090A"/>
    <w:rsid w:val="002D0B9E"/>
    <w:rsid w:val="002F300E"/>
    <w:rsid w:val="003017C3"/>
    <w:rsid w:val="003103F4"/>
    <w:rsid w:val="003527EC"/>
    <w:rsid w:val="00380562"/>
    <w:rsid w:val="00393F19"/>
    <w:rsid w:val="003D40A5"/>
    <w:rsid w:val="003E5D76"/>
    <w:rsid w:val="00406A08"/>
    <w:rsid w:val="00421C21"/>
    <w:rsid w:val="0043767A"/>
    <w:rsid w:val="00437B18"/>
    <w:rsid w:val="004449EF"/>
    <w:rsid w:val="00475DA8"/>
    <w:rsid w:val="00477DD6"/>
    <w:rsid w:val="00497DAA"/>
    <w:rsid w:val="004B5FD3"/>
    <w:rsid w:val="004F311A"/>
    <w:rsid w:val="004F7BDA"/>
    <w:rsid w:val="00504CEE"/>
    <w:rsid w:val="00516670"/>
    <w:rsid w:val="005305D2"/>
    <w:rsid w:val="00532FAF"/>
    <w:rsid w:val="005432A6"/>
    <w:rsid w:val="00572935"/>
    <w:rsid w:val="00594D61"/>
    <w:rsid w:val="005B7EE4"/>
    <w:rsid w:val="005C51AF"/>
    <w:rsid w:val="005D4517"/>
    <w:rsid w:val="005E4EAE"/>
    <w:rsid w:val="005F4A3E"/>
    <w:rsid w:val="0061524B"/>
    <w:rsid w:val="0063002F"/>
    <w:rsid w:val="006328A8"/>
    <w:rsid w:val="00650977"/>
    <w:rsid w:val="00693E5D"/>
    <w:rsid w:val="006D43E8"/>
    <w:rsid w:val="006E7943"/>
    <w:rsid w:val="006F4259"/>
    <w:rsid w:val="00700155"/>
    <w:rsid w:val="00726CD9"/>
    <w:rsid w:val="00733DCB"/>
    <w:rsid w:val="00740771"/>
    <w:rsid w:val="00746182"/>
    <w:rsid w:val="00770361"/>
    <w:rsid w:val="007A5B50"/>
    <w:rsid w:val="007A777D"/>
    <w:rsid w:val="007B23B4"/>
    <w:rsid w:val="007E0BC9"/>
    <w:rsid w:val="007E136C"/>
    <w:rsid w:val="00801081"/>
    <w:rsid w:val="00827771"/>
    <w:rsid w:val="0083462E"/>
    <w:rsid w:val="008510CE"/>
    <w:rsid w:val="00872A44"/>
    <w:rsid w:val="008767B3"/>
    <w:rsid w:val="00890937"/>
    <w:rsid w:val="008B253B"/>
    <w:rsid w:val="008C08B7"/>
    <w:rsid w:val="00910EA3"/>
    <w:rsid w:val="009166EC"/>
    <w:rsid w:val="0095283D"/>
    <w:rsid w:val="009A691D"/>
    <w:rsid w:val="009B1E25"/>
    <w:rsid w:val="009B2A94"/>
    <w:rsid w:val="009B7AEC"/>
    <w:rsid w:val="009D3ABA"/>
    <w:rsid w:val="00A036CD"/>
    <w:rsid w:val="00A10922"/>
    <w:rsid w:val="00A368BF"/>
    <w:rsid w:val="00A90443"/>
    <w:rsid w:val="00AA3428"/>
    <w:rsid w:val="00AA6DCB"/>
    <w:rsid w:val="00AB03FB"/>
    <w:rsid w:val="00AB3967"/>
    <w:rsid w:val="00AB4D25"/>
    <w:rsid w:val="00AC1D14"/>
    <w:rsid w:val="00AD1F2B"/>
    <w:rsid w:val="00B61B5A"/>
    <w:rsid w:val="00B8203A"/>
    <w:rsid w:val="00BA5882"/>
    <w:rsid w:val="00BC6275"/>
    <w:rsid w:val="00BC7F43"/>
    <w:rsid w:val="00C2319E"/>
    <w:rsid w:val="00C30CC3"/>
    <w:rsid w:val="00C4455A"/>
    <w:rsid w:val="00C65E44"/>
    <w:rsid w:val="00C779D8"/>
    <w:rsid w:val="00C8061D"/>
    <w:rsid w:val="00C940CD"/>
    <w:rsid w:val="00C940D6"/>
    <w:rsid w:val="00CD154C"/>
    <w:rsid w:val="00CD1A43"/>
    <w:rsid w:val="00CE74B8"/>
    <w:rsid w:val="00CF3C85"/>
    <w:rsid w:val="00D27F5F"/>
    <w:rsid w:val="00D36745"/>
    <w:rsid w:val="00D57063"/>
    <w:rsid w:val="00D66A85"/>
    <w:rsid w:val="00D67014"/>
    <w:rsid w:val="00D83A7C"/>
    <w:rsid w:val="00DA4053"/>
    <w:rsid w:val="00DA579B"/>
    <w:rsid w:val="00DB1BBC"/>
    <w:rsid w:val="00DB1F5E"/>
    <w:rsid w:val="00DC041D"/>
    <w:rsid w:val="00DC47E2"/>
    <w:rsid w:val="00DD0554"/>
    <w:rsid w:val="00DE3663"/>
    <w:rsid w:val="00DF3EB8"/>
    <w:rsid w:val="00DF44F7"/>
    <w:rsid w:val="00E12DD5"/>
    <w:rsid w:val="00E21496"/>
    <w:rsid w:val="00E50157"/>
    <w:rsid w:val="00E770E0"/>
    <w:rsid w:val="00E833A6"/>
    <w:rsid w:val="00E8380B"/>
    <w:rsid w:val="00E86329"/>
    <w:rsid w:val="00E907FF"/>
    <w:rsid w:val="00EA5868"/>
    <w:rsid w:val="00EB362C"/>
    <w:rsid w:val="00ED1F4B"/>
    <w:rsid w:val="00EE20E8"/>
    <w:rsid w:val="00EF1631"/>
    <w:rsid w:val="00F03660"/>
    <w:rsid w:val="00F31F8E"/>
    <w:rsid w:val="00F65E13"/>
    <w:rsid w:val="00F668E7"/>
    <w:rsid w:val="00F83742"/>
    <w:rsid w:val="00F853EB"/>
    <w:rsid w:val="00F94036"/>
    <w:rsid w:val="00FA7F39"/>
    <w:rsid w:val="00FB3814"/>
    <w:rsid w:val="00FB69D4"/>
    <w:rsid w:val="00FC421F"/>
    <w:rsid w:val="00FD37A0"/>
    <w:rsid w:val="00FF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825D"/>
  <w15:chartTrackingRefBased/>
  <w15:docId w15:val="{6707D4CE-7BD9-436F-B8C3-448B4B8D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310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3F4"/>
    <w:rPr>
      <w:rFonts w:eastAsiaTheme="majorEastAsia" w:cstheme="majorBidi"/>
      <w:color w:val="272727" w:themeColor="text1" w:themeTint="D8"/>
    </w:rPr>
  </w:style>
  <w:style w:type="paragraph" w:styleId="Title">
    <w:name w:val="Title"/>
    <w:basedOn w:val="Normal"/>
    <w:next w:val="Normal"/>
    <w:link w:val="TitleChar"/>
    <w:uiPriority w:val="10"/>
    <w:qFormat/>
    <w:rsid w:val="00310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F4"/>
    <w:pPr>
      <w:spacing w:before="160"/>
      <w:jc w:val="center"/>
    </w:pPr>
    <w:rPr>
      <w:i/>
      <w:iCs/>
      <w:color w:val="404040" w:themeColor="text1" w:themeTint="BF"/>
    </w:rPr>
  </w:style>
  <w:style w:type="character" w:customStyle="1" w:styleId="QuoteChar">
    <w:name w:val="Quote Char"/>
    <w:basedOn w:val="DefaultParagraphFont"/>
    <w:link w:val="Quote"/>
    <w:uiPriority w:val="29"/>
    <w:rsid w:val="003103F4"/>
    <w:rPr>
      <w:i/>
      <w:iCs/>
      <w:color w:val="404040" w:themeColor="text1" w:themeTint="BF"/>
    </w:rPr>
  </w:style>
  <w:style w:type="paragraph" w:styleId="ListParagraph">
    <w:name w:val="List Paragraph"/>
    <w:basedOn w:val="Normal"/>
    <w:uiPriority w:val="34"/>
    <w:qFormat/>
    <w:rsid w:val="003103F4"/>
    <w:pPr>
      <w:ind w:left="720"/>
      <w:contextualSpacing/>
    </w:pPr>
  </w:style>
  <w:style w:type="character" w:styleId="IntenseEmphasis">
    <w:name w:val="Intense Emphasis"/>
    <w:basedOn w:val="DefaultParagraphFont"/>
    <w:uiPriority w:val="21"/>
    <w:qFormat/>
    <w:rsid w:val="003103F4"/>
    <w:rPr>
      <w:i/>
      <w:iCs/>
      <w:color w:val="0F4761" w:themeColor="accent1" w:themeShade="BF"/>
    </w:rPr>
  </w:style>
  <w:style w:type="paragraph" w:styleId="IntenseQuote">
    <w:name w:val="Intense Quote"/>
    <w:basedOn w:val="Normal"/>
    <w:next w:val="Normal"/>
    <w:link w:val="IntenseQuoteChar"/>
    <w:uiPriority w:val="30"/>
    <w:qFormat/>
    <w:rsid w:val="00310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3F4"/>
    <w:rPr>
      <w:i/>
      <w:iCs/>
      <w:color w:val="0F4761" w:themeColor="accent1" w:themeShade="BF"/>
    </w:rPr>
  </w:style>
  <w:style w:type="character" w:styleId="IntenseReference">
    <w:name w:val="Intense Reference"/>
    <w:basedOn w:val="DefaultParagraphFont"/>
    <w:uiPriority w:val="32"/>
    <w:qFormat/>
    <w:rsid w:val="003103F4"/>
    <w:rPr>
      <w:b/>
      <w:bCs/>
      <w:smallCaps/>
      <w:color w:val="0F4761" w:themeColor="accent1" w:themeShade="BF"/>
      <w:spacing w:val="5"/>
    </w:rPr>
  </w:style>
  <w:style w:type="character" w:styleId="CommentReference">
    <w:name w:val="annotation reference"/>
    <w:basedOn w:val="DefaultParagraphFont"/>
    <w:uiPriority w:val="99"/>
    <w:semiHidden/>
    <w:unhideWhenUsed/>
    <w:rsid w:val="003103F4"/>
    <w:rPr>
      <w:sz w:val="16"/>
      <w:szCs w:val="16"/>
    </w:rPr>
  </w:style>
  <w:style w:type="paragraph" w:styleId="CommentText">
    <w:name w:val="annotation text"/>
    <w:basedOn w:val="Normal"/>
    <w:link w:val="CommentTextChar"/>
    <w:uiPriority w:val="99"/>
    <w:unhideWhenUsed/>
    <w:rsid w:val="003103F4"/>
    <w:pPr>
      <w:spacing w:line="240" w:lineRule="auto"/>
    </w:pPr>
    <w:rPr>
      <w:sz w:val="20"/>
      <w:szCs w:val="20"/>
    </w:rPr>
  </w:style>
  <w:style w:type="character" w:customStyle="1" w:styleId="CommentTextChar">
    <w:name w:val="Comment Text Char"/>
    <w:basedOn w:val="DefaultParagraphFont"/>
    <w:link w:val="CommentText"/>
    <w:uiPriority w:val="99"/>
    <w:rsid w:val="003103F4"/>
    <w:rPr>
      <w:sz w:val="20"/>
      <w:szCs w:val="20"/>
    </w:rPr>
  </w:style>
  <w:style w:type="paragraph" w:styleId="Header">
    <w:name w:val="header"/>
    <w:basedOn w:val="Normal"/>
    <w:link w:val="HeaderChar"/>
    <w:uiPriority w:val="99"/>
    <w:unhideWhenUsed/>
    <w:rsid w:val="00F65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E13"/>
  </w:style>
  <w:style w:type="paragraph" w:styleId="Footer">
    <w:name w:val="footer"/>
    <w:basedOn w:val="Normal"/>
    <w:link w:val="FooterChar"/>
    <w:uiPriority w:val="99"/>
    <w:unhideWhenUsed/>
    <w:rsid w:val="00F65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E13"/>
  </w:style>
  <w:style w:type="table" w:styleId="TableGrid">
    <w:name w:val="Table Grid"/>
    <w:basedOn w:val="TableNormal"/>
    <w:uiPriority w:val="39"/>
    <w:rsid w:val="00F65E13"/>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E13"/>
    <w:rPr>
      <w:color w:val="467886" w:themeColor="hyperlink"/>
      <w:u w:val="single"/>
    </w:rPr>
  </w:style>
  <w:style w:type="character" w:styleId="UnresolvedMention">
    <w:name w:val="Unresolved Mention"/>
    <w:basedOn w:val="DefaultParagraphFont"/>
    <w:uiPriority w:val="99"/>
    <w:semiHidden/>
    <w:unhideWhenUsed/>
    <w:rsid w:val="00872A44"/>
    <w:rPr>
      <w:color w:val="605E5C"/>
      <w:shd w:val="clear" w:color="auto" w:fill="E1DFDD"/>
    </w:rPr>
  </w:style>
  <w:style w:type="paragraph" w:customStyle="1" w:styleId="DocID">
    <w:name w:val="DocID"/>
    <w:basedOn w:val="Normal"/>
    <w:qFormat/>
    <w:rsid w:val="000C5E5E"/>
    <w:pPr>
      <w:suppressAutoHyphens/>
      <w:spacing w:after="0" w:line="240" w:lineRule="auto"/>
    </w:pPr>
    <w:rPr>
      <w:rFonts w:ascii="Times New Roman" w:eastAsia="Times New Roman" w:hAnsi="Times New Roman" w:cs="Times New Roman"/>
      <w:sz w:val="16"/>
      <w:szCs w:val="16"/>
    </w:rPr>
  </w:style>
  <w:style w:type="paragraph" w:customStyle="1" w:styleId="HBblj">
    <w:name w:val="HBblj"/>
    <w:basedOn w:val="Normal"/>
    <w:uiPriority w:val="1"/>
    <w:qFormat/>
    <w:rsid w:val="00C940CD"/>
    <w:pPr>
      <w:suppressAutoHyphens/>
      <w:spacing w:after="240" w:line="240" w:lineRule="auto"/>
      <w:jc w:val="both"/>
    </w:pPr>
    <w:rPr>
      <w:rFonts w:ascii="Aptos" w:eastAsia="Times New Roman" w:hAnsi="Aptos" w:cs="Times New Roman"/>
      <w:kern w:val="2"/>
      <w:sz w:val="21"/>
      <w14:ligatures w14:val="standardContextual"/>
    </w:rPr>
  </w:style>
  <w:style w:type="paragraph" w:styleId="CommentSubject">
    <w:name w:val="annotation subject"/>
    <w:basedOn w:val="CommentText"/>
    <w:next w:val="CommentText"/>
    <w:link w:val="CommentSubjectChar"/>
    <w:uiPriority w:val="99"/>
    <w:semiHidden/>
    <w:unhideWhenUsed/>
    <w:rsid w:val="009A691D"/>
    <w:rPr>
      <w:b/>
      <w:bCs/>
    </w:rPr>
  </w:style>
  <w:style w:type="character" w:customStyle="1" w:styleId="CommentSubjectChar">
    <w:name w:val="Comment Subject Char"/>
    <w:basedOn w:val="CommentTextChar"/>
    <w:link w:val="CommentSubject"/>
    <w:uiPriority w:val="99"/>
    <w:semiHidden/>
    <w:rsid w:val="009A691D"/>
    <w:rPr>
      <w:b/>
      <w:bCs/>
      <w:sz w:val="20"/>
      <w:szCs w:val="20"/>
    </w:rPr>
  </w:style>
  <w:style w:type="paragraph" w:styleId="NormalWeb">
    <w:name w:val="Normal (Web)"/>
    <w:basedOn w:val="Normal"/>
    <w:uiPriority w:val="99"/>
    <w:semiHidden/>
    <w:unhideWhenUsed/>
    <w:rsid w:val="008510CE"/>
    <w:rPr>
      <w:rFonts w:ascii="Times New Roman" w:hAnsi="Times New Roman" w:cs="Times New Roman"/>
    </w:rPr>
  </w:style>
  <w:style w:type="paragraph" w:styleId="FootnoteText">
    <w:name w:val="footnote text"/>
    <w:basedOn w:val="Normal"/>
    <w:link w:val="FootnoteTextChar"/>
    <w:uiPriority w:val="99"/>
    <w:semiHidden/>
    <w:unhideWhenUsed/>
    <w:rsid w:val="008510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0CE"/>
    <w:rPr>
      <w:sz w:val="20"/>
      <w:szCs w:val="20"/>
    </w:rPr>
  </w:style>
  <w:style w:type="character" w:styleId="FootnoteReference">
    <w:name w:val="footnote reference"/>
    <w:basedOn w:val="DefaultParagraphFont"/>
    <w:uiPriority w:val="99"/>
    <w:semiHidden/>
    <w:unhideWhenUsed/>
    <w:rsid w:val="008510CE"/>
    <w:rPr>
      <w:vertAlign w:val="superscript"/>
    </w:rPr>
  </w:style>
  <w:style w:type="paragraph" w:styleId="Revision">
    <w:name w:val="Revision"/>
    <w:hidden/>
    <w:uiPriority w:val="99"/>
    <w:semiHidden/>
    <w:rsid w:val="000B1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21">
      <w:bodyDiv w:val="1"/>
      <w:marLeft w:val="0"/>
      <w:marRight w:val="0"/>
      <w:marTop w:val="0"/>
      <w:marBottom w:val="0"/>
      <w:divBdr>
        <w:top w:val="none" w:sz="0" w:space="0" w:color="auto"/>
        <w:left w:val="none" w:sz="0" w:space="0" w:color="auto"/>
        <w:bottom w:val="none" w:sz="0" w:space="0" w:color="auto"/>
        <w:right w:val="none" w:sz="0" w:space="0" w:color="auto"/>
      </w:divBdr>
    </w:div>
    <w:div w:id="11107100">
      <w:bodyDiv w:val="1"/>
      <w:marLeft w:val="0"/>
      <w:marRight w:val="0"/>
      <w:marTop w:val="0"/>
      <w:marBottom w:val="0"/>
      <w:divBdr>
        <w:top w:val="none" w:sz="0" w:space="0" w:color="auto"/>
        <w:left w:val="none" w:sz="0" w:space="0" w:color="auto"/>
        <w:bottom w:val="none" w:sz="0" w:space="0" w:color="auto"/>
        <w:right w:val="none" w:sz="0" w:space="0" w:color="auto"/>
      </w:divBdr>
    </w:div>
    <w:div w:id="26489214">
      <w:bodyDiv w:val="1"/>
      <w:marLeft w:val="0"/>
      <w:marRight w:val="0"/>
      <w:marTop w:val="0"/>
      <w:marBottom w:val="0"/>
      <w:divBdr>
        <w:top w:val="none" w:sz="0" w:space="0" w:color="auto"/>
        <w:left w:val="none" w:sz="0" w:space="0" w:color="auto"/>
        <w:bottom w:val="none" w:sz="0" w:space="0" w:color="auto"/>
        <w:right w:val="none" w:sz="0" w:space="0" w:color="auto"/>
      </w:divBdr>
    </w:div>
    <w:div w:id="169218411">
      <w:bodyDiv w:val="1"/>
      <w:marLeft w:val="0"/>
      <w:marRight w:val="0"/>
      <w:marTop w:val="0"/>
      <w:marBottom w:val="0"/>
      <w:divBdr>
        <w:top w:val="none" w:sz="0" w:space="0" w:color="auto"/>
        <w:left w:val="none" w:sz="0" w:space="0" w:color="auto"/>
        <w:bottom w:val="none" w:sz="0" w:space="0" w:color="auto"/>
        <w:right w:val="none" w:sz="0" w:space="0" w:color="auto"/>
      </w:divBdr>
    </w:div>
    <w:div w:id="476721889">
      <w:bodyDiv w:val="1"/>
      <w:marLeft w:val="0"/>
      <w:marRight w:val="0"/>
      <w:marTop w:val="0"/>
      <w:marBottom w:val="0"/>
      <w:divBdr>
        <w:top w:val="none" w:sz="0" w:space="0" w:color="auto"/>
        <w:left w:val="none" w:sz="0" w:space="0" w:color="auto"/>
        <w:bottom w:val="none" w:sz="0" w:space="0" w:color="auto"/>
        <w:right w:val="none" w:sz="0" w:space="0" w:color="auto"/>
      </w:divBdr>
    </w:div>
    <w:div w:id="635062206">
      <w:bodyDiv w:val="1"/>
      <w:marLeft w:val="0"/>
      <w:marRight w:val="0"/>
      <w:marTop w:val="0"/>
      <w:marBottom w:val="0"/>
      <w:divBdr>
        <w:top w:val="none" w:sz="0" w:space="0" w:color="auto"/>
        <w:left w:val="none" w:sz="0" w:space="0" w:color="auto"/>
        <w:bottom w:val="none" w:sz="0" w:space="0" w:color="auto"/>
        <w:right w:val="none" w:sz="0" w:space="0" w:color="auto"/>
      </w:divBdr>
    </w:div>
    <w:div w:id="661927692">
      <w:bodyDiv w:val="1"/>
      <w:marLeft w:val="0"/>
      <w:marRight w:val="0"/>
      <w:marTop w:val="0"/>
      <w:marBottom w:val="0"/>
      <w:divBdr>
        <w:top w:val="none" w:sz="0" w:space="0" w:color="auto"/>
        <w:left w:val="none" w:sz="0" w:space="0" w:color="auto"/>
        <w:bottom w:val="none" w:sz="0" w:space="0" w:color="auto"/>
        <w:right w:val="none" w:sz="0" w:space="0" w:color="auto"/>
      </w:divBdr>
    </w:div>
    <w:div w:id="776094477">
      <w:bodyDiv w:val="1"/>
      <w:marLeft w:val="0"/>
      <w:marRight w:val="0"/>
      <w:marTop w:val="0"/>
      <w:marBottom w:val="0"/>
      <w:divBdr>
        <w:top w:val="none" w:sz="0" w:space="0" w:color="auto"/>
        <w:left w:val="none" w:sz="0" w:space="0" w:color="auto"/>
        <w:bottom w:val="none" w:sz="0" w:space="0" w:color="auto"/>
        <w:right w:val="none" w:sz="0" w:space="0" w:color="auto"/>
      </w:divBdr>
    </w:div>
    <w:div w:id="870460041">
      <w:bodyDiv w:val="1"/>
      <w:marLeft w:val="0"/>
      <w:marRight w:val="0"/>
      <w:marTop w:val="0"/>
      <w:marBottom w:val="0"/>
      <w:divBdr>
        <w:top w:val="none" w:sz="0" w:space="0" w:color="auto"/>
        <w:left w:val="none" w:sz="0" w:space="0" w:color="auto"/>
        <w:bottom w:val="none" w:sz="0" w:space="0" w:color="auto"/>
        <w:right w:val="none" w:sz="0" w:space="0" w:color="auto"/>
      </w:divBdr>
    </w:div>
    <w:div w:id="951472864">
      <w:bodyDiv w:val="1"/>
      <w:marLeft w:val="0"/>
      <w:marRight w:val="0"/>
      <w:marTop w:val="0"/>
      <w:marBottom w:val="0"/>
      <w:divBdr>
        <w:top w:val="none" w:sz="0" w:space="0" w:color="auto"/>
        <w:left w:val="none" w:sz="0" w:space="0" w:color="auto"/>
        <w:bottom w:val="none" w:sz="0" w:space="0" w:color="auto"/>
        <w:right w:val="none" w:sz="0" w:space="0" w:color="auto"/>
      </w:divBdr>
    </w:div>
    <w:div w:id="1070889761">
      <w:bodyDiv w:val="1"/>
      <w:marLeft w:val="0"/>
      <w:marRight w:val="0"/>
      <w:marTop w:val="0"/>
      <w:marBottom w:val="0"/>
      <w:divBdr>
        <w:top w:val="none" w:sz="0" w:space="0" w:color="auto"/>
        <w:left w:val="none" w:sz="0" w:space="0" w:color="auto"/>
        <w:bottom w:val="none" w:sz="0" w:space="0" w:color="auto"/>
        <w:right w:val="none" w:sz="0" w:space="0" w:color="auto"/>
      </w:divBdr>
    </w:div>
    <w:div w:id="1450734441">
      <w:bodyDiv w:val="1"/>
      <w:marLeft w:val="0"/>
      <w:marRight w:val="0"/>
      <w:marTop w:val="0"/>
      <w:marBottom w:val="0"/>
      <w:divBdr>
        <w:top w:val="none" w:sz="0" w:space="0" w:color="auto"/>
        <w:left w:val="none" w:sz="0" w:space="0" w:color="auto"/>
        <w:bottom w:val="none" w:sz="0" w:space="0" w:color="auto"/>
        <w:right w:val="none" w:sz="0" w:space="0" w:color="auto"/>
      </w:divBdr>
    </w:div>
    <w:div w:id="1819373109">
      <w:bodyDiv w:val="1"/>
      <w:marLeft w:val="0"/>
      <w:marRight w:val="0"/>
      <w:marTop w:val="0"/>
      <w:marBottom w:val="0"/>
      <w:divBdr>
        <w:top w:val="none" w:sz="0" w:space="0" w:color="auto"/>
        <w:left w:val="none" w:sz="0" w:space="0" w:color="auto"/>
        <w:bottom w:val="none" w:sz="0" w:space="0" w:color="auto"/>
        <w:right w:val="none" w:sz="0" w:space="0" w:color="auto"/>
      </w:divBdr>
    </w:div>
    <w:div w:id="1882938681">
      <w:bodyDiv w:val="1"/>
      <w:marLeft w:val="0"/>
      <w:marRight w:val="0"/>
      <w:marTop w:val="0"/>
      <w:marBottom w:val="0"/>
      <w:divBdr>
        <w:top w:val="none" w:sz="0" w:space="0" w:color="auto"/>
        <w:left w:val="none" w:sz="0" w:space="0" w:color="auto"/>
        <w:bottom w:val="none" w:sz="0" w:space="0" w:color="auto"/>
        <w:right w:val="none" w:sz="0" w:space="0" w:color="auto"/>
      </w:divBdr>
    </w:div>
    <w:div w:id="19883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mass.gov/massachusetts-acute-hospital-profil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2787</Words>
  <Characters>15137</Characters>
  <Application>Microsoft Office Word</Application>
  <DocSecurity>0</DocSecurity>
  <Lines>369</Lines>
  <Paragraphs>218</Paragraphs>
  <ScaleCrop>false</ScaleCrop>
  <Company>Commonwealth of Massachusetts</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dcterms:created xsi:type="dcterms:W3CDTF">1900-01-01T06:00:00Z</dcterms:created>
  <dcterms:modified xsi:type="dcterms:W3CDTF">2025-04-08T12:21:00Z</dcterms:modified>
</cp:coreProperties>
</file>