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94EC" w14:textId="3BB855FE" w:rsidR="00F72BA9" w:rsidRPr="0070649A" w:rsidRDefault="00880586" w:rsidP="007F313D">
      <w:pPr>
        <w:jc w:val="center"/>
        <w:rPr>
          <w:rFonts w:ascii="Calibri" w:hAnsi="Calibri" w:cs="Calibri"/>
        </w:rPr>
      </w:pPr>
      <w:r w:rsidRPr="0070649A">
        <w:rPr>
          <w:rFonts w:ascii="Calibri" w:hAnsi="Calibri" w:cs="Calibri"/>
          <w:i/>
          <w:iCs/>
        </w:rPr>
        <w:t>Please</w:t>
      </w:r>
      <w:r w:rsidR="00D24F74" w:rsidRPr="0070649A">
        <w:rPr>
          <w:rFonts w:ascii="Calibri" w:hAnsi="Calibri" w:cs="Calibri"/>
          <w:i/>
          <w:iCs/>
        </w:rPr>
        <w:t xml:space="preserve"> </w:t>
      </w:r>
      <w:r w:rsidRPr="0070649A">
        <w:rPr>
          <w:rFonts w:ascii="Calibri" w:hAnsi="Calibri" w:cs="Calibri"/>
          <w:i/>
          <w:iCs/>
        </w:rPr>
        <w:t xml:space="preserve">Respond </w:t>
      </w:r>
      <w:r w:rsidR="00D24F74" w:rsidRPr="0070649A">
        <w:rPr>
          <w:rFonts w:ascii="Calibri" w:hAnsi="Calibri" w:cs="Calibri"/>
          <w:b/>
          <w:bCs/>
          <w:i/>
          <w:iCs/>
        </w:rPr>
        <w:t xml:space="preserve">by </w:t>
      </w:r>
      <w:r w:rsidR="009D3AAA" w:rsidRPr="0070649A">
        <w:rPr>
          <w:rFonts w:ascii="Calibri" w:hAnsi="Calibri" w:cs="Calibri"/>
          <w:b/>
          <w:bCs/>
          <w:i/>
          <w:iCs/>
        </w:rPr>
        <w:t>June 4</w:t>
      </w:r>
      <w:r w:rsidR="009D3AAA" w:rsidRPr="0070649A">
        <w:rPr>
          <w:rFonts w:ascii="Calibri" w:hAnsi="Calibri" w:cs="Calibri"/>
          <w:b/>
          <w:bCs/>
          <w:i/>
          <w:iCs/>
          <w:vertAlign w:val="superscript"/>
        </w:rPr>
        <w:t>th</w:t>
      </w:r>
      <w:r w:rsidR="00C91358" w:rsidRPr="0070649A">
        <w:rPr>
          <w:rFonts w:ascii="Calibri" w:hAnsi="Calibri" w:cs="Calibri"/>
          <w:b/>
          <w:bCs/>
          <w:i/>
          <w:iCs/>
          <w:vertAlign w:val="superscript"/>
        </w:rPr>
        <w:t>,</w:t>
      </w:r>
      <w:r w:rsidR="009D3AAA" w:rsidRPr="0070649A">
        <w:rPr>
          <w:rFonts w:ascii="Calibri" w:hAnsi="Calibri" w:cs="Calibri"/>
          <w:b/>
          <w:bCs/>
          <w:i/>
          <w:iCs/>
        </w:rPr>
        <w:t xml:space="preserve"> </w:t>
      </w:r>
      <w:r w:rsidR="00C91358" w:rsidRPr="0070649A">
        <w:rPr>
          <w:rFonts w:ascii="Calibri" w:hAnsi="Calibri" w:cs="Calibri"/>
          <w:b/>
          <w:bCs/>
          <w:i/>
          <w:iCs/>
        </w:rPr>
        <w:t>2025</w:t>
      </w:r>
      <w:r w:rsidR="00C91358" w:rsidRPr="0070649A">
        <w:rPr>
          <w:rFonts w:ascii="Calibri" w:hAnsi="Calibri" w:cs="Calibri"/>
          <w:i/>
          <w:iCs/>
        </w:rPr>
        <w:t xml:space="preserve"> </w:t>
      </w:r>
      <w:r w:rsidR="00F72BA9" w:rsidRPr="0070649A">
        <w:rPr>
          <w:rFonts w:ascii="Calibri" w:hAnsi="Calibri" w:cs="Calibri"/>
          <w:i/>
          <w:iCs/>
        </w:rPr>
        <w:t xml:space="preserve">at </w:t>
      </w:r>
      <w:hyperlink r:id="rId12" w:history="1">
        <w:r w:rsidR="00F316EC" w:rsidRPr="0070649A">
          <w:rPr>
            <w:rStyle w:val="Hyperlink"/>
            <w:rFonts w:ascii="Calibri" w:hAnsi="Calibri" w:cs="Calibri"/>
            <w:i/>
            <w:iCs/>
          </w:rPr>
          <w:t>mailto:DPH.DON@State.MA.US</w:t>
        </w:r>
      </w:hyperlink>
    </w:p>
    <w:tbl>
      <w:tblPr>
        <w:tblStyle w:val="TableGrid"/>
        <w:tblW w:w="0" w:type="auto"/>
        <w:jc w:val="center"/>
        <w:tblLook w:val="04A0" w:firstRow="1" w:lastRow="0" w:firstColumn="1" w:lastColumn="0" w:noHBand="0" w:noVBand="1"/>
      </w:tblPr>
      <w:tblGrid>
        <w:gridCol w:w="9350"/>
      </w:tblGrid>
      <w:tr w:rsidR="00F72BA9" w:rsidRPr="00C97FD3" w14:paraId="17206456" w14:textId="77777777" w:rsidTr="00BC1370">
        <w:trPr>
          <w:jc w:val="center"/>
        </w:trPr>
        <w:tc>
          <w:tcPr>
            <w:tcW w:w="9350" w:type="dxa"/>
          </w:tcPr>
          <w:p w14:paraId="02631128" w14:textId="77777777" w:rsidR="00F72BA9" w:rsidRPr="00C97FD3" w:rsidRDefault="00F72BA9" w:rsidP="00343BB5">
            <w:pPr>
              <w:spacing w:before="60" w:after="120"/>
              <w:rPr>
                <w:rFonts w:ascii="Calibri" w:hAnsi="Calibri" w:cs="Calibri"/>
                <w:bCs/>
              </w:rPr>
            </w:pPr>
            <w:r w:rsidRPr="00C97FD3">
              <w:rPr>
                <w:rFonts w:ascii="Calibri" w:hAnsi="Calibri" w:cs="Calibri"/>
                <w:bCs/>
              </w:rPr>
              <w:t xml:space="preserve">While you may submit each answer as available, please </w:t>
            </w:r>
          </w:p>
          <w:p w14:paraId="2D95E2D4" w14:textId="77777777" w:rsidR="00F72BA9" w:rsidRPr="00C97FD3" w:rsidRDefault="00F72BA9" w:rsidP="00343BB5">
            <w:pPr>
              <w:numPr>
                <w:ilvl w:val="0"/>
                <w:numId w:val="5"/>
              </w:numPr>
              <w:rPr>
                <w:rFonts w:ascii="Calibri" w:hAnsi="Calibri" w:cs="Calibri"/>
                <w:bCs/>
              </w:rPr>
            </w:pPr>
            <w:r w:rsidRPr="00C97FD3">
              <w:rPr>
                <w:rFonts w:ascii="Calibri" w:hAnsi="Calibri" w:cs="Calibri"/>
                <w:bCs/>
              </w:rPr>
              <w:t>List question number and question for each answer you provide;</w:t>
            </w:r>
          </w:p>
          <w:p w14:paraId="6A2BBACE" w14:textId="77777777" w:rsidR="00F72BA9" w:rsidRPr="00C97FD3" w:rsidRDefault="00F72BA9" w:rsidP="00343BB5">
            <w:pPr>
              <w:numPr>
                <w:ilvl w:val="0"/>
                <w:numId w:val="5"/>
              </w:numPr>
              <w:rPr>
                <w:rFonts w:ascii="Calibri" w:hAnsi="Calibri" w:cs="Calibri"/>
                <w:bCs/>
              </w:rPr>
            </w:pPr>
            <w:r w:rsidRPr="00C97FD3">
              <w:rPr>
                <w:rFonts w:ascii="Calibri" w:hAnsi="Calibri" w:cs="Calibri"/>
                <w:bCs/>
              </w:rPr>
              <w:t xml:space="preserve">Submit responses as a separate word document, using the above application title and number as a running header and page numbers in the footer; </w:t>
            </w:r>
          </w:p>
          <w:p w14:paraId="2AAA4EDF" w14:textId="77777777" w:rsidR="00F72BA9" w:rsidRPr="00C97FD3" w:rsidRDefault="00F72BA9" w:rsidP="00343BB5">
            <w:pPr>
              <w:numPr>
                <w:ilvl w:val="0"/>
                <w:numId w:val="5"/>
              </w:numPr>
              <w:rPr>
                <w:rFonts w:ascii="Calibri" w:hAnsi="Calibri" w:cs="Calibri"/>
                <w:bCs/>
              </w:rPr>
            </w:pPr>
            <w:r w:rsidRPr="00C97FD3">
              <w:rPr>
                <w:rFonts w:ascii="Calibri" w:hAnsi="Calibri" w:cs="Calibri"/>
                <w:bCs/>
              </w:rPr>
              <w:t>When providing the answer to the final question, submit all questions and answers in one final document;</w:t>
            </w:r>
          </w:p>
          <w:p w14:paraId="62A09947" w14:textId="44DB913B" w:rsidR="00F72BA9" w:rsidRPr="00C97FD3" w:rsidRDefault="00F72BA9" w:rsidP="00343BB5">
            <w:pPr>
              <w:numPr>
                <w:ilvl w:val="0"/>
                <w:numId w:val="5"/>
              </w:numPr>
              <w:rPr>
                <w:rFonts w:ascii="Calibri" w:hAnsi="Calibri" w:cs="Calibri"/>
                <w:bCs/>
              </w:rPr>
            </w:pPr>
            <w:r w:rsidRPr="00C97FD3">
              <w:rPr>
                <w:rFonts w:ascii="Calibri" w:hAnsi="Calibri" w:cs="Calibri"/>
                <w:bCs/>
              </w:rPr>
              <w:t>Submit responses in WORD or EXCEL; include a table in data format (NOT pdf or picture) with the response.</w:t>
            </w:r>
          </w:p>
          <w:p w14:paraId="5D969C39" w14:textId="77777777" w:rsidR="00F72BA9" w:rsidRPr="00C97FD3" w:rsidRDefault="00F72BA9" w:rsidP="00343BB5">
            <w:pPr>
              <w:numPr>
                <w:ilvl w:val="0"/>
                <w:numId w:val="5"/>
              </w:numPr>
              <w:rPr>
                <w:rFonts w:ascii="Calibri" w:hAnsi="Calibri" w:cs="Calibri"/>
                <w:b/>
              </w:rPr>
            </w:pPr>
            <w:r w:rsidRPr="00C97FD3">
              <w:rPr>
                <w:rFonts w:ascii="Calibri" w:hAnsi="Calibri" w:cs="Calibri"/>
                <w:bCs/>
              </w:rPr>
              <w:t>When providing a table of data, provide a narrative explaining the trends or significance of that information (such as what reason for the year over year changes are attributed to and how it relates to information already provided.)</w:t>
            </w:r>
          </w:p>
          <w:p w14:paraId="46251195" w14:textId="77777777" w:rsidR="00880586" w:rsidRPr="00343BB5" w:rsidRDefault="00880586" w:rsidP="00880586">
            <w:pPr>
              <w:ind w:left="720"/>
              <w:rPr>
                <w:rFonts w:ascii="Calibri" w:hAnsi="Calibri" w:cs="Calibri"/>
                <w:b/>
                <w:sz w:val="16"/>
                <w:szCs w:val="16"/>
              </w:rPr>
            </w:pPr>
          </w:p>
        </w:tc>
      </w:tr>
    </w:tbl>
    <w:p w14:paraId="50B5FD99" w14:textId="77777777" w:rsidR="00F72BA9" w:rsidRPr="00343BB5" w:rsidRDefault="00F72BA9" w:rsidP="0070649A">
      <w:pPr>
        <w:spacing w:after="0" w:line="240" w:lineRule="auto"/>
        <w:rPr>
          <w:rFonts w:ascii="Calibri" w:hAnsi="Calibri" w:cs="Calibri"/>
          <w:sz w:val="20"/>
          <w:szCs w:val="20"/>
        </w:rPr>
      </w:pPr>
    </w:p>
    <w:p w14:paraId="5A997F73" w14:textId="39D4DB25" w:rsidR="00C51C77" w:rsidRPr="00C97FD3" w:rsidRDefault="00C51C77" w:rsidP="00343BB5">
      <w:pPr>
        <w:pStyle w:val="Heading2"/>
        <w:spacing w:before="0" w:after="200" w:line="240" w:lineRule="auto"/>
        <w:rPr>
          <w:rFonts w:ascii="Calibri" w:hAnsi="Calibri" w:cs="Calibri"/>
          <w:b/>
          <w:bCs/>
          <w:color w:val="215E99" w:themeColor="text2" w:themeTint="BF"/>
          <w:sz w:val="24"/>
          <w:szCs w:val="24"/>
        </w:rPr>
      </w:pPr>
      <w:r w:rsidRPr="00C97FD3">
        <w:rPr>
          <w:rFonts w:ascii="Calibri" w:hAnsi="Calibri" w:cs="Calibri"/>
          <w:b/>
          <w:bCs/>
          <w:color w:val="215E99" w:themeColor="text2" w:themeTint="BF"/>
          <w:sz w:val="24"/>
          <w:szCs w:val="24"/>
        </w:rPr>
        <w:t>QUESTION</w:t>
      </w:r>
    </w:p>
    <w:p w14:paraId="06D419CD" w14:textId="0CE53350" w:rsidR="00CD1B95" w:rsidRPr="00C97FD3" w:rsidRDefault="007F313D" w:rsidP="0070649A">
      <w:pPr>
        <w:pStyle w:val="ListParagraph"/>
        <w:numPr>
          <w:ilvl w:val="0"/>
          <w:numId w:val="9"/>
        </w:numPr>
        <w:spacing w:after="240" w:line="240" w:lineRule="auto"/>
        <w:contextualSpacing w:val="0"/>
        <w:jc w:val="both"/>
        <w:rPr>
          <w:rFonts w:ascii="Calibri" w:hAnsi="Calibri" w:cs="Calibri"/>
        </w:rPr>
      </w:pPr>
      <w:r w:rsidRPr="00C97FD3">
        <w:rPr>
          <w:rFonts w:ascii="Calibri" w:hAnsi="Calibri" w:cs="Calibri"/>
        </w:rPr>
        <w:t>What is the daily monthly and annual capacity of the Proton Beam unit you intend to acquire: provide your calculations including the average treatment time per patient, hours of operation, turnaround time etc. number of days per week, etc.</w:t>
      </w:r>
    </w:p>
    <w:p w14:paraId="1983750C" w14:textId="1AE4A76F" w:rsidR="00961A10" w:rsidRPr="00C97FD3" w:rsidRDefault="00A631DA" w:rsidP="00343BB5">
      <w:pPr>
        <w:pStyle w:val="Heading2"/>
        <w:spacing w:before="0" w:after="200" w:line="240" w:lineRule="auto"/>
        <w:rPr>
          <w:rFonts w:ascii="Calibri" w:hAnsi="Calibri" w:cs="Calibri"/>
          <w:b/>
          <w:bCs/>
          <w:color w:val="215E99" w:themeColor="text2" w:themeTint="BF"/>
          <w:sz w:val="24"/>
          <w:szCs w:val="24"/>
        </w:rPr>
      </w:pPr>
      <w:r w:rsidRPr="00C97FD3">
        <w:rPr>
          <w:rFonts w:ascii="Calibri" w:hAnsi="Calibri" w:cs="Calibri"/>
          <w:b/>
          <w:bCs/>
          <w:color w:val="215E99" w:themeColor="text2" w:themeTint="BF"/>
          <w:sz w:val="24"/>
          <w:szCs w:val="24"/>
        </w:rPr>
        <w:t>RESPONSE</w:t>
      </w:r>
    </w:p>
    <w:p w14:paraId="166B383C" w14:textId="29C66D95" w:rsidR="007F313D" w:rsidRPr="00C97FD3" w:rsidRDefault="17285156" w:rsidP="00343BB5">
      <w:pPr>
        <w:spacing w:after="200" w:line="240" w:lineRule="auto"/>
        <w:jc w:val="both"/>
        <w:rPr>
          <w:rFonts w:ascii="Calibri" w:hAnsi="Calibri" w:cs="Calibri"/>
        </w:rPr>
      </w:pPr>
      <w:r w:rsidRPr="00C97FD3">
        <w:rPr>
          <w:rFonts w:ascii="Calibri" w:hAnsi="Calibri" w:cs="Calibri"/>
          <w:kern w:val="2"/>
          <w14:ligatures w14:val="standardContextual"/>
        </w:rPr>
        <w:t>After an initial ramp</w:t>
      </w:r>
      <w:r w:rsidR="52A1C88F" w:rsidRPr="00C97FD3">
        <w:rPr>
          <w:rFonts w:ascii="Calibri" w:hAnsi="Calibri" w:cs="Calibri"/>
          <w:kern w:val="2"/>
          <w14:ligatures w14:val="standardContextual"/>
        </w:rPr>
        <w:t>-</w:t>
      </w:r>
      <w:r w:rsidRPr="00C97FD3">
        <w:rPr>
          <w:rFonts w:ascii="Calibri" w:hAnsi="Calibri" w:cs="Calibri"/>
          <w:kern w:val="2"/>
          <w14:ligatures w14:val="standardContextual"/>
        </w:rPr>
        <w:t>up in Yr</w:t>
      </w:r>
      <w:r w:rsidR="00471774" w:rsidRPr="00C97FD3">
        <w:rPr>
          <w:rFonts w:ascii="Calibri" w:hAnsi="Calibri" w:cs="Calibri"/>
          <w:kern w:val="2"/>
          <w14:ligatures w14:val="standardContextual"/>
        </w:rPr>
        <w:t>.</w:t>
      </w:r>
      <w:r w:rsidRPr="00C97FD3">
        <w:rPr>
          <w:rFonts w:ascii="Calibri" w:hAnsi="Calibri" w:cs="Calibri"/>
          <w:kern w:val="2"/>
          <w14:ligatures w14:val="standardContextual"/>
        </w:rPr>
        <w:t xml:space="preserve"> 1</w:t>
      </w:r>
      <w:r w:rsidR="21EBF513" w:rsidRPr="00C97FD3">
        <w:rPr>
          <w:rFonts w:ascii="Calibri" w:hAnsi="Calibri" w:cs="Calibri"/>
          <w:kern w:val="2"/>
          <w14:ligatures w14:val="standardContextual"/>
        </w:rPr>
        <w:t xml:space="preserve">, </w:t>
      </w:r>
      <w:r w:rsidR="00CC533D" w:rsidRPr="00C97FD3">
        <w:rPr>
          <w:rFonts w:ascii="Calibri" w:hAnsi="Calibri" w:cs="Calibri"/>
          <w:kern w:val="2"/>
          <w14:ligatures w14:val="standardContextual"/>
        </w:rPr>
        <w:t xml:space="preserve">UMass Memorial Health (UMMH) </w:t>
      </w:r>
      <w:r w:rsidR="00627F39" w:rsidRPr="00C97FD3">
        <w:rPr>
          <w:rFonts w:ascii="Calibri" w:hAnsi="Calibri" w:cs="Calibri"/>
          <w:kern w:val="2"/>
          <w14:ligatures w14:val="standardContextual"/>
        </w:rPr>
        <w:t xml:space="preserve">has projected a daily capacity of </w:t>
      </w:r>
      <w:r w:rsidR="005C55AF" w:rsidRPr="00C97FD3">
        <w:rPr>
          <w:rFonts w:ascii="Calibri" w:hAnsi="Calibri" w:cs="Calibri"/>
          <w:kern w:val="2"/>
          <w14:ligatures w14:val="standardContextual"/>
        </w:rPr>
        <w:t>30 treatments</w:t>
      </w:r>
      <w:r w:rsidR="00627F39" w:rsidRPr="00C97FD3">
        <w:rPr>
          <w:rFonts w:ascii="Calibri" w:hAnsi="Calibri" w:cs="Calibri"/>
          <w:kern w:val="2"/>
          <w14:ligatures w14:val="standardContextual"/>
        </w:rPr>
        <w:t xml:space="preserve">, monthly capacity of </w:t>
      </w:r>
      <w:r w:rsidR="00097218" w:rsidRPr="00C97FD3">
        <w:rPr>
          <w:rFonts w:ascii="Calibri" w:hAnsi="Calibri" w:cs="Calibri"/>
          <w:kern w:val="2"/>
          <w14:ligatures w14:val="standardContextual"/>
        </w:rPr>
        <w:t>600 treatments</w:t>
      </w:r>
      <w:r w:rsidR="00627F39" w:rsidRPr="00C97FD3">
        <w:rPr>
          <w:rFonts w:ascii="Calibri" w:hAnsi="Calibri" w:cs="Calibri"/>
          <w:kern w:val="2"/>
          <w14:ligatures w14:val="standardContextual"/>
        </w:rPr>
        <w:t xml:space="preserve"> and annual capacity of</w:t>
      </w:r>
      <w:r w:rsidR="00CA3F19" w:rsidRPr="00C97FD3">
        <w:rPr>
          <w:rFonts w:ascii="Calibri" w:hAnsi="Calibri" w:cs="Calibri"/>
          <w:kern w:val="2"/>
          <w14:ligatures w14:val="standardContextual"/>
        </w:rPr>
        <w:t xml:space="preserve"> 7</w:t>
      </w:r>
      <w:r w:rsidR="0086302B">
        <w:rPr>
          <w:rFonts w:ascii="Calibri" w:hAnsi="Calibri" w:cs="Calibri"/>
          <w:kern w:val="2"/>
          <w14:ligatures w14:val="standardContextual"/>
        </w:rPr>
        <w:t>,</w:t>
      </w:r>
      <w:r w:rsidR="00CA3F19" w:rsidRPr="00C97FD3">
        <w:rPr>
          <w:rFonts w:ascii="Calibri" w:hAnsi="Calibri" w:cs="Calibri"/>
          <w:kern w:val="2"/>
          <w14:ligatures w14:val="standardContextual"/>
        </w:rPr>
        <w:t>200 treatments</w:t>
      </w:r>
      <w:r w:rsidR="00627F39" w:rsidRPr="00C97FD3">
        <w:rPr>
          <w:rFonts w:ascii="Calibri" w:hAnsi="Calibri" w:cs="Calibri"/>
          <w:kern w:val="2"/>
          <w14:ligatures w14:val="standardContextual"/>
        </w:rPr>
        <w:t xml:space="preserve"> for the proton therapy center at Marlborough. UMMH </w:t>
      </w:r>
      <w:r w:rsidR="00CC533D" w:rsidRPr="00C97FD3">
        <w:rPr>
          <w:rFonts w:ascii="Calibri" w:hAnsi="Calibri" w:cs="Calibri"/>
          <w:kern w:val="2"/>
          <w14:ligatures w14:val="standardContextual"/>
        </w:rPr>
        <w:t>plans to operate the new proton therapy center 14 hours per day, Monday through Friday (or 250 days per year). Initial patient treatment times</w:t>
      </w:r>
      <w:r w:rsidR="00471774" w:rsidRPr="00C97FD3">
        <w:rPr>
          <w:rFonts w:ascii="Calibri" w:hAnsi="Calibri" w:cs="Calibri"/>
          <w:kern w:val="2"/>
          <w14:ligatures w14:val="standardContextual"/>
        </w:rPr>
        <w:t xml:space="preserve"> during Yr. 1</w:t>
      </w:r>
      <w:r w:rsidR="00CC533D" w:rsidRPr="00C97FD3">
        <w:rPr>
          <w:rFonts w:ascii="Calibri" w:hAnsi="Calibri" w:cs="Calibri"/>
          <w:kern w:val="2"/>
          <w14:ligatures w14:val="standardContextual"/>
        </w:rPr>
        <w:t>, including both treatment and turnaround, are projected at 30 minutes</w:t>
      </w:r>
      <w:r w:rsidR="00D51C39" w:rsidRPr="00C97FD3">
        <w:rPr>
          <w:rFonts w:ascii="Calibri" w:hAnsi="Calibri" w:cs="Calibri"/>
          <w:kern w:val="2"/>
          <w14:ligatures w14:val="standardContextual"/>
        </w:rPr>
        <w:t xml:space="preserve"> (resulting in 290 patients per year)</w:t>
      </w:r>
      <w:r w:rsidR="00CC533D" w:rsidRPr="00C97FD3">
        <w:rPr>
          <w:rFonts w:ascii="Calibri" w:hAnsi="Calibri" w:cs="Calibri"/>
          <w:kern w:val="2"/>
          <w14:ligatures w14:val="standardContextual"/>
        </w:rPr>
        <w:t xml:space="preserve">, with anticipated optimization to 25 minutes by </w:t>
      </w:r>
      <w:r w:rsidR="00471774" w:rsidRPr="00C97FD3">
        <w:rPr>
          <w:rFonts w:ascii="Calibri" w:hAnsi="Calibri" w:cs="Calibri"/>
          <w:kern w:val="2"/>
          <w14:ligatures w14:val="standardContextual"/>
        </w:rPr>
        <w:t>Yr. 2</w:t>
      </w:r>
      <w:r w:rsidR="00CC533D" w:rsidRPr="00C97FD3">
        <w:rPr>
          <w:rFonts w:ascii="Calibri" w:hAnsi="Calibri" w:cs="Calibri"/>
          <w:kern w:val="2"/>
          <w14:ligatures w14:val="standardContextual"/>
        </w:rPr>
        <w:t xml:space="preserve"> </w:t>
      </w:r>
      <w:r w:rsidR="00D51C39" w:rsidRPr="00C97FD3">
        <w:rPr>
          <w:rFonts w:ascii="Calibri" w:hAnsi="Calibri" w:cs="Calibri"/>
          <w:kern w:val="2"/>
          <w14:ligatures w14:val="standardContextual"/>
        </w:rPr>
        <w:t xml:space="preserve">(resulting in 300 patients per year) </w:t>
      </w:r>
      <w:r w:rsidR="00CC533D" w:rsidRPr="00C97FD3">
        <w:rPr>
          <w:rFonts w:ascii="Calibri" w:hAnsi="Calibri" w:cs="Calibri"/>
          <w:kern w:val="2"/>
          <w14:ligatures w14:val="standardContextual"/>
        </w:rPr>
        <w:t xml:space="preserve">as the team refines workflows and maximizes efficiency </w:t>
      </w:r>
      <w:r w:rsidR="00471774" w:rsidRPr="00C97FD3">
        <w:rPr>
          <w:rFonts w:ascii="Calibri" w:hAnsi="Calibri" w:cs="Calibri"/>
          <w:kern w:val="2"/>
          <w14:ligatures w14:val="standardContextual"/>
        </w:rPr>
        <w:t>at</w:t>
      </w:r>
      <w:r w:rsidR="00CC533D" w:rsidRPr="00C97FD3">
        <w:rPr>
          <w:rFonts w:ascii="Calibri" w:hAnsi="Calibri" w:cs="Calibri"/>
          <w:kern w:val="2"/>
          <w14:ligatures w14:val="standardContextual"/>
        </w:rPr>
        <w:t xml:space="preserve"> the proton therapy unit. </w:t>
      </w:r>
      <w:r w:rsidR="00471774" w:rsidRPr="00C97FD3">
        <w:rPr>
          <w:rFonts w:ascii="Calibri" w:hAnsi="Calibri" w:cs="Calibri"/>
          <w:kern w:val="2"/>
          <w14:ligatures w14:val="standardContextual"/>
        </w:rPr>
        <w:t>H</w:t>
      </w:r>
      <w:r w:rsidR="00CC533D" w:rsidRPr="00C97FD3">
        <w:rPr>
          <w:rFonts w:ascii="Calibri" w:hAnsi="Calibri" w:cs="Calibri"/>
          <w:kern w:val="2"/>
          <w14:ligatures w14:val="standardContextual"/>
        </w:rPr>
        <w:t xml:space="preserve">ours </w:t>
      </w:r>
      <w:r w:rsidR="00471774" w:rsidRPr="00C97FD3">
        <w:rPr>
          <w:rFonts w:ascii="Calibri" w:hAnsi="Calibri" w:cs="Calibri"/>
          <w:kern w:val="2"/>
          <w14:ligatures w14:val="standardContextual"/>
        </w:rPr>
        <w:t xml:space="preserve">of operation </w:t>
      </w:r>
      <w:r w:rsidR="00CC533D" w:rsidRPr="00C97FD3">
        <w:rPr>
          <w:rFonts w:ascii="Calibri" w:hAnsi="Calibri" w:cs="Calibri"/>
          <w:kern w:val="2"/>
          <w14:ligatures w14:val="standardContextual"/>
        </w:rPr>
        <w:t>for the proton therapy center have been developed based on standard patient care hours and to allow necessary time for machine maintenance and quality assurance.</w:t>
      </w:r>
    </w:p>
    <w:tbl>
      <w:tblPr>
        <w:tblpPr w:leftFromText="180" w:rightFromText="180" w:vertAnchor="text" w:tblpY="1"/>
        <w:tblOverlap w:val="never"/>
        <w:tblW w:w="5720" w:type="dxa"/>
        <w:tblLook w:val="04A0" w:firstRow="1" w:lastRow="0" w:firstColumn="1" w:lastColumn="0" w:noHBand="0" w:noVBand="1"/>
      </w:tblPr>
      <w:tblGrid>
        <w:gridCol w:w="2836"/>
        <w:gridCol w:w="1006"/>
        <w:gridCol w:w="1006"/>
        <w:gridCol w:w="1006"/>
      </w:tblGrid>
      <w:tr w:rsidR="009F2FC8" w:rsidRPr="00C97FD3" w14:paraId="08EA0D9D" w14:textId="77777777" w:rsidTr="008D587E">
        <w:trPr>
          <w:cantSplit/>
          <w:trHeight w:val="300"/>
          <w:tblHeader/>
        </w:trPr>
        <w:tc>
          <w:tcPr>
            <w:tcW w:w="2836" w:type="dxa"/>
            <w:tcBorders>
              <w:top w:val="nil"/>
              <w:left w:val="nil"/>
              <w:bottom w:val="nil"/>
              <w:right w:val="single" w:sz="4" w:space="0" w:color="auto"/>
            </w:tcBorders>
            <w:shd w:val="clear" w:color="auto" w:fill="auto"/>
            <w:noWrap/>
            <w:vAlign w:val="bottom"/>
            <w:hideMark/>
          </w:tcPr>
          <w:p w14:paraId="4FFE09C2" w14:textId="77777777" w:rsidR="009F2FC8" w:rsidRPr="00C97FD3" w:rsidRDefault="009F2FC8" w:rsidP="00A631DA">
            <w:pPr>
              <w:spacing w:after="0" w:line="240" w:lineRule="auto"/>
              <w:jc w:val="center"/>
              <w:rPr>
                <w:rFonts w:ascii="Calibri" w:eastAsia="Times New Roman" w:hAnsi="Calibri" w:cs="Calibri"/>
                <w:b/>
                <w:bCs/>
              </w:rPr>
            </w:pPr>
          </w:p>
        </w:tc>
        <w:tc>
          <w:tcPr>
            <w:tcW w:w="965"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5FC92CAB" w14:textId="77777777" w:rsidR="009F2FC8" w:rsidRPr="00C97FD3" w:rsidRDefault="009F2FC8" w:rsidP="00A631DA">
            <w:pPr>
              <w:spacing w:after="0" w:line="240" w:lineRule="auto"/>
              <w:jc w:val="center"/>
              <w:rPr>
                <w:rFonts w:ascii="Calibri" w:eastAsia="Times New Roman" w:hAnsi="Calibri" w:cs="Calibri"/>
                <w:b/>
                <w:bCs/>
                <w:color w:val="000000"/>
              </w:rPr>
            </w:pPr>
            <w:r w:rsidRPr="00C97FD3">
              <w:rPr>
                <w:rFonts w:ascii="Calibri" w:eastAsia="Times New Roman" w:hAnsi="Calibri" w:cs="Calibri"/>
                <w:b/>
                <w:bCs/>
                <w:color w:val="000000"/>
              </w:rPr>
              <w:t>Yr 1</w:t>
            </w:r>
          </w:p>
        </w:tc>
        <w:tc>
          <w:tcPr>
            <w:tcW w:w="951"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3C38A1E" w14:textId="77777777" w:rsidR="009F2FC8" w:rsidRPr="00C97FD3" w:rsidRDefault="009F2FC8" w:rsidP="00A631DA">
            <w:pPr>
              <w:spacing w:after="0" w:line="240" w:lineRule="auto"/>
              <w:jc w:val="center"/>
              <w:rPr>
                <w:rFonts w:ascii="Calibri" w:eastAsia="Times New Roman" w:hAnsi="Calibri" w:cs="Calibri"/>
                <w:b/>
                <w:bCs/>
                <w:color w:val="000000"/>
              </w:rPr>
            </w:pPr>
            <w:r w:rsidRPr="00C97FD3">
              <w:rPr>
                <w:rFonts w:ascii="Calibri" w:eastAsia="Times New Roman" w:hAnsi="Calibri" w:cs="Calibri"/>
                <w:b/>
                <w:bCs/>
                <w:color w:val="000000"/>
              </w:rPr>
              <w:t>Yr 2</w:t>
            </w:r>
          </w:p>
        </w:tc>
        <w:tc>
          <w:tcPr>
            <w:tcW w:w="968"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3F966D40" w14:textId="77777777" w:rsidR="009F2FC8" w:rsidRPr="00C97FD3" w:rsidRDefault="009F2FC8" w:rsidP="00A631DA">
            <w:pPr>
              <w:spacing w:after="0" w:line="240" w:lineRule="auto"/>
              <w:jc w:val="center"/>
              <w:rPr>
                <w:rFonts w:ascii="Calibri" w:eastAsia="Times New Roman" w:hAnsi="Calibri" w:cs="Calibri"/>
                <w:b/>
                <w:bCs/>
                <w:color w:val="000000"/>
              </w:rPr>
            </w:pPr>
            <w:r w:rsidRPr="00C97FD3">
              <w:rPr>
                <w:rFonts w:ascii="Calibri" w:eastAsia="Times New Roman" w:hAnsi="Calibri" w:cs="Calibri"/>
                <w:b/>
                <w:bCs/>
                <w:color w:val="000000"/>
              </w:rPr>
              <w:t>Yr 3</w:t>
            </w:r>
          </w:p>
        </w:tc>
      </w:tr>
      <w:tr w:rsidR="009F2FC8" w:rsidRPr="00C97FD3" w14:paraId="7AD878E6" w14:textId="77777777" w:rsidTr="008D587E">
        <w:trPr>
          <w:cantSplit/>
          <w:trHeight w:val="300"/>
        </w:trPr>
        <w:tc>
          <w:tcPr>
            <w:tcW w:w="2836" w:type="dxa"/>
            <w:tcBorders>
              <w:top w:val="nil"/>
              <w:left w:val="nil"/>
              <w:bottom w:val="nil"/>
              <w:right w:val="nil"/>
            </w:tcBorders>
            <w:shd w:val="clear" w:color="auto" w:fill="auto"/>
            <w:noWrap/>
            <w:vAlign w:val="bottom"/>
            <w:hideMark/>
          </w:tcPr>
          <w:p w14:paraId="1618FFF4" w14:textId="7195BD39"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xml:space="preserve">Patient Volume (New Starts) </w:t>
            </w:r>
          </w:p>
        </w:tc>
        <w:tc>
          <w:tcPr>
            <w:tcW w:w="965" w:type="dxa"/>
            <w:tcBorders>
              <w:top w:val="nil"/>
              <w:left w:val="single" w:sz="8" w:space="0" w:color="auto"/>
              <w:bottom w:val="nil"/>
              <w:right w:val="nil"/>
            </w:tcBorders>
            <w:shd w:val="clear" w:color="000000" w:fill="EBF1DE"/>
            <w:noWrap/>
            <w:vAlign w:val="bottom"/>
            <w:hideMark/>
          </w:tcPr>
          <w:p w14:paraId="581FE4CB"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180 </w:t>
            </w:r>
          </w:p>
        </w:tc>
        <w:tc>
          <w:tcPr>
            <w:tcW w:w="951" w:type="dxa"/>
            <w:tcBorders>
              <w:top w:val="nil"/>
              <w:left w:val="nil"/>
              <w:bottom w:val="nil"/>
              <w:right w:val="nil"/>
            </w:tcBorders>
            <w:shd w:val="clear" w:color="000000" w:fill="EBF1DE"/>
            <w:noWrap/>
            <w:vAlign w:val="bottom"/>
            <w:hideMark/>
          </w:tcPr>
          <w:p w14:paraId="5A991F94"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300 </w:t>
            </w:r>
          </w:p>
        </w:tc>
        <w:tc>
          <w:tcPr>
            <w:tcW w:w="968" w:type="dxa"/>
            <w:tcBorders>
              <w:top w:val="nil"/>
              <w:left w:val="nil"/>
              <w:bottom w:val="nil"/>
              <w:right w:val="single" w:sz="8" w:space="0" w:color="auto"/>
            </w:tcBorders>
            <w:shd w:val="clear" w:color="000000" w:fill="EBF1DE"/>
            <w:noWrap/>
            <w:vAlign w:val="bottom"/>
            <w:hideMark/>
          </w:tcPr>
          <w:p w14:paraId="3F5D56D1"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300 </w:t>
            </w:r>
          </w:p>
        </w:tc>
      </w:tr>
      <w:tr w:rsidR="009F2FC8" w:rsidRPr="00C97FD3" w14:paraId="4D4A9A8F" w14:textId="77777777" w:rsidTr="008D587E">
        <w:trPr>
          <w:cantSplit/>
          <w:trHeight w:val="300"/>
        </w:trPr>
        <w:tc>
          <w:tcPr>
            <w:tcW w:w="2836" w:type="dxa"/>
            <w:tcBorders>
              <w:top w:val="nil"/>
              <w:left w:val="nil"/>
              <w:bottom w:val="nil"/>
              <w:right w:val="nil"/>
            </w:tcBorders>
            <w:shd w:val="clear" w:color="auto" w:fill="auto"/>
            <w:noWrap/>
            <w:vAlign w:val="bottom"/>
            <w:hideMark/>
          </w:tcPr>
          <w:p w14:paraId="5DA2FBC0"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Radiation Treatments</w:t>
            </w:r>
          </w:p>
        </w:tc>
        <w:tc>
          <w:tcPr>
            <w:tcW w:w="965" w:type="dxa"/>
            <w:tcBorders>
              <w:top w:val="nil"/>
              <w:left w:val="single" w:sz="8" w:space="0" w:color="auto"/>
              <w:bottom w:val="nil"/>
              <w:right w:val="nil"/>
            </w:tcBorders>
            <w:shd w:val="clear" w:color="000000" w:fill="EBF1DE"/>
            <w:noWrap/>
            <w:vAlign w:val="bottom"/>
            <w:hideMark/>
          </w:tcPr>
          <w:p w14:paraId="50A0D9AD"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4,320 </w:t>
            </w:r>
          </w:p>
        </w:tc>
        <w:tc>
          <w:tcPr>
            <w:tcW w:w="951" w:type="dxa"/>
            <w:tcBorders>
              <w:top w:val="nil"/>
              <w:left w:val="nil"/>
              <w:bottom w:val="nil"/>
              <w:right w:val="nil"/>
            </w:tcBorders>
            <w:shd w:val="clear" w:color="000000" w:fill="EBF1DE"/>
            <w:noWrap/>
            <w:vAlign w:val="bottom"/>
            <w:hideMark/>
          </w:tcPr>
          <w:p w14:paraId="45CBB563"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7,200 </w:t>
            </w:r>
          </w:p>
        </w:tc>
        <w:tc>
          <w:tcPr>
            <w:tcW w:w="968" w:type="dxa"/>
            <w:tcBorders>
              <w:top w:val="nil"/>
              <w:left w:val="nil"/>
              <w:bottom w:val="nil"/>
              <w:right w:val="single" w:sz="8" w:space="0" w:color="auto"/>
            </w:tcBorders>
            <w:shd w:val="clear" w:color="000000" w:fill="EBF1DE"/>
            <w:noWrap/>
            <w:vAlign w:val="bottom"/>
            <w:hideMark/>
          </w:tcPr>
          <w:p w14:paraId="32FA7440"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7,200 </w:t>
            </w:r>
          </w:p>
        </w:tc>
      </w:tr>
      <w:tr w:rsidR="009F2FC8" w:rsidRPr="00C97FD3" w14:paraId="02AFF379" w14:textId="77777777" w:rsidTr="008D587E">
        <w:trPr>
          <w:cantSplit/>
          <w:trHeight w:val="300"/>
        </w:trPr>
        <w:tc>
          <w:tcPr>
            <w:tcW w:w="2836" w:type="dxa"/>
            <w:tcBorders>
              <w:top w:val="nil"/>
              <w:left w:val="nil"/>
              <w:bottom w:val="nil"/>
              <w:right w:val="nil"/>
            </w:tcBorders>
            <w:shd w:val="clear" w:color="auto" w:fill="auto"/>
            <w:noWrap/>
            <w:vAlign w:val="bottom"/>
            <w:hideMark/>
          </w:tcPr>
          <w:p w14:paraId="42183B96"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Est. Avg Treatments per Pt</w:t>
            </w:r>
          </w:p>
        </w:tc>
        <w:tc>
          <w:tcPr>
            <w:tcW w:w="965" w:type="dxa"/>
            <w:tcBorders>
              <w:top w:val="nil"/>
              <w:left w:val="single" w:sz="8" w:space="0" w:color="auto"/>
              <w:bottom w:val="nil"/>
              <w:right w:val="nil"/>
            </w:tcBorders>
            <w:shd w:val="clear" w:color="000000" w:fill="EBF1DE"/>
            <w:noWrap/>
            <w:vAlign w:val="bottom"/>
            <w:hideMark/>
          </w:tcPr>
          <w:p w14:paraId="36B2C8F4"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24 </w:t>
            </w:r>
          </w:p>
        </w:tc>
        <w:tc>
          <w:tcPr>
            <w:tcW w:w="951" w:type="dxa"/>
            <w:tcBorders>
              <w:top w:val="nil"/>
              <w:left w:val="nil"/>
              <w:bottom w:val="nil"/>
              <w:right w:val="nil"/>
            </w:tcBorders>
            <w:shd w:val="clear" w:color="000000" w:fill="EBF1DE"/>
            <w:noWrap/>
            <w:vAlign w:val="bottom"/>
            <w:hideMark/>
          </w:tcPr>
          <w:p w14:paraId="03D3FBDB"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24 </w:t>
            </w:r>
          </w:p>
        </w:tc>
        <w:tc>
          <w:tcPr>
            <w:tcW w:w="968" w:type="dxa"/>
            <w:tcBorders>
              <w:top w:val="nil"/>
              <w:left w:val="nil"/>
              <w:bottom w:val="nil"/>
              <w:right w:val="single" w:sz="8" w:space="0" w:color="auto"/>
            </w:tcBorders>
            <w:shd w:val="clear" w:color="000000" w:fill="EBF1DE"/>
            <w:noWrap/>
            <w:vAlign w:val="bottom"/>
            <w:hideMark/>
          </w:tcPr>
          <w:p w14:paraId="7671B169"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24 </w:t>
            </w:r>
          </w:p>
        </w:tc>
      </w:tr>
      <w:tr w:rsidR="009F2FC8" w:rsidRPr="00C97FD3" w14:paraId="451D7B99" w14:textId="77777777" w:rsidTr="008D587E">
        <w:trPr>
          <w:cantSplit/>
          <w:trHeight w:val="207"/>
        </w:trPr>
        <w:tc>
          <w:tcPr>
            <w:tcW w:w="2836" w:type="dxa"/>
            <w:tcBorders>
              <w:top w:val="nil"/>
              <w:left w:val="nil"/>
              <w:bottom w:val="nil"/>
              <w:right w:val="nil"/>
            </w:tcBorders>
            <w:shd w:val="clear" w:color="auto" w:fill="auto"/>
            <w:noWrap/>
            <w:vAlign w:val="bottom"/>
            <w:hideMark/>
          </w:tcPr>
          <w:p w14:paraId="331C12D8" w14:textId="77777777" w:rsidR="009F2FC8" w:rsidRPr="00C97FD3" w:rsidRDefault="009F2FC8" w:rsidP="00A631DA">
            <w:pPr>
              <w:spacing w:after="0" w:line="240" w:lineRule="auto"/>
              <w:jc w:val="right"/>
              <w:rPr>
                <w:rFonts w:ascii="Calibri" w:eastAsia="Times New Roman" w:hAnsi="Calibri" w:cs="Calibri"/>
                <w:color w:val="000000"/>
              </w:rPr>
            </w:pPr>
          </w:p>
        </w:tc>
        <w:tc>
          <w:tcPr>
            <w:tcW w:w="965" w:type="dxa"/>
            <w:tcBorders>
              <w:top w:val="nil"/>
              <w:left w:val="single" w:sz="8" w:space="0" w:color="auto"/>
              <w:bottom w:val="nil"/>
              <w:right w:val="nil"/>
            </w:tcBorders>
            <w:shd w:val="clear" w:color="000000" w:fill="EBF1DE"/>
            <w:noWrap/>
            <w:vAlign w:val="bottom"/>
            <w:hideMark/>
          </w:tcPr>
          <w:p w14:paraId="570BB08D"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c>
          <w:tcPr>
            <w:tcW w:w="951" w:type="dxa"/>
            <w:tcBorders>
              <w:top w:val="nil"/>
              <w:left w:val="nil"/>
              <w:bottom w:val="nil"/>
              <w:right w:val="nil"/>
            </w:tcBorders>
            <w:shd w:val="clear" w:color="000000" w:fill="EBF1DE"/>
            <w:noWrap/>
            <w:vAlign w:val="bottom"/>
            <w:hideMark/>
          </w:tcPr>
          <w:p w14:paraId="7680F805"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c>
          <w:tcPr>
            <w:tcW w:w="968" w:type="dxa"/>
            <w:tcBorders>
              <w:top w:val="nil"/>
              <w:left w:val="nil"/>
              <w:bottom w:val="nil"/>
              <w:right w:val="single" w:sz="8" w:space="0" w:color="auto"/>
            </w:tcBorders>
            <w:shd w:val="clear" w:color="000000" w:fill="EBF1DE"/>
            <w:noWrap/>
            <w:vAlign w:val="bottom"/>
            <w:hideMark/>
          </w:tcPr>
          <w:p w14:paraId="4CB7E01C"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r>
      <w:tr w:rsidR="009F2FC8" w:rsidRPr="00C97FD3" w14:paraId="750B8452" w14:textId="77777777" w:rsidTr="008D587E">
        <w:trPr>
          <w:cantSplit/>
          <w:trHeight w:val="300"/>
        </w:trPr>
        <w:tc>
          <w:tcPr>
            <w:tcW w:w="2836" w:type="dxa"/>
            <w:tcBorders>
              <w:top w:val="nil"/>
              <w:left w:val="nil"/>
              <w:bottom w:val="nil"/>
              <w:right w:val="nil"/>
            </w:tcBorders>
            <w:shd w:val="clear" w:color="auto" w:fill="auto"/>
            <w:noWrap/>
            <w:vAlign w:val="bottom"/>
            <w:hideMark/>
          </w:tcPr>
          <w:p w14:paraId="171B65DD"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Hours per Day</w:t>
            </w:r>
          </w:p>
        </w:tc>
        <w:tc>
          <w:tcPr>
            <w:tcW w:w="965" w:type="dxa"/>
            <w:tcBorders>
              <w:top w:val="nil"/>
              <w:left w:val="single" w:sz="8" w:space="0" w:color="auto"/>
              <w:bottom w:val="nil"/>
              <w:right w:val="nil"/>
            </w:tcBorders>
            <w:shd w:val="clear" w:color="000000" w:fill="EBF1DE"/>
            <w:noWrap/>
            <w:vAlign w:val="bottom"/>
            <w:hideMark/>
          </w:tcPr>
          <w:p w14:paraId="111F9B7E"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14 </w:t>
            </w:r>
          </w:p>
        </w:tc>
        <w:tc>
          <w:tcPr>
            <w:tcW w:w="951" w:type="dxa"/>
            <w:tcBorders>
              <w:top w:val="nil"/>
              <w:left w:val="nil"/>
              <w:bottom w:val="nil"/>
              <w:right w:val="nil"/>
            </w:tcBorders>
            <w:shd w:val="clear" w:color="000000" w:fill="EBF1DE"/>
            <w:noWrap/>
            <w:vAlign w:val="bottom"/>
            <w:hideMark/>
          </w:tcPr>
          <w:p w14:paraId="049CD9D7"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14 </w:t>
            </w:r>
          </w:p>
        </w:tc>
        <w:tc>
          <w:tcPr>
            <w:tcW w:w="968" w:type="dxa"/>
            <w:tcBorders>
              <w:top w:val="nil"/>
              <w:left w:val="nil"/>
              <w:bottom w:val="nil"/>
              <w:right w:val="single" w:sz="8" w:space="0" w:color="auto"/>
            </w:tcBorders>
            <w:shd w:val="clear" w:color="000000" w:fill="EBF1DE"/>
            <w:noWrap/>
            <w:vAlign w:val="bottom"/>
            <w:hideMark/>
          </w:tcPr>
          <w:p w14:paraId="105DAEE7"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14 </w:t>
            </w:r>
          </w:p>
        </w:tc>
      </w:tr>
      <w:tr w:rsidR="009F2FC8" w:rsidRPr="00C97FD3" w14:paraId="4708129F" w14:textId="77777777" w:rsidTr="008D587E">
        <w:trPr>
          <w:cantSplit/>
          <w:trHeight w:val="300"/>
        </w:trPr>
        <w:tc>
          <w:tcPr>
            <w:tcW w:w="2836" w:type="dxa"/>
            <w:tcBorders>
              <w:top w:val="nil"/>
              <w:left w:val="nil"/>
              <w:bottom w:val="nil"/>
              <w:right w:val="nil"/>
            </w:tcBorders>
            <w:shd w:val="clear" w:color="auto" w:fill="auto"/>
            <w:noWrap/>
            <w:vAlign w:val="bottom"/>
            <w:hideMark/>
          </w:tcPr>
          <w:p w14:paraId="55E024AA"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Days in Year</w:t>
            </w:r>
          </w:p>
        </w:tc>
        <w:tc>
          <w:tcPr>
            <w:tcW w:w="965" w:type="dxa"/>
            <w:tcBorders>
              <w:top w:val="nil"/>
              <w:left w:val="single" w:sz="8" w:space="0" w:color="auto"/>
              <w:bottom w:val="nil"/>
              <w:right w:val="nil"/>
            </w:tcBorders>
            <w:shd w:val="clear" w:color="000000" w:fill="EBF1DE"/>
            <w:noWrap/>
            <w:vAlign w:val="bottom"/>
            <w:hideMark/>
          </w:tcPr>
          <w:p w14:paraId="12EB76BC"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250 </w:t>
            </w:r>
          </w:p>
        </w:tc>
        <w:tc>
          <w:tcPr>
            <w:tcW w:w="951" w:type="dxa"/>
            <w:tcBorders>
              <w:top w:val="nil"/>
              <w:left w:val="nil"/>
              <w:bottom w:val="nil"/>
              <w:right w:val="nil"/>
            </w:tcBorders>
            <w:shd w:val="clear" w:color="000000" w:fill="EBF1DE"/>
            <w:noWrap/>
            <w:vAlign w:val="bottom"/>
            <w:hideMark/>
          </w:tcPr>
          <w:p w14:paraId="6E36D021"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250 </w:t>
            </w:r>
          </w:p>
        </w:tc>
        <w:tc>
          <w:tcPr>
            <w:tcW w:w="968" w:type="dxa"/>
            <w:tcBorders>
              <w:top w:val="nil"/>
              <w:left w:val="nil"/>
              <w:bottom w:val="nil"/>
              <w:right w:val="single" w:sz="8" w:space="0" w:color="auto"/>
            </w:tcBorders>
            <w:shd w:val="clear" w:color="000000" w:fill="EBF1DE"/>
            <w:noWrap/>
            <w:vAlign w:val="bottom"/>
            <w:hideMark/>
          </w:tcPr>
          <w:p w14:paraId="47DB66EB"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250 </w:t>
            </w:r>
          </w:p>
        </w:tc>
      </w:tr>
      <w:tr w:rsidR="009F2FC8" w:rsidRPr="00C97FD3" w14:paraId="006499B8" w14:textId="77777777" w:rsidTr="008D587E">
        <w:trPr>
          <w:cantSplit/>
          <w:trHeight w:val="300"/>
        </w:trPr>
        <w:tc>
          <w:tcPr>
            <w:tcW w:w="2836" w:type="dxa"/>
            <w:tcBorders>
              <w:top w:val="nil"/>
              <w:left w:val="nil"/>
              <w:bottom w:val="nil"/>
              <w:right w:val="nil"/>
            </w:tcBorders>
            <w:shd w:val="clear" w:color="auto" w:fill="auto"/>
            <w:noWrap/>
            <w:vAlign w:val="bottom"/>
            <w:hideMark/>
          </w:tcPr>
          <w:p w14:paraId="1BBF4205" w14:textId="77777777" w:rsidR="009F2FC8" w:rsidRPr="00C97FD3" w:rsidRDefault="009F2FC8" w:rsidP="00A631DA">
            <w:pPr>
              <w:spacing w:after="0" w:line="240" w:lineRule="auto"/>
              <w:jc w:val="right"/>
              <w:rPr>
                <w:rFonts w:ascii="Calibri" w:eastAsia="Times New Roman" w:hAnsi="Calibri" w:cs="Calibri"/>
                <w:color w:val="000000"/>
              </w:rPr>
            </w:pPr>
          </w:p>
        </w:tc>
        <w:tc>
          <w:tcPr>
            <w:tcW w:w="965" w:type="dxa"/>
            <w:tcBorders>
              <w:top w:val="nil"/>
              <w:left w:val="single" w:sz="8" w:space="0" w:color="auto"/>
              <w:bottom w:val="nil"/>
              <w:right w:val="nil"/>
            </w:tcBorders>
            <w:shd w:val="clear" w:color="000000" w:fill="EBF1DE"/>
            <w:noWrap/>
            <w:vAlign w:val="bottom"/>
            <w:hideMark/>
          </w:tcPr>
          <w:p w14:paraId="13546EA5"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c>
          <w:tcPr>
            <w:tcW w:w="951" w:type="dxa"/>
            <w:tcBorders>
              <w:top w:val="nil"/>
              <w:left w:val="nil"/>
              <w:bottom w:val="nil"/>
              <w:right w:val="nil"/>
            </w:tcBorders>
            <w:shd w:val="clear" w:color="000000" w:fill="EBF1DE"/>
            <w:noWrap/>
            <w:vAlign w:val="bottom"/>
            <w:hideMark/>
          </w:tcPr>
          <w:p w14:paraId="29256597"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c>
          <w:tcPr>
            <w:tcW w:w="968" w:type="dxa"/>
            <w:tcBorders>
              <w:top w:val="nil"/>
              <w:left w:val="nil"/>
              <w:bottom w:val="nil"/>
              <w:right w:val="single" w:sz="8" w:space="0" w:color="auto"/>
            </w:tcBorders>
            <w:shd w:val="clear" w:color="000000" w:fill="EBF1DE"/>
            <w:noWrap/>
            <w:vAlign w:val="bottom"/>
            <w:hideMark/>
          </w:tcPr>
          <w:p w14:paraId="1AB72DCC"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 </w:t>
            </w:r>
          </w:p>
        </w:tc>
      </w:tr>
      <w:tr w:rsidR="009F2FC8" w:rsidRPr="00C97FD3" w14:paraId="51C55BF6" w14:textId="77777777" w:rsidTr="008D587E">
        <w:trPr>
          <w:cantSplit/>
          <w:trHeight w:val="300"/>
        </w:trPr>
        <w:tc>
          <w:tcPr>
            <w:tcW w:w="2836" w:type="dxa"/>
            <w:tcBorders>
              <w:top w:val="nil"/>
              <w:left w:val="nil"/>
              <w:bottom w:val="nil"/>
              <w:right w:val="nil"/>
            </w:tcBorders>
            <w:shd w:val="clear" w:color="auto" w:fill="auto"/>
            <w:noWrap/>
            <w:vAlign w:val="bottom"/>
            <w:hideMark/>
          </w:tcPr>
          <w:p w14:paraId="2E69DA92"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Mins per Treatment</w:t>
            </w:r>
          </w:p>
        </w:tc>
        <w:tc>
          <w:tcPr>
            <w:tcW w:w="965" w:type="dxa"/>
            <w:tcBorders>
              <w:top w:val="nil"/>
              <w:left w:val="single" w:sz="8" w:space="0" w:color="auto"/>
              <w:right w:val="nil"/>
            </w:tcBorders>
            <w:shd w:val="clear" w:color="000000" w:fill="EBF1DE"/>
            <w:noWrap/>
            <w:vAlign w:val="bottom"/>
            <w:hideMark/>
          </w:tcPr>
          <w:p w14:paraId="2DF2EBC2"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30 </w:t>
            </w:r>
          </w:p>
        </w:tc>
        <w:tc>
          <w:tcPr>
            <w:tcW w:w="951" w:type="dxa"/>
            <w:tcBorders>
              <w:top w:val="nil"/>
              <w:left w:val="nil"/>
              <w:right w:val="nil"/>
            </w:tcBorders>
            <w:shd w:val="clear" w:color="000000" w:fill="EBF1DE"/>
            <w:noWrap/>
            <w:vAlign w:val="bottom"/>
            <w:hideMark/>
          </w:tcPr>
          <w:p w14:paraId="5B4B35BC"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25 </w:t>
            </w:r>
          </w:p>
        </w:tc>
        <w:tc>
          <w:tcPr>
            <w:tcW w:w="968" w:type="dxa"/>
            <w:tcBorders>
              <w:top w:val="nil"/>
              <w:left w:val="nil"/>
              <w:right w:val="single" w:sz="8" w:space="0" w:color="auto"/>
            </w:tcBorders>
            <w:shd w:val="clear" w:color="000000" w:fill="EBF1DE"/>
            <w:noWrap/>
            <w:vAlign w:val="bottom"/>
            <w:hideMark/>
          </w:tcPr>
          <w:p w14:paraId="6F595957"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25 </w:t>
            </w:r>
          </w:p>
        </w:tc>
      </w:tr>
      <w:tr w:rsidR="009F2FC8" w:rsidRPr="00C97FD3" w14:paraId="49D9A791" w14:textId="77777777" w:rsidTr="008D587E">
        <w:trPr>
          <w:cantSplit/>
          <w:trHeight w:val="300"/>
        </w:trPr>
        <w:tc>
          <w:tcPr>
            <w:tcW w:w="2836" w:type="dxa"/>
            <w:tcBorders>
              <w:top w:val="nil"/>
              <w:left w:val="nil"/>
              <w:bottom w:val="nil"/>
              <w:right w:val="nil"/>
            </w:tcBorders>
            <w:shd w:val="clear" w:color="auto" w:fill="auto"/>
            <w:noWrap/>
            <w:vAlign w:val="bottom"/>
            <w:hideMark/>
          </w:tcPr>
          <w:p w14:paraId="1B65C1DD" w14:textId="77777777" w:rsidR="009F2FC8" w:rsidRPr="00C97FD3" w:rsidRDefault="009F2FC8" w:rsidP="00A631DA">
            <w:pPr>
              <w:spacing w:after="0" w:line="240" w:lineRule="auto"/>
              <w:rPr>
                <w:rFonts w:ascii="Calibri" w:eastAsia="Times New Roman" w:hAnsi="Calibri" w:cs="Calibri"/>
                <w:color w:val="000000"/>
              </w:rPr>
            </w:pPr>
            <w:r w:rsidRPr="00C97FD3">
              <w:rPr>
                <w:rFonts w:ascii="Calibri" w:eastAsia="Times New Roman" w:hAnsi="Calibri" w:cs="Calibri"/>
                <w:color w:val="000000"/>
              </w:rPr>
              <w:t>Total Est. Mins</w:t>
            </w:r>
          </w:p>
        </w:tc>
        <w:tc>
          <w:tcPr>
            <w:tcW w:w="965" w:type="dxa"/>
            <w:tcBorders>
              <w:top w:val="nil"/>
              <w:left w:val="single" w:sz="8" w:space="0" w:color="auto"/>
              <w:bottom w:val="single" w:sz="4" w:space="0" w:color="auto"/>
              <w:right w:val="nil"/>
            </w:tcBorders>
            <w:shd w:val="clear" w:color="000000" w:fill="EBF1DE"/>
            <w:noWrap/>
            <w:vAlign w:val="bottom"/>
            <w:hideMark/>
          </w:tcPr>
          <w:p w14:paraId="29CAF86E"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129,600 </w:t>
            </w:r>
          </w:p>
        </w:tc>
        <w:tc>
          <w:tcPr>
            <w:tcW w:w="951" w:type="dxa"/>
            <w:tcBorders>
              <w:top w:val="nil"/>
              <w:left w:val="nil"/>
              <w:bottom w:val="single" w:sz="4" w:space="0" w:color="auto"/>
              <w:right w:val="nil"/>
            </w:tcBorders>
            <w:shd w:val="clear" w:color="000000" w:fill="EBF1DE"/>
            <w:noWrap/>
            <w:vAlign w:val="bottom"/>
            <w:hideMark/>
          </w:tcPr>
          <w:p w14:paraId="6AA94FD4"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180,000 </w:t>
            </w:r>
          </w:p>
        </w:tc>
        <w:tc>
          <w:tcPr>
            <w:tcW w:w="968" w:type="dxa"/>
            <w:tcBorders>
              <w:top w:val="nil"/>
              <w:left w:val="nil"/>
              <w:bottom w:val="single" w:sz="4" w:space="0" w:color="auto"/>
              <w:right w:val="single" w:sz="8" w:space="0" w:color="auto"/>
            </w:tcBorders>
            <w:shd w:val="clear" w:color="000000" w:fill="EBF1DE"/>
            <w:noWrap/>
            <w:vAlign w:val="bottom"/>
            <w:hideMark/>
          </w:tcPr>
          <w:p w14:paraId="7C6856DF" w14:textId="77777777" w:rsidR="009F2FC8" w:rsidRPr="00C97FD3" w:rsidRDefault="009F2FC8" w:rsidP="00A631DA">
            <w:pPr>
              <w:spacing w:after="0" w:line="240" w:lineRule="auto"/>
              <w:jc w:val="right"/>
              <w:rPr>
                <w:rFonts w:ascii="Calibri" w:eastAsia="Times New Roman" w:hAnsi="Calibri" w:cs="Calibri"/>
                <w:color w:val="000000"/>
              </w:rPr>
            </w:pPr>
            <w:r w:rsidRPr="00C97FD3">
              <w:rPr>
                <w:rFonts w:ascii="Calibri" w:eastAsia="Times New Roman" w:hAnsi="Calibri" w:cs="Calibri"/>
                <w:color w:val="000000"/>
              </w:rPr>
              <w:t xml:space="preserve">180,000 </w:t>
            </w:r>
          </w:p>
        </w:tc>
      </w:tr>
    </w:tbl>
    <w:p w14:paraId="2310262A" w14:textId="5800B355" w:rsidR="00C51C77" w:rsidRPr="00C97FD3" w:rsidRDefault="00C51C77">
      <w:pPr>
        <w:rPr>
          <w:rFonts w:ascii="Calibri" w:hAnsi="Calibri" w:cs="Calibri"/>
        </w:rPr>
      </w:pPr>
    </w:p>
    <w:p w14:paraId="5A7F0071" w14:textId="77777777" w:rsidR="00761C2C" w:rsidRPr="00397418" w:rsidRDefault="00761C2C" w:rsidP="00A566A0">
      <w:pPr>
        <w:pStyle w:val="Heading2"/>
        <w:spacing w:before="0" w:after="240" w:line="240" w:lineRule="auto"/>
        <w:rPr>
          <w:rFonts w:ascii="Calibri" w:hAnsi="Calibri" w:cs="Calibri"/>
          <w:b/>
          <w:bCs/>
          <w:color w:val="215E99" w:themeColor="text2" w:themeTint="BF"/>
          <w:sz w:val="24"/>
          <w:szCs w:val="24"/>
        </w:rPr>
      </w:pPr>
      <w:r w:rsidRPr="00397418">
        <w:rPr>
          <w:rFonts w:ascii="Calibri" w:hAnsi="Calibri" w:cs="Calibri"/>
          <w:b/>
          <w:bCs/>
          <w:color w:val="215E99" w:themeColor="text2" w:themeTint="BF"/>
          <w:sz w:val="24"/>
          <w:szCs w:val="24"/>
        </w:rPr>
        <w:lastRenderedPageBreak/>
        <w:t>QUESTION</w:t>
      </w:r>
    </w:p>
    <w:p w14:paraId="5438ACDB" w14:textId="77777777" w:rsidR="00B9469F" w:rsidRPr="00397418" w:rsidRDefault="00B9469F" w:rsidP="00A566A0">
      <w:pPr>
        <w:pStyle w:val="ListParagraph"/>
        <w:keepNext/>
        <w:keepLines/>
        <w:numPr>
          <w:ilvl w:val="0"/>
          <w:numId w:val="10"/>
        </w:numPr>
        <w:spacing w:after="240" w:line="240" w:lineRule="auto"/>
        <w:contextualSpacing w:val="0"/>
        <w:jc w:val="both"/>
        <w:rPr>
          <w:rFonts w:ascii="Calibri" w:hAnsi="Calibri" w:cs="Calibri"/>
          <w:b/>
          <w:bCs/>
          <w:color w:val="156082" w:themeColor="accent1"/>
        </w:rPr>
      </w:pPr>
      <w:r w:rsidRPr="00C97FD3">
        <w:rPr>
          <w:rFonts w:ascii="Calibri" w:hAnsi="Calibri" w:cs="Calibri"/>
          <w:b/>
          <w:bCs/>
        </w:rPr>
        <w:t>Exhibit D and page 12</w:t>
      </w:r>
      <w:r w:rsidRPr="00C97FD3">
        <w:rPr>
          <w:rFonts w:ascii="Calibri" w:hAnsi="Calibri" w:cs="Calibri"/>
        </w:rPr>
        <w:t>, please explain further what the CED paradigm is. Do you expect to use the Unit for clinical trials? Do You have any estimation of the number of cases in group 2, based on the clinical diagnosis, that might meet over the next three to five years meet the “criteria for coverage”. Does the “criteria for coverage” refer to coverage by insurance? Would that mean those patients would then move to Group 1.</w:t>
      </w:r>
    </w:p>
    <w:p w14:paraId="053A1C1D" w14:textId="77777777" w:rsidR="00392083" w:rsidRPr="00397418" w:rsidRDefault="00392083" w:rsidP="00A566A0">
      <w:pPr>
        <w:keepNext/>
        <w:keepLines/>
        <w:spacing w:after="240" w:line="240" w:lineRule="auto"/>
        <w:rPr>
          <w:rFonts w:ascii="Calibri" w:hAnsi="Calibri" w:cs="Calibri"/>
          <w:b/>
          <w:bCs/>
          <w:color w:val="156082" w:themeColor="accent1"/>
        </w:rPr>
      </w:pPr>
      <w:r w:rsidRPr="00397418">
        <w:rPr>
          <w:rFonts w:ascii="Calibri" w:hAnsi="Calibri" w:cs="Calibri"/>
          <w:b/>
          <w:bCs/>
          <w:color w:val="156082" w:themeColor="accent1"/>
        </w:rPr>
        <w:t>RESPONSE</w:t>
      </w:r>
    </w:p>
    <w:p w14:paraId="215545BA" w14:textId="77777777" w:rsidR="00392083" w:rsidRPr="00397418" w:rsidRDefault="00392083" w:rsidP="00A566A0">
      <w:pPr>
        <w:keepNext/>
        <w:keepLines/>
        <w:spacing w:after="240" w:line="240" w:lineRule="auto"/>
        <w:rPr>
          <w:rFonts w:ascii="Calibri" w:hAnsi="Calibri" w:cs="Calibri"/>
          <w:color w:val="156082" w:themeColor="accent1"/>
        </w:rPr>
      </w:pPr>
      <w:r w:rsidRPr="00397418">
        <w:rPr>
          <w:rFonts w:ascii="Calibri" w:hAnsi="Calibri" w:cs="Calibri"/>
          <w:color w:val="156082" w:themeColor="accent1"/>
        </w:rPr>
        <w:t>CED Paradigm</w:t>
      </w:r>
    </w:p>
    <w:p w14:paraId="5F60A518" w14:textId="350FE423" w:rsidR="00392083" w:rsidRPr="00397418" w:rsidRDefault="00392083" w:rsidP="00A566A0">
      <w:pPr>
        <w:keepNext/>
        <w:keepLines/>
        <w:spacing w:after="240" w:line="240" w:lineRule="auto"/>
        <w:jc w:val="both"/>
        <w:rPr>
          <w:rFonts w:ascii="Calibri" w:hAnsi="Calibri" w:cs="Calibri"/>
        </w:rPr>
      </w:pPr>
      <w:r w:rsidRPr="00397418">
        <w:rPr>
          <w:rFonts w:ascii="Calibri" w:hAnsi="Calibri" w:cs="Calibri"/>
        </w:rPr>
        <w:t>The Coverage with Evidence Development (CED)</w:t>
      </w:r>
      <w:r w:rsidR="12F133F7" w:rsidRPr="00397418">
        <w:rPr>
          <w:rFonts w:ascii="Calibri" w:hAnsi="Calibri" w:cs="Calibri"/>
        </w:rPr>
        <w:t xml:space="preserve"> </w:t>
      </w:r>
      <w:r w:rsidR="6E2D8C56" w:rsidRPr="00397418">
        <w:rPr>
          <w:rFonts w:ascii="Calibri" w:hAnsi="Calibri" w:cs="Calibri"/>
        </w:rPr>
        <w:t xml:space="preserve">paradigm </w:t>
      </w:r>
      <w:r w:rsidRPr="00397418">
        <w:rPr>
          <w:rFonts w:ascii="Calibri" w:hAnsi="Calibri" w:cs="Calibri"/>
        </w:rPr>
        <w:t xml:space="preserve">is a CMS policy that enables Medicare to </w:t>
      </w:r>
      <w:r w:rsidR="0066791D" w:rsidRPr="00397418">
        <w:rPr>
          <w:rFonts w:ascii="Calibri" w:hAnsi="Calibri" w:cs="Calibri"/>
        </w:rPr>
        <w:t>provide coverage for</w:t>
      </w:r>
      <w:r w:rsidRPr="00397418">
        <w:rPr>
          <w:rFonts w:ascii="Calibri" w:hAnsi="Calibri" w:cs="Calibri"/>
        </w:rPr>
        <w:t xml:space="preserve"> promising medical </w:t>
      </w:r>
      <w:r w:rsidR="0066791D" w:rsidRPr="00397418">
        <w:rPr>
          <w:rFonts w:ascii="Calibri" w:hAnsi="Calibri" w:cs="Calibri"/>
        </w:rPr>
        <w:t>services</w:t>
      </w:r>
      <w:r w:rsidR="00D51C39" w:rsidRPr="00397418">
        <w:rPr>
          <w:rFonts w:ascii="Calibri" w:hAnsi="Calibri" w:cs="Calibri"/>
        </w:rPr>
        <w:t xml:space="preserve"> and </w:t>
      </w:r>
      <w:r w:rsidRPr="00397418">
        <w:rPr>
          <w:rFonts w:ascii="Calibri" w:hAnsi="Calibri" w:cs="Calibri"/>
        </w:rPr>
        <w:t>technologies</w:t>
      </w:r>
      <w:r w:rsidR="00D37A97">
        <w:rPr>
          <w:rFonts w:ascii="Calibri" w:hAnsi="Calibri" w:cs="Calibri"/>
        </w:rPr>
        <w:t xml:space="preserve"> - </w:t>
      </w:r>
      <w:r w:rsidRPr="00397418">
        <w:rPr>
          <w:rFonts w:ascii="Calibri" w:hAnsi="Calibri" w:cs="Calibri"/>
        </w:rPr>
        <w:t xml:space="preserve">such as </w:t>
      </w:r>
      <w:r w:rsidR="0066791D" w:rsidRPr="00397418">
        <w:rPr>
          <w:rFonts w:ascii="Calibri" w:hAnsi="Calibri" w:cs="Calibri"/>
        </w:rPr>
        <w:t>proton therapy</w:t>
      </w:r>
      <w:r w:rsidR="00D37A97">
        <w:rPr>
          <w:rFonts w:ascii="Calibri" w:hAnsi="Calibri" w:cs="Calibri"/>
        </w:rPr>
        <w:t xml:space="preserve"> - </w:t>
      </w:r>
      <w:r w:rsidRPr="00397418">
        <w:rPr>
          <w:rFonts w:ascii="Calibri" w:hAnsi="Calibri" w:cs="Calibri"/>
        </w:rPr>
        <w:t xml:space="preserve">in defined clinical scenarios, </w:t>
      </w:r>
      <w:r w:rsidR="0066791D" w:rsidRPr="0086302B">
        <w:rPr>
          <w:rFonts w:ascii="Calibri" w:hAnsi="Calibri" w:cs="Calibri"/>
          <w:color w:val="000000" w:themeColor="text1"/>
        </w:rPr>
        <w:t xml:space="preserve">and </w:t>
      </w:r>
      <w:r w:rsidR="00D51C39" w:rsidRPr="0086302B">
        <w:rPr>
          <w:rFonts w:ascii="Calibri" w:hAnsi="Calibri" w:cs="Calibri"/>
          <w:color w:val="000000" w:themeColor="text1"/>
        </w:rPr>
        <w:t xml:space="preserve">to </w:t>
      </w:r>
      <w:r w:rsidR="0066791D" w:rsidRPr="0086302B">
        <w:rPr>
          <w:rFonts w:ascii="Calibri" w:hAnsi="Calibri" w:cs="Calibri"/>
          <w:color w:val="000000" w:themeColor="text1"/>
        </w:rPr>
        <w:t xml:space="preserve">collect data to support the evidence base for the </w:t>
      </w:r>
      <w:r w:rsidR="00D51C39" w:rsidRPr="0086302B">
        <w:rPr>
          <w:rFonts w:ascii="Calibri" w:hAnsi="Calibri" w:cs="Calibri"/>
          <w:color w:val="000000" w:themeColor="text1"/>
        </w:rPr>
        <w:t xml:space="preserve">innovative </w:t>
      </w:r>
      <w:r w:rsidR="0066791D" w:rsidRPr="0086302B">
        <w:rPr>
          <w:rFonts w:ascii="Calibri" w:hAnsi="Calibri" w:cs="Calibri"/>
          <w:color w:val="000000" w:themeColor="text1"/>
        </w:rPr>
        <w:t xml:space="preserve">service </w:t>
      </w:r>
      <w:r w:rsidR="00D51C39" w:rsidRPr="0086302B">
        <w:rPr>
          <w:rFonts w:ascii="Calibri" w:hAnsi="Calibri" w:cs="Calibri"/>
          <w:color w:val="000000" w:themeColor="text1"/>
        </w:rPr>
        <w:t>or technology</w:t>
      </w:r>
      <w:r w:rsidR="00D51C39" w:rsidRPr="00397418">
        <w:rPr>
          <w:rFonts w:ascii="Calibri" w:hAnsi="Calibri" w:cs="Calibri"/>
          <w:color w:val="2B0F4F"/>
        </w:rPr>
        <w:t xml:space="preserve"> </w:t>
      </w:r>
      <w:r w:rsidRPr="00397418">
        <w:rPr>
          <w:rFonts w:ascii="Calibri" w:hAnsi="Calibri" w:cs="Calibri"/>
        </w:rPr>
        <w:t xml:space="preserve">through clinical trials or registries. </w:t>
      </w:r>
    </w:p>
    <w:p w14:paraId="19AA7039" w14:textId="0BDA48C4" w:rsidR="00392083" w:rsidRPr="00397418" w:rsidRDefault="00392083" w:rsidP="00A566A0">
      <w:pPr>
        <w:keepNext/>
        <w:keepLines/>
        <w:spacing w:after="240" w:line="240" w:lineRule="auto"/>
        <w:jc w:val="both"/>
        <w:rPr>
          <w:rFonts w:ascii="Calibri" w:hAnsi="Calibri" w:cs="Calibri"/>
        </w:rPr>
      </w:pPr>
      <w:r w:rsidRPr="00397418">
        <w:rPr>
          <w:rFonts w:ascii="Calibri" w:hAnsi="Calibri" w:cs="Calibri"/>
        </w:rPr>
        <w:t xml:space="preserve">Specifically, in the context of this ASTRO Model Policy, the CED paradigm applies to “Group 2” indications: disease sites or patient populations where coverage decisions are guided by individualized clinical criteria, and where prospective data collection can contribute to the ongoing evaluation of treatment value. Under CED, radiation therapy with </w:t>
      </w:r>
      <w:r w:rsidR="00D81F3F">
        <w:rPr>
          <w:rFonts w:ascii="Calibri" w:hAnsi="Calibri" w:cs="Calibri"/>
        </w:rPr>
        <w:t>proton therapy</w:t>
      </w:r>
      <w:r w:rsidRPr="00397418">
        <w:rPr>
          <w:rFonts w:ascii="Calibri" w:hAnsi="Calibri" w:cs="Calibri"/>
        </w:rPr>
        <w:t xml:space="preserve"> is covered if the patient is enrolled in either:</w:t>
      </w:r>
    </w:p>
    <w:p w14:paraId="3AA000C4" w14:textId="77777777" w:rsidR="00392083" w:rsidRPr="00397418" w:rsidRDefault="00392083" w:rsidP="005B3FD3">
      <w:pPr>
        <w:keepNext/>
        <w:keepLines/>
        <w:numPr>
          <w:ilvl w:val="0"/>
          <w:numId w:val="11"/>
        </w:numPr>
        <w:spacing w:after="120" w:line="240" w:lineRule="auto"/>
        <w:jc w:val="both"/>
        <w:rPr>
          <w:rFonts w:ascii="Calibri" w:hAnsi="Calibri" w:cs="Calibri"/>
        </w:rPr>
      </w:pPr>
      <w:r w:rsidRPr="00397418">
        <w:rPr>
          <w:rFonts w:ascii="Calibri" w:hAnsi="Calibri" w:cs="Calibri"/>
        </w:rPr>
        <w:t>An Institutional Review Board (IRB)-approved clinical trial, or</w:t>
      </w:r>
    </w:p>
    <w:p w14:paraId="274A32AD" w14:textId="77777777" w:rsidR="00392083" w:rsidRPr="00397418" w:rsidRDefault="00392083" w:rsidP="00A566A0">
      <w:pPr>
        <w:keepNext/>
        <w:keepLines/>
        <w:numPr>
          <w:ilvl w:val="0"/>
          <w:numId w:val="11"/>
        </w:numPr>
        <w:spacing w:after="240" w:line="240" w:lineRule="auto"/>
        <w:jc w:val="both"/>
        <w:rPr>
          <w:rFonts w:ascii="Calibri" w:hAnsi="Calibri" w:cs="Calibri"/>
        </w:rPr>
      </w:pPr>
      <w:r w:rsidRPr="00397418">
        <w:rPr>
          <w:rFonts w:ascii="Calibri" w:hAnsi="Calibri" w:cs="Calibri"/>
        </w:rPr>
        <w:t>A multi-institutional registry that adheres to Medicare’s CED requirements.</w:t>
      </w:r>
    </w:p>
    <w:p w14:paraId="6486D7A9" w14:textId="08030BD8" w:rsidR="00392083" w:rsidRPr="00397418" w:rsidRDefault="00392083" w:rsidP="00A566A0">
      <w:pPr>
        <w:keepNext/>
        <w:keepLines/>
        <w:spacing w:after="240" w:line="240" w:lineRule="auto"/>
        <w:jc w:val="both"/>
        <w:rPr>
          <w:rFonts w:ascii="Calibri" w:hAnsi="Calibri" w:cs="Calibri"/>
        </w:rPr>
      </w:pPr>
      <w:r w:rsidRPr="00397418">
        <w:rPr>
          <w:rFonts w:ascii="Calibri" w:hAnsi="Calibri" w:cs="Calibri"/>
        </w:rPr>
        <w:t>Th</w:t>
      </w:r>
      <w:r w:rsidR="0066791D" w:rsidRPr="00397418">
        <w:rPr>
          <w:rFonts w:ascii="Calibri" w:hAnsi="Calibri" w:cs="Calibri"/>
        </w:rPr>
        <w:t>e purpose of the CED paradigm</w:t>
      </w:r>
      <w:r w:rsidRPr="00397418">
        <w:rPr>
          <w:rFonts w:ascii="Calibri" w:hAnsi="Calibri" w:cs="Calibri"/>
        </w:rPr>
        <w:t xml:space="preserve"> is to support </w:t>
      </w:r>
      <w:r w:rsidR="00D51C39" w:rsidRPr="00397418">
        <w:rPr>
          <w:rFonts w:ascii="Calibri" w:hAnsi="Calibri" w:cs="Calibri"/>
        </w:rPr>
        <w:t xml:space="preserve">the utilization and </w:t>
      </w:r>
      <w:r w:rsidRPr="00397418">
        <w:rPr>
          <w:rFonts w:ascii="Calibri" w:hAnsi="Calibri" w:cs="Calibri"/>
        </w:rPr>
        <w:t xml:space="preserve">continued research </w:t>
      </w:r>
      <w:r w:rsidR="0066791D" w:rsidRPr="00397418">
        <w:rPr>
          <w:rFonts w:ascii="Calibri" w:hAnsi="Calibri" w:cs="Calibri"/>
        </w:rPr>
        <w:t xml:space="preserve">of innovative services </w:t>
      </w:r>
      <w:r w:rsidR="00D51C39" w:rsidRPr="00397418">
        <w:rPr>
          <w:rFonts w:ascii="Calibri" w:hAnsi="Calibri" w:cs="Calibri"/>
        </w:rPr>
        <w:t xml:space="preserve">and technologies </w:t>
      </w:r>
      <w:r w:rsidRPr="00397418">
        <w:rPr>
          <w:rFonts w:ascii="Calibri" w:hAnsi="Calibri" w:cs="Calibri"/>
        </w:rPr>
        <w:t xml:space="preserve">while providing access to </w:t>
      </w:r>
      <w:r w:rsidR="00D51C39" w:rsidRPr="00397418">
        <w:rPr>
          <w:rFonts w:ascii="Calibri" w:hAnsi="Calibri" w:cs="Calibri"/>
        </w:rPr>
        <w:t xml:space="preserve">cutting edge </w:t>
      </w:r>
      <w:r w:rsidRPr="00397418">
        <w:rPr>
          <w:rFonts w:ascii="Calibri" w:hAnsi="Calibri" w:cs="Calibri"/>
        </w:rPr>
        <w:t>care</w:t>
      </w:r>
      <w:r w:rsidR="0066791D" w:rsidRPr="00397418">
        <w:rPr>
          <w:rFonts w:ascii="Calibri" w:hAnsi="Calibri" w:cs="Calibri"/>
        </w:rPr>
        <w:t xml:space="preserve"> and Medicare coverage</w:t>
      </w:r>
      <w:r w:rsidRPr="00397418">
        <w:rPr>
          <w:rFonts w:ascii="Calibri" w:hAnsi="Calibri" w:cs="Calibri"/>
        </w:rPr>
        <w:t xml:space="preserve"> for patients</w:t>
      </w:r>
      <w:r w:rsidR="00A7285C" w:rsidRPr="00397418">
        <w:rPr>
          <w:rFonts w:ascii="Calibri" w:hAnsi="Calibri" w:cs="Calibri"/>
        </w:rPr>
        <w:t xml:space="preserve">, such as </w:t>
      </w:r>
      <w:r w:rsidR="00D51C39" w:rsidRPr="00397418">
        <w:rPr>
          <w:rFonts w:ascii="Calibri" w:hAnsi="Calibri" w:cs="Calibri"/>
        </w:rPr>
        <w:t>patients</w:t>
      </w:r>
      <w:r w:rsidRPr="00397418">
        <w:rPr>
          <w:rFonts w:ascii="Calibri" w:hAnsi="Calibri" w:cs="Calibri"/>
        </w:rPr>
        <w:t xml:space="preserve"> treated with </w:t>
      </w:r>
      <w:r w:rsidR="0066791D" w:rsidRPr="00397418">
        <w:rPr>
          <w:rFonts w:ascii="Calibri" w:hAnsi="Calibri" w:cs="Calibri"/>
        </w:rPr>
        <w:t>proton therapy</w:t>
      </w:r>
      <w:r w:rsidRPr="00397418">
        <w:rPr>
          <w:rFonts w:ascii="Calibri" w:hAnsi="Calibri" w:cs="Calibri"/>
        </w:rPr>
        <w:t>.</w:t>
      </w:r>
    </w:p>
    <w:p w14:paraId="240C4CCE" w14:textId="77777777" w:rsidR="00392083" w:rsidRPr="00397418" w:rsidRDefault="00392083" w:rsidP="005B3FD3">
      <w:pPr>
        <w:keepNext/>
        <w:keepLines/>
        <w:spacing w:after="240" w:line="240" w:lineRule="auto"/>
        <w:jc w:val="both"/>
        <w:rPr>
          <w:rFonts w:ascii="Calibri" w:hAnsi="Calibri" w:cs="Calibri"/>
          <w:color w:val="156082" w:themeColor="accent1"/>
        </w:rPr>
      </w:pPr>
      <w:r w:rsidRPr="00397418">
        <w:rPr>
          <w:rFonts w:ascii="Calibri" w:hAnsi="Calibri" w:cs="Calibri"/>
          <w:color w:val="156082" w:themeColor="accent1"/>
        </w:rPr>
        <w:t xml:space="preserve">Clinical Trials </w:t>
      </w:r>
    </w:p>
    <w:p w14:paraId="06EB4F95" w14:textId="77777777" w:rsidR="00392083" w:rsidRPr="00397418" w:rsidRDefault="00392083" w:rsidP="005B3FD3">
      <w:pPr>
        <w:keepNext/>
        <w:keepLines/>
        <w:spacing w:after="240" w:line="240" w:lineRule="auto"/>
        <w:jc w:val="both"/>
        <w:rPr>
          <w:rFonts w:ascii="Calibri" w:hAnsi="Calibri" w:cs="Calibri"/>
        </w:rPr>
      </w:pPr>
      <w:r w:rsidRPr="00397418">
        <w:rPr>
          <w:rFonts w:ascii="Calibri" w:hAnsi="Calibri" w:cs="Calibri"/>
        </w:rPr>
        <w:t>UMass Memorial Health has extensive experience leading and participating in national clinical trials and registries that collect evidence of effectiveness.</w:t>
      </w:r>
    </w:p>
    <w:p w14:paraId="10AA3808" w14:textId="1DFEBD9A" w:rsidR="00C51C77" w:rsidRPr="00A566A0" w:rsidRDefault="00392083" w:rsidP="005B3FD3">
      <w:pPr>
        <w:spacing w:after="240" w:line="240" w:lineRule="auto"/>
        <w:jc w:val="both"/>
        <w:rPr>
          <w:rFonts w:ascii="Calibri" w:hAnsi="Calibri" w:cs="Calibri"/>
        </w:rPr>
      </w:pPr>
      <w:r w:rsidRPr="00397418">
        <w:rPr>
          <w:rFonts w:ascii="Calibri" w:hAnsi="Calibri" w:cs="Calibri"/>
        </w:rPr>
        <w:t xml:space="preserve">Dr. TJ FitzGerald, Chair of Radiation Oncology at UMass Memorial Health, </w:t>
      </w:r>
      <w:r w:rsidR="00133B0A" w:rsidRPr="00397418">
        <w:rPr>
          <w:rFonts w:ascii="Calibri" w:hAnsi="Calibri" w:cs="Calibri"/>
        </w:rPr>
        <w:t xml:space="preserve">oversees the credentialing of all proton therapy centers participating in national research </w:t>
      </w:r>
      <w:r w:rsidRPr="00397418">
        <w:rPr>
          <w:rFonts w:ascii="Calibri" w:hAnsi="Calibri" w:cs="Calibri"/>
        </w:rPr>
        <w:t xml:space="preserve">through his responsibilities with the National Institutes of Health (NIH) and the Imaging and Radiation Oncology Core (IROC). </w:t>
      </w:r>
      <w:r w:rsidR="00133B0A" w:rsidRPr="00397418">
        <w:rPr>
          <w:rFonts w:ascii="Calibri" w:hAnsi="Calibri" w:cs="Calibri"/>
        </w:rPr>
        <w:t>As a result of Dr. Fitzgerald’s role with NIH and IROC, UMMH</w:t>
      </w:r>
      <w:r w:rsidRPr="00397418">
        <w:rPr>
          <w:rFonts w:ascii="Calibri" w:hAnsi="Calibri" w:cs="Calibri"/>
        </w:rPr>
        <w:t xml:space="preserve"> </w:t>
      </w:r>
      <w:r w:rsidR="000555EB" w:rsidRPr="00397418">
        <w:rPr>
          <w:rFonts w:ascii="Calibri" w:hAnsi="Calibri" w:cs="Calibri"/>
        </w:rPr>
        <w:t xml:space="preserve">is particularly well-positioned to </w:t>
      </w:r>
      <w:r w:rsidRPr="00397418">
        <w:rPr>
          <w:rFonts w:ascii="Calibri" w:hAnsi="Calibri" w:cs="Calibri"/>
        </w:rPr>
        <w:t>actively participate in all national clinical trials involving proton therapy</w:t>
      </w:r>
      <w:r w:rsidR="00D51C39" w:rsidRPr="00397418">
        <w:rPr>
          <w:rFonts w:ascii="Calibri" w:hAnsi="Calibri" w:cs="Calibri"/>
        </w:rPr>
        <w:t>. In addition, UMMH and Dr. Fitzgerald plan to</w:t>
      </w:r>
      <w:r w:rsidRPr="00397418">
        <w:rPr>
          <w:rFonts w:ascii="Calibri" w:hAnsi="Calibri" w:cs="Calibri"/>
        </w:rPr>
        <w:t xml:space="preserve"> launch investigator-initiated trials </w:t>
      </w:r>
      <w:r w:rsidR="00133B0A" w:rsidRPr="00397418">
        <w:rPr>
          <w:rFonts w:ascii="Calibri" w:hAnsi="Calibri" w:cs="Calibri"/>
        </w:rPr>
        <w:t>for UMMH</w:t>
      </w:r>
      <w:r w:rsidR="00D51C39" w:rsidRPr="00397418">
        <w:rPr>
          <w:rFonts w:ascii="Calibri" w:hAnsi="Calibri" w:cs="Calibri"/>
        </w:rPr>
        <w:t>’s</w:t>
      </w:r>
      <w:r w:rsidR="00133B0A" w:rsidRPr="00397418">
        <w:rPr>
          <w:rFonts w:ascii="Calibri" w:hAnsi="Calibri" w:cs="Calibri"/>
        </w:rPr>
        <w:t xml:space="preserve"> patient panel </w:t>
      </w:r>
      <w:r w:rsidR="00397418">
        <w:rPr>
          <w:rFonts w:ascii="Calibri" w:hAnsi="Calibri" w:cs="Calibri"/>
        </w:rPr>
        <w:t>that</w:t>
      </w:r>
      <w:r w:rsidR="00133B0A" w:rsidRPr="00A566A0">
        <w:rPr>
          <w:rFonts w:ascii="Calibri" w:hAnsi="Calibri" w:cs="Calibri"/>
        </w:rPr>
        <w:t xml:space="preserve"> will </w:t>
      </w:r>
      <w:r w:rsidRPr="00A566A0">
        <w:rPr>
          <w:rFonts w:ascii="Calibri" w:hAnsi="Calibri" w:cs="Calibri"/>
        </w:rPr>
        <w:t xml:space="preserve">focus primarily on </w:t>
      </w:r>
      <w:r w:rsidR="00D51C39" w:rsidRPr="00A566A0">
        <w:rPr>
          <w:rFonts w:ascii="Calibri" w:hAnsi="Calibri" w:cs="Calibri"/>
        </w:rPr>
        <w:t xml:space="preserve">a comparison of </w:t>
      </w:r>
      <w:r w:rsidRPr="00A566A0">
        <w:rPr>
          <w:rFonts w:ascii="Calibri" w:hAnsi="Calibri" w:cs="Calibri"/>
        </w:rPr>
        <w:t>patient outcomes</w:t>
      </w:r>
      <w:r w:rsidR="00133B0A" w:rsidRPr="00A566A0">
        <w:rPr>
          <w:rFonts w:ascii="Calibri" w:hAnsi="Calibri" w:cs="Calibri"/>
        </w:rPr>
        <w:t xml:space="preserve"> </w:t>
      </w:r>
      <w:r w:rsidR="00D51C39" w:rsidRPr="00A566A0">
        <w:rPr>
          <w:rFonts w:ascii="Calibri" w:hAnsi="Calibri" w:cs="Calibri"/>
        </w:rPr>
        <w:t>observed for</w:t>
      </w:r>
      <w:r w:rsidR="00D55723" w:rsidRPr="00A566A0">
        <w:rPr>
          <w:rFonts w:ascii="Calibri" w:hAnsi="Calibri" w:cs="Calibri"/>
        </w:rPr>
        <w:t xml:space="preserve"> patients treated with proton therapy</w:t>
      </w:r>
      <w:r w:rsidR="00D51C39" w:rsidRPr="00A566A0">
        <w:rPr>
          <w:rFonts w:ascii="Calibri" w:hAnsi="Calibri" w:cs="Calibri"/>
        </w:rPr>
        <w:t xml:space="preserve"> and </w:t>
      </w:r>
      <w:r w:rsidR="00D55723" w:rsidRPr="00A566A0">
        <w:rPr>
          <w:rFonts w:ascii="Calibri" w:hAnsi="Calibri" w:cs="Calibri"/>
        </w:rPr>
        <w:t xml:space="preserve">patient </w:t>
      </w:r>
      <w:r w:rsidRPr="00A566A0">
        <w:rPr>
          <w:rFonts w:ascii="Calibri" w:hAnsi="Calibri" w:cs="Calibri"/>
        </w:rPr>
        <w:t xml:space="preserve">outcomes observed </w:t>
      </w:r>
      <w:r w:rsidR="00D55723" w:rsidRPr="00A566A0">
        <w:rPr>
          <w:rFonts w:ascii="Calibri" w:hAnsi="Calibri" w:cs="Calibri"/>
        </w:rPr>
        <w:t xml:space="preserve">for patients treated </w:t>
      </w:r>
      <w:r w:rsidR="000E700B" w:rsidRPr="00A566A0">
        <w:rPr>
          <w:rFonts w:ascii="Calibri" w:hAnsi="Calibri" w:cs="Calibri"/>
        </w:rPr>
        <w:t>with photon</w:t>
      </w:r>
      <w:r w:rsidRPr="00A566A0">
        <w:rPr>
          <w:rFonts w:ascii="Calibri" w:hAnsi="Calibri" w:cs="Calibri"/>
        </w:rPr>
        <w:t xml:space="preserve"> therapy.</w:t>
      </w:r>
      <w:r w:rsidR="00CD15AC" w:rsidRPr="00A566A0">
        <w:rPr>
          <w:rFonts w:ascii="Calibri" w:hAnsi="Calibri" w:cs="Calibri"/>
        </w:rPr>
        <w:t xml:space="preserve"> The Proton Therapy Center at Marlborough will enable UMMH to engage in further research of </w:t>
      </w:r>
      <w:r w:rsidR="00CD15AC" w:rsidRPr="00A566A0">
        <w:rPr>
          <w:rFonts w:ascii="Calibri" w:hAnsi="Calibri" w:cs="Calibri"/>
        </w:rPr>
        <w:lastRenderedPageBreak/>
        <w:t>both the comparative clinical effectiveness of proton therapy and the downstream cost savings of proton therapy that result from such superior clinical effectiveness.</w:t>
      </w:r>
    </w:p>
    <w:p w14:paraId="296246AB" w14:textId="77777777" w:rsidR="00392083" w:rsidRPr="00C97FD3" w:rsidRDefault="00392083" w:rsidP="005B3FD3">
      <w:pPr>
        <w:pStyle w:val="Heading2"/>
        <w:spacing w:before="0" w:after="240" w:line="240" w:lineRule="auto"/>
        <w:rPr>
          <w:rFonts w:ascii="Calibri" w:hAnsi="Calibri" w:cs="Calibri"/>
          <w:sz w:val="24"/>
          <w:szCs w:val="24"/>
        </w:rPr>
      </w:pPr>
      <w:r w:rsidRPr="00C97FD3">
        <w:rPr>
          <w:rFonts w:ascii="Calibri" w:hAnsi="Calibri" w:cs="Calibri"/>
          <w:sz w:val="24"/>
          <w:szCs w:val="24"/>
        </w:rPr>
        <w:t>Criteria for Coverage</w:t>
      </w:r>
    </w:p>
    <w:p w14:paraId="09619C1E" w14:textId="2B7989F8" w:rsidR="00B35502" w:rsidRPr="00397418" w:rsidRDefault="00B35502" w:rsidP="00E67278">
      <w:pPr>
        <w:spacing w:after="240" w:line="240" w:lineRule="auto"/>
        <w:jc w:val="both"/>
        <w:rPr>
          <w:rFonts w:ascii="Calibri" w:hAnsi="Calibri" w:cs="Calibri"/>
        </w:rPr>
      </w:pPr>
      <w:r w:rsidRPr="00397418">
        <w:rPr>
          <w:rFonts w:ascii="Calibri" w:hAnsi="Calibri" w:cs="Calibri"/>
        </w:rPr>
        <w:t xml:space="preserve">The term "criteria for coverage" refers to the requirements for insurance coverage for </w:t>
      </w:r>
      <w:r w:rsidR="49A2A768" w:rsidRPr="00397418">
        <w:rPr>
          <w:rFonts w:ascii="Calibri" w:hAnsi="Calibri" w:cs="Calibri"/>
        </w:rPr>
        <w:t>p</w:t>
      </w:r>
      <w:r w:rsidRPr="00397418">
        <w:rPr>
          <w:rFonts w:ascii="Calibri" w:hAnsi="Calibri" w:cs="Calibri"/>
        </w:rPr>
        <w:t xml:space="preserve">roton </w:t>
      </w:r>
      <w:r w:rsidR="4BD5AC4B" w:rsidRPr="00397418">
        <w:rPr>
          <w:rFonts w:ascii="Calibri" w:hAnsi="Calibri" w:cs="Calibri"/>
        </w:rPr>
        <w:t>t</w:t>
      </w:r>
      <w:r w:rsidRPr="00397418">
        <w:rPr>
          <w:rFonts w:ascii="Calibri" w:hAnsi="Calibri" w:cs="Calibri"/>
        </w:rPr>
        <w:t>herapy.  The ASTRO Model Policy</w:t>
      </w:r>
      <w:r w:rsidRPr="00397418">
        <w:rPr>
          <w:rFonts w:ascii="Calibri" w:hAnsi="Calibri" w:cs="Calibri"/>
          <w:vertAlign w:val="superscript"/>
        </w:rPr>
        <w:t>1</w:t>
      </w:r>
      <w:r w:rsidRPr="00397418">
        <w:rPr>
          <w:rFonts w:ascii="Calibri" w:hAnsi="Calibri" w:cs="Calibri"/>
        </w:rPr>
        <w:t xml:space="preserve"> outlines the clinical and technical </w:t>
      </w:r>
      <w:r w:rsidR="00471774" w:rsidRPr="00397418">
        <w:rPr>
          <w:rFonts w:ascii="Calibri" w:hAnsi="Calibri" w:cs="Calibri"/>
        </w:rPr>
        <w:t>criteria</w:t>
      </w:r>
      <w:r w:rsidRPr="00397418">
        <w:rPr>
          <w:rFonts w:ascii="Calibri" w:hAnsi="Calibri" w:cs="Calibri"/>
        </w:rPr>
        <w:t xml:space="preserve"> insurance payers should consider</w:t>
      </w:r>
      <w:r w:rsidR="00397418">
        <w:rPr>
          <w:rFonts w:ascii="Calibri" w:hAnsi="Calibri" w:cs="Calibri"/>
        </w:rPr>
        <w:t xml:space="preserve"> for proton therapy</w:t>
      </w:r>
      <w:r w:rsidRPr="00397418">
        <w:rPr>
          <w:rFonts w:ascii="Calibri" w:hAnsi="Calibri" w:cs="Calibri"/>
        </w:rPr>
        <w:t xml:space="preserve"> to be medically necessary and therefore a covered service that is reimbursable.  These criteria for coverage include clinical scenarios (e.g., proximity to critical body organs</w:t>
      </w:r>
      <w:r w:rsidR="00471774" w:rsidRPr="00397418">
        <w:rPr>
          <w:rFonts w:ascii="Calibri" w:hAnsi="Calibri" w:cs="Calibri"/>
        </w:rPr>
        <w:t xml:space="preserve"> and areas</w:t>
      </w:r>
      <w:r w:rsidRPr="00397418">
        <w:rPr>
          <w:rFonts w:ascii="Calibri" w:hAnsi="Calibri" w:cs="Calibri"/>
        </w:rPr>
        <w:t xml:space="preserve">, re-irradiation cases, genetic risk factors) that justify the use of </w:t>
      </w:r>
      <w:r w:rsidR="5C555830" w:rsidRPr="00397418">
        <w:rPr>
          <w:rFonts w:ascii="Calibri" w:hAnsi="Calibri" w:cs="Calibri"/>
        </w:rPr>
        <w:t>proton therapy</w:t>
      </w:r>
      <w:r w:rsidRPr="00397418">
        <w:rPr>
          <w:rFonts w:ascii="Calibri" w:hAnsi="Calibri" w:cs="Calibri"/>
        </w:rPr>
        <w:t xml:space="preserve"> over conventional photon therapy from a payer’s perspective. </w:t>
      </w:r>
    </w:p>
    <w:p w14:paraId="00AEEF03" w14:textId="65D1E831" w:rsidR="00B35502" w:rsidRPr="00397418" w:rsidRDefault="00B35502" w:rsidP="00E67278">
      <w:pPr>
        <w:spacing w:after="240" w:line="240" w:lineRule="auto"/>
        <w:jc w:val="both"/>
        <w:rPr>
          <w:rFonts w:ascii="Calibri" w:hAnsi="Calibri" w:cs="Calibri"/>
        </w:rPr>
      </w:pPr>
      <w:r w:rsidRPr="00397418">
        <w:rPr>
          <w:rFonts w:ascii="Calibri" w:hAnsi="Calibri" w:cs="Calibri"/>
        </w:rPr>
        <w:t xml:space="preserve">The ASTRO Model Policy divides indications for </w:t>
      </w:r>
      <w:r w:rsidR="4623D73A" w:rsidRPr="00397418">
        <w:rPr>
          <w:rFonts w:ascii="Calibri" w:hAnsi="Calibri" w:cs="Calibri"/>
        </w:rPr>
        <w:t>proton therapy</w:t>
      </w:r>
      <w:r w:rsidRPr="00397418">
        <w:rPr>
          <w:rFonts w:ascii="Calibri" w:hAnsi="Calibri" w:cs="Calibri"/>
        </w:rPr>
        <w:t xml:space="preserve"> into: </w:t>
      </w:r>
    </w:p>
    <w:p w14:paraId="5213FDD6" w14:textId="40C591FE" w:rsidR="00B35502" w:rsidRPr="00397418" w:rsidRDefault="00B35502" w:rsidP="00E67278">
      <w:pPr>
        <w:numPr>
          <w:ilvl w:val="0"/>
          <w:numId w:val="24"/>
        </w:numPr>
        <w:spacing w:after="240" w:line="240" w:lineRule="auto"/>
        <w:jc w:val="both"/>
        <w:rPr>
          <w:rFonts w:ascii="Calibri" w:hAnsi="Calibri" w:cs="Calibri"/>
        </w:rPr>
      </w:pPr>
      <w:r w:rsidRPr="00397418">
        <w:rPr>
          <w:rFonts w:ascii="Calibri" w:hAnsi="Calibri" w:cs="Calibri"/>
        </w:rPr>
        <w:t xml:space="preserve">Group 1: Conditions where </w:t>
      </w:r>
      <w:r w:rsidR="0ED4B35C" w:rsidRPr="00397418">
        <w:rPr>
          <w:rFonts w:ascii="Calibri" w:hAnsi="Calibri" w:cs="Calibri"/>
        </w:rPr>
        <w:t>proton therapy</w:t>
      </w:r>
      <w:r w:rsidRPr="00397418">
        <w:rPr>
          <w:rFonts w:ascii="Calibri" w:hAnsi="Calibri" w:cs="Calibri"/>
        </w:rPr>
        <w:t xml:space="preserve"> is considered medically necessary, meeting established coverage criteria. </w:t>
      </w:r>
    </w:p>
    <w:p w14:paraId="63FDD9FA" w14:textId="77777777" w:rsidR="00B35502" w:rsidRPr="00397418" w:rsidRDefault="00B35502" w:rsidP="00E67278">
      <w:pPr>
        <w:numPr>
          <w:ilvl w:val="0"/>
          <w:numId w:val="25"/>
        </w:numPr>
        <w:spacing w:after="240" w:line="240" w:lineRule="auto"/>
        <w:jc w:val="both"/>
        <w:rPr>
          <w:rFonts w:ascii="Calibri" w:hAnsi="Calibri" w:cs="Calibri"/>
        </w:rPr>
      </w:pPr>
      <w:r w:rsidRPr="00397418">
        <w:rPr>
          <w:rFonts w:ascii="Calibri" w:hAnsi="Calibri" w:cs="Calibri"/>
        </w:rPr>
        <w:t>Group 2: Conditions suitable for Coverage with Evidence Development (CED)—i.e., insurance may cover proton therapy if the patient is enrolled in a qualifying registry or clinical trial.   </w:t>
      </w:r>
    </w:p>
    <w:p w14:paraId="0585AC2A" w14:textId="359ED3E9" w:rsidR="005B3FD3" w:rsidRDefault="00B35502" w:rsidP="00E67278">
      <w:pPr>
        <w:spacing w:after="240" w:line="240" w:lineRule="auto"/>
        <w:jc w:val="both"/>
        <w:rPr>
          <w:rFonts w:ascii="Calibri" w:hAnsi="Calibri" w:cs="Calibri"/>
        </w:rPr>
      </w:pPr>
      <w:r w:rsidRPr="00397418">
        <w:rPr>
          <w:rFonts w:ascii="Calibri" w:hAnsi="Calibri" w:cs="Calibri"/>
        </w:rPr>
        <w:t xml:space="preserve">Meeting Group 2 criteria does not transfer patients into Group 1; rather, it qualifies these patients to have insurance coverage for proton therapy under Group 2 through documented superiority of proton therapy </w:t>
      </w:r>
      <w:r w:rsidRPr="000A6018">
        <w:rPr>
          <w:rFonts w:ascii="Calibri" w:hAnsi="Calibri" w:cs="Calibri"/>
        </w:rPr>
        <w:t>in sparing organs-at-risk (OARs) or participation</w:t>
      </w:r>
      <w:r w:rsidRPr="00397418">
        <w:rPr>
          <w:rFonts w:ascii="Calibri" w:hAnsi="Calibri" w:cs="Calibri"/>
        </w:rPr>
        <w:t xml:space="preserve"> in a </w:t>
      </w:r>
      <w:r w:rsidR="2361CBF8" w:rsidRPr="00397418">
        <w:rPr>
          <w:rFonts w:ascii="Calibri" w:hAnsi="Calibri" w:cs="Calibri"/>
        </w:rPr>
        <w:t xml:space="preserve">qualifying registry or </w:t>
      </w:r>
      <w:r w:rsidRPr="00397418">
        <w:rPr>
          <w:rFonts w:ascii="Calibri" w:hAnsi="Calibri" w:cs="Calibri"/>
        </w:rPr>
        <w:t>clinical trial.</w:t>
      </w:r>
    </w:p>
    <w:p w14:paraId="1F5E99CE" w14:textId="77777777" w:rsidR="00D452DA" w:rsidRPr="00397418" w:rsidRDefault="00D452DA" w:rsidP="00D452DA">
      <w:pPr>
        <w:pStyle w:val="Heading2"/>
        <w:spacing w:before="0" w:after="220" w:line="240" w:lineRule="auto"/>
        <w:rPr>
          <w:rFonts w:ascii="Calibri" w:hAnsi="Calibri" w:cs="Calibri"/>
          <w:sz w:val="24"/>
          <w:szCs w:val="24"/>
        </w:rPr>
      </w:pPr>
      <w:r w:rsidRPr="00397418">
        <w:rPr>
          <w:rFonts w:ascii="Calibri" w:hAnsi="Calibri" w:cs="Calibri"/>
          <w:sz w:val="24"/>
          <w:szCs w:val="24"/>
        </w:rPr>
        <w:t>Group 2 Estimated Cases</w:t>
      </w:r>
      <w:r>
        <w:rPr>
          <w:rFonts w:ascii="Calibri" w:hAnsi="Calibri" w:cs="Calibri"/>
          <w:sz w:val="24"/>
          <w:szCs w:val="24"/>
        </w:rPr>
        <w:t xml:space="preserve"> in Worcester County Potentially Suitable for Proton Therapy</w:t>
      </w:r>
    </w:p>
    <w:p w14:paraId="0B3F3CE5" w14:textId="77777777" w:rsidR="00D452DA" w:rsidRDefault="00D452DA" w:rsidP="00D452DA">
      <w:pPr>
        <w:keepNext/>
        <w:keepLines/>
        <w:spacing w:after="220" w:line="240" w:lineRule="auto"/>
        <w:jc w:val="both"/>
        <w:rPr>
          <w:rFonts w:ascii="Calibri" w:eastAsia="Times New Roman" w:hAnsi="Calibri" w:cs="Calibri"/>
        </w:rPr>
      </w:pPr>
      <w:r w:rsidRPr="00397418">
        <w:rPr>
          <w:rFonts w:ascii="Calibri" w:eastAsia="Times New Roman" w:hAnsi="Calibri" w:cs="Calibri"/>
        </w:rPr>
        <w:t>The following estimates provide a policy-aligned overview of Group 2 proton therapy coverage and eligibility projections in Worcester County, Massachusetts, from 2025 to 2030. It reflects payer coverage policies and addresses the role of the CED paradigm.</w:t>
      </w:r>
    </w:p>
    <w:p w14:paraId="140FD47E" w14:textId="77777777" w:rsidR="00D452DA" w:rsidRPr="00397418" w:rsidRDefault="00D452DA" w:rsidP="00D452DA">
      <w:pPr>
        <w:keepNext/>
        <w:keepLines/>
        <w:spacing w:after="220" w:line="240" w:lineRule="auto"/>
        <w:jc w:val="both"/>
        <w:rPr>
          <w:rFonts w:ascii="Calibri" w:eastAsia="Times New Roman" w:hAnsi="Calibri" w:cs="Calibri"/>
        </w:rPr>
      </w:pPr>
      <w:r w:rsidRPr="00397418">
        <w:rPr>
          <w:rFonts w:ascii="Calibri" w:eastAsia="Times New Roman" w:hAnsi="Calibri" w:cs="Calibri"/>
        </w:rPr>
        <w:t>54.9% of UMass Memorial Health’s proton payor mix is anticipated to be covered by Medicare and many commercial payers utilize Medicare policies to determine their coverage requirements. For this reason, it is necessary and appropriate to look to Medicare policies regarding proton therapy.</w:t>
      </w:r>
    </w:p>
    <w:p w14:paraId="2012BC6C" w14:textId="77777777" w:rsidR="00D62CE2" w:rsidRPr="00D62CE2" w:rsidRDefault="00D62CE2" w:rsidP="00D62CE2">
      <w:pPr>
        <w:spacing w:after="240" w:line="240" w:lineRule="auto"/>
        <w:jc w:val="both"/>
        <w:rPr>
          <w:rFonts w:ascii="Calibri" w:hAnsi="Calibri" w:cs="Calibri"/>
        </w:rPr>
      </w:pPr>
      <w:r w:rsidRPr="00D62CE2">
        <w:rPr>
          <w:rFonts w:ascii="Calibri" w:hAnsi="Calibri" w:cs="Calibri"/>
        </w:rPr>
        <w:t>Medicare follows Local Coverage Determination (LCD) L35075, a policy that is closely aligned with the ASTRO Model Policy. Group 2 coverage is allowed when clinical documentation observes at least one of the following indications:</w:t>
      </w:r>
    </w:p>
    <w:p w14:paraId="09D32F50" w14:textId="77777777" w:rsidR="00D62CE2" w:rsidRPr="00D62CE2" w:rsidRDefault="00D62CE2" w:rsidP="00D62CE2">
      <w:pPr>
        <w:numPr>
          <w:ilvl w:val="0"/>
          <w:numId w:val="13"/>
        </w:numPr>
        <w:spacing w:after="240" w:line="240" w:lineRule="auto"/>
        <w:jc w:val="both"/>
        <w:rPr>
          <w:rFonts w:ascii="Calibri" w:hAnsi="Calibri" w:cs="Calibri"/>
        </w:rPr>
      </w:pPr>
      <w:r w:rsidRPr="00D62CE2">
        <w:rPr>
          <w:rFonts w:ascii="Calibri" w:hAnsi="Calibri" w:cs="Calibri"/>
        </w:rPr>
        <w:t xml:space="preserve">Photon therapy exceeds organs-at-risk (OAR) dose constraints </w:t>
      </w:r>
    </w:p>
    <w:p w14:paraId="05CACCC2" w14:textId="77777777" w:rsidR="00D62CE2" w:rsidRPr="00D62CE2" w:rsidRDefault="00D62CE2" w:rsidP="00D62CE2">
      <w:pPr>
        <w:numPr>
          <w:ilvl w:val="0"/>
          <w:numId w:val="13"/>
        </w:numPr>
        <w:spacing w:after="240" w:line="240" w:lineRule="auto"/>
        <w:jc w:val="both"/>
        <w:rPr>
          <w:rFonts w:ascii="Calibri" w:hAnsi="Calibri" w:cs="Calibri"/>
        </w:rPr>
      </w:pPr>
      <w:r w:rsidRPr="00D62CE2">
        <w:rPr>
          <w:rFonts w:ascii="Calibri" w:hAnsi="Calibri" w:cs="Calibri"/>
        </w:rPr>
        <w:t>The target is adjacent to critical structures (i.e., the cancer is next to a critical body organ or area)</w:t>
      </w:r>
    </w:p>
    <w:p w14:paraId="501DE6E6" w14:textId="77777777" w:rsidR="00D62CE2" w:rsidRPr="00D62CE2" w:rsidRDefault="00D62CE2" w:rsidP="00D62CE2">
      <w:pPr>
        <w:numPr>
          <w:ilvl w:val="0"/>
          <w:numId w:val="13"/>
        </w:numPr>
        <w:spacing w:after="240" w:line="240" w:lineRule="auto"/>
        <w:jc w:val="both"/>
        <w:rPr>
          <w:rFonts w:ascii="Calibri" w:hAnsi="Calibri" w:cs="Calibri"/>
        </w:rPr>
      </w:pPr>
      <w:r w:rsidRPr="00D62CE2">
        <w:rPr>
          <w:rFonts w:ascii="Calibri" w:hAnsi="Calibri" w:cs="Calibri"/>
        </w:rPr>
        <w:lastRenderedPageBreak/>
        <w:t>The patient requires re-irradiation (i.e., the patient has already received radiation therapy and requires additional radiation therapy)</w:t>
      </w:r>
    </w:p>
    <w:p w14:paraId="262FD6C7" w14:textId="77777777" w:rsidR="00D62CE2" w:rsidRPr="00D62CE2" w:rsidRDefault="00D62CE2" w:rsidP="00D62CE2">
      <w:pPr>
        <w:numPr>
          <w:ilvl w:val="0"/>
          <w:numId w:val="13"/>
        </w:numPr>
        <w:spacing w:after="240" w:line="240" w:lineRule="auto"/>
        <w:jc w:val="both"/>
        <w:rPr>
          <w:rFonts w:ascii="Calibri" w:hAnsi="Calibri" w:cs="Calibri"/>
        </w:rPr>
      </w:pPr>
      <w:r w:rsidRPr="00D62CE2">
        <w:rPr>
          <w:rFonts w:ascii="Calibri" w:hAnsi="Calibri" w:cs="Calibri"/>
        </w:rPr>
        <w:t>Dose-volume histogram (DVH) comparison supports proton use over photon use.</w:t>
      </w:r>
    </w:p>
    <w:tbl>
      <w:tblPr>
        <w:tblStyle w:val="TableGrid"/>
        <w:tblpPr w:leftFromText="180" w:rightFromText="180" w:vertAnchor="text" w:horzAnchor="margin" w:tblpY="1201"/>
        <w:tblW w:w="0" w:type="auto"/>
        <w:tblLook w:val="04A0" w:firstRow="1" w:lastRow="0" w:firstColumn="1" w:lastColumn="0" w:noHBand="0" w:noVBand="1"/>
      </w:tblPr>
      <w:tblGrid>
        <w:gridCol w:w="1574"/>
        <w:gridCol w:w="3269"/>
        <w:gridCol w:w="1142"/>
      </w:tblGrid>
      <w:tr w:rsidR="006F76DA" w:rsidRPr="00C97FD3" w14:paraId="4A14A92E" w14:textId="77777777" w:rsidTr="000837E4">
        <w:trPr>
          <w:cantSplit/>
          <w:tblHeader/>
        </w:trPr>
        <w:tc>
          <w:tcPr>
            <w:tcW w:w="1574" w:type="dxa"/>
          </w:tcPr>
          <w:p w14:paraId="1766EBC6" w14:textId="77777777" w:rsidR="006F76DA" w:rsidRPr="00397418" w:rsidRDefault="006F76DA" w:rsidP="006F76DA">
            <w:pPr>
              <w:keepNext/>
              <w:keepLines/>
              <w:spacing w:after="120"/>
              <w:jc w:val="center"/>
              <w:rPr>
                <w:rFonts w:ascii="Calibri" w:hAnsi="Calibri" w:cs="Calibri"/>
              </w:rPr>
            </w:pPr>
            <w:r w:rsidRPr="00397418">
              <w:rPr>
                <w:rFonts w:ascii="Calibri" w:hAnsi="Calibri" w:cs="Calibri"/>
              </w:rPr>
              <w:t>ASTRO Category</w:t>
            </w:r>
          </w:p>
        </w:tc>
        <w:tc>
          <w:tcPr>
            <w:tcW w:w="3269" w:type="dxa"/>
          </w:tcPr>
          <w:p w14:paraId="626FD81B" w14:textId="77777777" w:rsidR="006F76DA" w:rsidRPr="00397418" w:rsidRDefault="006F76DA" w:rsidP="006F76DA">
            <w:pPr>
              <w:keepNext/>
              <w:keepLines/>
              <w:spacing w:after="120"/>
              <w:jc w:val="center"/>
              <w:rPr>
                <w:rFonts w:ascii="Calibri" w:hAnsi="Calibri" w:cs="Calibri"/>
              </w:rPr>
            </w:pPr>
            <w:r w:rsidRPr="00397418">
              <w:rPr>
                <w:rFonts w:ascii="Calibri" w:hAnsi="Calibri" w:cs="Calibri"/>
              </w:rPr>
              <w:t>Indications</w:t>
            </w:r>
          </w:p>
        </w:tc>
        <w:tc>
          <w:tcPr>
            <w:tcW w:w="1142" w:type="dxa"/>
          </w:tcPr>
          <w:p w14:paraId="77C26117" w14:textId="77777777" w:rsidR="006F76DA" w:rsidRPr="00397418" w:rsidRDefault="006F76DA" w:rsidP="006F76DA">
            <w:pPr>
              <w:keepNext/>
              <w:keepLines/>
              <w:spacing w:after="60"/>
              <w:jc w:val="center"/>
              <w:rPr>
                <w:rFonts w:ascii="Calibri" w:hAnsi="Calibri" w:cs="Calibri"/>
              </w:rPr>
            </w:pPr>
            <w:r w:rsidRPr="00397418">
              <w:rPr>
                <w:rFonts w:ascii="Calibri" w:hAnsi="Calibri" w:cs="Calibri"/>
              </w:rPr>
              <w:t>Medicare</w:t>
            </w:r>
          </w:p>
          <w:p w14:paraId="7713B506" w14:textId="77777777" w:rsidR="006F76DA" w:rsidRPr="00397418" w:rsidRDefault="006F76DA" w:rsidP="006F76DA">
            <w:pPr>
              <w:keepNext/>
              <w:keepLines/>
              <w:spacing w:after="100"/>
              <w:jc w:val="center"/>
              <w:rPr>
                <w:rFonts w:ascii="Calibri" w:hAnsi="Calibri" w:cs="Calibri"/>
              </w:rPr>
            </w:pPr>
            <w:r w:rsidRPr="00397418">
              <w:rPr>
                <w:rFonts w:ascii="Calibri" w:hAnsi="Calibri" w:cs="Calibri"/>
              </w:rPr>
              <w:t>(L35075)</w:t>
            </w:r>
          </w:p>
        </w:tc>
      </w:tr>
      <w:tr w:rsidR="006F76DA" w:rsidRPr="00C97FD3" w14:paraId="5A29E4C3" w14:textId="77777777" w:rsidTr="000837E4">
        <w:trPr>
          <w:cantSplit/>
        </w:trPr>
        <w:tc>
          <w:tcPr>
            <w:tcW w:w="1574" w:type="dxa"/>
          </w:tcPr>
          <w:p w14:paraId="15AB293F" w14:textId="77777777" w:rsidR="006F76DA" w:rsidRPr="00397418" w:rsidRDefault="006F76DA" w:rsidP="006F76DA">
            <w:pPr>
              <w:keepNext/>
              <w:keepLines/>
              <w:spacing w:after="120"/>
              <w:rPr>
                <w:rFonts w:ascii="Calibri" w:hAnsi="Calibri" w:cs="Calibri"/>
              </w:rPr>
            </w:pPr>
            <w:r w:rsidRPr="00397418">
              <w:rPr>
                <w:rFonts w:ascii="Calibri" w:hAnsi="Calibri" w:cs="Calibri"/>
              </w:rPr>
              <w:t>Head &amp; Neck</w:t>
            </w:r>
          </w:p>
        </w:tc>
        <w:tc>
          <w:tcPr>
            <w:tcW w:w="3269" w:type="dxa"/>
          </w:tcPr>
          <w:p w14:paraId="625A2010" w14:textId="77777777" w:rsidR="006F76DA" w:rsidRPr="00397418" w:rsidRDefault="006F76DA" w:rsidP="006F76DA">
            <w:pPr>
              <w:keepNext/>
              <w:keepLines/>
              <w:spacing w:after="80"/>
              <w:rPr>
                <w:rFonts w:ascii="Calibri" w:hAnsi="Calibri" w:cs="Calibri"/>
              </w:rPr>
            </w:pPr>
            <w:r w:rsidRPr="00397418">
              <w:rPr>
                <w:rFonts w:ascii="Calibri" w:hAnsi="Calibri" w:cs="Calibri"/>
              </w:rPr>
              <w:t>Salivary glands, mucosal melanoma, ipsilateral fields</w:t>
            </w:r>
          </w:p>
        </w:tc>
        <w:tc>
          <w:tcPr>
            <w:tcW w:w="1142" w:type="dxa"/>
            <w:vAlign w:val="center"/>
          </w:tcPr>
          <w:p w14:paraId="368CFF46"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r w:rsidR="006F76DA" w:rsidRPr="00C97FD3" w14:paraId="1519F122" w14:textId="77777777" w:rsidTr="000837E4">
        <w:trPr>
          <w:cantSplit/>
        </w:trPr>
        <w:tc>
          <w:tcPr>
            <w:tcW w:w="1574" w:type="dxa"/>
          </w:tcPr>
          <w:p w14:paraId="1439FFDC" w14:textId="77777777" w:rsidR="006F76DA" w:rsidRPr="00397418" w:rsidRDefault="006F76DA" w:rsidP="006F76DA">
            <w:pPr>
              <w:keepNext/>
              <w:keepLines/>
              <w:spacing w:after="120"/>
              <w:rPr>
                <w:rFonts w:ascii="Calibri" w:hAnsi="Calibri" w:cs="Calibri"/>
              </w:rPr>
            </w:pPr>
            <w:r w:rsidRPr="00397418">
              <w:rPr>
                <w:rFonts w:ascii="Calibri" w:hAnsi="Calibri" w:cs="Calibri"/>
              </w:rPr>
              <w:t>Breast</w:t>
            </w:r>
          </w:p>
        </w:tc>
        <w:tc>
          <w:tcPr>
            <w:tcW w:w="3269" w:type="dxa"/>
          </w:tcPr>
          <w:p w14:paraId="1019476F" w14:textId="77777777" w:rsidR="006F76DA" w:rsidRPr="00397418" w:rsidRDefault="006F76DA" w:rsidP="006F76DA">
            <w:pPr>
              <w:keepNext/>
              <w:keepLines/>
              <w:spacing w:after="80"/>
              <w:rPr>
                <w:rFonts w:ascii="Calibri" w:hAnsi="Calibri" w:cs="Calibri"/>
              </w:rPr>
            </w:pPr>
            <w:r w:rsidRPr="00397418">
              <w:rPr>
                <w:rFonts w:ascii="Calibri" w:hAnsi="Calibri" w:cs="Calibri"/>
              </w:rPr>
              <w:t>IMN+, bilateral, high cardiac dose</w:t>
            </w:r>
          </w:p>
        </w:tc>
        <w:tc>
          <w:tcPr>
            <w:tcW w:w="1142" w:type="dxa"/>
            <w:vAlign w:val="center"/>
          </w:tcPr>
          <w:p w14:paraId="34D61CC1"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r w:rsidR="006F76DA" w:rsidRPr="00C97FD3" w14:paraId="1A72C1D8" w14:textId="77777777" w:rsidTr="000837E4">
        <w:trPr>
          <w:cantSplit/>
        </w:trPr>
        <w:tc>
          <w:tcPr>
            <w:tcW w:w="1574" w:type="dxa"/>
          </w:tcPr>
          <w:p w14:paraId="1F4450BD" w14:textId="77777777" w:rsidR="006F76DA" w:rsidRPr="00397418" w:rsidRDefault="006F76DA" w:rsidP="006F76DA">
            <w:pPr>
              <w:keepNext/>
              <w:keepLines/>
              <w:spacing w:after="120"/>
              <w:rPr>
                <w:rFonts w:ascii="Calibri" w:hAnsi="Calibri" w:cs="Calibri"/>
              </w:rPr>
            </w:pPr>
            <w:r w:rsidRPr="00397418">
              <w:rPr>
                <w:rFonts w:ascii="Calibri" w:hAnsi="Calibri" w:cs="Calibri"/>
              </w:rPr>
              <w:t>Thoracic</w:t>
            </w:r>
          </w:p>
        </w:tc>
        <w:tc>
          <w:tcPr>
            <w:tcW w:w="3269" w:type="dxa"/>
          </w:tcPr>
          <w:p w14:paraId="1ADA1CA8" w14:textId="77777777" w:rsidR="006F76DA" w:rsidRPr="00397418" w:rsidRDefault="006F76DA" w:rsidP="006F76DA">
            <w:pPr>
              <w:keepNext/>
              <w:keepLines/>
              <w:spacing w:after="80"/>
              <w:rPr>
                <w:rFonts w:ascii="Calibri" w:hAnsi="Calibri" w:cs="Calibri"/>
              </w:rPr>
            </w:pPr>
            <w:r w:rsidRPr="00397418">
              <w:rPr>
                <w:rFonts w:ascii="Calibri" w:hAnsi="Calibri" w:cs="Calibri"/>
              </w:rPr>
              <w:t>Early or advanced NSCLC</w:t>
            </w:r>
          </w:p>
        </w:tc>
        <w:tc>
          <w:tcPr>
            <w:tcW w:w="1142" w:type="dxa"/>
            <w:vAlign w:val="center"/>
          </w:tcPr>
          <w:p w14:paraId="3C8A2323"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r w:rsidR="006F76DA" w:rsidRPr="00C97FD3" w14:paraId="3557EF1A" w14:textId="77777777" w:rsidTr="000837E4">
        <w:trPr>
          <w:cantSplit/>
        </w:trPr>
        <w:tc>
          <w:tcPr>
            <w:tcW w:w="1574" w:type="dxa"/>
          </w:tcPr>
          <w:p w14:paraId="3F8343ED" w14:textId="77777777" w:rsidR="006F76DA" w:rsidRPr="00397418" w:rsidRDefault="006F76DA" w:rsidP="006F76DA">
            <w:pPr>
              <w:keepNext/>
              <w:keepLines/>
              <w:spacing w:after="120"/>
              <w:rPr>
                <w:rFonts w:ascii="Calibri" w:hAnsi="Calibri" w:cs="Calibri"/>
              </w:rPr>
            </w:pPr>
            <w:r w:rsidRPr="00397418">
              <w:rPr>
                <w:rFonts w:ascii="Calibri" w:hAnsi="Calibri" w:cs="Calibri"/>
              </w:rPr>
              <w:t>Abdominal</w:t>
            </w:r>
          </w:p>
        </w:tc>
        <w:tc>
          <w:tcPr>
            <w:tcW w:w="3269" w:type="dxa"/>
          </w:tcPr>
          <w:p w14:paraId="29D1A760" w14:textId="77777777" w:rsidR="006F76DA" w:rsidRPr="00397418" w:rsidRDefault="006F76DA" w:rsidP="006F76DA">
            <w:pPr>
              <w:keepNext/>
              <w:keepLines/>
              <w:spacing w:after="80"/>
              <w:rPr>
                <w:rFonts w:ascii="Calibri" w:hAnsi="Calibri" w:cs="Calibri"/>
              </w:rPr>
            </w:pPr>
            <w:r w:rsidRPr="00397418">
              <w:rPr>
                <w:rFonts w:ascii="Calibri" w:hAnsi="Calibri" w:cs="Calibri"/>
              </w:rPr>
              <w:t>Pancreatic, adrenal, liver lesions</w:t>
            </w:r>
          </w:p>
        </w:tc>
        <w:tc>
          <w:tcPr>
            <w:tcW w:w="1142" w:type="dxa"/>
            <w:vAlign w:val="center"/>
          </w:tcPr>
          <w:p w14:paraId="6B0EE444"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r w:rsidR="006F76DA" w:rsidRPr="00C97FD3" w14:paraId="5F54D7BA" w14:textId="77777777" w:rsidTr="000837E4">
        <w:trPr>
          <w:cantSplit/>
        </w:trPr>
        <w:tc>
          <w:tcPr>
            <w:tcW w:w="1574" w:type="dxa"/>
          </w:tcPr>
          <w:p w14:paraId="097C8F97" w14:textId="77777777" w:rsidR="006F76DA" w:rsidRPr="00397418" w:rsidRDefault="006F76DA" w:rsidP="006F76DA">
            <w:pPr>
              <w:keepNext/>
              <w:keepLines/>
              <w:spacing w:after="120"/>
              <w:rPr>
                <w:rFonts w:ascii="Calibri" w:hAnsi="Calibri" w:cs="Calibri"/>
              </w:rPr>
            </w:pPr>
            <w:r w:rsidRPr="00397418">
              <w:rPr>
                <w:rFonts w:ascii="Calibri" w:hAnsi="Calibri" w:cs="Calibri"/>
              </w:rPr>
              <w:t>Genitourinary</w:t>
            </w:r>
          </w:p>
        </w:tc>
        <w:tc>
          <w:tcPr>
            <w:tcW w:w="3269" w:type="dxa"/>
          </w:tcPr>
          <w:p w14:paraId="0A9D50DA" w14:textId="77777777" w:rsidR="006F76DA" w:rsidRPr="00397418" w:rsidRDefault="006F76DA" w:rsidP="006F76DA">
            <w:pPr>
              <w:keepNext/>
              <w:keepLines/>
              <w:spacing w:after="80"/>
              <w:rPr>
                <w:rFonts w:ascii="Calibri" w:hAnsi="Calibri" w:cs="Calibri"/>
              </w:rPr>
            </w:pPr>
            <w:r w:rsidRPr="00397418">
              <w:rPr>
                <w:rFonts w:ascii="Calibri" w:hAnsi="Calibri" w:cs="Calibri"/>
              </w:rPr>
              <w:t>Prostate (non-metastatic)</w:t>
            </w:r>
          </w:p>
        </w:tc>
        <w:tc>
          <w:tcPr>
            <w:tcW w:w="1142" w:type="dxa"/>
            <w:vAlign w:val="center"/>
          </w:tcPr>
          <w:p w14:paraId="50336920"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r w:rsidR="006F76DA" w:rsidRPr="00C97FD3" w14:paraId="59986329" w14:textId="77777777" w:rsidTr="000837E4">
        <w:trPr>
          <w:cantSplit/>
        </w:trPr>
        <w:tc>
          <w:tcPr>
            <w:tcW w:w="1574" w:type="dxa"/>
          </w:tcPr>
          <w:p w14:paraId="54E4D203" w14:textId="77777777" w:rsidR="006F76DA" w:rsidRPr="00397418" w:rsidRDefault="006F76DA" w:rsidP="006F76DA">
            <w:pPr>
              <w:keepNext/>
              <w:keepLines/>
              <w:spacing w:after="120"/>
              <w:rPr>
                <w:rFonts w:ascii="Calibri" w:hAnsi="Calibri" w:cs="Calibri"/>
              </w:rPr>
            </w:pPr>
            <w:r w:rsidRPr="00397418">
              <w:rPr>
                <w:rFonts w:ascii="Calibri" w:hAnsi="Calibri" w:cs="Calibri"/>
              </w:rPr>
              <w:t>Pelvic</w:t>
            </w:r>
          </w:p>
        </w:tc>
        <w:tc>
          <w:tcPr>
            <w:tcW w:w="3269" w:type="dxa"/>
          </w:tcPr>
          <w:p w14:paraId="695995F4" w14:textId="77777777" w:rsidR="006F76DA" w:rsidRPr="00397418" w:rsidRDefault="006F76DA" w:rsidP="006F76DA">
            <w:pPr>
              <w:keepNext/>
              <w:keepLines/>
              <w:spacing w:after="80"/>
              <w:rPr>
                <w:rFonts w:ascii="Calibri" w:hAnsi="Calibri" w:cs="Calibri"/>
              </w:rPr>
            </w:pPr>
            <w:r w:rsidRPr="00397418">
              <w:rPr>
                <w:rFonts w:ascii="Calibri" w:hAnsi="Calibri" w:cs="Calibri"/>
              </w:rPr>
              <w:t>Rectal, cervical, bladder</w:t>
            </w:r>
          </w:p>
        </w:tc>
        <w:tc>
          <w:tcPr>
            <w:tcW w:w="1142" w:type="dxa"/>
            <w:vAlign w:val="center"/>
          </w:tcPr>
          <w:p w14:paraId="2CDA9BD1" w14:textId="77777777" w:rsidR="006F76DA" w:rsidRPr="00397418" w:rsidRDefault="006F76DA" w:rsidP="006F76DA">
            <w:pPr>
              <w:keepNext/>
              <w:keepLines/>
              <w:spacing w:after="120"/>
              <w:jc w:val="center"/>
              <w:rPr>
                <w:rFonts w:ascii="Calibri" w:hAnsi="Calibri" w:cs="Calibri"/>
              </w:rPr>
            </w:pPr>
            <w:r w:rsidRPr="00397418">
              <w:rPr>
                <w:rFonts w:ascii="Segoe UI Emoji" w:hAnsi="Segoe UI Emoji" w:cs="Segoe UI Emoji"/>
              </w:rPr>
              <w:t>✅</w:t>
            </w:r>
          </w:p>
        </w:tc>
      </w:tr>
    </w:tbl>
    <w:p w14:paraId="6E96EB7B" w14:textId="48985DAC" w:rsidR="00FD347B" w:rsidRDefault="00FD347B" w:rsidP="006F76DA">
      <w:pPr>
        <w:spacing w:after="0" w:line="240" w:lineRule="auto"/>
        <w:jc w:val="both"/>
        <w:rPr>
          <w:rFonts w:ascii="Calibri" w:eastAsia="Times New Roman" w:hAnsi="Calibri" w:cs="Calibri"/>
        </w:rPr>
      </w:pPr>
      <w:r w:rsidRPr="00397418">
        <w:rPr>
          <w:rFonts w:ascii="Calibri" w:eastAsia="Times New Roman" w:hAnsi="Calibri" w:cs="Calibri"/>
        </w:rPr>
        <w:t>Group 2 cancers explicitly mentioned in the LCD include prostate, breast, liver, lung, pancreatic, pelvic, and head &amp; neck cancers. The following indications are covered under LCD L35075</w:t>
      </w:r>
      <w:r w:rsidR="001164D4" w:rsidRPr="001164D4">
        <w:rPr>
          <w:rFonts w:ascii="Calibri" w:eastAsia="Times New Roman" w:hAnsi="Calibri" w:cs="Calibri"/>
        </w:rPr>
        <w:t xml:space="preserve"> </w:t>
      </w:r>
      <w:r w:rsidR="001164D4" w:rsidRPr="00397418">
        <w:rPr>
          <w:rFonts w:ascii="Calibri" w:eastAsia="Times New Roman" w:hAnsi="Calibri" w:cs="Calibri"/>
        </w:rPr>
        <w:t>with documentation</w:t>
      </w:r>
      <w:r w:rsidRPr="00397418">
        <w:rPr>
          <w:rFonts w:ascii="Calibri" w:eastAsia="Times New Roman" w:hAnsi="Calibri" w:cs="Calibri"/>
        </w:rPr>
        <w:t>.</w:t>
      </w:r>
    </w:p>
    <w:p w14:paraId="184E7790" w14:textId="154D8E41" w:rsidR="006F76DA" w:rsidRDefault="006F76DA" w:rsidP="006F76DA">
      <w:pPr>
        <w:spacing w:after="0" w:line="240" w:lineRule="auto"/>
        <w:jc w:val="both"/>
        <w:rPr>
          <w:rFonts w:ascii="Calibri" w:eastAsia="Times New Roman" w:hAnsi="Calibri" w:cs="Calibri"/>
        </w:rPr>
      </w:pPr>
    </w:p>
    <w:p w14:paraId="76945EB2" w14:textId="77777777" w:rsidR="006F76DA" w:rsidRDefault="006F76DA" w:rsidP="006F76DA">
      <w:pPr>
        <w:keepNext/>
        <w:keepLines/>
        <w:spacing w:after="0" w:line="240" w:lineRule="auto"/>
        <w:rPr>
          <w:rFonts w:ascii="Calibri" w:hAnsi="Calibri" w:cs="Calibri"/>
        </w:rPr>
      </w:pPr>
    </w:p>
    <w:p w14:paraId="2006975D" w14:textId="77777777" w:rsidR="006F76DA" w:rsidRDefault="006F76DA" w:rsidP="006F76DA">
      <w:pPr>
        <w:keepNext/>
        <w:keepLines/>
        <w:spacing w:after="0" w:line="240" w:lineRule="auto"/>
        <w:rPr>
          <w:rFonts w:ascii="Calibri" w:hAnsi="Calibri" w:cs="Calibri"/>
        </w:rPr>
      </w:pPr>
    </w:p>
    <w:p w14:paraId="15B729D5" w14:textId="77777777" w:rsidR="006F76DA" w:rsidRDefault="006F76DA" w:rsidP="006F76DA">
      <w:pPr>
        <w:keepNext/>
        <w:keepLines/>
        <w:spacing w:after="0" w:line="240" w:lineRule="auto"/>
        <w:rPr>
          <w:rFonts w:ascii="Calibri" w:hAnsi="Calibri" w:cs="Calibri"/>
        </w:rPr>
      </w:pPr>
    </w:p>
    <w:p w14:paraId="7658A0D3" w14:textId="77777777" w:rsidR="006F76DA" w:rsidRDefault="006F76DA" w:rsidP="006F76DA">
      <w:pPr>
        <w:keepNext/>
        <w:keepLines/>
        <w:spacing w:after="0" w:line="240" w:lineRule="auto"/>
        <w:rPr>
          <w:rFonts w:ascii="Calibri" w:hAnsi="Calibri" w:cs="Calibri"/>
        </w:rPr>
      </w:pPr>
    </w:p>
    <w:p w14:paraId="507BECB0" w14:textId="77777777" w:rsidR="006F76DA" w:rsidRDefault="006F76DA" w:rsidP="006F76DA">
      <w:pPr>
        <w:keepNext/>
        <w:keepLines/>
        <w:spacing w:after="0" w:line="240" w:lineRule="auto"/>
        <w:rPr>
          <w:rFonts w:ascii="Calibri" w:hAnsi="Calibri" w:cs="Calibri"/>
        </w:rPr>
      </w:pPr>
    </w:p>
    <w:p w14:paraId="0B8E5A4F" w14:textId="77777777" w:rsidR="006F76DA" w:rsidRDefault="006F76DA" w:rsidP="006F76DA">
      <w:pPr>
        <w:keepNext/>
        <w:keepLines/>
        <w:spacing w:after="0" w:line="240" w:lineRule="auto"/>
        <w:rPr>
          <w:rFonts w:ascii="Calibri" w:hAnsi="Calibri" w:cs="Calibri"/>
        </w:rPr>
      </w:pPr>
    </w:p>
    <w:p w14:paraId="6709CF07" w14:textId="77777777" w:rsidR="006F76DA" w:rsidRDefault="006F76DA" w:rsidP="006F76DA">
      <w:pPr>
        <w:keepNext/>
        <w:keepLines/>
        <w:spacing w:after="0" w:line="240" w:lineRule="auto"/>
        <w:rPr>
          <w:rFonts w:ascii="Calibri" w:hAnsi="Calibri" w:cs="Calibri"/>
        </w:rPr>
      </w:pPr>
    </w:p>
    <w:p w14:paraId="1950628C" w14:textId="77777777" w:rsidR="006F76DA" w:rsidRDefault="006F76DA" w:rsidP="006F76DA">
      <w:pPr>
        <w:keepNext/>
        <w:keepLines/>
        <w:spacing w:after="0" w:line="240" w:lineRule="auto"/>
        <w:rPr>
          <w:rFonts w:ascii="Calibri" w:hAnsi="Calibri" w:cs="Calibri"/>
        </w:rPr>
      </w:pPr>
    </w:p>
    <w:p w14:paraId="4CC35B5D" w14:textId="77777777" w:rsidR="006F76DA" w:rsidRDefault="006F76DA" w:rsidP="006F76DA">
      <w:pPr>
        <w:keepNext/>
        <w:keepLines/>
        <w:spacing w:after="0" w:line="240" w:lineRule="auto"/>
        <w:rPr>
          <w:rFonts w:ascii="Calibri" w:hAnsi="Calibri" w:cs="Calibri"/>
        </w:rPr>
      </w:pPr>
    </w:p>
    <w:p w14:paraId="508C97B6" w14:textId="77777777" w:rsidR="006F76DA" w:rsidRDefault="006F76DA" w:rsidP="006F76DA">
      <w:pPr>
        <w:keepNext/>
        <w:keepLines/>
        <w:spacing w:after="0" w:line="240" w:lineRule="auto"/>
        <w:rPr>
          <w:rFonts w:ascii="Calibri" w:hAnsi="Calibri" w:cs="Calibri"/>
        </w:rPr>
      </w:pPr>
    </w:p>
    <w:p w14:paraId="234A3780" w14:textId="77777777" w:rsidR="006F76DA" w:rsidRDefault="006F76DA" w:rsidP="006F76DA">
      <w:pPr>
        <w:keepNext/>
        <w:keepLines/>
        <w:spacing w:after="0" w:line="240" w:lineRule="auto"/>
        <w:rPr>
          <w:rFonts w:ascii="Calibri" w:hAnsi="Calibri" w:cs="Calibri"/>
        </w:rPr>
      </w:pPr>
    </w:p>
    <w:p w14:paraId="3E79C18A" w14:textId="77777777" w:rsidR="006F76DA" w:rsidRDefault="006F76DA" w:rsidP="006F76DA">
      <w:pPr>
        <w:keepNext/>
        <w:keepLines/>
        <w:spacing w:after="0" w:line="240" w:lineRule="auto"/>
        <w:rPr>
          <w:rFonts w:ascii="Calibri" w:hAnsi="Calibri" w:cs="Calibri"/>
        </w:rPr>
      </w:pPr>
    </w:p>
    <w:p w14:paraId="5E914C5F" w14:textId="77777777" w:rsidR="006F76DA" w:rsidRDefault="006F76DA" w:rsidP="006F76DA">
      <w:pPr>
        <w:keepNext/>
        <w:keepLines/>
        <w:spacing w:after="0" w:line="240" w:lineRule="auto"/>
        <w:rPr>
          <w:rFonts w:ascii="Calibri" w:hAnsi="Calibri" w:cs="Calibri"/>
        </w:rPr>
      </w:pPr>
    </w:p>
    <w:p w14:paraId="35121997" w14:textId="77777777" w:rsidR="006F76DA" w:rsidRDefault="006F76DA" w:rsidP="006F76DA">
      <w:pPr>
        <w:keepNext/>
        <w:keepLines/>
        <w:spacing w:after="0" w:line="240" w:lineRule="auto"/>
        <w:rPr>
          <w:rFonts w:ascii="Calibri" w:hAnsi="Calibri" w:cs="Calibri"/>
        </w:rPr>
      </w:pPr>
    </w:p>
    <w:p w14:paraId="667E979D" w14:textId="77777777" w:rsidR="006F76DA" w:rsidRDefault="006F76DA" w:rsidP="006F76DA">
      <w:pPr>
        <w:keepNext/>
        <w:keepLines/>
        <w:spacing w:after="0" w:line="240" w:lineRule="auto"/>
        <w:rPr>
          <w:rFonts w:ascii="Calibri" w:hAnsi="Calibri" w:cs="Calibri"/>
        </w:rPr>
      </w:pPr>
    </w:p>
    <w:p w14:paraId="380AA8BF" w14:textId="126C7985" w:rsidR="006F76DA" w:rsidRPr="00397418" w:rsidRDefault="006F76DA" w:rsidP="006F76DA">
      <w:pPr>
        <w:keepNext/>
        <w:keepLines/>
        <w:spacing w:after="0" w:line="240" w:lineRule="auto"/>
        <w:rPr>
          <w:rFonts w:ascii="Calibri" w:hAnsi="Calibri" w:cs="Calibri"/>
        </w:rPr>
      </w:pPr>
      <w:r w:rsidRPr="00397418">
        <w:rPr>
          <w:rFonts w:ascii="Calibri" w:hAnsi="Calibri" w:cs="Calibri"/>
        </w:rPr>
        <w:t>Coverage Symbols:</w:t>
      </w:r>
    </w:p>
    <w:p w14:paraId="0BF88892" w14:textId="77777777" w:rsidR="006F76DA" w:rsidRPr="00397418" w:rsidRDefault="006F76DA" w:rsidP="006F76DA">
      <w:pPr>
        <w:keepNext/>
        <w:keepLines/>
        <w:spacing w:after="0" w:line="240" w:lineRule="auto"/>
        <w:rPr>
          <w:rFonts w:ascii="Calibri" w:hAnsi="Calibri" w:cs="Calibri"/>
        </w:rPr>
      </w:pPr>
      <w:r w:rsidRPr="00397418">
        <w:rPr>
          <w:rFonts w:ascii="Segoe UI Emoji" w:hAnsi="Segoe UI Emoji" w:cs="Segoe UI Emoji"/>
        </w:rPr>
        <w:t>✅</w:t>
      </w:r>
      <w:r w:rsidRPr="00397418">
        <w:rPr>
          <w:rFonts w:ascii="Calibri" w:hAnsi="Calibri" w:cs="Calibri"/>
        </w:rPr>
        <w:t xml:space="preserve"> = Covered with documentation (e.g., DVH showing OAR sparing)</w:t>
      </w:r>
    </w:p>
    <w:p w14:paraId="5B571D44" w14:textId="2E333E9A" w:rsidR="006F76DA" w:rsidRDefault="006F76DA" w:rsidP="006F76DA">
      <w:pPr>
        <w:spacing w:after="0" w:line="240" w:lineRule="auto"/>
        <w:jc w:val="both"/>
        <w:rPr>
          <w:rFonts w:ascii="Calibri" w:eastAsia="Times New Roman" w:hAnsi="Calibri" w:cs="Calibri"/>
        </w:rPr>
      </w:pPr>
    </w:p>
    <w:p w14:paraId="280347BB" w14:textId="77777777" w:rsidR="00847BCF" w:rsidRPr="00397418" w:rsidRDefault="00847BCF" w:rsidP="00847BCF">
      <w:pPr>
        <w:keepNext/>
        <w:keepLines/>
        <w:spacing w:after="240" w:line="240" w:lineRule="auto"/>
        <w:jc w:val="both"/>
        <w:rPr>
          <w:rFonts w:ascii="Calibri" w:hAnsi="Calibri" w:cs="Calibri"/>
        </w:rPr>
      </w:pPr>
      <w:r w:rsidRPr="00397418">
        <w:rPr>
          <w:rFonts w:ascii="Calibri" w:hAnsi="Calibri" w:cs="Calibri"/>
        </w:rPr>
        <w:t xml:space="preserve">Commercial insurance coverage of Group 2 proton therapy cases will be determined on an individual patient basis but again, commercial payers often </w:t>
      </w:r>
      <w:r>
        <w:rPr>
          <w:rFonts w:ascii="Calibri" w:hAnsi="Calibri" w:cs="Calibri"/>
        </w:rPr>
        <w:t>consider</w:t>
      </w:r>
      <w:r w:rsidRPr="00397418">
        <w:rPr>
          <w:rFonts w:ascii="Calibri" w:hAnsi="Calibri" w:cs="Calibri"/>
        </w:rPr>
        <w:t xml:space="preserve"> Medicare</w:t>
      </w:r>
      <w:r>
        <w:rPr>
          <w:rFonts w:ascii="Calibri" w:hAnsi="Calibri" w:cs="Calibri"/>
        </w:rPr>
        <w:t xml:space="preserve"> coverage policies in determining their own coverage policies</w:t>
      </w:r>
      <w:r w:rsidRPr="00397418">
        <w:rPr>
          <w:rFonts w:ascii="Calibri" w:eastAsia="Times New Roman" w:hAnsi="Calibri" w:cs="Calibri"/>
        </w:rPr>
        <w:t>.</w:t>
      </w:r>
    </w:p>
    <w:p w14:paraId="294618A1" w14:textId="12B47312" w:rsidR="00847BCF" w:rsidRDefault="00847BCF" w:rsidP="00847BCF">
      <w:pPr>
        <w:keepNext/>
        <w:keepLines/>
        <w:spacing w:after="240" w:line="240" w:lineRule="auto"/>
        <w:jc w:val="both"/>
        <w:rPr>
          <w:rFonts w:ascii="Calibri" w:eastAsia="Times New Roman" w:hAnsi="Calibri" w:cs="Calibri"/>
        </w:rPr>
      </w:pPr>
      <w:r w:rsidRPr="00397418">
        <w:rPr>
          <w:rFonts w:ascii="Calibri" w:eastAsia="Times New Roman" w:hAnsi="Calibri" w:cs="Calibri"/>
        </w:rPr>
        <w:t>Based on State Cancer Profiles incidence rates for Massachusetts (2017–2021)</w:t>
      </w:r>
      <w:r>
        <w:rPr>
          <w:rFonts w:ascii="Calibri" w:eastAsia="Times New Roman" w:hAnsi="Calibri" w:cs="Calibri"/>
        </w:rPr>
        <w:t>,</w:t>
      </w:r>
      <w:r w:rsidRPr="00397418">
        <w:rPr>
          <w:rFonts w:ascii="Calibri" w:eastAsia="Times New Roman" w:hAnsi="Calibri" w:cs="Calibri"/>
        </w:rPr>
        <w:t xml:space="preserve"> UMMH applied the Dutch model-based proton therapy planning framework, a European standard for estimating patient subgroups that benefit most from proton therapy using </w:t>
      </w:r>
      <w:r w:rsidRPr="009608BA">
        <w:rPr>
          <w:rFonts w:ascii="Calibri" w:eastAsia="Times New Roman" w:hAnsi="Calibri" w:cs="Calibri"/>
        </w:rPr>
        <w:t>Normal Tissue Complication Probability (NTCP) </w:t>
      </w:r>
      <w:r w:rsidRPr="00397418">
        <w:rPr>
          <w:rFonts w:ascii="Calibri" w:eastAsia="Times New Roman" w:hAnsi="Calibri" w:cs="Calibri"/>
        </w:rPr>
        <w:t>modeling, to derive local projections for the total number of Group 2 patients that may be eligible for insurance coverage for proton therapy. This model complements U.S. guidelines (also see Appendix).</w:t>
      </w:r>
    </w:p>
    <w:p w14:paraId="2FAF30D6" w14:textId="6EF15D87" w:rsidR="00847BCF" w:rsidRDefault="00847BCF">
      <w:pPr>
        <w:rPr>
          <w:rFonts w:ascii="Calibri" w:eastAsia="Times New Roman" w:hAnsi="Calibri" w:cs="Calibri"/>
        </w:rPr>
      </w:pPr>
      <w:r>
        <w:rPr>
          <w:rFonts w:ascii="Calibri" w:eastAsia="Times New Roman" w:hAnsi="Calibri" w:cs="Calibri"/>
        </w:rPr>
        <w:br w:type="page"/>
      </w:r>
    </w:p>
    <w:p w14:paraId="5BA27B7E" w14:textId="77777777" w:rsidR="00847BCF" w:rsidRPr="00847BCF" w:rsidRDefault="00847BCF" w:rsidP="00847BCF">
      <w:pPr>
        <w:rPr>
          <w:rFonts w:ascii="Calibri" w:hAnsi="Calibri" w:cs="Calibri"/>
          <w:b/>
          <w:bCs/>
        </w:rPr>
      </w:pPr>
      <w:r w:rsidRPr="00847BCF">
        <w:rPr>
          <w:rFonts w:ascii="Calibri" w:hAnsi="Calibri" w:cs="Calibri"/>
          <w:b/>
          <w:bCs/>
        </w:rPr>
        <w:lastRenderedPageBreak/>
        <w:t>Table of Estimated Group 2 Annual Eligible Cases by Cancer Type</w:t>
      </w:r>
    </w:p>
    <w:tbl>
      <w:tblPr>
        <w:tblStyle w:val="TableGrid"/>
        <w:tblW w:w="8905" w:type="dxa"/>
        <w:tblLook w:val="04A0" w:firstRow="1" w:lastRow="0" w:firstColumn="1" w:lastColumn="0" w:noHBand="0" w:noVBand="1"/>
      </w:tblPr>
      <w:tblGrid>
        <w:gridCol w:w="2057"/>
        <w:gridCol w:w="8"/>
        <w:gridCol w:w="1160"/>
        <w:gridCol w:w="926"/>
        <w:gridCol w:w="1123"/>
        <w:gridCol w:w="1279"/>
        <w:gridCol w:w="1178"/>
        <w:gridCol w:w="1174"/>
      </w:tblGrid>
      <w:tr w:rsidR="00847BCF" w:rsidRPr="00847BCF" w14:paraId="32BCD07B" w14:textId="77777777" w:rsidTr="00330B86">
        <w:trPr>
          <w:cantSplit/>
          <w:tblHeader/>
        </w:trPr>
        <w:tc>
          <w:tcPr>
            <w:tcW w:w="2057" w:type="dxa"/>
          </w:tcPr>
          <w:p w14:paraId="0368701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Cancer Type</w:t>
            </w:r>
          </w:p>
        </w:tc>
        <w:tc>
          <w:tcPr>
            <w:tcW w:w="1168" w:type="dxa"/>
            <w:gridSpan w:val="2"/>
          </w:tcPr>
          <w:p w14:paraId="58A0B144"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 xml:space="preserve">Incidence </w:t>
            </w:r>
          </w:p>
          <w:p w14:paraId="27BD5D2A"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(per 100,000)</w:t>
            </w:r>
          </w:p>
        </w:tc>
        <w:tc>
          <w:tcPr>
            <w:tcW w:w="926" w:type="dxa"/>
          </w:tcPr>
          <w:p w14:paraId="26ABD778"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Annual Cases</w:t>
            </w:r>
          </w:p>
        </w:tc>
        <w:tc>
          <w:tcPr>
            <w:tcW w:w="1123" w:type="dxa"/>
          </w:tcPr>
          <w:p w14:paraId="2975EDD0"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 Eligible (Dutch Model)</w:t>
            </w:r>
          </w:p>
        </w:tc>
        <w:tc>
          <w:tcPr>
            <w:tcW w:w="1279" w:type="dxa"/>
          </w:tcPr>
          <w:p w14:paraId="2C31088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 xml:space="preserve">Annual Eligible Cases </w:t>
            </w:r>
          </w:p>
        </w:tc>
        <w:tc>
          <w:tcPr>
            <w:tcW w:w="1178" w:type="dxa"/>
          </w:tcPr>
          <w:p w14:paraId="7020CCDA"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Projected 3 Year Case Total</w:t>
            </w:r>
          </w:p>
        </w:tc>
        <w:tc>
          <w:tcPr>
            <w:tcW w:w="1174" w:type="dxa"/>
          </w:tcPr>
          <w:p w14:paraId="355FAEAC"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Projected 5 Year Case Total</w:t>
            </w:r>
          </w:p>
        </w:tc>
      </w:tr>
      <w:tr w:rsidR="00847BCF" w:rsidRPr="00847BCF" w14:paraId="4F309264" w14:textId="77777777" w:rsidTr="00330B86">
        <w:trPr>
          <w:cantSplit/>
        </w:trPr>
        <w:tc>
          <w:tcPr>
            <w:tcW w:w="2065" w:type="dxa"/>
            <w:gridSpan w:val="2"/>
          </w:tcPr>
          <w:p w14:paraId="1096C9EA"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Prostate</w:t>
            </w:r>
          </w:p>
        </w:tc>
        <w:tc>
          <w:tcPr>
            <w:tcW w:w="1160" w:type="dxa"/>
            <w:vAlign w:val="bottom"/>
          </w:tcPr>
          <w:p w14:paraId="03CCD793"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116.3</w:t>
            </w:r>
          </w:p>
        </w:tc>
        <w:tc>
          <w:tcPr>
            <w:tcW w:w="926" w:type="dxa"/>
            <w:vAlign w:val="bottom"/>
          </w:tcPr>
          <w:p w14:paraId="6476D367"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~645</w:t>
            </w:r>
          </w:p>
        </w:tc>
        <w:tc>
          <w:tcPr>
            <w:tcW w:w="1123" w:type="dxa"/>
            <w:vAlign w:val="bottom"/>
          </w:tcPr>
          <w:p w14:paraId="3D990EAE"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w:t>
            </w:r>
          </w:p>
        </w:tc>
        <w:tc>
          <w:tcPr>
            <w:tcW w:w="1279" w:type="dxa"/>
            <w:vAlign w:val="bottom"/>
          </w:tcPr>
          <w:p w14:paraId="33D4F125"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~65</w:t>
            </w:r>
          </w:p>
        </w:tc>
        <w:tc>
          <w:tcPr>
            <w:tcW w:w="1178" w:type="dxa"/>
            <w:vAlign w:val="center"/>
          </w:tcPr>
          <w:p w14:paraId="0B33DA4F"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~194</w:t>
            </w:r>
          </w:p>
        </w:tc>
        <w:tc>
          <w:tcPr>
            <w:tcW w:w="1174" w:type="dxa"/>
            <w:vAlign w:val="center"/>
          </w:tcPr>
          <w:p w14:paraId="5F4AAF3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~323</w:t>
            </w:r>
          </w:p>
        </w:tc>
      </w:tr>
      <w:tr w:rsidR="00847BCF" w:rsidRPr="00847BCF" w14:paraId="167CC068" w14:textId="77777777" w:rsidTr="00330B86">
        <w:trPr>
          <w:cantSplit/>
        </w:trPr>
        <w:tc>
          <w:tcPr>
            <w:tcW w:w="2065" w:type="dxa"/>
            <w:gridSpan w:val="2"/>
          </w:tcPr>
          <w:p w14:paraId="156CF620"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Breast</w:t>
            </w:r>
          </w:p>
        </w:tc>
        <w:tc>
          <w:tcPr>
            <w:tcW w:w="1160" w:type="dxa"/>
            <w:vAlign w:val="bottom"/>
          </w:tcPr>
          <w:p w14:paraId="102ADD67"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132.2</w:t>
            </w:r>
          </w:p>
        </w:tc>
        <w:tc>
          <w:tcPr>
            <w:tcW w:w="926" w:type="dxa"/>
            <w:vAlign w:val="bottom"/>
          </w:tcPr>
          <w:p w14:paraId="577C7F99"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~710</w:t>
            </w:r>
          </w:p>
        </w:tc>
        <w:tc>
          <w:tcPr>
            <w:tcW w:w="1123" w:type="dxa"/>
            <w:vAlign w:val="bottom"/>
          </w:tcPr>
          <w:p w14:paraId="5E37FFD9"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5%</w:t>
            </w:r>
          </w:p>
        </w:tc>
        <w:tc>
          <w:tcPr>
            <w:tcW w:w="1279" w:type="dxa"/>
            <w:vAlign w:val="bottom"/>
          </w:tcPr>
          <w:p w14:paraId="255F1DEC"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~36</w:t>
            </w:r>
          </w:p>
        </w:tc>
        <w:tc>
          <w:tcPr>
            <w:tcW w:w="1178" w:type="dxa"/>
            <w:vAlign w:val="center"/>
          </w:tcPr>
          <w:p w14:paraId="4D0BA46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~107</w:t>
            </w:r>
          </w:p>
        </w:tc>
        <w:tc>
          <w:tcPr>
            <w:tcW w:w="1174" w:type="dxa"/>
            <w:vAlign w:val="center"/>
          </w:tcPr>
          <w:p w14:paraId="52AEC9B3"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~178</w:t>
            </w:r>
          </w:p>
        </w:tc>
      </w:tr>
      <w:tr w:rsidR="00847BCF" w:rsidRPr="00847BCF" w14:paraId="771E15D1" w14:textId="77777777" w:rsidTr="00330B86">
        <w:trPr>
          <w:cantSplit/>
        </w:trPr>
        <w:tc>
          <w:tcPr>
            <w:tcW w:w="2065" w:type="dxa"/>
            <w:gridSpan w:val="2"/>
          </w:tcPr>
          <w:p w14:paraId="4AEE0A3B"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Lung &amp; Bronchus</w:t>
            </w:r>
          </w:p>
        </w:tc>
        <w:tc>
          <w:tcPr>
            <w:tcW w:w="1160" w:type="dxa"/>
            <w:vAlign w:val="bottom"/>
          </w:tcPr>
          <w:p w14:paraId="290B58F8"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62.3</w:t>
            </w:r>
          </w:p>
        </w:tc>
        <w:tc>
          <w:tcPr>
            <w:tcW w:w="926" w:type="dxa"/>
            <w:vAlign w:val="bottom"/>
          </w:tcPr>
          <w:p w14:paraId="3360EC4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~678</w:t>
            </w:r>
          </w:p>
        </w:tc>
        <w:tc>
          <w:tcPr>
            <w:tcW w:w="1123" w:type="dxa"/>
            <w:vAlign w:val="bottom"/>
          </w:tcPr>
          <w:p w14:paraId="28550C87"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15%</w:t>
            </w:r>
          </w:p>
        </w:tc>
        <w:tc>
          <w:tcPr>
            <w:tcW w:w="1279" w:type="dxa"/>
            <w:vAlign w:val="bottom"/>
          </w:tcPr>
          <w:p w14:paraId="61CE5B60"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~102</w:t>
            </w:r>
          </w:p>
        </w:tc>
        <w:tc>
          <w:tcPr>
            <w:tcW w:w="1178" w:type="dxa"/>
            <w:vAlign w:val="center"/>
          </w:tcPr>
          <w:p w14:paraId="449464E4"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~305</w:t>
            </w:r>
          </w:p>
        </w:tc>
        <w:tc>
          <w:tcPr>
            <w:tcW w:w="1174" w:type="dxa"/>
            <w:vAlign w:val="center"/>
          </w:tcPr>
          <w:p w14:paraId="0BEF51B4"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~509</w:t>
            </w:r>
          </w:p>
        </w:tc>
      </w:tr>
      <w:tr w:rsidR="00847BCF" w:rsidRPr="00847BCF" w14:paraId="07A66E93" w14:textId="77777777" w:rsidTr="00330B86">
        <w:trPr>
          <w:cantSplit/>
        </w:trPr>
        <w:tc>
          <w:tcPr>
            <w:tcW w:w="2065" w:type="dxa"/>
            <w:gridSpan w:val="2"/>
          </w:tcPr>
          <w:p w14:paraId="5837F24D"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Pancreas</w:t>
            </w:r>
          </w:p>
        </w:tc>
        <w:tc>
          <w:tcPr>
            <w:tcW w:w="1160" w:type="dxa"/>
            <w:vAlign w:val="bottom"/>
          </w:tcPr>
          <w:p w14:paraId="75576C14"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14.6</w:t>
            </w:r>
          </w:p>
        </w:tc>
        <w:tc>
          <w:tcPr>
            <w:tcW w:w="926" w:type="dxa"/>
            <w:vAlign w:val="bottom"/>
          </w:tcPr>
          <w:p w14:paraId="35DA41FD"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~156</w:t>
            </w:r>
          </w:p>
        </w:tc>
        <w:tc>
          <w:tcPr>
            <w:tcW w:w="1123" w:type="dxa"/>
            <w:vAlign w:val="bottom"/>
          </w:tcPr>
          <w:p w14:paraId="1122512B"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w:t>
            </w:r>
          </w:p>
        </w:tc>
        <w:tc>
          <w:tcPr>
            <w:tcW w:w="1279" w:type="dxa"/>
            <w:vAlign w:val="bottom"/>
          </w:tcPr>
          <w:p w14:paraId="6C909252"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~16</w:t>
            </w:r>
          </w:p>
        </w:tc>
        <w:tc>
          <w:tcPr>
            <w:tcW w:w="1178" w:type="dxa"/>
            <w:vAlign w:val="center"/>
          </w:tcPr>
          <w:p w14:paraId="014A3A5F"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~47</w:t>
            </w:r>
          </w:p>
        </w:tc>
        <w:tc>
          <w:tcPr>
            <w:tcW w:w="1174" w:type="dxa"/>
            <w:vAlign w:val="center"/>
          </w:tcPr>
          <w:p w14:paraId="17ADF541"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~78</w:t>
            </w:r>
          </w:p>
        </w:tc>
      </w:tr>
      <w:tr w:rsidR="00847BCF" w:rsidRPr="00847BCF" w14:paraId="20F62109" w14:textId="77777777" w:rsidTr="00330B86">
        <w:trPr>
          <w:cantSplit/>
        </w:trPr>
        <w:tc>
          <w:tcPr>
            <w:tcW w:w="2065" w:type="dxa"/>
            <w:gridSpan w:val="2"/>
          </w:tcPr>
          <w:p w14:paraId="16EC9F9C"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Liver &amp; Bile Duct</w:t>
            </w:r>
          </w:p>
        </w:tc>
        <w:tc>
          <w:tcPr>
            <w:tcW w:w="1160" w:type="dxa"/>
            <w:vAlign w:val="bottom"/>
          </w:tcPr>
          <w:p w14:paraId="0EB3E739"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9.2</w:t>
            </w:r>
          </w:p>
        </w:tc>
        <w:tc>
          <w:tcPr>
            <w:tcW w:w="926" w:type="dxa"/>
            <w:vAlign w:val="bottom"/>
          </w:tcPr>
          <w:p w14:paraId="26BA32BD"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~103</w:t>
            </w:r>
          </w:p>
        </w:tc>
        <w:tc>
          <w:tcPr>
            <w:tcW w:w="1123" w:type="dxa"/>
            <w:vAlign w:val="bottom"/>
          </w:tcPr>
          <w:p w14:paraId="50394142"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w:t>
            </w:r>
          </w:p>
        </w:tc>
        <w:tc>
          <w:tcPr>
            <w:tcW w:w="1279" w:type="dxa"/>
            <w:vAlign w:val="bottom"/>
          </w:tcPr>
          <w:p w14:paraId="3F8952D6"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w:t>
            </w:r>
          </w:p>
        </w:tc>
        <w:tc>
          <w:tcPr>
            <w:tcW w:w="1178" w:type="dxa"/>
            <w:vAlign w:val="center"/>
          </w:tcPr>
          <w:p w14:paraId="123BB369"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~31</w:t>
            </w:r>
          </w:p>
        </w:tc>
        <w:tc>
          <w:tcPr>
            <w:tcW w:w="1174" w:type="dxa"/>
            <w:vAlign w:val="center"/>
          </w:tcPr>
          <w:p w14:paraId="175E8A8E"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~52</w:t>
            </w:r>
          </w:p>
        </w:tc>
      </w:tr>
      <w:tr w:rsidR="00847BCF" w:rsidRPr="00847BCF" w14:paraId="6729DE83" w14:textId="77777777" w:rsidTr="00330B86">
        <w:trPr>
          <w:cantSplit/>
        </w:trPr>
        <w:tc>
          <w:tcPr>
            <w:tcW w:w="2065" w:type="dxa"/>
            <w:gridSpan w:val="2"/>
            <w:tcBorders>
              <w:bottom w:val="single" w:sz="4" w:space="0" w:color="auto"/>
            </w:tcBorders>
          </w:tcPr>
          <w:p w14:paraId="1D5E19A2"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Oral Cavity and Pharynx (Head and Neck)</w:t>
            </w:r>
          </w:p>
        </w:tc>
        <w:tc>
          <w:tcPr>
            <w:tcW w:w="1160" w:type="dxa"/>
            <w:tcBorders>
              <w:bottom w:val="single" w:sz="4" w:space="0" w:color="auto"/>
            </w:tcBorders>
            <w:vAlign w:val="bottom"/>
          </w:tcPr>
          <w:p w14:paraId="3E0A1AA4"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13.2</w:t>
            </w:r>
          </w:p>
        </w:tc>
        <w:tc>
          <w:tcPr>
            <w:tcW w:w="926" w:type="dxa"/>
            <w:tcBorders>
              <w:bottom w:val="single" w:sz="4" w:space="0" w:color="auto"/>
            </w:tcBorders>
            <w:vAlign w:val="bottom"/>
          </w:tcPr>
          <w:p w14:paraId="24ACE7A9"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~143</w:t>
            </w:r>
          </w:p>
        </w:tc>
        <w:tc>
          <w:tcPr>
            <w:tcW w:w="1123" w:type="dxa"/>
            <w:tcBorders>
              <w:bottom w:val="single" w:sz="4" w:space="0" w:color="auto"/>
            </w:tcBorders>
            <w:vAlign w:val="bottom"/>
          </w:tcPr>
          <w:p w14:paraId="18400F52"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25%</w:t>
            </w:r>
          </w:p>
        </w:tc>
        <w:tc>
          <w:tcPr>
            <w:tcW w:w="1279" w:type="dxa"/>
            <w:vAlign w:val="bottom"/>
          </w:tcPr>
          <w:p w14:paraId="6C9876DB"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~36</w:t>
            </w:r>
          </w:p>
        </w:tc>
        <w:tc>
          <w:tcPr>
            <w:tcW w:w="1178" w:type="dxa"/>
            <w:vAlign w:val="center"/>
          </w:tcPr>
          <w:p w14:paraId="3014A6FF"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~107</w:t>
            </w:r>
          </w:p>
        </w:tc>
        <w:tc>
          <w:tcPr>
            <w:tcW w:w="1174" w:type="dxa"/>
            <w:vAlign w:val="center"/>
          </w:tcPr>
          <w:p w14:paraId="23574CCB"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~179</w:t>
            </w:r>
          </w:p>
        </w:tc>
      </w:tr>
      <w:tr w:rsidR="00847BCF" w:rsidRPr="00847BCF" w14:paraId="75375433" w14:textId="77777777" w:rsidTr="00330B86">
        <w:trPr>
          <w:cantSplit/>
        </w:trPr>
        <w:tc>
          <w:tcPr>
            <w:tcW w:w="2065" w:type="dxa"/>
            <w:gridSpan w:val="2"/>
            <w:tcBorders>
              <w:bottom w:val="single" w:sz="4" w:space="0" w:color="auto"/>
            </w:tcBorders>
          </w:tcPr>
          <w:p w14:paraId="4C4A2E77"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Bladder (Pelvic)</w:t>
            </w:r>
          </w:p>
        </w:tc>
        <w:tc>
          <w:tcPr>
            <w:tcW w:w="1160" w:type="dxa"/>
            <w:tcBorders>
              <w:bottom w:val="single" w:sz="4" w:space="0" w:color="auto"/>
            </w:tcBorders>
            <w:vAlign w:val="bottom"/>
          </w:tcPr>
          <w:p w14:paraId="54E57421"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22.6</w:t>
            </w:r>
          </w:p>
        </w:tc>
        <w:tc>
          <w:tcPr>
            <w:tcW w:w="926" w:type="dxa"/>
            <w:tcBorders>
              <w:bottom w:val="single" w:sz="4" w:space="0" w:color="auto"/>
            </w:tcBorders>
            <w:vAlign w:val="bottom"/>
          </w:tcPr>
          <w:p w14:paraId="01A4FB38"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~239</w:t>
            </w:r>
          </w:p>
        </w:tc>
        <w:tc>
          <w:tcPr>
            <w:tcW w:w="1123" w:type="dxa"/>
            <w:tcBorders>
              <w:bottom w:val="single" w:sz="4" w:space="0" w:color="auto"/>
            </w:tcBorders>
            <w:vAlign w:val="bottom"/>
          </w:tcPr>
          <w:p w14:paraId="31465608"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10%</w:t>
            </w:r>
          </w:p>
        </w:tc>
        <w:tc>
          <w:tcPr>
            <w:tcW w:w="1279" w:type="dxa"/>
            <w:tcBorders>
              <w:bottom w:val="single" w:sz="4" w:space="0" w:color="auto"/>
            </w:tcBorders>
            <w:vAlign w:val="bottom"/>
          </w:tcPr>
          <w:p w14:paraId="725F3DB5"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~24</w:t>
            </w:r>
          </w:p>
        </w:tc>
        <w:tc>
          <w:tcPr>
            <w:tcW w:w="1178" w:type="dxa"/>
            <w:vAlign w:val="center"/>
          </w:tcPr>
          <w:p w14:paraId="4ACF3510"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~72</w:t>
            </w:r>
          </w:p>
        </w:tc>
        <w:tc>
          <w:tcPr>
            <w:tcW w:w="1174" w:type="dxa"/>
            <w:vAlign w:val="center"/>
          </w:tcPr>
          <w:p w14:paraId="0A33830E"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~120</w:t>
            </w:r>
          </w:p>
        </w:tc>
      </w:tr>
      <w:tr w:rsidR="00847BCF" w:rsidRPr="00847BCF" w14:paraId="442F715E" w14:textId="77777777" w:rsidTr="00330B86">
        <w:trPr>
          <w:cantSplit/>
        </w:trPr>
        <w:tc>
          <w:tcPr>
            <w:tcW w:w="2065" w:type="dxa"/>
            <w:gridSpan w:val="2"/>
            <w:tcBorders>
              <w:left w:val="nil"/>
              <w:bottom w:val="nil"/>
              <w:right w:val="nil"/>
            </w:tcBorders>
          </w:tcPr>
          <w:p w14:paraId="66A6177E" w14:textId="77777777" w:rsidR="00847BCF" w:rsidRPr="00847BCF" w:rsidRDefault="00847BCF" w:rsidP="00847BCF">
            <w:pPr>
              <w:spacing w:after="160" w:line="259" w:lineRule="auto"/>
              <w:rPr>
                <w:rFonts w:ascii="Calibri" w:hAnsi="Calibri" w:cs="Calibri"/>
                <w:b/>
                <w:bCs/>
              </w:rPr>
            </w:pPr>
          </w:p>
        </w:tc>
        <w:tc>
          <w:tcPr>
            <w:tcW w:w="1160" w:type="dxa"/>
            <w:tcBorders>
              <w:left w:val="nil"/>
              <w:bottom w:val="nil"/>
              <w:right w:val="nil"/>
            </w:tcBorders>
            <w:vAlign w:val="bottom"/>
          </w:tcPr>
          <w:p w14:paraId="0CE03D6E" w14:textId="77777777" w:rsidR="00847BCF" w:rsidRPr="00847BCF" w:rsidRDefault="00847BCF" w:rsidP="00847BCF">
            <w:pPr>
              <w:spacing w:after="160" w:line="259" w:lineRule="auto"/>
              <w:rPr>
                <w:rFonts w:ascii="Calibri" w:hAnsi="Calibri" w:cs="Calibri"/>
                <w:b/>
                <w:bCs/>
              </w:rPr>
            </w:pPr>
          </w:p>
        </w:tc>
        <w:tc>
          <w:tcPr>
            <w:tcW w:w="926" w:type="dxa"/>
            <w:tcBorders>
              <w:left w:val="nil"/>
              <w:bottom w:val="nil"/>
            </w:tcBorders>
            <w:vAlign w:val="bottom"/>
          </w:tcPr>
          <w:p w14:paraId="11A153B8" w14:textId="77777777" w:rsidR="00847BCF" w:rsidRPr="00847BCF" w:rsidRDefault="00847BCF" w:rsidP="00847BCF">
            <w:pPr>
              <w:spacing w:after="160" w:line="259" w:lineRule="auto"/>
              <w:rPr>
                <w:rFonts w:ascii="Calibri" w:hAnsi="Calibri" w:cs="Calibri"/>
                <w:b/>
                <w:bCs/>
              </w:rPr>
            </w:pPr>
          </w:p>
        </w:tc>
        <w:tc>
          <w:tcPr>
            <w:tcW w:w="1123" w:type="dxa"/>
            <w:tcBorders>
              <w:bottom w:val="single" w:sz="4" w:space="0" w:color="auto"/>
            </w:tcBorders>
            <w:vAlign w:val="bottom"/>
          </w:tcPr>
          <w:p w14:paraId="75157A81"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Total</w:t>
            </w:r>
          </w:p>
        </w:tc>
        <w:tc>
          <w:tcPr>
            <w:tcW w:w="1279" w:type="dxa"/>
            <w:tcBorders>
              <w:bottom w:val="single" w:sz="4" w:space="0" w:color="auto"/>
              <w:right w:val="single" w:sz="4" w:space="0" w:color="auto"/>
            </w:tcBorders>
            <w:vAlign w:val="bottom"/>
          </w:tcPr>
          <w:p w14:paraId="54099DB3"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~287</w:t>
            </w:r>
          </w:p>
        </w:tc>
        <w:tc>
          <w:tcPr>
            <w:tcW w:w="1178" w:type="dxa"/>
            <w:tcBorders>
              <w:left w:val="single" w:sz="4" w:space="0" w:color="auto"/>
              <w:bottom w:val="single" w:sz="4" w:space="0" w:color="auto"/>
            </w:tcBorders>
            <w:vAlign w:val="center"/>
          </w:tcPr>
          <w:p w14:paraId="0FF3B92B"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~862</w:t>
            </w:r>
          </w:p>
        </w:tc>
        <w:tc>
          <w:tcPr>
            <w:tcW w:w="1174" w:type="dxa"/>
            <w:tcBorders>
              <w:bottom w:val="single" w:sz="4" w:space="0" w:color="auto"/>
            </w:tcBorders>
            <w:vAlign w:val="center"/>
          </w:tcPr>
          <w:p w14:paraId="141351A2" w14:textId="77777777" w:rsidR="00847BCF" w:rsidRPr="00847BCF" w:rsidRDefault="00847BCF" w:rsidP="00847BCF">
            <w:pPr>
              <w:spacing w:after="160" w:line="259" w:lineRule="auto"/>
              <w:rPr>
                <w:rFonts w:ascii="Calibri" w:hAnsi="Calibri" w:cs="Calibri"/>
                <w:b/>
                <w:bCs/>
              </w:rPr>
            </w:pPr>
            <w:r w:rsidRPr="00847BCF">
              <w:rPr>
                <w:rFonts w:ascii="Calibri" w:hAnsi="Calibri" w:cs="Calibri"/>
                <w:b/>
                <w:bCs/>
              </w:rPr>
              <w:t>~1,436</w:t>
            </w:r>
          </w:p>
        </w:tc>
      </w:tr>
    </w:tbl>
    <w:p w14:paraId="6B1D01DB" w14:textId="77777777" w:rsidR="00847BCF" w:rsidRPr="00847BCF" w:rsidRDefault="00847BCF" w:rsidP="00847BCF">
      <w:pPr>
        <w:spacing w:before="120" w:after="240" w:line="240" w:lineRule="auto"/>
        <w:rPr>
          <w:rFonts w:ascii="Calibri" w:hAnsi="Calibri" w:cs="Calibri"/>
          <w:b/>
          <w:bCs/>
        </w:rPr>
      </w:pPr>
      <w:r w:rsidRPr="00847BCF">
        <w:rPr>
          <w:rFonts w:ascii="Calibri" w:hAnsi="Calibri" w:cs="Calibri"/>
          <w:b/>
          <w:bCs/>
        </w:rPr>
        <w:t>Population Base: ~862,111 | Data Source: Massachusetts Cancer Registry (2017–2021</w:t>
      </w:r>
      <w:proofErr w:type="gramStart"/>
      <w:r w:rsidRPr="00847BCF">
        <w:rPr>
          <w:rFonts w:ascii="Calibri" w:hAnsi="Calibri" w:cs="Calibri"/>
          <w:b/>
          <w:bCs/>
        </w:rPr>
        <w:t>)  Note</w:t>
      </w:r>
      <w:proofErr w:type="gramEnd"/>
      <w:r w:rsidRPr="00847BCF">
        <w:rPr>
          <w:rFonts w:ascii="Calibri" w:hAnsi="Calibri" w:cs="Calibri"/>
          <w:b/>
          <w:bCs/>
        </w:rPr>
        <w:t>: This table does not include re-irradiation as noted in the Dutch Model (25% eligible)</w:t>
      </w:r>
    </w:p>
    <w:p w14:paraId="6C528DCF" w14:textId="77777777" w:rsidR="00847BCF" w:rsidRPr="009A6CEF" w:rsidRDefault="00847BCF" w:rsidP="00847BCF">
      <w:pPr>
        <w:spacing w:after="240" w:line="240" w:lineRule="auto"/>
        <w:jc w:val="both"/>
        <w:rPr>
          <w:rFonts w:ascii="Calibri" w:hAnsi="Calibri" w:cs="Calibri"/>
        </w:rPr>
      </w:pPr>
      <w:r w:rsidRPr="009A6CEF">
        <w:rPr>
          <w:rFonts w:ascii="Calibri" w:hAnsi="Calibri" w:cs="Calibri"/>
        </w:rPr>
        <w:t xml:space="preserve">Under this framework and aligned with the CED paradigm, patients with Group 2 cancers may receive proton therapy when individualized clinical documentation, such as dose-volume histogram (DVH) analysis, demonstrates a potential benefit in sparing organs-at-risk, or when enrolled in an approved clinical trial or registry contributing to real-world outcomes research. </w:t>
      </w:r>
    </w:p>
    <w:p w14:paraId="18D80889" w14:textId="77777777" w:rsidR="00847BCF" w:rsidRDefault="000B23CF" w:rsidP="00847BCF">
      <w:pPr>
        <w:spacing w:after="240" w:line="240" w:lineRule="auto"/>
        <w:jc w:val="both"/>
        <w:rPr>
          <w:rFonts w:ascii="Calibri" w:hAnsi="Calibri" w:cs="Calibri"/>
          <w:b/>
          <w:bCs/>
        </w:rPr>
      </w:pPr>
      <w:r>
        <w:rPr>
          <w:rFonts w:ascii="Calibri" w:hAnsi="Calibri" w:cs="Calibri"/>
        </w:rPr>
        <w:t>While the table above is not an exhaustive list of Group 2 cancer types,</w:t>
      </w:r>
      <w:r w:rsidR="00F260FB" w:rsidRPr="00397418">
        <w:rPr>
          <w:rFonts w:ascii="Calibri" w:hAnsi="Calibri" w:cs="Calibri"/>
        </w:rPr>
        <w:t xml:space="preserve"> </w:t>
      </w:r>
      <w:r w:rsidR="00471774" w:rsidRPr="00397418">
        <w:rPr>
          <w:rFonts w:ascii="Calibri" w:hAnsi="Calibri" w:cs="Calibri"/>
        </w:rPr>
        <w:t>UMMH</w:t>
      </w:r>
      <w:r w:rsidR="00F260FB" w:rsidRPr="00397418">
        <w:rPr>
          <w:rFonts w:ascii="Calibri" w:hAnsi="Calibri" w:cs="Calibri"/>
        </w:rPr>
        <w:t xml:space="preserve"> </w:t>
      </w:r>
      <w:r w:rsidR="00793928">
        <w:rPr>
          <w:rFonts w:ascii="Calibri" w:hAnsi="Calibri" w:cs="Calibri"/>
        </w:rPr>
        <w:t>estimates</w:t>
      </w:r>
      <w:r w:rsidR="00F260FB" w:rsidRPr="00397418">
        <w:rPr>
          <w:rFonts w:ascii="Calibri" w:hAnsi="Calibri" w:cs="Calibri"/>
        </w:rPr>
        <w:t xml:space="preserve"> approximately </w:t>
      </w:r>
      <w:r w:rsidR="00D05B55">
        <w:rPr>
          <w:rFonts w:ascii="Calibri" w:hAnsi="Calibri" w:cs="Calibri"/>
        </w:rPr>
        <w:t>862</w:t>
      </w:r>
      <w:r w:rsidR="00F260FB" w:rsidRPr="00397418">
        <w:rPr>
          <w:rFonts w:ascii="Calibri" w:hAnsi="Calibri" w:cs="Calibri"/>
        </w:rPr>
        <w:t>–1,</w:t>
      </w:r>
      <w:r w:rsidR="00D05B55">
        <w:rPr>
          <w:rFonts w:ascii="Calibri" w:hAnsi="Calibri" w:cs="Calibri"/>
        </w:rPr>
        <w:t>436</w:t>
      </w:r>
      <w:r w:rsidR="00F260FB" w:rsidRPr="00397418">
        <w:rPr>
          <w:rFonts w:ascii="Calibri" w:hAnsi="Calibri" w:cs="Calibri"/>
        </w:rPr>
        <w:t xml:space="preserve"> Group 2 </w:t>
      </w:r>
      <w:r w:rsidR="00586A69">
        <w:rPr>
          <w:rFonts w:ascii="Calibri" w:hAnsi="Calibri" w:cs="Calibri"/>
        </w:rPr>
        <w:t>patients</w:t>
      </w:r>
      <w:r w:rsidR="00AF61A2">
        <w:rPr>
          <w:rFonts w:ascii="Calibri" w:hAnsi="Calibri" w:cs="Calibri"/>
        </w:rPr>
        <w:t xml:space="preserve"> in Worcester County</w:t>
      </w:r>
      <w:r w:rsidR="00586A69">
        <w:rPr>
          <w:rFonts w:ascii="Calibri" w:hAnsi="Calibri" w:cs="Calibri"/>
        </w:rPr>
        <w:t xml:space="preserve"> </w:t>
      </w:r>
      <w:r w:rsidR="00AF61A2">
        <w:rPr>
          <w:rFonts w:ascii="Calibri" w:hAnsi="Calibri" w:cs="Calibri"/>
        </w:rPr>
        <w:t>may</w:t>
      </w:r>
      <w:r w:rsidR="00F260FB" w:rsidRPr="00397418">
        <w:rPr>
          <w:rFonts w:ascii="Calibri" w:hAnsi="Calibri" w:cs="Calibri"/>
        </w:rPr>
        <w:t xml:space="preserve"> be eligible for insurance coverage for proton therapy treatment over the next three to five </w:t>
      </w:r>
      <w:r w:rsidR="00AF61A2">
        <w:rPr>
          <w:rFonts w:ascii="Calibri" w:hAnsi="Calibri" w:cs="Calibri"/>
        </w:rPr>
        <w:t>years.</w:t>
      </w:r>
    </w:p>
    <w:p w14:paraId="758E3A7F" w14:textId="34576C07" w:rsidR="00F260FB" w:rsidRPr="00847BCF" w:rsidRDefault="00F260FB" w:rsidP="00847BCF">
      <w:pPr>
        <w:spacing w:after="240" w:line="240" w:lineRule="auto"/>
        <w:jc w:val="both"/>
        <w:rPr>
          <w:rFonts w:ascii="Calibri" w:hAnsi="Calibri" w:cs="Calibri"/>
          <w:b/>
          <w:bCs/>
        </w:rPr>
      </w:pPr>
      <w:r w:rsidRPr="00397418">
        <w:rPr>
          <w:rFonts w:ascii="Calibri" w:eastAsia="Times New Roman" w:hAnsi="Calibri" w:cs="Calibri"/>
        </w:rPr>
        <w:t xml:space="preserve">Ongoing clinical research and outcomes tracking are expected to further support the value of proton therapy in select patient populations, potentially broadening coverage as payers adopt criteria-based models informed by real-world evidence.  As this body of evidence grows, </w:t>
      </w:r>
      <w:r w:rsidR="0C3C296E" w:rsidRPr="00397418">
        <w:rPr>
          <w:rFonts w:ascii="Calibri" w:eastAsia="Times New Roman" w:hAnsi="Calibri" w:cs="Calibri"/>
        </w:rPr>
        <w:t>UMMH</w:t>
      </w:r>
      <w:r w:rsidRPr="00397418">
        <w:rPr>
          <w:rFonts w:ascii="Calibri" w:eastAsia="Times New Roman" w:hAnsi="Calibri" w:cs="Calibri"/>
        </w:rPr>
        <w:t xml:space="preserve"> anticipate</w:t>
      </w:r>
      <w:r w:rsidR="5D6F34BC" w:rsidRPr="00397418">
        <w:rPr>
          <w:rFonts w:ascii="Calibri" w:eastAsia="Times New Roman" w:hAnsi="Calibri" w:cs="Calibri"/>
        </w:rPr>
        <w:t>s</w:t>
      </w:r>
      <w:r w:rsidRPr="00397418">
        <w:rPr>
          <w:rFonts w:ascii="Calibri" w:eastAsia="Times New Roman" w:hAnsi="Calibri" w:cs="Calibri"/>
        </w:rPr>
        <w:t xml:space="preserve"> that additional diagnoses currently classified under ASTRO Group 2 will become eligible for reclassification into</w:t>
      </w:r>
      <w:r w:rsidR="46E1E627" w:rsidRPr="00397418">
        <w:rPr>
          <w:rFonts w:ascii="Calibri" w:eastAsia="Times New Roman" w:hAnsi="Calibri" w:cs="Calibri"/>
        </w:rPr>
        <w:t xml:space="preserve"> Group 1.</w:t>
      </w:r>
    </w:p>
    <w:p w14:paraId="21E9A739" w14:textId="77777777" w:rsidR="00F260FB" w:rsidRPr="00397418" w:rsidRDefault="00F260FB" w:rsidP="006F76DA">
      <w:pPr>
        <w:pStyle w:val="Heading2"/>
        <w:spacing w:before="0" w:after="240" w:line="240" w:lineRule="auto"/>
        <w:jc w:val="both"/>
        <w:rPr>
          <w:rFonts w:ascii="Calibri" w:hAnsi="Calibri" w:cs="Calibri"/>
          <w:sz w:val="24"/>
          <w:szCs w:val="24"/>
        </w:rPr>
      </w:pPr>
      <w:r w:rsidRPr="00397418">
        <w:rPr>
          <w:rFonts w:ascii="Calibri" w:hAnsi="Calibri" w:cs="Calibri"/>
          <w:sz w:val="24"/>
          <w:szCs w:val="24"/>
        </w:rPr>
        <w:lastRenderedPageBreak/>
        <w:t>References</w:t>
      </w:r>
    </w:p>
    <w:p w14:paraId="1BC0F7B9" w14:textId="37E58F33" w:rsidR="00F260FB" w:rsidRPr="00397418" w:rsidRDefault="00F260FB" w:rsidP="006F76DA">
      <w:pPr>
        <w:pStyle w:val="ListParagraph"/>
        <w:keepNext/>
        <w:keepLines/>
        <w:numPr>
          <w:ilvl w:val="0"/>
          <w:numId w:val="16"/>
        </w:numPr>
        <w:spacing w:after="240" w:line="240" w:lineRule="auto"/>
        <w:contextualSpacing w:val="0"/>
        <w:jc w:val="both"/>
        <w:rPr>
          <w:rFonts w:ascii="Calibri" w:hAnsi="Calibri" w:cs="Calibri"/>
        </w:rPr>
      </w:pPr>
      <w:r w:rsidRPr="00397418">
        <w:rPr>
          <w:rFonts w:ascii="Calibri" w:hAnsi="Calibri" w:cs="Calibri"/>
        </w:rPr>
        <w:t>LCD L35075 – Proton Beam Therapy (Medicare)</w:t>
      </w:r>
      <w:r w:rsidR="009C113B">
        <w:rPr>
          <w:rStyle w:val="FootnoteReference"/>
          <w:rFonts w:ascii="Calibri" w:hAnsi="Calibri" w:cs="Calibri"/>
        </w:rPr>
        <w:footnoteReference w:id="2"/>
      </w:r>
    </w:p>
    <w:p w14:paraId="54EC28A8" w14:textId="1F555F2E" w:rsidR="00F260FB" w:rsidRPr="00397418" w:rsidRDefault="00F260FB" w:rsidP="006F76DA">
      <w:pPr>
        <w:pStyle w:val="ListParagraph"/>
        <w:keepNext/>
        <w:keepLines/>
        <w:numPr>
          <w:ilvl w:val="0"/>
          <w:numId w:val="16"/>
        </w:numPr>
        <w:spacing w:after="240" w:line="240" w:lineRule="auto"/>
        <w:contextualSpacing w:val="0"/>
        <w:jc w:val="both"/>
        <w:rPr>
          <w:rFonts w:ascii="Calibri" w:hAnsi="Calibri" w:cs="Calibri"/>
        </w:rPr>
      </w:pPr>
      <w:r w:rsidRPr="00397418">
        <w:rPr>
          <w:rFonts w:ascii="Calibri" w:hAnsi="Calibri" w:cs="Calibri"/>
        </w:rPr>
        <w:t>ASTRO Model Policy for Proton Therapy (2023)</w:t>
      </w:r>
      <w:r w:rsidR="00D94108">
        <w:rPr>
          <w:rStyle w:val="FootnoteReference"/>
          <w:rFonts w:ascii="Calibri" w:hAnsi="Calibri" w:cs="Calibri"/>
        </w:rPr>
        <w:footnoteReference w:id="3"/>
      </w:r>
    </w:p>
    <w:p w14:paraId="02E09492" w14:textId="7301CA86" w:rsidR="00F260FB" w:rsidRPr="00397418" w:rsidRDefault="00F260FB" w:rsidP="006F76DA">
      <w:pPr>
        <w:pStyle w:val="ListParagraph"/>
        <w:keepNext/>
        <w:keepLines/>
        <w:numPr>
          <w:ilvl w:val="0"/>
          <w:numId w:val="16"/>
        </w:numPr>
        <w:spacing w:after="240" w:line="240" w:lineRule="auto"/>
        <w:contextualSpacing w:val="0"/>
        <w:jc w:val="both"/>
        <w:rPr>
          <w:rFonts w:ascii="Calibri" w:hAnsi="Calibri" w:cs="Calibri"/>
        </w:rPr>
      </w:pPr>
      <w:r w:rsidRPr="00397418">
        <w:rPr>
          <w:rFonts w:ascii="Calibri" w:hAnsi="Calibri" w:cs="Calibri"/>
        </w:rPr>
        <w:t>Massachusetts Cancer Registry – Incidence Data (201</w:t>
      </w:r>
      <w:r w:rsidR="00BE2F6B">
        <w:rPr>
          <w:rFonts w:ascii="Calibri" w:hAnsi="Calibri" w:cs="Calibri"/>
        </w:rPr>
        <w:t>7</w:t>
      </w:r>
      <w:r w:rsidRPr="00397418">
        <w:rPr>
          <w:rFonts w:ascii="Calibri" w:hAnsi="Calibri" w:cs="Calibri"/>
        </w:rPr>
        <w:t>–202</w:t>
      </w:r>
      <w:r w:rsidR="00C06525">
        <w:rPr>
          <w:rFonts w:ascii="Calibri" w:hAnsi="Calibri" w:cs="Calibri"/>
        </w:rPr>
        <w:t>1</w:t>
      </w:r>
      <w:r w:rsidRPr="00397418">
        <w:rPr>
          <w:rFonts w:ascii="Calibri" w:hAnsi="Calibri" w:cs="Calibri"/>
        </w:rPr>
        <w:t>)</w:t>
      </w:r>
      <w:r w:rsidR="00D75EF4">
        <w:rPr>
          <w:rStyle w:val="FootnoteReference"/>
          <w:rFonts w:ascii="Calibri" w:hAnsi="Calibri" w:cs="Calibri"/>
        </w:rPr>
        <w:footnoteReference w:id="4"/>
      </w:r>
    </w:p>
    <w:p w14:paraId="7CB048DA" w14:textId="7B8A5D47" w:rsidR="00F260FB" w:rsidRPr="00397418" w:rsidRDefault="00F260FB" w:rsidP="003608C1">
      <w:pPr>
        <w:pStyle w:val="ListParagraph"/>
        <w:keepNext/>
        <w:keepLines/>
        <w:numPr>
          <w:ilvl w:val="0"/>
          <w:numId w:val="16"/>
        </w:numPr>
        <w:spacing w:after="240" w:line="240" w:lineRule="auto"/>
        <w:contextualSpacing w:val="0"/>
        <w:jc w:val="both"/>
        <w:rPr>
          <w:rFonts w:ascii="Calibri" w:hAnsi="Calibri" w:cs="Calibri"/>
        </w:rPr>
      </w:pPr>
      <w:r w:rsidRPr="00397418">
        <w:rPr>
          <w:rFonts w:ascii="Calibri" w:hAnsi="Calibri" w:cs="Calibri"/>
        </w:rPr>
        <w:t>Dutch</w:t>
      </w:r>
      <w:r w:rsidR="00025DEF">
        <w:rPr>
          <w:rFonts w:ascii="Calibri" w:hAnsi="Calibri" w:cs="Calibri"/>
        </w:rPr>
        <w:t xml:space="preserve"> Model </w:t>
      </w:r>
      <w:r w:rsidR="006D792E">
        <w:rPr>
          <w:rFonts w:ascii="Calibri" w:hAnsi="Calibri" w:cs="Calibri"/>
        </w:rPr>
        <w:t>-</w:t>
      </w:r>
      <w:r w:rsidR="00025DEF">
        <w:rPr>
          <w:rFonts w:ascii="Calibri" w:hAnsi="Calibri" w:cs="Calibri"/>
        </w:rPr>
        <w:t xml:space="preserve"> Ho</w:t>
      </w:r>
      <w:r w:rsidR="006D792E">
        <w:rPr>
          <w:rFonts w:ascii="Calibri" w:hAnsi="Calibri" w:cs="Calibri"/>
        </w:rPr>
        <w:t>rizon Scanning Report</w:t>
      </w:r>
      <w:r w:rsidRPr="00397418">
        <w:rPr>
          <w:rFonts w:ascii="Calibri" w:hAnsi="Calibri" w:cs="Calibri"/>
        </w:rPr>
        <w:t xml:space="preserve"> "Proton Therapy Indications: Final Report and Policy Advice." 2009.</w:t>
      </w:r>
      <w:r w:rsidR="00A76461">
        <w:rPr>
          <w:rStyle w:val="FootnoteReference"/>
          <w:rFonts w:ascii="Calibri" w:hAnsi="Calibri" w:cs="Calibri"/>
        </w:rPr>
        <w:footnoteReference w:id="5"/>
      </w:r>
    </w:p>
    <w:p w14:paraId="11E7CCA9" w14:textId="1EE8F114" w:rsidR="00F260FB" w:rsidRPr="00397418" w:rsidRDefault="00F260FB" w:rsidP="003608C1">
      <w:pPr>
        <w:pStyle w:val="ListParagraph"/>
        <w:keepNext/>
        <w:keepLines/>
        <w:numPr>
          <w:ilvl w:val="0"/>
          <w:numId w:val="16"/>
        </w:numPr>
        <w:spacing w:after="240" w:line="240" w:lineRule="auto"/>
        <w:contextualSpacing w:val="0"/>
        <w:jc w:val="both"/>
        <w:rPr>
          <w:rFonts w:ascii="Calibri" w:hAnsi="Calibri" w:cs="Calibri"/>
        </w:rPr>
      </w:pPr>
      <w:r w:rsidRPr="00397418">
        <w:rPr>
          <w:rFonts w:ascii="Calibri" w:hAnsi="Calibri" w:cs="Calibri"/>
        </w:rPr>
        <w:t>Dutch Expert Panel. "Model-based Clinical Indication for Proton Therapy - Update Report." 2016.</w:t>
      </w:r>
      <w:r w:rsidR="00A76461">
        <w:rPr>
          <w:rStyle w:val="FootnoteReference"/>
          <w:rFonts w:ascii="Calibri" w:hAnsi="Calibri" w:cs="Calibri"/>
        </w:rPr>
        <w:footnoteReference w:id="6"/>
      </w:r>
    </w:p>
    <w:p w14:paraId="04A3245F" w14:textId="77777777" w:rsidR="00F260FB" w:rsidRPr="00397418" w:rsidRDefault="00F260FB" w:rsidP="003608C1">
      <w:pPr>
        <w:pStyle w:val="Heading2"/>
        <w:spacing w:before="0" w:after="240" w:line="240" w:lineRule="auto"/>
        <w:jc w:val="both"/>
        <w:rPr>
          <w:rFonts w:ascii="Calibri" w:hAnsi="Calibri" w:cs="Calibri"/>
          <w:sz w:val="24"/>
          <w:szCs w:val="24"/>
        </w:rPr>
      </w:pPr>
      <w:r w:rsidRPr="00397418">
        <w:rPr>
          <w:rFonts w:ascii="Calibri" w:hAnsi="Calibri" w:cs="Calibri"/>
          <w:sz w:val="24"/>
          <w:szCs w:val="24"/>
        </w:rPr>
        <w:t>Appendix: Dutch Model-Based Eligibility Forecast</w:t>
      </w:r>
    </w:p>
    <w:p w14:paraId="01B7141A" w14:textId="77777777" w:rsidR="00F260FB" w:rsidRPr="00397418" w:rsidRDefault="00F260FB" w:rsidP="003608C1">
      <w:pPr>
        <w:keepNext/>
        <w:keepLines/>
        <w:spacing w:after="240" w:line="240" w:lineRule="auto"/>
        <w:jc w:val="both"/>
        <w:rPr>
          <w:rFonts w:ascii="Calibri" w:eastAsia="Times New Roman" w:hAnsi="Calibri" w:cs="Calibri"/>
        </w:rPr>
      </w:pPr>
      <w:r w:rsidRPr="00397418">
        <w:rPr>
          <w:rFonts w:ascii="Calibri" w:eastAsia="Times New Roman" w:hAnsi="Calibri" w:cs="Calibri"/>
        </w:rPr>
        <w:t>The Dutch proton therapy planning model is a widely referenced benchmark for estimating the clinical appropriateness of proton therapy. Originally developed by the Dutch Health Council and refined in the 2016 Update Report, this model uses Normal Tissue Complication Probability (NTCP) calculations to identify patient subgroups who may benefit from proton therapy, even when the therapy is not routinely indicated.</w:t>
      </w:r>
    </w:p>
    <w:p w14:paraId="678AD6C6" w14:textId="77777777" w:rsidR="00F260FB" w:rsidRPr="00397418" w:rsidRDefault="00F260FB" w:rsidP="003608C1">
      <w:pPr>
        <w:keepNext/>
        <w:keepLines/>
        <w:spacing w:after="240" w:line="240" w:lineRule="auto"/>
        <w:jc w:val="both"/>
        <w:rPr>
          <w:rFonts w:ascii="Calibri" w:eastAsia="Times New Roman" w:hAnsi="Calibri" w:cs="Calibri"/>
        </w:rPr>
      </w:pPr>
      <w:r w:rsidRPr="00397418">
        <w:rPr>
          <w:rFonts w:ascii="Calibri" w:eastAsia="Times New Roman" w:hAnsi="Calibri" w:cs="Calibri"/>
        </w:rPr>
        <w:t>Key elements include:</w:t>
      </w:r>
    </w:p>
    <w:p w14:paraId="545E6603" w14:textId="77777777" w:rsidR="00F260FB" w:rsidRPr="00397418" w:rsidRDefault="00F260FB" w:rsidP="003608C1">
      <w:pPr>
        <w:keepNext/>
        <w:keepLines/>
        <w:numPr>
          <w:ilvl w:val="0"/>
          <w:numId w:val="14"/>
        </w:numPr>
        <w:spacing w:after="240" w:line="240" w:lineRule="auto"/>
        <w:jc w:val="both"/>
        <w:rPr>
          <w:rFonts w:ascii="Calibri" w:eastAsia="Times New Roman" w:hAnsi="Calibri" w:cs="Calibri"/>
        </w:rPr>
      </w:pPr>
      <w:r w:rsidRPr="00397418">
        <w:rPr>
          <w:rFonts w:ascii="Calibri" w:eastAsia="Times New Roman" w:hAnsi="Calibri" w:cs="Calibri"/>
          <w:b/>
          <w:bCs/>
        </w:rPr>
        <w:t>Model-based approach</w:t>
      </w:r>
      <w:r w:rsidRPr="00397418">
        <w:rPr>
          <w:rFonts w:ascii="Calibri" w:eastAsia="Times New Roman" w:hAnsi="Calibri" w:cs="Calibri"/>
        </w:rPr>
        <w:t>: Patients are selected based on NTCP modeling comparing protons to photons.</w:t>
      </w:r>
    </w:p>
    <w:p w14:paraId="447C6A24" w14:textId="77777777" w:rsidR="00F260FB" w:rsidRPr="00397418" w:rsidRDefault="00F260FB" w:rsidP="003608C1">
      <w:pPr>
        <w:keepNext/>
        <w:keepLines/>
        <w:numPr>
          <w:ilvl w:val="0"/>
          <w:numId w:val="14"/>
        </w:numPr>
        <w:spacing w:after="240" w:line="240" w:lineRule="auto"/>
        <w:jc w:val="both"/>
        <w:rPr>
          <w:rFonts w:ascii="Calibri" w:eastAsia="Times New Roman" w:hAnsi="Calibri" w:cs="Calibri"/>
        </w:rPr>
      </w:pPr>
      <w:r w:rsidRPr="00397418">
        <w:rPr>
          <w:rFonts w:ascii="Calibri" w:eastAsia="Times New Roman" w:hAnsi="Calibri" w:cs="Calibri"/>
          <w:b/>
          <w:bCs/>
        </w:rPr>
        <w:t>Group 2 equivalency</w:t>
      </w:r>
      <w:r w:rsidRPr="00397418">
        <w:rPr>
          <w:rFonts w:ascii="Calibri" w:eastAsia="Times New Roman" w:hAnsi="Calibri" w:cs="Calibri"/>
        </w:rPr>
        <w:t>: The “model-based indication” closely mirrors ASTRO’s Group 2 definition.</w:t>
      </w:r>
    </w:p>
    <w:p w14:paraId="7400B3E0" w14:textId="77777777" w:rsidR="00F260FB" w:rsidRPr="00397418" w:rsidRDefault="00F260FB" w:rsidP="003608C1">
      <w:pPr>
        <w:keepNext/>
        <w:keepLines/>
        <w:numPr>
          <w:ilvl w:val="0"/>
          <w:numId w:val="14"/>
        </w:numPr>
        <w:spacing w:after="240" w:line="240" w:lineRule="auto"/>
        <w:jc w:val="both"/>
        <w:rPr>
          <w:rFonts w:ascii="Calibri" w:eastAsia="Times New Roman" w:hAnsi="Calibri" w:cs="Calibri"/>
        </w:rPr>
      </w:pPr>
      <w:r w:rsidRPr="00397418">
        <w:rPr>
          <w:rFonts w:ascii="Calibri" w:eastAsia="Times New Roman" w:hAnsi="Calibri" w:cs="Calibri"/>
          <w:b/>
          <w:bCs/>
        </w:rPr>
        <w:t>Utilization estimates</w:t>
      </w:r>
      <w:r w:rsidRPr="00397418">
        <w:rPr>
          <w:rFonts w:ascii="Calibri" w:eastAsia="Times New Roman" w:hAnsi="Calibri" w:cs="Calibri"/>
        </w:rPr>
        <w:t>: In 2016, the Dutch model projected that 14% to 15% of all radiotherapy patients could be eligible for proton therapy under model-based criteria.</w:t>
      </w:r>
    </w:p>
    <w:p w14:paraId="5A019F8B" w14:textId="77777777" w:rsidR="00F260FB" w:rsidRPr="00397418" w:rsidRDefault="00F260FB" w:rsidP="003608C1">
      <w:pPr>
        <w:keepNext/>
        <w:keepLines/>
        <w:spacing w:after="240" w:line="240" w:lineRule="auto"/>
        <w:jc w:val="both"/>
        <w:rPr>
          <w:rFonts w:ascii="Calibri" w:eastAsia="Times New Roman" w:hAnsi="Calibri" w:cs="Calibri"/>
        </w:rPr>
      </w:pPr>
      <w:r w:rsidRPr="00397418">
        <w:rPr>
          <w:rFonts w:ascii="Calibri" w:eastAsia="Times New Roman" w:hAnsi="Calibri" w:cs="Calibri"/>
        </w:rPr>
        <w:t>Estimated eligibility percentages derived from the Dutch model are:</w:t>
      </w:r>
    </w:p>
    <w:p w14:paraId="0B528B6A"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Breast: 5%</w:t>
      </w:r>
    </w:p>
    <w:p w14:paraId="78BB14E8"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Prostate: 10%</w:t>
      </w:r>
    </w:p>
    <w:p w14:paraId="3C1DF959"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Lung: 15%</w:t>
      </w:r>
    </w:p>
    <w:p w14:paraId="64F3A8EA"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Head &amp; Neck: 25–70% depending on site</w:t>
      </w:r>
    </w:p>
    <w:p w14:paraId="72A41430"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Abdominal (e.g. pancreas, liver): 10–15%</w:t>
      </w:r>
    </w:p>
    <w:p w14:paraId="1BA766F5" w14:textId="77777777" w:rsidR="00F260FB" w:rsidRPr="00397418" w:rsidRDefault="00F260FB" w:rsidP="003608C1">
      <w:pPr>
        <w:keepNext/>
        <w:keepLines/>
        <w:numPr>
          <w:ilvl w:val="0"/>
          <w:numId w:val="15"/>
        </w:numPr>
        <w:spacing w:after="120" w:line="240" w:lineRule="auto"/>
        <w:rPr>
          <w:rFonts w:ascii="Calibri" w:eastAsia="Times New Roman" w:hAnsi="Calibri" w:cs="Calibri"/>
        </w:rPr>
      </w:pPr>
      <w:r w:rsidRPr="00397418">
        <w:rPr>
          <w:rFonts w:ascii="Calibri" w:eastAsia="Times New Roman" w:hAnsi="Calibri" w:cs="Calibri"/>
        </w:rPr>
        <w:t>Pelvic (e.g. rectum, bladder): 10–15%</w:t>
      </w:r>
    </w:p>
    <w:p w14:paraId="5BCA1A8A" w14:textId="77777777" w:rsidR="00FD347B" w:rsidRPr="00397418" w:rsidRDefault="00FD347B" w:rsidP="00FD347B">
      <w:pPr>
        <w:rPr>
          <w:rFonts w:ascii="Calibri" w:hAnsi="Calibri" w:cs="Calibri"/>
        </w:rPr>
      </w:pPr>
    </w:p>
    <w:p w14:paraId="23FF3989" w14:textId="77777777" w:rsidR="00DA1956" w:rsidRPr="00397418" w:rsidRDefault="00DA1956" w:rsidP="00DA1956">
      <w:pPr>
        <w:pStyle w:val="Heading2"/>
        <w:rPr>
          <w:rFonts w:ascii="Calibri" w:hAnsi="Calibri" w:cs="Calibri"/>
          <w:b/>
          <w:bCs/>
          <w:color w:val="215E99" w:themeColor="text2" w:themeTint="BF"/>
          <w:sz w:val="24"/>
          <w:szCs w:val="24"/>
        </w:rPr>
      </w:pPr>
      <w:r w:rsidRPr="00397418">
        <w:rPr>
          <w:rFonts w:ascii="Calibri" w:hAnsi="Calibri" w:cs="Calibri"/>
          <w:b/>
          <w:bCs/>
          <w:color w:val="215E99" w:themeColor="text2" w:themeTint="BF"/>
          <w:sz w:val="24"/>
          <w:szCs w:val="24"/>
        </w:rPr>
        <w:lastRenderedPageBreak/>
        <w:t>QUESTION</w:t>
      </w:r>
    </w:p>
    <w:p w14:paraId="126C6DD4" w14:textId="77777777" w:rsidR="00DA1956" w:rsidRPr="00397418" w:rsidRDefault="00DA1956" w:rsidP="003608C1">
      <w:pPr>
        <w:pStyle w:val="ListParagraph"/>
        <w:numPr>
          <w:ilvl w:val="0"/>
          <w:numId w:val="17"/>
        </w:numPr>
        <w:spacing w:after="240" w:line="240" w:lineRule="auto"/>
        <w:contextualSpacing w:val="0"/>
        <w:jc w:val="both"/>
        <w:rPr>
          <w:rFonts w:ascii="Calibri" w:hAnsi="Calibri" w:cs="Calibri"/>
        </w:rPr>
      </w:pPr>
      <w:r w:rsidRPr="00397418">
        <w:rPr>
          <w:rFonts w:ascii="Calibri" w:hAnsi="Calibri" w:cs="Calibri"/>
          <w:b/>
          <w:bCs/>
        </w:rPr>
        <w:t>Exhibit F and page 13 -</w:t>
      </w:r>
      <w:r w:rsidRPr="00397418">
        <w:rPr>
          <w:rFonts w:ascii="Calibri" w:hAnsi="Calibri" w:cs="Calibri"/>
        </w:rPr>
        <w:t> please explain further where the estimation that 15% of Radiation Therapy patients was derived from. Is that from the ACS or from UMMMC. Has it been peer reviewed, and has the model been tested in any region? Similarly, how was the 37% future increase derived.</w:t>
      </w:r>
    </w:p>
    <w:p w14:paraId="75FDF1AE" w14:textId="7D4BD3A4" w:rsidR="00DA1956" w:rsidRPr="00397418" w:rsidRDefault="00DA1956" w:rsidP="003608C1">
      <w:pPr>
        <w:pStyle w:val="ListParagraph"/>
        <w:spacing w:after="240" w:line="240" w:lineRule="auto"/>
        <w:ind w:hanging="720"/>
        <w:contextualSpacing w:val="0"/>
        <w:rPr>
          <w:rFonts w:ascii="Calibri" w:hAnsi="Calibri" w:cs="Calibri"/>
        </w:rPr>
      </w:pPr>
      <w:r w:rsidRPr="00397418">
        <w:rPr>
          <w:rFonts w:ascii="Calibri" w:hAnsi="Calibri" w:cs="Calibri"/>
          <w:b/>
          <w:bCs/>
          <w:color w:val="215E99" w:themeColor="text2" w:themeTint="BF"/>
        </w:rPr>
        <w:t>RESPONSE</w:t>
      </w:r>
    </w:p>
    <w:p w14:paraId="2A2D9B78" w14:textId="77777777" w:rsidR="00DA1956" w:rsidRPr="00397418" w:rsidRDefault="00DA1956" w:rsidP="003608C1">
      <w:pPr>
        <w:spacing w:after="240" w:line="240" w:lineRule="auto"/>
        <w:rPr>
          <w:rFonts w:ascii="Calibri" w:hAnsi="Calibri" w:cs="Calibri"/>
          <w:color w:val="156082" w:themeColor="accent1"/>
        </w:rPr>
      </w:pPr>
      <w:r w:rsidRPr="00397418">
        <w:rPr>
          <w:rFonts w:ascii="Calibri" w:hAnsi="Calibri" w:cs="Calibri"/>
          <w:color w:val="156082" w:themeColor="accent1"/>
        </w:rPr>
        <w:t>Calculation of 15%</w:t>
      </w:r>
    </w:p>
    <w:p w14:paraId="32B21CCB" w14:textId="77777777" w:rsidR="00DA1956" w:rsidRPr="00397418" w:rsidRDefault="00DA1956" w:rsidP="003608C1">
      <w:pPr>
        <w:spacing w:after="240" w:line="240" w:lineRule="auto"/>
        <w:jc w:val="both"/>
        <w:rPr>
          <w:rFonts w:ascii="Calibri" w:hAnsi="Calibri" w:cs="Calibri"/>
        </w:rPr>
      </w:pPr>
      <w:r w:rsidRPr="00397418">
        <w:rPr>
          <w:rFonts w:ascii="Calibri" w:hAnsi="Calibri" w:cs="Calibri"/>
        </w:rPr>
        <w:t xml:space="preserve">UMMH relied on two different, publicly available data sources to calculate the total estimated number of proton patients that would benefit from Proton Therapy (PT) both from a statewide and UMMH total service area perspective. </w:t>
      </w:r>
    </w:p>
    <w:p w14:paraId="7607552F" w14:textId="77777777" w:rsidR="00DA1956" w:rsidRPr="00397418" w:rsidRDefault="00DA1956" w:rsidP="003608C1">
      <w:pPr>
        <w:spacing w:after="240" w:line="240" w:lineRule="auto"/>
        <w:jc w:val="both"/>
        <w:rPr>
          <w:rFonts w:ascii="Calibri" w:hAnsi="Calibri" w:cs="Calibri"/>
        </w:rPr>
      </w:pPr>
      <w:r w:rsidRPr="00397418">
        <w:rPr>
          <w:rFonts w:ascii="Calibri" w:hAnsi="Calibri" w:cs="Calibri"/>
        </w:rPr>
        <w:t xml:space="preserve">UMMH first used American Cancer Society (ACS) data to estimate the total number of new cancer patients per year by tumor type based on statewide and UMMH total service area data derived from population estimates produced by the UMass Donahue Institute. </w:t>
      </w:r>
    </w:p>
    <w:p w14:paraId="125BEA2F" w14:textId="1B8C1B28" w:rsidR="00DA1956" w:rsidRPr="00397418" w:rsidRDefault="00DA1956" w:rsidP="003608C1">
      <w:pPr>
        <w:spacing w:after="240" w:line="240" w:lineRule="auto"/>
        <w:jc w:val="both"/>
        <w:rPr>
          <w:rFonts w:ascii="Calibri" w:hAnsi="Calibri" w:cs="Calibri"/>
        </w:rPr>
      </w:pPr>
      <w:r w:rsidRPr="00397418">
        <w:rPr>
          <w:rFonts w:ascii="Calibri" w:hAnsi="Calibri" w:cs="Calibri"/>
        </w:rPr>
        <w:t xml:space="preserve">Once the total number of new cancer patients by tumor type was estimated, UMMH referenced a </w:t>
      </w:r>
      <w:r w:rsidR="00DC1566">
        <w:rPr>
          <w:rFonts w:ascii="Calibri" w:hAnsi="Calibri" w:cs="Calibri"/>
        </w:rPr>
        <w:t xml:space="preserve">Dutch Model - Horizon </w:t>
      </w:r>
      <w:r w:rsidRPr="00397418">
        <w:rPr>
          <w:rFonts w:ascii="Calibri" w:hAnsi="Calibri" w:cs="Calibri"/>
        </w:rPr>
        <w:t>Scanning Report</w:t>
      </w:r>
      <w:r w:rsidRPr="00397418">
        <w:rPr>
          <w:rStyle w:val="FootnoteReference"/>
          <w:rFonts w:ascii="Calibri" w:hAnsi="Calibri" w:cs="Calibri"/>
        </w:rPr>
        <w:footnoteReference w:id="7"/>
      </w:r>
      <w:r w:rsidRPr="00397418">
        <w:rPr>
          <w:rFonts w:ascii="Calibri" w:hAnsi="Calibri" w:cs="Calibri"/>
        </w:rPr>
        <w:t xml:space="preserve"> </w:t>
      </w:r>
      <w:r w:rsidR="0058480C">
        <w:rPr>
          <w:rFonts w:ascii="Calibri" w:hAnsi="Calibri" w:cs="Calibri"/>
        </w:rPr>
        <w:t xml:space="preserve">(Horizon Report) </w:t>
      </w:r>
      <w:r w:rsidRPr="00397418">
        <w:rPr>
          <w:rFonts w:ascii="Calibri" w:hAnsi="Calibri" w:cs="Calibri"/>
        </w:rPr>
        <w:t xml:space="preserve">to calculate the estimated total number of radiation and proton therapy patients from the identified total number of new cancer patients per year. Please note, the Horizon </w:t>
      </w:r>
      <w:r w:rsidR="0058480C">
        <w:rPr>
          <w:rFonts w:ascii="Calibri" w:hAnsi="Calibri" w:cs="Calibri"/>
        </w:rPr>
        <w:t>R</w:t>
      </w:r>
      <w:r w:rsidRPr="00397418">
        <w:rPr>
          <w:rFonts w:ascii="Calibri" w:hAnsi="Calibri" w:cs="Calibri"/>
        </w:rPr>
        <w:t>eport defines its estimated percentage of patients by tumor site as cancer patients “for whom proton therapy may be indicated with the aim to reduce the risk of side effect,” as illustrated in table 6.4 of the report.</w:t>
      </w:r>
    </w:p>
    <w:p w14:paraId="6B33B529" w14:textId="0B04F668" w:rsidR="00DA1956" w:rsidRPr="00397418" w:rsidRDefault="00DA1956" w:rsidP="003608C1">
      <w:pPr>
        <w:spacing w:after="240" w:line="240" w:lineRule="auto"/>
        <w:jc w:val="both"/>
        <w:rPr>
          <w:rFonts w:ascii="Calibri" w:hAnsi="Calibri" w:cs="Calibri"/>
        </w:rPr>
      </w:pPr>
      <w:r w:rsidRPr="00397418">
        <w:rPr>
          <w:rFonts w:ascii="Calibri" w:hAnsi="Calibri" w:cs="Calibri"/>
        </w:rPr>
        <w:t xml:space="preserve">Based on the percentages of proton therapy by tumor type, in conjunction with ACS estimated new cancer rates, UMMH was able to determine that </w:t>
      </w:r>
      <w:r w:rsidR="00F458AD" w:rsidRPr="00397418">
        <w:rPr>
          <w:rFonts w:ascii="Calibri" w:hAnsi="Calibri" w:cs="Calibri"/>
        </w:rPr>
        <w:t>743</w:t>
      </w:r>
      <w:r w:rsidR="00B22A3F" w:rsidRPr="00397418">
        <w:rPr>
          <w:rFonts w:ascii="Calibri" w:hAnsi="Calibri" w:cs="Calibri"/>
        </w:rPr>
        <w:t xml:space="preserve"> </w:t>
      </w:r>
      <w:r w:rsidRPr="00397418">
        <w:rPr>
          <w:rFonts w:ascii="Calibri" w:hAnsi="Calibri" w:cs="Calibri"/>
        </w:rPr>
        <w:t xml:space="preserve">patients </w:t>
      </w:r>
      <w:r w:rsidR="00B144A8" w:rsidRPr="00397418">
        <w:rPr>
          <w:rFonts w:ascii="Calibri" w:hAnsi="Calibri" w:cs="Calibri"/>
        </w:rPr>
        <w:t xml:space="preserve">residing </w:t>
      </w:r>
      <w:r w:rsidR="00F458AD" w:rsidRPr="00397418">
        <w:rPr>
          <w:rFonts w:ascii="Calibri" w:hAnsi="Calibri" w:cs="Calibri"/>
        </w:rPr>
        <w:t>in</w:t>
      </w:r>
      <w:r w:rsidRPr="00397418">
        <w:rPr>
          <w:rFonts w:ascii="Calibri" w:hAnsi="Calibri" w:cs="Calibri"/>
        </w:rPr>
        <w:t xml:space="preserve"> </w:t>
      </w:r>
      <w:r w:rsidR="00B22A3F" w:rsidRPr="00397418">
        <w:rPr>
          <w:rFonts w:ascii="Calibri" w:hAnsi="Calibri" w:cs="Calibri"/>
        </w:rPr>
        <w:t xml:space="preserve">UMMH’s </w:t>
      </w:r>
      <w:r w:rsidR="00B144A8" w:rsidRPr="00397418">
        <w:rPr>
          <w:rFonts w:ascii="Calibri" w:hAnsi="Calibri" w:cs="Calibri"/>
        </w:rPr>
        <w:t>T</w:t>
      </w:r>
      <w:r w:rsidRPr="00397418">
        <w:rPr>
          <w:rFonts w:ascii="Calibri" w:hAnsi="Calibri" w:cs="Calibri"/>
        </w:rPr>
        <w:t>otal</w:t>
      </w:r>
      <w:r w:rsidR="00B144A8" w:rsidRPr="00397418">
        <w:rPr>
          <w:rFonts w:ascii="Calibri" w:hAnsi="Calibri" w:cs="Calibri"/>
        </w:rPr>
        <w:t xml:space="preserve"> Service Area (TSA)</w:t>
      </w:r>
      <w:r w:rsidR="002C1081" w:rsidRPr="00397418">
        <w:rPr>
          <w:rFonts w:ascii="Calibri" w:hAnsi="Calibri" w:cs="Calibri"/>
        </w:rPr>
        <w:t xml:space="preserve"> or 15% of new cancer patients receiving</w:t>
      </w:r>
      <w:r w:rsidRPr="00397418">
        <w:rPr>
          <w:rFonts w:ascii="Calibri" w:hAnsi="Calibri" w:cs="Calibri"/>
        </w:rPr>
        <w:t xml:space="preserve"> radiation therapy. Please refer to Exhibit F Page 5 of the DoN </w:t>
      </w:r>
      <w:r w:rsidR="4808700D" w:rsidRPr="00397418">
        <w:rPr>
          <w:rFonts w:ascii="Calibri" w:hAnsi="Calibri" w:cs="Calibri"/>
        </w:rPr>
        <w:t>A</w:t>
      </w:r>
      <w:r w:rsidRPr="00397418">
        <w:rPr>
          <w:rFonts w:ascii="Calibri" w:hAnsi="Calibri" w:cs="Calibri"/>
        </w:rPr>
        <w:t xml:space="preserve">pplication which provides the details used in the calculations. </w:t>
      </w:r>
    </w:p>
    <w:p w14:paraId="39B9C68E" w14:textId="77777777" w:rsidR="00DA1956" w:rsidRPr="00397418" w:rsidRDefault="00DA1956" w:rsidP="003608C1">
      <w:pPr>
        <w:spacing w:after="240" w:line="240" w:lineRule="auto"/>
        <w:jc w:val="both"/>
        <w:rPr>
          <w:rFonts w:ascii="Calibri" w:hAnsi="Calibri" w:cs="Calibri"/>
          <w:color w:val="156082" w:themeColor="accent1"/>
        </w:rPr>
      </w:pPr>
      <w:r w:rsidRPr="00397418">
        <w:rPr>
          <w:rFonts w:ascii="Calibri" w:hAnsi="Calibri" w:cs="Calibri"/>
          <w:color w:val="156082" w:themeColor="accent1"/>
        </w:rPr>
        <w:lastRenderedPageBreak/>
        <w:t xml:space="preserve">Peer Review </w:t>
      </w:r>
    </w:p>
    <w:p w14:paraId="2702F55A" w14:textId="77777777" w:rsidR="00DA1956" w:rsidRPr="00397418" w:rsidRDefault="00DA1956" w:rsidP="003608C1">
      <w:pPr>
        <w:spacing w:after="240" w:line="240" w:lineRule="auto"/>
        <w:jc w:val="both"/>
        <w:rPr>
          <w:rFonts w:ascii="Calibri" w:hAnsi="Calibri" w:cs="Calibri"/>
        </w:rPr>
      </w:pPr>
      <w:r w:rsidRPr="00397418">
        <w:rPr>
          <w:rFonts w:ascii="Calibri" w:hAnsi="Calibri" w:cs="Calibri"/>
        </w:rPr>
        <w:t xml:space="preserve">The estimate that 15% of total radiation therapy patients would clinically benefit from proton therapy has been peer reviewed. </w:t>
      </w:r>
    </w:p>
    <w:p w14:paraId="378B4747" w14:textId="77777777" w:rsidR="00DA1956" w:rsidRPr="00397418" w:rsidRDefault="00DA1956" w:rsidP="003608C1">
      <w:pPr>
        <w:spacing w:after="240" w:line="240" w:lineRule="auto"/>
        <w:jc w:val="both"/>
        <w:rPr>
          <w:rFonts w:ascii="Calibri" w:hAnsi="Calibri" w:cs="Calibri"/>
        </w:rPr>
      </w:pPr>
      <w:r w:rsidRPr="00397418">
        <w:rPr>
          <w:rFonts w:ascii="Calibri" w:hAnsi="Calibri" w:cs="Calibri"/>
        </w:rPr>
        <w:t>A historical study conducted in Sweden</w:t>
      </w:r>
      <w:r w:rsidRPr="00397418">
        <w:rPr>
          <w:rStyle w:val="FootnoteReference"/>
          <w:rFonts w:ascii="Calibri" w:hAnsi="Calibri" w:cs="Calibri"/>
        </w:rPr>
        <w:footnoteReference w:id="8"/>
      </w:r>
      <w:r w:rsidRPr="00397418">
        <w:rPr>
          <w:rFonts w:ascii="Calibri" w:hAnsi="Calibri" w:cs="Calibri"/>
        </w:rPr>
        <w:t xml:space="preserve"> (Glimelius, et al., Acta Oncologica, 2005) found that approximately 14–15% of all radiation therapy patients annually would experience significant clinical gain from proton therapy based on tumor incidence, radiation utilization, and dose-response relations. The publication, </w:t>
      </w:r>
      <w:r w:rsidRPr="00397418">
        <w:rPr>
          <w:rFonts w:ascii="Calibri" w:hAnsi="Calibri" w:cs="Calibri"/>
          <w:i/>
          <w:iCs/>
        </w:rPr>
        <w:t>Acta Oncologica,</w:t>
      </w:r>
      <w:r w:rsidRPr="00397418">
        <w:rPr>
          <w:rFonts w:ascii="Calibri" w:hAnsi="Calibri" w:cs="Calibri"/>
        </w:rPr>
        <w:t xml:space="preserve"> is a peer-reviewed academic journal that leverages systematic literature reviews and expert panel consensus. This report was cited by Danbury Proton in its approved Certification of Need </w:t>
      </w:r>
      <w:r w:rsidRPr="00397418">
        <w:rPr>
          <w:rStyle w:val="FootnoteReference"/>
          <w:rFonts w:ascii="Calibri" w:hAnsi="Calibri" w:cs="Calibri"/>
        </w:rPr>
        <w:footnoteReference w:id="9"/>
      </w:r>
      <w:r w:rsidRPr="00397418">
        <w:rPr>
          <w:rFonts w:ascii="Calibri" w:hAnsi="Calibri" w:cs="Calibri"/>
        </w:rPr>
        <w:t xml:space="preserve"> application to the State of Connecticut’s Office of Health Strategy, demonstrating that other health care providers are using the 15% of total radiation therapy patients estimate in their calculations to identify patient need.</w:t>
      </w:r>
    </w:p>
    <w:p w14:paraId="753A3081" w14:textId="77777777" w:rsidR="00DA1956" w:rsidRPr="00397418" w:rsidRDefault="00DA1956" w:rsidP="003608C1">
      <w:pPr>
        <w:spacing w:after="120" w:line="240" w:lineRule="auto"/>
        <w:jc w:val="both"/>
        <w:rPr>
          <w:rFonts w:ascii="Calibri" w:eastAsia="Times New Roman" w:hAnsi="Calibri" w:cs="Calibri"/>
        </w:rPr>
      </w:pPr>
      <w:r w:rsidRPr="00397418">
        <w:rPr>
          <w:rFonts w:ascii="Calibri" w:eastAsia="Times New Roman" w:hAnsi="Calibri" w:cs="Calibri"/>
        </w:rPr>
        <w:t xml:space="preserve">Another peer-reviewed and widely cited study, “Global democratisation of proton radiotherapy,” in </w:t>
      </w:r>
      <w:r w:rsidRPr="00397418">
        <w:rPr>
          <w:rFonts w:ascii="Calibri" w:eastAsia="Times New Roman" w:hAnsi="Calibri" w:cs="Calibri"/>
          <w:i/>
          <w:iCs/>
        </w:rPr>
        <w:t>The Lancet Oncology</w:t>
      </w:r>
      <w:r w:rsidRPr="00397418">
        <w:rPr>
          <w:rStyle w:val="FootnoteReference"/>
          <w:rFonts w:ascii="Calibri" w:eastAsia="Times New Roman" w:hAnsi="Calibri" w:cs="Calibri"/>
          <w:i/>
          <w:iCs/>
        </w:rPr>
        <w:footnoteReference w:id="10"/>
      </w:r>
      <w:r w:rsidRPr="00397418">
        <w:rPr>
          <w:rFonts w:ascii="Calibri" w:eastAsia="Times New Roman" w:hAnsi="Calibri" w:cs="Calibri"/>
        </w:rPr>
        <w:t xml:space="preserve"> concluded that conservative global estimates suggest proton therapy could benefit 15–50% of radiation therapy patients. </w:t>
      </w:r>
    </w:p>
    <w:p w14:paraId="5463AA2A" w14:textId="77777777" w:rsidR="00DA1956" w:rsidRPr="00397418" w:rsidRDefault="00DA1956" w:rsidP="003608C1">
      <w:pPr>
        <w:spacing w:after="240" w:line="240" w:lineRule="auto"/>
        <w:jc w:val="both"/>
        <w:rPr>
          <w:rFonts w:ascii="Calibri" w:eastAsia="Times New Roman" w:hAnsi="Calibri" w:cs="Calibri"/>
        </w:rPr>
      </w:pPr>
      <w:r w:rsidRPr="00397418">
        <w:rPr>
          <w:rFonts w:ascii="Calibri" w:eastAsia="Times New Roman" w:hAnsi="Calibri" w:cs="Calibri"/>
        </w:rPr>
        <w:t xml:space="preserve">These are just two of many studies that suggest proton therapy would prove clinically beneficial for 15% of total radiation patients. </w:t>
      </w:r>
    </w:p>
    <w:p w14:paraId="0E83FD47" w14:textId="38706BC2" w:rsidR="00DA1956" w:rsidRPr="00397418" w:rsidRDefault="00DD7749" w:rsidP="003608C1">
      <w:pPr>
        <w:spacing w:after="240" w:line="240" w:lineRule="auto"/>
        <w:jc w:val="both"/>
        <w:rPr>
          <w:rFonts w:ascii="Calibri" w:eastAsia="Times New Roman" w:hAnsi="Calibri" w:cs="Calibri"/>
        </w:rPr>
      </w:pPr>
      <w:r>
        <w:rPr>
          <w:rFonts w:ascii="Calibri" w:eastAsia="Times New Roman" w:hAnsi="Calibri" w:cs="Calibri"/>
        </w:rPr>
        <w:t>Referenced</w:t>
      </w:r>
      <w:r w:rsidR="00DA1956" w:rsidRPr="00397418">
        <w:rPr>
          <w:rFonts w:ascii="Calibri" w:eastAsia="Times New Roman" w:hAnsi="Calibri" w:cs="Calibri"/>
        </w:rPr>
        <w:t xml:space="preserve"> Studies:</w:t>
      </w:r>
    </w:p>
    <w:p w14:paraId="78985578" w14:textId="46794185" w:rsidR="00DA1956" w:rsidRPr="00397418" w:rsidRDefault="008A2561" w:rsidP="003608C1">
      <w:pPr>
        <w:numPr>
          <w:ilvl w:val="0"/>
          <w:numId w:val="18"/>
        </w:numPr>
        <w:spacing w:after="240" w:line="240" w:lineRule="auto"/>
        <w:jc w:val="both"/>
        <w:rPr>
          <w:rFonts w:ascii="Calibri" w:eastAsia="Times New Roman" w:hAnsi="Calibri" w:cs="Calibri"/>
        </w:rPr>
      </w:pPr>
      <w:r>
        <w:rPr>
          <w:rFonts w:ascii="Calibri" w:eastAsia="Times New Roman" w:hAnsi="Calibri" w:cs="Calibri"/>
          <w:b/>
          <w:bCs/>
        </w:rPr>
        <w:t>Dutch Model – Horizon Scanning Report</w:t>
      </w:r>
      <w:r w:rsidR="00DA1956" w:rsidRPr="00397418">
        <w:rPr>
          <w:rStyle w:val="FootnoteReference"/>
          <w:rFonts w:ascii="Calibri" w:eastAsia="Times New Roman" w:hAnsi="Calibri" w:cs="Calibri"/>
          <w:b/>
          <w:bCs/>
        </w:rPr>
        <w:footnoteReference w:id="11"/>
      </w:r>
      <w:r w:rsidR="00DA1956" w:rsidRPr="00397418">
        <w:rPr>
          <w:rFonts w:ascii="Calibri" w:eastAsia="Times New Roman" w:hAnsi="Calibri" w:cs="Calibri"/>
          <w:b/>
          <w:bCs/>
        </w:rPr>
        <w:t xml:space="preserve"> - </w:t>
      </w:r>
      <w:r w:rsidR="00DA1956" w:rsidRPr="00397418">
        <w:rPr>
          <w:rFonts w:ascii="Calibri" w:eastAsia="Times New Roman" w:hAnsi="Calibri" w:cs="Calibri"/>
          <w:i/>
          <w:iCs/>
        </w:rPr>
        <w:t>National report establishing proton therapy potential at around 15% of radiotherapy patients.</w:t>
      </w:r>
    </w:p>
    <w:p w14:paraId="0713E425" w14:textId="77777777" w:rsidR="00DA1956" w:rsidRPr="00397418" w:rsidRDefault="00DA1956" w:rsidP="003608C1">
      <w:pPr>
        <w:numPr>
          <w:ilvl w:val="0"/>
          <w:numId w:val="19"/>
        </w:numPr>
        <w:spacing w:after="240" w:line="240" w:lineRule="auto"/>
        <w:jc w:val="both"/>
        <w:rPr>
          <w:rFonts w:ascii="Calibri" w:eastAsia="Times New Roman" w:hAnsi="Calibri" w:cs="Calibri"/>
        </w:rPr>
      </w:pPr>
      <w:r w:rsidRPr="00397418">
        <w:rPr>
          <w:rFonts w:ascii="Calibri" w:eastAsia="Times New Roman" w:hAnsi="Calibri" w:cs="Calibri"/>
          <w:b/>
          <w:bCs/>
        </w:rPr>
        <w:t>Dutch NTCP Model</w:t>
      </w:r>
      <w:r w:rsidRPr="00397418">
        <w:rPr>
          <w:rStyle w:val="FootnoteReference"/>
          <w:rFonts w:ascii="Calibri" w:eastAsia="Times New Roman" w:hAnsi="Calibri" w:cs="Calibri"/>
          <w:b/>
          <w:bCs/>
        </w:rPr>
        <w:footnoteReference w:id="12"/>
      </w:r>
      <w:r w:rsidRPr="00397418">
        <w:rPr>
          <w:rFonts w:ascii="Calibri" w:eastAsia="Times New Roman" w:hAnsi="Calibri" w:cs="Calibri"/>
          <w:b/>
          <w:bCs/>
        </w:rPr>
        <w:t xml:space="preserve"> - </w:t>
      </w:r>
      <w:r w:rsidRPr="00397418">
        <w:rPr>
          <w:rFonts w:ascii="Calibri" w:eastAsia="Times New Roman" w:hAnsi="Calibri" w:cs="Calibri"/>
          <w:i/>
          <w:iCs/>
        </w:rPr>
        <w:t>An update on the capacity needed for proton therapy in the Netherlands, estimating around 14–15% of radiotherapy patients benefiting significantly based on model-based (NTCP) criteria.</w:t>
      </w:r>
    </w:p>
    <w:p w14:paraId="2124032F" w14:textId="77777777" w:rsidR="00DA1956" w:rsidRPr="00397418" w:rsidRDefault="00DA1956" w:rsidP="003608C1">
      <w:pPr>
        <w:numPr>
          <w:ilvl w:val="0"/>
          <w:numId w:val="20"/>
        </w:numPr>
        <w:spacing w:after="240" w:line="240" w:lineRule="auto"/>
        <w:jc w:val="both"/>
        <w:rPr>
          <w:rFonts w:ascii="Calibri" w:eastAsia="Times New Roman" w:hAnsi="Calibri" w:cs="Calibri"/>
        </w:rPr>
      </w:pPr>
      <w:r w:rsidRPr="00397418">
        <w:rPr>
          <w:rFonts w:ascii="Calibri" w:eastAsia="Times New Roman" w:hAnsi="Calibri" w:cs="Calibri"/>
          <w:b/>
          <w:bCs/>
        </w:rPr>
        <w:t>Italian Hadron Therapy Assessment</w:t>
      </w:r>
      <w:r w:rsidRPr="00397418">
        <w:rPr>
          <w:rStyle w:val="FootnoteReference"/>
          <w:rFonts w:ascii="Calibri" w:eastAsia="Times New Roman" w:hAnsi="Calibri" w:cs="Calibri"/>
          <w:b/>
          <w:bCs/>
        </w:rPr>
        <w:footnoteReference w:id="13"/>
      </w:r>
      <w:r w:rsidRPr="00397418">
        <w:rPr>
          <w:rFonts w:ascii="Calibri" w:eastAsia="Times New Roman" w:hAnsi="Calibri" w:cs="Calibri"/>
        </w:rPr>
        <w:t xml:space="preserve"> - </w:t>
      </w:r>
      <w:r w:rsidRPr="00397418">
        <w:rPr>
          <w:rFonts w:ascii="Calibri" w:eastAsia="Times New Roman" w:hAnsi="Calibri" w:cs="Calibri"/>
          <w:i/>
          <w:iCs/>
        </w:rPr>
        <w:t>identifies broad clinical indications consistent with around 15% patient need.</w:t>
      </w:r>
    </w:p>
    <w:p w14:paraId="7D9AEE33" w14:textId="77777777" w:rsidR="00DA1956" w:rsidRPr="00397418" w:rsidRDefault="00DA1956" w:rsidP="003608C1">
      <w:pPr>
        <w:numPr>
          <w:ilvl w:val="0"/>
          <w:numId w:val="21"/>
        </w:numPr>
        <w:spacing w:after="240" w:line="240" w:lineRule="auto"/>
        <w:jc w:val="both"/>
        <w:rPr>
          <w:rFonts w:ascii="Calibri" w:eastAsia="Times New Roman" w:hAnsi="Calibri" w:cs="Calibri"/>
        </w:rPr>
      </w:pPr>
      <w:r w:rsidRPr="00397418">
        <w:rPr>
          <w:rFonts w:ascii="Calibri" w:eastAsia="Times New Roman" w:hAnsi="Calibri" w:cs="Calibri"/>
          <w:b/>
          <w:bCs/>
        </w:rPr>
        <w:lastRenderedPageBreak/>
        <w:t>UK Expert Consensus</w:t>
      </w:r>
      <w:r w:rsidRPr="00397418">
        <w:rPr>
          <w:rStyle w:val="FootnoteReference"/>
          <w:rFonts w:ascii="Calibri" w:eastAsia="Times New Roman" w:hAnsi="Calibri" w:cs="Calibri"/>
          <w:b/>
          <w:bCs/>
        </w:rPr>
        <w:footnoteReference w:id="14"/>
      </w:r>
      <w:r w:rsidRPr="00397418">
        <w:rPr>
          <w:rFonts w:ascii="Calibri" w:eastAsia="Times New Roman" w:hAnsi="Calibri" w:cs="Calibri"/>
          <w:b/>
          <w:bCs/>
        </w:rPr>
        <w:t xml:space="preserve"> - </w:t>
      </w:r>
      <w:r w:rsidRPr="00397418">
        <w:rPr>
          <w:rFonts w:ascii="Calibri" w:eastAsia="Times New Roman" w:hAnsi="Calibri" w:cs="Calibri"/>
        </w:rPr>
        <w:t>A recent consensus indicating ~13% as a practical median, aligned closely with the 15% international standard.</w:t>
      </w:r>
    </w:p>
    <w:p w14:paraId="3E358048" w14:textId="59803824" w:rsidR="00836645" w:rsidRPr="00847BCF" w:rsidRDefault="00DA1956" w:rsidP="00847BCF">
      <w:pPr>
        <w:numPr>
          <w:ilvl w:val="0"/>
          <w:numId w:val="22"/>
        </w:numPr>
        <w:spacing w:after="240" w:line="240" w:lineRule="auto"/>
        <w:jc w:val="both"/>
        <w:rPr>
          <w:rFonts w:ascii="Calibri" w:eastAsia="Times New Roman" w:hAnsi="Calibri" w:cs="Calibri"/>
        </w:rPr>
      </w:pPr>
      <w:r w:rsidRPr="00397418">
        <w:rPr>
          <w:rFonts w:ascii="Calibri" w:eastAsia="Times New Roman" w:hAnsi="Calibri" w:cs="Calibri"/>
          <w:b/>
          <w:bCs/>
        </w:rPr>
        <w:t>Australian Consensus</w:t>
      </w:r>
      <w:r w:rsidRPr="00397418">
        <w:rPr>
          <w:rStyle w:val="FootnoteReference"/>
          <w:rFonts w:ascii="Calibri" w:eastAsia="Times New Roman" w:hAnsi="Calibri" w:cs="Calibri"/>
          <w:b/>
          <w:bCs/>
        </w:rPr>
        <w:footnoteReference w:id="15"/>
      </w:r>
      <w:r w:rsidRPr="00397418">
        <w:rPr>
          <w:rFonts w:ascii="Calibri" w:eastAsia="Times New Roman" w:hAnsi="Calibri" w:cs="Calibri"/>
          <w:b/>
          <w:bCs/>
        </w:rPr>
        <w:t xml:space="preserve"> -  </w:t>
      </w:r>
      <w:r w:rsidRPr="00397418">
        <w:rPr>
          <w:rFonts w:ascii="Calibri" w:eastAsia="Times New Roman" w:hAnsi="Calibri" w:cs="Calibri"/>
          <w:i/>
          <w:iCs/>
        </w:rPr>
        <w:t>Australian guidelines estimating the practical use at around 5–15%.</w:t>
      </w:r>
    </w:p>
    <w:p w14:paraId="1AC3941B" w14:textId="26D46BBA" w:rsidR="00DA1956" w:rsidRPr="00397418" w:rsidRDefault="00DA1956" w:rsidP="003608C1">
      <w:pPr>
        <w:spacing w:after="240" w:line="240" w:lineRule="auto"/>
        <w:jc w:val="both"/>
        <w:rPr>
          <w:rFonts w:ascii="Calibri" w:hAnsi="Calibri" w:cs="Calibri"/>
          <w:color w:val="156082" w:themeColor="accent1"/>
        </w:rPr>
      </w:pPr>
      <w:r w:rsidRPr="00397418">
        <w:rPr>
          <w:rFonts w:ascii="Calibri" w:eastAsia="Times New Roman" w:hAnsi="Calibri" w:cs="Calibri"/>
          <w:color w:val="156082" w:themeColor="accent1"/>
        </w:rPr>
        <w:t>Regional Testing</w:t>
      </w:r>
    </w:p>
    <w:p w14:paraId="4C429856" w14:textId="7E6F3BA6" w:rsidR="00DA1956" w:rsidRPr="003608C1" w:rsidRDefault="00DA1956" w:rsidP="003608C1">
      <w:pPr>
        <w:spacing w:after="240" w:line="240" w:lineRule="auto"/>
        <w:jc w:val="both"/>
        <w:rPr>
          <w:rFonts w:ascii="Calibri" w:hAnsi="Calibri" w:cs="Calibri"/>
        </w:rPr>
      </w:pPr>
      <w:r w:rsidRPr="00397418">
        <w:rPr>
          <w:rFonts w:ascii="Calibri" w:hAnsi="Calibri" w:cs="Calibri"/>
        </w:rPr>
        <w:t xml:space="preserve">The Dutch model, which includes use of the Horizon Scanning Report, has been explicitly tested and implemented in the Netherlands, where patient selection for proton therapy is based on individual Normal Tissue Complication Probability (NTCP) Modeling. This approach has been practically implemented and continues to guide clinical selection, demonstrating its effectiveness and reliability in clinical decision-making and resource allocation for proton therapy. </w:t>
      </w:r>
    </w:p>
    <w:p w14:paraId="40013D33" w14:textId="41307772" w:rsidR="00DA1956" w:rsidRPr="00397418" w:rsidRDefault="00DA1956" w:rsidP="003608C1">
      <w:pPr>
        <w:spacing w:after="240" w:line="240" w:lineRule="auto"/>
        <w:rPr>
          <w:rFonts w:ascii="Calibri" w:hAnsi="Calibri" w:cs="Calibri"/>
          <w:color w:val="156082" w:themeColor="accent1"/>
        </w:rPr>
      </w:pPr>
      <w:r w:rsidRPr="00397418">
        <w:rPr>
          <w:rFonts w:ascii="Calibri" w:hAnsi="Calibri" w:cs="Calibri"/>
          <w:color w:val="156082" w:themeColor="accent1"/>
        </w:rPr>
        <w:t>Indication of 37%</w:t>
      </w:r>
    </w:p>
    <w:p w14:paraId="00EC3801" w14:textId="5CD14908" w:rsidR="00F260FB" w:rsidRPr="00397418" w:rsidRDefault="00DA1956" w:rsidP="003608C1">
      <w:pPr>
        <w:spacing w:after="240" w:line="240" w:lineRule="auto"/>
        <w:rPr>
          <w:rFonts w:ascii="Calibri" w:hAnsi="Calibri" w:cs="Calibri"/>
        </w:rPr>
      </w:pPr>
      <w:r w:rsidRPr="00397418">
        <w:rPr>
          <w:rFonts w:ascii="Calibri" w:hAnsi="Calibri" w:cs="Calibri"/>
        </w:rPr>
        <w:t xml:space="preserve">The 37% growth in proton therapy volume is derived from the ACS anticipated growth rate of cancer, which on an annual basis over the next 10 years is expected to be 3.2% per year, and the probability that the percentage of both radiation and proton therapy patients would grow at a similar rate. Please refer to Exhibit F Page 5 of the DoN </w:t>
      </w:r>
      <w:r w:rsidR="00A520F7">
        <w:rPr>
          <w:rFonts w:ascii="Calibri" w:hAnsi="Calibri" w:cs="Calibri"/>
        </w:rPr>
        <w:t>A</w:t>
      </w:r>
      <w:r w:rsidRPr="00397418">
        <w:rPr>
          <w:rFonts w:ascii="Calibri" w:hAnsi="Calibri" w:cs="Calibri"/>
        </w:rPr>
        <w:t>pplication which provides estimates by tumor type for 2024, 2029, and 2034</w:t>
      </w:r>
      <w:r w:rsidR="00836645" w:rsidRPr="00397418">
        <w:rPr>
          <w:rFonts w:ascii="Calibri" w:hAnsi="Calibri" w:cs="Calibri"/>
        </w:rPr>
        <w:t>.</w:t>
      </w:r>
    </w:p>
    <w:p w14:paraId="116DB7CF" w14:textId="5C0376FB" w:rsidR="00836645" w:rsidRPr="00397418" w:rsidRDefault="00836645" w:rsidP="003608C1">
      <w:pPr>
        <w:pStyle w:val="Heading2"/>
        <w:spacing w:before="0" w:after="240" w:line="240" w:lineRule="auto"/>
        <w:jc w:val="both"/>
        <w:rPr>
          <w:rFonts w:ascii="Calibri" w:hAnsi="Calibri" w:cs="Calibri"/>
          <w:b/>
          <w:bCs/>
          <w:color w:val="215E99" w:themeColor="text2" w:themeTint="BF"/>
          <w:sz w:val="24"/>
          <w:szCs w:val="24"/>
        </w:rPr>
      </w:pPr>
      <w:r w:rsidRPr="00397418">
        <w:rPr>
          <w:rFonts w:ascii="Calibri" w:hAnsi="Calibri" w:cs="Calibri"/>
          <w:b/>
          <w:bCs/>
          <w:color w:val="215E99" w:themeColor="text2" w:themeTint="BF"/>
          <w:sz w:val="24"/>
          <w:szCs w:val="24"/>
        </w:rPr>
        <w:t>QUESTION</w:t>
      </w:r>
      <w:r w:rsidR="00997112">
        <w:rPr>
          <w:rFonts w:ascii="Calibri" w:hAnsi="Calibri" w:cs="Calibri"/>
          <w:b/>
          <w:bCs/>
          <w:color w:val="215E99" w:themeColor="text2" w:themeTint="BF"/>
          <w:sz w:val="24"/>
          <w:szCs w:val="24"/>
        </w:rPr>
        <w:t xml:space="preserve"> </w:t>
      </w:r>
    </w:p>
    <w:p w14:paraId="0380B8FC" w14:textId="77777777" w:rsidR="00836645" w:rsidRPr="00A520F7" w:rsidRDefault="00836645" w:rsidP="003608C1">
      <w:pPr>
        <w:numPr>
          <w:ilvl w:val="0"/>
          <w:numId w:val="23"/>
        </w:numPr>
        <w:spacing w:after="240" w:line="240" w:lineRule="auto"/>
        <w:jc w:val="both"/>
        <w:rPr>
          <w:rFonts w:ascii="Calibri" w:hAnsi="Calibri" w:cs="Calibri"/>
          <w:kern w:val="2"/>
          <w14:ligatures w14:val="standardContextual"/>
        </w:rPr>
      </w:pPr>
      <w:r w:rsidRPr="00A520F7">
        <w:rPr>
          <w:rFonts w:ascii="Calibri" w:hAnsi="Calibri" w:cs="Calibri"/>
          <w:b/>
          <w:bCs/>
          <w:kern w:val="2"/>
          <w14:ligatures w14:val="standardContextual"/>
        </w:rPr>
        <w:t xml:space="preserve">Exhibit G and page 14. </w:t>
      </w:r>
      <w:r w:rsidRPr="00A520F7">
        <w:rPr>
          <w:rFonts w:ascii="Calibri" w:hAnsi="Calibri" w:cs="Calibri"/>
          <w:kern w:val="2"/>
          <w14:ligatures w14:val="standardContextual"/>
        </w:rPr>
        <w:t xml:space="preserve">The estimates that 15% of </w:t>
      </w:r>
      <w:r w:rsidRPr="00A520F7">
        <w:rPr>
          <w:rFonts w:ascii="Calibri" w:hAnsi="Calibri" w:cs="Calibri"/>
          <w:kern w:val="2"/>
          <w:u w:val="single"/>
          <w14:ligatures w14:val="standardContextual"/>
        </w:rPr>
        <w:t>all</w:t>
      </w:r>
      <w:r w:rsidRPr="00A520F7">
        <w:rPr>
          <w:rFonts w:ascii="Calibri" w:hAnsi="Calibri" w:cs="Calibri"/>
          <w:kern w:val="2"/>
          <w14:ligatures w14:val="standardContextual"/>
        </w:rPr>
        <w:t> cancer patients would meet the clinical criteria for Proton Beam is not consistent with the previous models whereby 15 % of only Radiation Therapy patients would meet the criteria. Please explain.</w:t>
      </w:r>
    </w:p>
    <w:p w14:paraId="7E602DDA" w14:textId="77777777" w:rsidR="00836645" w:rsidRPr="00A520F7" w:rsidRDefault="00836645" w:rsidP="003608C1">
      <w:pPr>
        <w:keepNext/>
        <w:keepLines/>
        <w:spacing w:after="240" w:line="240" w:lineRule="auto"/>
        <w:jc w:val="both"/>
        <w:outlineLvl w:val="1"/>
        <w:rPr>
          <w:rFonts w:ascii="Calibri" w:eastAsiaTheme="majorEastAsia" w:hAnsi="Calibri" w:cs="Calibri"/>
          <w:b/>
          <w:bCs/>
          <w:color w:val="215E99" w:themeColor="text2" w:themeTint="BF"/>
          <w:kern w:val="2"/>
          <w14:ligatures w14:val="standardContextual"/>
        </w:rPr>
      </w:pPr>
      <w:r w:rsidRPr="00A520F7">
        <w:rPr>
          <w:rFonts w:ascii="Calibri" w:eastAsiaTheme="majorEastAsia" w:hAnsi="Calibri" w:cs="Calibri"/>
          <w:b/>
          <w:bCs/>
          <w:color w:val="215E99" w:themeColor="text2" w:themeTint="BF"/>
          <w:kern w:val="2"/>
          <w14:ligatures w14:val="standardContextual"/>
        </w:rPr>
        <w:t>RESPONSE</w:t>
      </w:r>
    </w:p>
    <w:p w14:paraId="105B8899" w14:textId="16A8CAD7" w:rsidR="00836645" w:rsidRPr="003608C1" w:rsidRDefault="00836645" w:rsidP="003608C1">
      <w:pPr>
        <w:spacing w:after="240" w:line="240" w:lineRule="auto"/>
        <w:jc w:val="both"/>
        <w:rPr>
          <w:rFonts w:ascii="Calibri" w:hAnsi="Calibri" w:cs="Calibri"/>
          <w:kern w:val="2"/>
          <w14:ligatures w14:val="standardContextual"/>
        </w:rPr>
      </w:pPr>
      <w:r w:rsidRPr="00A520F7">
        <w:rPr>
          <w:rFonts w:ascii="Calibri" w:hAnsi="Calibri" w:cs="Calibri"/>
          <w:kern w:val="2"/>
          <w14:ligatures w14:val="standardContextual"/>
        </w:rPr>
        <w:t xml:space="preserve">Upon reviewing the data presented in Exhibit G (page 14) of the DoN application, we have updated the second methodology to estimate the number of patients appropriate for proton therapy. The revised estimate assumes that 15% </w:t>
      </w:r>
      <w:r w:rsidR="00B22A3F" w:rsidRPr="00A520F7">
        <w:rPr>
          <w:rFonts w:ascii="Calibri" w:hAnsi="Calibri" w:cs="Calibri"/>
          <w:kern w:val="2"/>
          <w14:ligatures w14:val="standardContextual"/>
        </w:rPr>
        <w:t xml:space="preserve">(489) </w:t>
      </w:r>
      <w:r w:rsidRPr="00A520F7">
        <w:rPr>
          <w:rFonts w:ascii="Calibri" w:hAnsi="Calibri" w:cs="Calibri"/>
          <w:kern w:val="2"/>
          <w14:ligatures w14:val="standardContextual"/>
        </w:rPr>
        <w:t xml:space="preserve">of </w:t>
      </w:r>
      <w:r w:rsidR="00D12E23" w:rsidRPr="00A520F7">
        <w:rPr>
          <w:rFonts w:ascii="Calibri" w:hAnsi="Calibri" w:cs="Calibri"/>
          <w:kern w:val="2"/>
          <w14:ligatures w14:val="standardContextual"/>
        </w:rPr>
        <w:t>new cancer patients</w:t>
      </w:r>
      <w:r w:rsidR="00963AD8" w:rsidRPr="00A520F7">
        <w:rPr>
          <w:rFonts w:ascii="Calibri" w:hAnsi="Calibri" w:cs="Calibri"/>
          <w:kern w:val="2"/>
          <w14:ligatures w14:val="standardContextual"/>
        </w:rPr>
        <w:t xml:space="preserve"> residing in Worcester County </w:t>
      </w:r>
      <w:r w:rsidRPr="00A520F7">
        <w:rPr>
          <w:rFonts w:ascii="Calibri" w:hAnsi="Calibri" w:cs="Calibri"/>
          <w:kern w:val="2"/>
          <w14:ligatures w14:val="standardContextual"/>
        </w:rPr>
        <w:t xml:space="preserve">would be suitable candidates for proton </w:t>
      </w:r>
      <w:r w:rsidR="00475B5D" w:rsidRPr="00A520F7">
        <w:rPr>
          <w:rFonts w:ascii="Calibri" w:hAnsi="Calibri" w:cs="Calibri"/>
          <w:kern w:val="2"/>
          <w14:ligatures w14:val="standardContextual"/>
        </w:rPr>
        <w:t>therapy</w:t>
      </w:r>
      <w:r w:rsidRPr="00A520F7">
        <w:rPr>
          <w:rFonts w:ascii="Calibri" w:hAnsi="Calibri" w:cs="Calibri"/>
          <w:kern w:val="2"/>
          <w14:ligatures w14:val="standardContextual"/>
        </w:rPr>
        <w:t>.</w:t>
      </w:r>
    </w:p>
    <w:p w14:paraId="24407538" w14:textId="4360DA67" w:rsidR="00836645" w:rsidRPr="00A520F7" w:rsidRDefault="00836645" w:rsidP="003608C1">
      <w:pPr>
        <w:shd w:val="clear" w:color="auto" w:fill="FFFFFF"/>
        <w:spacing w:after="240" w:line="240" w:lineRule="auto"/>
        <w:jc w:val="both"/>
        <w:rPr>
          <w:rFonts w:ascii="Calibri" w:eastAsia="Times New Roman" w:hAnsi="Calibri" w:cs="Calibri"/>
        </w:rPr>
      </w:pPr>
      <w:r w:rsidRPr="00A520F7">
        <w:rPr>
          <w:rFonts w:ascii="Calibri" w:eastAsia="Times New Roman" w:hAnsi="Calibri" w:cs="Calibri"/>
        </w:rPr>
        <w:t>Th</w:t>
      </w:r>
      <w:r w:rsidR="00B22A3F" w:rsidRPr="00A520F7">
        <w:rPr>
          <w:rFonts w:ascii="Calibri" w:eastAsia="Times New Roman" w:hAnsi="Calibri" w:cs="Calibri"/>
        </w:rPr>
        <w:t>is</w:t>
      </w:r>
      <w:r w:rsidRPr="00A520F7">
        <w:rPr>
          <w:rFonts w:ascii="Calibri" w:eastAsia="Times New Roman" w:hAnsi="Calibri" w:cs="Calibri"/>
        </w:rPr>
        <w:t xml:space="preserve"> percentage produce</w:t>
      </w:r>
      <w:r w:rsidR="00B22A3F" w:rsidRPr="00A520F7">
        <w:rPr>
          <w:rFonts w:ascii="Calibri" w:eastAsia="Times New Roman" w:hAnsi="Calibri" w:cs="Calibri"/>
        </w:rPr>
        <w:t>s</w:t>
      </w:r>
      <w:r w:rsidRPr="00A520F7">
        <w:rPr>
          <w:rFonts w:ascii="Calibri" w:eastAsia="Times New Roman" w:hAnsi="Calibri" w:cs="Calibri"/>
        </w:rPr>
        <w:t xml:space="preserve"> patient population estimates that are consistent with data derived from the </w:t>
      </w:r>
      <w:r w:rsidR="00D27448" w:rsidRPr="00A520F7">
        <w:rPr>
          <w:rFonts w:ascii="Calibri" w:eastAsia="Times New Roman" w:hAnsi="Calibri" w:cs="Calibri"/>
        </w:rPr>
        <w:t xml:space="preserve">second </w:t>
      </w:r>
      <w:r w:rsidRPr="00A520F7">
        <w:rPr>
          <w:rFonts w:ascii="Calibri" w:eastAsia="Times New Roman" w:hAnsi="Calibri" w:cs="Calibri"/>
        </w:rPr>
        <w:t>methodology outlined in Exhibit F and page 13.</w:t>
      </w:r>
    </w:p>
    <w:p w14:paraId="57DDA1E2" w14:textId="133FD3B4" w:rsidR="00836645" w:rsidRPr="00A520F7" w:rsidRDefault="00836645" w:rsidP="003608C1">
      <w:pPr>
        <w:shd w:val="clear" w:color="auto" w:fill="FFFFFF"/>
        <w:spacing w:after="240" w:line="240" w:lineRule="auto"/>
        <w:jc w:val="both"/>
        <w:rPr>
          <w:rFonts w:ascii="Calibri" w:eastAsia="Times New Roman" w:hAnsi="Calibri" w:cs="Calibri"/>
        </w:rPr>
      </w:pPr>
      <w:r w:rsidRPr="00A520F7">
        <w:rPr>
          <w:rFonts w:ascii="Calibri" w:eastAsia="Times New Roman" w:hAnsi="Calibri" w:cs="Calibri"/>
        </w:rPr>
        <w:lastRenderedPageBreak/>
        <w:t xml:space="preserve">Below is an updated Exhibit G estimating both the number of </w:t>
      </w:r>
      <w:r w:rsidR="00475B5D" w:rsidRPr="00A520F7">
        <w:rPr>
          <w:rFonts w:ascii="Calibri" w:eastAsia="Times New Roman" w:hAnsi="Calibri" w:cs="Calibri"/>
        </w:rPr>
        <w:t xml:space="preserve">new </w:t>
      </w:r>
      <w:r w:rsidRPr="00A520F7">
        <w:rPr>
          <w:rFonts w:ascii="Calibri" w:eastAsia="Times New Roman" w:hAnsi="Calibri" w:cs="Calibri"/>
        </w:rPr>
        <w:t xml:space="preserve">cancer patients who would need some form of radiation therapy (RT) and the number of </w:t>
      </w:r>
      <w:r w:rsidR="004B6FD4" w:rsidRPr="00A520F7">
        <w:rPr>
          <w:rFonts w:ascii="Calibri" w:eastAsia="Times New Roman" w:hAnsi="Calibri" w:cs="Calibri"/>
        </w:rPr>
        <w:t xml:space="preserve">new </w:t>
      </w:r>
      <w:r w:rsidRPr="00A520F7">
        <w:rPr>
          <w:rFonts w:ascii="Calibri" w:eastAsia="Times New Roman" w:hAnsi="Calibri" w:cs="Calibri"/>
        </w:rPr>
        <w:t xml:space="preserve">cancer patients who would clinically benefit from proton therapy, using the same overall percentages as Exhibit F.  </w:t>
      </w:r>
    </w:p>
    <w:p w14:paraId="6C98524F" w14:textId="04D1D736" w:rsidR="00836645" w:rsidRPr="00A520F7" w:rsidRDefault="00836645" w:rsidP="003608C1">
      <w:pPr>
        <w:spacing w:after="240" w:line="240" w:lineRule="auto"/>
        <w:jc w:val="both"/>
        <w:rPr>
          <w:rFonts w:ascii="Calibri" w:eastAsia="Times New Roman" w:hAnsi="Calibri" w:cs="Calibri"/>
        </w:rPr>
      </w:pPr>
      <w:r w:rsidRPr="00A520F7">
        <w:rPr>
          <w:rFonts w:ascii="Calibri" w:eastAsia="Times New Roman" w:hAnsi="Calibri" w:cs="Calibri"/>
        </w:rPr>
        <w:t xml:space="preserve">The updated results suggest that the total statewide number of patients </w:t>
      </w:r>
      <w:r w:rsidR="004B6FD4" w:rsidRPr="00A520F7">
        <w:rPr>
          <w:rFonts w:ascii="Calibri" w:eastAsia="Times New Roman" w:hAnsi="Calibri" w:cs="Calibri"/>
        </w:rPr>
        <w:t>who would benefit fro</w:t>
      </w:r>
      <w:r w:rsidR="00E53585" w:rsidRPr="00A520F7">
        <w:rPr>
          <w:rFonts w:ascii="Calibri" w:eastAsia="Times New Roman" w:hAnsi="Calibri" w:cs="Calibri"/>
        </w:rPr>
        <w:t>m</w:t>
      </w:r>
      <w:r w:rsidRPr="00A520F7">
        <w:rPr>
          <w:rFonts w:ascii="Calibri" w:eastAsia="Times New Roman" w:hAnsi="Calibri" w:cs="Calibri"/>
        </w:rPr>
        <w:t xml:space="preserve"> proton therapy treatment is 3,877.  Within Worcester County, an estimated 489 patients </w:t>
      </w:r>
      <w:r w:rsidR="00D27448" w:rsidRPr="00A520F7">
        <w:rPr>
          <w:rFonts w:ascii="Calibri" w:eastAsia="Times New Roman" w:hAnsi="Calibri" w:cs="Calibri"/>
        </w:rPr>
        <w:t xml:space="preserve">would </w:t>
      </w:r>
      <w:r w:rsidR="00E53585" w:rsidRPr="00A520F7">
        <w:rPr>
          <w:rFonts w:ascii="Calibri" w:eastAsia="Times New Roman" w:hAnsi="Calibri" w:cs="Calibri"/>
        </w:rPr>
        <w:t>benefit from</w:t>
      </w:r>
      <w:r w:rsidRPr="00A520F7">
        <w:rPr>
          <w:rFonts w:ascii="Calibri" w:eastAsia="Times New Roman" w:hAnsi="Calibri" w:cs="Calibri"/>
        </w:rPr>
        <w:t xml:space="preserve"> proton therapy </w:t>
      </w:r>
      <w:r w:rsidR="00D27448" w:rsidRPr="00A520F7">
        <w:rPr>
          <w:rFonts w:ascii="Calibri" w:eastAsia="Times New Roman" w:hAnsi="Calibri" w:cs="Calibri"/>
        </w:rPr>
        <w:t xml:space="preserve">per year </w:t>
      </w:r>
      <w:r w:rsidRPr="00A520F7">
        <w:rPr>
          <w:rFonts w:ascii="Calibri" w:eastAsia="Times New Roman" w:hAnsi="Calibri" w:cs="Calibri"/>
        </w:rPr>
        <w:t>which does not include patients from the three towns in Norfolk County and 14 towns in Middlesex County that UM</w:t>
      </w:r>
      <w:r w:rsidR="00D27448" w:rsidRPr="00A520F7">
        <w:rPr>
          <w:rFonts w:ascii="Calibri" w:eastAsia="Times New Roman" w:hAnsi="Calibri" w:cs="Calibri"/>
        </w:rPr>
        <w:t>MH</w:t>
      </w:r>
      <w:r w:rsidRPr="00A520F7">
        <w:rPr>
          <w:rFonts w:ascii="Calibri" w:eastAsia="Times New Roman" w:hAnsi="Calibri" w:cs="Calibri"/>
        </w:rPr>
        <w:t xml:space="preserve"> also serves.</w:t>
      </w:r>
    </w:p>
    <w:p w14:paraId="7E4127B2" w14:textId="75A78824" w:rsidR="000D468F" w:rsidRPr="007F2DEE" w:rsidRDefault="00AF0847" w:rsidP="00847BCF">
      <w:pPr>
        <w:shd w:val="clear" w:color="auto" w:fill="FFFFFF"/>
        <w:spacing w:after="240" w:line="240" w:lineRule="auto"/>
        <w:jc w:val="both"/>
        <w:rPr>
          <w:rFonts w:ascii="Calibri" w:eastAsia="Times New Roman" w:hAnsi="Calibri" w:cs="Calibri"/>
        </w:rPr>
      </w:pPr>
      <w:r w:rsidRPr="00A520F7">
        <w:rPr>
          <w:rFonts w:ascii="Calibri" w:eastAsia="Times New Roman" w:hAnsi="Calibri" w:cs="Calibri"/>
        </w:rPr>
        <w:t>Based on publicly reported data from Particle Therapy Co-Operative Group, the total average number of patients receiving proton therapy in Boston was approximately 640 patients per year</w:t>
      </w:r>
      <w:r w:rsidR="00A520F7">
        <w:rPr>
          <w:rFonts w:ascii="Calibri" w:eastAsia="Times New Roman" w:hAnsi="Calibri" w:cs="Calibri"/>
        </w:rPr>
        <w:t xml:space="preserve"> </w:t>
      </w:r>
      <w:r w:rsidR="00A520F7" w:rsidRPr="00A520F7">
        <w:rPr>
          <w:rFonts w:ascii="Calibri" w:eastAsia="Times New Roman" w:hAnsi="Calibri" w:cs="Calibri"/>
        </w:rPr>
        <w:t>over a 3-year period from 2021 to 2023</w:t>
      </w:r>
      <w:r w:rsidR="00D32807">
        <w:rPr>
          <w:rFonts w:ascii="Calibri" w:eastAsia="Times New Roman" w:hAnsi="Calibri" w:cs="Calibri"/>
        </w:rPr>
        <w:t>.</w:t>
      </w:r>
      <w:r w:rsidRPr="00A520F7">
        <w:rPr>
          <w:rFonts w:ascii="Calibri" w:eastAsia="Times New Roman" w:hAnsi="Calibri" w:cs="Calibri"/>
          <w:vertAlign w:val="superscript"/>
        </w:rPr>
        <w:footnoteReference w:id="16"/>
      </w:r>
      <w:r w:rsidRPr="00A520F7">
        <w:rPr>
          <w:rFonts w:ascii="Calibri" w:eastAsia="Times New Roman" w:hAnsi="Calibri" w:cs="Calibri"/>
        </w:rPr>
        <w:t xml:space="preserve"> Utilizing the results from the two different methodologies illustrated in Exhibits F and the revised Exhibit G, UMMH projects that </w:t>
      </w:r>
      <w:r w:rsidR="00C97FD3" w:rsidRPr="00A520F7">
        <w:rPr>
          <w:rFonts w:ascii="Calibri" w:eastAsia="Times New Roman" w:hAnsi="Calibri" w:cs="Calibri"/>
        </w:rPr>
        <w:t>there are</w:t>
      </w:r>
      <w:r w:rsidRPr="00A520F7">
        <w:rPr>
          <w:rFonts w:ascii="Calibri" w:eastAsia="Times New Roman" w:hAnsi="Calibri" w:cs="Calibri"/>
        </w:rPr>
        <w:t xml:space="preserve"> 4,432 to 3,877 patients </w:t>
      </w:r>
      <w:r w:rsidR="00A520F7">
        <w:rPr>
          <w:rFonts w:ascii="Calibri" w:eastAsia="Times New Roman" w:hAnsi="Calibri" w:cs="Calibri"/>
        </w:rPr>
        <w:t xml:space="preserve">who </w:t>
      </w:r>
      <w:r w:rsidRPr="00A520F7">
        <w:rPr>
          <w:rFonts w:ascii="Calibri" w:eastAsia="Times New Roman" w:hAnsi="Calibri" w:cs="Calibri"/>
        </w:rPr>
        <w:t>would benefit from proton therapy and be suitable for proton therapy</w:t>
      </w:r>
      <w:r w:rsidR="00C97FD3" w:rsidRPr="00A520F7">
        <w:rPr>
          <w:rFonts w:ascii="Calibri" w:eastAsia="Times New Roman" w:hAnsi="Calibri" w:cs="Calibri"/>
        </w:rPr>
        <w:t xml:space="preserve"> per year</w:t>
      </w:r>
      <w:r w:rsidRPr="00A520F7">
        <w:rPr>
          <w:rFonts w:ascii="Calibri" w:eastAsia="Times New Roman" w:hAnsi="Calibri" w:cs="Calibri"/>
        </w:rPr>
        <w:t xml:space="preserve">. </w:t>
      </w:r>
      <w:r w:rsidR="00DD772A">
        <w:rPr>
          <w:rFonts w:ascii="Calibri" w:eastAsia="Times New Roman" w:hAnsi="Calibri" w:cs="Calibri"/>
        </w:rPr>
        <w:t>Using the</w:t>
      </w:r>
      <w:r w:rsidRPr="00A520F7">
        <w:rPr>
          <w:rFonts w:ascii="Calibri" w:eastAsia="Times New Roman" w:hAnsi="Calibri" w:cs="Calibri"/>
        </w:rPr>
        <w:t xml:space="preserve"> Particle Therapy Co-Operative Group data that indicates</w:t>
      </w:r>
      <w:r w:rsidR="00DD772A">
        <w:rPr>
          <w:rFonts w:ascii="Calibri" w:eastAsia="Times New Roman" w:hAnsi="Calibri" w:cs="Calibri"/>
        </w:rPr>
        <w:t xml:space="preserve"> an average of</w:t>
      </w:r>
      <w:r w:rsidRPr="00A520F7">
        <w:rPr>
          <w:rFonts w:ascii="Calibri" w:eastAsia="Times New Roman" w:hAnsi="Calibri" w:cs="Calibri"/>
        </w:rPr>
        <w:t xml:space="preserve"> 640 patients</w:t>
      </w:r>
      <w:r w:rsidR="00DD772A">
        <w:rPr>
          <w:rFonts w:ascii="Calibri" w:eastAsia="Times New Roman" w:hAnsi="Calibri" w:cs="Calibri"/>
        </w:rPr>
        <w:t xml:space="preserve"> per year</w:t>
      </w:r>
      <w:r w:rsidRPr="00A520F7">
        <w:rPr>
          <w:rFonts w:ascii="Calibri" w:eastAsia="Times New Roman" w:hAnsi="Calibri" w:cs="Calibri"/>
        </w:rPr>
        <w:t xml:space="preserve"> are receiving proton therapy, UMMH calculates that approximately </w:t>
      </w:r>
      <w:r w:rsidR="00A520F7" w:rsidRPr="00A520F7">
        <w:rPr>
          <w:rFonts w:ascii="Calibri" w:eastAsia="Times New Roman" w:hAnsi="Calibri" w:cs="Calibri"/>
        </w:rPr>
        <w:t xml:space="preserve">an additional </w:t>
      </w:r>
      <w:r w:rsidRPr="00A520F7">
        <w:rPr>
          <w:rFonts w:ascii="Calibri" w:eastAsia="Times New Roman" w:hAnsi="Calibri" w:cs="Calibri"/>
        </w:rPr>
        <w:t>3,792 to 3,237</w:t>
      </w:r>
      <w:r w:rsidR="00C97FD3" w:rsidRPr="00A520F7">
        <w:rPr>
          <w:rFonts w:ascii="Calibri" w:eastAsia="Times New Roman" w:hAnsi="Calibri" w:cs="Calibri"/>
        </w:rPr>
        <w:t xml:space="preserve"> patients would benefit from and be suitable for proton therapy per year. These calculations indicate that there is a </w:t>
      </w:r>
      <w:r w:rsidRPr="00A520F7">
        <w:rPr>
          <w:rFonts w:ascii="Calibri" w:eastAsia="Times New Roman" w:hAnsi="Calibri" w:cs="Calibri"/>
        </w:rPr>
        <w:t xml:space="preserve">significant unmet need </w:t>
      </w:r>
      <w:r w:rsidR="00C97FD3" w:rsidRPr="00A520F7">
        <w:rPr>
          <w:rFonts w:ascii="Calibri" w:eastAsia="Times New Roman" w:hAnsi="Calibri" w:cs="Calibri"/>
        </w:rPr>
        <w:t>for proton therapy treatment i</w:t>
      </w:r>
      <w:r w:rsidRPr="00A520F7">
        <w:rPr>
          <w:rFonts w:ascii="Calibri" w:eastAsia="Times New Roman" w:hAnsi="Calibri" w:cs="Calibri"/>
        </w:rPr>
        <w:t xml:space="preserve">n Massachusetts that cannot be filled by the two units </w:t>
      </w:r>
      <w:r w:rsidR="00A520F7">
        <w:rPr>
          <w:rFonts w:ascii="Calibri" w:eastAsia="Times New Roman" w:hAnsi="Calibri" w:cs="Calibri"/>
        </w:rPr>
        <w:t xml:space="preserve">currently </w:t>
      </w:r>
      <w:r w:rsidR="00C97FD3" w:rsidRPr="00A520F7">
        <w:rPr>
          <w:rFonts w:ascii="Calibri" w:eastAsia="Times New Roman" w:hAnsi="Calibri" w:cs="Calibri"/>
        </w:rPr>
        <w:t>operating</w:t>
      </w:r>
      <w:r w:rsidRPr="00A520F7">
        <w:rPr>
          <w:rFonts w:ascii="Calibri" w:eastAsia="Times New Roman" w:hAnsi="Calibri" w:cs="Calibri"/>
        </w:rPr>
        <w:t xml:space="preserve"> </w:t>
      </w:r>
      <w:r w:rsidR="00C97FD3" w:rsidRPr="00A520F7">
        <w:rPr>
          <w:rFonts w:ascii="Calibri" w:eastAsia="Times New Roman" w:hAnsi="Calibri" w:cs="Calibri"/>
        </w:rPr>
        <w:t>in Boston</w:t>
      </w:r>
      <w:r w:rsidRPr="00A520F7">
        <w:rPr>
          <w:rFonts w:ascii="Calibri" w:eastAsia="Times New Roman" w:hAnsi="Calibri" w:cs="Calibri"/>
        </w:rPr>
        <w:t xml:space="preserve">.  </w:t>
      </w:r>
      <w:r w:rsidR="00C97FD3" w:rsidRPr="00A520F7">
        <w:rPr>
          <w:rFonts w:ascii="Calibri" w:eastAsia="Times New Roman" w:hAnsi="Calibri" w:cs="Calibri"/>
        </w:rPr>
        <w:t xml:space="preserve">Even if the only patients that are considered are those </w:t>
      </w:r>
      <w:r w:rsidRPr="00A520F7">
        <w:rPr>
          <w:rFonts w:ascii="Calibri" w:eastAsia="Times New Roman" w:hAnsi="Calibri" w:cs="Calibri"/>
        </w:rPr>
        <w:t>patients residing in UMMH’s total service area or Worcester County</w:t>
      </w:r>
      <w:r w:rsidR="00C97FD3" w:rsidRPr="00A520F7">
        <w:rPr>
          <w:rFonts w:ascii="Calibri" w:eastAsia="Times New Roman" w:hAnsi="Calibri" w:cs="Calibri"/>
        </w:rPr>
        <w:t>, the data</w:t>
      </w:r>
      <w:r w:rsidRPr="00A520F7">
        <w:rPr>
          <w:rFonts w:ascii="Calibri" w:eastAsia="Times New Roman" w:hAnsi="Calibri" w:cs="Calibri"/>
        </w:rPr>
        <w:t xml:space="preserve"> suggest an unmet need or limited access for th</w:t>
      </w:r>
      <w:r w:rsidR="00D32807">
        <w:rPr>
          <w:rFonts w:ascii="Calibri" w:eastAsia="Times New Roman" w:hAnsi="Calibri" w:cs="Calibri"/>
        </w:rPr>
        <w:t>e</w:t>
      </w:r>
      <w:r w:rsidRPr="00A520F7">
        <w:rPr>
          <w:rFonts w:ascii="Calibri" w:eastAsia="Times New Roman" w:hAnsi="Calibri" w:cs="Calibri"/>
        </w:rPr>
        <w:t xml:space="preserve"> 743</w:t>
      </w:r>
      <w:r w:rsidR="0066745B">
        <w:rPr>
          <w:rFonts w:ascii="Calibri" w:eastAsia="Times New Roman" w:hAnsi="Calibri" w:cs="Calibri"/>
        </w:rPr>
        <w:t xml:space="preserve"> (Exhibit F)</w:t>
      </w:r>
      <w:r w:rsidRPr="00A520F7">
        <w:rPr>
          <w:rFonts w:ascii="Calibri" w:eastAsia="Times New Roman" w:hAnsi="Calibri" w:cs="Calibri"/>
        </w:rPr>
        <w:t xml:space="preserve"> to 489</w:t>
      </w:r>
      <w:r w:rsidR="0066745B">
        <w:rPr>
          <w:rFonts w:ascii="Calibri" w:eastAsia="Times New Roman" w:hAnsi="Calibri" w:cs="Calibri"/>
        </w:rPr>
        <w:t xml:space="preserve"> (Exhibit G)</w:t>
      </w:r>
      <w:r w:rsidRPr="00A520F7">
        <w:rPr>
          <w:rFonts w:ascii="Calibri" w:eastAsia="Times New Roman" w:hAnsi="Calibri" w:cs="Calibri"/>
        </w:rPr>
        <w:t xml:space="preserve"> patients </w:t>
      </w:r>
      <w:r w:rsidR="00DD772A">
        <w:rPr>
          <w:rFonts w:ascii="Calibri" w:eastAsia="Times New Roman" w:hAnsi="Calibri" w:cs="Calibri"/>
        </w:rPr>
        <w:t>who</w:t>
      </w:r>
      <w:r w:rsidRPr="00A520F7">
        <w:rPr>
          <w:rFonts w:ascii="Calibri" w:eastAsia="Times New Roman" w:hAnsi="Calibri" w:cs="Calibri"/>
        </w:rPr>
        <w:t xml:space="preserve"> would benefit from </w:t>
      </w:r>
      <w:r w:rsidR="00C97FD3" w:rsidRPr="00A520F7">
        <w:rPr>
          <w:rFonts w:ascii="Calibri" w:eastAsia="Times New Roman" w:hAnsi="Calibri" w:cs="Calibri"/>
        </w:rPr>
        <w:t xml:space="preserve">and be suitable for </w:t>
      </w:r>
      <w:r w:rsidRPr="00A520F7">
        <w:rPr>
          <w:rFonts w:ascii="Calibri" w:eastAsia="Times New Roman" w:hAnsi="Calibri" w:cs="Calibri"/>
        </w:rPr>
        <w:t xml:space="preserve">proton therapy.   </w:t>
      </w:r>
    </w:p>
    <w:p w14:paraId="75283AB0" w14:textId="77777777" w:rsidR="000D468F" w:rsidRPr="007F2DEE" w:rsidRDefault="000D468F" w:rsidP="00836645">
      <w:pPr>
        <w:shd w:val="clear" w:color="auto" w:fill="FFFFFF"/>
        <w:spacing w:after="0" w:line="240" w:lineRule="auto"/>
        <w:rPr>
          <w:rFonts w:ascii="Calibri" w:eastAsia="Times New Roman" w:hAnsi="Calibri" w:cs="Calibri"/>
          <w:color w:val="215E99" w:themeColor="text2" w:themeTint="BF"/>
        </w:rPr>
      </w:pPr>
    </w:p>
    <w:tbl>
      <w:tblPr>
        <w:tblW w:w="0" w:type="auto"/>
        <w:tblInd w:w="-10" w:type="dxa"/>
        <w:tblLayout w:type="fixed"/>
        <w:tblLook w:val="04A0" w:firstRow="1" w:lastRow="0" w:firstColumn="1" w:lastColumn="0" w:noHBand="0" w:noVBand="1"/>
      </w:tblPr>
      <w:tblGrid>
        <w:gridCol w:w="1306"/>
        <w:gridCol w:w="584"/>
        <w:gridCol w:w="720"/>
        <w:gridCol w:w="701"/>
        <w:gridCol w:w="786"/>
        <w:gridCol w:w="786"/>
        <w:gridCol w:w="682"/>
        <w:gridCol w:w="236"/>
        <w:gridCol w:w="760"/>
        <w:gridCol w:w="760"/>
        <w:gridCol w:w="688"/>
        <w:gridCol w:w="688"/>
        <w:gridCol w:w="668"/>
      </w:tblGrid>
      <w:tr w:rsidR="00836645" w:rsidRPr="00C97FD3" w14:paraId="58108915" w14:textId="77777777" w:rsidTr="00BF5A6C">
        <w:trPr>
          <w:cantSplit/>
          <w:trHeight w:val="2304"/>
          <w:tblHeader/>
        </w:trPr>
        <w:tc>
          <w:tcPr>
            <w:tcW w:w="13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F0EF12" w14:textId="77777777" w:rsidR="00836645" w:rsidRPr="00A520F7" w:rsidRDefault="00836645" w:rsidP="00836645">
            <w:pPr>
              <w:spacing w:after="0" w:line="240" w:lineRule="auto"/>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County</w:t>
            </w:r>
          </w:p>
        </w:tc>
        <w:tc>
          <w:tcPr>
            <w:tcW w:w="584" w:type="dxa"/>
            <w:tcBorders>
              <w:top w:val="single" w:sz="8" w:space="0" w:color="auto"/>
              <w:left w:val="nil"/>
              <w:bottom w:val="single" w:sz="8" w:space="0" w:color="auto"/>
              <w:right w:val="single" w:sz="8" w:space="0" w:color="auto"/>
            </w:tcBorders>
            <w:shd w:val="clear" w:color="auto" w:fill="auto"/>
            <w:vAlign w:val="center"/>
            <w:hideMark/>
          </w:tcPr>
          <w:p w14:paraId="4D1033D8"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FIPS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01A1C90D"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2023 Rural-Urban Continuum Codes ([rural urban note])</w:t>
            </w:r>
          </w:p>
        </w:tc>
        <w:tc>
          <w:tcPr>
            <w:tcW w:w="701" w:type="dxa"/>
            <w:tcBorders>
              <w:top w:val="single" w:sz="8" w:space="0" w:color="auto"/>
              <w:left w:val="nil"/>
              <w:bottom w:val="single" w:sz="8" w:space="0" w:color="auto"/>
              <w:right w:val="single" w:sz="8" w:space="0" w:color="auto"/>
            </w:tcBorders>
            <w:shd w:val="clear" w:color="auto" w:fill="auto"/>
            <w:vAlign w:val="center"/>
            <w:hideMark/>
          </w:tcPr>
          <w:p w14:paraId="36AABA8F"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Age-Adjusted Incidence Rate ([rate note]) - cases per 100,000</w:t>
            </w:r>
          </w:p>
        </w:tc>
        <w:tc>
          <w:tcPr>
            <w:tcW w:w="786" w:type="dxa"/>
            <w:tcBorders>
              <w:top w:val="single" w:sz="8" w:space="0" w:color="auto"/>
              <w:left w:val="nil"/>
              <w:bottom w:val="single" w:sz="8" w:space="0" w:color="auto"/>
              <w:right w:val="single" w:sz="8" w:space="0" w:color="auto"/>
            </w:tcBorders>
            <w:shd w:val="clear" w:color="auto" w:fill="auto"/>
            <w:vAlign w:val="center"/>
            <w:hideMark/>
          </w:tcPr>
          <w:p w14:paraId="4EC3DAB0"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Lower 95% Confidence Interval</w:t>
            </w:r>
          </w:p>
        </w:tc>
        <w:tc>
          <w:tcPr>
            <w:tcW w:w="786" w:type="dxa"/>
            <w:tcBorders>
              <w:top w:val="single" w:sz="8" w:space="0" w:color="auto"/>
              <w:left w:val="nil"/>
              <w:bottom w:val="single" w:sz="8" w:space="0" w:color="auto"/>
              <w:right w:val="single" w:sz="8" w:space="0" w:color="auto"/>
            </w:tcBorders>
            <w:shd w:val="clear" w:color="auto" w:fill="auto"/>
            <w:vAlign w:val="center"/>
            <w:hideMark/>
          </w:tcPr>
          <w:p w14:paraId="4AA975F7"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Upper 95% Confidence Interval</w:t>
            </w:r>
          </w:p>
        </w:tc>
        <w:tc>
          <w:tcPr>
            <w:tcW w:w="682" w:type="dxa"/>
            <w:tcBorders>
              <w:top w:val="single" w:sz="8" w:space="0" w:color="auto"/>
              <w:left w:val="nil"/>
              <w:bottom w:val="single" w:sz="8" w:space="0" w:color="auto"/>
              <w:right w:val="single" w:sz="8" w:space="0" w:color="auto"/>
            </w:tcBorders>
            <w:shd w:val="clear" w:color="auto" w:fill="auto"/>
            <w:vAlign w:val="center"/>
            <w:hideMark/>
          </w:tcPr>
          <w:p w14:paraId="621F7160"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CI*Rank ([rank note])</w:t>
            </w:r>
          </w:p>
        </w:tc>
        <w:tc>
          <w:tcPr>
            <w:tcW w:w="221" w:type="dxa"/>
            <w:tcBorders>
              <w:top w:val="single" w:sz="8" w:space="0" w:color="auto"/>
              <w:left w:val="nil"/>
              <w:bottom w:val="single" w:sz="8" w:space="0" w:color="auto"/>
              <w:right w:val="nil"/>
            </w:tcBorders>
          </w:tcPr>
          <w:p w14:paraId="6B4D583F"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113F6A11"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Lower CI (CI*Rank)</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48D4C759"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Upper CI (CI*Rank)</w:t>
            </w:r>
          </w:p>
        </w:tc>
        <w:tc>
          <w:tcPr>
            <w:tcW w:w="688" w:type="dxa"/>
            <w:tcBorders>
              <w:top w:val="single" w:sz="8" w:space="0" w:color="auto"/>
              <w:left w:val="nil"/>
              <w:bottom w:val="single" w:sz="8" w:space="0" w:color="auto"/>
              <w:right w:val="single" w:sz="8" w:space="0" w:color="auto"/>
            </w:tcBorders>
            <w:shd w:val="clear" w:color="auto" w:fill="auto"/>
            <w:vAlign w:val="center"/>
            <w:hideMark/>
          </w:tcPr>
          <w:p w14:paraId="25F06B83"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Average Annual Count</w:t>
            </w:r>
          </w:p>
        </w:tc>
        <w:tc>
          <w:tcPr>
            <w:tcW w:w="68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35953B0"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 treated with RT</w:t>
            </w:r>
          </w:p>
        </w:tc>
        <w:tc>
          <w:tcPr>
            <w:tcW w:w="668" w:type="dxa"/>
            <w:tcBorders>
              <w:top w:val="single" w:sz="4" w:space="0" w:color="auto"/>
              <w:left w:val="nil"/>
              <w:bottom w:val="single" w:sz="8" w:space="0" w:color="auto"/>
              <w:right w:val="single" w:sz="8" w:space="0" w:color="auto"/>
            </w:tcBorders>
            <w:shd w:val="clear" w:color="auto" w:fill="auto"/>
            <w:vAlign w:val="center"/>
            <w:hideMark/>
          </w:tcPr>
          <w:p w14:paraId="64EC4B45" w14:textId="77777777" w:rsidR="00836645" w:rsidRPr="00A520F7" w:rsidRDefault="00836645" w:rsidP="00836645">
            <w:pPr>
              <w:spacing w:after="0" w:line="240" w:lineRule="auto"/>
              <w:jc w:val="center"/>
              <w:rPr>
                <w:rFonts w:ascii="Times New Roman" w:eastAsia="Times New Roman" w:hAnsi="Times New Roman" w:cs="Times New Roman"/>
                <w:b/>
                <w:bCs/>
                <w:color w:val="000000"/>
                <w:sz w:val="14"/>
                <w:szCs w:val="14"/>
              </w:rPr>
            </w:pPr>
            <w:r w:rsidRPr="00A520F7">
              <w:rPr>
                <w:rFonts w:ascii="Times New Roman" w:eastAsia="Times New Roman" w:hAnsi="Times New Roman" w:cs="Times New Roman"/>
                <w:b/>
                <w:bCs/>
                <w:color w:val="000000"/>
                <w:sz w:val="14"/>
                <w:szCs w:val="14"/>
              </w:rPr>
              <w:t># treatable with PT</w:t>
            </w:r>
          </w:p>
        </w:tc>
      </w:tr>
      <w:tr w:rsidR="00836645" w:rsidRPr="00C97FD3" w14:paraId="636536F6"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0D67BD81"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Massachusetts (7)</w:t>
            </w:r>
          </w:p>
        </w:tc>
        <w:tc>
          <w:tcPr>
            <w:tcW w:w="584" w:type="dxa"/>
            <w:tcBorders>
              <w:top w:val="nil"/>
              <w:left w:val="nil"/>
              <w:bottom w:val="single" w:sz="8" w:space="0" w:color="auto"/>
              <w:right w:val="single" w:sz="8" w:space="0" w:color="auto"/>
            </w:tcBorders>
            <w:shd w:val="clear" w:color="auto" w:fill="auto"/>
            <w:noWrap/>
            <w:vAlign w:val="center"/>
            <w:hideMark/>
          </w:tcPr>
          <w:p w14:paraId="5FDDAD4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25000</w:t>
            </w:r>
          </w:p>
        </w:tc>
        <w:tc>
          <w:tcPr>
            <w:tcW w:w="720" w:type="dxa"/>
            <w:tcBorders>
              <w:top w:val="nil"/>
              <w:left w:val="nil"/>
              <w:bottom w:val="single" w:sz="8" w:space="0" w:color="auto"/>
              <w:right w:val="single" w:sz="8" w:space="0" w:color="auto"/>
            </w:tcBorders>
            <w:shd w:val="clear" w:color="auto" w:fill="auto"/>
            <w:noWrap/>
            <w:vAlign w:val="center"/>
            <w:hideMark/>
          </w:tcPr>
          <w:p w14:paraId="564DEF4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N/A</w:t>
            </w:r>
          </w:p>
        </w:tc>
        <w:tc>
          <w:tcPr>
            <w:tcW w:w="701" w:type="dxa"/>
            <w:tcBorders>
              <w:top w:val="nil"/>
              <w:left w:val="nil"/>
              <w:bottom w:val="single" w:sz="8" w:space="0" w:color="auto"/>
              <w:right w:val="single" w:sz="8" w:space="0" w:color="auto"/>
            </w:tcBorders>
            <w:shd w:val="clear" w:color="auto" w:fill="auto"/>
            <w:noWrap/>
            <w:vAlign w:val="center"/>
            <w:hideMark/>
          </w:tcPr>
          <w:p w14:paraId="06E0AF1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437.2</w:t>
            </w:r>
          </w:p>
        </w:tc>
        <w:tc>
          <w:tcPr>
            <w:tcW w:w="786" w:type="dxa"/>
            <w:tcBorders>
              <w:top w:val="nil"/>
              <w:left w:val="nil"/>
              <w:bottom w:val="single" w:sz="8" w:space="0" w:color="auto"/>
              <w:right w:val="single" w:sz="8" w:space="0" w:color="auto"/>
            </w:tcBorders>
            <w:shd w:val="clear" w:color="auto" w:fill="auto"/>
            <w:noWrap/>
            <w:vAlign w:val="center"/>
            <w:hideMark/>
          </w:tcPr>
          <w:p w14:paraId="74A9BF5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435.2</w:t>
            </w:r>
          </w:p>
        </w:tc>
        <w:tc>
          <w:tcPr>
            <w:tcW w:w="786" w:type="dxa"/>
            <w:tcBorders>
              <w:top w:val="nil"/>
              <w:left w:val="nil"/>
              <w:bottom w:val="single" w:sz="8" w:space="0" w:color="auto"/>
              <w:right w:val="single" w:sz="8" w:space="0" w:color="auto"/>
            </w:tcBorders>
            <w:shd w:val="clear" w:color="auto" w:fill="auto"/>
            <w:noWrap/>
            <w:vAlign w:val="center"/>
            <w:hideMark/>
          </w:tcPr>
          <w:p w14:paraId="2F1EA9C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439.2</w:t>
            </w:r>
          </w:p>
        </w:tc>
        <w:tc>
          <w:tcPr>
            <w:tcW w:w="682" w:type="dxa"/>
            <w:tcBorders>
              <w:top w:val="nil"/>
              <w:left w:val="nil"/>
              <w:bottom w:val="single" w:sz="8" w:space="0" w:color="auto"/>
              <w:right w:val="single" w:sz="8" w:space="0" w:color="auto"/>
            </w:tcBorders>
            <w:shd w:val="clear" w:color="auto" w:fill="auto"/>
            <w:noWrap/>
            <w:vAlign w:val="center"/>
            <w:hideMark/>
          </w:tcPr>
          <w:p w14:paraId="4664E9A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N/A</w:t>
            </w:r>
          </w:p>
        </w:tc>
        <w:tc>
          <w:tcPr>
            <w:tcW w:w="221" w:type="dxa"/>
            <w:tcBorders>
              <w:top w:val="nil"/>
              <w:left w:val="nil"/>
              <w:bottom w:val="single" w:sz="8" w:space="0" w:color="auto"/>
              <w:right w:val="nil"/>
            </w:tcBorders>
          </w:tcPr>
          <w:p w14:paraId="2865614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451829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 xml:space="preserve"> N/A</w:t>
            </w:r>
          </w:p>
        </w:tc>
        <w:tc>
          <w:tcPr>
            <w:tcW w:w="760" w:type="dxa"/>
            <w:tcBorders>
              <w:top w:val="nil"/>
              <w:left w:val="nil"/>
              <w:bottom w:val="single" w:sz="8" w:space="0" w:color="auto"/>
              <w:right w:val="single" w:sz="8" w:space="0" w:color="auto"/>
            </w:tcBorders>
            <w:shd w:val="clear" w:color="auto" w:fill="auto"/>
            <w:noWrap/>
            <w:vAlign w:val="center"/>
            <w:hideMark/>
          </w:tcPr>
          <w:p w14:paraId="560B8B4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 xml:space="preserve"> N/A</w:t>
            </w:r>
          </w:p>
        </w:tc>
        <w:tc>
          <w:tcPr>
            <w:tcW w:w="688" w:type="dxa"/>
            <w:tcBorders>
              <w:top w:val="nil"/>
              <w:left w:val="nil"/>
              <w:bottom w:val="single" w:sz="8" w:space="0" w:color="auto"/>
              <w:right w:val="single" w:sz="8" w:space="0" w:color="auto"/>
            </w:tcBorders>
            <w:shd w:val="clear" w:color="auto" w:fill="auto"/>
            <w:noWrap/>
            <w:vAlign w:val="center"/>
            <w:hideMark/>
          </w:tcPr>
          <w:p w14:paraId="13EA49D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38,523</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1E20191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25,682</w:t>
            </w:r>
          </w:p>
        </w:tc>
        <w:tc>
          <w:tcPr>
            <w:tcW w:w="668" w:type="dxa"/>
            <w:tcBorders>
              <w:top w:val="nil"/>
              <w:left w:val="nil"/>
              <w:bottom w:val="single" w:sz="8" w:space="0" w:color="auto"/>
              <w:right w:val="single" w:sz="8" w:space="0" w:color="auto"/>
            </w:tcBorders>
            <w:shd w:val="clear" w:color="auto" w:fill="auto"/>
            <w:noWrap/>
            <w:vAlign w:val="center"/>
            <w:hideMark/>
          </w:tcPr>
          <w:p w14:paraId="506F92F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3,877</w:t>
            </w:r>
          </w:p>
        </w:tc>
      </w:tr>
      <w:tr w:rsidR="00836645" w:rsidRPr="00C97FD3" w14:paraId="21E903E2"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3CFA6E88"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US (SEER+NPCR) (1)</w:t>
            </w:r>
          </w:p>
        </w:tc>
        <w:tc>
          <w:tcPr>
            <w:tcW w:w="584" w:type="dxa"/>
            <w:tcBorders>
              <w:top w:val="nil"/>
              <w:left w:val="nil"/>
              <w:bottom w:val="single" w:sz="8" w:space="0" w:color="auto"/>
              <w:right w:val="single" w:sz="8" w:space="0" w:color="auto"/>
            </w:tcBorders>
            <w:shd w:val="clear" w:color="auto" w:fill="auto"/>
            <w:noWrap/>
            <w:vAlign w:val="center"/>
            <w:hideMark/>
          </w:tcPr>
          <w:p w14:paraId="6E6F383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0</w:t>
            </w:r>
          </w:p>
        </w:tc>
        <w:tc>
          <w:tcPr>
            <w:tcW w:w="720" w:type="dxa"/>
            <w:tcBorders>
              <w:top w:val="nil"/>
              <w:left w:val="nil"/>
              <w:bottom w:val="single" w:sz="8" w:space="0" w:color="auto"/>
              <w:right w:val="single" w:sz="8" w:space="0" w:color="auto"/>
            </w:tcBorders>
            <w:shd w:val="clear" w:color="auto" w:fill="auto"/>
            <w:noWrap/>
            <w:vAlign w:val="center"/>
            <w:hideMark/>
          </w:tcPr>
          <w:p w14:paraId="3BCC638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N/A</w:t>
            </w:r>
          </w:p>
        </w:tc>
        <w:tc>
          <w:tcPr>
            <w:tcW w:w="701" w:type="dxa"/>
            <w:tcBorders>
              <w:top w:val="nil"/>
              <w:left w:val="nil"/>
              <w:bottom w:val="single" w:sz="8" w:space="0" w:color="auto"/>
              <w:right w:val="single" w:sz="8" w:space="0" w:color="auto"/>
            </w:tcBorders>
            <w:shd w:val="clear" w:color="auto" w:fill="auto"/>
            <w:noWrap/>
            <w:vAlign w:val="center"/>
            <w:hideMark/>
          </w:tcPr>
          <w:p w14:paraId="2B13323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444.4</w:t>
            </w:r>
          </w:p>
        </w:tc>
        <w:tc>
          <w:tcPr>
            <w:tcW w:w="786" w:type="dxa"/>
            <w:tcBorders>
              <w:top w:val="nil"/>
              <w:left w:val="nil"/>
              <w:bottom w:val="single" w:sz="8" w:space="0" w:color="auto"/>
              <w:right w:val="single" w:sz="8" w:space="0" w:color="auto"/>
            </w:tcBorders>
            <w:shd w:val="clear" w:color="auto" w:fill="auto"/>
            <w:noWrap/>
            <w:vAlign w:val="center"/>
            <w:hideMark/>
          </w:tcPr>
          <w:p w14:paraId="1A7B6C9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444.1</w:t>
            </w:r>
          </w:p>
        </w:tc>
        <w:tc>
          <w:tcPr>
            <w:tcW w:w="786" w:type="dxa"/>
            <w:tcBorders>
              <w:top w:val="nil"/>
              <w:left w:val="nil"/>
              <w:bottom w:val="single" w:sz="8" w:space="0" w:color="auto"/>
              <w:right w:val="single" w:sz="8" w:space="0" w:color="auto"/>
            </w:tcBorders>
            <w:shd w:val="clear" w:color="auto" w:fill="auto"/>
            <w:noWrap/>
            <w:vAlign w:val="center"/>
            <w:hideMark/>
          </w:tcPr>
          <w:p w14:paraId="0C00835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444.7</w:t>
            </w:r>
          </w:p>
        </w:tc>
        <w:tc>
          <w:tcPr>
            <w:tcW w:w="682" w:type="dxa"/>
            <w:tcBorders>
              <w:top w:val="nil"/>
              <w:left w:val="nil"/>
              <w:bottom w:val="single" w:sz="8" w:space="0" w:color="auto"/>
              <w:right w:val="single" w:sz="8" w:space="0" w:color="auto"/>
            </w:tcBorders>
            <w:shd w:val="clear" w:color="auto" w:fill="auto"/>
            <w:noWrap/>
            <w:vAlign w:val="center"/>
            <w:hideMark/>
          </w:tcPr>
          <w:p w14:paraId="0ABB6ED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N/A</w:t>
            </w:r>
          </w:p>
        </w:tc>
        <w:tc>
          <w:tcPr>
            <w:tcW w:w="221" w:type="dxa"/>
            <w:tcBorders>
              <w:top w:val="nil"/>
              <w:left w:val="nil"/>
              <w:bottom w:val="single" w:sz="8" w:space="0" w:color="auto"/>
              <w:right w:val="nil"/>
            </w:tcBorders>
          </w:tcPr>
          <w:p w14:paraId="5397AD2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7CD9BD5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 xml:space="preserve"> N/A</w:t>
            </w:r>
          </w:p>
        </w:tc>
        <w:tc>
          <w:tcPr>
            <w:tcW w:w="760" w:type="dxa"/>
            <w:tcBorders>
              <w:top w:val="nil"/>
              <w:left w:val="nil"/>
              <w:bottom w:val="single" w:sz="8" w:space="0" w:color="auto"/>
              <w:right w:val="single" w:sz="8" w:space="0" w:color="auto"/>
            </w:tcBorders>
            <w:shd w:val="clear" w:color="auto" w:fill="auto"/>
            <w:noWrap/>
            <w:vAlign w:val="center"/>
            <w:hideMark/>
          </w:tcPr>
          <w:p w14:paraId="4841206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 xml:space="preserve"> N/A</w:t>
            </w:r>
          </w:p>
        </w:tc>
        <w:tc>
          <w:tcPr>
            <w:tcW w:w="688" w:type="dxa"/>
            <w:tcBorders>
              <w:top w:val="nil"/>
              <w:left w:val="nil"/>
              <w:bottom w:val="single" w:sz="8" w:space="0" w:color="auto"/>
              <w:right w:val="single" w:sz="8" w:space="0" w:color="auto"/>
            </w:tcBorders>
            <w:shd w:val="clear" w:color="auto" w:fill="auto"/>
            <w:noWrap/>
            <w:vAlign w:val="center"/>
            <w:hideMark/>
          </w:tcPr>
          <w:p w14:paraId="0584BDA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1,744,459</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506C65E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1,162,973</w:t>
            </w:r>
          </w:p>
        </w:tc>
        <w:tc>
          <w:tcPr>
            <w:tcW w:w="668" w:type="dxa"/>
            <w:tcBorders>
              <w:top w:val="nil"/>
              <w:left w:val="nil"/>
              <w:bottom w:val="single" w:sz="8" w:space="0" w:color="auto"/>
              <w:right w:val="single" w:sz="8" w:space="0" w:color="auto"/>
            </w:tcBorders>
            <w:shd w:val="clear" w:color="auto" w:fill="auto"/>
            <w:noWrap/>
            <w:vAlign w:val="center"/>
            <w:hideMark/>
          </w:tcPr>
          <w:p w14:paraId="698EAF5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175,563</w:t>
            </w:r>
          </w:p>
        </w:tc>
      </w:tr>
      <w:tr w:rsidR="00836645" w:rsidRPr="00C97FD3" w14:paraId="2DC9C35C"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0346AAD4"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Plymouth County (7)</w:t>
            </w:r>
          </w:p>
        </w:tc>
        <w:tc>
          <w:tcPr>
            <w:tcW w:w="584" w:type="dxa"/>
            <w:tcBorders>
              <w:top w:val="nil"/>
              <w:left w:val="nil"/>
              <w:bottom w:val="single" w:sz="8" w:space="0" w:color="auto"/>
              <w:right w:val="single" w:sz="8" w:space="0" w:color="auto"/>
            </w:tcBorders>
            <w:shd w:val="clear" w:color="auto" w:fill="auto"/>
            <w:noWrap/>
            <w:vAlign w:val="center"/>
            <w:hideMark/>
          </w:tcPr>
          <w:p w14:paraId="4914438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25023</w:t>
            </w:r>
          </w:p>
        </w:tc>
        <w:tc>
          <w:tcPr>
            <w:tcW w:w="720" w:type="dxa"/>
            <w:tcBorders>
              <w:top w:val="nil"/>
              <w:left w:val="nil"/>
              <w:bottom w:val="single" w:sz="8" w:space="0" w:color="auto"/>
              <w:right w:val="single" w:sz="8" w:space="0" w:color="auto"/>
            </w:tcBorders>
            <w:shd w:val="clear" w:color="auto" w:fill="auto"/>
            <w:noWrap/>
            <w:vAlign w:val="center"/>
            <w:hideMark/>
          </w:tcPr>
          <w:p w14:paraId="297095C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5F2FA39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476.5</w:t>
            </w:r>
          </w:p>
        </w:tc>
        <w:tc>
          <w:tcPr>
            <w:tcW w:w="786" w:type="dxa"/>
            <w:tcBorders>
              <w:top w:val="nil"/>
              <w:left w:val="nil"/>
              <w:bottom w:val="single" w:sz="8" w:space="0" w:color="auto"/>
              <w:right w:val="single" w:sz="8" w:space="0" w:color="auto"/>
            </w:tcBorders>
            <w:shd w:val="clear" w:color="auto" w:fill="auto"/>
            <w:noWrap/>
            <w:vAlign w:val="center"/>
            <w:hideMark/>
          </w:tcPr>
          <w:p w14:paraId="41A330E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469.1</w:t>
            </w:r>
          </w:p>
        </w:tc>
        <w:tc>
          <w:tcPr>
            <w:tcW w:w="786" w:type="dxa"/>
            <w:tcBorders>
              <w:top w:val="nil"/>
              <w:left w:val="nil"/>
              <w:bottom w:val="single" w:sz="8" w:space="0" w:color="auto"/>
              <w:right w:val="single" w:sz="8" w:space="0" w:color="auto"/>
            </w:tcBorders>
            <w:shd w:val="clear" w:color="auto" w:fill="auto"/>
            <w:noWrap/>
            <w:vAlign w:val="center"/>
            <w:hideMark/>
          </w:tcPr>
          <w:p w14:paraId="2C9789A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484</w:t>
            </w:r>
          </w:p>
        </w:tc>
        <w:tc>
          <w:tcPr>
            <w:tcW w:w="682" w:type="dxa"/>
            <w:tcBorders>
              <w:top w:val="nil"/>
              <w:left w:val="nil"/>
              <w:bottom w:val="single" w:sz="8" w:space="0" w:color="auto"/>
              <w:right w:val="single" w:sz="8" w:space="0" w:color="auto"/>
            </w:tcBorders>
            <w:shd w:val="clear" w:color="auto" w:fill="auto"/>
            <w:noWrap/>
            <w:vAlign w:val="center"/>
            <w:hideMark/>
          </w:tcPr>
          <w:p w14:paraId="4C88719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w:t>
            </w:r>
          </w:p>
        </w:tc>
        <w:tc>
          <w:tcPr>
            <w:tcW w:w="221" w:type="dxa"/>
            <w:tcBorders>
              <w:top w:val="nil"/>
              <w:left w:val="nil"/>
              <w:bottom w:val="single" w:sz="8" w:space="0" w:color="auto"/>
              <w:right w:val="nil"/>
            </w:tcBorders>
          </w:tcPr>
          <w:p w14:paraId="297A378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0B0D3B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w:t>
            </w:r>
          </w:p>
        </w:tc>
        <w:tc>
          <w:tcPr>
            <w:tcW w:w="760" w:type="dxa"/>
            <w:tcBorders>
              <w:top w:val="nil"/>
              <w:left w:val="nil"/>
              <w:bottom w:val="single" w:sz="8" w:space="0" w:color="auto"/>
              <w:right w:val="single" w:sz="8" w:space="0" w:color="auto"/>
            </w:tcBorders>
            <w:shd w:val="clear" w:color="auto" w:fill="auto"/>
            <w:noWrap/>
            <w:vAlign w:val="center"/>
            <w:hideMark/>
          </w:tcPr>
          <w:p w14:paraId="2AB6EAA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688" w:type="dxa"/>
            <w:tcBorders>
              <w:top w:val="nil"/>
              <w:left w:val="nil"/>
              <w:bottom w:val="single" w:sz="8" w:space="0" w:color="auto"/>
              <w:right w:val="single" w:sz="8" w:space="0" w:color="auto"/>
            </w:tcBorders>
            <w:shd w:val="clear" w:color="auto" w:fill="auto"/>
            <w:noWrap/>
            <w:vAlign w:val="center"/>
            <w:hideMark/>
          </w:tcPr>
          <w:p w14:paraId="4653B91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3,415</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14F1883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2,277</w:t>
            </w:r>
          </w:p>
        </w:tc>
        <w:tc>
          <w:tcPr>
            <w:tcW w:w="668" w:type="dxa"/>
            <w:tcBorders>
              <w:top w:val="nil"/>
              <w:left w:val="nil"/>
              <w:bottom w:val="single" w:sz="8" w:space="0" w:color="auto"/>
              <w:right w:val="single" w:sz="8" w:space="0" w:color="auto"/>
            </w:tcBorders>
            <w:shd w:val="clear" w:color="auto" w:fill="auto"/>
            <w:noWrap/>
            <w:vAlign w:val="center"/>
            <w:hideMark/>
          </w:tcPr>
          <w:p w14:paraId="1102A6E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344</w:t>
            </w:r>
          </w:p>
        </w:tc>
      </w:tr>
      <w:tr w:rsidR="00836645" w:rsidRPr="00C97FD3" w14:paraId="683599F6"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3058794A"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Berkshire County (7)</w:t>
            </w:r>
          </w:p>
        </w:tc>
        <w:tc>
          <w:tcPr>
            <w:tcW w:w="584" w:type="dxa"/>
            <w:tcBorders>
              <w:top w:val="nil"/>
              <w:left w:val="nil"/>
              <w:bottom w:val="single" w:sz="8" w:space="0" w:color="auto"/>
              <w:right w:val="single" w:sz="8" w:space="0" w:color="auto"/>
            </w:tcBorders>
            <w:shd w:val="clear" w:color="auto" w:fill="auto"/>
            <w:noWrap/>
            <w:vAlign w:val="center"/>
            <w:hideMark/>
          </w:tcPr>
          <w:p w14:paraId="4D31CFB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25003</w:t>
            </w:r>
          </w:p>
        </w:tc>
        <w:tc>
          <w:tcPr>
            <w:tcW w:w="720" w:type="dxa"/>
            <w:tcBorders>
              <w:top w:val="nil"/>
              <w:left w:val="nil"/>
              <w:bottom w:val="single" w:sz="8" w:space="0" w:color="auto"/>
              <w:right w:val="single" w:sz="8" w:space="0" w:color="auto"/>
            </w:tcBorders>
            <w:shd w:val="clear" w:color="auto" w:fill="auto"/>
            <w:noWrap/>
            <w:vAlign w:val="center"/>
            <w:hideMark/>
          </w:tcPr>
          <w:p w14:paraId="0AF9A1E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25C4E44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458.4</w:t>
            </w:r>
          </w:p>
        </w:tc>
        <w:tc>
          <w:tcPr>
            <w:tcW w:w="786" w:type="dxa"/>
            <w:tcBorders>
              <w:top w:val="nil"/>
              <w:left w:val="nil"/>
              <w:bottom w:val="single" w:sz="8" w:space="0" w:color="auto"/>
              <w:right w:val="single" w:sz="8" w:space="0" w:color="auto"/>
            </w:tcBorders>
            <w:shd w:val="clear" w:color="auto" w:fill="auto"/>
            <w:noWrap/>
            <w:vAlign w:val="center"/>
            <w:hideMark/>
          </w:tcPr>
          <w:p w14:paraId="0D76249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444.5</w:t>
            </w:r>
          </w:p>
        </w:tc>
        <w:tc>
          <w:tcPr>
            <w:tcW w:w="786" w:type="dxa"/>
            <w:tcBorders>
              <w:top w:val="nil"/>
              <w:left w:val="nil"/>
              <w:bottom w:val="single" w:sz="8" w:space="0" w:color="auto"/>
              <w:right w:val="single" w:sz="8" w:space="0" w:color="auto"/>
            </w:tcBorders>
            <w:shd w:val="clear" w:color="auto" w:fill="auto"/>
            <w:noWrap/>
            <w:vAlign w:val="center"/>
            <w:hideMark/>
          </w:tcPr>
          <w:p w14:paraId="0866F34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472.7</w:t>
            </w:r>
          </w:p>
        </w:tc>
        <w:tc>
          <w:tcPr>
            <w:tcW w:w="682" w:type="dxa"/>
            <w:tcBorders>
              <w:top w:val="nil"/>
              <w:left w:val="nil"/>
              <w:bottom w:val="single" w:sz="8" w:space="0" w:color="auto"/>
              <w:right w:val="single" w:sz="8" w:space="0" w:color="auto"/>
            </w:tcBorders>
            <w:shd w:val="clear" w:color="auto" w:fill="auto"/>
            <w:noWrap/>
            <w:vAlign w:val="center"/>
            <w:hideMark/>
          </w:tcPr>
          <w:p w14:paraId="708EA6C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221" w:type="dxa"/>
            <w:tcBorders>
              <w:top w:val="nil"/>
              <w:left w:val="nil"/>
              <w:bottom w:val="single" w:sz="8" w:space="0" w:color="auto"/>
              <w:right w:val="nil"/>
            </w:tcBorders>
          </w:tcPr>
          <w:p w14:paraId="2BA119E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E6B854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w:t>
            </w:r>
          </w:p>
        </w:tc>
        <w:tc>
          <w:tcPr>
            <w:tcW w:w="760" w:type="dxa"/>
            <w:tcBorders>
              <w:top w:val="nil"/>
              <w:left w:val="nil"/>
              <w:bottom w:val="single" w:sz="8" w:space="0" w:color="auto"/>
              <w:right w:val="single" w:sz="8" w:space="0" w:color="auto"/>
            </w:tcBorders>
            <w:shd w:val="clear" w:color="auto" w:fill="auto"/>
            <w:noWrap/>
            <w:vAlign w:val="center"/>
            <w:hideMark/>
          </w:tcPr>
          <w:p w14:paraId="5DE44D1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c>
          <w:tcPr>
            <w:tcW w:w="688" w:type="dxa"/>
            <w:tcBorders>
              <w:top w:val="nil"/>
              <w:left w:val="nil"/>
              <w:bottom w:val="single" w:sz="8" w:space="0" w:color="auto"/>
              <w:right w:val="single" w:sz="8" w:space="0" w:color="auto"/>
            </w:tcBorders>
            <w:shd w:val="clear" w:color="auto" w:fill="auto"/>
            <w:noWrap/>
            <w:vAlign w:val="center"/>
            <w:hideMark/>
          </w:tcPr>
          <w:p w14:paraId="1A6DEE2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949</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0655371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633</w:t>
            </w:r>
          </w:p>
        </w:tc>
        <w:tc>
          <w:tcPr>
            <w:tcW w:w="668" w:type="dxa"/>
            <w:tcBorders>
              <w:top w:val="nil"/>
              <w:left w:val="nil"/>
              <w:bottom w:val="single" w:sz="8" w:space="0" w:color="auto"/>
              <w:right w:val="single" w:sz="8" w:space="0" w:color="auto"/>
            </w:tcBorders>
            <w:shd w:val="clear" w:color="auto" w:fill="auto"/>
            <w:noWrap/>
            <w:vAlign w:val="center"/>
            <w:hideMark/>
          </w:tcPr>
          <w:p w14:paraId="0E30262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96</w:t>
            </w:r>
          </w:p>
        </w:tc>
      </w:tr>
      <w:tr w:rsidR="00836645" w:rsidRPr="00C97FD3" w14:paraId="116EDF66"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000000" w:fill="FFFF00"/>
            <w:noWrap/>
            <w:vAlign w:val="center"/>
            <w:hideMark/>
          </w:tcPr>
          <w:p w14:paraId="6B6057BE"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Worcester County (7)</w:t>
            </w:r>
          </w:p>
        </w:tc>
        <w:tc>
          <w:tcPr>
            <w:tcW w:w="584" w:type="dxa"/>
            <w:tcBorders>
              <w:top w:val="nil"/>
              <w:left w:val="nil"/>
              <w:bottom w:val="single" w:sz="8" w:space="0" w:color="auto"/>
              <w:right w:val="single" w:sz="8" w:space="0" w:color="auto"/>
            </w:tcBorders>
            <w:shd w:val="clear" w:color="000000" w:fill="FFFF00"/>
            <w:noWrap/>
            <w:vAlign w:val="center"/>
            <w:hideMark/>
          </w:tcPr>
          <w:p w14:paraId="6A130B0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25027</w:t>
            </w:r>
          </w:p>
        </w:tc>
        <w:tc>
          <w:tcPr>
            <w:tcW w:w="720" w:type="dxa"/>
            <w:tcBorders>
              <w:top w:val="nil"/>
              <w:left w:val="nil"/>
              <w:bottom w:val="single" w:sz="8" w:space="0" w:color="auto"/>
              <w:right w:val="single" w:sz="8" w:space="0" w:color="auto"/>
            </w:tcBorders>
            <w:shd w:val="clear" w:color="000000" w:fill="FFFF00"/>
            <w:noWrap/>
            <w:vAlign w:val="center"/>
            <w:hideMark/>
          </w:tcPr>
          <w:p w14:paraId="779A36A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Urban</w:t>
            </w:r>
          </w:p>
        </w:tc>
        <w:tc>
          <w:tcPr>
            <w:tcW w:w="701" w:type="dxa"/>
            <w:tcBorders>
              <w:top w:val="nil"/>
              <w:left w:val="nil"/>
              <w:bottom w:val="single" w:sz="8" w:space="0" w:color="auto"/>
              <w:right w:val="single" w:sz="8" w:space="0" w:color="auto"/>
            </w:tcBorders>
            <w:shd w:val="clear" w:color="000000" w:fill="FFFF00"/>
            <w:noWrap/>
            <w:vAlign w:val="center"/>
            <w:hideMark/>
          </w:tcPr>
          <w:p w14:paraId="722F5FD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457.1</w:t>
            </w:r>
          </w:p>
        </w:tc>
        <w:tc>
          <w:tcPr>
            <w:tcW w:w="786" w:type="dxa"/>
            <w:tcBorders>
              <w:top w:val="nil"/>
              <w:left w:val="nil"/>
              <w:bottom w:val="single" w:sz="8" w:space="0" w:color="auto"/>
              <w:right w:val="single" w:sz="8" w:space="0" w:color="auto"/>
            </w:tcBorders>
            <w:shd w:val="clear" w:color="000000" w:fill="FFFF00"/>
            <w:noWrap/>
            <w:vAlign w:val="center"/>
            <w:hideMark/>
          </w:tcPr>
          <w:p w14:paraId="1E7D67F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451.2</w:t>
            </w:r>
          </w:p>
        </w:tc>
        <w:tc>
          <w:tcPr>
            <w:tcW w:w="786" w:type="dxa"/>
            <w:tcBorders>
              <w:top w:val="nil"/>
              <w:left w:val="nil"/>
              <w:bottom w:val="single" w:sz="8" w:space="0" w:color="auto"/>
              <w:right w:val="single" w:sz="8" w:space="0" w:color="auto"/>
            </w:tcBorders>
            <w:shd w:val="clear" w:color="000000" w:fill="FFFF00"/>
            <w:noWrap/>
            <w:vAlign w:val="center"/>
            <w:hideMark/>
          </w:tcPr>
          <w:p w14:paraId="4C096D7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463.1</w:t>
            </w:r>
          </w:p>
        </w:tc>
        <w:tc>
          <w:tcPr>
            <w:tcW w:w="682" w:type="dxa"/>
            <w:tcBorders>
              <w:top w:val="nil"/>
              <w:left w:val="nil"/>
              <w:bottom w:val="single" w:sz="8" w:space="0" w:color="auto"/>
              <w:right w:val="single" w:sz="8" w:space="0" w:color="auto"/>
            </w:tcBorders>
            <w:shd w:val="clear" w:color="000000" w:fill="FFFF00"/>
            <w:noWrap/>
            <w:vAlign w:val="center"/>
            <w:hideMark/>
          </w:tcPr>
          <w:p w14:paraId="20B9D4D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3</w:t>
            </w:r>
          </w:p>
        </w:tc>
        <w:tc>
          <w:tcPr>
            <w:tcW w:w="221" w:type="dxa"/>
            <w:tcBorders>
              <w:top w:val="nil"/>
              <w:left w:val="nil"/>
              <w:bottom w:val="single" w:sz="8" w:space="0" w:color="auto"/>
              <w:right w:val="nil"/>
            </w:tcBorders>
            <w:shd w:val="clear" w:color="000000" w:fill="FFFF00"/>
          </w:tcPr>
          <w:p w14:paraId="1427D936" w14:textId="77777777" w:rsidR="00836645" w:rsidRPr="00A520F7" w:rsidRDefault="00836645" w:rsidP="00836645">
            <w:pPr>
              <w:spacing w:after="0" w:line="240" w:lineRule="auto"/>
              <w:jc w:val="right"/>
              <w:rPr>
                <w:rFonts w:ascii="Times New Roman" w:eastAsia="Times New Roman" w:hAnsi="Times New Roman" w:cs="Times New Roman"/>
                <w:sz w:val="14"/>
                <w:szCs w:val="14"/>
              </w:rPr>
            </w:pPr>
          </w:p>
        </w:tc>
        <w:tc>
          <w:tcPr>
            <w:tcW w:w="760" w:type="dxa"/>
            <w:tcBorders>
              <w:top w:val="nil"/>
              <w:left w:val="nil"/>
              <w:bottom w:val="single" w:sz="8" w:space="0" w:color="auto"/>
              <w:right w:val="single" w:sz="8" w:space="0" w:color="auto"/>
            </w:tcBorders>
            <w:shd w:val="clear" w:color="000000" w:fill="FFFF00"/>
            <w:noWrap/>
            <w:vAlign w:val="center"/>
            <w:hideMark/>
          </w:tcPr>
          <w:p w14:paraId="57C4A59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2</w:t>
            </w:r>
          </w:p>
        </w:tc>
        <w:tc>
          <w:tcPr>
            <w:tcW w:w="760" w:type="dxa"/>
            <w:tcBorders>
              <w:top w:val="nil"/>
              <w:left w:val="nil"/>
              <w:bottom w:val="single" w:sz="8" w:space="0" w:color="auto"/>
              <w:right w:val="single" w:sz="8" w:space="0" w:color="auto"/>
            </w:tcBorders>
            <w:shd w:val="clear" w:color="000000" w:fill="FFFF00"/>
            <w:noWrap/>
            <w:vAlign w:val="center"/>
            <w:hideMark/>
          </w:tcPr>
          <w:p w14:paraId="2E1060F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6</w:t>
            </w:r>
          </w:p>
        </w:tc>
        <w:tc>
          <w:tcPr>
            <w:tcW w:w="688" w:type="dxa"/>
            <w:tcBorders>
              <w:top w:val="nil"/>
              <w:left w:val="nil"/>
              <w:bottom w:val="single" w:sz="8" w:space="0" w:color="auto"/>
              <w:right w:val="single" w:sz="8" w:space="0" w:color="auto"/>
            </w:tcBorders>
            <w:shd w:val="clear" w:color="000000" w:fill="FFFF00"/>
            <w:noWrap/>
            <w:vAlign w:val="center"/>
            <w:hideMark/>
          </w:tcPr>
          <w:p w14:paraId="456429B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sz w:val="14"/>
                <w:szCs w:val="14"/>
              </w:rPr>
              <w:t>4,854</w:t>
            </w:r>
          </w:p>
        </w:tc>
        <w:tc>
          <w:tcPr>
            <w:tcW w:w="688" w:type="dxa"/>
            <w:tcBorders>
              <w:top w:val="nil"/>
              <w:left w:val="single" w:sz="8" w:space="0" w:color="auto"/>
              <w:bottom w:val="single" w:sz="8" w:space="0" w:color="auto"/>
              <w:right w:val="single" w:sz="8" w:space="0" w:color="auto"/>
            </w:tcBorders>
            <w:shd w:val="clear" w:color="000000" w:fill="FFFF00"/>
            <w:noWrap/>
            <w:vAlign w:val="center"/>
            <w:hideMark/>
          </w:tcPr>
          <w:p w14:paraId="2EA1FAD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3,236</w:t>
            </w:r>
          </w:p>
        </w:tc>
        <w:tc>
          <w:tcPr>
            <w:tcW w:w="668" w:type="dxa"/>
            <w:tcBorders>
              <w:top w:val="nil"/>
              <w:left w:val="nil"/>
              <w:bottom w:val="single" w:sz="8" w:space="0" w:color="auto"/>
              <w:right w:val="single" w:sz="8" w:space="0" w:color="auto"/>
            </w:tcBorders>
            <w:shd w:val="clear" w:color="000000" w:fill="FFFF00"/>
            <w:noWrap/>
            <w:vAlign w:val="center"/>
            <w:hideMark/>
          </w:tcPr>
          <w:p w14:paraId="1722143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489</w:t>
            </w:r>
          </w:p>
        </w:tc>
      </w:tr>
      <w:tr w:rsidR="00836645" w:rsidRPr="00C97FD3" w14:paraId="11D50D2D"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657CF5DD"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Norfolk County (7)</w:t>
            </w:r>
          </w:p>
        </w:tc>
        <w:tc>
          <w:tcPr>
            <w:tcW w:w="584" w:type="dxa"/>
            <w:tcBorders>
              <w:top w:val="nil"/>
              <w:left w:val="nil"/>
              <w:bottom w:val="single" w:sz="8" w:space="0" w:color="auto"/>
              <w:right w:val="single" w:sz="8" w:space="0" w:color="auto"/>
            </w:tcBorders>
            <w:shd w:val="clear" w:color="auto" w:fill="auto"/>
            <w:noWrap/>
            <w:vAlign w:val="center"/>
            <w:hideMark/>
          </w:tcPr>
          <w:p w14:paraId="05F106C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25021</w:t>
            </w:r>
          </w:p>
        </w:tc>
        <w:tc>
          <w:tcPr>
            <w:tcW w:w="720" w:type="dxa"/>
            <w:tcBorders>
              <w:top w:val="nil"/>
              <w:left w:val="nil"/>
              <w:bottom w:val="single" w:sz="8" w:space="0" w:color="auto"/>
              <w:right w:val="single" w:sz="8" w:space="0" w:color="auto"/>
            </w:tcBorders>
            <w:shd w:val="clear" w:color="auto" w:fill="auto"/>
            <w:noWrap/>
            <w:vAlign w:val="center"/>
            <w:hideMark/>
          </w:tcPr>
          <w:p w14:paraId="0A9D3AC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4CE40F1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454.3</w:t>
            </w:r>
          </w:p>
        </w:tc>
        <w:tc>
          <w:tcPr>
            <w:tcW w:w="786" w:type="dxa"/>
            <w:tcBorders>
              <w:top w:val="nil"/>
              <w:left w:val="nil"/>
              <w:bottom w:val="single" w:sz="8" w:space="0" w:color="auto"/>
              <w:right w:val="single" w:sz="8" w:space="0" w:color="auto"/>
            </w:tcBorders>
            <w:shd w:val="clear" w:color="auto" w:fill="auto"/>
            <w:noWrap/>
            <w:vAlign w:val="center"/>
            <w:hideMark/>
          </w:tcPr>
          <w:p w14:paraId="64241E2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448</w:t>
            </w:r>
          </w:p>
        </w:tc>
        <w:tc>
          <w:tcPr>
            <w:tcW w:w="786" w:type="dxa"/>
            <w:tcBorders>
              <w:top w:val="nil"/>
              <w:left w:val="nil"/>
              <w:bottom w:val="single" w:sz="8" w:space="0" w:color="auto"/>
              <w:right w:val="single" w:sz="8" w:space="0" w:color="auto"/>
            </w:tcBorders>
            <w:shd w:val="clear" w:color="auto" w:fill="auto"/>
            <w:noWrap/>
            <w:vAlign w:val="center"/>
            <w:hideMark/>
          </w:tcPr>
          <w:p w14:paraId="58A4AEF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460.6</w:t>
            </w:r>
          </w:p>
        </w:tc>
        <w:tc>
          <w:tcPr>
            <w:tcW w:w="682" w:type="dxa"/>
            <w:tcBorders>
              <w:top w:val="nil"/>
              <w:left w:val="nil"/>
              <w:bottom w:val="single" w:sz="8" w:space="0" w:color="auto"/>
              <w:right w:val="single" w:sz="8" w:space="0" w:color="auto"/>
            </w:tcBorders>
            <w:shd w:val="clear" w:color="auto" w:fill="auto"/>
            <w:noWrap/>
            <w:vAlign w:val="center"/>
            <w:hideMark/>
          </w:tcPr>
          <w:p w14:paraId="40D9A89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w:t>
            </w:r>
          </w:p>
        </w:tc>
        <w:tc>
          <w:tcPr>
            <w:tcW w:w="221" w:type="dxa"/>
            <w:tcBorders>
              <w:top w:val="nil"/>
              <w:left w:val="nil"/>
              <w:bottom w:val="single" w:sz="8" w:space="0" w:color="auto"/>
              <w:right w:val="nil"/>
            </w:tcBorders>
          </w:tcPr>
          <w:p w14:paraId="7925F87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40BA6D0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760" w:type="dxa"/>
            <w:tcBorders>
              <w:top w:val="nil"/>
              <w:left w:val="nil"/>
              <w:bottom w:val="single" w:sz="8" w:space="0" w:color="auto"/>
              <w:right w:val="single" w:sz="8" w:space="0" w:color="auto"/>
            </w:tcBorders>
            <w:shd w:val="clear" w:color="auto" w:fill="auto"/>
            <w:noWrap/>
            <w:vAlign w:val="center"/>
            <w:hideMark/>
          </w:tcPr>
          <w:p w14:paraId="4AF5D0E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6</w:t>
            </w:r>
          </w:p>
        </w:tc>
        <w:tc>
          <w:tcPr>
            <w:tcW w:w="688" w:type="dxa"/>
            <w:tcBorders>
              <w:top w:val="nil"/>
              <w:left w:val="nil"/>
              <w:bottom w:val="single" w:sz="8" w:space="0" w:color="auto"/>
              <w:right w:val="single" w:sz="8" w:space="0" w:color="auto"/>
            </w:tcBorders>
            <w:shd w:val="clear" w:color="auto" w:fill="auto"/>
            <w:noWrap/>
            <w:vAlign w:val="center"/>
            <w:hideMark/>
          </w:tcPr>
          <w:p w14:paraId="535C179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4,198</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0F00F3D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2,799</w:t>
            </w:r>
          </w:p>
        </w:tc>
        <w:tc>
          <w:tcPr>
            <w:tcW w:w="668" w:type="dxa"/>
            <w:tcBorders>
              <w:top w:val="nil"/>
              <w:left w:val="nil"/>
              <w:bottom w:val="single" w:sz="8" w:space="0" w:color="auto"/>
              <w:right w:val="single" w:sz="8" w:space="0" w:color="auto"/>
            </w:tcBorders>
            <w:shd w:val="clear" w:color="auto" w:fill="auto"/>
            <w:noWrap/>
            <w:vAlign w:val="center"/>
            <w:hideMark/>
          </w:tcPr>
          <w:p w14:paraId="3298252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422</w:t>
            </w:r>
          </w:p>
        </w:tc>
      </w:tr>
      <w:tr w:rsidR="00836645" w:rsidRPr="00C97FD3" w14:paraId="5CC5DF6E"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356734F1"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Bristol County (7)</w:t>
            </w:r>
          </w:p>
        </w:tc>
        <w:tc>
          <w:tcPr>
            <w:tcW w:w="584" w:type="dxa"/>
            <w:tcBorders>
              <w:top w:val="nil"/>
              <w:left w:val="nil"/>
              <w:bottom w:val="single" w:sz="8" w:space="0" w:color="auto"/>
              <w:right w:val="single" w:sz="8" w:space="0" w:color="auto"/>
            </w:tcBorders>
            <w:shd w:val="clear" w:color="auto" w:fill="auto"/>
            <w:noWrap/>
            <w:vAlign w:val="center"/>
            <w:hideMark/>
          </w:tcPr>
          <w:p w14:paraId="5366C0D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25005</w:t>
            </w:r>
          </w:p>
        </w:tc>
        <w:tc>
          <w:tcPr>
            <w:tcW w:w="720" w:type="dxa"/>
            <w:tcBorders>
              <w:top w:val="nil"/>
              <w:left w:val="nil"/>
              <w:bottom w:val="single" w:sz="8" w:space="0" w:color="auto"/>
              <w:right w:val="single" w:sz="8" w:space="0" w:color="auto"/>
            </w:tcBorders>
            <w:shd w:val="clear" w:color="auto" w:fill="auto"/>
            <w:noWrap/>
            <w:vAlign w:val="center"/>
            <w:hideMark/>
          </w:tcPr>
          <w:p w14:paraId="2801CAC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67CD351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453.8</w:t>
            </w:r>
          </w:p>
        </w:tc>
        <w:tc>
          <w:tcPr>
            <w:tcW w:w="786" w:type="dxa"/>
            <w:tcBorders>
              <w:top w:val="nil"/>
              <w:left w:val="nil"/>
              <w:bottom w:val="single" w:sz="8" w:space="0" w:color="auto"/>
              <w:right w:val="single" w:sz="8" w:space="0" w:color="auto"/>
            </w:tcBorders>
            <w:shd w:val="clear" w:color="auto" w:fill="auto"/>
            <w:noWrap/>
            <w:vAlign w:val="center"/>
            <w:hideMark/>
          </w:tcPr>
          <w:p w14:paraId="467ABCC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446.8</w:t>
            </w:r>
          </w:p>
        </w:tc>
        <w:tc>
          <w:tcPr>
            <w:tcW w:w="786" w:type="dxa"/>
            <w:tcBorders>
              <w:top w:val="nil"/>
              <w:left w:val="nil"/>
              <w:bottom w:val="single" w:sz="8" w:space="0" w:color="auto"/>
              <w:right w:val="single" w:sz="8" w:space="0" w:color="auto"/>
            </w:tcBorders>
            <w:shd w:val="clear" w:color="auto" w:fill="auto"/>
            <w:noWrap/>
            <w:vAlign w:val="center"/>
            <w:hideMark/>
          </w:tcPr>
          <w:p w14:paraId="6DA8D6B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460.9</w:t>
            </w:r>
          </w:p>
        </w:tc>
        <w:tc>
          <w:tcPr>
            <w:tcW w:w="682" w:type="dxa"/>
            <w:tcBorders>
              <w:top w:val="nil"/>
              <w:left w:val="nil"/>
              <w:bottom w:val="single" w:sz="8" w:space="0" w:color="auto"/>
              <w:right w:val="single" w:sz="8" w:space="0" w:color="auto"/>
            </w:tcBorders>
            <w:shd w:val="clear" w:color="auto" w:fill="auto"/>
            <w:noWrap/>
            <w:vAlign w:val="center"/>
            <w:hideMark/>
          </w:tcPr>
          <w:p w14:paraId="0141FBB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5</w:t>
            </w:r>
          </w:p>
        </w:tc>
        <w:tc>
          <w:tcPr>
            <w:tcW w:w="221" w:type="dxa"/>
            <w:tcBorders>
              <w:top w:val="nil"/>
              <w:left w:val="nil"/>
              <w:bottom w:val="single" w:sz="8" w:space="0" w:color="auto"/>
              <w:right w:val="nil"/>
            </w:tcBorders>
          </w:tcPr>
          <w:p w14:paraId="5B61FE5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966E9D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760" w:type="dxa"/>
            <w:tcBorders>
              <w:top w:val="nil"/>
              <w:left w:val="nil"/>
              <w:bottom w:val="single" w:sz="8" w:space="0" w:color="auto"/>
              <w:right w:val="single" w:sz="8" w:space="0" w:color="auto"/>
            </w:tcBorders>
            <w:shd w:val="clear" w:color="auto" w:fill="auto"/>
            <w:noWrap/>
            <w:vAlign w:val="center"/>
            <w:hideMark/>
          </w:tcPr>
          <w:p w14:paraId="5C25655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c>
          <w:tcPr>
            <w:tcW w:w="688" w:type="dxa"/>
            <w:tcBorders>
              <w:top w:val="nil"/>
              <w:left w:val="nil"/>
              <w:bottom w:val="single" w:sz="8" w:space="0" w:color="auto"/>
              <w:right w:val="single" w:sz="8" w:space="0" w:color="auto"/>
            </w:tcBorders>
            <w:shd w:val="clear" w:color="auto" w:fill="auto"/>
            <w:noWrap/>
            <w:vAlign w:val="center"/>
            <w:hideMark/>
          </w:tcPr>
          <w:p w14:paraId="21ADE06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3,357</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68767F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2,238</w:t>
            </w:r>
          </w:p>
        </w:tc>
        <w:tc>
          <w:tcPr>
            <w:tcW w:w="668" w:type="dxa"/>
            <w:tcBorders>
              <w:top w:val="nil"/>
              <w:left w:val="nil"/>
              <w:bottom w:val="single" w:sz="8" w:space="0" w:color="auto"/>
              <w:right w:val="single" w:sz="8" w:space="0" w:color="auto"/>
            </w:tcBorders>
            <w:shd w:val="clear" w:color="auto" w:fill="auto"/>
            <w:noWrap/>
            <w:vAlign w:val="center"/>
            <w:hideMark/>
          </w:tcPr>
          <w:p w14:paraId="33ABB18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338</w:t>
            </w:r>
          </w:p>
        </w:tc>
      </w:tr>
      <w:tr w:rsidR="00836645" w:rsidRPr="00C97FD3" w14:paraId="21BB05F8"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2E196DEE"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Barnstable County (7)</w:t>
            </w:r>
          </w:p>
        </w:tc>
        <w:tc>
          <w:tcPr>
            <w:tcW w:w="584" w:type="dxa"/>
            <w:tcBorders>
              <w:top w:val="nil"/>
              <w:left w:val="nil"/>
              <w:bottom w:val="single" w:sz="8" w:space="0" w:color="auto"/>
              <w:right w:val="single" w:sz="8" w:space="0" w:color="auto"/>
            </w:tcBorders>
            <w:shd w:val="clear" w:color="auto" w:fill="auto"/>
            <w:noWrap/>
            <w:vAlign w:val="center"/>
            <w:hideMark/>
          </w:tcPr>
          <w:p w14:paraId="209B1DA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25001</w:t>
            </w:r>
          </w:p>
        </w:tc>
        <w:tc>
          <w:tcPr>
            <w:tcW w:w="720" w:type="dxa"/>
            <w:tcBorders>
              <w:top w:val="nil"/>
              <w:left w:val="nil"/>
              <w:bottom w:val="single" w:sz="8" w:space="0" w:color="auto"/>
              <w:right w:val="single" w:sz="8" w:space="0" w:color="auto"/>
            </w:tcBorders>
            <w:shd w:val="clear" w:color="auto" w:fill="auto"/>
            <w:noWrap/>
            <w:vAlign w:val="center"/>
            <w:hideMark/>
          </w:tcPr>
          <w:p w14:paraId="79CE43F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791378C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447.4</w:t>
            </w:r>
          </w:p>
        </w:tc>
        <w:tc>
          <w:tcPr>
            <w:tcW w:w="786" w:type="dxa"/>
            <w:tcBorders>
              <w:top w:val="nil"/>
              <w:left w:val="nil"/>
              <w:bottom w:val="single" w:sz="8" w:space="0" w:color="auto"/>
              <w:right w:val="single" w:sz="8" w:space="0" w:color="auto"/>
            </w:tcBorders>
            <w:shd w:val="clear" w:color="auto" w:fill="auto"/>
            <w:noWrap/>
            <w:vAlign w:val="center"/>
            <w:hideMark/>
          </w:tcPr>
          <w:p w14:paraId="7B0D874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437.4</w:t>
            </w:r>
          </w:p>
        </w:tc>
        <w:tc>
          <w:tcPr>
            <w:tcW w:w="786" w:type="dxa"/>
            <w:tcBorders>
              <w:top w:val="nil"/>
              <w:left w:val="nil"/>
              <w:bottom w:val="single" w:sz="8" w:space="0" w:color="auto"/>
              <w:right w:val="single" w:sz="8" w:space="0" w:color="auto"/>
            </w:tcBorders>
            <w:shd w:val="clear" w:color="auto" w:fill="auto"/>
            <w:noWrap/>
            <w:vAlign w:val="center"/>
            <w:hideMark/>
          </w:tcPr>
          <w:p w14:paraId="510B2A3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457.7</w:t>
            </w:r>
          </w:p>
        </w:tc>
        <w:tc>
          <w:tcPr>
            <w:tcW w:w="682" w:type="dxa"/>
            <w:tcBorders>
              <w:top w:val="nil"/>
              <w:left w:val="nil"/>
              <w:bottom w:val="single" w:sz="8" w:space="0" w:color="auto"/>
              <w:right w:val="single" w:sz="8" w:space="0" w:color="auto"/>
            </w:tcBorders>
            <w:shd w:val="clear" w:color="auto" w:fill="auto"/>
            <w:noWrap/>
            <w:vAlign w:val="center"/>
            <w:hideMark/>
          </w:tcPr>
          <w:p w14:paraId="345FA38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6</w:t>
            </w:r>
          </w:p>
        </w:tc>
        <w:tc>
          <w:tcPr>
            <w:tcW w:w="221" w:type="dxa"/>
            <w:tcBorders>
              <w:top w:val="nil"/>
              <w:left w:val="nil"/>
              <w:bottom w:val="single" w:sz="8" w:space="0" w:color="auto"/>
              <w:right w:val="nil"/>
            </w:tcBorders>
          </w:tcPr>
          <w:p w14:paraId="54121FB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657212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760" w:type="dxa"/>
            <w:tcBorders>
              <w:top w:val="nil"/>
              <w:left w:val="nil"/>
              <w:bottom w:val="single" w:sz="8" w:space="0" w:color="auto"/>
              <w:right w:val="single" w:sz="8" w:space="0" w:color="auto"/>
            </w:tcBorders>
            <w:shd w:val="clear" w:color="auto" w:fill="auto"/>
            <w:noWrap/>
            <w:vAlign w:val="center"/>
            <w:hideMark/>
          </w:tcPr>
          <w:p w14:paraId="67A0543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w:t>
            </w:r>
          </w:p>
        </w:tc>
        <w:tc>
          <w:tcPr>
            <w:tcW w:w="688" w:type="dxa"/>
            <w:tcBorders>
              <w:top w:val="nil"/>
              <w:left w:val="nil"/>
              <w:bottom w:val="single" w:sz="8" w:space="0" w:color="auto"/>
              <w:right w:val="single" w:sz="8" w:space="0" w:color="auto"/>
            </w:tcBorders>
            <w:shd w:val="clear" w:color="auto" w:fill="auto"/>
            <w:noWrap/>
            <w:vAlign w:val="center"/>
            <w:hideMark/>
          </w:tcPr>
          <w:p w14:paraId="0CCBF43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1,982</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0765805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1,321</w:t>
            </w:r>
          </w:p>
        </w:tc>
        <w:tc>
          <w:tcPr>
            <w:tcW w:w="668" w:type="dxa"/>
            <w:tcBorders>
              <w:top w:val="nil"/>
              <w:left w:val="nil"/>
              <w:bottom w:val="single" w:sz="8" w:space="0" w:color="auto"/>
              <w:right w:val="single" w:sz="8" w:space="0" w:color="auto"/>
            </w:tcBorders>
            <w:shd w:val="clear" w:color="auto" w:fill="auto"/>
            <w:noWrap/>
            <w:vAlign w:val="center"/>
            <w:hideMark/>
          </w:tcPr>
          <w:p w14:paraId="5BFA05B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199</w:t>
            </w:r>
          </w:p>
        </w:tc>
      </w:tr>
      <w:tr w:rsidR="00836645" w:rsidRPr="00A520F7" w14:paraId="38BF4235"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1EE0BA8F"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Hampden County (7)</w:t>
            </w:r>
          </w:p>
        </w:tc>
        <w:tc>
          <w:tcPr>
            <w:tcW w:w="584" w:type="dxa"/>
            <w:tcBorders>
              <w:top w:val="nil"/>
              <w:left w:val="nil"/>
              <w:bottom w:val="single" w:sz="8" w:space="0" w:color="auto"/>
              <w:right w:val="single" w:sz="8" w:space="0" w:color="auto"/>
            </w:tcBorders>
            <w:shd w:val="clear" w:color="auto" w:fill="auto"/>
            <w:noWrap/>
            <w:vAlign w:val="center"/>
            <w:hideMark/>
          </w:tcPr>
          <w:p w14:paraId="2E61D40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25013</w:t>
            </w:r>
          </w:p>
        </w:tc>
        <w:tc>
          <w:tcPr>
            <w:tcW w:w="720" w:type="dxa"/>
            <w:tcBorders>
              <w:top w:val="nil"/>
              <w:left w:val="nil"/>
              <w:bottom w:val="single" w:sz="8" w:space="0" w:color="auto"/>
              <w:right w:val="single" w:sz="8" w:space="0" w:color="auto"/>
            </w:tcBorders>
            <w:shd w:val="clear" w:color="auto" w:fill="auto"/>
            <w:noWrap/>
            <w:vAlign w:val="center"/>
            <w:hideMark/>
          </w:tcPr>
          <w:p w14:paraId="7A0F960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42FAD4E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436.4</w:t>
            </w:r>
          </w:p>
        </w:tc>
        <w:tc>
          <w:tcPr>
            <w:tcW w:w="786" w:type="dxa"/>
            <w:tcBorders>
              <w:top w:val="nil"/>
              <w:left w:val="nil"/>
              <w:bottom w:val="single" w:sz="8" w:space="0" w:color="auto"/>
              <w:right w:val="single" w:sz="8" w:space="0" w:color="auto"/>
            </w:tcBorders>
            <w:shd w:val="clear" w:color="auto" w:fill="auto"/>
            <w:noWrap/>
            <w:vAlign w:val="center"/>
            <w:hideMark/>
          </w:tcPr>
          <w:p w14:paraId="2BC62CE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428.6</w:t>
            </w:r>
          </w:p>
        </w:tc>
        <w:tc>
          <w:tcPr>
            <w:tcW w:w="786" w:type="dxa"/>
            <w:tcBorders>
              <w:top w:val="nil"/>
              <w:left w:val="nil"/>
              <w:bottom w:val="single" w:sz="8" w:space="0" w:color="auto"/>
              <w:right w:val="single" w:sz="8" w:space="0" w:color="auto"/>
            </w:tcBorders>
            <w:shd w:val="clear" w:color="auto" w:fill="auto"/>
            <w:noWrap/>
            <w:vAlign w:val="center"/>
            <w:hideMark/>
          </w:tcPr>
          <w:p w14:paraId="6CB69B3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444.3</w:t>
            </w:r>
          </w:p>
        </w:tc>
        <w:tc>
          <w:tcPr>
            <w:tcW w:w="682" w:type="dxa"/>
            <w:tcBorders>
              <w:top w:val="nil"/>
              <w:left w:val="nil"/>
              <w:bottom w:val="single" w:sz="8" w:space="0" w:color="auto"/>
              <w:right w:val="single" w:sz="8" w:space="0" w:color="auto"/>
            </w:tcBorders>
            <w:shd w:val="clear" w:color="auto" w:fill="auto"/>
            <w:noWrap/>
            <w:vAlign w:val="center"/>
            <w:hideMark/>
          </w:tcPr>
          <w:p w14:paraId="346CCD3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c>
          <w:tcPr>
            <w:tcW w:w="221" w:type="dxa"/>
            <w:tcBorders>
              <w:top w:val="nil"/>
              <w:left w:val="nil"/>
              <w:bottom w:val="single" w:sz="8" w:space="0" w:color="auto"/>
              <w:right w:val="nil"/>
            </w:tcBorders>
          </w:tcPr>
          <w:p w14:paraId="4D09A12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05783DC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6</w:t>
            </w:r>
          </w:p>
        </w:tc>
        <w:tc>
          <w:tcPr>
            <w:tcW w:w="760" w:type="dxa"/>
            <w:tcBorders>
              <w:top w:val="nil"/>
              <w:left w:val="nil"/>
              <w:bottom w:val="single" w:sz="8" w:space="0" w:color="auto"/>
              <w:right w:val="single" w:sz="8" w:space="0" w:color="auto"/>
            </w:tcBorders>
            <w:shd w:val="clear" w:color="auto" w:fill="auto"/>
            <w:noWrap/>
            <w:vAlign w:val="center"/>
            <w:hideMark/>
          </w:tcPr>
          <w:p w14:paraId="70E677E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w:t>
            </w:r>
          </w:p>
        </w:tc>
        <w:tc>
          <w:tcPr>
            <w:tcW w:w="688" w:type="dxa"/>
            <w:tcBorders>
              <w:top w:val="nil"/>
              <w:left w:val="nil"/>
              <w:bottom w:val="single" w:sz="8" w:space="0" w:color="auto"/>
              <w:right w:val="single" w:sz="8" w:space="0" w:color="auto"/>
            </w:tcBorders>
            <w:shd w:val="clear" w:color="auto" w:fill="auto"/>
            <w:noWrap/>
            <w:vAlign w:val="center"/>
            <w:hideMark/>
          </w:tcPr>
          <w:p w14:paraId="54936BE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2,568</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369F6EB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1,712</w:t>
            </w:r>
          </w:p>
        </w:tc>
        <w:tc>
          <w:tcPr>
            <w:tcW w:w="668" w:type="dxa"/>
            <w:tcBorders>
              <w:top w:val="nil"/>
              <w:left w:val="nil"/>
              <w:bottom w:val="single" w:sz="8" w:space="0" w:color="auto"/>
              <w:right w:val="single" w:sz="8" w:space="0" w:color="auto"/>
            </w:tcBorders>
            <w:shd w:val="clear" w:color="auto" w:fill="auto"/>
            <w:noWrap/>
            <w:vAlign w:val="center"/>
            <w:hideMark/>
          </w:tcPr>
          <w:p w14:paraId="1D67F8C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258</w:t>
            </w:r>
          </w:p>
        </w:tc>
      </w:tr>
      <w:tr w:rsidR="00836645" w:rsidRPr="00A520F7" w14:paraId="410AF056"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1C5BBE47"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lastRenderedPageBreak/>
              <w:t>Essex County (7)</w:t>
            </w:r>
          </w:p>
        </w:tc>
        <w:tc>
          <w:tcPr>
            <w:tcW w:w="584" w:type="dxa"/>
            <w:tcBorders>
              <w:top w:val="nil"/>
              <w:left w:val="nil"/>
              <w:bottom w:val="single" w:sz="8" w:space="0" w:color="auto"/>
              <w:right w:val="single" w:sz="8" w:space="0" w:color="auto"/>
            </w:tcBorders>
            <w:shd w:val="clear" w:color="auto" w:fill="auto"/>
            <w:noWrap/>
            <w:vAlign w:val="center"/>
            <w:hideMark/>
          </w:tcPr>
          <w:p w14:paraId="069F672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25009</w:t>
            </w:r>
          </w:p>
        </w:tc>
        <w:tc>
          <w:tcPr>
            <w:tcW w:w="720" w:type="dxa"/>
            <w:tcBorders>
              <w:top w:val="nil"/>
              <w:left w:val="nil"/>
              <w:bottom w:val="single" w:sz="8" w:space="0" w:color="auto"/>
              <w:right w:val="single" w:sz="8" w:space="0" w:color="auto"/>
            </w:tcBorders>
            <w:shd w:val="clear" w:color="auto" w:fill="auto"/>
            <w:noWrap/>
            <w:vAlign w:val="center"/>
            <w:hideMark/>
          </w:tcPr>
          <w:p w14:paraId="2C4560A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7C9A529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433.6</w:t>
            </w:r>
          </w:p>
        </w:tc>
        <w:tc>
          <w:tcPr>
            <w:tcW w:w="786" w:type="dxa"/>
            <w:tcBorders>
              <w:top w:val="nil"/>
              <w:left w:val="nil"/>
              <w:bottom w:val="single" w:sz="8" w:space="0" w:color="auto"/>
              <w:right w:val="single" w:sz="8" w:space="0" w:color="auto"/>
            </w:tcBorders>
            <w:shd w:val="clear" w:color="auto" w:fill="auto"/>
            <w:noWrap/>
            <w:vAlign w:val="center"/>
            <w:hideMark/>
          </w:tcPr>
          <w:p w14:paraId="476050B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427.7</w:t>
            </w:r>
          </w:p>
        </w:tc>
        <w:tc>
          <w:tcPr>
            <w:tcW w:w="786" w:type="dxa"/>
            <w:tcBorders>
              <w:top w:val="nil"/>
              <w:left w:val="nil"/>
              <w:bottom w:val="single" w:sz="8" w:space="0" w:color="auto"/>
              <w:right w:val="single" w:sz="8" w:space="0" w:color="auto"/>
            </w:tcBorders>
            <w:shd w:val="clear" w:color="auto" w:fill="auto"/>
            <w:noWrap/>
            <w:vAlign w:val="center"/>
            <w:hideMark/>
          </w:tcPr>
          <w:p w14:paraId="550543B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439.5</w:t>
            </w:r>
          </w:p>
        </w:tc>
        <w:tc>
          <w:tcPr>
            <w:tcW w:w="682" w:type="dxa"/>
            <w:tcBorders>
              <w:top w:val="nil"/>
              <w:left w:val="nil"/>
              <w:bottom w:val="single" w:sz="8" w:space="0" w:color="auto"/>
              <w:right w:val="single" w:sz="8" w:space="0" w:color="auto"/>
            </w:tcBorders>
            <w:shd w:val="clear" w:color="auto" w:fill="auto"/>
            <w:noWrap/>
            <w:vAlign w:val="center"/>
            <w:hideMark/>
          </w:tcPr>
          <w:p w14:paraId="4604798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w:t>
            </w:r>
          </w:p>
        </w:tc>
        <w:tc>
          <w:tcPr>
            <w:tcW w:w="221" w:type="dxa"/>
            <w:tcBorders>
              <w:top w:val="nil"/>
              <w:left w:val="nil"/>
              <w:bottom w:val="single" w:sz="8" w:space="0" w:color="auto"/>
              <w:right w:val="nil"/>
            </w:tcBorders>
          </w:tcPr>
          <w:p w14:paraId="34B7486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766048E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c>
          <w:tcPr>
            <w:tcW w:w="760" w:type="dxa"/>
            <w:tcBorders>
              <w:top w:val="nil"/>
              <w:left w:val="nil"/>
              <w:bottom w:val="single" w:sz="8" w:space="0" w:color="auto"/>
              <w:right w:val="single" w:sz="8" w:space="0" w:color="auto"/>
            </w:tcBorders>
            <w:shd w:val="clear" w:color="auto" w:fill="auto"/>
            <w:noWrap/>
            <w:vAlign w:val="center"/>
            <w:hideMark/>
          </w:tcPr>
          <w:p w14:paraId="66DA222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10</w:t>
            </w:r>
          </w:p>
        </w:tc>
        <w:tc>
          <w:tcPr>
            <w:tcW w:w="688" w:type="dxa"/>
            <w:tcBorders>
              <w:top w:val="nil"/>
              <w:left w:val="nil"/>
              <w:bottom w:val="single" w:sz="8" w:space="0" w:color="auto"/>
              <w:right w:val="single" w:sz="8" w:space="0" w:color="auto"/>
            </w:tcBorders>
            <w:shd w:val="clear" w:color="auto" w:fill="auto"/>
            <w:noWrap/>
            <w:vAlign w:val="center"/>
            <w:hideMark/>
          </w:tcPr>
          <w:p w14:paraId="595C463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4,509</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43FDCFD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3,006</w:t>
            </w:r>
          </w:p>
        </w:tc>
        <w:tc>
          <w:tcPr>
            <w:tcW w:w="668" w:type="dxa"/>
            <w:tcBorders>
              <w:top w:val="nil"/>
              <w:left w:val="nil"/>
              <w:bottom w:val="single" w:sz="8" w:space="0" w:color="auto"/>
              <w:right w:val="single" w:sz="8" w:space="0" w:color="auto"/>
            </w:tcBorders>
            <w:shd w:val="clear" w:color="auto" w:fill="auto"/>
            <w:noWrap/>
            <w:vAlign w:val="center"/>
            <w:hideMark/>
          </w:tcPr>
          <w:p w14:paraId="7B1A751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454</w:t>
            </w:r>
          </w:p>
        </w:tc>
      </w:tr>
      <w:tr w:rsidR="00836645" w:rsidRPr="00A520F7" w14:paraId="492344A4"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5BB2EC2E"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Nantucket County (7)</w:t>
            </w:r>
          </w:p>
        </w:tc>
        <w:tc>
          <w:tcPr>
            <w:tcW w:w="584" w:type="dxa"/>
            <w:tcBorders>
              <w:top w:val="nil"/>
              <w:left w:val="nil"/>
              <w:bottom w:val="single" w:sz="8" w:space="0" w:color="auto"/>
              <w:right w:val="single" w:sz="8" w:space="0" w:color="auto"/>
            </w:tcBorders>
            <w:shd w:val="clear" w:color="auto" w:fill="auto"/>
            <w:noWrap/>
            <w:vAlign w:val="center"/>
            <w:hideMark/>
          </w:tcPr>
          <w:p w14:paraId="7A1B91D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25019</w:t>
            </w:r>
          </w:p>
        </w:tc>
        <w:tc>
          <w:tcPr>
            <w:tcW w:w="720" w:type="dxa"/>
            <w:tcBorders>
              <w:top w:val="nil"/>
              <w:left w:val="nil"/>
              <w:bottom w:val="single" w:sz="8" w:space="0" w:color="auto"/>
              <w:right w:val="single" w:sz="8" w:space="0" w:color="auto"/>
            </w:tcBorders>
            <w:shd w:val="clear" w:color="auto" w:fill="auto"/>
            <w:noWrap/>
            <w:vAlign w:val="center"/>
            <w:hideMark/>
          </w:tcPr>
          <w:p w14:paraId="0EB73CA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Rural</w:t>
            </w:r>
          </w:p>
        </w:tc>
        <w:tc>
          <w:tcPr>
            <w:tcW w:w="701" w:type="dxa"/>
            <w:tcBorders>
              <w:top w:val="nil"/>
              <w:left w:val="nil"/>
              <w:bottom w:val="single" w:sz="8" w:space="0" w:color="auto"/>
              <w:right w:val="single" w:sz="8" w:space="0" w:color="auto"/>
            </w:tcBorders>
            <w:shd w:val="clear" w:color="auto" w:fill="auto"/>
            <w:noWrap/>
            <w:vAlign w:val="center"/>
            <w:hideMark/>
          </w:tcPr>
          <w:p w14:paraId="269F82A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419.9</w:t>
            </w:r>
          </w:p>
        </w:tc>
        <w:tc>
          <w:tcPr>
            <w:tcW w:w="786" w:type="dxa"/>
            <w:tcBorders>
              <w:top w:val="nil"/>
              <w:left w:val="nil"/>
              <w:bottom w:val="single" w:sz="8" w:space="0" w:color="auto"/>
              <w:right w:val="single" w:sz="8" w:space="0" w:color="auto"/>
            </w:tcBorders>
            <w:shd w:val="clear" w:color="auto" w:fill="auto"/>
            <w:noWrap/>
            <w:vAlign w:val="center"/>
            <w:hideMark/>
          </w:tcPr>
          <w:p w14:paraId="5064174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375.8</w:t>
            </w:r>
          </w:p>
        </w:tc>
        <w:tc>
          <w:tcPr>
            <w:tcW w:w="786" w:type="dxa"/>
            <w:tcBorders>
              <w:top w:val="nil"/>
              <w:left w:val="nil"/>
              <w:bottom w:val="single" w:sz="8" w:space="0" w:color="auto"/>
              <w:right w:val="single" w:sz="8" w:space="0" w:color="auto"/>
            </w:tcBorders>
            <w:shd w:val="clear" w:color="auto" w:fill="auto"/>
            <w:noWrap/>
            <w:vAlign w:val="center"/>
            <w:hideMark/>
          </w:tcPr>
          <w:p w14:paraId="2ADE247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468</w:t>
            </w:r>
          </w:p>
        </w:tc>
        <w:tc>
          <w:tcPr>
            <w:tcW w:w="682" w:type="dxa"/>
            <w:tcBorders>
              <w:top w:val="nil"/>
              <w:left w:val="nil"/>
              <w:bottom w:val="single" w:sz="8" w:space="0" w:color="auto"/>
              <w:right w:val="single" w:sz="8" w:space="0" w:color="auto"/>
            </w:tcBorders>
            <w:shd w:val="clear" w:color="auto" w:fill="auto"/>
            <w:noWrap/>
            <w:vAlign w:val="center"/>
            <w:hideMark/>
          </w:tcPr>
          <w:p w14:paraId="27298DA6"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w:t>
            </w:r>
          </w:p>
        </w:tc>
        <w:tc>
          <w:tcPr>
            <w:tcW w:w="221" w:type="dxa"/>
            <w:tcBorders>
              <w:top w:val="nil"/>
              <w:left w:val="nil"/>
              <w:bottom w:val="single" w:sz="8" w:space="0" w:color="auto"/>
              <w:right w:val="nil"/>
            </w:tcBorders>
          </w:tcPr>
          <w:p w14:paraId="002BD76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2CF413F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w:t>
            </w:r>
          </w:p>
        </w:tc>
        <w:tc>
          <w:tcPr>
            <w:tcW w:w="760" w:type="dxa"/>
            <w:tcBorders>
              <w:top w:val="nil"/>
              <w:left w:val="nil"/>
              <w:bottom w:val="single" w:sz="8" w:space="0" w:color="auto"/>
              <w:right w:val="single" w:sz="8" w:space="0" w:color="auto"/>
            </w:tcBorders>
            <w:shd w:val="clear" w:color="auto" w:fill="auto"/>
            <w:noWrap/>
            <w:vAlign w:val="center"/>
            <w:hideMark/>
          </w:tcPr>
          <w:p w14:paraId="2AAEBA6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688" w:type="dxa"/>
            <w:tcBorders>
              <w:top w:val="nil"/>
              <w:left w:val="nil"/>
              <w:bottom w:val="single" w:sz="8" w:space="0" w:color="auto"/>
              <w:right w:val="single" w:sz="8" w:space="0" w:color="auto"/>
            </w:tcBorders>
            <w:shd w:val="clear" w:color="auto" w:fill="auto"/>
            <w:noWrap/>
            <w:vAlign w:val="center"/>
            <w:hideMark/>
          </w:tcPr>
          <w:p w14:paraId="0C3106B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70</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4FDA538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47</w:t>
            </w:r>
          </w:p>
        </w:tc>
        <w:tc>
          <w:tcPr>
            <w:tcW w:w="668" w:type="dxa"/>
            <w:tcBorders>
              <w:top w:val="nil"/>
              <w:left w:val="nil"/>
              <w:bottom w:val="single" w:sz="8" w:space="0" w:color="auto"/>
              <w:right w:val="single" w:sz="8" w:space="0" w:color="auto"/>
            </w:tcBorders>
            <w:shd w:val="clear" w:color="auto" w:fill="auto"/>
            <w:noWrap/>
            <w:vAlign w:val="center"/>
            <w:hideMark/>
          </w:tcPr>
          <w:p w14:paraId="05C3F1E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r>
      <w:tr w:rsidR="00836645" w:rsidRPr="00A520F7" w14:paraId="2A9711C4"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690D23BD"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Middlesex County (7)</w:t>
            </w:r>
          </w:p>
        </w:tc>
        <w:tc>
          <w:tcPr>
            <w:tcW w:w="584" w:type="dxa"/>
            <w:tcBorders>
              <w:top w:val="nil"/>
              <w:left w:val="nil"/>
              <w:bottom w:val="single" w:sz="8" w:space="0" w:color="auto"/>
              <w:right w:val="single" w:sz="8" w:space="0" w:color="auto"/>
            </w:tcBorders>
            <w:shd w:val="clear" w:color="auto" w:fill="auto"/>
            <w:noWrap/>
            <w:vAlign w:val="center"/>
            <w:hideMark/>
          </w:tcPr>
          <w:p w14:paraId="3820F38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25017</w:t>
            </w:r>
          </w:p>
        </w:tc>
        <w:tc>
          <w:tcPr>
            <w:tcW w:w="720" w:type="dxa"/>
            <w:tcBorders>
              <w:top w:val="nil"/>
              <w:left w:val="nil"/>
              <w:bottom w:val="single" w:sz="8" w:space="0" w:color="auto"/>
              <w:right w:val="single" w:sz="8" w:space="0" w:color="auto"/>
            </w:tcBorders>
            <w:shd w:val="clear" w:color="auto" w:fill="auto"/>
            <w:noWrap/>
            <w:vAlign w:val="center"/>
            <w:hideMark/>
          </w:tcPr>
          <w:p w14:paraId="632B9B7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1AF930F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414</w:t>
            </w:r>
          </w:p>
        </w:tc>
        <w:tc>
          <w:tcPr>
            <w:tcW w:w="786" w:type="dxa"/>
            <w:tcBorders>
              <w:top w:val="nil"/>
              <w:left w:val="nil"/>
              <w:bottom w:val="single" w:sz="8" w:space="0" w:color="auto"/>
              <w:right w:val="single" w:sz="8" w:space="0" w:color="auto"/>
            </w:tcBorders>
            <w:shd w:val="clear" w:color="auto" w:fill="auto"/>
            <w:noWrap/>
            <w:vAlign w:val="center"/>
            <w:hideMark/>
          </w:tcPr>
          <w:p w14:paraId="64D8B87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409.9</w:t>
            </w:r>
          </w:p>
        </w:tc>
        <w:tc>
          <w:tcPr>
            <w:tcW w:w="786" w:type="dxa"/>
            <w:tcBorders>
              <w:top w:val="nil"/>
              <w:left w:val="nil"/>
              <w:bottom w:val="single" w:sz="8" w:space="0" w:color="auto"/>
              <w:right w:val="single" w:sz="8" w:space="0" w:color="auto"/>
            </w:tcBorders>
            <w:shd w:val="clear" w:color="auto" w:fill="auto"/>
            <w:noWrap/>
            <w:vAlign w:val="center"/>
            <w:hideMark/>
          </w:tcPr>
          <w:p w14:paraId="692A932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418.2</w:t>
            </w:r>
          </w:p>
        </w:tc>
        <w:tc>
          <w:tcPr>
            <w:tcW w:w="682" w:type="dxa"/>
            <w:tcBorders>
              <w:top w:val="nil"/>
              <w:left w:val="nil"/>
              <w:bottom w:val="single" w:sz="8" w:space="0" w:color="auto"/>
              <w:right w:val="single" w:sz="8" w:space="0" w:color="auto"/>
            </w:tcBorders>
            <w:shd w:val="clear" w:color="auto" w:fill="auto"/>
            <w:noWrap/>
            <w:vAlign w:val="center"/>
            <w:hideMark/>
          </w:tcPr>
          <w:p w14:paraId="215C807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10</w:t>
            </w:r>
          </w:p>
        </w:tc>
        <w:tc>
          <w:tcPr>
            <w:tcW w:w="221" w:type="dxa"/>
            <w:tcBorders>
              <w:top w:val="nil"/>
              <w:left w:val="nil"/>
              <w:bottom w:val="single" w:sz="8" w:space="0" w:color="auto"/>
              <w:right w:val="nil"/>
            </w:tcBorders>
          </w:tcPr>
          <w:p w14:paraId="74B9E0C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19F1E47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w:t>
            </w:r>
          </w:p>
        </w:tc>
        <w:tc>
          <w:tcPr>
            <w:tcW w:w="760" w:type="dxa"/>
            <w:tcBorders>
              <w:top w:val="nil"/>
              <w:left w:val="nil"/>
              <w:bottom w:val="single" w:sz="8" w:space="0" w:color="auto"/>
              <w:right w:val="single" w:sz="8" w:space="0" w:color="auto"/>
            </w:tcBorders>
            <w:shd w:val="clear" w:color="auto" w:fill="auto"/>
            <w:noWrap/>
            <w:vAlign w:val="center"/>
            <w:hideMark/>
          </w:tcPr>
          <w:p w14:paraId="6FD5F0C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13</w:t>
            </w:r>
          </w:p>
        </w:tc>
        <w:tc>
          <w:tcPr>
            <w:tcW w:w="688" w:type="dxa"/>
            <w:tcBorders>
              <w:top w:val="nil"/>
              <w:left w:val="nil"/>
              <w:bottom w:val="single" w:sz="8" w:space="0" w:color="auto"/>
              <w:right w:val="single" w:sz="8" w:space="0" w:color="auto"/>
            </w:tcBorders>
            <w:shd w:val="clear" w:color="auto" w:fill="auto"/>
            <w:noWrap/>
            <w:vAlign w:val="center"/>
            <w:hideMark/>
          </w:tcPr>
          <w:p w14:paraId="7D8417A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8,022</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4F8C559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5,348</w:t>
            </w:r>
          </w:p>
        </w:tc>
        <w:tc>
          <w:tcPr>
            <w:tcW w:w="668" w:type="dxa"/>
            <w:tcBorders>
              <w:top w:val="nil"/>
              <w:left w:val="nil"/>
              <w:bottom w:val="single" w:sz="8" w:space="0" w:color="auto"/>
              <w:right w:val="single" w:sz="8" w:space="0" w:color="auto"/>
            </w:tcBorders>
            <w:shd w:val="clear" w:color="auto" w:fill="auto"/>
            <w:noWrap/>
            <w:vAlign w:val="center"/>
            <w:hideMark/>
          </w:tcPr>
          <w:p w14:paraId="55BC0EF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807</w:t>
            </w:r>
          </w:p>
        </w:tc>
      </w:tr>
      <w:tr w:rsidR="00836645" w:rsidRPr="00A520F7" w14:paraId="30C210E1"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00916599"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Franklin County (7)</w:t>
            </w:r>
          </w:p>
        </w:tc>
        <w:tc>
          <w:tcPr>
            <w:tcW w:w="584" w:type="dxa"/>
            <w:tcBorders>
              <w:top w:val="nil"/>
              <w:left w:val="nil"/>
              <w:bottom w:val="single" w:sz="8" w:space="0" w:color="auto"/>
              <w:right w:val="single" w:sz="8" w:space="0" w:color="auto"/>
            </w:tcBorders>
            <w:shd w:val="clear" w:color="auto" w:fill="auto"/>
            <w:noWrap/>
            <w:vAlign w:val="center"/>
            <w:hideMark/>
          </w:tcPr>
          <w:p w14:paraId="64F34671"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25011</w:t>
            </w:r>
          </w:p>
        </w:tc>
        <w:tc>
          <w:tcPr>
            <w:tcW w:w="720" w:type="dxa"/>
            <w:tcBorders>
              <w:top w:val="nil"/>
              <w:left w:val="nil"/>
              <w:bottom w:val="single" w:sz="8" w:space="0" w:color="auto"/>
              <w:right w:val="single" w:sz="8" w:space="0" w:color="auto"/>
            </w:tcBorders>
            <w:shd w:val="clear" w:color="auto" w:fill="auto"/>
            <w:noWrap/>
            <w:vAlign w:val="center"/>
            <w:hideMark/>
          </w:tcPr>
          <w:p w14:paraId="63E24F2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Rural</w:t>
            </w:r>
          </w:p>
        </w:tc>
        <w:tc>
          <w:tcPr>
            <w:tcW w:w="701" w:type="dxa"/>
            <w:tcBorders>
              <w:top w:val="nil"/>
              <w:left w:val="nil"/>
              <w:bottom w:val="single" w:sz="8" w:space="0" w:color="auto"/>
              <w:right w:val="single" w:sz="8" w:space="0" w:color="auto"/>
            </w:tcBorders>
            <w:shd w:val="clear" w:color="auto" w:fill="auto"/>
            <w:noWrap/>
            <w:vAlign w:val="center"/>
            <w:hideMark/>
          </w:tcPr>
          <w:p w14:paraId="7C03FC0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410.7</w:t>
            </w:r>
          </w:p>
        </w:tc>
        <w:tc>
          <w:tcPr>
            <w:tcW w:w="786" w:type="dxa"/>
            <w:tcBorders>
              <w:top w:val="nil"/>
              <w:left w:val="nil"/>
              <w:bottom w:val="single" w:sz="8" w:space="0" w:color="auto"/>
              <w:right w:val="single" w:sz="8" w:space="0" w:color="auto"/>
            </w:tcBorders>
            <w:shd w:val="clear" w:color="auto" w:fill="auto"/>
            <w:noWrap/>
            <w:vAlign w:val="center"/>
            <w:hideMark/>
          </w:tcPr>
          <w:p w14:paraId="3FE9CAA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392.8</w:t>
            </w:r>
          </w:p>
        </w:tc>
        <w:tc>
          <w:tcPr>
            <w:tcW w:w="786" w:type="dxa"/>
            <w:tcBorders>
              <w:top w:val="nil"/>
              <w:left w:val="nil"/>
              <w:bottom w:val="single" w:sz="8" w:space="0" w:color="auto"/>
              <w:right w:val="single" w:sz="8" w:space="0" w:color="auto"/>
            </w:tcBorders>
            <w:shd w:val="clear" w:color="auto" w:fill="auto"/>
            <w:noWrap/>
            <w:vAlign w:val="center"/>
            <w:hideMark/>
          </w:tcPr>
          <w:p w14:paraId="0711392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429.3</w:t>
            </w:r>
          </w:p>
        </w:tc>
        <w:tc>
          <w:tcPr>
            <w:tcW w:w="682" w:type="dxa"/>
            <w:tcBorders>
              <w:top w:val="nil"/>
              <w:left w:val="nil"/>
              <w:bottom w:val="single" w:sz="8" w:space="0" w:color="auto"/>
              <w:right w:val="single" w:sz="8" w:space="0" w:color="auto"/>
            </w:tcBorders>
            <w:shd w:val="clear" w:color="auto" w:fill="auto"/>
            <w:noWrap/>
            <w:vAlign w:val="center"/>
            <w:hideMark/>
          </w:tcPr>
          <w:p w14:paraId="3ACB1D2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11</w:t>
            </w:r>
          </w:p>
        </w:tc>
        <w:tc>
          <w:tcPr>
            <w:tcW w:w="221" w:type="dxa"/>
            <w:tcBorders>
              <w:top w:val="nil"/>
              <w:left w:val="nil"/>
              <w:bottom w:val="single" w:sz="8" w:space="0" w:color="auto"/>
              <w:right w:val="nil"/>
            </w:tcBorders>
          </w:tcPr>
          <w:p w14:paraId="1D2A6F0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7FF173A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w:t>
            </w:r>
          </w:p>
        </w:tc>
        <w:tc>
          <w:tcPr>
            <w:tcW w:w="760" w:type="dxa"/>
            <w:tcBorders>
              <w:top w:val="nil"/>
              <w:left w:val="nil"/>
              <w:bottom w:val="single" w:sz="8" w:space="0" w:color="auto"/>
              <w:right w:val="single" w:sz="8" w:space="0" w:color="auto"/>
            </w:tcBorders>
            <w:shd w:val="clear" w:color="auto" w:fill="auto"/>
            <w:noWrap/>
            <w:vAlign w:val="center"/>
            <w:hideMark/>
          </w:tcPr>
          <w:p w14:paraId="6CEE6B9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688" w:type="dxa"/>
            <w:tcBorders>
              <w:top w:val="nil"/>
              <w:left w:val="nil"/>
              <w:bottom w:val="single" w:sz="8" w:space="0" w:color="auto"/>
              <w:right w:val="single" w:sz="8" w:space="0" w:color="auto"/>
            </w:tcBorders>
            <w:shd w:val="clear" w:color="auto" w:fill="auto"/>
            <w:noWrap/>
            <w:vAlign w:val="center"/>
            <w:hideMark/>
          </w:tcPr>
          <w:p w14:paraId="11A15F7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452</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76D7035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301</w:t>
            </w:r>
          </w:p>
        </w:tc>
        <w:tc>
          <w:tcPr>
            <w:tcW w:w="668" w:type="dxa"/>
            <w:tcBorders>
              <w:top w:val="nil"/>
              <w:left w:val="nil"/>
              <w:bottom w:val="single" w:sz="8" w:space="0" w:color="auto"/>
              <w:right w:val="single" w:sz="8" w:space="0" w:color="auto"/>
            </w:tcBorders>
            <w:shd w:val="clear" w:color="auto" w:fill="auto"/>
            <w:noWrap/>
            <w:vAlign w:val="center"/>
            <w:hideMark/>
          </w:tcPr>
          <w:p w14:paraId="31A8B8B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45</w:t>
            </w:r>
          </w:p>
        </w:tc>
      </w:tr>
      <w:tr w:rsidR="00836645" w:rsidRPr="00A520F7" w14:paraId="5ED15CB5"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200E5285"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Hampshire County (7)</w:t>
            </w:r>
          </w:p>
        </w:tc>
        <w:tc>
          <w:tcPr>
            <w:tcW w:w="584" w:type="dxa"/>
            <w:tcBorders>
              <w:top w:val="nil"/>
              <w:left w:val="nil"/>
              <w:bottom w:val="single" w:sz="8" w:space="0" w:color="auto"/>
              <w:right w:val="single" w:sz="8" w:space="0" w:color="auto"/>
            </w:tcBorders>
            <w:shd w:val="clear" w:color="auto" w:fill="auto"/>
            <w:noWrap/>
            <w:vAlign w:val="center"/>
            <w:hideMark/>
          </w:tcPr>
          <w:p w14:paraId="6080766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25015</w:t>
            </w:r>
          </w:p>
        </w:tc>
        <w:tc>
          <w:tcPr>
            <w:tcW w:w="720" w:type="dxa"/>
            <w:tcBorders>
              <w:top w:val="nil"/>
              <w:left w:val="nil"/>
              <w:bottom w:val="single" w:sz="8" w:space="0" w:color="auto"/>
              <w:right w:val="single" w:sz="8" w:space="0" w:color="auto"/>
            </w:tcBorders>
            <w:shd w:val="clear" w:color="auto" w:fill="auto"/>
            <w:noWrap/>
            <w:vAlign w:val="center"/>
            <w:hideMark/>
          </w:tcPr>
          <w:p w14:paraId="3B4C4A0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78C1CAB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406.8</w:t>
            </w:r>
          </w:p>
        </w:tc>
        <w:tc>
          <w:tcPr>
            <w:tcW w:w="786" w:type="dxa"/>
            <w:tcBorders>
              <w:top w:val="nil"/>
              <w:left w:val="nil"/>
              <w:bottom w:val="single" w:sz="8" w:space="0" w:color="auto"/>
              <w:right w:val="single" w:sz="8" w:space="0" w:color="auto"/>
            </w:tcBorders>
            <w:shd w:val="clear" w:color="auto" w:fill="auto"/>
            <w:noWrap/>
            <w:vAlign w:val="center"/>
            <w:hideMark/>
          </w:tcPr>
          <w:p w14:paraId="3D8B6B5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393.8</w:t>
            </w:r>
          </w:p>
        </w:tc>
        <w:tc>
          <w:tcPr>
            <w:tcW w:w="786" w:type="dxa"/>
            <w:tcBorders>
              <w:top w:val="nil"/>
              <w:left w:val="nil"/>
              <w:bottom w:val="single" w:sz="8" w:space="0" w:color="auto"/>
              <w:right w:val="single" w:sz="8" w:space="0" w:color="auto"/>
            </w:tcBorders>
            <w:shd w:val="clear" w:color="auto" w:fill="auto"/>
            <w:noWrap/>
            <w:vAlign w:val="center"/>
            <w:hideMark/>
          </w:tcPr>
          <w:p w14:paraId="28A272F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420.2</w:t>
            </w:r>
          </w:p>
        </w:tc>
        <w:tc>
          <w:tcPr>
            <w:tcW w:w="682" w:type="dxa"/>
            <w:tcBorders>
              <w:top w:val="nil"/>
              <w:left w:val="nil"/>
              <w:bottom w:val="single" w:sz="8" w:space="0" w:color="auto"/>
              <w:right w:val="single" w:sz="8" w:space="0" w:color="auto"/>
            </w:tcBorders>
            <w:shd w:val="clear" w:color="auto" w:fill="auto"/>
            <w:noWrap/>
            <w:vAlign w:val="center"/>
            <w:hideMark/>
          </w:tcPr>
          <w:p w14:paraId="7B21B06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12</w:t>
            </w:r>
          </w:p>
        </w:tc>
        <w:tc>
          <w:tcPr>
            <w:tcW w:w="221" w:type="dxa"/>
            <w:tcBorders>
              <w:top w:val="nil"/>
              <w:left w:val="nil"/>
              <w:bottom w:val="single" w:sz="8" w:space="0" w:color="auto"/>
              <w:right w:val="nil"/>
            </w:tcBorders>
          </w:tcPr>
          <w:p w14:paraId="5678E8C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7787359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w:t>
            </w:r>
          </w:p>
        </w:tc>
        <w:tc>
          <w:tcPr>
            <w:tcW w:w="760" w:type="dxa"/>
            <w:tcBorders>
              <w:top w:val="nil"/>
              <w:left w:val="nil"/>
              <w:bottom w:val="single" w:sz="8" w:space="0" w:color="auto"/>
              <w:right w:val="single" w:sz="8" w:space="0" w:color="auto"/>
            </w:tcBorders>
            <w:shd w:val="clear" w:color="auto" w:fill="auto"/>
            <w:noWrap/>
            <w:vAlign w:val="center"/>
            <w:hideMark/>
          </w:tcPr>
          <w:p w14:paraId="1920DCF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688" w:type="dxa"/>
            <w:tcBorders>
              <w:top w:val="nil"/>
              <w:left w:val="nil"/>
              <w:bottom w:val="single" w:sz="8" w:space="0" w:color="auto"/>
              <w:right w:val="single" w:sz="8" w:space="0" w:color="auto"/>
            </w:tcBorders>
            <w:shd w:val="clear" w:color="auto" w:fill="auto"/>
            <w:noWrap/>
            <w:vAlign w:val="center"/>
            <w:hideMark/>
          </w:tcPr>
          <w:p w14:paraId="1CCADA0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823</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D1A617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549</w:t>
            </w:r>
          </w:p>
        </w:tc>
        <w:tc>
          <w:tcPr>
            <w:tcW w:w="668" w:type="dxa"/>
            <w:tcBorders>
              <w:top w:val="nil"/>
              <w:left w:val="nil"/>
              <w:bottom w:val="single" w:sz="8" w:space="0" w:color="auto"/>
              <w:right w:val="single" w:sz="8" w:space="0" w:color="auto"/>
            </w:tcBorders>
            <w:shd w:val="clear" w:color="auto" w:fill="auto"/>
            <w:noWrap/>
            <w:vAlign w:val="center"/>
            <w:hideMark/>
          </w:tcPr>
          <w:p w14:paraId="681A94F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83</w:t>
            </w:r>
          </w:p>
        </w:tc>
      </w:tr>
      <w:tr w:rsidR="00836645" w:rsidRPr="00A520F7" w14:paraId="6769D30C"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20DE8690"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Suffolk County (7)</w:t>
            </w:r>
          </w:p>
        </w:tc>
        <w:tc>
          <w:tcPr>
            <w:tcW w:w="584" w:type="dxa"/>
            <w:tcBorders>
              <w:top w:val="nil"/>
              <w:left w:val="nil"/>
              <w:bottom w:val="single" w:sz="8" w:space="0" w:color="auto"/>
              <w:right w:val="single" w:sz="8" w:space="0" w:color="auto"/>
            </w:tcBorders>
            <w:shd w:val="clear" w:color="auto" w:fill="auto"/>
            <w:noWrap/>
            <w:vAlign w:val="center"/>
            <w:hideMark/>
          </w:tcPr>
          <w:p w14:paraId="13DD10F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25025</w:t>
            </w:r>
          </w:p>
        </w:tc>
        <w:tc>
          <w:tcPr>
            <w:tcW w:w="720" w:type="dxa"/>
            <w:tcBorders>
              <w:top w:val="nil"/>
              <w:left w:val="nil"/>
              <w:bottom w:val="single" w:sz="8" w:space="0" w:color="auto"/>
              <w:right w:val="single" w:sz="8" w:space="0" w:color="auto"/>
            </w:tcBorders>
            <w:shd w:val="clear" w:color="auto" w:fill="auto"/>
            <w:noWrap/>
            <w:vAlign w:val="center"/>
            <w:hideMark/>
          </w:tcPr>
          <w:p w14:paraId="22E1891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Urban</w:t>
            </w:r>
          </w:p>
        </w:tc>
        <w:tc>
          <w:tcPr>
            <w:tcW w:w="701" w:type="dxa"/>
            <w:tcBorders>
              <w:top w:val="nil"/>
              <w:left w:val="nil"/>
              <w:bottom w:val="single" w:sz="8" w:space="0" w:color="auto"/>
              <w:right w:val="single" w:sz="8" w:space="0" w:color="auto"/>
            </w:tcBorders>
            <w:shd w:val="clear" w:color="auto" w:fill="auto"/>
            <w:noWrap/>
            <w:vAlign w:val="center"/>
            <w:hideMark/>
          </w:tcPr>
          <w:p w14:paraId="4155D0C9"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405.5</w:t>
            </w:r>
          </w:p>
        </w:tc>
        <w:tc>
          <w:tcPr>
            <w:tcW w:w="786" w:type="dxa"/>
            <w:tcBorders>
              <w:top w:val="nil"/>
              <w:left w:val="nil"/>
              <w:bottom w:val="single" w:sz="8" w:space="0" w:color="auto"/>
              <w:right w:val="single" w:sz="8" w:space="0" w:color="auto"/>
            </w:tcBorders>
            <w:shd w:val="clear" w:color="auto" w:fill="auto"/>
            <w:noWrap/>
            <w:vAlign w:val="center"/>
            <w:hideMark/>
          </w:tcPr>
          <w:p w14:paraId="1437922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399.1</w:t>
            </w:r>
          </w:p>
        </w:tc>
        <w:tc>
          <w:tcPr>
            <w:tcW w:w="786" w:type="dxa"/>
            <w:tcBorders>
              <w:top w:val="nil"/>
              <w:left w:val="nil"/>
              <w:bottom w:val="single" w:sz="8" w:space="0" w:color="auto"/>
              <w:right w:val="single" w:sz="8" w:space="0" w:color="auto"/>
            </w:tcBorders>
            <w:shd w:val="clear" w:color="auto" w:fill="auto"/>
            <w:noWrap/>
            <w:vAlign w:val="center"/>
            <w:hideMark/>
          </w:tcPr>
          <w:p w14:paraId="32EEA18F"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412</w:t>
            </w:r>
          </w:p>
        </w:tc>
        <w:tc>
          <w:tcPr>
            <w:tcW w:w="682" w:type="dxa"/>
            <w:tcBorders>
              <w:top w:val="nil"/>
              <w:left w:val="nil"/>
              <w:bottom w:val="single" w:sz="8" w:space="0" w:color="auto"/>
              <w:right w:val="single" w:sz="8" w:space="0" w:color="auto"/>
            </w:tcBorders>
            <w:shd w:val="clear" w:color="auto" w:fill="auto"/>
            <w:noWrap/>
            <w:vAlign w:val="center"/>
            <w:hideMark/>
          </w:tcPr>
          <w:p w14:paraId="07B8B80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13</w:t>
            </w:r>
          </w:p>
        </w:tc>
        <w:tc>
          <w:tcPr>
            <w:tcW w:w="221" w:type="dxa"/>
            <w:tcBorders>
              <w:top w:val="nil"/>
              <w:left w:val="nil"/>
              <w:bottom w:val="single" w:sz="8" w:space="0" w:color="auto"/>
              <w:right w:val="nil"/>
            </w:tcBorders>
          </w:tcPr>
          <w:p w14:paraId="5479A10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5923E01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10</w:t>
            </w:r>
          </w:p>
        </w:tc>
        <w:tc>
          <w:tcPr>
            <w:tcW w:w="760" w:type="dxa"/>
            <w:tcBorders>
              <w:top w:val="nil"/>
              <w:left w:val="nil"/>
              <w:bottom w:val="single" w:sz="8" w:space="0" w:color="auto"/>
              <w:right w:val="single" w:sz="8" w:space="0" w:color="auto"/>
            </w:tcBorders>
            <w:shd w:val="clear" w:color="auto" w:fill="auto"/>
            <w:noWrap/>
            <w:vAlign w:val="center"/>
            <w:hideMark/>
          </w:tcPr>
          <w:p w14:paraId="5057A11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688" w:type="dxa"/>
            <w:tcBorders>
              <w:top w:val="nil"/>
              <w:left w:val="nil"/>
              <w:bottom w:val="single" w:sz="8" w:space="0" w:color="auto"/>
              <w:right w:val="single" w:sz="8" w:space="0" w:color="auto"/>
            </w:tcBorders>
            <w:shd w:val="clear" w:color="auto" w:fill="auto"/>
            <w:noWrap/>
            <w:vAlign w:val="center"/>
            <w:hideMark/>
          </w:tcPr>
          <w:p w14:paraId="4CCB38E2"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3,187</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2B520DEB"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2,125</w:t>
            </w:r>
          </w:p>
        </w:tc>
        <w:tc>
          <w:tcPr>
            <w:tcW w:w="668" w:type="dxa"/>
            <w:tcBorders>
              <w:top w:val="nil"/>
              <w:left w:val="nil"/>
              <w:bottom w:val="single" w:sz="8" w:space="0" w:color="auto"/>
              <w:right w:val="single" w:sz="8" w:space="0" w:color="auto"/>
            </w:tcBorders>
            <w:shd w:val="clear" w:color="auto" w:fill="auto"/>
            <w:noWrap/>
            <w:vAlign w:val="center"/>
            <w:hideMark/>
          </w:tcPr>
          <w:p w14:paraId="05ECC5B8"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321</w:t>
            </w:r>
          </w:p>
        </w:tc>
      </w:tr>
      <w:tr w:rsidR="00836645" w:rsidRPr="00A520F7" w14:paraId="405C9864" w14:textId="77777777" w:rsidTr="00BF5A6C">
        <w:trPr>
          <w:cantSplit/>
          <w:trHeight w:val="299"/>
        </w:trPr>
        <w:tc>
          <w:tcPr>
            <w:tcW w:w="1306" w:type="dxa"/>
            <w:tcBorders>
              <w:top w:val="nil"/>
              <w:left w:val="single" w:sz="8" w:space="0" w:color="auto"/>
              <w:bottom w:val="single" w:sz="8" w:space="0" w:color="auto"/>
              <w:right w:val="single" w:sz="8" w:space="0" w:color="auto"/>
            </w:tcBorders>
            <w:shd w:val="clear" w:color="auto" w:fill="auto"/>
            <w:noWrap/>
            <w:vAlign w:val="center"/>
            <w:hideMark/>
          </w:tcPr>
          <w:p w14:paraId="61D25DD5" w14:textId="77777777" w:rsidR="00836645" w:rsidRPr="00A520F7" w:rsidRDefault="00836645" w:rsidP="00836645">
            <w:pPr>
              <w:spacing w:after="0" w:line="240" w:lineRule="auto"/>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Dukes County (7)</w:t>
            </w:r>
          </w:p>
        </w:tc>
        <w:tc>
          <w:tcPr>
            <w:tcW w:w="584" w:type="dxa"/>
            <w:tcBorders>
              <w:top w:val="nil"/>
              <w:left w:val="nil"/>
              <w:bottom w:val="single" w:sz="8" w:space="0" w:color="auto"/>
              <w:right w:val="single" w:sz="8" w:space="0" w:color="auto"/>
            </w:tcBorders>
            <w:shd w:val="clear" w:color="auto" w:fill="auto"/>
            <w:noWrap/>
            <w:vAlign w:val="center"/>
            <w:hideMark/>
          </w:tcPr>
          <w:p w14:paraId="5E66927D"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25007</w:t>
            </w:r>
          </w:p>
        </w:tc>
        <w:tc>
          <w:tcPr>
            <w:tcW w:w="720" w:type="dxa"/>
            <w:tcBorders>
              <w:top w:val="nil"/>
              <w:left w:val="nil"/>
              <w:bottom w:val="single" w:sz="8" w:space="0" w:color="auto"/>
              <w:right w:val="single" w:sz="8" w:space="0" w:color="auto"/>
            </w:tcBorders>
            <w:shd w:val="clear" w:color="auto" w:fill="auto"/>
            <w:noWrap/>
            <w:vAlign w:val="center"/>
            <w:hideMark/>
          </w:tcPr>
          <w:p w14:paraId="200EA4A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Rural</w:t>
            </w:r>
          </w:p>
        </w:tc>
        <w:tc>
          <w:tcPr>
            <w:tcW w:w="701" w:type="dxa"/>
            <w:tcBorders>
              <w:top w:val="nil"/>
              <w:left w:val="nil"/>
              <w:bottom w:val="single" w:sz="8" w:space="0" w:color="auto"/>
              <w:right w:val="single" w:sz="8" w:space="0" w:color="auto"/>
            </w:tcBorders>
            <w:shd w:val="clear" w:color="auto" w:fill="auto"/>
            <w:noWrap/>
            <w:vAlign w:val="center"/>
            <w:hideMark/>
          </w:tcPr>
          <w:p w14:paraId="6CCF229C"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403.3</w:t>
            </w:r>
          </w:p>
        </w:tc>
        <w:tc>
          <w:tcPr>
            <w:tcW w:w="786" w:type="dxa"/>
            <w:tcBorders>
              <w:top w:val="nil"/>
              <w:left w:val="nil"/>
              <w:bottom w:val="single" w:sz="8" w:space="0" w:color="auto"/>
              <w:right w:val="single" w:sz="8" w:space="0" w:color="auto"/>
            </w:tcBorders>
            <w:shd w:val="clear" w:color="auto" w:fill="auto"/>
            <w:noWrap/>
            <w:vAlign w:val="center"/>
            <w:hideMark/>
          </w:tcPr>
          <w:p w14:paraId="616F9E4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371.4</w:t>
            </w:r>
          </w:p>
        </w:tc>
        <w:tc>
          <w:tcPr>
            <w:tcW w:w="786" w:type="dxa"/>
            <w:tcBorders>
              <w:top w:val="nil"/>
              <w:left w:val="nil"/>
              <w:bottom w:val="single" w:sz="8" w:space="0" w:color="auto"/>
              <w:right w:val="single" w:sz="8" w:space="0" w:color="auto"/>
            </w:tcBorders>
            <w:shd w:val="clear" w:color="auto" w:fill="auto"/>
            <w:noWrap/>
            <w:vAlign w:val="center"/>
            <w:hideMark/>
          </w:tcPr>
          <w:p w14:paraId="1216E68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437.6</w:t>
            </w:r>
          </w:p>
        </w:tc>
        <w:tc>
          <w:tcPr>
            <w:tcW w:w="682" w:type="dxa"/>
            <w:tcBorders>
              <w:top w:val="nil"/>
              <w:left w:val="nil"/>
              <w:bottom w:val="single" w:sz="8" w:space="0" w:color="auto"/>
              <w:right w:val="single" w:sz="8" w:space="0" w:color="auto"/>
            </w:tcBorders>
            <w:shd w:val="clear" w:color="auto" w:fill="auto"/>
            <w:noWrap/>
            <w:vAlign w:val="center"/>
            <w:hideMark/>
          </w:tcPr>
          <w:p w14:paraId="13968464"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221" w:type="dxa"/>
            <w:tcBorders>
              <w:top w:val="nil"/>
              <w:left w:val="nil"/>
              <w:bottom w:val="single" w:sz="8" w:space="0" w:color="auto"/>
              <w:right w:val="nil"/>
            </w:tcBorders>
          </w:tcPr>
          <w:p w14:paraId="10619E6A"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p>
        </w:tc>
        <w:tc>
          <w:tcPr>
            <w:tcW w:w="760" w:type="dxa"/>
            <w:tcBorders>
              <w:top w:val="nil"/>
              <w:left w:val="nil"/>
              <w:bottom w:val="single" w:sz="8" w:space="0" w:color="auto"/>
              <w:right w:val="single" w:sz="8" w:space="0" w:color="auto"/>
            </w:tcBorders>
            <w:shd w:val="clear" w:color="auto" w:fill="auto"/>
            <w:noWrap/>
            <w:vAlign w:val="center"/>
            <w:hideMark/>
          </w:tcPr>
          <w:p w14:paraId="0C06F0D3"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7</w:t>
            </w:r>
          </w:p>
        </w:tc>
        <w:tc>
          <w:tcPr>
            <w:tcW w:w="760" w:type="dxa"/>
            <w:tcBorders>
              <w:top w:val="nil"/>
              <w:left w:val="nil"/>
              <w:bottom w:val="single" w:sz="8" w:space="0" w:color="auto"/>
              <w:right w:val="single" w:sz="8" w:space="0" w:color="auto"/>
            </w:tcBorders>
            <w:shd w:val="clear" w:color="auto" w:fill="auto"/>
            <w:noWrap/>
            <w:vAlign w:val="center"/>
            <w:hideMark/>
          </w:tcPr>
          <w:p w14:paraId="0151777E"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c>
          <w:tcPr>
            <w:tcW w:w="688" w:type="dxa"/>
            <w:tcBorders>
              <w:top w:val="nil"/>
              <w:left w:val="nil"/>
              <w:bottom w:val="single" w:sz="8" w:space="0" w:color="auto"/>
              <w:right w:val="single" w:sz="8" w:space="0" w:color="auto"/>
            </w:tcBorders>
            <w:shd w:val="clear" w:color="auto" w:fill="auto"/>
            <w:noWrap/>
            <w:vAlign w:val="center"/>
            <w:hideMark/>
          </w:tcPr>
          <w:p w14:paraId="2D61D007"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137</w:t>
            </w:r>
          </w:p>
        </w:tc>
        <w:tc>
          <w:tcPr>
            <w:tcW w:w="688" w:type="dxa"/>
            <w:tcBorders>
              <w:top w:val="nil"/>
              <w:left w:val="single" w:sz="8" w:space="0" w:color="auto"/>
              <w:bottom w:val="single" w:sz="8" w:space="0" w:color="auto"/>
              <w:right w:val="single" w:sz="8" w:space="0" w:color="auto"/>
            </w:tcBorders>
            <w:shd w:val="clear" w:color="auto" w:fill="auto"/>
            <w:noWrap/>
            <w:vAlign w:val="center"/>
            <w:hideMark/>
          </w:tcPr>
          <w:p w14:paraId="1C765950"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91</w:t>
            </w:r>
          </w:p>
        </w:tc>
        <w:tc>
          <w:tcPr>
            <w:tcW w:w="668" w:type="dxa"/>
            <w:tcBorders>
              <w:top w:val="nil"/>
              <w:left w:val="nil"/>
              <w:bottom w:val="single" w:sz="8" w:space="0" w:color="auto"/>
              <w:right w:val="single" w:sz="8" w:space="0" w:color="auto"/>
            </w:tcBorders>
            <w:shd w:val="clear" w:color="auto" w:fill="auto"/>
            <w:noWrap/>
            <w:vAlign w:val="center"/>
            <w:hideMark/>
          </w:tcPr>
          <w:p w14:paraId="034D1CF5" w14:textId="77777777" w:rsidR="00836645" w:rsidRPr="00A520F7" w:rsidRDefault="00836645" w:rsidP="00836645">
            <w:pPr>
              <w:spacing w:after="0" w:line="240" w:lineRule="auto"/>
              <w:jc w:val="right"/>
              <w:rPr>
                <w:rFonts w:ascii="Times New Roman" w:eastAsia="Times New Roman" w:hAnsi="Times New Roman" w:cs="Times New Roman"/>
                <w:color w:val="000000"/>
                <w:sz w:val="14"/>
                <w:szCs w:val="14"/>
              </w:rPr>
            </w:pPr>
            <w:r w:rsidRPr="00A520F7">
              <w:rPr>
                <w:rFonts w:ascii="Times New Roman" w:eastAsia="Times New Roman" w:hAnsi="Times New Roman" w:cs="Times New Roman"/>
                <w:color w:val="000000"/>
                <w:sz w:val="14"/>
                <w:szCs w:val="14"/>
              </w:rPr>
              <w:t>14</w:t>
            </w:r>
          </w:p>
        </w:tc>
      </w:tr>
      <w:tr w:rsidR="00836645" w:rsidRPr="00A520F7" w14:paraId="08355068" w14:textId="77777777" w:rsidTr="00622494">
        <w:trPr>
          <w:trHeight w:val="272"/>
        </w:trPr>
        <w:tc>
          <w:tcPr>
            <w:tcW w:w="1306" w:type="dxa"/>
            <w:tcBorders>
              <w:top w:val="nil"/>
              <w:left w:val="nil"/>
              <w:bottom w:val="nil"/>
              <w:right w:val="nil"/>
            </w:tcBorders>
            <w:shd w:val="clear" w:color="auto" w:fill="auto"/>
            <w:noWrap/>
            <w:vAlign w:val="bottom"/>
            <w:hideMark/>
          </w:tcPr>
          <w:p w14:paraId="3B4F0B10" w14:textId="77777777" w:rsidR="00836645" w:rsidRPr="00A520F7" w:rsidRDefault="00836645" w:rsidP="00836645">
            <w:pPr>
              <w:spacing w:after="0" w:line="240" w:lineRule="auto"/>
              <w:rPr>
                <w:rFonts w:ascii="Aptos Narrow" w:eastAsia="Times New Roman" w:hAnsi="Aptos Narrow" w:cs="Times New Roman"/>
                <w:color w:val="000000"/>
                <w:sz w:val="12"/>
                <w:szCs w:val="12"/>
              </w:rPr>
            </w:pPr>
          </w:p>
        </w:tc>
        <w:tc>
          <w:tcPr>
            <w:tcW w:w="584" w:type="dxa"/>
            <w:tcBorders>
              <w:top w:val="nil"/>
              <w:left w:val="nil"/>
              <w:bottom w:val="nil"/>
              <w:right w:val="nil"/>
            </w:tcBorders>
            <w:shd w:val="clear" w:color="auto" w:fill="auto"/>
            <w:noWrap/>
            <w:vAlign w:val="bottom"/>
            <w:hideMark/>
          </w:tcPr>
          <w:p w14:paraId="626825A0"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20" w:type="dxa"/>
            <w:tcBorders>
              <w:top w:val="nil"/>
              <w:left w:val="nil"/>
              <w:bottom w:val="nil"/>
              <w:right w:val="nil"/>
            </w:tcBorders>
            <w:shd w:val="clear" w:color="auto" w:fill="auto"/>
            <w:noWrap/>
            <w:vAlign w:val="bottom"/>
            <w:hideMark/>
          </w:tcPr>
          <w:p w14:paraId="50784989"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01" w:type="dxa"/>
            <w:tcBorders>
              <w:top w:val="nil"/>
              <w:left w:val="nil"/>
              <w:bottom w:val="nil"/>
              <w:right w:val="nil"/>
            </w:tcBorders>
            <w:shd w:val="clear" w:color="auto" w:fill="auto"/>
            <w:noWrap/>
            <w:vAlign w:val="bottom"/>
            <w:hideMark/>
          </w:tcPr>
          <w:p w14:paraId="31A9E184"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86" w:type="dxa"/>
            <w:tcBorders>
              <w:top w:val="nil"/>
              <w:left w:val="nil"/>
              <w:bottom w:val="nil"/>
              <w:right w:val="nil"/>
            </w:tcBorders>
            <w:shd w:val="clear" w:color="auto" w:fill="auto"/>
            <w:noWrap/>
            <w:vAlign w:val="bottom"/>
            <w:hideMark/>
          </w:tcPr>
          <w:p w14:paraId="5D3D4923"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86" w:type="dxa"/>
            <w:tcBorders>
              <w:top w:val="nil"/>
              <w:left w:val="nil"/>
              <w:bottom w:val="nil"/>
              <w:right w:val="nil"/>
            </w:tcBorders>
            <w:shd w:val="clear" w:color="auto" w:fill="auto"/>
            <w:noWrap/>
            <w:vAlign w:val="bottom"/>
            <w:hideMark/>
          </w:tcPr>
          <w:p w14:paraId="132BA8CC"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682" w:type="dxa"/>
            <w:tcBorders>
              <w:top w:val="nil"/>
              <w:left w:val="nil"/>
              <w:bottom w:val="nil"/>
              <w:right w:val="nil"/>
            </w:tcBorders>
            <w:shd w:val="clear" w:color="auto" w:fill="auto"/>
            <w:noWrap/>
            <w:vAlign w:val="bottom"/>
            <w:hideMark/>
          </w:tcPr>
          <w:p w14:paraId="0CF74EDD"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221" w:type="dxa"/>
            <w:tcBorders>
              <w:top w:val="nil"/>
              <w:left w:val="nil"/>
              <w:bottom w:val="nil"/>
              <w:right w:val="nil"/>
            </w:tcBorders>
          </w:tcPr>
          <w:p w14:paraId="069922F8"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60" w:type="dxa"/>
            <w:tcBorders>
              <w:top w:val="nil"/>
              <w:left w:val="nil"/>
              <w:bottom w:val="nil"/>
              <w:right w:val="nil"/>
            </w:tcBorders>
            <w:shd w:val="clear" w:color="auto" w:fill="auto"/>
            <w:noWrap/>
            <w:vAlign w:val="bottom"/>
            <w:hideMark/>
          </w:tcPr>
          <w:p w14:paraId="3BDF3DCA"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760" w:type="dxa"/>
            <w:tcBorders>
              <w:top w:val="nil"/>
              <w:left w:val="nil"/>
              <w:bottom w:val="nil"/>
              <w:right w:val="nil"/>
            </w:tcBorders>
            <w:shd w:val="clear" w:color="auto" w:fill="auto"/>
            <w:noWrap/>
            <w:vAlign w:val="bottom"/>
            <w:hideMark/>
          </w:tcPr>
          <w:p w14:paraId="7E5242F9"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688" w:type="dxa"/>
            <w:tcBorders>
              <w:top w:val="nil"/>
              <w:left w:val="nil"/>
              <w:bottom w:val="nil"/>
              <w:right w:val="nil"/>
            </w:tcBorders>
            <w:shd w:val="clear" w:color="auto" w:fill="auto"/>
            <w:noWrap/>
            <w:vAlign w:val="bottom"/>
            <w:hideMark/>
          </w:tcPr>
          <w:p w14:paraId="34E04D6F"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688" w:type="dxa"/>
            <w:tcBorders>
              <w:top w:val="nil"/>
              <w:left w:val="nil"/>
              <w:bottom w:val="nil"/>
              <w:right w:val="nil"/>
            </w:tcBorders>
            <w:shd w:val="clear" w:color="auto" w:fill="auto"/>
            <w:noWrap/>
            <w:vAlign w:val="bottom"/>
            <w:hideMark/>
          </w:tcPr>
          <w:p w14:paraId="1C076249" w14:textId="77777777" w:rsidR="00836645" w:rsidRPr="00A520F7" w:rsidRDefault="00836645" w:rsidP="00836645">
            <w:pPr>
              <w:spacing w:after="0" w:line="240" w:lineRule="auto"/>
              <w:rPr>
                <w:rFonts w:ascii="Times New Roman" w:eastAsia="Times New Roman" w:hAnsi="Times New Roman" w:cs="Times New Roman"/>
                <w:sz w:val="10"/>
                <w:szCs w:val="10"/>
              </w:rPr>
            </w:pPr>
          </w:p>
        </w:tc>
        <w:tc>
          <w:tcPr>
            <w:tcW w:w="668" w:type="dxa"/>
            <w:tcBorders>
              <w:top w:val="nil"/>
              <w:left w:val="nil"/>
              <w:bottom w:val="nil"/>
              <w:right w:val="nil"/>
            </w:tcBorders>
            <w:shd w:val="clear" w:color="auto" w:fill="auto"/>
            <w:noWrap/>
            <w:vAlign w:val="bottom"/>
            <w:hideMark/>
          </w:tcPr>
          <w:p w14:paraId="62523E85" w14:textId="77777777" w:rsidR="00836645" w:rsidRPr="00A520F7" w:rsidRDefault="00836645" w:rsidP="00836645">
            <w:pPr>
              <w:spacing w:after="0" w:line="240" w:lineRule="auto"/>
              <w:rPr>
                <w:rFonts w:ascii="Times New Roman" w:eastAsia="Times New Roman" w:hAnsi="Times New Roman" w:cs="Times New Roman"/>
                <w:sz w:val="10"/>
                <w:szCs w:val="10"/>
              </w:rPr>
            </w:pPr>
          </w:p>
        </w:tc>
      </w:tr>
    </w:tbl>
    <w:p w14:paraId="25269801" w14:textId="471C3A32" w:rsidR="00DC379A" w:rsidRPr="00A520F7" w:rsidRDefault="00DC379A" w:rsidP="00DA1956"/>
    <w:sectPr w:rsidR="00DC379A" w:rsidRPr="00A520F7" w:rsidSect="00343BB5">
      <w:headerReference w:type="default"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621A" w14:textId="77777777" w:rsidR="00615BD3" w:rsidRDefault="00615BD3" w:rsidP="00505C31">
      <w:pPr>
        <w:spacing w:after="0" w:line="240" w:lineRule="auto"/>
      </w:pPr>
      <w:r>
        <w:separator/>
      </w:r>
    </w:p>
  </w:endnote>
  <w:endnote w:type="continuationSeparator" w:id="0">
    <w:p w14:paraId="6DF12CF9" w14:textId="77777777" w:rsidR="00615BD3" w:rsidRDefault="00615BD3" w:rsidP="00505C31">
      <w:pPr>
        <w:spacing w:after="0" w:line="240" w:lineRule="auto"/>
      </w:pPr>
      <w:r>
        <w:continuationSeparator/>
      </w:r>
    </w:p>
  </w:endnote>
  <w:endnote w:type="continuationNotice" w:id="1">
    <w:p w14:paraId="2547C20C" w14:textId="77777777" w:rsidR="00615BD3" w:rsidRDefault="00615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587248"/>
      <w:docPartObj>
        <w:docPartGallery w:val="Page Numbers (Bottom of Page)"/>
        <w:docPartUnique/>
      </w:docPartObj>
    </w:sdtPr>
    <w:sdtEndPr>
      <w:rPr>
        <w:rFonts w:ascii="Calibri" w:hAnsi="Calibri" w:cs="Calibri"/>
        <w:noProof/>
        <w:sz w:val="22"/>
        <w:szCs w:val="22"/>
      </w:rPr>
    </w:sdtEndPr>
    <w:sdtContent>
      <w:p w14:paraId="2CA72367" w14:textId="6729BC79" w:rsidR="008D07D5" w:rsidRPr="005B3FD3" w:rsidRDefault="008D07D5">
        <w:pPr>
          <w:pStyle w:val="Footer"/>
          <w:jc w:val="center"/>
          <w:rPr>
            <w:rFonts w:ascii="Calibri" w:hAnsi="Calibri" w:cs="Calibri"/>
            <w:sz w:val="22"/>
            <w:szCs w:val="22"/>
          </w:rPr>
        </w:pPr>
        <w:r w:rsidRPr="005B3FD3">
          <w:rPr>
            <w:rFonts w:ascii="Calibri" w:hAnsi="Calibri" w:cs="Calibri"/>
          </w:rPr>
          <w:fldChar w:fldCharType="begin"/>
        </w:r>
        <w:r w:rsidRPr="005B3FD3">
          <w:rPr>
            <w:rFonts w:ascii="Calibri" w:hAnsi="Calibri" w:cs="Calibri"/>
          </w:rPr>
          <w:instrText xml:space="preserve"> PAGE   \* MERGEFORMAT </w:instrText>
        </w:r>
        <w:r w:rsidRPr="005B3FD3">
          <w:rPr>
            <w:rFonts w:ascii="Calibri" w:hAnsi="Calibri" w:cs="Calibri"/>
          </w:rPr>
          <w:fldChar w:fldCharType="separate"/>
        </w:r>
        <w:r w:rsidRPr="005B3FD3">
          <w:rPr>
            <w:rFonts w:ascii="Calibri" w:hAnsi="Calibri" w:cs="Calibri"/>
            <w:noProof/>
          </w:rPr>
          <w:t>2</w:t>
        </w:r>
        <w:r w:rsidRPr="005B3FD3">
          <w:rPr>
            <w:rFonts w:ascii="Calibri" w:hAnsi="Calibri" w:cs="Calibri"/>
            <w:noProof/>
          </w:rPr>
          <w:fldChar w:fldCharType="end"/>
        </w:r>
      </w:p>
    </w:sdtContent>
  </w:sdt>
  <w:p w14:paraId="7CE4304A" w14:textId="77777777" w:rsidR="00CA2A7D" w:rsidRDefault="00CA2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30544"/>
      <w:docPartObj>
        <w:docPartGallery w:val="Page Numbers (Bottom of Page)"/>
        <w:docPartUnique/>
      </w:docPartObj>
    </w:sdtPr>
    <w:sdtEndPr>
      <w:rPr>
        <w:rFonts w:ascii="Calibri" w:hAnsi="Calibri" w:cs="Calibri"/>
        <w:noProof/>
        <w:sz w:val="22"/>
        <w:szCs w:val="22"/>
      </w:rPr>
    </w:sdtEndPr>
    <w:sdtContent>
      <w:p w14:paraId="653AB5BD" w14:textId="0DD8FB0D" w:rsidR="00533979" w:rsidRPr="0070649A" w:rsidRDefault="0070649A" w:rsidP="0070649A">
        <w:pPr>
          <w:pStyle w:val="Footer"/>
          <w:rPr>
            <w:rFonts w:ascii="Calibri" w:hAnsi="Calibri" w:cs="Calibri"/>
            <w:sz w:val="22"/>
            <w:szCs w:val="22"/>
          </w:rPr>
        </w:pPr>
        <w:r>
          <w:rPr>
            <w:rFonts w:ascii="Calibri" w:hAnsi="Calibri" w:cs="Calibri"/>
            <w:sz w:val="22"/>
            <w:szCs w:val="22"/>
          </w:rPr>
          <w:tab/>
        </w:r>
        <w:r w:rsidR="00533979" w:rsidRPr="0070649A">
          <w:rPr>
            <w:rFonts w:ascii="Calibri" w:hAnsi="Calibri" w:cs="Calibri"/>
            <w:sz w:val="22"/>
            <w:szCs w:val="22"/>
          </w:rPr>
          <w:fldChar w:fldCharType="begin"/>
        </w:r>
        <w:r w:rsidR="00533979" w:rsidRPr="0070649A">
          <w:rPr>
            <w:rFonts w:ascii="Calibri" w:hAnsi="Calibri" w:cs="Calibri"/>
            <w:sz w:val="22"/>
            <w:szCs w:val="22"/>
          </w:rPr>
          <w:instrText xml:space="preserve"> PAGE   \* MERGEFORMAT </w:instrText>
        </w:r>
        <w:r w:rsidR="00533979" w:rsidRPr="0070649A">
          <w:rPr>
            <w:rFonts w:ascii="Calibri" w:hAnsi="Calibri" w:cs="Calibri"/>
            <w:sz w:val="22"/>
            <w:szCs w:val="22"/>
          </w:rPr>
          <w:fldChar w:fldCharType="separate"/>
        </w:r>
        <w:r w:rsidR="00533979" w:rsidRPr="0070649A">
          <w:rPr>
            <w:rFonts w:ascii="Calibri" w:hAnsi="Calibri" w:cs="Calibri"/>
            <w:noProof/>
            <w:sz w:val="22"/>
            <w:szCs w:val="22"/>
          </w:rPr>
          <w:t>2</w:t>
        </w:r>
        <w:r w:rsidR="00533979" w:rsidRPr="0070649A">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4821" w14:textId="77777777" w:rsidR="00615BD3" w:rsidRDefault="00615BD3" w:rsidP="00505C31">
      <w:pPr>
        <w:spacing w:after="0" w:line="240" w:lineRule="auto"/>
      </w:pPr>
      <w:r>
        <w:separator/>
      </w:r>
    </w:p>
  </w:footnote>
  <w:footnote w:type="continuationSeparator" w:id="0">
    <w:p w14:paraId="70D1C1CF" w14:textId="77777777" w:rsidR="00615BD3" w:rsidRDefault="00615BD3" w:rsidP="00505C31">
      <w:pPr>
        <w:spacing w:after="0" w:line="240" w:lineRule="auto"/>
      </w:pPr>
      <w:r>
        <w:continuationSeparator/>
      </w:r>
    </w:p>
  </w:footnote>
  <w:footnote w:type="continuationNotice" w:id="1">
    <w:p w14:paraId="6DB8AC9F" w14:textId="77777777" w:rsidR="00615BD3" w:rsidRDefault="00615BD3">
      <w:pPr>
        <w:spacing w:after="0" w:line="240" w:lineRule="auto"/>
      </w:pPr>
    </w:p>
  </w:footnote>
  <w:footnote w:id="2">
    <w:p w14:paraId="7CB37299" w14:textId="6C2B3EB1" w:rsidR="009C113B" w:rsidRPr="00A3485B" w:rsidRDefault="009C113B" w:rsidP="00847BCF">
      <w:pPr>
        <w:pStyle w:val="FootnoteText"/>
      </w:pPr>
      <w:r>
        <w:rPr>
          <w:rStyle w:val="FootnoteReference"/>
        </w:rPr>
        <w:footnoteRef/>
      </w:r>
      <w:r>
        <w:t xml:space="preserve"> </w:t>
      </w:r>
      <w:hyperlink r:id="rId1" w:history="1">
        <w:r w:rsidRPr="00A3485B">
          <w:rPr>
            <w:rStyle w:val="Hyperlink"/>
            <w:color w:val="auto"/>
            <w:u w:val="none"/>
          </w:rPr>
          <w:t>“LCD - Proton Beam Therapy (L35075).”</w:t>
        </w:r>
      </w:hyperlink>
      <w:r w:rsidRPr="00A3485B">
        <w:t xml:space="preserve"> </w:t>
      </w:r>
      <w:r w:rsidRPr="00A3485B">
        <w:rPr>
          <w:i/>
          <w:iCs/>
        </w:rPr>
        <w:t>Cms.gov</w:t>
      </w:r>
      <w:r w:rsidRPr="00A3485B">
        <w:t xml:space="preserve">, 2019, </w:t>
      </w:r>
      <w:hyperlink r:id="rId2" w:history="1">
        <w:r w:rsidR="00A3485B" w:rsidRPr="00A3485B">
          <w:rPr>
            <w:rStyle w:val="Hyperlink"/>
            <w:color w:val="auto"/>
            <w:u w:val="none"/>
          </w:rPr>
          <w:t>www.cms.gov/medicare-coverage-database/view/lcd.aspx?lcdid=35075&amp;ver=34&amp;bc=0</w:t>
        </w:r>
      </w:hyperlink>
      <w:r w:rsidR="00A3485B" w:rsidRPr="00A3485B">
        <w:t xml:space="preserve"> </w:t>
      </w:r>
      <w:r w:rsidRPr="00A3485B">
        <w:t>. Accessed 10 June 2025.</w:t>
      </w:r>
    </w:p>
  </w:footnote>
  <w:footnote w:id="3">
    <w:p w14:paraId="29313377" w14:textId="53F78293" w:rsidR="00D94108" w:rsidRPr="00A3485B" w:rsidRDefault="00D94108" w:rsidP="00847BCF">
      <w:pPr>
        <w:pStyle w:val="FootnoteText"/>
      </w:pPr>
      <w:r w:rsidRPr="00A3485B">
        <w:rPr>
          <w:rStyle w:val="FootnoteReference"/>
        </w:rPr>
        <w:footnoteRef/>
      </w:r>
      <w:r w:rsidRPr="00A3485B">
        <w:t xml:space="preserve"> </w:t>
      </w:r>
      <w:r w:rsidRPr="00A3485B">
        <w:rPr>
          <w:i/>
          <w:iCs/>
        </w:rPr>
        <w:t>Model Policies PROTON BEAM THERAPY (PBT)</w:t>
      </w:r>
      <w:r w:rsidRPr="00A3485B">
        <w:t>. 2023</w:t>
      </w:r>
    </w:p>
  </w:footnote>
  <w:footnote w:id="4">
    <w:p w14:paraId="26C3759C" w14:textId="043366F3" w:rsidR="00D75EF4" w:rsidRPr="00A3485B" w:rsidRDefault="00D75EF4" w:rsidP="00847BCF">
      <w:pPr>
        <w:pStyle w:val="FootnoteText"/>
      </w:pPr>
      <w:r w:rsidRPr="00A3485B">
        <w:rPr>
          <w:rStyle w:val="FootnoteReference"/>
        </w:rPr>
        <w:footnoteRef/>
      </w:r>
      <w:r w:rsidRPr="00A3485B">
        <w:t xml:space="preserve"> “State Cancer Profiles &gt; Incidence Rates Table.” </w:t>
      </w:r>
      <w:r w:rsidRPr="00A3485B">
        <w:rPr>
          <w:i/>
          <w:iCs/>
        </w:rPr>
        <w:t>Statecancerprofiles.cancer.gov</w:t>
      </w:r>
      <w:r w:rsidRPr="00A3485B">
        <w:t>, statecancerprofiles.cancer.gov/</w:t>
      </w:r>
      <w:proofErr w:type="spellStart"/>
      <w:r w:rsidRPr="00A3485B">
        <w:t>incidencerates</w:t>
      </w:r>
      <w:proofErr w:type="spellEnd"/>
      <w:r w:rsidRPr="00A3485B">
        <w:t>/</w:t>
      </w:r>
      <w:proofErr w:type="spellStart"/>
      <w:r w:rsidRPr="00A3485B">
        <w:t>index.php</w:t>
      </w:r>
      <w:proofErr w:type="spellEnd"/>
      <w:r w:rsidRPr="00A3485B">
        <w:t>.</w:t>
      </w:r>
    </w:p>
  </w:footnote>
  <w:footnote w:id="5">
    <w:p w14:paraId="1233A951" w14:textId="049F048F" w:rsidR="00A76461" w:rsidRPr="00A3485B" w:rsidRDefault="00A76461" w:rsidP="00847BCF">
      <w:pPr>
        <w:pStyle w:val="FootnoteText"/>
      </w:pPr>
      <w:r w:rsidRPr="00A3485B">
        <w:rPr>
          <w:rStyle w:val="FootnoteReference"/>
        </w:rPr>
        <w:footnoteRef/>
      </w:r>
      <w:r w:rsidRPr="00A3485B">
        <w:t xml:space="preserve"> </w:t>
      </w:r>
      <w:r w:rsidR="006D792E" w:rsidRPr="00A3485B">
        <w:t xml:space="preserve">Knottnerus, Professor J. A. </w:t>
      </w:r>
      <w:hyperlink r:id="rId3" w:history="1">
        <w:r w:rsidR="006D792E" w:rsidRPr="00A3485B">
          <w:rPr>
            <w:rStyle w:val="Hyperlink"/>
            <w:i/>
            <w:iCs/>
            <w:color w:val="auto"/>
            <w:u w:val="none"/>
          </w:rPr>
          <w:t>Proton Radiotherapy Horizon Scanning Report</w:t>
        </w:r>
      </w:hyperlink>
      <w:r w:rsidR="006D792E" w:rsidRPr="00A3485B">
        <w:t xml:space="preserve">. 14 Dec. 2009, </w:t>
      </w:r>
      <w:hyperlink r:id="rId4" w:history="1">
        <w:r w:rsidR="00A3485B" w:rsidRPr="00A3485B">
          <w:rPr>
            <w:rStyle w:val="Hyperlink"/>
            <w:color w:val="auto"/>
            <w:u w:val="none"/>
          </w:rPr>
          <w:t>www.healthcouncil.nl/binaries/healthcouncil/documenten/advisory-reports/2009/12/11/proton-radiotherapy/advisory-report-proton-radiotherapy.pdf</w:t>
        </w:r>
      </w:hyperlink>
      <w:r w:rsidR="00A3485B" w:rsidRPr="00A3485B">
        <w:t xml:space="preserve"> </w:t>
      </w:r>
      <w:r w:rsidR="006D792E" w:rsidRPr="00A3485B">
        <w:t>. Accessed 4 June 2025</w:t>
      </w:r>
      <w:r w:rsidR="00485650" w:rsidRPr="00A3485B">
        <w:t>.</w:t>
      </w:r>
    </w:p>
  </w:footnote>
  <w:footnote w:id="6">
    <w:p w14:paraId="5613A8C0" w14:textId="77777777" w:rsidR="007C2466" w:rsidRPr="00A3485B" w:rsidRDefault="00A76461" w:rsidP="00847BCF">
      <w:pPr>
        <w:pStyle w:val="FootnoteText"/>
      </w:pPr>
      <w:r w:rsidRPr="00A3485B">
        <w:rPr>
          <w:rStyle w:val="FootnoteReference"/>
        </w:rPr>
        <w:footnoteRef/>
      </w:r>
      <w:r w:rsidRPr="00A3485B">
        <w:t xml:space="preserve"> </w:t>
      </w:r>
      <w:r w:rsidR="007C2466" w:rsidRPr="00A3485B">
        <w:t>The Quest for Evidence for Proton Therapy: Model-Based Approach and Precision Medicine</w:t>
      </w:r>
    </w:p>
    <w:p w14:paraId="16254B1C" w14:textId="09548034" w:rsidR="007C2466" w:rsidRPr="00A3485B" w:rsidRDefault="007C2466" w:rsidP="00847BCF">
      <w:pPr>
        <w:pStyle w:val="FootnoteText"/>
      </w:pPr>
      <w:r w:rsidRPr="00A3485B">
        <w:t>Widder, Joachim et al. International Journal of Radiation Oncology, Biology, Physics, Volume 95, Issue 1, 30 – 36.</w:t>
      </w:r>
    </w:p>
    <w:p w14:paraId="69755C5D" w14:textId="2FBF2EEA" w:rsidR="00A76461" w:rsidRPr="00A3485B" w:rsidRDefault="00A76461" w:rsidP="00847BCF">
      <w:pPr>
        <w:pStyle w:val="FootnoteText"/>
      </w:pPr>
    </w:p>
  </w:footnote>
  <w:footnote w:id="7">
    <w:p w14:paraId="2C171DBE" w14:textId="4F6272D2" w:rsidR="00DA1956" w:rsidRDefault="00DA1956" w:rsidP="00847BCF">
      <w:pPr>
        <w:pStyle w:val="FootnoteText"/>
      </w:pPr>
      <w:r w:rsidRPr="00A3485B">
        <w:rPr>
          <w:rStyle w:val="FootnoteReference"/>
        </w:rPr>
        <w:footnoteRef/>
      </w:r>
      <w:r w:rsidRPr="00A3485B">
        <w:t xml:space="preserve"> Knottnerus, Professor J. A. </w:t>
      </w:r>
      <w:hyperlink r:id="rId5" w:history="1">
        <w:r w:rsidRPr="00A3485B">
          <w:rPr>
            <w:rStyle w:val="Hyperlink"/>
            <w:i/>
            <w:iCs/>
            <w:color w:val="auto"/>
            <w:u w:val="none"/>
          </w:rPr>
          <w:t>Proton Radiotherapy Horizon Scanning Report</w:t>
        </w:r>
        <w:r w:rsidRPr="00A3485B">
          <w:rPr>
            <w:rStyle w:val="Hyperlink"/>
            <w:color w:val="auto"/>
            <w:u w:val="none"/>
          </w:rPr>
          <w:t>.</w:t>
        </w:r>
      </w:hyperlink>
      <w:r w:rsidRPr="00A3485B">
        <w:t xml:space="preserve"> 14 Dec. 2009, </w:t>
      </w:r>
      <w:hyperlink r:id="rId6" w:history="1">
        <w:r w:rsidR="00A3485B" w:rsidRPr="00A3485B">
          <w:rPr>
            <w:rStyle w:val="Hyperlink"/>
            <w:color w:val="auto"/>
            <w:u w:val="none"/>
          </w:rPr>
          <w:t>www.healthcouncil.nl/binaries/healthcouncil/documenten/advisory-reports/2009/12/11/proton-radiotherapy/advisory-report-proton-radiotherapy.pdf</w:t>
        </w:r>
      </w:hyperlink>
      <w:r w:rsidR="00A3485B" w:rsidRPr="00A3485B">
        <w:t xml:space="preserve"> </w:t>
      </w:r>
      <w:r w:rsidRPr="00A3485B">
        <w:t xml:space="preserve">. Accessed </w:t>
      </w:r>
      <w:r w:rsidRPr="002054CA">
        <w:t>4 June 2025.</w:t>
      </w:r>
    </w:p>
  </w:footnote>
  <w:footnote w:id="8">
    <w:p w14:paraId="0DDCC7DC" w14:textId="77777777" w:rsidR="00DA1956" w:rsidRDefault="00DA1956" w:rsidP="00DA1956">
      <w:pPr>
        <w:pStyle w:val="FootnoteText"/>
      </w:pPr>
      <w:r>
        <w:rPr>
          <w:rStyle w:val="FootnoteReference"/>
        </w:rPr>
        <w:footnoteRef/>
      </w:r>
      <w:r>
        <w:t xml:space="preserve"> </w:t>
      </w:r>
      <w:r w:rsidRPr="00E039CF">
        <w:t>Bengt Glimelius, et al. (2005) Number of Patients Potentially Eligible for Proton Therapy, Acta Oncologica, 44:8, 836-49</w:t>
      </w:r>
    </w:p>
  </w:footnote>
  <w:footnote w:id="9">
    <w:p w14:paraId="69EC017C" w14:textId="76812637" w:rsidR="00DA1956" w:rsidRPr="00BF5A6C" w:rsidRDefault="00DA1956" w:rsidP="00DA1956">
      <w:pPr>
        <w:pStyle w:val="FootnoteText"/>
      </w:pPr>
      <w:r>
        <w:rPr>
          <w:rStyle w:val="FootnoteReference"/>
        </w:rPr>
        <w:footnoteRef/>
      </w:r>
      <w:r>
        <w:t xml:space="preserve"> </w:t>
      </w:r>
      <w:hyperlink r:id="rId7" w:history="1">
        <w:r w:rsidR="00BF5A6C" w:rsidRPr="00BF5A6C">
          <w:rPr>
            <w:rStyle w:val="Hyperlink"/>
            <w:color w:val="auto"/>
            <w:u w:val="none"/>
          </w:rPr>
          <w:t>https://dphconwebportal.ct.gov/Report/CONAttachment_Download?aid=9342</w:t>
        </w:r>
      </w:hyperlink>
      <w:r w:rsidR="00BF5A6C" w:rsidRPr="00BF5A6C">
        <w:t xml:space="preserve"> </w:t>
      </w:r>
    </w:p>
  </w:footnote>
  <w:footnote w:id="10">
    <w:p w14:paraId="1E01E597" w14:textId="77777777" w:rsidR="00DA1956" w:rsidRPr="00BF5A6C" w:rsidRDefault="00DA1956" w:rsidP="00DA1956">
      <w:pPr>
        <w:pStyle w:val="FootnoteText"/>
      </w:pPr>
      <w:r w:rsidRPr="00BF5A6C">
        <w:rPr>
          <w:rStyle w:val="FootnoteReference"/>
        </w:rPr>
        <w:footnoteRef/>
      </w:r>
      <w:r w:rsidRPr="00BF5A6C">
        <w:t xml:space="preserve"> Global Consensus (Lancet Oncology):</w:t>
      </w:r>
    </w:p>
    <w:p w14:paraId="0679199B" w14:textId="7ACA1717" w:rsidR="00DA1956" w:rsidRPr="00BF5A6C" w:rsidRDefault="00DA1956" w:rsidP="00DA1956">
      <w:pPr>
        <w:pStyle w:val="FootnoteText"/>
      </w:pPr>
      <w:r w:rsidRPr="00BF5A6C">
        <w:t xml:space="preserve">Yan S, Ngoma TA, Ngwa W, Bortfeld TR. (2023). Global democratisation of proton radiotherapy. </w:t>
      </w:r>
      <w:r w:rsidRPr="00BF5A6C">
        <w:rPr>
          <w:i/>
          <w:iCs/>
        </w:rPr>
        <w:t>The Lancet Oncology</w:t>
      </w:r>
      <w:r w:rsidRPr="00BF5A6C">
        <w:t>, Vol. 24, Issue 6, Pages e245–e254.</w:t>
      </w:r>
    </w:p>
  </w:footnote>
  <w:footnote w:id="11">
    <w:p w14:paraId="7034A796" w14:textId="053B5C07" w:rsidR="00DA1956" w:rsidRPr="003C5BAB" w:rsidRDefault="00DA1956" w:rsidP="00DA1956">
      <w:pPr>
        <w:pStyle w:val="FootnoteText"/>
      </w:pPr>
      <w:r w:rsidRPr="00BF5A6C">
        <w:rPr>
          <w:rStyle w:val="FootnoteReference"/>
        </w:rPr>
        <w:footnoteRef/>
      </w:r>
      <w:r w:rsidRPr="00BF5A6C">
        <w:t xml:space="preserve"> </w:t>
      </w:r>
      <w:r w:rsidR="00AE1336" w:rsidRPr="00BF5A6C">
        <w:t xml:space="preserve">Knottnerus, Professor J. A. </w:t>
      </w:r>
      <w:hyperlink r:id="rId8" w:history="1">
        <w:r w:rsidR="00AE1336" w:rsidRPr="00BF5A6C">
          <w:rPr>
            <w:rStyle w:val="Hyperlink"/>
            <w:i/>
            <w:iCs/>
            <w:color w:val="auto"/>
            <w:u w:val="none"/>
          </w:rPr>
          <w:t>Proton Radiotherapy Horizon Scanning Report</w:t>
        </w:r>
        <w:r w:rsidR="00AE1336" w:rsidRPr="00BF5A6C">
          <w:rPr>
            <w:rStyle w:val="Hyperlink"/>
            <w:color w:val="auto"/>
            <w:u w:val="none"/>
          </w:rPr>
          <w:t>.</w:t>
        </w:r>
      </w:hyperlink>
      <w:r w:rsidR="00AE1336" w:rsidRPr="00BF5A6C">
        <w:t xml:space="preserve"> 14 Dec. 2009, </w:t>
      </w:r>
      <w:hyperlink r:id="rId9" w:history="1">
        <w:r w:rsidR="00BF5A6C" w:rsidRPr="00BF5A6C">
          <w:rPr>
            <w:rStyle w:val="Hyperlink"/>
            <w:color w:val="auto"/>
            <w:u w:val="none"/>
          </w:rPr>
          <w:t>www.healthcouncil.nl/binaries/healthcouncil/documenten/advisory-reports/2009/12/11/proton-radiotherapy/advisory-report-proton-radiotherapy.pdf</w:t>
        </w:r>
      </w:hyperlink>
      <w:r w:rsidR="00BF5A6C" w:rsidRPr="00BF5A6C">
        <w:t xml:space="preserve"> </w:t>
      </w:r>
      <w:r w:rsidR="00AE1336" w:rsidRPr="00BF5A6C">
        <w:t xml:space="preserve">. Accessed </w:t>
      </w:r>
      <w:r w:rsidR="00AE1336" w:rsidRPr="002054CA">
        <w:t>4 June 2025</w:t>
      </w:r>
      <w:r w:rsidR="00AE1336">
        <w:t>.</w:t>
      </w:r>
    </w:p>
  </w:footnote>
  <w:footnote w:id="12">
    <w:p w14:paraId="3CF49120" w14:textId="77777777" w:rsidR="00AE1336" w:rsidRPr="007C2466" w:rsidRDefault="00DA1956" w:rsidP="00AE1336">
      <w:pPr>
        <w:pStyle w:val="FootnoteText"/>
      </w:pPr>
      <w:r w:rsidRPr="003C5BAB">
        <w:rPr>
          <w:rStyle w:val="FootnoteReference"/>
        </w:rPr>
        <w:footnoteRef/>
      </w:r>
      <w:r w:rsidRPr="003C5BAB">
        <w:t xml:space="preserve"> </w:t>
      </w:r>
      <w:r w:rsidR="00AE1336" w:rsidRPr="007C2466">
        <w:t>The Quest for Evidence for Proton Therapy: Model-Based Approach and Precision Medicine</w:t>
      </w:r>
    </w:p>
    <w:p w14:paraId="2F0E0F38" w14:textId="495D4365" w:rsidR="00DA1956" w:rsidRPr="003C5BAB" w:rsidRDefault="00AE1336" w:rsidP="00DA1956">
      <w:pPr>
        <w:pStyle w:val="FootnoteText"/>
      </w:pPr>
      <w:r w:rsidRPr="007C2466">
        <w:t>Widder, Joachim et al.</w:t>
      </w:r>
      <w:r>
        <w:t xml:space="preserve"> </w:t>
      </w:r>
      <w:r w:rsidRPr="007C2466">
        <w:t xml:space="preserve">International Journal of Radiation Oncology, Biology, Physics, Volume 95, Issue 1, 30 </w:t>
      </w:r>
      <w:r>
        <w:t>–</w:t>
      </w:r>
      <w:r w:rsidRPr="007C2466">
        <w:t xml:space="preserve"> 36</w:t>
      </w:r>
      <w:r>
        <w:t>.</w:t>
      </w:r>
    </w:p>
  </w:footnote>
  <w:footnote w:id="13">
    <w:p w14:paraId="496A9635" w14:textId="77777777" w:rsidR="00DA1956" w:rsidRPr="003C5BAB" w:rsidRDefault="00DA1956" w:rsidP="00DA1956">
      <w:pPr>
        <w:pStyle w:val="FootnoteText"/>
      </w:pPr>
      <w:r w:rsidRPr="003C5BAB">
        <w:rPr>
          <w:rStyle w:val="FootnoteReference"/>
        </w:rPr>
        <w:footnoteRef/>
      </w:r>
      <w:r w:rsidRPr="003C5BAB">
        <w:t xml:space="preserve"> </w:t>
      </w:r>
      <w:r w:rsidRPr="002B7C0A">
        <w:rPr>
          <w:rFonts w:eastAsia="Times New Roman" w:cs="Times New Roman"/>
          <w:kern w:val="0"/>
          <w14:ligatures w14:val="none"/>
        </w:rPr>
        <w:t>Orecchia R, Fossati P, Rossi S. (2011). The national center for oncological hadron therapy: status of the project and future clinical use of the facility. Tumori Journal</w:t>
      </w:r>
    </w:p>
  </w:footnote>
  <w:footnote w:id="14">
    <w:p w14:paraId="1911584E" w14:textId="77777777" w:rsidR="00DA1956" w:rsidRPr="003C5BAB" w:rsidRDefault="00DA1956" w:rsidP="00DA1956">
      <w:pPr>
        <w:pStyle w:val="FootnoteText"/>
      </w:pPr>
      <w:r w:rsidRPr="003C5BAB">
        <w:rPr>
          <w:rStyle w:val="FootnoteReference"/>
        </w:rPr>
        <w:footnoteRef/>
      </w:r>
      <w:r w:rsidRPr="003C5BAB">
        <w:t xml:space="preserve"> </w:t>
      </w:r>
      <w:r w:rsidRPr="002B7C0A">
        <w:rPr>
          <w:rFonts w:eastAsia="Times New Roman" w:cs="Times New Roman"/>
          <w:kern w:val="0"/>
          <w14:ligatures w14:val="none"/>
        </w:rPr>
        <w:t xml:space="preserve">Burnet NG, Mee T, Gaito S, et al. (2022). Estimating the percentage of patients who might benefit from proton beam therapy instead of X-ray radiotherapy. </w:t>
      </w:r>
      <w:r w:rsidRPr="002B7C0A">
        <w:rPr>
          <w:rFonts w:eastAsia="Times New Roman" w:cs="Times New Roman"/>
          <w:i/>
          <w:iCs/>
          <w:kern w:val="0"/>
          <w14:ligatures w14:val="none"/>
        </w:rPr>
        <w:t>British Journal of Radiology</w:t>
      </w:r>
      <w:r w:rsidRPr="002B7C0A">
        <w:rPr>
          <w:rFonts w:eastAsia="Times New Roman" w:cs="Times New Roman"/>
          <w:kern w:val="0"/>
          <w14:ligatures w14:val="none"/>
        </w:rPr>
        <w:t>, 2022, DOI: 10.1259/bjr.20211175</w:t>
      </w:r>
    </w:p>
  </w:footnote>
  <w:footnote w:id="15">
    <w:p w14:paraId="49757523" w14:textId="77777777" w:rsidR="00DA1956" w:rsidRDefault="00DA1956" w:rsidP="00DA1956">
      <w:pPr>
        <w:pStyle w:val="FootnoteText"/>
      </w:pPr>
      <w:r w:rsidRPr="003C5BAB">
        <w:rPr>
          <w:rStyle w:val="FootnoteReference"/>
        </w:rPr>
        <w:footnoteRef/>
      </w:r>
      <w:r w:rsidRPr="003C5BAB">
        <w:t xml:space="preserve"> </w:t>
      </w:r>
      <w:r w:rsidRPr="002B7C0A">
        <w:rPr>
          <w:rFonts w:eastAsia="Times New Roman" w:cs="Times New Roman"/>
          <w:kern w:val="0"/>
          <w14:ligatures w14:val="none"/>
        </w:rPr>
        <w:t xml:space="preserve">Ahern V. (2021). Selecting patients for proton beam therapy. </w:t>
      </w:r>
      <w:r w:rsidRPr="002B7C0A">
        <w:rPr>
          <w:rFonts w:eastAsia="Times New Roman" w:cs="Times New Roman"/>
          <w:i/>
          <w:iCs/>
          <w:kern w:val="0"/>
          <w14:ligatures w14:val="none"/>
        </w:rPr>
        <w:t>Journal of Medical Radiation Sciences</w:t>
      </w:r>
      <w:r w:rsidRPr="002B7C0A">
        <w:rPr>
          <w:rFonts w:eastAsia="Times New Roman" w:cs="Times New Roman"/>
          <w:kern w:val="0"/>
          <w14:ligatures w14:val="none"/>
        </w:rPr>
        <w:t>, 68(1):2-3</w:t>
      </w:r>
    </w:p>
  </w:footnote>
  <w:footnote w:id="16">
    <w:p w14:paraId="77BCF408" w14:textId="01708E00" w:rsidR="00AF0847" w:rsidRDefault="00AF0847" w:rsidP="00AF0847">
      <w:pPr>
        <w:pStyle w:val="FootnoteText"/>
      </w:pPr>
      <w:r>
        <w:rPr>
          <w:rStyle w:val="FootnoteReference"/>
        </w:rPr>
        <w:footnoteRef/>
      </w:r>
      <w:r>
        <w:t xml:space="preserve"> </w:t>
      </w:r>
      <w:hyperlink r:id="rId10" w:history="1">
        <w:r w:rsidR="00CA5E72" w:rsidRPr="00BF5A6C">
          <w:rPr>
            <w:rStyle w:val="Hyperlink"/>
            <w:rFonts w:eastAsiaTheme="minorEastAsia"/>
            <w:color w:val="auto"/>
            <w:u w:val="none"/>
          </w:rPr>
          <w:t>Particle Theory Co-Operative Group</w:t>
        </w:r>
      </w:hyperlink>
      <w:r w:rsidR="00CA5E72" w:rsidRPr="00BF5A6C">
        <w:rPr>
          <w:rFonts w:eastAsiaTheme="minorEastAsia"/>
        </w:rPr>
        <w:t xml:space="preserve">, 2025, </w:t>
      </w:r>
      <w:hyperlink r:id="rId11" w:history="1">
        <w:r w:rsidR="00BF5A6C" w:rsidRPr="00BF5A6C">
          <w:rPr>
            <w:rStyle w:val="Hyperlink"/>
            <w:rFonts w:eastAsiaTheme="minorEastAsia"/>
            <w:color w:val="auto"/>
            <w:u w:val="none"/>
          </w:rPr>
          <w:t>www.ptcog.site</w:t>
        </w:r>
      </w:hyperlink>
      <w:r w:rsidR="00BF5A6C" w:rsidRPr="00BF5A6C">
        <w:rPr>
          <w:rFonts w:eastAsiaTheme="minorEastAsia"/>
        </w:rPr>
        <w:t xml:space="preserve"> </w:t>
      </w:r>
      <w:r w:rsidR="00CA5E72" w:rsidRPr="00BF5A6C">
        <w:rPr>
          <w:rFonts w:eastAsiaTheme="min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7A82" w14:textId="77777777" w:rsidR="00C97FD3" w:rsidRPr="00981052" w:rsidRDefault="00C97FD3" w:rsidP="00C97FD3">
    <w:pPr>
      <w:pStyle w:val="Header"/>
      <w:jc w:val="center"/>
      <w:rPr>
        <w:rFonts w:ascii="Calibri" w:hAnsi="Calibri" w:cs="Calibri"/>
        <w:color w:val="074F6A" w:themeColor="accent4" w:themeShade="80"/>
        <w:sz w:val="28"/>
        <w:szCs w:val="28"/>
      </w:rPr>
    </w:pPr>
    <w:r w:rsidRPr="00981052">
      <w:rPr>
        <w:rFonts w:ascii="Calibri" w:hAnsi="Calibri" w:cs="Calibri"/>
        <w:color w:val="074F6A" w:themeColor="accent4" w:themeShade="80"/>
        <w:sz w:val="28"/>
        <w:szCs w:val="28"/>
      </w:rPr>
      <w:t>UMass Memorial Health Care, Inc.# UMMH -25021208 - HE</w:t>
    </w:r>
  </w:p>
  <w:p w14:paraId="66B01BA4" w14:textId="77777777" w:rsidR="00505C31" w:rsidRDefault="00505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3170" w14:textId="0AC4C2E9" w:rsidR="00880586" w:rsidRPr="00981052" w:rsidRDefault="004C4034" w:rsidP="00981052">
    <w:pPr>
      <w:pStyle w:val="Header"/>
      <w:jc w:val="center"/>
      <w:rPr>
        <w:rFonts w:ascii="Calibri" w:hAnsi="Calibri" w:cs="Calibri"/>
        <w:color w:val="074F6A" w:themeColor="accent4" w:themeShade="80"/>
        <w:sz w:val="28"/>
        <w:szCs w:val="28"/>
      </w:rPr>
    </w:pPr>
    <w:r w:rsidRPr="00981052">
      <w:rPr>
        <w:rFonts w:ascii="Calibri" w:hAnsi="Calibri" w:cs="Calibri"/>
        <w:color w:val="074F6A" w:themeColor="accent4" w:themeShade="80"/>
        <w:sz w:val="28"/>
        <w:szCs w:val="28"/>
      </w:rPr>
      <w:t>UMass M</w:t>
    </w:r>
    <w:r w:rsidR="0031671E" w:rsidRPr="00981052">
      <w:rPr>
        <w:rFonts w:ascii="Calibri" w:hAnsi="Calibri" w:cs="Calibri"/>
        <w:color w:val="074F6A" w:themeColor="accent4" w:themeShade="80"/>
        <w:sz w:val="28"/>
        <w:szCs w:val="28"/>
      </w:rPr>
      <w:t>emorial Health Care, Inc.# UMMH</w:t>
    </w:r>
    <w:r w:rsidR="004829DF" w:rsidRPr="00981052">
      <w:rPr>
        <w:rFonts w:ascii="Calibri" w:hAnsi="Calibri" w:cs="Calibri"/>
        <w:color w:val="074F6A" w:themeColor="accent4" w:themeShade="80"/>
        <w:sz w:val="28"/>
        <w:szCs w:val="28"/>
      </w:rPr>
      <w:t xml:space="preserve"> </w:t>
    </w:r>
    <w:r w:rsidR="00981052" w:rsidRPr="00981052">
      <w:rPr>
        <w:rFonts w:ascii="Calibri" w:hAnsi="Calibri" w:cs="Calibri"/>
        <w:color w:val="074F6A" w:themeColor="accent4" w:themeShade="80"/>
        <w:sz w:val="28"/>
        <w:szCs w:val="28"/>
      </w:rPr>
      <w:t>-</w:t>
    </w:r>
    <w:r w:rsidR="004829DF" w:rsidRPr="00981052">
      <w:rPr>
        <w:rFonts w:ascii="Calibri" w:hAnsi="Calibri" w:cs="Calibri"/>
        <w:color w:val="074F6A" w:themeColor="accent4" w:themeShade="80"/>
        <w:sz w:val="28"/>
        <w:szCs w:val="28"/>
      </w:rPr>
      <w:t>25021208</w:t>
    </w:r>
    <w:r w:rsidR="00981052" w:rsidRPr="00981052">
      <w:rPr>
        <w:rFonts w:ascii="Calibri" w:hAnsi="Calibri" w:cs="Calibri"/>
        <w:color w:val="074F6A" w:themeColor="accent4" w:themeShade="80"/>
        <w:sz w:val="28"/>
        <w:szCs w:val="28"/>
      </w:rPr>
      <w:t xml:space="preserve"> </w:t>
    </w:r>
    <w:r w:rsidR="004829DF" w:rsidRPr="00981052">
      <w:rPr>
        <w:rFonts w:ascii="Calibri" w:hAnsi="Calibri" w:cs="Calibri"/>
        <w:color w:val="074F6A" w:themeColor="accent4" w:themeShade="80"/>
        <w:sz w:val="28"/>
        <w:szCs w:val="28"/>
      </w:rPr>
      <w:t>-</w:t>
    </w:r>
    <w:r w:rsidR="00981052" w:rsidRPr="00981052">
      <w:rPr>
        <w:rFonts w:ascii="Calibri" w:hAnsi="Calibri" w:cs="Calibri"/>
        <w:color w:val="074F6A" w:themeColor="accent4" w:themeShade="80"/>
        <w:sz w:val="28"/>
        <w:szCs w:val="28"/>
      </w:rPr>
      <w:t xml:space="preserve"> </w:t>
    </w:r>
    <w:r w:rsidR="004829DF" w:rsidRPr="00981052">
      <w:rPr>
        <w:rFonts w:ascii="Calibri" w:hAnsi="Calibri" w:cs="Calibri"/>
        <w:color w:val="074F6A" w:themeColor="accent4" w:themeShade="80"/>
        <w:sz w:val="28"/>
        <w:szCs w:val="28"/>
      </w:rPr>
      <w:t>HE</w:t>
    </w:r>
  </w:p>
  <w:p w14:paraId="7FF38864" w14:textId="77777777" w:rsidR="006E27F2" w:rsidRDefault="006E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E9D"/>
    <w:multiLevelType w:val="multilevel"/>
    <w:tmpl w:val="9C7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5FD8"/>
    <w:multiLevelType w:val="hybridMultilevel"/>
    <w:tmpl w:val="4B4E3C50"/>
    <w:lvl w:ilvl="0" w:tplc="0AB293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A7086"/>
    <w:multiLevelType w:val="hybridMultilevel"/>
    <w:tmpl w:val="32F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D2B59"/>
    <w:multiLevelType w:val="hybridMultilevel"/>
    <w:tmpl w:val="2BE8E1EA"/>
    <w:lvl w:ilvl="0" w:tplc="8112F9F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788B"/>
    <w:multiLevelType w:val="multilevel"/>
    <w:tmpl w:val="A14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9200D"/>
    <w:multiLevelType w:val="multilevel"/>
    <w:tmpl w:val="87D2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218"/>
    <w:multiLevelType w:val="hybridMultilevel"/>
    <w:tmpl w:val="53AC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211AB"/>
    <w:multiLevelType w:val="multilevel"/>
    <w:tmpl w:val="0066C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11BDD"/>
    <w:multiLevelType w:val="hybridMultilevel"/>
    <w:tmpl w:val="6770CE0C"/>
    <w:lvl w:ilvl="0" w:tplc="36F83F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93D60"/>
    <w:multiLevelType w:val="hybridMultilevel"/>
    <w:tmpl w:val="6882A3F6"/>
    <w:lvl w:ilvl="0" w:tplc="86887882">
      <w:start w:val="1"/>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CDCCC85C">
      <w:start w:val="1"/>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C566791"/>
    <w:multiLevelType w:val="hybridMultilevel"/>
    <w:tmpl w:val="F5846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84065A"/>
    <w:multiLevelType w:val="hybridMultilevel"/>
    <w:tmpl w:val="451240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2630696"/>
    <w:multiLevelType w:val="multilevel"/>
    <w:tmpl w:val="BE0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03C25"/>
    <w:multiLevelType w:val="multilevel"/>
    <w:tmpl w:val="1480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B4D2B"/>
    <w:multiLevelType w:val="multilevel"/>
    <w:tmpl w:val="71728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06FD7"/>
    <w:multiLevelType w:val="multilevel"/>
    <w:tmpl w:val="B7D62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56FBA"/>
    <w:multiLevelType w:val="multilevel"/>
    <w:tmpl w:val="06A6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D4365"/>
    <w:multiLevelType w:val="multilevel"/>
    <w:tmpl w:val="31563A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6173F"/>
    <w:multiLevelType w:val="multilevel"/>
    <w:tmpl w:val="EBEE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992C15"/>
    <w:multiLevelType w:val="multilevel"/>
    <w:tmpl w:val="DCC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C44CB"/>
    <w:multiLevelType w:val="hybridMultilevel"/>
    <w:tmpl w:val="9EBC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7044C"/>
    <w:multiLevelType w:val="hybridMultilevel"/>
    <w:tmpl w:val="094CF514"/>
    <w:lvl w:ilvl="0" w:tplc="C4EE9B4A">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61B5B"/>
    <w:multiLevelType w:val="hybridMultilevel"/>
    <w:tmpl w:val="610ED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852DF7"/>
    <w:multiLevelType w:val="multilevel"/>
    <w:tmpl w:val="4D2A9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32016"/>
    <w:multiLevelType w:val="multilevel"/>
    <w:tmpl w:val="2F5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740324">
    <w:abstractNumId w:val="11"/>
  </w:num>
  <w:num w:numId="2" w16cid:durableId="1187330832">
    <w:abstractNumId w:val="9"/>
  </w:num>
  <w:num w:numId="3" w16cid:durableId="731854544">
    <w:abstractNumId w:val="7"/>
  </w:num>
  <w:num w:numId="4" w16cid:durableId="2079352867">
    <w:abstractNumId w:val="10"/>
  </w:num>
  <w:num w:numId="5" w16cid:durableId="1893735305">
    <w:abstractNumId w:val="6"/>
  </w:num>
  <w:num w:numId="6" w16cid:durableId="788553934">
    <w:abstractNumId w:val="12"/>
  </w:num>
  <w:num w:numId="7" w16cid:durableId="1776631627">
    <w:abstractNumId w:val="2"/>
  </w:num>
  <w:num w:numId="8" w16cid:durableId="1873227368">
    <w:abstractNumId w:val="23"/>
  </w:num>
  <w:num w:numId="9" w16cid:durableId="1228960493">
    <w:abstractNumId w:val="21"/>
  </w:num>
  <w:num w:numId="10" w16cid:durableId="1385107204">
    <w:abstractNumId w:val="22"/>
  </w:num>
  <w:num w:numId="11" w16cid:durableId="1638216786">
    <w:abstractNumId w:val="17"/>
  </w:num>
  <w:num w:numId="12" w16cid:durableId="1318071186">
    <w:abstractNumId w:val="25"/>
  </w:num>
  <w:num w:numId="13" w16cid:durableId="582035265">
    <w:abstractNumId w:val="4"/>
  </w:num>
  <w:num w:numId="14" w16cid:durableId="1797328141">
    <w:abstractNumId w:val="5"/>
  </w:num>
  <w:num w:numId="15" w16cid:durableId="1052774813">
    <w:abstractNumId w:val="20"/>
  </w:num>
  <w:num w:numId="16" w16cid:durableId="813370056">
    <w:abstractNumId w:val="18"/>
  </w:num>
  <w:num w:numId="17" w16cid:durableId="241569238">
    <w:abstractNumId w:val="1"/>
  </w:num>
  <w:num w:numId="18" w16cid:durableId="1333214440">
    <w:abstractNumId w:val="14"/>
  </w:num>
  <w:num w:numId="19" w16cid:durableId="1811751677">
    <w:abstractNumId w:val="16"/>
  </w:num>
  <w:num w:numId="20" w16cid:durableId="789670937">
    <w:abstractNumId w:val="24"/>
  </w:num>
  <w:num w:numId="21" w16cid:durableId="633173130">
    <w:abstractNumId w:val="15"/>
  </w:num>
  <w:num w:numId="22" w16cid:durableId="2009281707">
    <w:abstractNumId w:val="8"/>
  </w:num>
  <w:num w:numId="23" w16cid:durableId="366225355">
    <w:abstractNumId w:val="3"/>
  </w:num>
  <w:num w:numId="24" w16cid:durableId="1942908715">
    <w:abstractNumId w:val="0"/>
  </w:num>
  <w:num w:numId="25" w16cid:durableId="1638801756">
    <w:abstractNumId w:val="19"/>
  </w:num>
  <w:num w:numId="26" w16cid:durableId="1314020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RCDMS||1~32366641||2~2||3~UMMHC Proton Beam Consolidated Responses to DPH Questions Final 6.10.25||5~1492||6~1638||7~WORDX||8~DOCUMENTS-GENERAL||10~6/10/2025 9:53:27 PM||11~6/10/2025 9:05:25 PM||13~65363||14~False||17~public||18~1638||19~1492||21~True||22~True||23~False||24~Pg #'s and formatting added||25~36374||26~0006||53~BHC||54~HEALC||60~UMass Memorial Health Care||61~Proton Beam Project||72~BU-HC - Health Care||73~BU-HC-Health Care||74~Healy, Kathleen G.||75~Arruda, Tanya A.||76~WORD 2007||77~Documents-General||82~docx||85~6/10/2025 9:53:27 PM||99~1/1/0001 12:00:00 AM||106~C:\Users\1492\AppData\Roaming\iManage\Work\Recent\UMass Memorial Health Care - Proton Beam Project\UMMHC Proton Beam Consolidated Responses to DPH Questions Final 6.10.25(32366641.2).docx||107~1/1/0001 12:00:00 AM||109~6/10/2025 9:55:25 PM||113~6/10/2025 9:05:28 PM||114~6/10/2025 9:53:06 PM||124~False||"/>
  </w:docVars>
  <w:rsids>
    <w:rsidRoot w:val="001960AD"/>
    <w:rsid w:val="00001A52"/>
    <w:rsid w:val="00020AD7"/>
    <w:rsid w:val="00020F84"/>
    <w:rsid w:val="00024B00"/>
    <w:rsid w:val="00025DEF"/>
    <w:rsid w:val="000272F0"/>
    <w:rsid w:val="00030D63"/>
    <w:rsid w:val="00040603"/>
    <w:rsid w:val="000523F4"/>
    <w:rsid w:val="000555EB"/>
    <w:rsid w:val="00057239"/>
    <w:rsid w:val="00066EC0"/>
    <w:rsid w:val="00072C2B"/>
    <w:rsid w:val="000837E4"/>
    <w:rsid w:val="00084AC4"/>
    <w:rsid w:val="00091C80"/>
    <w:rsid w:val="00091D34"/>
    <w:rsid w:val="000929AB"/>
    <w:rsid w:val="00097218"/>
    <w:rsid w:val="000978FB"/>
    <w:rsid w:val="000A6018"/>
    <w:rsid w:val="000A7301"/>
    <w:rsid w:val="000B1EF7"/>
    <w:rsid w:val="000B23CF"/>
    <w:rsid w:val="000C12F5"/>
    <w:rsid w:val="000C2268"/>
    <w:rsid w:val="000C5898"/>
    <w:rsid w:val="000D468F"/>
    <w:rsid w:val="000D49F6"/>
    <w:rsid w:val="000E1BE7"/>
    <w:rsid w:val="000E700B"/>
    <w:rsid w:val="0010683C"/>
    <w:rsid w:val="00112F6A"/>
    <w:rsid w:val="001164D4"/>
    <w:rsid w:val="001300A6"/>
    <w:rsid w:val="00133B0A"/>
    <w:rsid w:val="00141E0F"/>
    <w:rsid w:val="001451F9"/>
    <w:rsid w:val="00160B88"/>
    <w:rsid w:val="001650AE"/>
    <w:rsid w:val="0018257E"/>
    <w:rsid w:val="001960AD"/>
    <w:rsid w:val="001B7EEB"/>
    <w:rsid w:val="001C16F5"/>
    <w:rsid w:val="001C31D5"/>
    <w:rsid w:val="001E0DF7"/>
    <w:rsid w:val="001E122D"/>
    <w:rsid w:val="001E6683"/>
    <w:rsid w:val="001F277B"/>
    <w:rsid w:val="001F4124"/>
    <w:rsid w:val="00212E3C"/>
    <w:rsid w:val="00226688"/>
    <w:rsid w:val="00256EBB"/>
    <w:rsid w:val="00263F84"/>
    <w:rsid w:val="00270104"/>
    <w:rsid w:val="002A2EC1"/>
    <w:rsid w:val="002A544E"/>
    <w:rsid w:val="002A5A2E"/>
    <w:rsid w:val="002A642F"/>
    <w:rsid w:val="002C1081"/>
    <w:rsid w:val="002C203C"/>
    <w:rsid w:val="002C2830"/>
    <w:rsid w:val="002E2E36"/>
    <w:rsid w:val="002E7049"/>
    <w:rsid w:val="002E730E"/>
    <w:rsid w:val="0030785B"/>
    <w:rsid w:val="003157C6"/>
    <w:rsid w:val="00315BD7"/>
    <w:rsid w:val="0031671E"/>
    <w:rsid w:val="00320326"/>
    <w:rsid w:val="00324070"/>
    <w:rsid w:val="00330B86"/>
    <w:rsid w:val="003433C2"/>
    <w:rsid w:val="00343BB5"/>
    <w:rsid w:val="00350C50"/>
    <w:rsid w:val="003608C1"/>
    <w:rsid w:val="0036184C"/>
    <w:rsid w:val="00381C1E"/>
    <w:rsid w:val="003838DB"/>
    <w:rsid w:val="00392083"/>
    <w:rsid w:val="00392834"/>
    <w:rsid w:val="00397418"/>
    <w:rsid w:val="003A551E"/>
    <w:rsid w:val="003B6FD5"/>
    <w:rsid w:val="003E0407"/>
    <w:rsid w:val="003F3A94"/>
    <w:rsid w:val="003F4A00"/>
    <w:rsid w:val="003F73DE"/>
    <w:rsid w:val="00406A08"/>
    <w:rsid w:val="004118D4"/>
    <w:rsid w:val="00417422"/>
    <w:rsid w:val="00453084"/>
    <w:rsid w:val="004530C5"/>
    <w:rsid w:val="00467FB1"/>
    <w:rsid w:val="00471774"/>
    <w:rsid w:val="00475B5D"/>
    <w:rsid w:val="004829DF"/>
    <w:rsid w:val="00483B0E"/>
    <w:rsid w:val="00485650"/>
    <w:rsid w:val="00486B7A"/>
    <w:rsid w:val="004B44B8"/>
    <w:rsid w:val="004B6FD4"/>
    <w:rsid w:val="004C4034"/>
    <w:rsid w:val="004D01A7"/>
    <w:rsid w:val="004D0D02"/>
    <w:rsid w:val="004D7639"/>
    <w:rsid w:val="004F2117"/>
    <w:rsid w:val="004F2F88"/>
    <w:rsid w:val="004F3DF1"/>
    <w:rsid w:val="00505C31"/>
    <w:rsid w:val="005077F2"/>
    <w:rsid w:val="00515302"/>
    <w:rsid w:val="00522976"/>
    <w:rsid w:val="00533979"/>
    <w:rsid w:val="00543508"/>
    <w:rsid w:val="00547DF6"/>
    <w:rsid w:val="00561203"/>
    <w:rsid w:val="00563C97"/>
    <w:rsid w:val="00570816"/>
    <w:rsid w:val="00576E3E"/>
    <w:rsid w:val="00580BC3"/>
    <w:rsid w:val="0058480C"/>
    <w:rsid w:val="00586A69"/>
    <w:rsid w:val="00592160"/>
    <w:rsid w:val="00593446"/>
    <w:rsid w:val="00593BA5"/>
    <w:rsid w:val="00594016"/>
    <w:rsid w:val="00594D61"/>
    <w:rsid w:val="005A3B0F"/>
    <w:rsid w:val="005A7C0A"/>
    <w:rsid w:val="005B31CB"/>
    <w:rsid w:val="005B3FD3"/>
    <w:rsid w:val="005C0164"/>
    <w:rsid w:val="005C55AF"/>
    <w:rsid w:val="005E05E5"/>
    <w:rsid w:val="005E7AF5"/>
    <w:rsid w:val="005F5301"/>
    <w:rsid w:val="00603D46"/>
    <w:rsid w:val="00610B43"/>
    <w:rsid w:val="00610EE6"/>
    <w:rsid w:val="00615042"/>
    <w:rsid w:val="00615BD3"/>
    <w:rsid w:val="00615F2D"/>
    <w:rsid w:val="00616E7E"/>
    <w:rsid w:val="006205C1"/>
    <w:rsid w:val="006254E9"/>
    <w:rsid w:val="00627F39"/>
    <w:rsid w:val="00632DBA"/>
    <w:rsid w:val="00646F9E"/>
    <w:rsid w:val="00657694"/>
    <w:rsid w:val="0066745B"/>
    <w:rsid w:val="0066791D"/>
    <w:rsid w:val="00671FE0"/>
    <w:rsid w:val="00677158"/>
    <w:rsid w:val="00686053"/>
    <w:rsid w:val="006873B8"/>
    <w:rsid w:val="006911A8"/>
    <w:rsid w:val="006A1152"/>
    <w:rsid w:val="006A4E2A"/>
    <w:rsid w:val="006A631E"/>
    <w:rsid w:val="006A74B7"/>
    <w:rsid w:val="006C3469"/>
    <w:rsid w:val="006C50CA"/>
    <w:rsid w:val="006D5DEB"/>
    <w:rsid w:val="006D792E"/>
    <w:rsid w:val="006E27F2"/>
    <w:rsid w:val="006F76DA"/>
    <w:rsid w:val="007003EF"/>
    <w:rsid w:val="0070649A"/>
    <w:rsid w:val="007263D6"/>
    <w:rsid w:val="00727CE6"/>
    <w:rsid w:val="00730EB0"/>
    <w:rsid w:val="007345B5"/>
    <w:rsid w:val="007439E3"/>
    <w:rsid w:val="0075534C"/>
    <w:rsid w:val="00761C2C"/>
    <w:rsid w:val="00762B70"/>
    <w:rsid w:val="00771D5A"/>
    <w:rsid w:val="007732D8"/>
    <w:rsid w:val="007733A8"/>
    <w:rsid w:val="0078036C"/>
    <w:rsid w:val="00793928"/>
    <w:rsid w:val="007A1E26"/>
    <w:rsid w:val="007B1DDD"/>
    <w:rsid w:val="007C06B4"/>
    <w:rsid w:val="007C2466"/>
    <w:rsid w:val="007C4B9C"/>
    <w:rsid w:val="007C5560"/>
    <w:rsid w:val="007C710A"/>
    <w:rsid w:val="007E1091"/>
    <w:rsid w:val="007F24B3"/>
    <w:rsid w:val="007F2DEE"/>
    <w:rsid w:val="007F313D"/>
    <w:rsid w:val="007F5241"/>
    <w:rsid w:val="007F6280"/>
    <w:rsid w:val="008016DE"/>
    <w:rsid w:val="00831EC3"/>
    <w:rsid w:val="008340F0"/>
    <w:rsid w:val="00836645"/>
    <w:rsid w:val="008429A8"/>
    <w:rsid w:val="00843913"/>
    <w:rsid w:val="00847BCF"/>
    <w:rsid w:val="00856830"/>
    <w:rsid w:val="0086302B"/>
    <w:rsid w:val="008633B2"/>
    <w:rsid w:val="008633F0"/>
    <w:rsid w:val="0086702D"/>
    <w:rsid w:val="00873A4E"/>
    <w:rsid w:val="00874A47"/>
    <w:rsid w:val="00876844"/>
    <w:rsid w:val="00880586"/>
    <w:rsid w:val="00885F18"/>
    <w:rsid w:val="008862BC"/>
    <w:rsid w:val="008A2561"/>
    <w:rsid w:val="008A4DEB"/>
    <w:rsid w:val="008C6F69"/>
    <w:rsid w:val="008D07D5"/>
    <w:rsid w:val="008D0806"/>
    <w:rsid w:val="008D33CD"/>
    <w:rsid w:val="008D587E"/>
    <w:rsid w:val="008E3845"/>
    <w:rsid w:val="008F1EE3"/>
    <w:rsid w:val="009053CE"/>
    <w:rsid w:val="00911B62"/>
    <w:rsid w:val="0092458F"/>
    <w:rsid w:val="00927334"/>
    <w:rsid w:val="00932509"/>
    <w:rsid w:val="00937C73"/>
    <w:rsid w:val="0094332B"/>
    <w:rsid w:val="009608BA"/>
    <w:rsid w:val="00961A10"/>
    <w:rsid w:val="00963AD8"/>
    <w:rsid w:val="00972241"/>
    <w:rsid w:val="00976428"/>
    <w:rsid w:val="00980A0E"/>
    <w:rsid w:val="00981052"/>
    <w:rsid w:val="00985A04"/>
    <w:rsid w:val="00985ED1"/>
    <w:rsid w:val="00997112"/>
    <w:rsid w:val="009A29A7"/>
    <w:rsid w:val="009A6CEF"/>
    <w:rsid w:val="009B7AEC"/>
    <w:rsid w:val="009C113B"/>
    <w:rsid w:val="009C6FFB"/>
    <w:rsid w:val="009D3AAA"/>
    <w:rsid w:val="009F2FC8"/>
    <w:rsid w:val="009F3BC1"/>
    <w:rsid w:val="00A20024"/>
    <w:rsid w:val="00A221E4"/>
    <w:rsid w:val="00A31099"/>
    <w:rsid w:val="00A31E3F"/>
    <w:rsid w:val="00A3485B"/>
    <w:rsid w:val="00A37AC5"/>
    <w:rsid w:val="00A45748"/>
    <w:rsid w:val="00A520F7"/>
    <w:rsid w:val="00A566A0"/>
    <w:rsid w:val="00A61A16"/>
    <w:rsid w:val="00A62C9B"/>
    <w:rsid w:val="00A631DA"/>
    <w:rsid w:val="00A7285C"/>
    <w:rsid w:val="00A75390"/>
    <w:rsid w:val="00A76461"/>
    <w:rsid w:val="00A9121C"/>
    <w:rsid w:val="00A97790"/>
    <w:rsid w:val="00AA1DDF"/>
    <w:rsid w:val="00AA702E"/>
    <w:rsid w:val="00AA7AA0"/>
    <w:rsid w:val="00AE1336"/>
    <w:rsid w:val="00AF0847"/>
    <w:rsid w:val="00AF61A2"/>
    <w:rsid w:val="00B00579"/>
    <w:rsid w:val="00B144A8"/>
    <w:rsid w:val="00B22A3F"/>
    <w:rsid w:val="00B35502"/>
    <w:rsid w:val="00B3732D"/>
    <w:rsid w:val="00B42523"/>
    <w:rsid w:val="00B462A0"/>
    <w:rsid w:val="00B62BC0"/>
    <w:rsid w:val="00B63BEE"/>
    <w:rsid w:val="00B71677"/>
    <w:rsid w:val="00B731CB"/>
    <w:rsid w:val="00B9469F"/>
    <w:rsid w:val="00B94B1F"/>
    <w:rsid w:val="00BB568B"/>
    <w:rsid w:val="00BC5346"/>
    <w:rsid w:val="00BD7E58"/>
    <w:rsid w:val="00BE1F8A"/>
    <w:rsid w:val="00BE2851"/>
    <w:rsid w:val="00BE2F6B"/>
    <w:rsid w:val="00BF2E99"/>
    <w:rsid w:val="00BF5A6C"/>
    <w:rsid w:val="00C018B2"/>
    <w:rsid w:val="00C06525"/>
    <w:rsid w:val="00C104C6"/>
    <w:rsid w:val="00C12D4C"/>
    <w:rsid w:val="00C16E7A"/>
    <w:rsid w:val="00C17581"/>
    <w:rsid w:val="00C22607"/>
    <w:rsid w:val="00C27D32"/>
    <w:rsid w:val="00C34641"/>
    <w:rsid w:val="00C40C09"/>
    <w:rsid w:val="00C43469"/>
    <w:rsid w:val="00C47CD5"/>
    <w:rsid w:val="00C51A02"/>
    <w:rsid w:val="00C51C77"/>
    <w:rsid w:val="00C66738"/>
    <w:rsid w:val="00C727EC"/>
    <w:rsid w:val="00C73DCF"/>
    <w:rsid w:val="00C91358"/>
    <w:rsid w:val="00C97FD3"/>
    <w:rsid w:val="00CA2A7D"/>
    <w:rsid w:val="00CA3F19"/>
    <w:rsid w:val="00CA5E72"/>
    <w:rsid w:val="00CB06AF"/>
    <w:rsid w:val="00CC2E61"/>
    <w:rsid w:val="00CC533D"/>
    <w:rsid w:val="00CD0C74"/>
    <w:rsid w:val="00CD15AC"/>
    <w:rsid w:val="00CD1B95"/>
    <w:rsid w:val="00CD6CA9"/>
    <w:rsid w:val="00CE1F45"/>
    <w:rsid w:val="00CF25F6"/>
    <w:rsid w:val="00CF48E3"/>
    <w:rsid w:val="00D01868"/>
    <w:rsid w:val="00D05B55"/>
    <w:rsid w:val="00D129D9"/>
    <w:rsid w:val="00D12E23"/>
    <w:rsid w:val="00D217C7"/>
    <w:rsid w:val="00D24F74"/>
    <w:rsid w:val="00D27448"/>
    <w:rsid w:val="00D278E6"/>
    <w:rsid w:val="00D32807"/>
    <w:rsid w:val="00D37A97"/>
    <w:rsid w:val="00D41729"/>
    <w:rsid w:val="00D4516F"/>
    <w:rsid w:val="00D452DA"/>
    <w:rsid w:val="00D51C39"/>
    <w:rsid w:val="00D53307"/>
    <w:rsid w:val="00D55723"/>
    <w:rsid w:val="00D566A5"/>
    <w:rsid w:val="00D610F0"/>
    <w:rsid w:val="00D62CE2"/>
    <w:rsid w:val="00D630EE"/>
    <w:rsid w:val="00D75EF4"/>
    <w:rsid w:val="00D80243"/>
    <w:rsid w:val="00D81F3F"/>
    <w:rsid w:val="00D86141"/>
    <w:rsid w:val="00D86BC0"/>
    <w:rsid w:val="00D901F1"/>
    <w:rsid w:val="00D94108"/>
    <w:rsid w:val="00D94957"/>
    <w:rsid w:val="00D94B51"/>
    <w:rsid w:val="00D95BC7"/>
    <w:rsid w:val="00D96DC2"/>
    <w:rsid w:val="00DA1956"/>
    <w:rsid w:val="00DA3816"/>
    <w:rsid w:val="00DA7263"/>
    <w:rsid w:val="00DB260A"/>
    <w:rsid w:val="00DC1566"/>
    <w:rsid w:val="00DC36A7"/>
    <w:rsid w:val="00DC379A"/>
    <w:rsid w:val="00DC6094"/>
    <w:rsid w:val="00DD58F5"/>
    <w:rsid w:val="00DD6DF4"/>
    <w:rsid w:val="00DD772A"/>
    <w:rsid w:val="00DD7749"/>
    <w:rsid w:val="00DE1138"/>
    <w:rsid w:val="00DE66CB"/>
    <w:rsid w:val="00E03A8D"/>
    <w:rsid w:val="00E05CB1"/>
    <w:rsid w:val="00E167D0"/>
    <w:rsid w:val="00E175BC"/>
    <w:rsid w:val="00E41A0F"/>
    <w:rsid w:val="00E53399"/>
    <w:rsid w:val="00E53585"/>
    <w:rsid w:val="00E5726A"/>
    <w:rsid w:val="00E6086F"/>
    <w:rsid w:val="00E67278"/>
    <w:rsid w:val="00E859BA"/>
    <w:rsid w:val="00EA5B66"/>
    <w:rsid w:val="00EB29C8"/>
    <w:rsid w:val="00EB6FF8"/>
    <w:rsid w:val="00EC2632"/>
    <w:rsid w:val="00EC3C81"/>
    <w:rsid w:val="00EE60D3"/>
    <w:rsid w:val="00EF18E0"/>
    <w:rsid w:val="00F12DD0"/>
    <w:rsid w:val="00F13F9A"/>
    <w:rsid w:val="00F21B1E"/>
    <w:rsid w:val="00F260FB"/>
    <w:rsid w:val="00F261D4"/>
    <w:rsid w:val="00F27654"/>
    <w:rsid w:val="00F316EC"/>
    <w:rsid w:val="00F36DD1"/>
    <w:rsid w:val="00F458AD"/>
    <w:rsid w:val="00F4630F"/>
    <w:rsid w:val="00F4681D"/>
    <w:rsid w:val="00F52958"/>
    <w:rsid w:val="00F61AC8"/>
    <w:rsid w:val="00F65204"/>
    <w:rsid w:val="00F6762A"/>
    <w:rsid w:val="00F72BA9"/>
    <w:rsid w:val="00F7681C"/>
    <w:rsid w:val="00F91311"/>
    <w:rsid w:val="00F97E12"/>
    <w:rsid w:val="00FA5CE1"/>
    <w:rsid w:val="00FB41EB"/>
    <w:rsid w:val="00FC4509"/>
    <w:rsid w:val="00FD347B"/>
    <w:rsid w:val="00FD352C"/>
    <w:rsid w:val="00FE3CA5"/>
    <w:rsid w:val="00FF2257"/>
    <w:rsid w:val="07A9D1BD"/>
    <w:rsid w:val="0C3C296E"/>
    <w:rsid w:val="0ED4B35C"/>
    <w:rsid w:val="0F74FCFA"/>
    <w:rsid w:val="12F133F7"/>
    <w:rsid w:val="160675E0"/>
    <w:rsid w:val="17285156"/>
    <w:rsid w:val="19081EBF"/>
    <w:rsid w:val="1C974C7B"/>
    <w:rsid w:val="200351C6"/>
    <w:rsid w:val="215ED22C"/>
    <w:rsid w:val="21EBF513"/>
    <w:rsid w:val="2361CBF8"/>
    <w:rsid w:val="268522E9"/>
    <w:rsid w:val="2C3BE42A"/>
    <w:rsid w:val="38A11526"/>
    <w:rsid w:val="3B4CCEE0"/>
    <w:rsid w:val="3C011041"/>
    <w:rsid w:val="4623D73A"/>
    <w:rsid w:val="465BD82F"/>
    <w:rsid w:val="46E1E627"/>
    <w:rsid w:val="4808700D"/>
    <w:rsid w:val="48D0C3B5"/>
    <w:rsid w:val="49A2A768"/>
    <w:rsid w:val="4BD5AC4B"/>
    <w:rsid w:val="52A1C88F"/>
    <w:rsid w:val="5C555830"/>
    <w:rsid w:val="5D6F34BC"/>
    <w:rsid w:val="64E6E8AB"/>
    <w:rsid w:val="6538BA13"/>
    <w:rsid w:val="674D8370"/>
    <w:rsid w:val="6CE2EAAA"/>
    <w:rsid w:val="6E2D8C56"/>
    <w:rsid w:val="7029344E"/>
    <w:rsid w:val="72C99678"/>
    <w:rsid w:val="7FE0B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DA9D"/>
  <w15:chartTrackingRefBased/>
  <w15:docId w15:val="{436BFF07-75C5-4450-BFF9-2CE95504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6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196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6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0AD"/>
    <w:rPr>
      <w:rFonts w:eastAsiaTheme="majorEastAsia" w:cstheme="majorBidi"/>
      <w:color w:val="272727" w:themeColor="text1" w:themeTint="D8"/>
    </w:rPr>
  </w:style>
  <w:style w:type="paragraph" w:styleId="Title">
    <w:name w:val="Title"/>
    <w:basedOn w:val="Normal"/>
    <w:next w:val="Normal"/>
    <w:link w:val="TitleChar"/>
    <w:uiPriority w:val="10"/>
    <w:qFormat/>
    <w:rsid w:val="00196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0AD"/>
    <w:pPr>
      <w:spacing w:before="160"/>
      <w:jc w:val="center"/>
    </w:pPr>
    <w:rPr>
      <w:i/>
      <w:iCs/>
      <w:color w:val="404040" w:themeColor="text1" w:themeTint="BF"/>
    </w:rPr>
  </w:style>
  <w:style w:type="character" w:customStyle="1" w:styleId="QuoteChar">
    <w:name w:val="Quote Char"/>
    <w:basedOn w:val="DefaultParagraphFont"/>
    <w:link w:val="Quote"/>
    <w:uiPriority w:val="29"/>
    <w:rsid w:val="001960AD"/>
    <w:rPr>
      <w:i/>
      <w:iCs/>
      <w:color w:val="404040" w:themeColor="text1" w:themeTint="BF"/>
    </w:rPr>
  </w:style>
  <w:style w:type="paragraph" w:styleId="ListParagraph">
    <w:name w:val="List Paragraph"/>
    <w:basedOn w:val="Normal"/>
    <w:uiPriority w:val="34"/>
    <w:qFormat/>
    <w:rsid w:val="001960AD"/>
    <w:pPr>
      <w:ind w:left="720"/>
      <w:contextualSpacing/>
    </w:pPr>
  </w:style>
  <w:style w:type="character" w:styleId="IntenseEmphasis">
    <w:name w:val="Intense Emphasis"/>
    <w:basedOn w:val="DefaultParagraphFont"/>
    <w:uiPriority w:val="21"/>
    <w:qFormat/>
    <w:rsid w:val="001960AD"/>
    <w:rPr>
      <w:i/>
      <w:iCs/>
      <w:color w:val="0F4761" w:themeColor="accent1" w:themeShade="BF"/>
    </w:rPr>
  </w:style>
  <w:style w:type="paragraph" w:styleId="IntenseQuote">
    <w:name w:val="Intense Quote"/>
    <w:basedOn w:val="Normal"/>
    <w:next w:val="Normal"/>
    <w:link w:val="IntenseQuoteChar"/>
    <w:uiPriority w:val="30"/>
    <w:qFormat/>
    <w:rsid w:val="00196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0AD"/>
    <w:rPr>
      <w:i/>
      <w:iCs/>
      <w:color w:val="0F4761" w:themeColor="accent1" w:themeShade="BF"/>
    </w:rPr>
  </w:style>
  <w:style w:type="character" w:styleId="IntenseReference">
    <w:name w:val="Intense Reference"/>
    <w:basedOn w:val="DefaultParagraphFont"/>
    <w:uiPriority w:val="32"/>
    <w:qFormat/>
    <w:rsid w:val="001960AD"/>
    <w:rPr>
      <w:b/>
      <w:bCs/>
      <w:smallCaps/>
      <w:color w:val="0F4761" w:themeColor="accent1" w:themeShade="BF"/>
      <w:spacing w:val="5"/>
    </w:rPr>
  </w:style>
  <w:style w:type="paragraph" w:styleId="Header">
    <w:name w:val="header"/>
    <w:basedOn w:val="Normal"/>
    <w:link w:val="HeaderChar"/>
    <w:uiPriority w:val="99"/>
    <w:unhideWhenUsed/>
    <w:rsid w:val="00505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31"/>
  </w:style>
  <w:style w:type="paragraph" w:styleId="Footer">
    <w:name w:val="footer"/>
    <w:basedOn w:val="Normal"/>
    <w:link w:val="FooterChar"/>
    <w:uiPriority w:val="99"/>
    <w:unhideWhenUsed/>
    <w:rsid w:val="00505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31"/>
  </w:style>
  <w:style w:type="table" w:styleId="TableGrid">
    <w:name w:val="Table Grid"/>
    <w:basedOn w:val="TableNormal"/>
    <w:uiPriority w:val="59"/>
    <w:rsid w:val="00F7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BA9"/>
    <w:rPr>
      <w:color w:val="467886" w:themeColor="hyperlink"/>
      <w:u w:val="single"/>
    </w:rPr>
  </w:style>
  <w:style w:type="character" w:customStyle="1" w:styleId="UnresolvedMention1">
    <w:name w:val="Unresolved Mention1"/>
    <w:basedOn w:val="DefaultParagraphFont"/>
    <w:uiPriority w:val="99"/>
    <w:semiHidden/>
    <w:unhideWhenUsed/>
    <w:rsid w:val="00F72BA9"/>
    <w:rPr>
      <w:color w:val="605E5C"/>
      <w:shd w:val="clear" w:color="auto" w:fill="E1DFDD"/>
    </w:rPr>
  </w:style>
  <w:style w:type="character" w:styleId="Strong">
    <w:name w:val="Strong"/>
    <w:basedOn w:val="DefaultParagraphFont"/>
    <w:uiPriority w:val="22"/>
    <w:qFormat/>
    <w:rsid w:val="00C73DCF"/>
    <w:rPr>
      <w:b/>
      <w:bCs/>
    </w:rPr>
  </w:style>
  <w:style w:type="character" w:styleId="CommentReference">
    <w:name w:val="annotation reference"/>
    <w:basedOn w:val="DefaultParagraphFont"/>
    <w:uiPriority w:val="99"/>
    <w:semiHidden/>
    <w:unhideWhenUsed/>
    <w:rsid w:val="006205C1"/>
    <w:rPr>
      <w:sz w:val="16"/>
      <w:szCs w:val="16"/>
    </w:rPr>
  </w:style>
  <w:style w:type="paragraph" w:styleId="CommentText">
    <w:name w:val="annotation text"/>
    <w:basedOn w:val="Normal"/>
    <w:link w:val="CommentTextChar"/>
    <w:uiPriority w:val="99"/>
    <w:unhideWhenUsed/>
    <w:rsid w:val="006205C1"/>
    <w:pPr>
      <w:spacing w:line="240" w:lineRule="auto"/>
    </w:pPr>
    <w:rPr>
      <w:sz w:val="20"/>
      <w:szCs w:val="20"/>
    </w:rPr>
  </w:style>
  <w:style w:type="character" w:customStyle="1" w:styleId="CommentTextChar">
    <w:name w:val="Comment Text Char"/>
    <w:basedOn w:val="DefaultParagraphFont"/>
    <w:link w:val="CommentText"/>
    <w:uiPriority w:val="99"/>
    <w:rsid w:val="006205C1"/>
    <w:rPr>
      <w:sz w:val="20"/>
      <w:szCs w:val="20"/>
    </w:rPr>
  </w:style>
  <w:style w:type="paragraph" w:styleId="CommentSubject">
    <w:name w:val="annotation subject"/>
    <w:basedOn w:val="CommentText"/>
    <w:next w:val="CommentText"/>
    <w:link w:val="CommentSubjectChar"/>
    <w:uiPriority w:val="99"/>
    <w:semiHidden/>
    <w:unhideWhenUsed/>
    <w:rsid w:val="006205C1"/>
    <w:rPr>
      <w:b/>
      <w:bCs/>
    </w:rPr>
  </w:style>
  <w:style w:type="character" w:customStyle="1" w:styleId="CommentSubjectChar">
    <w:name w:val="Comment Subject Char"/>
    <w:basedOn w:val="CommentTextChar"/>
    <w:link w:val="CommentSubject"/>
    <w:uiPriority w:val="99"/>
    <w:semiHidden/>
    <w:rsid w:val="006205C1"/>
    <w:rPr>
      <w:b/>
      <w:bCs/>
      <w:sz w:val="20"/>
      <w:szCs w:val="20"/>
    </w:rPr>
  </w:style>
  <w:style w:type="paragraph" w:styleId="BalloonText">
    <w:name w:val="Balloon Text"/>
    <w:basedOn w:val="Normal"/>
    <w:link w:val="BalloonTextChar"/>
    <w:uiPriority w:val="99"/>
    <w:semiHidden/>
    <w:unhideWhenUsed/>
    <w:rsid w:val="006A1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52"/>
    <w:rPr>
      <w:rFonts w:ascii="Segoe UI" w:hAnsi="Segoe UI" w:cs="Segoe UI"/>
      <w:sz w:val="18"/>
      <w:szCs w:val="18"/>
    </w:rPr>
  </w:style>
  <w:style w:type="paragraph" w:styleId="Revision">
    <w:name w:val="Revision"/>
    <w:hidden/>
    <w:uiPriority w:val="99"/>
    <w:semiHidden/>
    <w:rsid w:val="002A5A2E"/>
    <w:pPr>
      <w:spacing w:after="0" w:line="240" w:lineRule="auto"/>
    </w:pPr>
  </w:style>
  <w:style w:type="paragraph" w:styleId="FootnoteText">
    <w:name w:val="footnote text"/>
    <w:basedOn w:val="Normal"/>
    <w:link w:val="FootnoteTextChar"/>
    <w:uiPriority w:val="99"/>
    <w:semiHidden/>
    <w:unhideWhenUsed/>
    <w:rsid w:val="00DA1956"/>
    <w:pPr>
      <w:spacing w:after="0" w:line="240" w:lineRule="auto"/>
    </w:pPr>
    <w:rPr>
      <w:rFonts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A1956"/>
    <w:rPr>
      <w:rFonts w:cstheme="minorBidi"/>
      <w:kern w:val="2"/>
      <w:sz w:val="20"/>
      <w:szCs w:val="20"/>
      <w14:ligatures w14:val="standardContextual"/>
    </w:rPr>
  </w:style>
  <w:style w:type="character" w:styleId="FootnoteReference">
    <w:name w:val="footnote reference"/>
    <w:basedOn w:val="DefaultParagraphFont"/>
    <w:uiPriority w:val="99"/>
    <w:semiHidden/>
    <w:unhideWhenUsed/>
    <w:rsid w:val="00DA1956"/>
    <w:rPr>
      <w:vertAlign w:val="superscript"/>
    </w:rPr>
  </w:style>
  <w:style w:type="paragraph" w:styleId="NormalWeb">
    <w:name w:val="Normal (Web)"/>
    <w:basedOn w:val="Normal"/>
    <w:uiPriority w:val="99"/>
    <w:semiHidden/>
    <w:unhideWhenUsed/>
    <w:rsid w:val="00D75EF4"/>
    <w:rPr>
      <w:rFonts w:ascii="Times New Roman" w:hAnsi="Times New Roman" w:cs="Times New Roman"/>
    </w:rPr>
  </w:style>
  <w:style w:type="character" w:styleId="UnresolvedMention">
    <w:name w:val="Unresolved Mention"/>
    <w:basedOn w:val="DefaultParagraphFont"/>
    <w:uiPriority w:val="99"/>
    <w:semiHidden/>
    <w:unhideWhenUsed/>
    <w:rsid w:val="00F31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6836">
      <w:bodyDiv w:val="1"/>
      <w:marLeft w:val="0"/>
      <w:marRight w:val="0"/>
      <w:marTop w:val="0"/>
      <w:marBottom w:val="0"/>
      <w:divBdr>
        <w:top w:val="none" w:sz="0" w:space="0" w:color="auto"/>
        <w:left w:val="none" w:sz="0" w:space="0" w:color="auto"/>
        <w:bottom w:val="none" w:sz="0" w:space="0" w:color="auto"/>
        <w:right w:val="none" w:sz="0" w:space="0" w:color="auto"/>
      </w:divBdr>
    </w:div>
    <w:div w:id="123961311">
      <w:bodyDiv w:val="1"/>
      <w:marLeft w:val="0"/>
      <w:marRight w:val="0"/>
      <w:marTop w:val="0"/>
      <w:marBottom w:val="0"/>
      <w:divBdr>
        <w:top w:val="none" w:sz="0" w:space="0" w:color="auto"/>
        <w:left w:val="none" w:sz="0" w:space="0" w:color="auto"/>
        <w:bottom w:val="none" w:sz="0" w:space="0" w:color="auto"/>
        <w:right w:val="none" w:sz="0" w:space="0" w:color="auto"/>
      </w:divBdr>
    </w:div>
    <w:div w:id="178010799">
      <w:bodyDiv w:val="1"/>
      <w:marLeft w:val="0"/>
      <w:marRight w:val="0"/>
      <w:marTop w:val="0"/>
      <w:marBottom w:val="0"/>
      <w:divBdr>
        <w:top w:val="none" w:sz="0" w:space="0" w:color="auto"/>
        <w:left w:val="none" w:sz="0" w:space="0" w:color="auto"/>
        <w:bottom w:val="none" w:sz="0" w:space="0" w:color="auto"/>
        <w:right w:val="none" w:sz="0" w:space="0" w:color="auto"/>
      </w:divBdr>
      <w:divsChild>
        <w:div w:id="703020527">
          <w:marLeft w:val="-720"/>
          <w:marRight w:val="0"/>
          <w:marTop w:val="0"/>
          <w:marBottom w:val="0"/>
          <w:divBdr>
            <w:top w:val="none" w:sz="0" w:space="0" w:color="auto"/>
            <w:left w:val="none" w:sz="0" w:space="0" w:color="auto"/>
            <w:bottom w:val="none" w:sz="0" w:space="0" w:color="auto"/>
            <w:right w:val="none" w:sz="0" w:space="0" w:color="auto"/>
          </w:divBdr>
        </w:div>
      </w:divsChild>
    </w:div>
    <w:div w:id="218636583">
      <w:bodyDiv w:val="1"/>
      <w:marLeft w:val="0"/>
      <w:marRight w:val="0"/>
      <w:marTop w:val="0"/>
      <w:marBottom w:val="0"/>
      <w:divBdr>
        <w:top w:val="none" w:sz="0" w:space="0" w:color="auto"/>
        <w:left w:val="none" w:sz="0" w:space="0" w:color="auto"/>
        <w:bottom w:val="none" w:sz="0" w:space="0" w:color="auto"/>
        <w:right w:val="none" w:sz="0" w:space="0" w:color="auto"/>
      </w:divBdr>
    </w:div>
    <w:div w:id="264650735">
      <w:bodyDiv w:val="1"/>
      <w:marLeft w:val="0"/>
      <w:marRight w:val="0"/>
      <w:marTop w:val="0"/>
      <w:marBottom w:val="0"/>
      <w:divBdr>
        <w:top w:val="none" w:sz="0" w:space="0" w:color="auto"/>
        <w:left w:val="none" w:sz="0" w:space="0" w:color="auto"/>
        <w:bottom w:val="none" w:sz="0" w:space="0" w:color="auto"/>
        <w:right w:val="none" w:sz="0" w:space="0" w:color="auto"/>
      </w:divBdr>
      <w:divsChild>
        <w:div w:id="279193449">
          <w:marLeft w:val="0"/>
          <w:marRight w:val="0"/>
          <w:marTop w:val="0"/>
          <w:marBottom w:val="0"/>
          <w:divBdr>
            <w:top w:val="none" w:sz="0" w:space="0" w:color="auto"/>
            <w:left w:val="none" w:sz="0" w:space="0" w:color="auto"/>
            <w:bottom w:val="none" w:sz="0" w:space="0" w:color="auto"/>
            <w:right w:val="none" w:sz="0" w:space="0" w:color="auto"/>
          </w:divBdr>
        </w:div>
        <w:div w:id="1893032370">
          <w:marLeft w:val="0"/>
          <w:marRight w:val="0"/>
          <w:marTop w:val="0"/>
          <w:marBottom w:val="0"/>
          <w:divBdr>
            <w:top w:val="none" w:sz="0" w:space="0" w:color="auto"/>
            <w:left w:val="none" w:sz="0" w:space="0" w:color="auto"/>
            <w:bottom w:val="none" w:sz="0" w:space="0" w:color="auto"/>
            <w:right w:val="none" w:sz="0" w:space="0" w:color="auto"/>
          </w:divBdr>
        </w:div>
        <w:div w:id="124080563">
          <w:marLeft w:val="0"/>
          <w:marRight w:val="0"/>
          <w:marTop w:val="0"/>
          <w:marBottom w:val="0"/>
          <w:divBdr>
            <w:top w:val="none" w:sz="0" w:space="0" w:color="auto"/>
            <w:left w:val="none" w:sz="0" w:space="0" w:color="auto"/>
            <w:bottom w:val="none" w:sz="0" w:space="0" w:color="auto"/>
            <w:right w:val="none" w:sz="0" w:space="0" w:color="auto"/>
          </w:divBdr>
        </w:div>
        <w:div w:id="192236144">
          <w:marLeft w:val="0"/>
          <w:marRight w:val="0"/>
          <w:marTop w:val="0"/>
          <w:marBottom w:val="0"/>
          <w:divBdr>
            <w:top w:val="none" w:sz="0" w:space="0" w:color="auto"/>
            <w:left w:val="none" w:sz="0" w:space="0" w:color="auto"/>
            <w:bottom w:val="none" w:sz="0" w:space="0" w:color="auto"/>
            <w:right w:val="none" w:sz="0" w:space="0" w:color="auto"/>
          </w:divBdr>
        </w:div>
        <w:div w:id="1537279887">
          <w:marLeft w:val="0"/>
          <w:marRight w:val="0"/>
          <w:marTop w:val="0"/>
          <w:marBottom w:val="0"/>
          <w:divBdr>
            <w:top w:val="none" w:sz="0" w:space="0" w:color="auto"/>
            <w:left w:val="none" w:sz="0" w:space="0" w:color="auto"/>
            <w:bottom w:val="none" w:sz="0" w:space="0" w:color="auto"/>
            <w:right w:val="none" w:sz="0" w:space="0" w:color="auto"/>
          </w:divBdr>
        </w:div>
      </w:divsChild>
    </w:div>
    <w:div w:id="296228715">
      <w:bodyDiv w:val="1"/>
      <w:marLeft w:val="0"/>
      <w:marRight w:val="0"/>
      <w:marTop w:val="0"/>
      <w:marBottom w:val="0"/>
      <w:divBdr>
        <w:top w:val="none" w:sz="0" w:space="0" w:color="auto"/>
        <w:left w:val="none" w:sz="0" w:space="0" w:color="auto"/>
        <w:bottom w:val="none" w:sz="0" w:space="0" w:color="auto"/>
        <w:right w:val="none" w:sz="0" w:space="0" w:color="auto"/>
      </w:divBdr>
    </w:div>
    <w:div w:id="311954500">
      <w:bodyDiv w:val="1"/>
      <w:marLeft w:val="0"/>
      <w:marRight w:val="0"/>
      <w:marTop w:val="0"/>
      <w:marBottom w:val="0"/>
      <w:divBdr>
        <w:top w:val="none" w:sz="0" w:space="0" w:color="auto"/>
        <w:left w:val="none" w:sz="0" w:space="0" w:color="auto"/>
        <w:bottom w:val="none" w:sz="0" w:space="0" w:color="auto"/>
        <w:right w:val="none" w:sz="0" w:space="0" w:color="auto"/>
      </w:divBdr>
      <w:divsChild>
        <w:div w:id="234514723">
          <w:marLeft w:val="-720"/>
          <w:marRight w:val="0"/>
          <w:marTop w:val="0"/>
          <w:marBottom w:val="0"/>
          <w:divBdr>
            <w:top w:val="none" w:sz="0" w:space="0" w:color="auto"/>
            <w:left w:val="none" w:sz="0" w:space="0" w:color="auto"/>
            <w:bottom w:val="none" w:sz="0" w:space="0" w:color="auto"/>
            <w:right w:val="none" w:sz="0" w:space="0" w:color="auto"/>
          </w:divBdr>
        </w:div>
      </w:divsChild>
    </w:div>
    <w:div w:id="327099717">
      <w:bodyDiv w:val="1"/>
      <w:marLeft w:val="0"/>
      <w:marRight w:val="0"/>
      <w:marTop w:val="0"/>
      <w:marBottom w:val="0"/>
      <w:divBdr>
        <w:top w:val="none" w:sz="0" w:space="0" w:color="auto"/>
        <w:left w:val="none" w:sz="0" w:space="0" w:color="auto"/>
        <w:bottom w:val="none" w:sz="0" w:space="0" w:color="auto"/>
        <w:right w:val="none" w:sz="0" w:space="0" w:color="auto"/>
      </w:divBdr>
    </w:div>
    <w:div w:id="558905540">
      <w:bodyDiv w:val="1"/>
      <w:marLeft w:val="0"/>
      <w:marRight w:val="0"/>
      <w:marTop w:val="0"/>
      <w:marBottom w:val="0"/>
      <w:divBdr>
        <w:top w:val="none" w:sz="0" w:space="0" w:color="auto"/>
        <w:left w:val="none" w:sz="0" w:space="0" w:color="auto"/>
        <w:bottom w:val="none" w:sz="0" w:space="0" w:color="auto"/>
        <w:right w:val="none" w:sz="0" w:space="0" w:color="auto"/>
      </w:divBdr>
      <w:divsChild>
        <w:div w:id="103353788">
          <w:marLeft w:val="0"/>
          <w:marRight w:val="0"/>
          <w:marTop w:val="0"/>
          <w:marBottom w:val="0"/>
          <w:divBdr>
            <w:top w:val="none" w:sz="0" w:space="0" w:color="auto"/>
            <w:left w:val="none" w:sz="0" w:space="0" w:color="auto"/>
            <w:bottom w:val="none" w:sz="0" w:space="0" w:color="auto"/>
            <w:right w:val="none" w:sz="0" w:space="0" w:color="auto"/>
          </w:divBdr>
        </w:div>
        <w:div w:id="1916084344">
          <w:marLeft w:val="0"/>
          <w:marRight w:val="0"/>
          <w:marTop w:val="0"/>
          <w:marBottom w:val="0"/>
          <w:divBdr>
            <w:top w:val="none" w:sz="0" w:space="0" w:color="auto"/>
            <w:left w:val="none" w:sz="0" w:space="0" w:color="auto"/>
            <w:bottom w:val="none" w:sz="0" w:space="0" w:color="auto"/>
            <w:right w:val="none" w:sz="0" w:space="0" w:color="auto"/>
          </w:divBdr>
        </w:div>
      </w:divsChild>
    </w:div>
    <w:div w:id="707878432">
      <w:bodyDiv w:val="1"/>
      <w:marLeft w:val="0"/>
      <w:marRight w:val="0"/>
      <w:marTop w:val="0"/>
      <w:marBottom w:val="0"/>
      <w:divBdr>
        <w:top w:val="none" w:sz="0" w:space="0" w:color="auto"/>
        <w:left w:val="none" w:sz="0" w:space="0" w:color="auto"/>
        <w:bottom w:val="none" w:sz="0" w:space="0" w:color="auto"/>
        <w:right w:val="none" w:sz="0" w:space="0" w:color="auto"/>
      </w:divBdr>
      <w:divsChild>
        <w:div w:id="1540701673">
          <w:marLeft w:val="-720"/>
          <w:marRight w:val="0"/>
          <w:marTop w:val="0"/>
          <w:marBottom w:val="0"/>
          <w:divBdr>
            <w:top w:val="none" w:sz="0" w:space="0" w:color="auto"/>
            <w:left w:val="none" w:sz="0" w:space="0" w:color="auto"/>
            <w:bottom w:val="none" w:sz="0" w:space="0" w:color="auto"/>
            <w:right w:val="none" w:sz="0" w:space="0" w:color="auto"/>
          </w:divBdr>
        </w:div>
      </w:divsChild>
    </w:div>
    <w:div w:id="818770220">
      <w:bodyDiv w:val="1"/>
      <w:marLeft w:val="0"/>
      <w:marRight w:val="0"/>
      <w:marTop w:val="0"/>
      <w:marBottom w:val="0"/>
      <w:divBdr>
        <w:top w:val="none" w:sz="0" w:space="0" w:color="auto"/>
        <w:left w:val="none" w:sz="0" w:space="0" w:color="auto"/>
        <w:bottom w:val="none" w:sz="0" w:space="0" w:color="auto"/>
        <w:right w:val="none" w:sz="0" w:space="0" w:color="auto"/>
      </w:divBdr>
    </w:div>
    <w:div w:id="886112386">
      <w:bodyDiv w:val="1"/>
      <w:marLeft w:val="0"/>
      <w:marRight w:val="0"/>
      <w:marTop w:val="0"/>
      <w:marBottom w:val="0"/>
      <w:divBdr>
        <w:top w:val="none" w:sz="0" w:space="0" w:color="auto"/>
        <w:left w:val="none" w:sz="0" w:space="0" w:color="auto"/>
        <w:bottom w:val="none" w:sz="0" w:space="0" w:color="auto"/>
        <w:right w:val="none" w:sz="0" w:space="0" w:color="auto"/>
      </w:divBdr>
    </w:div>
    <w:div w:id="1244031647">
      <w:bodyDiv w:val="1"/>
      <w:marLeft w:val="0"/>
      <w:marRight w:val="0"/>
      <w:marTop w:val="0"/>
      <w:marBottom w:val="0"/>
      <w:divBdr>
        <w:top w:val="none" w:sz="0" w:space="0" w:color="auto"/>
        <w:left w:val="none" w:sz="0" w:space="0" w:color="auto"/>
        <w:bottom w:val="none" w:sz="0" w:space="0" w:color="auto"/>
        <w:right w:val="none" w:sz="0" w:space="0" w:color="auto"/>
      </w:divBdr>
      <w:divsChild>
        <w:div w:id="1725133152">
          <w:marLeft w:val="0"/>
          <w:marRight w:val="0"/>
          <w:marTop w:val="0"/>
          <w:marBottom w:val="0"/>
          <w:divBdr>
            <w:top w:val="none" w:sz="0" w:space="0" w:color="auto"/>
            <w:left w:val="none" w:sz="0" w:space="0" w:color="auto"/>
            <w:bottom w:val="none" w:sz="0" w:space="0" w:color="auto"/>
            <w:right w:val="none" w:sz="0" w:space="0" w:color="auto"/>
          </w:divBdr>
        </w:div>
        <w:div w:id="618296143">
          <w:marLeft w:val="0"/>
          <w:marRight w:val="0"/>
          <w:marTop w:val="0"/>
          <w:marBottom w:val="0"/>
          <w:divBdr>
            <w:top w:val="none" w:sz="0" w:space="0" w:color="auto"/>
            <w:left w:val="none" w:sz="0" w:space="0" w:color="auto"/>
            <w:bottom w:val="none" w:sz="0" w:space="0" w:color="auto"/>
            <w:right w:val="none" w:sz="0" w:space="0" w:color="auto"/>
          </w:divBdr>
        </w:div>
        <w:div w:id="979312943">
          <w:marLeft w:val="0"/>
          <w:marRight w:val="0"/>
          <w:marTop w:val="0"/>
          <w:marBottom w:val="0"/>
          <w:divBdr>
            <w:top w:val="none" w:sz="0" w:space="0" w:color="auto"/>
            <w:left w:val="none" w:sz="0" w:space="0" w:color="auto"/>
            <w:bottom w:val="none" w:sz="0" w:space="0" w:color="auto"/>
            <w:right w:val="none" w:sz="0" w:space="0" w:color="auto"/>
          </w:divBdr>
        </w:div>
        <w:div w:id="28579482">
          <w:marLeft w:val="0"/>
          <w:marRight w:val="0"/>
          <w:marTop w:val="0"/>
          <w:marBottom w:val="0"/>
          <w:divBdr>
            <w:top w:val="none" w:sz="0" w:space="0" w:color="auto"/>
            <w:left w:val="none" w:sz="0" w:space="0" w:color="auto"/>
            <w:bottom w:val="none" w:sz="0" w:space="0" w:color="auto"/>
            <w:right w:val="none" w:sz="0" w:space="0" w:color="auto"/>
          </w:divBdr>
        </w:div>
        <w:div w:id="405760229">
          <w:marLeft w:val="0"/>
          <w:marRight w:val="0"/>
          <w:marTop w:val="0"/>
          <w:marBottom w:val="0"/>
          <w:divBdr>
            <w:top w:val="none" w:sz="0" w:space="0" w:color="auto"/>
            <w:left w:val="none" w:sz="0" w:space="0" w:color="auto"/>
            <w:bottom w:val="none" w:sz="0" w:space="0" w:color="auto"/>
            <w:right w:val="none" w:sz="0" w:space="0" w:color="auto"/>
          </w:divBdr>
        </w:div>
      </w:divsChild>
    </w:div>
    <w:div w:id="1382636332">
      <w:bodyDiv w:val="1"/>
      <w:marLeft w:val="0"/>
      <w:marRight w:val="0"/>
      <w:marTop w:val="0"/>
      <w:marBottom w:val="0"/>
      <w:divBdr>
        <w:top w:val="none" w:sz="0" w:space="0" w:color="auto"/>
        <w:left w:val="none" w:sz="0" w:space="0" w:color="auto"/>
        <w:bottom w:val="none" w:sz="0" w:space="0" w:color="auto"/>
        <w:right w:val="none" w:sz="0" w:space="0" w:color="auto"/>
      </w:divBdr>
    </w:div>
    <w:div w:id="1420101371">
      <w:bodyDiv w:val="1"/>
      <w:marLeft w:val="0"/>
      <w:marRight w:val="0"/>
      <w:marTop w:val="0"/>
      <w:marBottom w:val="0"/>
      <w:divBdr>
        <w:top w:val="none" w:sz="0" w:space="0" w:color="auto"/>
        <w:left w:val="none" w:sz="0" w:space="0" w:color="auto"/>
        <w:bottom w:val="none" w:sz="0" w:space="0" w:color="auto"/>
        <w:right w:val="none" w:sz="0" w:space="0" w:color="auto"/>
      </w:divBdr>
      <w:divsChild>
        <w:div w:id="1990398666">
          <w:marLeft w:val="-720"/>
          <w:marRight w:val="0"/>
          <w:marTop w:val="0"/>
          <w:marBottom w:val="0"/>
          <w:divBdr>
            <w:top w:val="none" w:sz="0" w:space="0" w:color="auto"/>
            <w:left w:val="none" w:sz="0" w:space="0" w:color="auto"/>
            <w:bottom w:val="none" w:sz="0" w:space="0" w:color="auto"/>
            <w:right w:val="none" w:sz="0" w:space="0" w:color="auto"/>
          </w:divBdr>
        </w:div>
      </w:divsChild>
    </w:div>
    <w:div w:id="1426071202">
      <w:bodyDiv w:val="1"/>
      <w:marLeft w:val="0"/>
      <w:marRight w:val="0"/>
      <w:marTop w:val="0"/>
      <w:marBottom w:val="0"/>
      <w:divBdr>
        <w:top w:val="none" w:sz="0" w:space="0" w:color="auto"/>
        <w:left w:val="none" w:sz="0" w:space="0" w:color="auto"/>
        <w:bottom w:val="none" w:sz="0" w:space="0" w:color="auto"/>
        <w:right w:val="none" w:sz="0" w:space="0" w:color="auto"/>
      </w:divBdr>
      <w:divsChild>
        <w:div w:id="376055224">
          <w:marLeft w:val="0"/>
          <w:marRight w:val="0"/>
          <w:marTop w:val="0"/>
          <w:marBottom w:val="0"/>
          <w:divBdr>
            <w:top w:val="none" w:sz="0" w:space="0" w:color="auto"/>
            <w:left w:val="none" w:sz="0" w:space="0" w:color="auto"/>
            <w:bottom w:val="none" w:sz="0" w:space="0" w:color="auto"/>
            <w:right w:val="none" w:sz="0" w:space="0" w:color="auto"/>
          </w:divBdr>
        </w:div>
        <w:div w:id="548808472">
          <w:marLeft w:val="0"/>
          <w:marRight w:val="0"/>
          <w:marTop w:val="0"/>
          <w:marBottom w:val="0"/>
          <w:divBdr>
            <w:top w:val="none" w:sz="0" w:space="0" w:color="auto"/>
            <w:left w:val="none" w:sz="0" w:space="0" w:color="auto"/>
            <w:bottom w:val="none" w:sz="0" w:space="0" w:color="auto"/>
            <w:right w:val="none" w:sz="0" w:space="0" w:color="auto"/>
          </w:divBdr>
        </w:div>
        <w:div w:id="262880605">
          <w:marLeft w:val="0"/>
          <w:marRight w:val="0"/>
          <w:marTop w:val="0"/>
          <w:marBottom w:val="0"/>
          <w:divBdr>
            <w:top w:val="none" w:sz="0" w:space="0" w:color="auto"/>
            <w:left w:val="none" w:sz="0" w:space="0" w:color="auto"/>
            <w:bottom w:val="none" w:sz="0" w:space="0" w:color="auto"/>
            <w:right w:val="none" w:sz="0" w:space="0" w:color="auto"/>
          </w:divBdr>
        </w:div>
        <w:div w:id="90862965">
          <w:marLeft w:val="0"/>
          <w:marRight w:val="0"/>
          <w:marTop w:val="0"/>
          <w:marBottom w:val="0"/>
          <w:divBdr>
            <w:top w:val="none" w:sz="0" w:space="0" w:color="auto"/>
            <w:left w:val="none" w:sz="0" w:space="0" w:color="auto"/>
            <w:bottom w:val="none" w:sz="0" w:space="0" w:color="auto"/>
            <w:right w:val="none" w:sz="0" w:space="0" w:color="auto"/>
          </w:divBdr>
        </w:div>
        <w:div w:id="744452670">
          <w:marLeft w:val="0"/>
          <w:marRight w:val="0"/>
          <w:marTop w:val="0"/>
          <w:marBottom w:val="0"/>
          <w:divBdr>
            <w:top w:val="none" w:sz="0" w:space="0" w:color="auto"/>
            <w:left w:val="none" w:sz="0" w:space="0" w:color="auto"/>
            <w:bottom w:val="none" w:sz="0" w:space="0" w:color="auto"/>
            <w:right w:val="none" w:sz="0" w:space="0" w:color="auto"/>
          </w:divBdr>
        </w:div>
      </w:divsChild>
    </w:div>
    <w:div w:id="1443188349">
      <w:bodyDiv w:val="1"/>
      <w:marLeft w:val="0"/>
      <w:marRight w:val="0"/>
      <w:marTop w:val="0"/>
      <w:marBottom w:val="0"/>
      <w:divBdr>
        <w:top w:val="none" w:sz="0" w:space="0" w:color="auto"/>
        <w:left w:val="none" w:sz="0" w:space="0" w:color="auto"/>
        <w:bottom w:val="none" w:sz="0" w:space="0" w:color="auto"/>
        <w:right w:val="none" w:sz="0" w:space="0" w:color="auto"/>
      </w:divBdr>
      <w:divsChild>
        <w:div w:id="1063798574">
          <w:marLeft w:val="-720"/>
          <w:marRight w:val="0"/>
          <w:marTop w:val="0"/>
          <w:marBottom w:val="0"/>
          <w:divBdr>
            <w:top w:val="none" w:sz="0" w:space="0" w:color="auto"/>
            <w:left w:val="none" w:sz="0" w:space="0" w:color="auto"/>
            <w:bottom w:val="none" w:sz="0" w:space="0" w:color="auto"/>
            <w:right w:val="none" w:sz="0" w:space="0" w:color="auto"/>
          </w:divBdr>
        </w:div>
      </w:divsChild>
    </w:div>
    <w:div w:id="1513449460">
      <w:bodyDiv w:val="1"/>
      <w:marLeft w:val="0"/>
      <w:marRight w:val="0"/>
      <w:marTop w:val="0"/>
      <w:marBottom w:val="0"/>
      <w:divBdr>
        <w:top w:val="none" w:sz="0" w:space="0" w:color="auto"/>
        <w:left w:val="none" w:sz="0" w:space="0" w:color="auto"/>
        <w:bottom w:val="none" w:sz="0" w:space="0" w:color="auto"/>
        <w:right w:val="none" w:sz="0" w:space="0" w:color="auto"/>
      </w:divBdr>
      <w:divsChild>
        <w:div w:id="1098914143">
          <w:marLeft w:val="0"/>
          <w:marRight w:val="0"/>
          <w:marTop w:val="0"/>
          <w:marBottom w:val="0"/>
          <w:divBdr>
            <w:top w:val="none" w:sz="0" w:space="0" w:color="auto"/>
            <w:left w:val="none" w:sz="0" w:space="0" w:color="auto"/>
            <w:bottom w:val="none" w:sz="0" w:space="0" w:color="auto"/>
            <w:right w:val="none" w:sz="0" w:space="0" w:color="auto"/>
          </w:divBdr>
        </w:div>
        <w:div w:id="1338728077">
          <w:marLeft w:val="0"/>
          <w:marRight w:val="0"/>
          <w:marTop w:val="0"/>
          <w:marBottom w:val="0"/>
          <w:divBdr>
            <w:top w:val="none" w:sz="0" w:space="0" w:color="auto"/>
            <w:left w:val="none" w:sz="0" w:space="0" w:color="auto"/>
            <w:bottom w:val="none" w:sz="0" w:space="0" w:color="auto"/>
            <w:right w:val="none" w:sz="0" w:space="0" w:color="auto"/>
          </w:divBdr>
        </w:div>
      </w:divsChild>
    </w:div>
    <w:div w:id="1658610714">
      <w:bodyDiv w:val="1"/>
      <w:marLeft w:val="0"/>
      <w:marRight w:val="0"/>
      <w:marTop w:val="0"/>
      <w:marBottom w:val="0"/>
      <w:divBdr>
        <w:top w:val="none" w:sz="0" w:space="0" w:color="auto"/>
        <w:left w:val="none" w:sz="0" w:space="0" w:color="auto"/>
        <w:bottom w:val="none" w:sz="0" w:space="0" w:color="auto"/>
        <w:right w:val="none" w:sz="0" w:space="0" w:color="auto"/>
      </w:divBdr>
    </w:div>
    <w:div w:id="1992905748">
      <w:bodyDiv w:val="1"/>
      <w:marLeft w:val="0"/>
      <w:marRight w:val="0"/>
      <w:marTop w:val="0"/>
      <w:marBottom w:val="0"/>
      <w:divBdr>
        <w:top w:val="none" w:sz="0" w:space="0" w:color="auto"/>
        <w:left w:val="none" w:sz="0" w:space="0" w:color="auto"/>
        <w:bottom w:val="none" w:sz="0" w:space="0" w:color="auto"/>
        <w:right w:val="none" w:sz="0" w:space="0" w:color="auto"/>
      </w:divBdr>
      <w:divsChild>
        <w:div w:id="967902551">
          <w:marLeft w:val="-720"/>
          <w:marRight w:val="0"/>
          <w:marTop w:val="0"/>
          <w:marBottom w:val="0"/>
          <w:divBdr>
            <w:top w:val="none" w:sz="0" w:space="0" w:color="auto"/>
            <w:left w:val="none" w:sz="0" w:space="0" w:color="auto"/>
            <w:bottom w:val="none" w:sz="0" w:space="0" w:color="auto"/>
            <w:right w:val="none" w:sz="0" w:space="0" w:color="auto"/>
          </w:divBdr>
        </w:div>
      </w:divsChild>
    </w:div>
    <w:div w:id="2013869361">
      <w:bodyDiv w:val="1"/>
      <w:marLeft w:val="0"/>
      <w:marRight w:val="0"/>
      <w:marTop w:val="0"/>
      <w:marBottom w:val="0"/>
      <w:divBdr>
        <w:top w:val="none" w:sz="0" w:space="0" w:color="auto"/>
        <w:left w:val="none" w:sz="0" w:space="0" w:color="auto"/>
        <w:bottom w:val="none" w:sz="0" w:space="0" w:color="auto"/>
        <w:right w:val="none" w:sz="0" w:space="0" w:color="auto"/>
      </w:divBdr>
    </w:div>
    <w:div w:id="2024938639">
      <w:bodyDiv w:val="1"/>
      <w:marLeft w:val="0"/>
      <w:marRight w:val="0"/>
      <w:marTop w:val="0"/>
      <w:marBottom w:val="0"/>
      <w:divBdr>
        <w:top w:val="none" w:sz="0" w:space="0" w:color="auto"/>
        <w:left w:val="none" w:sz="0" w:space="0" w:color="auto"/>
        <w:bottom w:val="none" w:sz="0" w:space="0" w:color="auto"/>
        <w:right w:val="none" w:sz="0" w:space="0" w:color="auto"/>
      </w:divBdr>
    </w:div>
    <w:div w:id="20324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H.DON@State.M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healthcouncil.nl/binaries/healthcouncil/documenten/advisory-reports/2009/12/11/proton-radiotherapy/advisory-report-proton-radiotherapy.pdf" TargetMode="External"/><Relationship Id="rId3" Type="http://schemas.openxmlformats.org/officeDocument/2006/relationships/hyperlink" Target="http://www.healthcouncil.nl/binaries/healthcouncil/documenten/advisory-reports/2009/12/11/proton-radiotherapy/advisory-report-proton-radiotherapy.pdf" TargetMode="External"/><Relationship Id="rId7" Type="http://schemas.openxmlformats.org/officeDocument/2006/relationships/hyperlink" Target="https://dphconwebportal.ct.gov/Report/CONAttachment_Download?aid=9342" TargetMode="External"/><Relationship Id="rId2" Type="http://schemas.openxmlformats.org/officeDocument/2006/relationships/hyperlink" Target="http://www.cms.gov/medicare-coverage-database/view/lcd.aspx?lcdid=35075&amp;ver=34&amp;bc=0" TargetMode="External"/><Relationship Id="rId1" Type="http://schemas.openxmlformats.org/officeDocument/2006/relationships/hyperlink" Target="http://www.cms.gov/medicare-coverage-database/view/lcd.aspx?lcdid=35075&amp;ver=34&amp;bc=0" TargetMode="External"/><Relationship Id="rId6" Type="http://schemas.openxmlformats.org/officeDocument/2006/relationships/hyperlink" Target="http://www.healthcouncil.nl/binaries/healthcouncil/documenten/advisory-reports/2009/12/11/proton-radiotherapy/advisory-report-proton-radiotherapy.pdf" TargetMode="External"/><Relationship Id="rId11" Type="http://schemas.openxmlformats.org/officeDocument/2006/relationships/hyperlink" Target="http://www.ptcog.site" TargetMode="External"/><Relationship Id="rId5" Type="http://schemas.openxmlformats.org/officeDocument/2006/relationships/hyperlink" Target="http://www.healthcouncil.nl/binaries/healthcouncil/documenten/advisory-reports/2009/12/11/proton-radiotherapy/advisory-report-proton-radiotherapy.pdf" TargetMode="External"/><Relationship Id="rId10" Type="http://schemas.openxmlformats.org/officeDocument/2006/relationships/hyperlink" Target="http://www.ptcog.site" TargetMode="External"/><Relationship Id="rId4" Type="http://schemas.openxmlformats.org/officeDocument/2006/relationships/hyperlink" Target="http://www.healthcouncil.nl/binaries/healthcouncil/documenten/advisory-reports/2009/12/11/proton-radiotherapy/advisory-report-proton-radiotherapy.pdf" TargetMode="External"/><Relationship Id="rId9" Type="http://schemas.openxmlformats.org/officeDocument/2006/relationships/hyperlink" Target="http://www.healthcouncil.nl/binaries/healthcouncil/documenten/advisory-reports/2009/12/11/proton-radiotherapy/advisory-report-proton-radiothera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 R C D M S ! 3 2 3 6 6 6 4 1 . 2 < / d o c u m e n t i d >  
     < s e n d e r i d > 1 4 9 2 < / s e n d e r i d >  
     < s e n d e r e m a i l > K H E A L Y @ R C . C O M < / s e n d e r e m a i l >  
     < l a s t m o d i f i e d > 2 0 2 5 - 0 6 - 1 0 T 1 7 : 5 7 : 0 0 . 0 0 0 0 0 0 0 - 0 4 : 0 0 < / l a s t m o d i f i e d >  
     < d a t a b a s e > R C D M S 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725D1E4634A546BBAF0F9E695499AD" ma:contentTypeVersion="6" ma:contentTypeDescription="Create a new document." ma:contentTypeScope="" ma:versionID="fc5adc2f110d92c4ac23ac7aa59af375">
  <xsd:schema xmlns:xsd="http://www.w3.org/2001/XMLSchema" xmlns:xs="http://www.w3.org/2001/XMLSchema" xmlns:p="http://schemas.microsoft.com/office/2006/metadata/properties" xmlns:ns2="e192cfd8-c614-4576-94b1-b4d87a54cff1" xmlns:ns3="10e6329a-a2c2-4f66-80dd-89a5f6477e31" targetNamespace="http://schemas.microsoft.com/office/2006/metadata/properties" ma:root="true" ma:fieldsID="ec2947227b9d051e034de227d8cc5efd" ns2:_="" ns3:_="">
    <xsd:import namespace="e192cfd8-c614-4576-94b1-b4d87a54cff1"/>
    <xsd:import namespace="10e6329a-a2c2-4f66-80dd-89a5f6477e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cfd8-c614-4576-94b1-b4d87a54c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6329a-a2c2-4f66-80dd-89a5f6477e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0e6329a-a2c2-4f66-80dd-89a5f6477e31">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C0E29-7216-4F03-B286-44940F91A840}">
  <ds:schemaRefs>
    <ds:schemaRef ds:uri="http://schemas.openxmlformats.org/officeDocument/2006/bibliography"/>
  </ds:schemaRefs>
</ds:datastoreItem>
</file>

<file path=customXml/itemProps2.xml><?xml version="1.0" encoding="utf-8"?>
<ds:datastoreItem xmlns:ds="http://schemas.openxmlformats.org/officeDocument/2006/customXml" ds:itemID="{7C1FC24E-E446-4232-AD0A-CC26672CC719}">
  <ds:schemaRefs>
    <ds:schemaRef ds:uri="http://www.imanage.com/work/xmlschema"/>
  </ds:schemaRefs>
</ds:datastoreItem>
</file>

<file path=customXml/itemProps3.xml><?xml version="1.0" encoding="utf-8"?>
<ds:datastoreItem xmlns:ds="http://schemas.openxmlformats.org/officeDocument/2006/customXml" ds:itemID="{1E190763-132D-4D49-9A14-31506065F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cfd8-c614-4576-94b1-b4d87a54cff1"/>
    <ds:schemaRef ds:uri="10e6329a-a2c2-4f66-80dd-89a5f6477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35483-6841-4E9E-B9EA-626FBD45C6EA}">
  <ds:schemaRefs>
    <ds:schemaRef ds:uri="http://schemas.microsoft.com/office/2006/metadata/properties"/>
    <ds:schemaRef ds:uri="http://schemas.microsoft.com/office/infopath/2007/PartnerControls"/>
    <ds:schemaRef ds:uri="10e6329a-a2c2-4f66-80dd-89a5f6477e31"/>
  </ds:schemaRefs>
</ds:datastoreItem>
</file>

<file path=customXml/itemProps5.xml><?xml version="1.0" encoding="utf-8"?>
<ds:datastoreItem xmlns:ds="http://schemas.openxmlformats.org/officeDocument/2006/customXml" ds:itemID="{A9E2D7B3-AC15-4479-B9E0-E1B0252999A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3210</Words>
  <Characters>17559</Characters>
  <Application>Microsoft Office Word</Application>
  <DocSecurity>2</DocSecurity>
  <Lines>731</Lines>
  <Paragraphs>494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7</cp:revision>
  <dcterms:created xsi:type="dcterms:W3CDTF">2025-06-13T13:23:00Z</dcterms:created>
  <dcterms:modified xsi:type="dcterms:W3CDTF">2025-06-13T13:36:00Z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0x010100AA725D1E4634A546BBAF0F9E695499AD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iManageFooter">
    <vt:lpwstr>#32366641v2&lt;RCDMS&gt; - UMMHC Proton Beam Consolidated Responses to DPH Questions Final 6.10.25</vt:lpwstr>
  </property>
</Properties>
</file>