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F3DF" w14:textId="2F0686AD" w:rsidR="00AF090C" w:rsidRDefault="00585796" w:rsidP="34B7B7BA">
      <w:pPr>
        <w:jc w:val="center"/>
        <w:rPr>
          <w:b/>
          <w:sz w:val="32"/>
          <w:szCs w:val="32"/>
        </w:rPr>
      </w:pPr>
      <w:r w:rsidRPr="71645B4E">
        <w:rPr>
          <w:b/>
          <w:sz w:val="32"/>
          <w:szCs w:val="32"/>
        </w:rPr>
        <w:t>Responsible Contractor Guidance Checklist</w:t>
      </w:r>
    </w:p>
    <w:p w14:paraId="61B58131" w14:textId="49D016EB" w:rsidR="00585796" w:rsidRDefault="00585796" w:rsidP="00585796">
      <w:pPr>
        <w:spacing w:after="160" w:line="259" w:lineRule="auto"/>
        <w:jc w:val="center"/>
        <w:rPr>
          <w:i/>
          <w:iCs/>
        </w:rPr>
      </w:pPr>
      <w:r>
        <w:t>Issued by the Massachusetts Executive Office of Housing and Livable Communities (HLC)</w:t>
      </w:r>
      <w:r>
        <w:br/>
      </w:r>
      <w:r w:rsidR="003F614F" w:rsidRPr="00E037E1">
        <w:rPr>
          <w:i/>
          <w:iCs/>
        </w:rPr>
        <w:t>Revised September 2</w:t>
      </w:r>
      <w:r w:rsidR="00E037E1" w:rsidRPr="00E037E1">
        <w:rPr>
          <w:i/>
          <w:iCs/>
        </w:rPr>
        <w:t>4</w:t>
      </w:r>
      <w:r w:rsidR="003F614F" w:rsidRPr="00E037E1">
        <w:rPr>
          <w:i/>
          <w:iCs/>
        </w:rPr>
        <w:t>,</w:t>
      </w:r>
      <w:r w:rsidR="00725764" w:rsidRPr="00E037E1">
        <w:rPr>
          <w:i/>
          <w:iCs/>
        </w:rPr>
        <w:t xml:space="preserve"> </w:t>
      </w:r>
      <w:r w:rsidRPr="00E037E1">
        <w:rPr>
          <w:i/>
          <w:iCs/>
        </w:rPr>
        <w:t>2025</w:t>
      </w:r>
    </w:p>
    <w:p w14:paraId="17EFB03D" w14:textId="12607B12" w:rsidR="00AD3DF2" w:rsidRPr="00D06C14" w:rsidRDefault="00AD3DF2" w:rsidP="005E0F5D">
      <w:pPr>
        <w:spacing w:after="160" w:line="259" w:lineRule="auto"/>
        <w:rPr>
          <w:b/>
          <w:bCs/>
          <w:sz w:val="28"/>
          <w:szCs w:val="28"/>
          <w:u w:val="single"/>
        </w:rPr>
      </w:pPr>
      <w:r w:rsidRPr="00D06C14">
        <w:rPr>
          <w:b/>
          <w:bCs/>
          <w:sz w:val="28"/>
          <w:szCs w:val="28"/>
          <w:u w:val="single"/>
        </w:rPr>
        <w:t xml:space="preserve">For Projects </w:t>
      </w:r>
      <w:r w:rsidR="001A3C2B" w:rsidRPr="00D06C14">
        <w:rPr>
          <w:b/>
          <w:bCs/>
          <w:sz w:val="28"/>
          <w:szCs w:val="28"/>
          <w:u w:val="single"/>
        </w:rPr>
        <w:t>with</w:t>
      </w:r>
      <w:r w:rsidRPr="00D06C14">
        <w:rPr>
          <w:b/>
          <w:bCs/>
          <w:sz w:val="28"/>
          <w:szCs w:val="28"/>
          <w:u w:val="single"/>
        </w:rPr>
        <w:t xml:space="preserve"> More </w:t>
      </w:r>
      <w:r w:rsidR="00301D12" w:rsidRPr="00D06C14">
        <w:rPr>
          <w:b/>
          <w:bCs/>
          <w:sz w:val="28"/>
          <w:szCs w:val="28"/>
          <w:u w:val="single"/>
        </w:rPr>
        <w:t>T</w:t>
      </w:r>
      <w:r w:rsidRPr="00D06C14">
        <w:rPr>
          <w:b/>
          <w:bCs/>
          <w:sz w:val="28"/>
          <w:szCs w:val="28"/>
          <w:u w:val="single"/>
        </w:rPr>
        <w:t xml:space="preserve">han </w:t>
      </w:r>
      <w:r w:rsidR="00301D12" w:rsidRPr="00D06C14">
        <w:rPr>
          <w:b/>
          <w:bCs/>
          <w:sz w:val="28"/>
          <w:szCs w:val="28"/>
          <w:u w:val="single"/>
        </w:rPr>
        <w:t>2</w:t>
      </w:r>
      <w:r w:rsidR="008D546D">
        <w:rPr>
          <w:b/>
          <w:bCs/>
          <w:sz w:val="28"/>
          <w:szCs w:val="28"/>
          <w:u w:val="single"/>
        </w:rPr>
        <w:t>1 or More</w:t>
      </w:r>
      <w:r w:rsidR="00301D12" w:rsidRPr="00D06C14">
        <w:rPr>
          <w:b/>
          <w:bCs/>
          <w:sz w:val="28"/>
          <w:szCs w:val="28"/>
          <w:u w:val="single"/>
        </w:rPr>
        <w:t xml:space="preserve"> Housing Units:</w:t>
      </w:r>
    </w:p>
    <w:p w14:paraId="4E1A0114" w14:textId="35B47FA9" w:rsidR="00A802BA" w:rsidRDefault="00A802BA" w:rsidP="60F13ADE">
      <w:pPr>
        <w:pStyle w:val="ListParagraph"/>
        <w:numPr>
          <w:ilvl w:val="0"/>
          <w:numId w:val="2"/>
        </w:numPr>
        <w:spacing w:after="160" w:line="259" w:lineRule="auto"/>
        <w:ind w:left="806"/>
        <w:contextualSpacing w:val="0"/>
      </w:pPr>
      <w:r w:rsidRPr="562C64D1">
        <w:rPr>
          <w:b/>
          <w:bCs/>
        </w:rPr>
        <w:t xml:space="preserve">Subcontractor List: </w:t>
      </w:r>
      <w:r w:rsidR="002C05B2">
        <w:t>The General Contractor must provide a l</w:t>
      </w:r>
      <w:r>
        <w:t xml:space="preserve">ist of </w:t>
      </w:r>
      <w:r w:rsidR="002C05B2">
        <w:t xml:space="preserve">all </w:t>
      </w:r>
      <w:r>
        <w:t xml:space="preserve">participating subcontractors before work begins on </w:t>
      </w:r>
      <w:r w:rsidR="002C05B2">
        <w:t>a</w:t>
      </w:r>
      <w:r>
        <w:t xml:space="preserve"> project</w:t>
      </w:r>
      <w:r w:rsidR="002C05B2">
        <w:t>. The General Contractor</w:t>
      </w:r>
      <w:r>
        <w:t xml:space="preserve"> </w:t>
      </w:r>
      <w:r w:rsidR="002C05B2">
        <w:t>must update the list</w:t>
      </w:r>
      <w:r w:rsidR="00EE5EAC">
        <w:t xml:space="preserve"> and share an updated subcontractor list with the project owner</w:t>
      </w:r>
      <w:r w:rsidR="002C05B2">
        <w:t xml:space="preserve"> </w:t>
      </w:r>
      <w:r w:rsidR="000E405C">
        <w:t xml:space="preserve">within </w:t>
      </w:r>
      <w:r>
        <w:t xml:space="preserve">15 days </w:t>
      </w:r>
      <w:r w:rsidR="000E405C">
        <w:t xml:space="preserve">after </w:t>
      </w:r>
      <w:r>
        <w:t xml:space="preserve">any </w:t>
      </w:r>
      <w:r w:rsidR="000E405C">
        <w:t xml:space="preserve">change in </w:t>
      </w:r>
      <w:r>
        <w:t>subcontractor</w:t>
      </w:r>
      <w:r w:rsidR="000E405C">
        <w:t>s</w:t>
      </w:r>
      <w:r>
        <w:t xml:space="preserve"> </w:t>
      </w:r>
      <w:r w:rsidR="002C05B2">
        <w:t>on the subcontractor</w:t>
      </w:r>
      <w:r w:rsidR="00482F70">
        <w:t>.</w:t>
      </w:r>
    </w:p>
    <w:p w14:paraId="2B7C0DDC" w14:textId="1B6364B1" w:rsidR="00C74A23" w:rsidRPr="00322BAA" w:rsidRDefault="000E2D35" w:rsidP="005E0F5D">
      <w:pPr>
        <w:pStyle w:val="ListParagraph"/>
        <w:numPr>
          <w:ilvl w:val="1"/>
          <w:numId w:val="2"/>
        </w:numPr>
        <w:spacing w:after="160" w:line="259" w:lineRule="auto"/>
        <w:contextualSpacing w:val="0"/>
      </w:pPr>
      <w:hyperlink r:id="rId11" w:history="1">
        <w:r w:rsidR="00C74A23" w:rsidRPr="000E2D35">
          <w:rPr>
            <w:rStyle w:val="Hyperlink"/>
          </w:rPr>
          <w:t xml:space="preserve">Subcontractor </w:t>
        </w:r>
        <w:r w:rsidR="00322BAA" w:rsidRPr="000E2D35">
          <w:rPr>
            <w:rStyle w:val="Hyperlink"/>
          </w:rPr>
          <w:t xml:space="preserve">List </w:t>
        </w:r>
        <w:r w:rsidR="00A515B5" w:rsidRPr="000E2D35">
          <w:rPr>
            <w:rStyle w:val="Hyperlink"/>
          </w:rPr>
          <w:t>Form</w:t>
        </w:r>
      </w:hyperlink>
    </w:p>
    <w:p w14:paraId="65D8352D" w14:textId="6A001E01" w:rsidR="002C05B2" w:rsidRDefault="002C05B2" w:rsidP="00482F70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>
        <w:rPr>
          <w:b/>
          <w:bCs/>
        </w:rPr>
        <w:t xml:space="preserve">Certificate of Compliance: </w:t>
      </w:r>
      <w:r>
        <w:t>The General Contractor and any other contractor or subcontractor on a project must complete a Certificate of Compliance on the form provided by HLC</w:t>
      </w:r>
      <w:r w:rsidR="008E5AA7">
        <w:t xml:space="preserve"> before starting work on the project</w:t>
      </w:r>
      <w:r>
        <w:t xml:space="preserve">.  </w:t>
      </w:r>
    </w:p>
    <w:p w14:paraId="60CCE4B0" w14:textId="68B50DEF" w:rsidR="00322BAA" w:rsidRDefault="00E037E1" w:rsidP="005E0F5D">
      <w:pPr>
        <w:pStyle w:val="ListParagraph"/>
        <w:numPr>
          <w:ilvl w:val="1"/>
          <w:numId w:val="2"/>
        </w:numPr>
        <w:spacing w:after="160" w:line="259" w:lineRule="auto"/>
        <w:contextualSpacing w:val="0"/>
      </w:pPr>
      <w:hyperlink r:id="rId12" w:history="1">
        <w:r w:rsidR="00322BAA" w:rsidRPr="00E037E1">
          <w:rPr>
            <w:rStyle w:val="Hyperlink"/>
          </w:rPr>
          <w:t>Certificate of Compliance Form</w:t>
        </w:r>
      </w:hyperlink>
    </w:p>
    <w:p w14:paraId="057EB084" w14:textId="6A2AC658" w:rsidR="00FA78FB" w:rsidRDefault="712BEE8C" w:rsidP="00FA78FB">
      <w:pPr>
        <w:pStyle w:val="ListParagraph"/>
        <w:numPr>
          <w:ilvl w:val="0"/>
          <w:numId w:val="2"/>
        </w:numPr>
        <w:spacing w:after="160" w:line="22" w:lineRule="atLeast"/>
        <w:ind w:left="806"/>
        <w:contextualSpacing w:val="0"/>
      </w:pPr>
      <w:r w:rsidRPr="312D0FA2">
        <w:rPr>
          <w:b/>
          <w:bCs/>
        </w:rPr>
        <w:t>Excluded Parties List</w:t>
      </w:r>
      <w:r w:rsidR="342CA383" w:rsidRPr="312D0FA2">
        <w:rPr>
          <w:b/>
          <w:bCs/>
        </w:rPr>
        <w:t xml:space="preserve">: </w:t>
      </w:r>
      <w:r w:rsidR="342CA383">
        <w:t>A project owner is responsible for checking whether the General Contractor is on any excluded parties list.</w:t>
      </w:r>
      <w:r w:rsidR="1964B1FB">
        <w:t xml:space="preserve"> </w:t>
      </w:r>
      <w:r w:rsidR="7D88973E">
        <w:t>The General Contractor is responsible for checking whether subcontractors are on these lists.</w:t>
      </w:r>
    </w:p>
    <w:p w14:paraId="2ED0C4CB" w14:textId="77777777" w:rsidR="00FA78FB" w:rsidRPr="00FA78FB" w:rsidRDefault="00FA78FB" w:rsidP="00FA78FB">
      <w:pPr>
        <w:pStyle w:val="ListParagraph"/>
        <w:numPr>
          <w:ilvl w:val="1"/>
          <w:numId w:val="2"/>
        </w:numPr>
        <w:spacing w:after="160" w:line="22" w:lineRule="atLeast"/>
        <w:contextualSpacing w:val="0"/>
      </w:pPr>
      <w:r w:rsidRPr="00FA78FB">
        <w:rPr>
          <w:rFonts w:ascii="Aptos" w:hAnsi="Aptos" w:cs="Times New Roman"/>
        </w:rPr>
        <w:t xml:space="preserve">The </w:t>
      </w:r>
      <w:hyperlink r:id="rId13" w:history="1">
        <w:r w:rsidRPr="00FA78FB">
          <w:rPr>
            <w:rStyle w:val="Hyperlink"/>
            <w:rFonts w:ascii="Aptos" w:hAnsi="Aptos" w:cs="Times New Roman"/>
          </w:rPr>
          <w:t>AGO debarment list</w:t>
        </w:r>
      </w:hyperlink>
      <w:r w:rsidRPr="00FA78FB">
        <w:rPr>
          <w:rFonts w:ascii="Aptos" w:hAnsi="Aptos" w:cs="Times New Roman"/>
        </w:rPr>
        <w:t>;</w:t>
      </w:r>
    </w:p>
    <w:p w14:paraId="213BB353" w14:textId="77777777" w:rsidR="00FA78FB" w:rsidRPr="00FA78FB" w:rsidRDefault="00FA78FB" w:rsidP="00FA78FB">
      <w:pPr>
        <w:pStyle w:val="ListParagraph"/>
        <w:numPr>
          <w:ilvl w:val="1"/>
          <w:numId w:val="2"/>
        </w:numPr>
        <w:spacing w:after="160" w:line="22" w:lineRule="atLeast"/>
        <w:contextualSpacing w:val="0"/>
      </w:pPr>
      <w:r w:rsidRPr="00FA78FB">
        <w:rPr>
          <w:rFonts w:ascii="Aptos" w:hAnsi="Aptos" w:cs="Times New Roman"/>
        </w:rPr>
        <w:t xml:space="preserve">The AGO listing of </w:t>
      </w:r>
      <w:hyperlink r:id="rId14" w:history="1">
        <w:r w:rsidRPr="00FA78FB">
          <w:rPr>
            <w:rStyle w:val="Hyperlink"/>
            <w:rFonts w:ascii="Aptos" w:hAnsi="Aptos" w:cs="Times New Roman"/>
          </w:rPr>
          <w:t>civil enforcement actions 7/1/2021–present</w:t>
        </w:r>
      </w:hyperlink>
      <w:r w:rsidRPr="00FA78FB">
        <w:rPr>
          <w:rFonts w:ascii="Aptos" w:hAnsi="Aptos" w:cs="Times New Roman"/>
        </w:rPr>
        <w:t xml:space="preserve">; </w:t>
      </w:r>
    </w:p>
    <w:p w14:paraId="5A4075CC" w14:textId="77777777" w:rsidR="00FA78FB" w:rsidRPr="00FA78FB" w:rsidRDefault="00FA78FB" w:rsidP="00FA78FB">
      <w:pPr>
        <w:pStyle w:val="ListParagraph"/>
        <w:numPr>
          <w:ilvl w:val="1"/>
          <w:numId w:val="2"/>
        </w:numPr>
        <w:spacing w:after="160" w:line="22" w:lineRule="atLeast"/>
        <w:contextualSpacing w:val="0"/>
      </w:pPr>
      <w:r w:rsidRPr="00FA78FB">
        <w:rPr>
          <w:rFonts w:ascii="Aptos" w:hAnsi="Aptos" w:cs="Times New Roman"/>
        </w:rPr>
        <w:t xml:space="preserve">The </w:t>
      </w:r>
      <w:hyperlink r:id="rId15" w:history="1">
        <w:r w:rsidRPr="00FA78FB">
          <w:rPr>
            <w:rStyle w:val="Hyperlink"/>
            <w:rFonts w:ascii="Aptos" w:hAnsi="Aptos" w:cs="Times New Roman"/>
          </w:rPr>
          <w:t>listing of debarred, suspended or decertified contractors maintained by the Division of Capital Asset Management and Maintenance</w:t>
        </w:r>
      </w:hyperlink>
      <w:r w:rsidRPr="00FA78FB">
        <w:rPr>
          <w:rFonts w:ascii="Aptos" w:hAnsi="Aptos" w:cs="Times New Roman"/>
        </w:rPr>
        <w:t xml:space="preserve">; </w:t>
      </w:r>
    </w:p>
    <w:p w14:paraId="5C074F1D" w14:textId="77777777" w:rsidR="00FA78FB" w:rsidRPr="00FA78FB" w:rsidRDefault="00FA78FB" w:rsidP="00FA78FB">
      <w:pPr>
        <w:pStyle w:val="ListParagraph"/>
        <w:numPr>
          <w:ilvl w:val="1"/>
          <w:numId w:val="2"/>
        </w:numPr>
        <w:spacing w:after="160" w:line="22" w:lineRule="atLeast"/>
        <w:contextualSpacing w:val="0"/>
      </w:pPr>
      <w:r w:rsidRPr="00FA78FB">
        <w:rPr>
          <w:rFonts w:ascii="Aptos" w:hAnsi="Aptos" w:cs="Times New Roman"/>
        </w:rPr>
        <w:t xml:space="preserve">Businesses on the </w:t>
      </w:r>
      <w:hyperlink r:id="rId16">
        <w:r w:rsidRPr="00FA78FB">
          <w:rPr>
            <w:rStyle w:val="Hyperlink"/>
            <w:rFonts w:ascii="Aptos" w:hAnsi="Aptos" w:cs="Times New Roman"/>
          </w:rPr>
          <w:t>Department of Industrial Accidents’ debarment list</w:t>
        </w:r>
      </w:hyperlink>
      <w:r w:rsidRPr="00FA78FB">
        <w:rPr>
          <w:rFonts w:ascii="Aptos" w:hAnsi="Aptos" w:cs="Times New Roman"/>
        </w:rPr>
        <w:t xml:space="preserve">; </w:t>
      </w:r>
    </w:p>
    <w:p w14:paraId="5E4E541C" w14:textId="1D44308D" w:rsidR="00FA78FB" w:rsidRPr="00FA78FB" w:rsidRDefault="00FA78FB" w:rsidP="00FA78FB">
      <w:pPr>
        <w:pStyle w:val="ListParagraph"/>
        <w:numPr>
          <w:ilvl w:val="1"/>
          <w:numId w:val="2"/>
        </w:numPr>
        <w:spacing w:after="160" w:line="22" w:lineRule="atLeast"/>
        <w:contextualSpacing w:val="0"/>
      </w:pPr>
      <w:r w:rsidRPr="00FA78FB">
        <w:rPr>
          <w:rFonts w:ascii="Aptos" w:hAnsi="Aptos" w:cs="Times New Roman"/>
        </w:rPr>
        <w:t xml:space="preserve">The </w:t>
      </w:r>
      <w:hyperlink r:id="rId17" w:history="1">
        <w:r w:rsidRPr="00FA78FB">
          <w:rPr>
            <w:rStyle w:val="Hyperlink"/>
            <w:rFonts w:ascii="Aptos" w:hAnsi="Aptos" w:cs="Times New Roman"/>
          </w:rPr>
          <w:t>federal government excluded parties list</w:t>
        </w:r>
      </w:hyperlink>
      <w:r w:rsidRPr="00FA78FB">
        <w:rPr>
          <w:rStyle w:val="Hyperlink"/>
          <w:rFonts w:ascii="Aptos" w:hAnsi="Aptos" w:cs="Times New Roman"/>
        </w:rPr>
        <w:t>.</w:t>
      </w:r>
    </w:p>
    <w:p w14:paraId="3F5DF10F" w14:textId="3D56D9DD" w:rsidR="0042261C" w:rsidRDefault="00A802BA" w:rsidP="00482F70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>
        <w:rPr>
          <w:b/>
          <w:bCs/>
        </w:rPr>
        <w:t xml:space="preserve">Unemployment Assistance Certificate of Compliance: </w:t>
      </w:r>
      <w:r w:rsidR="00C84536">
        <w:t xml:space="preserve">Certificate of Compliance from </w:t>
      </w:r>
      <w:r w:rsidR="0042261C">
        <w:t>MA Department of Unemployment Assistance</w:t>
      </w:r>
      <w:r w:rsidR="00C84536">
        <w:t xml:space="preserve"> </w:t>
      </w:r>
      <w:r w:rsidR="0042261C">
        <w:t xml:space="preserve">issued within </w:t>
      </w:r>
      <w:r w:rsidR="00C84536">
        <w:t>30 days before commencing work from General Contractor and all Subcontractors</w:t>
      </w:r>
      <w:r w:rsidR="0042261C">
        <w:t>.</w:t>
      </w:r>
    </w:p>
    <w:p w14:paraId="781894CC" w14:textId="5CAD1DB0" w:rsidR="002D5006" w:rsidRDefault="002D5006" w:rsidP="005E0F5D">
      <w:pPr>
        <w:pStyle w:val="ListParagraph"/>
        <w:numPr>
          <w:ilvl w:val="1"/>
          <w:numId w:val="2"/>
        </w:numPr>
        <w:spacing w:after="160" w:line="259" w:lineRule="auto"/>
        <w:contextualSpacing w:val="0"/>
      </w:pPr>
      <w:hyperlink r:id="rId18">
        <w:r w:rsidRPr="05AF2CEC">
          <w:rPr>
            <w:rStyle w:val="Hyperlink"/>
          </w:rPr>
          <w:t>Request an Unemployment Assistance Certificate of Compliance | Mass.gov</w:t>
        </w:r>
      </w:hyperlink>
    </w:p>
    <w:p w14:paraId="1011F32D" w14:textId="5D6542F7" w:rsidR="00C84536" w:rsidRDefault="00A802BA" w:rsidP="00482F70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 w:rsidRPr="00A802BA">
        <w:rPr>
          <w:b/>
          <w:bCs/>
        </w:rPr>
        <w:t>Department of Revenue Certificate of Good Standing:</w:t>
      </w:r>
      <w:r>
        <w:t xml:space="preserve"> </w:t>
      </w:r>
      <w:r w:rsidR="00C84536">
        <w:t xml:space="preserve">Certificate of Good Standing from </w:t>
      </w:r>
      <w:r w:rsidR="0042261C">
        <w:t>MA Department of Revenue</w:t>
      </w:r>
      <w:r w:rsidR="00C84536">
        <w:t xml:space="preserve"> issued within 30 days before commencing work from General Contractor and all </w:t>
      </w:r>
      <w:r w:rsidR="005E0F5D">
        <w:t>s</w:t>
      </w:r>
      <w:r w:rsidR="00C84536">
        <w:t>ubcontractors.</w:t>
      </w:r>
    </w:p>
    <w:p w14:paraId="38BEF978" w14:textId="6FDF092D" w:rsidR="00D70CF3" w:rsidRDefault="00D70CF3" w:rsidP="00D70CF3">
      <w:pPr>
        <w:pStyle w:val="ListParagraph"/>
        <w:numPr>
          <w:ilvl w:val="1"/>
          <w:numId w:val="2"/>
        </w:numPr>
        <w:spacing w:after="160" w:line="259" w:lineRule="auto"/>
        <w:contextualSpacing w:val="0"/>
      </w:pPr>
      <w:hyperlink r:id="rId19" w:history="1">
        <w:r w:rsidRPr="00D70CF3">
          <w:rPr>
            <w:rStyle w:val="Hyperlink"/>
          </w:rPr>
          <w:t>DOR Certificate of Good Standing or Corporate Tax Lien Waiver | Mass.gov</w:t>
        </w:r>
      </w:hyperlink>
    </w:p>
    <w:p w14:paraId="56BADF8E" w14:textId="6A0BECD4" w:rsidR="0042261C" w:rsidRDefault="00A802BA" w:rsidP="00482F70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>
        <w:rPr>
          <w:b/>
          <w:bCs/>
        </w:rPr>
        <w:t xml:space="preserve">Written Approval of Subcontractors: </w:t>
      </w:r>
      <w:r w:rsidR="0042261C">
        <w:t xml:space="preserve">Written approval </w:t>
      </w:r>
      <w:r w:rsidR="00C84536">
        <w:t>by the General Contractor of all Subcontractors.</w:t>
      </w:r>
    </w:p>
    <w:p w14:paraId="16ACD0E2" w14:textId="0E87C12F" w:rsidR="00C84536" w:rsidRDefault="00A802BA" w:rsidP="00482F70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>
        <w:rPr>
          <w:b/>
          <w:bCs/>
        </w:rPr>
        <w:lastRenderedPageBreak/>
        <w:t xml:space="preserve">Workers’ Rights Information Posting: </w:t>
      </w:r>
      <w:r w:rsidR="00C84536">
        <w:t>Prominent posting at the job site of information about workers’ rights under applicable laws.</w:t>
      </w:r>
    </w:p>
    <w:p w14:paraId="319E8A3F" w14:textId="0E14C2E0" w:rsidR="004A4E11" w:rsidRDefault="004A4E11" w:rsidP="005E0F5D">
      <w:pPr>
        <w:pStyle w:val="ListParagraph"/>
        <w:numPr>
          <w:ilvl w:val="1"/>
          <w:numId w:val="2"/>
        </w:numPr>
        <w:spacing w:after="160" w:line="259" w:lineRule="auto"/>
        <w:contextualSpacing w:val="0"/>
      </w:pPr>
      <w:hyperlink r:id="rId20">
        <w:r w:rsidRPr="05AF2CEC">
          <w:rPr>
            <w:rStyle w:val="Hyperlink"/>
          </w:rPr>
          <w:t>Massachusetts workplace poster requirements | Mass.gov</w:t>
        </w:r>
      </w:hyperlink>
    </w:p>
    <w:p w14:paraId="1CA6D0B4" w14:textId="3F4BA7C0" w:rsidR="00C84536" w:rsidRDefault="00A802BA" w:rsidP="00482F70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>
        <w:rPr>
          <w:b/>
          <w:bCs/>
        </w:rPr>
        <w:t xml:space="preserve">Insurance: </w:t>
      </w:r>
      <w:r w:rsidR="00640DF8">
        <w:t>General contractors and subcontractors must o</w:t>
      </w:r>
      <w:r w:rsidR="00C84536">
        <w:t>btain appropriate insurance prior to commencing work, including worker’s compensation insurance, general liability insurance, commercial vehicle insurance</w:t>
      </w:r>
      <w:r w:rsidR="00883C32">
        <w:t>, and any other required insurance</w:t>
      </w:r>
      <w:r w:rsidR="00C84536">
        <w:t>.</w:t>
      </w:r>
    </w:p>
    <w:p w14:paraId="061C4FE1" w14:textId="7CDF4548" w:rsidR="00C84536" w:rsidRDefault="00A802BA" w:rsidP="00482F70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>
        <w:rPr>
          <w:b/>
          <w:bCs/>
        </w:rPr>
        <w:t xml:space="preserve">Bonds: </w:t>
      </w:r>
      <w:r w:rsidR="00C84536">
        <w:t>Providing payment, performance and lien bonds by the General Contractor.</w:t>
      </w:r>
    </w:p>
    <w:p w14:paraId="7129CE97" w14:textId="53E5FBA6" w:rsidR="0042261C" w:rsidRDefault="00A802BA" w:rsidP="00482F70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>
        <w:rPr>
          <w:b/>
          <w:bCs/>
        </w:rPr>
        <w:t xml:space="preserve">OSHA </w:t>
      </w:r>
      <w:r w:rsidR="00162629">
        <w:rPr>
          <w:b/>
          <w:bCs/>
        </w:rPr>
        <w:t>Training</w:t>
      </w:r>
      <w:r>
        <w:rPr>
          <w:b/>
          <w:bCs/>
        </w:rPr>
        <w:t xml:space="preserve"> Cards: </w:t>
      </w:r>
      <w:r w:rsidR="00FD0A28">
        <w:t xml:space="preserve">The General Contractor </w:t>
      </w:r>
      <w:r w:rsidR="00873315">
        <w:t>and any subcontractor must collect c</w:t>
      </w:r>
      <w:r>
        <w:t xml:space="preserve">opies of </w:t>
      </w:r>
      <w:r w:rsidR="0042261C">
        <w:t xml:space="preserve">OSHA </w:t>
      </w:r>
      <w:r w:rsidR="00162629">
        <w:t>training</w:t>
      </w:r>
      <w:r w:rsidR="0042261C">
        <w:t xml:space="preserve"> card</w:t>
      </w:r>
      <w:r>
        <w:t>s</w:t>
      </w:r>
      <w:r w:rsidR="0042261C">
        <w:t xml:space="preserve"> for every </w:t>
      </w:r>
      <w:r w:rsidR="00C84536">
        <w:t>employee</w:t>
      </w:r>
      <w:r w:rsidR="0042261C">
        <w:t xml:space="preserve"> within two weeks the employee</w:t>
      </w:r>
      <w:r w:rsidR="00B73266">
        <w:t>’s start date</w:t>
      </w:r>
      <w:r w:rsidR="0042261C">
        <w:t xml:space="preserve"> on the project</w:t>
      </w:r>
      <w:r w:rsidR="00C84536">
        <w:t>.</w:t>
      </w:r>
      <w:r w:rsidR="0042261C">
        <w:t xml:space="preserve"> </w:t>
      </w:r>
    </w:p>
    <w:p w14:paraId="31C60C46" w14:textId="7FCBC252" w:rsidR="00D87F1E" w:rsidRDefault="00D87F1E" w:rsidP="005E6030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 w:rsidRPr="005E6030">
        <w:rPr>
          <w:b/>
          <w:bCs/>
        </w:rPr>
        <w:t>Daily Contemporaneous Records</w:t>
      </w:r>
      <w:r>
        <w:t xml:space="preserve">: </w:t>
      </w:r>
      <w:r w:rsidR="00FA2802">
        <w:t xml:space="preserve">The General Contractor and any subcontractor must </w:t>
      </w:r>
      <w:r w:rsidR="00D25971">
        <w:t xml:space="preserve">maintain electronic or paper forms that identify when each employee and their contractor/foreman are present at the </w:t>
      </w:r>
      <w:r w:rsidR="00B00FE6">
        <w:t>Project</w:t>
      </w:r>
      <w:r w:rsidR="00A047E6">
        <w:t>.</w:t>
      </w:r>
    </w:p>
    <w:p w14:paraId="3C43D3C7" w14:textId="14073BED" w:rsidR="00B00FE6" w:rsidRDefault="00B00FE6" w:rsidP="00B00FE6">
      <w:pPr>
        <w:pStyle w:val="ListParagraph"/>
        <w:numPr>
          <w:ilvl w:val="1"/>
          <w:numId w:val="2"/>
        </w:numPr>
        <w:spacing w:after="160" w:line="259" w:lineRule="auto"/>
        <w:contextualSpacing w:val="0"/>
      </w:pPr>
      <w:r>
        <w:t>Records may include: punch-in/punch-out systems, timesheet software, or daily sign-in/sign-out sheets</w:t>
      </w:r>
    </w:p>
    <w:p w14:paraId="73AD5A10" w14:textId="0142BBB1" w:rsidR="00F01DC6" w:rsidRPr="003B0D17" w:rsidRDefault="00811C0B" w:rsidP="00B00FE6">
      <w:pPr>
        <w:pStyle w:val="ListParagraph"/>
        <w:numPr>
          <w:ilvl w:val="1"/>
          <w:numId w:val="2"/>
        </w:numPr>
        <w:spacing w:after="160" w:line="259" w:lineRule="auto"/>
        <w:contextualSpacing w:val="0"/>
      </w:pPr>
      <w:hyperlink r:id="rId21" w:history="1">
        <w:r w:rsidR="00F01DC6" w:rsidRPr="00811C0B">
          <w:rPr>
            <w:rStyle w:val="Hyperlink"/>
          </w:rPr>
          <w:t xml:space="preserve">Example of </w:t>
        </w:r>
        <w:r w:rsidR="007646A2" w:rsidRPr="00811C0B">
          <w:rPr>
            <w:rStyle w:val="Hyperlink"/>
          </w:rPr>
          <w:t>daily sign-in/sign-out sheet</w:t>
        </w:r>
      </w:hyperlink>
      <w:r w:rsidR="007646A2">
        <w:t xml:space="preserve"> </w:t>
      </w:r>
    </w:p>
    <w:p w14:paraId="073B9E1E" w14:textId="37B7ED3F" w:rsidR="00A047E6" w:rsidRDefault="00A802BA" w:rsidP="00482F70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>
        <w:rPr>
          <w:b/>
          <w:bCs/>
        </w:rPr>
        <w:t xml:space="preserve">Certified Payrolls: </w:t>
      </w:r>
      <w:r w:rsidR="004901AE">
        <w:t xml:space="preserve">The General Contractor and any subcontractor </w:t>
      </w:r>
      <w:r w:rsidR="004901AE">
        <w:t>must collect c</w:t>
      </w:r>
      <w:r w:rsidR="0042261C" w:rsidRPr="00A802BA">
        <w:t>ertified payrolls for all</w:t>
      </w:r>
      <w:r w:rsidR="0042261C">
        <w:t xml:space="preserve"> employees based on their normal payroll schedule, whether weekly or biweekly</w:t>
      </w:r>
      <w:r w:rsidR="00C84536">
        <w:t>.</w:t>
      </w:r>
    </w:p>
    <w:p w14:paraId="15B11DDC" w14:textId="60C629CB" w:rsidR="00DA1539" w:rsidRDefault="00F93255" w:rsidP="00DA1539">
      <w:pPr>
        <w:pStyle w:val="ListParagraph"/>
        <w:numPr>
          <w:ilvl w:val="1"/>
          <w:numId w:val="2"/>
        </w:numPr>
        <w:spacing w:after="160" w:line="259" w:lineRule="auto"/>
        <w:contextualSpacing w:val="0"/>
      </w:pPr>
      <w:hyperlink r:id="rId22" w:history="1">
        <w:r w:rsidR="00DA1539" w:rsidRPr="00F93255">
          <w:rPr>
            <w:rStyle w:val="Hyperlink"/>
          </w:rPr>
          <w:t>Certified Payroll Form</w:t>
        </w:r>
      </w:hyperlink>
    </w:p>
    <w:p w14:paraId="7656F5E9" w14:textId="4B998545" w:rsidR="00252035" w:rsidRDefault="000E405C" w:rsidP="00252035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 w:rsidRPr="00A047E6">
        <w:rPr>
          <w:b/>
          <w:bCs/>
        </w:rPr>
        <w:t xml:space="preserve">Closeout Certificate: </w:t>
      </w:r>
      <w:r>
        <w:t xml:space="preserve">The General Contractor on a project must complete a Closeout Certificate on the form provided by HLC.  </w:t>
      </w:r>
    </w:p>
    <w:p w14:paraId="3ED710F9" w14:textId="1FDB4F44" w:rsidR="00252035" w:rsidRDefault="00252035" w:rsidP="00EC2C67">
      <w:pPr>
        <w:pStyle w:val="ListParagraph"/>
        <w:numPr>
          <w:ilvl w:val="1"/>
          <w:numId w:val="2"/>
        </w:numPr>
        <w:spacing w:after="160" w:line="259" w:lineRule="auto"/>
        <w:contextualSpacing w:val="0"/>
      </w:pPr>
      <w:r w:rsidRPr="00252035">
        <w:rPr>
          <w:b/>
          <w:bCs/>
        </w:rPr>
        <w:t xml:space="preserve">For Projects with </w:t>
      </w:r>
      <w:r w:rsidRPr="00252035">
        <w:rPr>
          <w:b/>
          <w:bCs/>
          <w:u w:val="single"/>
        </w:rPr>
        <w:t>21 or More</w:t>
      </w:r>
      <w:r w:rsidRPr="00252035">
        <w:rPr>
          <w:b/>
          <w:bCs/>
        </w:rPr>
        <w:t xml:space="preserve"> Housing Units: </w:t>
      </w:r>
      <w:hyperlink r:id="rId23" w:history="1">
        <w:r w:rsidRPr="00A0225B">
          <w:rPr>
            <w:rStyle w:val="Hyperlink"/>
          </w:rPr>
          <w:t>Closeout Certificate</w:t>
        </w:r>
      </w:hyperlink>
    </w:p>
    <w:p w14:paraId="728B6543" w14:textId="77777777" w:rsidR="00225B66" w:rsidRPr="00252035" w:rsidRDefault="00225B66" w:rsidP="00225B66">
      <w:pPr>
        <w:spacing w:after="160" w:line="259" w:lineRule="auto"/>
        <w:ind w:left="1080"/>
      </w:pPr>
    </w:p>
    <w:p w14:paraId="24E35F4C" w14:textId="77777777" w:rsidR="00A66A89" w:rsidRDefault="00A66A89" w:rsidP="00A66A89">
      <w:pPr>
        <w:spacing w:after="160" w:line="259" w:lineRule="auto"/>
        <w:rPr>
          <w:b/>
          <w:bCs/>
          <w:sz w:val="28"/>
          <w:szCs w:val="28"/>
          <w:u w:val="single"/>
        </w:rPr>
      </w:pPr>
      <w:r w:rsidRPr="00A66A89">
        <w:rPr>
          <w:b/>
          <w:bCs/>
          <w:sz w:val="28"/>
          <w:szCs w:val="28"/>
          <w:u w:val="single"/>
        </w:rPr>
        <w:t>For Projects with 20 or Less Housing Units:</w:t>
      </w:r>
    </w:p>
    <w:p w14:paraId="46D63DA0" w14:textId="6AD91A4A" w:rsidR="00FB5EEA" w:rsidRPr="00C45EF2" w:rsidRDefault="00C45EF2" w:rsidP="00A66A89">
      <w:pPr>
        <w:spacing w:after="160" w:line="259" w:lineRule="auto"/>
      </w:pPr>
      <w:r>
        <w:t xml:space="preserve">Small projects with 20 or less housing units are exempt from </w:t>
      </w:r>
      <w:r w:rsidR="00C82C09">
        <w:t>many</w:t>
      </w:r>
      <w:r>
        <w:t>—but not all</w:t>
      </w:r>
      <w:r w:rsidR="00C82C09">
        <w:t>—of the requirements of the Guidance.</w:t>
      </w:r>
    </w:p>
    <w:p w14:paraId="41CBB343" w14:textId="77777777" w:rsidR="00A66A89" w:rsidRDefault="00A66A89" w:rsidP="00A66A89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>
        <w:rPr>
          <w:b/>
          <w:bCs/>
        </w:rPr>
        <w:t xml:space="preserve">Certificate of Compliance: </w:t>
      </w:r>
      <w:r>
        <w:t xml:space="preserve">The General Contractor and any other contractor or subcontractor on a project must complete a Certificate of Compliance on the form provided by HLC before starting work on the project.  </w:t>
      </w:r>
    </w:p>
    <w:p w14:paraId="7047C168" w14:textId="77777777" w:rsidR="00A66A89" w:rsidRDefault="00A66A89" w:rsidP="00A66A89">
      <w:pPr>
        <w:pStyle w:val="ListParagraph"/>
        <w:numPr>
          <w:ilvl w:val="0"/>
          <w:numId w:val="2"/>
        </w:numPr>
        <w:spacing w:after="160" w:line="259" w:lineRule="auto"/>
        <w:ind w:left="810"/>
        <w:contextualSpacing w:val="0"/>
      </w:pPr>
      <w:r>
        <w:rPr>
          <w:b/>
          <w:bCs/>
        </w:rPr>
        <w:t xml:space="preserve">Closeout Certificate: </w:t>
      </w:r>
      <w:r>
        <w:t xml:space="preserve">The General Contractor on a project must complete a Closeout Certificate on the form provided by HLC.  </w:t>
      </w:r>
    </w:p>
    <w:p w14:paraId="52CEEA7F" w14:textId="77777777" w:rsidR="00A66A89" w:rsidRDefault="00A66A89" w:rsidP="00A66A89">
      <w:pPr>
        <w:pStyle w:val="ListParagraph"/>
        <w:numPr>
          <w:ilvl w:val="1"/>
          <w:numId w:val="2"/>
        </w:numPr>
        <w:spacing w:after="160" w:line="259" w:lineRule="auto"/>
        <w:contextualSpacing w:val="0"/>
      </w:pPr>
      <w:r w:rsidRPr="00252035">
        <w:rPr>
          <w:b/>
          <w:bCs/>
        </w:rPr>
        <w:t xml:space="preserve">For Projects with </w:t>
      </w:r>
      <w:r w:rsidRPr="00252035">
        <w:rPr>
          <w:b/>
          <w:bCs/>
          <w:u w:val="single"/>
        </w:rPr>
        <w:t>20 or Less</w:t>
      </w:r>
      <w:r w:rsidRPr="00252035">
        <w:rPr>
          <w:b/>
          <w:bCs/>
        </w:rPr>
        <w:t xml:space="preserve"> Housing Units:</w:t>
      </w:r>
      <w:r>
        <w:rPr>
          <w:b/>
          <w:bCs/>
        </w:rPr>
        <w:t xml:space="preserve"> </w:t>
      </w:r>
      <w:hyperlink r:id="rId24" w:history="1">
        <w:r w:rsidRPr="00A0225B">
          <w:rPr>
            <w:rStyle w:val="Hyperlink"/>
          </w:rPr>
          <w:t>Closeout Certificate</w:t>
        </w:r>
      </w:hyperlink>
    </w:p>
    <w:p w14:paraId="123BF275" w14:textId="77777777" w:rsidR="00225B66" w:rsidRDefault="00225B66" w:rsidP="00225B66">
      <w:pPr>
        <w:pStyle w:val="ListParagraph"/>
        <w:spacing w:after="160" w:line="259" w:lineRule="auto"/>
        <w:ind w:left="1440"/>
        <w:contextualSpacing w:val="0"/>
      </w:pPr>
    </w:p>
    <w:p w14:paraId="66A4382E" w14:textId="54812C9D" w:rsidR="00C84536" w:rsidRDefault="00C84536" w:rsidP="00C84536">
      <w:pPr>
        <w:spacing w:after="160" w:line="259" w:lineRule="auto"/>
      </w:pPr>
      <w:r>
        <w:t xml:space="preserve">All such documents </w:t>
      </w:r>
      <w:r w:rsidR="00225B66">
        <w:t xml:space="preserve">for all sized projects </w:t>
      </w:r>
      <w:r>
        <w:t>shall be retained by the project owner for three years following the  completion of</w:t>
      </w:r>
      <w:r w:rsidR="001A091A">
        <w:t xml:space="preserve"> construction</w:t>
      </w:r>
      <w:r>
        <w:t xml:space="preserve">. The project owner shall make these documents available for inspection by HLC, the </w:t>
      </w:r>
      <w:r w:rsidR="00A802BA">
        <w:t xml:space="preserve">Massachusetts Attorney General’s Office, the U.S. Department of Labor, and any other applicable authorities upon reasonable notice. </w:t>
      </w:r>
    </w:p>
    <w:p w14:paraId="06DC8C5D" w14:textId="73A14C4E" w:rsidR="000E405C" w:rsidRPr="00725764" w:rsidRDefault="00585796" w:rsidP="00585796">
      <w:pPr>
        <w:spacing w:after="160" w:line="259" w:lineRule="auto"/>
        <w:rPr>
          <w:b/>
          <w:bCs/>
        </w:rPr>
      </w:pPr>
      <w:r w:rsidRPr="00585796">
        <w:rPr>
          <w:b/>
          <w:bCs/>
        </w:rPr>
        <w:t xml:space="preserve">Note that this checklist is intended as an educational guide and does not constitute proof of compliance with the </w:t>
      </w:r>
      <w:r>
        <w:rPr>
          <w:b/>
          <w:bCs/>
        </w:rPr>
        <w:t>Responsible Contractor Guidance</w:t>
      </w:r>
      <w:r w:rsidRPr="00585796">
        <w:rPr>
          <w:b/>
          <w:bCs/>
        </w:rPr>
        <w:t xml:space="preserve">. For more information on the </w:t>
      </w:r>
      <w:r>
        <w:rPr>
          <w:b/>
          <w:bCs/>
        </w:rPr>
        <w:t>Responsible Contractor Guidance</w:t>
      </w:r>
      <w:r w:rsidRPr="00585796">
        <w:rPr>
          <w:b/>
          <w:bCs/>
        </w:rPr>
        <w:t xml:space="preserve">, please visit </w:t>
      </w:r>
      <w:hyperlink r:id="rId25" w:history="1">
        <w:r w:rsidR="00A6541F" w:rsidRPr="00A6541F">
          <w:rPr>
            <w:rStyle w:val="Hyperlink"/>
            <w:b/>
            <w:bCs/>
          </w:rPr>
          <w:t>Responsible Contractor Guidance | Mass.gov</w:t>
        </w:r>
      </w:hyperlink>
      <w:r w:rsidR="00A6541F">
        <w:rPr>
          <w:b/>
          <w:bCs/>
        </w:rPr>
        <w:t>.</w:t>
      </w:r>
    </w:p>
    <w:sectPr w:rsidR="000E405C" w:rsidRPr="00725764" w:rsidSect="00482F70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5E59" w14:textId="77777777" w:rsidR="00C91213" w:rsidRDefault="00C91213" w:rsidP="00556204">
      <w:r>
        <w:separator/>
      </w:r>
    </w:p>
  </w:endnote>
  <w:endnote w:type="continuationSeparator" w:id="0">
    <w:p w14:paraId="3B97E7DC" w14:textId="77777777" w:rsidR="00C91213" w:rsidRDefault="00C91213" w:rsidP="0055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695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E9583" w14:textId="47F358AF" w:rsidR="00556204" w:rsidRDefault="00556204" w:rsidP="005562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D8DB" w14:textId="77777777" w:rsidR="00C91213" w:rsidRDefault="00C91213" w:rsidP="00556204">
      <w:r>
        <w:separator/>
      </w:r>
    </w:p>
  </w:footnote>
  <w:footnote w:type="continuationSeparator" w:id="0">
    <w:p w14:paraId="7AA6BAE8" w14:textId="77777777" w:rsidR="00C91213" w:rsidRDefault="00C91213" w:rsidP="0055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4142"/>
    <w:multiLevelType w:val="hybridMultilevel"/>
    <w:tmpl w:val="E4FAF756"/>
    <w:lvl w:ilvl="0" w:tplc="554835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E5C76"/>
    <w:multiLevelType w:val="hybridMultilevel"/>
    <w:tmpl w:val="E93E9950"/>
    <w:lvl w:ilvl="0" w:tplc="9B14E3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A268B"/>
    <w:multiLevelType w:val="hybridMultilevel"/>
    <w:tmpl w:val="D408D70A"/>
    <w:lvl w:ilvl="0" w:tplc="D5549EC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u w:val="none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8595664">
    <w:abstractNumId w:val="0"/>
  </w:num>
  <w:num w:numId="2" w16cid:durableId="1240679591">
    <w:abstractNumId w:val="1"/>
  </w:num>
  <w:num w:numId="3" w16cid:durableId="1746221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96"/>
    <w:rsid w:val="000065AC"/>
    <w:rsid w:val="00014802"/>
    <w:rsid w:val="00065055"/>
    <w:rsid w:val="00083D14"/>
    <w:rsid w:val="000E2D35"/>
    <w:rsid w:val="000E405C"/>
    <w:rsid w:val="00130204"/>
    <w:rsid w:val="00135377"/>
    <w:rsid w:val="00162629"/>
    <w:rsid w:val="0016270F"/>
    <w:rsid w:val="001A091A"/>
    <w:rsid w:val="001A3C2B"/>
    <w:rsid w:val="001B2D27"/>
    <w:rsid w:val="001F3CAA"/>
    <w:rsid w:val="00211B8A"/>
    <w:rsid w:val="002245BC"/>
    <w:rsid w:val="00225B66"/>
    <w:rsid w:val="00252035"/>
    <w:rsid w:val="002925F9"/>
    <w:rsid w:val="002C05B2"/>
    <w:rsid w:val="002D5006"/>
    <w:rsid w:val="00301D12"/>
    <w:rsid w:val="0031512F"/>
    <w:rsid w:val="00322BAA"/>
    <w:rsid w:val="00336884"/>
    <w:rsid w:val="003600A9"/>
    <w:rsid w:val="003915A7"/>
    <w:rsid w:val="003B0D17"/>
    <w:rsid w:val="003D5926"/>
    <w:rsid w:val="003F2383"/>
    <w:rsid w:val="003F5542"/>
    <w:rsid w:val="003F614F"/>
    <w:rsid w:val="0042261C"/>
    <w:rsid w:val="0044022A"/>
    <w:rsid w:val="004668DF"/>
    <w:rsid w:val="00482F70"/>
    <w:rsid w:val="004901AE"/>
    <w:rsid w:val="004A4E11"/>
    <w:rsid w:val="004E7924"/>
    <w:rsid w:val="00517048"/>
    <w:rsid w:val="00530948"/>
    <w:rsid w:val="00542D9C"/>
    <w:rsid w:val="00556204"/>
    <w:rsid w:val="00585796"/>
    <w:rsid w:val="005E0F5D"/>
    <w:rsid w:val="005E6030"/>
    <w:rsid w:val="005F2690"/>
    <w:rsid w:val="006341CB"/>
    <w:rsid w:val="00640DF8"/>
    <w:rsid w:val="006422C0"/>
    <w:rsid w:val="006B7628"/>
    <w:rsid w:val="006E5EF1"/>
    <w:rsid w:val="006F47A8"/>
    <w:rsid w:val="00725764"/>
    <w:rsid w:val="007646A2"/>
    <w:rsid w:val="008078A3"/>
    <w:rsid w:val="00811C0B"/>
    <w:rsid w:val="00847B0B"/>
    <w:rsid w:val="00873315"/>
    <w:rsid w:val="00881538"/>
    <w:rsid w:val="00883C32"/>
    <w:rsid w:val="008D546D"/>
    <w:rsid w:val="008E111D"/>
    <w:rsid w:val="008E5AA7"/>
    <w:rsid w:val="00977445"/>
    <w:rsid w:val="009817C4"/>
    <w:rsid w:val="00981F5C"/>
    <w:rsid w:val="009B7C9A"/>
    <w:rsid w:val="009C5AFC"/>
    <w:rsid w:val="00A0225B"/>
    <w:rsid w:val="00A047E6"/>
    <w:rsid w:val="00A42E37"/>
    <w:rsid w:val="00A515B5"/>
    <w:rsid w:val="00A6541F"/>
    <w:rsid w:val="00A66A89"/>
    <w:rsid w:val="00A802BA"/>
    <w:rsid w:val="00A82C5E"/>
    <w:rsid w:val="00AA6C85"/>
    <w:rsid w:val="00AC7BB0"/>
    <w:rsid w:val="00AD3DF2"/>
    <w:rsid w:val="00AF090C"/>
    <w:rsid w:val="00AF176F"/>
    <w:rsid w:val="00B00FE6"/>
    <w:rsid w:val="00B20C14"/>
    <w:rsid w:val="00B446E8"/>
    <w:rsid w:val="00B73266"/>
    <w:rsid w:val="00B7417D"/>
    <w:rsid w:val="00B8433C"/>
    <w:rsid w:val="00BB0282"/>
    <w:rsid w:val="00C1215B"/>
    <w:rsid w:val="00C1427D"/>
    <w:rsid w:val="00C457B0"/>
    <w:rsid w:val="00C45EF2"/>
    <w:rsid w:val="00C63859"/>
    <w:rsid w:val="00C734B6"/>
    <w:rsid w:val="00C74A23"/>
    <w:rsid w:val="00C82C09"/>
    <w:rsid w:val="00C84536"/>
    <w:rsid w:val="00C91213"/>
    <w:rsid w:val="00CB192C"/>
    <w:rsid w:val="00CF0DE8"/>
    <w:rsid w:val="00CF64D4"/>
    <w:rsid w:val="00D06C14"/>
    <w:rsid w:val="00D25971"/>
    <w:rsid w:val="00D33F30"/>
    <w:rsid w:val="00D70CF3"/>
    <w:rsid w:val="00D872F8"/>
    <w:rsid w:val="00D87F1E"/>
    <w:rsid w:val="00D94988"/>
    <w:rsid w:val="00DA04D3"/>
    <w:rsid w:val="00DA1539"/>
    <w:rsid w:val="00DD5F06"/>
    <w:rsid w:val="00DF1C17"/>
    <w:rsid w:val="00E037E1"/>
    <w:rsid w:val="00E10415"/>
    <w:rsid w:val="00E109DC"/>
    <w:rsid w:val="00E4773A"/>
    <w:rsid w:val="00E801CC"/>
    <w:rsid w:val="00E82657"/>
    <w:rsid w:val="00E85AC5"/>
    <w:rsid w:val="00E973CF"/>
    <w:rsid w:val="00E97580"/>
    <w:rsid w:val="00EC2C67"/>
    <w:rsid w:val="00EE5EAC"/>
    <w:rsid w:val="00EF2D57"/>
    <w:rsid w:val="00F01DC6"/>
    <w:rsid w:val="00F02C4C"/>
    <w:rsid w:val="00F1099D"/>
    <w:rsid w:val="00F328CE"/>
    <w:rsid w:val="00F33943"/>
    <w:rsid w:val="00F3633B"/>
    <w:rsid w:val="00F90230"/>
    <w:rsid w:val="00F93255"/>
    <w:rsid w:val="00FA2802"/>
    <w:rsid w:val="00FA78FB"/>
    <w:rsid w:val="00FB43DA"/>
    <w:rsid w:val="00FB5EEA"/>
    <w:rsid w:val="00FD0A28"/>
    <w:rsid w:val="00FD428B"/>
    <w:rsid w:val="00FF31FC"/>
    <w:rsid w:val="1964B1FB"/>
    <w:rsid w:val="2182091A"/>
    <w:rsid w:val="312D0FA2"/>
    <w:rsid w:val="32F0AFE1"/>
    <w:rsid w:val="342CA383"/>
    <w:rsid w:val="34B7B7BA"/>
    <w:rsid w:val="3B7900C0"/>
    <w:rsid w:val="49DA8709"/>
    <w:rsid w:val="51CEBC2F"/>
    <w:rsid w:val="562C64D1"/>
    <w:rsid w:val="59C9D2F2"/>
    <w:rsid w:val="60F13ADE"/>
    <w:rsid w:val="6EA280C6"/>
    <w:rsid w:val="6F7DD7FC"/>
    <w:rsid w:val="712BEE8C"/>
    <w:rsid w:val="71645B4E"/>
    <w:rsid w:val="7976394C"/>
    <w:rsid w:val="7D88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4ADB"/>
  <w15:chartTrackingRefBased/>
  <w15:docId w15:val="{AB5514DC-C94B-4112-B587-542D3AB8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F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7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7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7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7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7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7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7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7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796"/>
    <w:rPr>
      <w:rFonts w:asciiTheme="minorHAnsi" w:hAnsiTheme="minorHAns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796"/>
    <w:rPr>
      <w:rFonts w:asciiTheme="minorHAnsi" w:hAnsiTheme="minorHAns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79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8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7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79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796"/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57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7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405C"/>
    <w:rPr>
      <w:rFonts w:asciiTheme="minorHAnsi" w:hAnsiTheme="minorHAnsi"/>
    </w:rPr>
  </w:style>
  <w:style w:type="character" w:styleId="Mention">
    <w:name w:val="Mention"/>
    <w:basedOn w:val="DefaultParagraphFont"/>
    <w:uiPriority w:val="99"/>
    <w:unhideWhenUsed/>
    <w:rsid w:val="001A3C2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20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56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20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doc/ags-fair-labor-division-debarment-list" TargetMode="External"/><Relationship Id="rId18" Type="http://schemas.openxmlformats.org/officeDocument/2006/relationships/hyperlink" Target="https://www.mass.gov/how-to/request-a-certificate-of-complianc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doc/sign-in-sign-out-log-example/downloa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doc/responsible-contractor-guidance-certificate-of-compliance/download" TargetMode="External"/><Relationship Id="rId17" Type="http://schemas.openxmlformats.org/officeDocument/2006/relationships/hyperlink" Target="https://sam.gov/search/?index=&amp;page=1&amp;pageSize=25&amp;sort=" TargetMode="External"/><Relationship Id="rId25" Type="http://schemas.openxmlformats.org/officeDocument/2006/relationships/hyperlink" Target="https://www.mass.gov/info-details/responsible-contractor-guid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debarment-list-businesses-unable-to-bid-on-public-works-contracts" TargetMode="External"/><Relationship Id="rId20" Type="http://schemas.openxmlformats.org/officeDocument/2006/relationships/hyperlink" Target="https://www.mass.gov/info-details/massachusetts-workplace-poster-requirem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subcontractor-list/download" TargetMode="External"/><Relationship Id="rId24" Type="http://schemas.openxmlformats.org/officeDocument/2006/relationships/hyperlink" Target="https://massgov.sharepoint.com/:w:/s/ocd-executive-gfs/EU_YVAHWOMZDvSkXrdY8PM8BQqCZVxpSnD-mgvjEvACHxw?e=SCALz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debarred-suspended-or-decertified-contractors" TargetMode="External"/><Relationship Id="rId23" Type="http://schemas.openxmlformats.org/officeDocument/2006/relationships/hyperlink" Target="https://www.mass.gov/doc/responsible-contractor-guidance-closeout-certificate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ass.gov/info-details/faqs-dor-certificate-of-good-standing-or-corporate-tax-lien-waiv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ssago.hylandcloud.com/203dashboards/Viewer.aspx?enc=AVfVBnGKSl4usI7%2figwk6CLVOFpkXJBdwxj4%2borjur6KTKxafFwXRbFTBa8VYgo95tmExG8AnzGSERkZOZvx8%2bsM0CBPJUiPZyjEq0tgjSiS%2fAYFqzmCQ7fF5cGysLovjilG4%2f%2fR1s4MNNf13kzt8kq986RJajmx9W9sSx7rDsqdN8gN%2fUkuuFrTAU7F0clg2hOl7dRN%2fidjYWj10JfOy1Vgxc%2fPbIT2m%2bsBD%2f8vXjvb" TargetMode="External"/><Relationship Id="rId22" Type="http://schemas.openxmlformats.org/officeDocument/2006/relationships/hyperlink" Target="https://www.mass.gov/doc/responsible-contractors-guidance-certified-payroll-for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05FA77C05741BA89022CC0E90882" ma:contentTypeVersion="17" ma:contentTypeDescription="Create a new document." ma:contentTypeScope="" ma:versionID="746bb100fb4e7e2fcf810247ffd6f738">
  <xsd:schema xmlns:xsd="http://www.w3.org/2001/XMLSchema" xmlns:xs="http://www.w3.org/2001/XMLSchema" xmlns:p="http://schemas.microsoft.com/office/2006/metadata/properties" xmlns:ns2="9c3321f1-cec2-43ac-861f-4d8bf3f40846" xmlns:ns3="7b83dbe2-6fd2-449a-a932-0d75829bf641" targetNamespace="http://schemas.microsoft.com/office/2006/metadata/properties" ma:root="true" ma:fieldsID="c106bfbd624c8ac97d0e5415070e25d2" ns2:_="" ns3:_="">
    <xsd:import namespace="9c3321f1-cec2-43ac-861f-4d8bf3f4084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21f1-cec2-43ac-861f-4d8bf3f40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83c703-fc0f-4438-b893-9b091c0cb65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3dbe2-6fd2-449a-a932-0d75829bf641" xsi:nil="true"/>
    <lcf76f155ced4ddcb4097134ff3c332f xmlns="9c3321f1-cec2-43ac-861f-4d8bf3f40846">
      <Terms xmlns="http://schemas.microsoft.com/office/infopath/2007/PartnerControls"/>
    </lcf76f155ced4ddcb4097134ff3c332f>
    <SharedWithUsers xmlns="7b83dbe2-6fd2-449a-a932-0d75829bf64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D97AD-60F0-4C2D-BC52-C163F431A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977FC-9333-49B5-A543-216120C29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321f1-cec2-43ac-861f-4d8bf3f4084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A9FFC-1D1F-40C1-AA7E-AB58A0D49788}">
  <ds:schemaRefs>
    <ds:schemaRef ds:uri="http://schemas.microsoft.com/office/2006/metadata/properties"/>
    <ds:schemaRef ds:uri="http://schemas.microsoft.com/office/infopath/2007/PartnerControls"/>
    <ds:schemaRef ds:uri="7b83dbe2-6fd2-449a-a932-0d75829bf641"/>
    <ds:schemaRef ds:uri="9c3321f1-cec2-43ac-861f-4d8bf3f40846"/>
  </ds:schemaRefs>
</ds:datastoreItem>
</file>

<file path=customXml/itemProps4.xml><?xml version="1.0" encoding="utf-8"?>
<ds:datastoreItem xmlns:ds="http://schemas.openxmlformats.org/officeDocument/2006/customXml" ds:itemID="{2D94C209-A8D5-48AC-8F02-01901CC187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937</Words>
  <Characters>5345</Characters>
  <Application>Microsoft Office Word</Application>
  <DocSecurity>0</DocSecurity>
  <Lines>44</Lines>
  <Paragraphs>12</Paragraphs>
  <ScaleCrop>false</ScaleCrop>
  <Company>Commonwealth of Massachusetts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Shupin, Eric (EOHLC)</dc:creator>
  <cp:keywords/>
  <dc:description/>
  <cp:lastModifiedBy>Shupin, Eric (EOHLC)</cp:lastModifiedBy>
  <cp:revision>26</cp:revision>
  <cp:lastPrinted>2025-09-24T12:59:00Z</cp:lastPrinted>
  <dcterms:created xsi:type="dcterms:W3CDTF">2025-09-24T19:45:00Z</dcterms:created>
  <dcterms:modified xsi:type="dcterms:W3CDTF">2025-09-24T20:04:00Z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0x0101009CFC05FA77C05741BA89022CC0E90882</vt:lpwstr>
  </property>
  <property fmtid="{D5CDD505-2E9C-101B-9397-08002B2CF9AE}" pid="3" name="Order">
    <vt:r8>119635100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