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0571" w14:textId="4A1D26C5" w:rsidR="001E1A3E" w:rsidRPr="00F178E4" w:rsidRDefault="00000000">
      <w:pPr>
        <w:pStyle w:val="Heading1"/>
        <w:rPr>
          <w:rFonts w:cstheme="majorHAnsi"/>
        </w:rPr>
      </w:pPr>
      <w:r w:rsidRPr="00F178E4">
        <w:rPr>
          <w:rFonts w:cstheme="majorHAnsi"/>
        </w:rPr>
        <w:t>Slide 1</w:t>
      </w:r>
    </w:p>
    <w:p w14:paraId="0319A318" w14:textId="1B245931" w:rsidR="001E1A3E" w:rsidRPr="00F178E4" w:rsidRDefault="00000000">
      <w:pPr>
        <w:rPr>
          <w:rFonts w:asciiTheme="majorHAnsi" w:hAnsiTheme="majorHAnsi" w:cstheme="majorHAnsi"/>
        </w:rPr>
      </w:pPr>
      <w:r w:rsidRPr="00F178E4">
        <w:rPr>
          <w:rFonts w:asciiTheme="majorHAnsi" w:hAnsiTheme="majorHAnsi" w:cstheme="majorHAnsi"/>
        </w:rPr>
        <w:t>Massachusetts</w:t>
      </w:r>
      <w:r w:rsidR="00F178E4" w:rsidRPr="00F178E4">
        <w:rPr>
          <w:rFonts w:asciiTheme="majorHAnsi" w:hAnsiTheme="majorHAnsi" w:cstheme="majorHAnsi"/>
        </w:rPr>
        <w:t xml:space="preserve"> </w:t>
      </w:r>
      <w:r w:rsidRPr="00F178E4">
        <w:rPr>
          <w:rFonts w:asciiTheme="majorHAnsi" w:hAnsiTheme="majorHAnsi" w:cstheme="majorHAnsi"/>
        </w:rPr>
        <w:t>Rest Home Task Force</w:t>
      </w:r>
    </w:p>
    <w:p w14:paraId="099273EA" w14:textId="77777777" w:rsidR="001E1A3E" w:rsidRPr="00F178E4" w:rsidRDefault="00000000">
      <w:pPr>
        <w:rPr>
          <w:rFonts w:asciiTheme="majorHAnsi" w:hAnsiTheme="majorHAnsi" w:cstheme="majorHAnsi"/>
        </w:rPr>
      </w:pPr>
      <w:r w:rsidRPr="00F178E4">
        <w:rPr>
          <w:rFonts w:asciiTheme="majorHAnsi" w:hAnsiTheme="majorHAnsi" w:cstheme="majorHAnsi"/>
        </w:rPr>
        <w:t>Established by Section 27 of Chapter 197 of the Acts of 2024</w:t>
      </w:r>
    </w:p>
    <w:p w14:paraId="00EB2E6F" w14:textId="7B9E8327" w:rsidR="001E1A3E" w:rsidRDefault="00000000">
      <w:pPr>
        <w:rPr>
          <w:rFonts w:asciiTheme="majorHAnsi" w:hAnsiTheme="majorHAnsi" w:cstheme="majorHAnsi"/>
        </w:rPr>
      </w:pPr>
      <w:r w:rsidRPr="00F178E4">
        <w:rPr>
          <w:rFonts w:asciiTheme="majorHAnsi" w:hAnsiTheme="majorHAnsi" w:cstheme="majorHAnsi"/>
        </w:rPr>
        <w:t>Submitted:</w:t>
      </w:r>
      <w:r w:rsidR="00F178E4">
        <w:rPr>
          <w:rFonts w:asciiTheme="majorHAnsi" w:hAnsiTheme="majorHAnsi" w:cstheme="majorHAnsi"/>
        </w:rPr>
        <w:t xml:space="preserve"> </w:t>
      </w:r>
      <w:r w:rsidRPr="00F178E4">
        <w:rPr>
          <w:rFonts w:asciiTheme="majorHAnsi" w:hAnsiTheme="majorHAnsi" w:cstheme="majorHAnsi"/>
        </w:rPr>
        <w:t>April 1, 2025</w:t>
      </w:r>
    </w:p>
    <w:p w14:paraId="11577404" w14:textId="77777777" w:rsidR="00F178E4" w:rsidRPr="00F178E4" w:rsidRDefault="00F178E4">
      <w:pPr>
        <w:rPr>
          <w:rFonts w:asciiTheme="majorHAnsi" w:hAnsiTheme="majorHAnsi" w:cstheme="majorHAnsi"/>
        </w:rPr>
      </w:pPr>
    </w:p>
    <w:p w14:paraId="59610E7F" w14:textId="77777777" w:rsidR="001E1A3E" w:rsidRPr="00F178E4" w:rsidRDefault="00000000">
      <w:pPr>
        <w:pStyle w:val="Heading1"/>
        <w:rPr>
          <w:rFonts w:cstheme="majorHAnsi"/>
        </w:rPr>
      </w:pPr>
      <w:r w:rsidRPr="00F178E4">
        <w:rPr>
          <w:rFonts w:cstheme="majorHAnsi"/>
        </w:rPr>
        <w:t>Slide 2</w:t>
      </w:r>
    </w:p>
    <w:p w14:paraId="0F28CE5D" w14:textId="77777777" w:rsidR="00F178E4" w:rsidRDefault="00F178E4">
      <w:pPr>
        <w:rPr>
          <w:rFonts w:asciiTheme="majorHAnsi" w:hAnsiTheme="majorHAnsi" w:cstheme="majorHAnsi"/>
        </w:rPr>
      </w:pPr>
      <w:r>
        <w:rPr>
          <w:rFonts w:asciiTheme="majorHAnsi" w:hAnsiTheme="majorHAnsi" w:cstheme="majorHAnsi"/>
        </w:rPr>
        <w:t>Table of Contents</w:t>
      </w:r>
    </w:p>
    <w:p w14:paraId="169E87D4" w14:textId="77777777" w:rsidR="00F178E4" w:rsidRDefault="00000000" w:rsidP="00D64948">
      <w:pPr>
        <w:pStyle w:val="ListParagraph"/>
        <w:numPr>
          <w:ilvl w:val="0"/>
          <w:numId w:val="7"/>
        </w:numPr>
        <w:rPr>
          <w:rFonts w:asciiTheme="majorHAnsi" w:hAnsiTheme="majorHAnsi" w:cstheme="majorHAnsi"/>
        </w:rPr>
      </w:pPr>
      <w:r w:rsidRPr="00F178E4">
        <w:rPr>
          <w:rFonts w:asciiTheme="majorHAnsi" w:hAnsiTheme="majorHAnsi" w:cstheme="majorHAnsi"/>
        </w:rPr>
        <w:t>Task Force Overview</w:t>
      </w:r>
    </w:p>
    <w:p w14:paraId="69B84C02" w14:textId="77777777" w:rsidR="00F178E4" w:rsidRDefault="00000000" w:rsidP="00D64948">
      <w:pPr>
        <w:pStyle w:val="ListParagraph"/>
        <w:numPr>
          <w:ilvl w:val="0"/>
          <w:numId w:val="7"/>
        </w:numPr>
        <w:rPr>
          <w:rFonts w:asciiTheme="majorHAnsi" w:hAnsiTheme="majorHAnsi" w:cstheme="majorHAnsi"/>
        </w:rPr>
      </w:pPr>
      <w:r w:rsidRPr="00F178E4">
        <w:rPr>
          <w:rFonts w:asciiTheme="majorHAnsi" w:hAnsiTheme="majorHAnsi" w:cstheme="majorHAnsi"/>
        </w:rPr>
        <w:t>Background</w:t>
      </w:r>
    </w:p>
    <w:p w14:paraId="1CD39FEB" w14:textId="77777777" w:rsidR="00F178E4" w:rsidRDefault="00000000" w:rsidP="00D64948">
      <w:pPr>
        <w:pStyle w:val="ListParagraph"/>
        <w:numPr>
          <w:ilvl w:val="0"/>
          <w:numId w:val="8"/>
        </w:numPr>
        <w:rPr>
          <w:rFonts w:asciiTheme="majorHAnsi" w:hAnsiTheme="majorHAnsi" w:cstheme="majorHAnsi"/>
        </w:rPr>
      </w:pPr>
      <w:r w:rsidRPr="00F178E4">
        <w:rPr>
          <w:rFonts w:asciiTheme="majorHAnsi" w:hAnsiTheme="majorHAnsi" w:cstheme="majorHAnsi"/>
        </w:rPr>
        <w:t>Key Definitions</w:t>
      </w:r>
    </w:p>
    <w:p w14:paraId="1327BE70" w14:textId="60439C64" w:rsidR="001E1A3E" w:rsidRPr="00F178E4" w:rsidRDefault="00000000" w:rsidP="00D64948">
      <w:pPr>
        <w:pStyle w:val="ListParagraph"/>
        <w:numPr>
          <w:ilvl w:val="0"/>
          <w:numId w:val="8"/>
        </w:numPr>
        <w:rPr>
          <w:rFonts w:asciiTheme="majorHAnsi" w:hAnsiTheme="majorHAnsi" w:cstheme="majorHAnsi"/>
        </w:rPr>
      </w:pPr>
      <w:r w:rsidRPr="00F178E4">
        <w:rPr>
          <w:rFonts w:asciiTheme="majorHAnsi" w:hAnsiTheme="majorHAnsi" w:cstheme="majorHAnsi"/>
        </w:rPr>
        <w:t>Oversight of Rest Home Quality / Resident Experience</w:t>
      </w:r>
    </w:p>
    <w:p w14:paraId="74DA7595" w14:textId="77777777" w:rsidR="00F178E4" w:rsidRDefault="00000000" w:rsidP="00D64948">
      <w:pPr>
        <w:pStyle w:val="ListParagraph"/>
        <w:numPr>
          <w:ilvl w:val="0"/>
          <w:numId w:val="7"/>
        </w:numPr>
        <w:rPr>
          <w:rFonts w:asciiTheme="majorHAnsi" w:hAnsiTheme="majorHAnsi" w:cstheme="majorHAnsi"/>
        </w:rPr>
      </w:pPr>
      <w:r w:rsidRPr="00F178E4">
        <w:rPr>
          <w:rFonts w:asciiTheme="majorHAnsi" w:hAnsiTheme="majorHAnsi" w:cstheme="majorHAnsi"/>
        </w:rPr>
        <w:t>Task Force’s Findings by Charge</w:t>
      </w:r>
    </w:p>
    <w:p w14:paraId="61B31EB0" w14:textId="77777777" w:rsidR="00F178E4" w:rsidRDefault="00000000" w:rsidP="00D64948">
      <w:pPr>
        <w:pStyle w:val="ListParagraph"/>
        <w:numPr>
          <w:ilvl w:val="0"/>
          <w:numId w:val="7"/>
        </w:numPr>
        <w:rPr>
          <w:rFonts w:asciiTheme="majorHAnsi" w:hAnsiTheme="majorHAnsi" w:cstheme="majorHAnsi"/>
        </w:rPr>
      </w:pPr>
      <w:r w:rsidRPr="00F178E4">
        <w:rPr>
          <w:rFonts w:asciiTheme="majorHAnsi" w:hAnsiTheme="majorHAnsi" w:cstheme="majorHAnsi"/>
        </w:rPr>
        <w:t>Task Force’s Recommendations</w:t>
      </w:r>
    </w:p>
    <w:p w14:paraId="40EAB528" w14:textId="204DBF5D" w:rsidR="001E1A3E" w:rsidRPr="00F178E4" w:rsidRDefault="00000000" w:rsidP="00D64948">
      <w:pPr>
        <w:pStyle w:val="ListParagraph"/>
        <w:numPr>
          <w:ilvl w:val="0"/>
          <w:numId w:val="7"/>
        </w:numPr>
        <w:rPr>
          <w:rFonts w:asciiTheme="majorHAnsi" w:hAnsiTheme="majorHAnsi" w:cstheme="majorHAnsi"/>
        </w:rPr>
      </w:pPr>
      <w:r w:rsidRPr="00F178E4">
        <w:rPr>
          <w:rFonts w:asciiTheme="majorHAnsi" w:hAnsiTheme="majorHAnsi" w:cstheme="majorHAnsi"/>
        </w:rPr>
        <w:t>Appendices</w:t>
      </w:r>
    </w:p>
    <w:p w14:paraId="7954C7F4" w14:textId="77777777" w:rsidR="00F178E4" w:rsidRDefault="00000000" w:rsidP="00D64948">
      <w:pPr>
        <w:pStyle w:val="ListParagraph"/>
        <w:numPr>
          <w:ilvl w:val="0"/>
          <w:numId w:val="9"/>
        </w:numPr>
        <w:rPr>
          <w:rFonts w:asciiTheme="majorHAnsi" w:hAnsiTheme="majorHAnsi" w:cstheme="majorHAnsi"/>
        </w:rPr>
      </w:pPr>
      <w:r w:rsidRPr="00F178E4">
        <w:rPr>
          <w:rFonts w:asciiTheme="majorHAnsi" w:hAnsiTheme="majorHAnsi" w:cstheme="majorHAnsi"/>
        </w:rPr>
        <w:t>Appendix A</w:t>
      </w:r>
      <w:r w:rsidR="00F178E4">
        <w:rPr>
          <w:rFonts w:asciiTheme="majorHAnsi" w:hAnsiTheme="majorHAnsi" w:cstheme="majorHAnsi"/>
        </w:rPr>
        <w:t xml:space="preserve"> </w:t>
      </w:r>
      <w:r w:rsidRPr="00F178E4">
        <w:rPr>
          <w:rFonts w:asciiTheme="majorHAnsi" w:hAnsiTheme="majorHAnsi" w:cstheme="majorHAnsi"/>
        </w:rPr>
        <w:t>– Legislative Mandate</w:t>
      </w:r>
    </w:p>
    <w:p w14:paraId="65BD4BD6" w14:textId="77777777" w:rsidR="00F178E4" w:rsidRDefault="00000000" w:rsidP="00D64948">
      <w:pPr>
        <w:pStyle w:val="ListParagraph"/>
        <w:numPr>
          <w:ilvl w:val="0"/>
          <w:numId w:val="9"/>
        </w:numPr>
        <w:rPr>
          <w:rFonts w:asciiTheme="majorHAnsi" w:hAnsiTheme="majorHAnsi" w:cstheme="majorHAnsi"/>
        </w:rPr>
      </w:pPr>
      <w:r w:rsidRPr="00F178E4">
        <w:rPr>
          <w:rFonts w:asciiTheme="majorHAnsi" w:hAnsiTheme="majorHAnsi" w:cstheme="majorHAnsi"/>
        </w:rPr>
        <w:t>Appendix B</w:t>
      </w:r>
      <w:r w:rsidR="00F178E4" w:rsidRPr="00F178E4">
        <w:rPr>
          <w:rFonts w:asciiTheme="majorHAnsi" w:hAnsiTheme="majorHAnsi" w:cstheme="majorHAnsi"/>
        </w:rPr>
        <w:t xml:space="preserve"> </w:t>
      </w:r>
      <w:r w:rsidRPr="00F178E4">
        <w:rPr>
          <w:rFonts w:asciiTheme="majorHAnsi" w:hAnsiTheme="majorHAnsi" w:cstheme="majorHAnsi"/>
        </w:rPr>
        <w:t>– List of Task Force Members</w:t>
      </w:r>
    </w:p>
    <w:p w14:paraId="3450D9F4" w14:textId="77777777" w:rsidR="00F178E4" w:rsidRDefault="00000000" w:rsidP="00D64948">
      <w:pPr>
        <w:pStyle w:val="ListParagraph"/>
        <w:numPr>
          <w:ilvl w:val="0"/>
          <w:numId w:val="9"/>
        </w:numPr>
        <w:rPr>
          <w:rFonts w:asciiTheme="majorHAnsi" w:hAnsiTheme="majorHAnsi" w:cstheme="majorHAnsi"/>
        </w:rPr>
      </w:pPr>
      <w:r w:rsidRPr="00F178E4">
        <w:rPr>
          <w:rFonts w:asciiTheme="majorHAnsi" w:hAnsiTheme="majorHAnsi" w:cstheme="majorHAnsi"/>
        </w:rPr>
        <w:t>Appendix C</w:t>
      </w:r>
      <w:r w:rsidR="00F178E4" w:rsidRPr="00F178E4">
        <w:rPr>
          <w:rFonts w:asciiTheme="majorHAnsi" w:hAnsiTheme="majorHAnsi" w:cstheme="majorHAnsi"/>
        </w:rPr>
        <w:t xml:space="preserve"> </w:t>
      </w:r>
      <w:r w:rsidRPr="00F178E4">
        <w:rPr>
          <w:rFonts w:asciiTheme="majorHAnsi" w:hAnsiTheme="majorHAnsi" w:cstheme="majorHAnsi"/>
        </w:rPr>
        <w:t>– Summary of Meetings and Input Provided to the Task Force</w:t>
      </w:r>
    </w:p>
    <w:p w14:paraId="232848E4" w14:textId="77777777" w:rsidR="00F178E4" w:rsidRDefault="00000000" w:rsidP="00D64948">
      <w:pPr>
        <w:pStyle w:val="ListParagraph"/>
        <w:numPr>
          <w:ilvl w:val="0"/>
          <w:numId w:val="9"/>
        </w:numPr>
        <w:rPr>
          <w:rFonts w:asciiTheme="majorHAnsi" w:hAnsiTheme="majorHAnsi" w:cstheme="majorHAnsi"/>
        </w:rPr>
      </w:pPr>
      <w:r w:rsidRPr="00F178E4">
        <w:rPr>
          <w:rFonts w:asciiTheme="majorHAnsi" w:hAnsiTheme="majorHAnsi" w:cstheme="majorHAnsi"/>
        </w:rPr>
        <w:t>Appendix D</w:t>
      </w:r>
      <w:r w:rsidR="00F178E4" w:rsidRPr="00F178E4">
        <w:rPr>
          <w:rFonts w:asciiTheme="majorHAnsi" w:hAnsiTheme="majorHAnsi" w:cstheme="majorHAnsi"/>
        </w:rPr>
        <w:t xml:space="preserve"> </w:t>
      </w:r>
      <w:r w:rsidRPr="00F178E4">
        <w:rPr>
          <w:rFonts w:asciiTheme="majorHAnsi" w:hAnsiTheme="majorHAnsi" w:cstheme="majorHAnsi"/>
        </w:rPr>
        <w:t>–</w:t>
      </w:r>
      <w:r w:rsidR="00F178E4" w:rsidRPr="00F178E4">
        <w:rPr>
          <w:rFonts w:asciiTheme="majorHAnsi" w:hAnsiTheme="majorHAnsi" w:cstheme="majorHAnsi"/>
        </w:rPr>
        <w:t xml:space="preserve"> </w:t>
      </w:r>
      <w:r w:rsidRPr="00F178E4">
        <w:rPr>
          <w:rFonts w:asciiTheme="majorHAnsi" w:hAnsiTheme="majorHAnsi" w:cstheme="majorHAnsi"/>
        </w:rPr>
        <w:t>Resources Reviewed by the Task Force</w:t>
      </w:r>
    </w:p>
    <w:p w14:paraId="72992F6E" w14:textId="332EBD7E" w:rsidR="001E1A3E" w:rsidRDefault="00000000" w:rsidP="00D64948">
      <w:pPr>
        <w:pStyle w:val="ListParagraph"/>
        <w:numPr>
          <w:ilvl w:val="0"/>
          <w:numId w:val="9"/>
        </w:numPr>
        <w:rPr>
          <w:rFonts w:asciiTheme="majorHAnsi" w:hAnsiTheme="majorHAnsi" w:cstheme="majorHAnsi"/>
        </w:rPr>
      </w:pPr>
      <w:r w:rsidRPr="00F178E4">
        <w:rPr>
          <w:rFonts w:asciiTheme="majorHAnsi" w:hAnsiTheme="majorHAnsi" w:cstheme="majorHAnsi"/>
        </w:rPr>
        <w:t>Appendix E</w:t>
      </w:r>
      <w:r w:rsidR="00F178E4" w:rsidRPr="00F178E4">
        <w:rPr>
          <w:rFonts w:asciiTheme="majorHAnsi" w:hAnsiTheme="majorHAnsi" w:cstheme="majorHAnsi"/>
        </w:rPr>
        <w:t xml:space="preserve"> </w:t>
      </w:r>
      <w:r w:rsidRPr="00F178E4">
        <w:rPr>
          <w:rFonts w:asciiTheme="majorHAnsi" w:hAnsiTheme="majorHAnsi" w:cstheme="majorHAnsi"/>
        </w:rPr>
        <w:t>– Written Comments Received from Members Regarding the Draft Report</w:t>
      </w:r>
    </w:p>
    <w:p w14:paraId="79EA749D" w14:textId="77777777" w:rsidR="00F178E4" w:rsidRPr="00F178E4" w:rsidRDefault="00F178E4" w:rsidP="00F178E4">
      <w:pPr>
        <w:pStyle w:val="ListParagraph"/>
        <w:ind w:left="1080"/>
        <w:rPr>
          <w:rFonts w:asciiTheme="majorHAnsi" w:hAnsiTheme="majorHAnsi" w:cstheme="majorHAnsi"/>
        </w:rPr>
      </w:pPr>
    </w:p>
    <w:p w14:paraId="59F056E0" w14:textId="77777777" w:rsidR="001E1A3E" w:rsidRPr="00F178E4" w:rsidRDefault="00000000">
      <w:pPr>
        <w:pStyle w:val="Heading1"/>
        <w:rPr>
          <w:rFonts w:cstheme="majorHAnsi"/>
        </w:rPr>
      </w:pPr>
      <w:r w:rsidRPr="00F178E4">
        <w:rPr>
          <w:rFonts w:cstheme="majorHAnsi"/>
        </w:rPr>
        <w:t>Slide 3</w:t>
      </w:r>
    </w:p>
    <w:p w14:paraId="2DD2AA22" w14:textId="77777777" w:rsidR="00F178E4" w:rsidRDefault="00F178E4">
      <w:pPr>
        <w:rPr>
          <w:rFonts w:asciiTheme="majorHAnsi" w:hAnsiTheme="majorHAnsi" w:cstheme="majorHAnsi"/>
        </w:rPr>
      </w:pPr>
      <w:r>
        <w:rPr>
          <w:rFonts w:asciiTheme="majorHAnsi" w:hAnsiTheme="majorHAnsi" w:cstheme="majorHAnsi"/>
        </w:rPr>
        <w:t>Task Force Overview</w:t>
      </w:r>
    </w:p>
    <w:p w14:paraId="1C8C47FF" w14:textId="77777777" w:rsidR="00F178E4" w:rsidRDefault="00000000" w:rsidP="00D64948">
      <w:pPr>
        <w:pStyle w:val="ListParagraph"/>
        <w:numPr>
          <w:ilvl w:val="0"/>
          <w:numId w:val="10"/>
        </w:numPr>
        <w:rPr>
          <w:rFonts w:asciiTheme="majorHAnsi" w:hAnsiTheme="majorHAnsi" w:cstheme="majorHAnsi"/>
        </w:rPr>
      </w:pPr>
      <w:r w:rsidRPr="00F178E4">
        <w:rPr>
          <w:rFonts w:asciiTheme="majorHAnsi" w:hAnsiTheme="majorHAnsi" w:cstheme="majorHAnsi"/>
        </w:rPr>
        <w:t xml:space="preserve">The Rest Home Task Force was established in 2024 with the enactment of Section 27 of Chapter 197 of the Acts of 2024, An Act to Improve Quality and Oversight of Long-term </w:t>
      </w:r>
      <w:proofErr w:type="gramStart"/>
      <w:r w:rsidRPr="00F178E4">
        <w:rPr>
          <w:rFonts w:asciiTheme="majorHAnsi" w:hAnsiTheme="majorHAnsi" w:cstheme="majorHAnsi"/>
        </w:rPr>
        <w:t>Care, and</w:t>
      </w:r>
      <w:proofErr w:type="gramEnd"/>
      <w:r w:rsidRPr="00F178E4">
        <w:rPr>
          <w:rFonts w:asciiTheme="majorHAnsi" w:hAnsiTheme="majorHAnsi" w:cstheme="majorHAnsi"/>
        </w:rPr>
        <w:t xml:space="preserve"> was charged with evaluating the governance and regulatory structure of rest homes in the Commonwealth. </w:t>
      </w:r>
    </w:p>
    <w:p w14:paraId="1960CFCF" w14:textId="77777777" w:rsidR="00F178E4" w:rsidRDefault="00000000" w:rsidP="00D64948">
      <w:pPr>
        <w:pStyle w:val="ListParagraph"/>
        <w:numPr>
          <w:ilvl w:val="0"/>
          <w:numId w:val="10"/>
        </w:numPr>
        <w:rPr>
          <w:rFonts w:asciiTheme="majorHAnsi" w:hAnsiTheme="majorHAnsi" w:cstheme="majorHAnsi"/>
        </w:rPr>
      </w:pPr>
      <w:r w:rsidRPr="00F178E4">
        <w:rPr>
          <w:rFonts w:asciiTheme="majorHAnsi" w:hAnsiTheme="majorHAnsi" w:cstheme="majorHAnsi"/>
        </w:rPr>
        <w:t xml:space="preserve">The Task Force was chaired by Executive Office of Health and Human Services Undersecretary for Health, Kiame </w:t>
      </w:r>
      <w:proofErr w:type="spellStart"/>
      <w:r w:rsidRPr="00F178E4">
        <w:rPr>
          <w:rFonts w:asciiTheme="majorHAnsi" w:hAnsiTheme="majorHAnsi" w:cstheme="majorHAnsi"/>
        </w:rPr>
        <w:t>Mahaniah</w:t>
      </w:r>
      <w:proofErr w:type="spellEnd"/>
      <w:r w:rsidRPr="00F178E4">
        <w:rPr>
          <w:rFonts w:asciiTheme="majorHAnsi" w:hAnsiTheme="majorHAnsi" w:cstheme="majorHAnsi"/>
        </w:rPr>
        <w:t>, acting as the designee of the Secretary of Health and Human Services, and was comprised of a diverse panel of lawmakers, public health professionals, industry stakeholders, rest home administrators, and experts in health care administration and finance (see full list in Appendix B).</w:t>
      </w:r>
    </w:p>
    <w:p w14:paraId="409C415D" w14:textId="77777777" w:rsidR="00F178E4" w:rsidRDefault="00000000" w:rsidP="00D64948">
      <w:pPr>
        <w:pStyle w:val="ListParagraph"/>
        <w:numPr>
          <w:ilvl w:val="0"/>
          <w:numId w:val="10"/>
        </w:numPr>
        <w:rPr>
          <w:rFonts w:asciiTheme="majorHAnsi" w:hAnsiTheme="majorHAnsi" w:cstheme="majorHAnsi"/>
        </w:rPr>
      </w:pPr>
      <w:r w:rsidRPr="00F178E4">
        <w:rPr>
          <w:rFonts w:asciiTheme="majorHAnsi" w:hAnsiTheme="majorHAnsi" w:cstheme="majorHAnsi"/>
        </w:rPr>
        <w:lastRenderedPageBreak/>
        <w:t>The Task Force met five times from January to March 2025 and was required to submit its recommendations to the Clerks of the House of Representatives and Senate and the House and Senate Committees on Ways and Means, not later than April 1, 2025.</w:t>
      </w:r>
    </w:p>
    <w:p w14:paraId="160DDADB" w14:textId="6289194B" w:rsidR="001E1A3E" w:rsidRPr="00F178E4" w:rsidRDefault="00000000" w:rsidP="00D64948">
      <w:pPr>
        <w:pStyle w:val="ListParagraph"/>
        <w:numPr>
          <w:ilvl w:val="0"/>
          <w:numId w:val="10"/>
        </w:numPr>
        <w:rPr>
          <w:rFonts w:asciiTheme="majorHAnsi" w:hAnsiTheme="majorHAnsi" w:cstheme="majorHAnsi"/>
        </w:rPr>
      </w:pPr>
      <w:r w:rsidRPr="00F178E4">
        <w:rPr>
          <w:rFonts w:asciiTheme="majorHAnsi" w:hAnsiTheme="majorHAnsi" w:cstheme="majorHAnsi"/>
        </w:rPr>
        <w:t xml:space="preserve">All meetings were subject to the Open Meeting Law and minutes were taken and approved for each meeting. Appendix C outlines the meetings and input provided, including the individuals who presented.  All materials considered by the Task Force as well as minutes of the Task Force’s meetings were posted on a </w:t>
      </w:r>
      <w:proofErr w:type="gramStart"/>
      <w:r w:rsidRPr="00F178E4">
        <w:rPr>
          <w:rFonts w:asciiTheme="majorHAnsi" w:hAnsiTheme="majorHAnsi" w:cstheme="majorHAnsi"/>
        </w:rPr>
        <w:t>publicly-available</w:t>
      </w:r>
      <w:proofErr w:type="gramEnd"/>
      <w:r w:rsidRPr="00F178E4">
        <w:rPr>
          <w:rFonts w:asciiTheme="majorHAnsi" w:hAnsiTheme="majorHAnsi" w:cstheme="majorHAnsi"/>
        </w:rPr>
        <w:t xml:space="preserve"> webpage: https://www.mass.gov/rest-home-task-force</w:t>
      </w:r>
    </w:p>
    <w:p w14:paraId="3227EA2D" w14:textId="458474EF" w:rsidR="001E1A3E" w:rsidRDefault="00000000">
      <w:pPr>
        <w:rPr>
          <w:rFonts w:asciiTheme="majorHAnsi" w:hAnsiTheme="majorHAnsi" w:cstheme="majorHAnsi"/>
        </w:rPr>
      </w:pPr>
      <w:r w:rsidRPr="00F178E4">
        <w:rPr>
          <w:rFonts w:asciiTheme="majorHAnsi" w:hAnsiTheme="majorHAnsi" w:cstheme="majorHAnsi"/>
        </w:rPr>
        <w:t>Note: With the new federal administration and rapidly changing landscape for federal funding, it remains uncertain the extent to which policies and funding from the U.S. Department of Health and Human Services (HHS) and Centers for Medicare and Medicaid Services (CMS) will change and, if so, how those changes may impact rest home services.</w:t>
      </w:r>
    </w:p>
    <w:p w14:paraId="2DC01374" w14:textId="77777777" w:rsidR="00F178E4" w:rsidRPr="00F178E4" w:rsidRDefault="00F178E4">
      <w:pPr>
        <w:rPr>
          <w:rFonts w:asciiTheme="majorHAnsi" w:hAnsiTheme="majorHAnsi" w:cstheme="majorHAnsi"/>
        </w:rPr>
      </w:pPr>
    </w:p>
    <w:p w14:paraId="404F844F" w14:textId="77777777" w:rsidR="001E1A3E" w:rsidRPr="00F178E4" w:rsidRDefault="00000000">
      <w:pPr>
        <w:pStyle w:val="Heading1"/>
        <w:rPr>
          <w:rFonts w:cstheme="majorHAnsi"/>
        </w:rPr>
      </w:pPr>
      <w:r w:rsidRPr="00F178E4">
        <w:rPr>
          <w:rFonts w:cstheme="majorHAnsi"/>
        </w:rPr>
        <w:t>Slide 4</w:t>
      </w:r>
    </w:p>
    <w:p w14:paraId="39720FE2" w14:textId="37C23292" w:rsidR="00911DB5" w:rsidRDefault="00911DB5">
      <w:pPr>
        <w:rPr>
          <w:rFonts w:asciiTheme="majorHAnsi" w:hAnsiTheme="majorHAnsi" w:cstheme="majorHAnsi"/>
        </w:rPr>
      </w:pPr>
      <w:r>
        <w:rPr>
          <w:rFonts w:asciiTheme="majorHAnsi" w:hAnsiTheme="majorHAnsi" w:cstheme="majorHAnsi"/>
        </w:rPr>
        <w:t>Background – Key Definitions</w:t>
      </w:r>
    </w:p>
    <w:p w14:paraId="45939ADF" w14:textId="301AD632" w:rsidR="001E1A3E" w:rsidRPr="00911DB5" w:rsidRDefault="00000000" w:rsidP="00D64948">
      <w:pPr>
        <w:pStyle w:val="ListParagraph"/>
        <w:numPr>
          <w:ilvl w:val="0"/>
          <w:numId w:val="11"/>
        </w:numPr>
        <w:rPr>
          <w:rFonts w:asciiTheme="majorHAnsi" w:hAnsiTheme="majorHAnsi" w:cstheme="majorHAnsi"/>
        </w:rPr>
      </w:pPr>
      <w:r w:rsidRPr="00911DB5">
        <w:rPr>
          <w:rFonts w:asciiTheme="majorHAnsi" w:hAnsiTheme="majorHAnsi" w:cstheme="majorHAnsi"/>
          <w:u w:val="single"/>
        </w:rPr>
        <w:t>Rest Home:</w:t>
      </w:r>
      <w:r w:rsidR="00911DB5" w:rsidRPr="00911DB5">
        <w:rPr>
          <w:rFonts w:asciiTheme="majorHAnsi" w:hAnsiTheme="majorHAnsi" w:cstheme="majorHAnsi"/>
        </w:rPr>
        <w:t xml:space="preserve"> </w:t>
      </w:r>
      <w:r w:rsidRPr="00911DB5">
        <w:rPr>
          <w:rFonts w:asciiTheme="majorHAnsi" w:hAnsiTheme="majorHAnsi" w:cstheme="majorHAnsi"/>
        </w:rPr>
        <w:t>a residential care facility that provides 24-hour supervision and supportive services for aged, infirm, and at times indigent populations, who may have difficulty in caring for themselves, but do not routinely require nursing care. Rest homes provide housing, meals, activities, and arrange and coordinate medical services for individuals who need a supportive living arrangement. Rest homes are licensed by the Massachusetts Department of Public Health (DPH).</w:t>
      </w:r>
    </w:p>
    <w:p w14:paraId="7CBE26E8" w14:textId="77777777" w:rsidR="00911DB5" w:rsidRDefault="00000000" w:rsidP="00D64948">
      <w:pPr>
        <w:pStyle w:val="ListParagraph"/>
        <w:numPr>
          <w:ilvl w:val="0"/>
          <w:numId w:val="12"/>
        </w:numPr>
        <w:rPr>
          <w:rFonts w:asciiTheme="majorHAnsi" w:hAnsiTheme="majorHAnsi" w:cstheme="majorHAnsi"/>
        </w:rPr>
      </w:pPr>
      <w:r w:rsidRPr="00911DB5">
        <w:rPr>
          <w:rFonts w:asciiTheme="majorHAnsi" w:hAnsiTheme="majorHAnsi" w:cstheme="majorHAnsi"/>
        </w:rPr>
        <w:t>Some rest home beds, classified as “Level IV” beds, are located within skilled nursing facilities (SNFs), which are considered “multi-level” or “hybrid” facilities (see map and table on Slide18).</w:t>
      </w:r>
    </w:p>
    <w:p w14:paraId="5AB54354" w14:textId="4B28F14E" w:rsidR="001E1A3E" w:rsidRPr="00911DB5" w:rsidRDefault="00000000" w:rsidP="00D64948">
      <w:pPr>
        <w:pStyle w:val="ListParagraph"/>
        <w:numPr>
          <w:ilvl w:val="0"/>
          <w:numId w:val="12"/>
        </w:numPr>
        <w:rPr>
          <w:rFonts w:asciiTheme="majorHAnsi" w:hAnsiTheme="majorHAnsi" w:cstheme="majorHAnsi"/>
        </w:rPr>
      </w:pPr>
      <w:r w:rsidRPr="00911DB5">
        <w:rPr>
          <w:rFonts w:asciiTheme="majorHAnsi" w:hAnsiTheme="majorHAnsi" w:cstheme="majorHAnsi"/>
        </w:rPr>
        <w:t xml:space="preserve">Per 105 CMR 150.00 Standards for Long Term Care Facilities, religious order homes do not require a license from DPH to operate. These homes must meet all local health and safety requirements. </w:t>
      </w:r>
    </w:p>
    <w:p w14:paraId="23E86B2C" w14:textId="77777777" w:rsidR="00911DB5" w:rsidRDefault="00911DB5" w:rsidP="00911DB5">
      <w:pPr>
        <w:pStyle w:val="ListParagraph"/>
        <w:rPr>
          <w:rFonts w:asciiTheme="majorHAnsi" w:hAnsiTheme="majorHAnsi" w:cstheme="majorHAnsi"/>
        </w:rPr>
      </w:pPr>
    </w:p>
    <w:p w14:paraId="6272CE82" w14:textId="77777777" w:rsidR="00911DB5" w:rsidRDefault="00000000" w:rsidP="00D64948">
      <w:pPr>
        <w:pStyle w:val="ListParagraph"/>
        <w:numPr>
          <w:ilvl w:val="0"/>
          <w:numId w:val="11"/>
        </w:numPr>
        <w:rPr>
          <w:rFonts w:asciiTheme="majorHAnsi" w:hAnsiTheme="majorHAnsi" w:cstheme="majorHAnsi"/>
        </w:rPr>
      </w:pPr>
      <w:r w:rsidRPr="0009078A">
        <w:rPr>
          <w:rFonts w:asciiTheme="majorHAnsi" w:hAnsiTheme="majorHAnsi" w:cstheme="majorHAnsi"/>
          <w:u w:val="single"/>
        </w:rPr>
        <w:t>Nursing Facility:</w:t>
      </w:r>
      <w:r w:rsidRPr="00911DB5">
        <w:rPr>
          <w:rFonts w:asciiTheme="majorHAnsi" w:hAnsiTheme="majorHAnsi" w:cstheme="majorHAnsi"/>
        </w:rPr>
        <w:t xml:space="preserve"> alternatively known as “skilled nursing facilities” (SNFs), nursing facilities are supportive living environments for aged or infirm residents that provides a wide range of health and personal care services. Services at nursing facilities focus more on medical care than most rest home or assisted living facilities, and may include rehabilitation services, such as physical, occupational, and speech therapy. </w:t>
      </w:r>
      <w:proofErr w:type="gramStart"/>
      <w:r w:rsidRPr="00911DB5">
        <w:rPr>
          <w:rFonts w:asciiTheme="majorHAnsi" w:hAnsiTheme="majorHAnsi" w:cstheme="majorHAnsi"/>
        </w:rPr>
        <w:t>Similar to</w:t>
      </w:r>
      <w:proofErr w:type="gramEnd"/>
      <w:r w:rsidRPr="00911DB5">
        <w:rPr>
          <w:rFonts w:asciiTheme="majorHAnsi" w:hAnsiTheme="majorHAnsi" w:cstheme="majorHAnsi"/>
        </w:rPr>
        <w:t xml:space="preserve"> rest homes, nursing facilities are licensed by DPH.</w:t>
      </w:r>
    </w:p>
    <w:p w14:paraId="4444A2C3" w14:textId="5A96B38B" w:rsidR="001E1A3E" w:rsidRDefault="00000000" w:rsidP="00D64948">
      <w:pPr>
        <w:pStyle w:val="ListParagraph"/>
        <w:numPr>
          <w:ilvl w:val="0"/>
          <w:numId w:val="11"/>
        </w:numPr>
        <w:rPr>
          <w:rFonts w:asciiTheme="majorHAnsi" w:hAnsiTheme="majorHAnsi" w:cstheme="majorHAnsi"/>
        </w:rPr>
      </w:pPr>
      <w:r w:rsidRPr="0009078A">
        <w:rPr>
          <w:rFonts w:asciiTheme="majorHAnsi" w:hAnsiTheme="majorHAnsi" w:cstheme="majorHAnsi"/>
          <w:u w:val="single"/>
        </w:rPr>
        <w:t>Assisted Living Residence:</w:t>
      </w:r>
      <w:r w:rsidRPr="0009078A">
        <w:rPr>
          <w:rFonts w:asciiTheme="majorHAnsi" w:hAnsiTheme="majorHAnsi" w:cstheme="majorHAnsi"/>
        </w:rPr>
        <w:t xml:space="preserve"> </w:t>
      </w:r>
      <w:r w:rsidRPr="00911DB5">
        <w:rPr>
          <w:rFonts w:asciiTheme="majorHAnsi" w:hAnsiTheme="majorHAnsi" w:cstheme="majorHAnsi"/>
        </w:rPr>
        <w:t xml:space="preserve">private residences that offer housing, meals, and personal care services to aging adults who live independently. Assisted living residences (ALRs) are certified by the Executive Office of Aging &amp; Independence (AGE) and are designed for adults who can live independently in a home-like environment but may need help </w:t>
      </w:r>
      <w:r w:rsidRPr="00911DB5">
        <w:rPr>
          <w:rFonts w:asciiTheme="majorHAnsi" w:hAnsiTheme="majorHAnsi" w:cstheme="majorHAnsi"/>
        </w:rPr>
        <w:lastRenderedPageBreak/>
        <w:t>with daily activities such as housekeeping, meal preparation, bathing, dressing, and/or medication assistance. ALRs do not provide medical or nursing services and are not designed for people who need serious medical care. Most assisted living residents pay fees privately, and the cost for each ALR can vary depending on the size, services, and location of the residence.</w:t>
      </w:r>
    </w:p>
    <w:p w14:paraId="7A72392B" w14:textId="77777777" w:rsidR="00911DB5" w:rsidRPr="00911DB5" w:rsidRDefault="00911DB5" w:rsidP="00911DB5">
      <w:pPr>
        <w:pStyle w:val="ListParagraph"/>
        <w:rPr>
          <w:rFonts w:asciiTheme="majorHAnsi" w:hAnsiTheme="majorHAnsi" w:cstheme="majorHAnsi"/>
        </w:rPr>
      </w:pPr>
    </w:p>
    <w:p w14:paraId="0779F36E" w14:textId="77777777" w:rsidR="001E1A3E" w:rsidRPr="00F178E4" w:rsidRDefault="00000000">
      <w:pPr>
        <w:pStyle w:val="Heading1"/>
        <w:rPr>
          <w:rFonts w:cstheme="majorHAnsi"/>
        </w:rPr>
      </w:pPr>
      <w:r w:rsidRPr="00F178E4">
        <w:rPr>
          <w:rFonts w:cstheme="majorHAnsi"/>
        </w:rPr>
        <w:t>Slide 5</w:t>
      </w:r>
    </w:p>
    <w:p w14:paraId="4C9D0539" w14:textId="77777777" w:rsidR="00911DB5" w:rsidRPr="00F178E4" w:rsidRDefault="00911DB5" w:rsidP="00911DB5">
      <w:pPr>
        <w:rPr>
          <w:rFonts w:asciiTheme="majorHAnsi" w:hAnsiTheme="majorHAnsi" w:cstheme="majorHAnsi"/>
        </w:rPr>
      </w:pPr>
      <w:r w:rsidRPr="00F178E4">
        <w:rPr>
          <w:rFonts w:asciiTheme="majorHAnsi" w:hAnsiTheme="majorHAnsi" w:cstheme="majorHAnsi"/>
        </w:rPr>
        <w:t>Background – Key Definitions (cont.)</w:t>
      </w:r>
    </w:p>
    <w:p w14:paraId="6C7C83B2" w14:textId="32A5A6AB" w:rsidR="001E1A3E" w:rsidRPr="00911DB5" w:rsidRDefault="00000000" w:rsidP="00D64948">
      <w:pPr>
        <w:pStyle w:val="ListParagraph"/>
        <w:numPr>
          <w:ilvl w:val="0"/>
          <w:numId w:val="13"/>
        </w:numPr>
        <w:rPr>
          <w:rFonts w:asciiTheme="majorHAnsi" w:hAnsiTheme="majorHAnsi" w:cstheme="majorHAnsi"/>
        </w:rPr>
      </w:pPr>
      <w:r w:rsidRPr="0009078A">
        <w:rPr>
          <w:rFonts w:asciiTheme="majorHAnsi" w:hAnsiTheme="majorHAnsi" w:cstheme="majorHAnsi"/>
          <w:u w:val="single"/>
        </w:rPr>
        <w:t>RCC-Q:</w:t>
      </w:r>
      <w:r w:rsidRPr="00911DB5">
        <w:rPr>
          <w:rFonts w:asciiTheme="majorHAnsi" w:hAnsiTheme="majorHAnsi" w:cstheme="majorHAnsi"/>
        </w:rPr>
        <w:t xml:space="preserve"> the Resident Care Cost Quotient (RCC-Q) is a methodology for tracking spending across </w:t>
      </w:r>
      <w:r w:rsidRPr="0009078A">
        <w:rPr>
          <w:rFonts w:asciiTheme="majorHAnsi" w:hAnsiTheme="majorHAnsi" w:cstheme="majorHAnsi"/>
          <w:u w:val="single"/>
        </w:rPr>
        <w:t>rest homes</w:t>
      </w:r>
      <w:r w:rsidRPr="00911DB5">
        <w:rPr>
          <w:rFonts w:asciiTheme="majorHAnsi" w:hAnsiTheme="majorHAnsi" w:cstheme="majorHAnsi"/>
        </w:rPr>
        <w:t xml:space="preserve">, including investments in direct care staff, infection control, and other resident care related expenditures that have a direct and meaningful impact on overall resident quality of life, health, and well-being. The RCC-Q serves as a mechanism to strengthen resident quality of care by holding rest homes financially accountable for managing their revenue and investing in resident care related costs, including direct care staffing. </w:t>
      </w:r>
    </w:p>
    <w:p w14:paraId="54961EF1" w14:textId="77777777" w:rsidR="0009078A" w:rsidRDefault="00000000" w:rsidP="00D64948">
      <w:pPr>
        <w:pStyle w:val="ListParagraph"/>
        <w:numPr>
          <w:ilvl w:val="0"/>
          <w:numId w:val="12"/>
        </w:numPr>
        <w:rPr>
          <w:rFonts w:asciiTheme="majorHAnsi" w:hAnsiTheme="majorHAnsi" w:cstheme="majorHAnsi"/>
        </w:rPr>
      </w:pPr>
      <w:r w:rsidRPr="00911DB5">
        <w:rPr>
          <w:rFonts w:asciiTheme="majorHAnsi" w:hAnsiTheme="majorHAnsi" w:cstheme="majorHAnsi"/>
        </w:rPr>
        <w:t xml:space="preserve">To increase and incentivize greater expenditure in these areas, EOHHS required residential care facilities to begin reporting resident care expenditures and revenue in September 2023 for the </w:t>
      </w:r>
      <w:proofErr w:type="gramStart"/>
      <w:r w:rsidRPr="00911DB5">
        <w:rPr>
          <w:rFonts w:asciiTheme="majorHAnsi" w:hAnsiTheme="majorHAnsi" w:cstheme="majorHAnsi"/>
        </w:rPr>
        <w:t>purposes</w:t>
      </w:r>
      <w:proofErr w:type="gramEnd"/>
      <w:r w:rsidRPr="00911DB5">
        <w:rPr>
          <w:rFonts w:asciiTheme="majorHAnsi" w:hAnsiTheme="majorHAnsi" w:cstheme="majorHAnsi"/>
        </w:rPr>
        <w:t xml:space="preserve"> of calculating the RCC-Q.</w:t>
      </w:r>
    </w:p>
    <w:p w14:paraId="3E443B49" w14:textId="77777777" w:rsidR="00A959A7" w:rsidRPr="00A959A7" w:rsidRDefault="00A959A7" w:rsidP="00D64948">
      <w:pPr>
        <w:pStyle w:val="ListParagraph"/>
        <w:numPr>
          <w:ilvl w:val="0"/>
          <w:numId w:val="12"/>
        </w:numPr>
        <w:rPr>
          <w:rFonts w:asciiTheme="majorHAnsi" w:hAnsiTheme="majorHAnsi" w:cstheme="majorHAnsi"/>
        </w:rPr>
      </w:pPr>
      <w:r w:rsidRPr="00A959A7">
        <w:rPr>
          <w:rFonts w:asciiTheme="majorHAnsi" w:hAnsiTheme="majorHAnsi" w:cstheme="majorHAnsi"/>
        </w:rPr>
        <w:t>EOHHS conducts audits of RCC-Q reports for five rest homes each year, selected based on their RCC-Q score (&gt;80%), size of the facility (to represent a distribution across the industry), and whether the facility was audited in the prior year.</w:t>
      </w:r>
    </w:p>
    <w:p w14:paraId="333D7189" w14:textId="692892D7" w:rsidR="001E1A3E" w:rsidRPr="0009078A" w:rsidRDefault="00000000" w:rsidP="00D64948">
      <w:pPr>
        <w:pStyle w:val="ListParagraph"/>
        <w:numPr>
          <w:ilvl w:val="0"/>
          <w:numId w:val="12"/>
        </w:numPr>
        <w:rPr>
          <w:rFonts w:asciiTheme="majorHAnsi" w:hAnsiTheme="majorHAnsi" w:cstheme="majorHAnsi"/>
        </w:rPr>
      </w:pPr>
      <w:r w:rsidRPr="0009078A">
        <w:rPr>
          <w:rFonts w:asciiTheme="majorHAnsi" w:hAnsiTheme="majorHAnsi" w:cstheme="majorHAnsi"/>
        </w:rPr>
        <w:t>Please refer to the detailed overview included in the Rest Home Payment and Rate Overview presentation from the Task Force’s 1/24/2025 meeting for additional information.</w:t>
      </w:r>
    </w:p>
    <w:p w14:paraId="57395F9F" w14:textId="77777777" w:rsidR="001E1A3E" w:rsidRPr="00911DB5" w:rsidRDefault="00000000" w:rsidP="00D64948">
      <w:pPr>
        <w:pStyle w:val="ListParagraph"/>
        <w:numPr>
          <w:ilvl w:val="0"/>
          <w:numId w:val="13"/>
        </w:numPr>
        <w:rPr>
          <w:rFonts w:asciiTheme="majorHAnsi" w:hAnsiTheme="majorHAnsi" w:cstheme="majorHAnsi"/>
        </w:rPr>
      </w:pPr>
      <w:r w:rsidRPr="0009078A">
        <w:rPr>
          <w:rFonts w:asciiTheme="majorHAnsi" w:hAnsiTheme="majorHAnsi" w:cstheme="majorHAnsi"/>
          <w:u w:val="single"/>
        </w:rPr>
        <w:t>DCC-Q:</w:t>
      </w:r>
      <w:r w:rsidRPr="00911DB5">
        <w:rPr>
          <w:rFonts w:asciiTheme="majorHAnsi" w:hAnsiTheme="majorHAnsi" w:cstheme="majorHAnsi"/>
        </w:rPr>
        <w:t xml:space="preserve"> </w:t>
      </w:r>
      <w:proofErr w:type="gramStart"/>
      <w:r w:rsidRPr="00911DB5">
        <w:rPr>
          <w:rFonts w:asciiTheme="majorHAnsi" w:hAnsiTheme="majorHAnsi" w:cstheme="majorHAnsi"/>
        </w:rPr>
        <w:t>similar to</w:t>
      </w:r>
      <w:proofErr w:type="gramEnd"/>
      <w:r w:rsidRPr="00911DB5">
        <w:rPr>
          <w:rFonts w:asciiTheme="majorHAnsi" w:hAnsiTheme="majorHAnsi" w:cstheme="majorHAnsi"/>
        </w:rPr>
        <w:t xml:space="preserve"> the RCC-Q for rest homes, the Direct Care Cost Quotient (DCC-Q) is a methodology for tracking spending at </w:t>
      </w:r>
      <w:r w:rsidRPr="0009078A">
        <w:rPr>
          <w:rFonts w:asciiTheme="majorHAnsi" w:hAnsiTheme="majorHAnsi" w:cstheme="majorHAnsi"/>
          <w:u w:val="single"/>
        </w:rPr>
        <w:t>nursing facilities</w:t>
      </w:r>
      <w:r w:rsidRPr="00911DB5">
        <w:rPr>
          <w:rFonts w:asciiTheme="majorHAnsi" w:hAnsiTheme="majorHAnsi" w:cstheme="majorHAnsi"/>
        </w:rPr>
        <w:t>, the key difference being that nursing facilities are not permitted to include the salaries for administrators, executive directors, and responsible parties (RPs) in their reporting as direct care staff.</w:t>
      </w:r>
    </w:p>
    <w:p w14:paraId="4F164235" w14:textId="27535F70" w:rsidR="001E1A3E" w:rsidRPr="00911DB5" w:rsidRDefault="00000000" w:rsidP="00D64948">
      <w:pPr>
        <w:pStyle w:val="ListParagraph"/>
        <w:numPr>
          <w:ilvl w:val="0"/>
          <w:numId w:val="12"/>
        </w:numPr>
        <w:rPr>
          <w:rFonts w:asciiTheme="majorHAnsi" w:hAnsiTheme="majorHAnsi" w:cstheme="majorHAnsi"/>
        </w:rPr>
      </w:pPr>
      <w:r w:rsidRPr="00911DB5">
        <w:rPr>
          <w:rFonts w:asciiTheme="majorHAnsi" w:hAnsiTheme="majorHAnsi" w:cstheme="majorHAnsi"/>
        </w:rPr>
        <w:t xml:space="preserve">Since October 2023, all nursing facilities participating in the Massachusetts Medicaid (“MassHealth”) program are required to complete the DCC-Q, as part of a series of reforms to promote a higher standard of care and improved infection control. </w:t>
      </w:r>
    </w:p>
    <w:p w14:paraId="4FAB9C18" w14:textId="49CE140A" w:rsidR="001E1A3E" w:rsidRPr="00F178E4" w:rsidRDefault="001E1A3E">
      <w:pPr>
        <w:rPr>
          <w:rFonts w:asciiTheme="majorHAnsi" w:hAnsiTheme="majorHAnsi" w:cstheme="majorHAnsi"/>
        </w:rPr>
      </w:pPr>
    </w:p>
    <w:p w14:paraId="05901E43" w14:textId="77777777" w:rsidR="001E1A3E" w:rsidRPr="00F178E4" w:rsidRDefault="00000000">
      <w:pPr>
        <w:pStyle w:val="Heading1"/>
        <w:rPr>
          <w:rFonts w:cstheme="majorHAnsi"/>
        </w:rPr>
      </w:pPr>
      <w:r w:rsidRPr="00F178E4">
        <w:rPr>
          <w:rFonts w:cstheme="majorHAnsi"/>
        </w:rPr>
        <w:t>Slide 6</w:t>
      </w:r>
    </w:p>
    <w:p w14:paraId="01CBBC31" w14:textId="77777777" w:rsidR="0009078A" w:rsidRDefault="0009078A">
      <w:pPr>
        <w:rPr>
          <w:rFonts w:asciiTheme="majorHAnsi" w:hAnsiTheme="majorHAnsi" w:cstheme="majorHAnsi"/>
        </w:rPr>
      </w:pPr>
      <w:r w:rsidRPr="00F178E4">
        <w:rPr>
          <w:rFonts w:asciiTheme="majorHAnsi" w:hAnsiTheme="majorHAnsi" w:cstheme="majorHAnsi"/>
        </w:rPr>
        <w:t xml:space="preserve">Background – Oversight of Rest Home Quality / Resident Experience </w:t>
      </w:r>
    </w:p>
    <w:p w14:paraId="04E5A624" w14:textId="30FD55A7" w:rsidR="001E1A3E" w:rsidRPr="00F178E4" w:rsidRDefault="00000000">
      <w:pPr>
        <w:rPr>
          <w:rFonts w:asciiTheme="majorHAnsi" w:hAnsiTheme="majorHAnsi" w:cstheme="majorHAnsi"/>
        </w:rPr>
      </w:pPr>
      <w:r w:rsidRPr="00F178E4">
        <w:rPr>
          <w:rFonts w:asciiTheme="majorHAnsi" w:hAnsiTheme="majorHAnsi" w:cstheme="majorHAnsi"/>
        </w:rPr>
        <w:t>EOHHS provides oversight of rest homes and ensures the quality of residents’ experience through the following:</w:t>
      </w:r>
    </w:p>
    <w:p w14:paraId="79237696" w14:textId="77777777" w:rsidR="001E1A3E" w:rsidRPr="00F178E4" w:rsidRDefault="00000000">
      <w:pPr>
        <w:rPr>
          <w:rFonts w:asciiTheme="majorHAnsi" w:hAnsiTheme="majorHAnsi" w:cstheme="majorHAnsi"/>
        </w:rPr>
      </w:pPr>
      <w:r w:rsidRPr="00F178E4">
        <w:rPr>
          <w:rFonts w:asciiTheme="majorHAnsi" w:hAnsiTheme="majorHAnsi" w:cstheme="majorHAnsi"/>
        </w:rPr>
        <w:lastRenderedPageBreak/>
        <w:t>1. Long-Term Care (LTC) Ombudsperson Program – rest home-specific activities</w:t>
      </w:r>
    </w:p>
    <w:p w14:paraId="71B4262B" w14:textId="77777777" w:rsidR="0009078A" w:rsidRDefault="00000000" w:rsidP="00D64948">
      <w:pPr>
        <w:pStyle w:val="ListParagraph"/>
        <w:numPr>
          <w:ilvl w:val="0"/>
          <w:numId w:val="13"/>
        </w:numPr>
        <w:rPr>
          <w:rFonts w:asciiTheme="majorHAnsi" w:hAnsiTheme="majorHAnsi" w:cstheme="majorHAnsi"/>
        </w:rPr>
      </w:pPr>
      <w:r w:rsidRPr="0009078A">
        <w:rPr>
          <w:rFonts w:asciiTheme="majorHAnsi" w:hAnsiTheme="majorHAnsi" w:cstheme="majorHAnsi"/>
        </w:rPr>
        <w:t>The LTC Ombudsperson acts as an advocate and independent mediator to resolve problems between residents and rest homes as they relate to the health, welfare, and rights of those they serve.</w:t>
      </w:r>
    </w:p>
    <w:p w14:paraId="20364533" w14:textId="77777777" w:rsidR="0009078A" w:rsidRDefault="00000000" w:rsidP="00D64948">
      <w:pPr>
        <w:pStyle w:val="ListParagraph"/>
        <w:numPr>
          <w:ilvl w:val="0"/>
          <w:numId w:val="13"/>
        </w:numPr>
        <w:rPr>
          <w:rFonts w:asciiTheme="majorHAnsi" w:hAnsiTheme="majorHAnsi" w:cstheme="majorHAnsi"/>
        </w:rPr>
      </w:pPr>
      <w:r w:rsidRPr="0009078A">
        <w:rPr>
          <w:rFonts w:asciiTheme="majorHAnsi" w:hAnsiTheme="majorHAnsi" w:cstheme="majorHAnsi"/>
        </w:rPr>
        <w:t>Independently investigates any issues that are reported by residents, family members, or resident advocates, visiting facilities on a regular basis and allowing residents to voice their complaints and work toward resolutions with staff before issues can escalate.</w:t>
      </w:r>
    </w:p>
    <w:p w14:paraId="4CD237C4" w14:textId="3D91DF74" w:rsidR="001E1A3E" w:rsidRPr="0009078A" w:rsidRDefault="00000000" w:rsidP="00D64948">
      <w:pPr>
        <w:pStyle w:val="ListParagraph"/>
        <w:numPr>
          <w:ilvl w:val="0"/>
          <w:numId w:val="13"/>
        </w:numPr>
        <w:rPr>
          <w:rFonts w:asciiTheme="majorHAnsi" w:hAnsiTheme="majorHAnsi" w:cstheme="majorHAnsi"/>
        </w:rPr>
      </w:pPr>
      <w:r w:rsidRPr="0009078A">
        <w:rPr>
          <w:rFonts w:asciiTheme="majorHAnsi" w:hAnsiTheme="majorHAnsi" w:cstheme="majorHAnsi"/>
        </w:rPr>
        <w:t>In 2024, the three largest categories of complaints included: 1) Residents’ Autonomy, Choice, Rights</w:t>
      </w:r>
      <w:proofErr w:type="gramStart"/>
      <w:r w:rsidRPr="0009078A">
        <w:rPr>
          <w:rFonts w:asciiTheme="majorHAnsi" w:hAnsiTheme="majorHAnsi" w:cstheme="majorHAnsi"/>
        </w:rPr>
        <w:t>;2</w:t>
      </w:r>
      <w:proofErr w:type="gramEnd"/>
      <w:r w:rsidRPr="0009078A">
        <w:rPr>
          <w:rFonts w:asciiTheme="majorHAnsi" w:hAnsiTheme="majorHAnsi" w:cstheme="majorHAnsi"/>
        </w:rPr>
        <w:t>) Admissions, Transfers, Discharges, Evictions; and 3) Environment.</w:t>
      </w:r>
    </w:p>
    <w:p w14:paraId="37B23398" w14:textId="77777777" w:rsidR="001E1A3E" w:rsidRPr="00F178E4" w:rsidRDefault="00000000">
      <w:pPr>
        <w:rPr>
          <w:rFonts w:asciiTheme="majorHAnsi" w:hAnsiTheme="majorHAnsi" w:cstheme="majorHAnsi"/>
        </w:rPr>
      </w:pPr>
      <w:r w:rsidRPr="00F178E4">
        <w:rPr>
          <w:rFonts w:asciiTheme="majorHAnsi" w:hAnsiTheme="majorHAnsi" w:cstheme="majorHAnsi"/>
        </w:rPr>
        <w:t>2. DPH Bureau of Health Care Safety and Quality (BHCSQ)</w:t>
      </w:r>
    </w:p>
    <w:p w14:paraId="4A721C72" w14:textId="77777777" w:rsidR="001E1A3E" w:rsidRPr="0009078A" w:rsidRDefault="00000000" w:rsidP="00D64948">
      <w:pPr>
        <w:pStyle w:val="ListParagraph"/>
        <w:numPr>
          <w:ilvl w:val="0"/>
          <w:numId w:val="14"/>
        </w:numPr>
        <w:rPr>
          <w:rFonts w:asciiTheme="majorHAnsi" w:hAnsiTheme="majorHAnsi" w:cstheme="majorHAnsi"/>
        </w:rPr>
      </w:pPr>
      <w:r w:rsidRPr="0009078A">
        <w:rPr>
          <w:rFonts w:asciiTheme="majorHAnsi" w:hAnsiTheme="majorHAnsi" w:cstheme="majorHAnsi"/>
        </w:rPr>
        <w:t>The DPH BHCSQ conducts unannounced visits to all DPH-licensed facilities on a bi-annual basis, or ad-hoc when specific licensure complaints are raised. The BHCSQ team consults with the local LTC Ombudsperson prior to visits, as appropriate.</w:t>
      </w:r>
    </w:p>
    <w:p w14:paraId="4ABB45A8" w14:textId="77777777" w:rsidR="0009078A" w:rsidRDefault="00000000" w:rsidP="00D64948">
      <w:pPr>
        <w:pStyle w:val="ListParagraph"/>
        <w:numPr>
          <w:ilvl w:val="0"/>
          <w:numId w:val="14"/>
        </w:numPr>
        <w:rPr>
          <w:rFonts w:asciiTheme="majorHAnsi" w:hAnsiTheme="majorHAnsi" w:cstheme="majorHAnsi"/>
        </w:rPr>
      </w:pPr>
      <w:r w:rsidRPr="0009078A">
        <w:rPr>
          <w:rFonts w:asciiTheme="majorHAnsi" w:hAnsiTheme="majorHAnsi" w:cstheme="majorHAnsi"/>
        </w:rPr>
        <w:t xml:space="preserve">Surveys are conducted by BHCSQ licensure surveyors who survey all types of licensed healthcare facilities. The full list of the relevant regulations </w:t>
      </w:r>
      <w:proofErr w:type="gramStart"/>
      <w:r w:rsidRPr="0009078A">
        <w:rPr>
          <w:rFonts w:asciiTheme="majorHAnsi" w:hAnsiTheme="majorHAnsi" w:cstheme="majorHAnsi"/>
        </w:rPr>
        <w:t>are</w:t>
      </w:r>
      <w:proofErr w:type="gramEnd"/>
      <w:r w:rsidRPr="0009078A">
        <w:rPr>
          <w:rFonts w:asciiTheme="majorHAnsi" w:hAnsiTheme="majorHAnsi" w:cstheme="majorHAnsi"/>
        </w:rPr>
        <w:t xml:space="preserve"> reviewed with administrators, including census, capacity, prior incident reports, any medical records, personnel files, vaccination reporting, and all policies and procedures. </w:t>
      </w:r>
    </w:p>
    <w:p w14:paraId="7A97F698" w14:textId="3AB19C05" w:rsidR="001E1A3E" w:rsidRPr="0009078A" w:rsidRDefault="00000000" w:rsidP="00D64948">
      <w:pPr>
        <w:pStyle w:val="ListParagraph"/>
        <w:numPr>
          <w:ilvl w:val="0"/>
          <w:numId w:val="14"/>
        </w:numPr>
        <w:rPr>
          <w:rFonts w:asciiTheme="majorHAnsi" w:hAnsiTheme="majorHAnsi" w:cstheme="majorHAnsi"/>
        </w:rPr>
      </w:pPr>
      <w:r w:rsidRPr="0009078A">
        <w:rPr>
          <w:rFonts w:asciiTheme="majorHAnsi" w:hAnsiTheme="majorHAnsi" w:cstheme="majorHAnsi"/>
        </w:rPr>
        <w:t xml:space="preserve">When onsite, surveyors ask whether any residents wish to speak with them, offering to converse with them privately out of </w:t>
      </w:r>
      <w:proofErr w:type="gramStart"/>
      <w:r w:rsidRPr="0009078A">
        <w:rPr>
          <w:rFonts w:asciiTheme="majorHAnsi" w:hAnsiTheme="majorHAnsi" w:cstheme="majorHAnsi"/>
        </w:rPr>
        <w:t>earshot</w:t>
      </w:r>
      <w:proofErr w:type="gramEnd"/>
      <w:r w:rsidRPr="0009078A">
        <w:rPr>
          <w:rFonts w:asciiTheme="majorHAnsi" w:hAnsiTheme="majorHAnsi" w:cstheme="majorHAnsi"/>
        </w:rPr>
        <w:t xml:space="preserve"> of staff. Surveyors also make efforts to seek out residents who may have submitted a complaint or been involved in a reported incident.</w:t>
      </w:r>
    </w:p>
    <w:p w14:paraId="43A2A5D3" w14:textId="63B8D7E1" w:rsidR="001E1A3E" w:rsidRPr="00F178E4" w:rsidRDefault="001E1A3E">
      <w:pPr>
        <w:rPr>
          <w:rFonts w:asciiTheme="majorHAnsi" w:hAnsiTheme="majorHAnsi" w:cstheme="majorHAnsi"/>
        </w:rPr>
      </w:pPr>
    </w:p>
    <w:p w14:paraId="51C06C43" w14:textId="77777777" w:rsidR="001E1A3E" w:rsidRPr="00F178E4" w:rsidRDefault="00000000">
      <w:pPr>
        <w:pStyle w:val="Heading1"/>
        <w:rPr>
          <w:rFonts w:cstheme="majorHAnsi"/>
        </w:rPr>
      </w:pPr>
      <w:r w:rsidRPr="00F178E4">
        <w:rPr>
          <w:rFonts w:cstheme="majorHAnsi"/>
        </w:rPr>
        <w:t>Slide 7</w:t>
      </w:r>
    </w:p>
    <w:p w14:paraId="05FD8B6E" w14:textId="6ADAAA77" w:rsidR="004B0762" w:rsidRDefault="004B0762" w:rsidP="0009078A">
      <w:pPr>
        <w:rPr>
          <w:rFonts w:asciiTheme="majorHAnsi" w:hAnsiTheme="majorHAnsi" w:cstheme="majorHAnsi"/>
        </w:rPr>
      </w:pPr>
      <w:r w:rsidRPr="00F178E4">
        <w:rPr>
          <w:rFonts w:asciiTheme="majorHAnsi" w:hAnsiTheme="majorHAnsi" w:cstheme="majorHAnsi"/>
        </w:rPr>
        <w:t>Background – Oversight of Rest Home Quality / Resident Experience (cont.)</w:t>
      </w:r>
    </w:p>
    <w:p w14:paraId="5E0633A9" w14:textId="3A516BD2" w:rsidR="001E1A3E" w:rsidRPr="00F178E4" w:rsidRDefault="00000000">
      <w:pPr>
        <w:rPr>
          <w:rFonts w:asciiTheme="majorHAnsi" w:hAnsiTheme="majorHAnsi" w:cstheme="majorHAnsi"/>
        </w:rPr>
      </w:pPr>
      <w:r w:rsidRPr="00F178E4">
        <w:rPr>
          <w:rFonts w:asciiTheme="majorHAnsi" w:hAnsiTheme="majorHAnsi" w:cstheme="majorHAnsi"/>
        </w:rPr>
        <w:t>3. DPH Complaint Unit</w:t>
      </w:r>
    </w:p>
    <w:p w14:paraId="2EF8B4C2" w14:textId="77777777" w:rsidR="001E1A3E" w:rsidRPr="0009078A" w:rsidRDefault="00000000" w:rsidP="00D64948">
      <w:pPr>
        <w:pStyle w:val="ListParagraph"/>
        <w:numPr>
          <w:ilvl w:val="0"/>
          <w:numId w:val="15"/>
        </w:numPr>
        <w:rPr>
          <w:rFonts w:asciiTheme="majorHAnsi" w:hAnsiTheme="majorHAnsi" w:cstheme="majorHAnsi"/>
        </w:rPr>
      </w:pPr>
      <w:r w:rsidRPr="0009078A">
        <w:rPr>
          <w:rFonts w:asciiTheme="majorHAnsi" w:hAnsiTheme="majorHAnsi" w:cstheme="majorHAnsi"/>
        </w:rPr>
        <w:t xml:space="preserve">The DPH Complaint Unit follows up on resident complaints and consults with the appropriate LTC Ombudsperson as part of its investigation/review. Complaints are sorted into two distinct categories: facility-reported incidents and resident complaints. </w:t>
      </w:r>
    </w:p>
    <w:p w14:paraId="163B5291" w14:textId="6006C85F" w:rsidR="001E1A3E" w:rsidRPr="0009078A" w:rsidRDefault="00000000" w:rsidP="00D64948">
      <w:pPr>
        <w:pStyle w:val="ListParagraph"/>
        <w:numPr>
          <w:ilvl w:val="0"/>
          <w:numId w:val="16"/>
        </w:numPr>
        <w:rPr>
          <w:rFonts w:asciiTheme="majorHAnsi" w:hAnsiTheme="majorHAnsi" w:cstheme="majorHAnsi"/>
        </w:rPr>
      </w:pPr>
      <w:r w:rsidRPr="0009078A">
        <w:rPr>
          <w:rFonts w:asciiTheme="majorHAnsi" w:hAnsiTheme="majorHAnsi" w:cstheme="majorHAnsi"/>
        </w:rPr>
        <w:t>Facility-reported incidents</w:t>
      </w:r>
    </w:p>
    <w:p w14:paraId="1A57EAA2" w14:textId="77777777" w:rsidR="0009078A" w:rsidRDefault="00000000" w:rsidP="00D64948">
      <w:pPr>
        <w:pStyle w:val="ListParagraph"/>
        <w:numPr>
          <w:ilvl w:val="0"/>
          <w:numId w:val="12"/>
        </w:numPr>
        <w:rPr>
          <w:rFonts w:asciiTheme="majorHAnsi" w:hAnsiTheme="majorHAnsi" w:cstheme="majorHAnsi"/>
        </w:rPr>
      </w:pPr>
      <w:r w:rsidRPr="0009078A">
        <w:rPr>
          <w:rFonts w:asciiTheme="majorHAnsi" w:hAnsiTheme="majorHAnsi" w:cstheme="majorHAnsi"/>
        </w:rPr>
        <w:t>Current regulations require that facility administrators notify the DPH Complaint Unit directly when certain incidents of a serious nature occur. These incidents may include allegations of abuse, falls with injury, elopements, death, criminal acts, resident rights, medication incidents, etc.</w:t>
      </w:r>
    </w:p>
    <w:p w14:paraId="0261D232" w14:textId="71AD2456" w:rsidR="001E1A3E" w:rsidRPr="0009078A" w:rsidRDefault="00000000" w:rsidP="00D64948">
      <w:pPr>
        <w:pStyle w:val="ListParagraph"/>
        <w:numPr>
          <w:ilvl w:val="0"/>
          <w:numId w:val="12"/>
        </w:numPr>
        <w:rPr>
          <w:rFonts w:asciiTheme="majorHAnsi" w:hAnsiTheme="majorHAnsi" w:cstheme="majorHAnsi"/>
        </w:rPr>
      </w:pPr>
      <w:r w:rsidRPr="0009078A">
        <w:rPr>
          <w:rFonts w:asciiTheme="majorHAnsi" w:hAnsiTheme="majorHAnsi" w:cstheme="majorHAnsi"/>
        </w:rPr>
        <w:t xml:space="preserve">In 2024, DPH received 300 facility reports. None of these reports resulted in the facility being deemed in immediate </w:t>
      </w:r>
      <w:proofErr w:type="gramStart"/>
      <w:r w:rsidRPr="0009078A">
        <w:rPr>
          <w:rFonts w:asciiTheme="majorHAnsi" w:hAnsiTheme="majorHAnsi" w:cstheme="majorHAnsi"/>
        </w:rPr>
        <w:t>jeopardy, but</w:t>
      </w:r>
      <w:proofErr w:type="gramEnd"/>
      <w:r w:rsidRPr="0009078A">
        <w:rPr>
          <w:rFonts w:asciiTheme="majorHAnsi" w:hAnsiTheme="majorHAnsi" w:cstheme="majorHAnsi"/>
        </w:rPr>
        <w:t xml:space="preserve"> were instead indications of facility </w:t>
      </w:r>
      <w:r w:rsidRPr="0009078A">
        <w:rPr>
          <w:rFonts w:asciiTheme="majorHAnsi" w:hAnsiTheme="majorHAnsi" w:cstheme="majorHAnsi"/>
        </w:rPr>
        <w:lastRenderedPageBreak/>
        <w:t xml:space="preserve">owners’ adherence to </w:t>
      </w:r>
      <w:proofErr w:type="spellStart"/>
      <w:proofErr w:type="gramStart"/>
      <w:r w:rsidRPr="0009078A">
        <w:rPr>
          <w:rFonts w:asciiTheme="majorHAnsi" w:hAnsiTheme="majorHAnsi" w:cstheme="majorHAnsi"/>
        </w:rPr>
        <w:t>theirregulatory</w:t>
      </w:r>
      <w:proofErr w:type="spellEnd"/>
      <w:proofErr w:type="gramEnd"/>
      <w:r w:rsidRPr="0009078A">
        <w:rPr>
          <w:rFonts w:asciiTheme="majorHAnsi" w:hAnsiTheme="majorHAnsi" w:cstheme="majorHAnsi"/>
        </w:rPr>
        <w:t xml:space="preserve"> requirements and diligent oversight of their operations.</w:t>
      </w:r>
    </w:p>
    <w:p w14:paraId="7DC97B56" w14:textId="708454AB" w:rsidR="001E1A3E" w:rsidRPr="0009078A" w:rsidRDefault="00000000" w:rsidP="00D64948">
      <w:pPr>
        <w:pStyle w:val="ListParagraph"/>
        <w:numPr>
          <w:ilvl w:val="0"/>
          <w:numId w:val="16"/>
        </w:numPr>
        <w:rPr>
          <w:rFonts w:asciiTheme="majorHAnsi" w:hAnsiTheme="majorHAnsi" w:cstheme="majorHAnsi"/>
        </w:rPr>
      </w:pPr>
      <w:r w:rsidRPr="0009078A">
        <w:rPr>
          <w:rFonts w:asciiTheme="majorHAnsi" w:hAnsiTheme="majorHAnsi" w:cstheme="majorHAnsi"/>
        </w:rPr>
        <w:t>Resident complaints</w:t>
      </w:r>
    </w:p>
    <w:p w14:paraId="6857D58E" w14:textId="77777777" w:rsidR="0009078A" w:rsidRDefault="00000000" w:rsidP="00D64948">
      <w:pPr>
        <w:pStyle w:val="ListParagraph"/>
        <w:numPr>
          <w:ilvl w:val="0"/>
          <w:numId w:val="12"/>
        </w:numPr>
        <w:rPr>
          <w:rFonts w:asciiTheme="majorHAnsi" w:hAnsiTheme="majorHAnsi" w:cstheme="majorHAnsi"/>
        </w:rPr>
      </w:pPr>
      <w:r w:rsidRPr="0009078A">
        <w:rPr>
          <w:rFonts w:asciiTheme="majorHAnsi" w:hAnsiTheme="majorHAnsi" w:cstheme="majorHAnsi"/>
        </w:rPr>
        <w:t>As with the LTC Ombudsperson Program, resident complaints may be submitted directly to the DPH Complaint Unit. These complaints are triaged by the DPH Complaint Unit and investigated.</w:t>
      </w:r>
    </w:p>
    <w:p w14:paraId="231126DB" w14:textId="77777777" w:rsidR="004B0762" w:rsidRDefault="00000000" w:rsidP="00D64948">
      <w:pPr>
        <w:pStyle w:val="ListParagraph"/>
        <w:numPr>
          <w:ilvl w:val="0"/>
          <w:numId w:val="12"/>
        </w:numPr>
        <w:rPr>
          <w:rFonts w:asciiTheme="majorHAnsi" w:hAnsiTheme="majorHAnsi" w:cstheme="majorHAnsi"/>
        </w:rPr>
      </w:pPr>
      <w:r w:rsidRPr="0009078A">
        <w:rPr>
          <w:rFonts w:asciiTheme="majorHAnsi" w:hAnsiTheme="majorHAnsi" w:cstheme="majorHAnsi"/>
        </w:rPr>
        <w:t>Examples of resident complaints may include falls/injuries, elopements, resident rights, quality of care, environment, billing, etc.</w:t>
      </w:r>
    </w:p>
    <w:p w14:paraId="4224DD29" w14:textId="435EB34B" w:rsidR="001E1A3E" w:rsidRPr="004B0762" w:rsidRDefault="00000000" w:rsidP="00D64948">
      <w:pPr>
        <w:pStyle w:val="ListParagraph"/>
        <w:numPr>
          <w:ilvl w:val="0"/>
          <w:numId w:val="12"/>
        </w:numPr>
        <w:rPr>
          <w:rFonts w:asciiTheme="majorHAnsi" w:hAnsiTheme="majorHAnsi" w:cstheme="majorHAnsi"/>
        </w:rPr>
      </w:pPr>
      <w:r w:rsidRPr="004B0762">
        <w:rPr>
          <w:rFonts w:asciiTheme="majorHAnsi" w:hAnsiTheme="majorHAnsi" w:cstheme="majorHAnsi"/>
        </w:rPr>
        <w:t xml:space="preserve">In 2024, DPH received 115 resident complaint </w:t>
      </w:r>
      <w:proofErr w:type="spellStart"/>
      <w:proofErr w:type="gramStart"/>
      <w:r w:rsidRPr="004B0762">
        <w:rPr>
          <w:rFonts w:asciiTheme="majorHAnsi" w:hAnsiTheme="majorHAnsi" w:cstheme="majorHAnsi"/>
        </w:rPr>
        <w:t>reports.In</w:t>
      </w:r>
      <w:proofErr w:type="spellEnd"/>
      <w:proofErr w:type="gramEnd"/>
      <w:r w:rsidRPr="004B0762">
        <w:rPr>
          <w:rFonts w:asciiTheme="majorHAnsi" w:hAnsiTheme="majorHAnsi" w:cstheme="majorHAnsi"/>
        </w:rPr>
        <w:t xml:space="preserve"> many cases, these reports were duplicative of self-reported incidents </w:t>
      </w:r>
      <w:proofErr w:type="spellStart"/>
      <w:r w:rsidRPr="004B0762">
        <w:rPr>
          <w:rFonts w:asciiTheme="majorHAnsi" w:hAnsiTheme="majorHAnsi" w:cstheme="majorHAnsi"/>
        </w:rPr>
        <w:t>alsoreported</w:t>
      </w:r>
      <w:proofErr w:type="spellEnd"/>
      <w:r w:rsidRPr="004B0762">
        <w:rPr>
          <w:rFonts w:asciiTheme="majorHAnsi" w:hAnsiTheme="majorHAnsi" w:cstheme="majorHAnsi"/>
        </w:rPr>
        <w:t xml:space="preserve"> by facilities.</w:t>
      </w:r>
    </w:p>
    <w:p w14:paraId="1B454470" w14:textId="3B06A9C1" w:rsidR="001E1A3E" w:rsidRPr="00F178E4" w:rsidRDefault="001E1A3E">
      <w:pPr>
        <w:rPr>
          <w:rFonts w:asciiTheme="majorHAnsi" w:hAnsiTheme="majorHAnsi" w:cstheme="majorHAnsi"/>
        </w:rPr>
      </w:pPr>
    </w:p>
    <w:p w14:paraId="2259784C" w14:textId="77777777" w:rsidR="001E1A3E" w:rsidRPr="00F178E4" w:rsidRDefault="00000000">
      <w:pPr>
        <w:pStyle w:val="Heading1"/>
        <w:rPr>
          <w:rFonts w:cstheme="majorHAnsi"/>
        </w:rPr>
      </w:pPr>
      <w:r w:rsidRPr="00F178E4">
        <w:rPr>
          <w:rFonts w:cstheme="majorHAnsi"/>
        </w:rPr>
        <w:t>Slide 8</w:t>
      </w:r>
    </w:p>
    <w:p w14:paraId="5D68B959" w14:textId="77777777" w:rsidR="001E1A3E" w:rsidRPr="00F178E4" w:rsidRDefault="00000000">
      <w:pPr>
        <w:rPr>
          <w:rFonts w:asciiTheme="majorHAnsi" w:hAnsiTheme="majorHAnsi" w:cstheme="majorHAnsi"/>
        </w:rPr>
      </w:pPr>
      <w:r w:rsidRPr="00F178E4">
        <w:rPr>
          <w:rFonts w:asciiTheme="majorHAnsi" w:hAnsiTheme="majorHAnsi" w:cstheme="majorHAnsi"/>
        </w:rPr>
        <w:t>Task Force’s Findings by Charge</w:t>
      </w:r>
    </w:p>
    <w:p w14:paraId="159B7EF3" w14:textId="15C675B7" w:rsidR="001E1A3E" w:rsidRPr="00F178E4" w:rsidRDefault="001E1A3E">
      <w:pPr>
        <w:rPr>
          <w:rFonts w:asciiTheme="majorHAnsi" w:hAnsiTheme="majorHAnsi" w:cstheme="majorHAnsi"/>
        </w:rPr>
      </w:pPr>
    </w:p>
    <w:p w14:paraId="0961EE2C" w14:textId="77777777" w:rsidR="001E1A3E" w:rsidRPr="00F178E4" w:rsidRDefault="00000000">
      <w:pPr>
        <w:pStyle w:val="Heading1"/>
        <w:rPr>
          <w:rFonts w:cstheme="majorHAnsi"/>
        </w:rPr>
      </w:pPr>
      <w:r w:rsidRPr="00F178E4">
        <w:rPr>
          <w:rFonts w:cstheme="majorHAnsi"/>
        </w:rPr>
        <w:t>Slide 9</w:t>
      </w:r>
    </w:p>
    <w:p w14:paraId="632F903E" w14:textId="77777777" w:rsidR="00E046A9" w:rsidRPr="00F178E4" w:rsidRDefault="00E046A9" w:rsidP="00E046A9">
      <w:pPr>
        <w:rPr>
          <w:rFonts w:asciiTheme="majorHAnsi" w:hAnsiTheme="majorHAnsi" w:cstheme="majorHAnsi"/>
        </w:rPr>
      </w:pPr>
      <w:r w:rsidRPr="00F178E4">
        <w:rPr>
          <w:rFonts w:asciiTheme="majorHAnsi" w:hAnsiTheme="majorHAnsi" w:cstheme="majorHAnsi"/>
        </w:rPr>
        <w:t>Task Force’s Findings by Charge</w:t>
      </w:r>
    </w:p>
    <w:p w14:paraId="0CFAC2D0" w14:textId="31C5D9C9" w:rsidR="001E1A3E" w:rsidRPr="00375BDC" w:rsidRDefault="00000000">
      <w:pPr>
        <w:rPr>
          <w:rFonts w:asciiTheme="majorHAnsi" w:hAnsiTheme="majorHAnsi" w:cstheme="majorHAnsi"/>
          <w:u w:val="single"/>
        </w:rPr>
      </w:pPr>
      <w:r w:rsidRPr="00375BDC">
        <w:rPr>
          <w:rFonts w:asciiTheme="majorHAnsi" w:hAnsiTheme="majorHAnsi" w:cstheme="majorHAnsi"/>
          <w:u w:val="single"/>
        </w:rPr>
        <w:t>Charge</w:t>
      </w:r>
    </w:p>
    <w:p w14:paraId="0B105B37" w14:textId="77777777" w:rsidR="001E1A3E" w:rsidRPr="00E046A9" w:rsidRDefault="00000000" w:rsidP="00D64948">
      <w:pPr>
        <w:pStyle w:val="ListParagraph"/>
        <w:numPr>
          <w:ilvl w:val="0"/>
          <w:numId w:val="17"/>
        </w:numPr>
        <w:rPr>
          <w:rFonts w:asciiTheme="majorHAnsi" w:hAnsiTheme="majorHAnsi" w:cstheme="majorHAnsi"/>
        </w:rPr>
      </w:pPr>
      <w:r w:rsidRPr="00E046A9">
        <w:rPr>
          <w:rFonts w:asciiTheme="majorHAnsi" w:hAnsiTheme="majorHAnsi" w:cstheme="majorHAnsi"/>
        </w:rPr>
        <w:t>The Task Force was charged with evaluating the governance and regulatory structure of rest homes in the Commonwealth, including an examination of the following:</w:t>
      </w:r>
    </w:p>
    <w:p w14:paraId="0D88028F" w14:textId="192082AC" w:rsidR="001E1A3E" w:rsidRPr="00E046A9" w:rsidRDefault="00000000" w:rsidP="00D64948">
      <w:pPr>
        <w:pStyle w:val="ListParagraph"/>
        <w:numPr>
          <w:ilvl w:val="0"/>
          <w:numId w:val="18"/>
        </w:numPr>
        <w:rPr>
          <w:rFonts w:asciiTheme="majorHAnsi" w:hAnsiTheme="majorHAnsi" w:cstheme="majorHAnsi"/>
        </w:rPr>
      </w:pPr>
      <w:r w:rsidRPr="00E046A9">
        <w:rPr>
          <w:rFonts w:asciiTheme="majorHAnsi" w:hAnsiTheme="majorHAnsi" w:cstheme="majorHAnsi"/>
        </w:rPr>
        <w:t xml:space="preserve">the licensing, regulatory and reporting structure for rest </w:t>
      </w:r>
      <w:proofErr w:type="gramStart"/>
      <w:r w:rsidRPr="00E046A9">
        <w:rPr>
          <w:rFonts w:asciiTheme="majorHAnsi" w:hAnsiTheme="majorHAnsi" w:cstheme="majorHAnsi"/>
        </w:rPr>
        <w:t>homes;</w:t>
      </w:r>
      <w:proofErr w:type="gramEnd"/>
    </w:p>
    <w:p w14:paraId="35D6D68E" w14:textId="77777777" w:rsidR="001E1A3E" w:rsidRPr="00E046A9" w:rsidRDefault="00000000" w:rsidP="00D64948">
      <w:pPr>
        <w:pStyle w:val="ListParagraph"/>
        <w:numPr>
          <w:ilvl w:val="0"/>
          <w:numId w:val="18"/>
        </w:numPr>
        <w:rPr>
          <w:rFonts w:asciiTheme="majorHAnsi" w:hAnsiTheme="majorHAnsi" w:cstheme="majorHAnsi"/>
        </w:rPr>
      </w:pPr>
      <w:r w:rsidRPr="00E046A9">
        <w:rPr>
          <w:rFonts w:asciiTheme="majorHAnsi" w:hAnsiTheme="majorHAnsi" w:cstheme="majorHAnsi"/>
        </w:rPr>
        <w:t xml:space="preserve">an inventory of licensed rest homes and licensed rest home </w:t>
      </w:r>
      <w:proofErr w:type="gramStart"/>
      <w:r w:rsidRPr="00E046A9">
        <w:rPr>
          <w:rFonts w:asciiTheme="majorHAnsi" w:hAnsiTheme="majorHAnsi" w:cstheme="majorHAnsi"/>
        </w:rPr>
        <w:t>beds;</w:t>
      </w:r>
      <w:proofErr w:type="gramEnd"/>
    </w:p>
    <w:p w14:paraId="0DF1DEAE" w14:textId="77777777" w:rsidR="001E1A3E" w:rsidRPr="00E046A9" w:rsidRDefault="00000000" w:rsidP="00D64948">
      <w:pPr>
        <w:pStyle w:val="ListParagraph"/>
        <w:numPr>
          <w:ilvl w:val="0"/>
          <w:numId w:val="18"/>
        </w:numPr>
        <w:rPr>
          <w:rFonts w:asciiTheme="majorHAnsi" w:hAnsiTheme="majorHAnsi" w:cstheme="majorHAnsi"/>
        </w:rPr>
      </w:pPr>
      <w:r w:rsidRPr="00E046A9">
        <w:rPr>
          <w:rFonts w:asciiTheme="majorHAnsi" w:hAnsiTheme="majorHAnsi" w:cstheme="majorHAnsi"/>
        </w:rPr>
        <w:t xml:space="preserve">the location and service areas of existing rest </w:t>
      </w:r>
      <w:proofErr w:type="gramStart"/>
      <w:r w:rsidRPr="00E046A9">
        <w:rPr>
          <w:rFonts w:asciiTheme="majorHAnsi" w:hAnsiTheme="majorHAnsi" w:cstheme="majorHAnsi"/>
        </w:rPr>
        <w:t>homes;</w:t>
      </w:r>
      <w:proofErr w:type="gramEnd"/>
    </w:p>
    <w:p w14:paraId="12F86B91" w14:textId="77777777" w:rsidR="001E1A3E" w:rsidRPr="00E046A9" w:rsidRDefault="00000000" w:rsidP="00D64948">
      <w:pPr>
        <w:pStyle w:val="ListParagraph"/>
        <w:numPr>
          <w:ilvl w:val="0"/>
          <w:numId w:val="18"/>
        </w:numPr>
        <w:rPr>
          <w:rFonts w:asciiTheme="majorHAnsi" w:hAnsiTheme="majorHAnsi" w:cstheme="majorHAnsi"/>
        </w:rPr>
      </w:pPr>
      <w:proofErr w:type="gramStart"/>
      <w:r w:rsidRPr="00E046A9">
        <w:rPr>
          <w:rFonts w:asciiTheme="majorHAnsi" w:hAnsiTheme="majorHAnsi" w:cstheme="majorHAnsi"/>
        </w:rPr>
        <w:t>a review</w:t>
      </w:r>
      <w:proofErr w:type="gramEnd"/>
      <w:r w:rsidRPr="00E046A9">
        <w:rPr>
          <w:rFonts w:asciiTheme="majorHAnsi" w:hAnsiTheme="majorHAnsi" w:cstheme="majorHAnsi"/>
        </w:rPr>
        <w:t xml:space="preserve"> of rest home closures since </w:t>
      </w:r>
      <w:proofErr w:type="gramStart"/>
      <w:r w:rsidRPr="00E046A9">
        <w:rPr>
          <w:rFonts w:asciiTheme="majorHAnsi" w:hAnsiTheme="majorHAnsi" w:cstheme="majorHAnsi"/>
        </w:rPr>
        <w:t>2015;</w:t>
      </w:r>
      <w:proofErr w:type="gramEnd"/>
    </w:p>
    <w:p w14:paraId="5F434F8C" w14:textId="77777777" w:rsidR="001E1A3E" w:rsidRPr="00E046A9" w:rsidRDefault="00000000" w:rsidP="00D64948">
      <w:pPr>
        <w:pStyle w:val="ListParagraph"/>
        <w:numPr>
          <w:ilvl w:val="0"/>
          <w:numId w:val="18"/>
        </w:numPr>
        <w:rPr>
          <w:rFonts w:asciiTheme="majorHAnsi" w:hAnsiTheme="majorHAnsi" w:cstheme="majorHAnsi"/>
        </w:rPr>
      </w:pPr>
      <w:proofErr w:type="gramStart"/>
      <w:r w:rsidRPr="00E046A9">
        <w:rPr>
          <w:rFonts w:asciiTheme="majorHAnsi" w:hAnsiTheme="majorHAnsi" w:cstheme="majorHAnsi"/>
        </w:rPr>
        <w:t>a review</w:t>
      </w:r>
      <w:proofErr w:type="gramEnd"/>
      <w:r w:rsidRPr="00E046A9">
        <w:rPr>
          <w:rFonts w:asciiTheme="majorHAnsi" w:hAnsiTheme="majorHAnsi" w:cstheme="majorHAnsi"/>
        </w:rPr>
        <w:t xml:space="preserve"> of the recommendations implemented from the Nursing Facility Task Force report issued pursuant to Section 91 of Chapter 41 of the Acts of </w:t>
      </w:r>
      <w:proofErr w:type="gramStart"/>
      <w:r w:rsidRPr="00E046A9">
        <w:rPr>
          <w:rFonts w:asciiTheme="majorHAnsi" w:hAnsiTheme="majorHAnsi" w:cstheme="majorHAnsi"/>
        </w:rPr>
        <w:t>2019;</w:t>
      </w:r>
      <w:proofErr w:type="gramEnd"/>
    </w:p>
    <w:p w14:paraId="49CE1A24" w14:textId="77777777" w:rsidR="00E046A9" w:rsidRDefault="00000000" w:rsidP="00D64948">
      <w:pPr>
        <w:pStyle w:val="ListParagraph"/>
        <w:numPr>
          <w:ilvl w:val="0"/>
          <w:numId w:val="18"/>
        </w:numPr>
        <w:rPr>
          <w:rFonts w:asciiTheme="majorHAnsi" w:hAnsiTheme="majorHAnsi" w:cstheme="majorHAnsi"/>
        </w:rPr>
      </w:pPr>
      <w:r w:rsidRPr="00E046A9">
        <w:rPr>
          <w:rFonts w:asciiTheme="majorHAnsi" w:hAnsiTheme="majorHAnsi" w:cstheme="majorHAnsi"/>
        </w:rPr>
        <w:t>the feasibility of receiving federal reimbursement for rest home expenses; and</w:t>
      </w:r>
    </w:p>
    <w:p w14:paraId="6D8827FE" w14:textId="665AF0A0" w:rsidR="001E1A3E" w:rsidRPr="00E046A9" w:rsidRDefault="00000000" w:rsidP="00D64948">
      <w:pPr>
        <w:pStyle w:val="ListParagraph"/>
        <w:numPr>
          <w:ilvl w:val="0"/>
          <w:numId w:val="18"/>
        </w:numPr>
        <w:rPr>
          <w:rFonts w:asciiTheme="majorHAnsi" w:hAnsiTheme="majorHAnsi" w:cstheme="majorHAnsi"/>
        </w:rPr>
      </w:pPr>
      <w:r w:rsidRPr="00E046A9">
        <w:rPr>
          <w:rFonts w:asciiTheme="majorHAnsi" w:hAnsiTheme="majorHAnsi" w:cstheme="majorHAnsi"/>
        </w:rPr>
        <w:t>a review of the current rate structure for rest homes compared to the actual cost of care to residents.</w:t>
      </w:r>
    </w:p>
    <w:p w14:paraId="1B733BDA" w14:textId="77777777" w:rsidR="001E1A3E" w:rsidRPr="00E046A9" w:rsidRDefault="00000000" w:rsidP="00D64948">
      <w:pPr>
        <w:pStyle w:val="ListParagraph"/>
        <w:numPr>
          <w:ilvl w:val="0"/>
          <w:numId w:val="19"/>
        </w:numPr>
        <w:rPr>
          <w:rFonts w:asciiTheme="majorHAnsi" w:hAnsiTheme="majorHAnsi" w:cstheme="majorHAnsi"/>
        </w:rPr>
      </w:pPr>
      <w:r w:rsidRPr="00E046A9">
        <w:rPr>
          <w:rFonts w:asciiTheme="majorHAnsi" w:hAnsiTheme="majorHAnsi" w:cstheme="majorHAnsi"/>
        </w:rPr>
        <w:t>The Task Force was required to submit its findings, including any recommendations, or proposed legislation necessary to carry out its recommendations, to the Clerks of the House of Representatives and the Senate and to the House and Senate Committees on Ways and Means, not later than April 1, 2025.</w:t>
      </w:r>
    </w:p>
    <w:p w14:paraId="76ECFEB7" w14:textId="77777777" w:rsidR="00E046A9" w:rsidRDefault="00000000" w:rsidP="00D64948">
      <w:pPr>
        <w:pStyle w:val="ListParagraph"/>
        <w:numPr>
          <w:ilvl w:val="0"/>
          <w:numId w:val="19"/>
        </w:numPr>
        <w:rPr>
          <w:rFonts w:asciiTheme="majorHAnsi" w:hAnsiTheme="majorHAnsi" w:cstheme="majorHAnsi"/>
        </w:rPr>
      </w:pPr>
      <w:r w:rsidRPr="00E046A9">
        <w:rPr>
          <w:rFonts w:asciiTheme="majorHAnsi" w:hAnsiTheme="majorHAnsi" w:cstheme="majorHAnsi"/>
        </w:rPr>
        <w:t>The full text of the legislation establishing the Task Force is available: Chapter 197, Section 27 of the Acts of 2024</w:t>
      </w:r>
    </w:p>
    <w:p w14:paraId="5F9D631D" w14:textId="76F02CA0" w:rsidR="001E1A3E" w:rsidRPr="00E046A9" w:rsidRDefault="00000000" w:rsidP="00D64948">
      <w:pPr>
        <w:pStyle w:val="ListParagraph"/>
        <w:numPr>
          <w:ilvl w:val="0"/>
          <w:numId w:val="19"/>
        </w:numPr>
        <w:rPr>
          <w:rFonts w:asciiTheme="majorHAnsi" w:hAnsiTheme="majorHAnsi" w:cstheme="majorHAnsi"/>
        </w:rPr>
      </w:pPr>
      <w:r w:rsidRPr="00E046A9">
        <w:rPr>
          <w:rFonts w:asciiTheme="majorHAnsi" w:hAnsiTheme="majorHAnsi" w:cstheme="majorHAnsi"/>
        </w:rPr>
        <w:lastRenderedPageBreak/>
        <w:t>On the following slides are the Task Force’s overall findings, as well as individual findings based on each aspect of the Task Force’s charge.</w:t>
      </w:r>
    </w:p>
    <w:p w14:paraId="23BA2825" w14:textId="533B2C87" w:rsidR="001E1A3E" w:rsidRPr="00F178E4" w:rsidRDefault="001E1A3E">
      <w:pPr>
        <w:rPr>
          <w:rFonts w:asciiTheme="majorHAnsi" w:hAnsiTheme="majorHAnsi" w:cstheme="majorHAnsi"/>
        </w:rPr>
      </w:pPr>
    </w:p>
    <w:p w14:paraId="37A2EB7C" w14:textId="77777777" w:rsidR="001E1A3E" w:rsidRPr="00F178E4" w:rsidRDefault="00000000">
      <w:pPr>
        <w:pStyle w:val="Heading1"/>
        <w:rPr>
          <w:rFonts w:cstheme="majorHAnsi"/>
        </w:rPr>
      </w:pPr>
      <w:r w:rsidRPr="00F178E4">
        <w:rPr>
          <w:rFonts w:cstheme="majorHAnsi"/>
        </w:rPr>
        <w:t>Slide 10</w:t>
      </w:r>
    </w:p>
    <w:p w14:paraId="3337DE3A" w14:textId="015531D0" w:rsidR="00375BDC" w:rsidRDefault="00375BDC">
      <w:pPr>
        <w:rPr>
          <w:rFonts w:asciiTheme="majorHAnsi" w:hAnsiTheme="majorHAnsi" w:cstheme="majorHAnsi"/>
        </w:rPr>
      </w:pPr>
      <w:r w:rsidRPr="00F178E4">
        <w:rPr>
          <w:rFonts w:asciiTheme="majorHAnsi" w:hAnsiTheme="majorHAnsi" w:cstheme="majorHAnsi"/>
        </w:rPr>
        <w:t>Task Force’s Findings by Charge</w:t>
      </w:r>
    </w:p>
    <w:p w14:paraId="0030B7F0" w14:textId="56CA8AB3" w:rsidR="001E1A3E" w:rsidRPr="00375BDC" w:rsidRDefault="00000000">
      <w:pPr>
        <w:rPr>
          <w:rFonts w:asciiTheme="majorHAnsi" w:hAnsiTheme="majorHAnsi" w:cstheme="majorHAnsi"/>
          <w:u w:val="single"/>
        </w:rPr>
      </w:pPr>
      <w:r w:rsidRPr="00375BDC">
        <w:rPr>
          <w:rFonts w:asciiTheme="majorHAnsi" w:hAnsiTheme="majorHAnsi" w:cstheme="majorHAnsi"/>
          <w:u w:val="single"/>
        </w:rPr>
        <w:t>Overall Findings</w:t>
      </w:r>
    </w:p>
    <w:p w14:paraId="680D1507" w14:textId="77777777" w:rsidR="001E1A3E" w:rsidRPr="00375BDC" w:rsidRDefault="00000000" w:rsidP="00D64948">
      <w:pPr>
        <w:pStyle w:val="ListParagraph"/>
        <w:numPr>
          <w:ilvl w:val="0"/>
          <w:numId w:val="20"/>
        </w:numPr>
        <w:rPr>
          <w:rFonts w:asciiTheme="majorHAnsi" w:hAnsiTheme="majorHAnsi" w:cstheme="majorHAnsi"/>
        </w:rPr>
      </w:pPr>
      <w:r w:rsidRPr="00375BDC">
        <w:rPr>
          <w:rFonts w:asciiTheme="majorHAnsi" w:hAnsiTheme="majorHAnsi" w:cstheme="majorHAnsi"/>
        </w:rPr>
        <w:t>Over the course of its deliberations, the Task Force considered each aspect of its charge, dedicating specific meetings to discussing payment and rate structures, regulatory oversight of rest homes, past efforts at reform, as well as the real-world experiences of administrators of both small and large rest homes.</w:t>
      </w:r>
    </w:p>
    <w:p w14:paraId="58EC9924" w14:textId="77777777" w:rsidR="001E1A3E" w:rsidRPr="00375BDC" w:rsidRDefault="00000000" w:rsidP="00D64948">
      <w:pPr>
        <w:pStyle w:val="ListParagraph"/>
        <w:numPr>
          <w:ilvl w:val="0"/>
          <w:numId w:val="20"/>
        </w:numPr>
        <w:rPr>
          <w:rFonts w:asciiTheme="majorHAnsi" w:hAnsiTheme="majorHAnsi" w:cstheme="majorHAnsi"/>
        </w:rPr>
      </w:pPr>
      <w:r w:rsidRPr="00375BDC">
        <w:rPr>
          <w:rFonts w:asciiTheme="majorHAnsi" w:hAnsiTheme="majorHAnsi" w:cstheme="majorHAnsi"/>
        </w:rPr>
        <w:t>From its earliest meetings, members noted that for various reasons, rest homes appear to be less well-understood than other residential services for the aging community, such as assisted living residences or skilled nursing facilities.</w:t>
      </w:r>
    </w:p>
    <w:p w14:paraId="07BBDC03" w14:textId="77777777" w:rsidR="001E1A3E" w:rsidRPr="00375BDC" w:rsidRDefault="00000000" w:rsidP="00D64948">
      <w:pPr>
        <w:pStyle w:val="ListParagraph"/>
        <w:numPr>
          <w:ilvl w:val="0"/>
          <w:numId w:val="20"/>
        </w:numPr>
        <w:rPr>
          <w:rFonts w:asciiTheme="majorHAnsi" w:hAnsiTheme="majorHAnsi" w:cstheme="majorHAnsi"/>
        </w:rPr>
      </w:pPr>
      <w:r w:rsidRPr="00375BDC">
        <w:rPr>
          <w:rFonts w:asciiTheme="majorHAnsi" w:hAnsiTheme="majorHAnsi" w:cstheme="majorHAnsi"/>
        </w:rPr>
        <w:t>Presentations and testimony provided to the Task Force during these meetings illustrated the variety of settings and types of services offered across the rest home industry, the complexities of the licensing and regulatory structure surrounding rest homes, and the desire of the industry for a renewed commitment to reform.</w:t>
      </w:r>
    </w:p>
    <w:p w14:paraId="4CF42213" w14:textId="77777777" w:rsidR="001E1A3E" w:rsidRPr="00375BDC" w:rsidRDefault="00000000" w:rsidP="00D64948">
      <w:pPr>
        <w:pStyle w:val="ListParagraph"/>
        <w:numPr>
          <w:ilvl w:val="0"/>
          <w:numId w:val="20"/>
        </w:numPr>
        <w:rPr>
          <w:rFonts w:asciiTheme="majorHAnsi" w:hAnsiTheme="majorHAnsi" w:cstheme="majorHAnsi"/>
        </w:rPr>
      </w:pPr>
      <w:r w:rsidRPr="00375BDC">
        <w:rPr>
          <w:rFonts w:asciiTheme="majorHAnsi" w:hAnsiTheme="majorHAnsi" w:cstheme="majorHAnsi"/>
        </w:rPr>
        <w:t>What emerged in the Task Force’s discussions was an appreciation for the critical role that these residences play in ensuring that aging populations across the Commonwealth have access to housing and supportive services in environments which foster dignity and respect.</w:t>
      </w:r>
    </w:p>
    <w:p w14:paraId="4D4ACD17" w14:textId="5505B3AB" w:rsidR="001E1A3E" w:rsidRPr="00F178E4" w:rsidRDefault="001E1A3E">
      <w:pPr>
        <w:rPr>
          <w:rFonts w:asciiTheme="majorHAnsi" w:hAnsiTheme="majorHAnsi" w:cstheme="majorHAnsi"/>
        </w:rPr>
      </w:pPr>
    </w:p>
    <w:p w14:paraId="49AABA68" w14:textId="77777777" w:rsidR="001E1A3E" w:rsidRPr="00F178E4" w:rsidRDefault="00000000">
      <w:pPr>
        <w:pStyle w:val="Heading1"/>
        <w:rPr>
          <w:rFonts w:cstheme="majorHAnsi"/>
        </w:rPr>
      </w:pPr>
      <w:r w:rsidRPr="00F178E4">
        <w:rPr>
          <w:rFonts w:cstheme="majorHAnsi"/>
        </w:rPr>
        <w:t>Slide 11</w:t>
      </w:r>
    </w:p>
    <w:p w14:paraId="6E343D54" w14:textId="65219F46" w:rsidR="00971A19" w:rsidRDefault="00971A19">
      <w:pPr>
        <w:rPr>
          <w:rFonts w:asciiTheme="majorHAnsi" w:hAnsiTheme="majorHAnsi" w:cstheme="majorHAnsi"/>
        </w:rPr>
      </w:pPr>
      <w:r w:rsidRPr="00F178E4">
        <w:rPr>
          <w:rFonts w:asciiTheme="majorHAnsi" w:hAnsiTheme="majorHAnsi" w:cstheme="majorHAnsi"/>
        </w:rPr>
        <w:t>Task Force’s Findings – Charge (i)</w:t>
      </w:r>
    </w:p>
    <w:p w14:paraId="35BDF376" w14:textId="603F0F21" w:rsidR="001E1A3E" w:rsidRPr="00971A19" w:rsidRDefault="00000000">
      <w:pPr>
        <w:rPr>
          <w:rFonts w:asciiTheme="majorHAnsi" w:hAnsiTheme="majorHAnsi" w:cstheme="majorHAnsi"/>
          <w:u w:val="single"/>
        </w:rPr>
      </w:pPr>
      <w:r w:rsidRPr="00971A19">
        <w:rPr>
          <w:rFonts w:asciiTheme="majorHAnsi" w:hAnsiTheme="majorHAnsi" w:cstheme="majorHAnsi"/>
          <w:u w:val="single"/>
        </w:rPr>
        <w:t>Charge</w:t>
      </w:r>
    </w:p>
    <w:p w14:paraId="5331BAE0" w14:textId="2891358C" w:rsidR="001E1A3E" w:rsidRPr="00971A19" w:rsidRDefault="00000000" w:rsidP="00D64948">
      <w:pPr>
        <w:pStyle w:val="ListParagraph"/>
        <w:numPr>
          <w:ilvl w:val="0"/>
          <w:numId w:val="21"/>
        </w:numPr>
        <w:rPr>
          <w:rFonts w:asciiTheme="majorHAnsi" w:hAnsiTheme="majorHAnsi" w:cstheme="majorHAnsi"/>
        </w:rPr>
      </w:pPr>
      <w:r w:rsidRPr="00971A19">
        <w:rPr>
          <w:rFonts w:asciiTheme="majorHAnsi" w:hAnsiTheme="majorHAnsi" w:cstheme="majorHAnsi"/>
        </w:rPr>
        <w:t>Examine the licensing, regulatory and reporting structure for rest homes</w:t>
      </w:r>
    </w:p>
    <w:p w14:paraId="35DB0861" w14:textId="77777777" w:rsidR="001E1A3E" w:rsidRPr="00971A19" w:rsidRDefault="00000000">
      <w:pPr>
        <w:rPr>
          <w:rFonts w:asciiTheme="majorHAnsi" w:hAnsiTheme="majorHAnsi" w:cstheme="majorHAnsi"/>
          <w:u w:val="single"/>
        </w:rPr>
      </w:pPr>
      <w:r w:rsidRPr="00971A19">
        <w:rPr>
          <w:rFonts w:asciiTheme="majorHAnsi" w:hAnsiTheme="majorHAnsi" w:cstheme="majorHAnsi"/>
          <w:u w:val="single"/>
        </w:rPr>
        <w:t>Findings</w:t>
      </w:r>
    </w:p>
    <w:p w14:paraId="2EDD4562" w14:textId="77777777" w:rsidR="001E1A3E" w:rsidRPr="00971A19" w:rsidRDefault="00000000" w:rsidP="00D64948">
      <w:pPr>
        <w:pStyle w:val="ListParagraph"/>
        <w:numPr>
          <w:ilvl w:val="0"/>
          <w:numId w:val="22"/>
        </w:numPr>
        <w:rPr>
          <w:rFonts w:asciiTheme="majorHAnsi" w:hAnsiTheme="majorHAnsi" w:cstheme="majorHAnsi"/>
        </w:rPr>
      </w:pPr>
      <w:r w:rsidRPr="00971A19">
        <w:rPr>
          <w:rFonts w:asciiTheme="majorHAnsi" w:hAnsiTheme="majorHAnsi" w:cstheme="majorHAnsi"/>
        </w:rPr>
        <w:t>Several state agencies support rate setting, payment, licensure and patient care responsibilities, including:</w:t>
      </w:r>
    </w:p>
    <w:p w14:paraId="79BB99C3" w14:textId="77777777" w:rsidR="001E1A3E" w:rsidRPr="00971A19" w:rsidRDefault="00000000" w:rsidP="00D64948">
      <w:pPr>
        <w:pStyle w:val="ListParagraph"/>
        <w:numPr>
          <w:ilvl w:val="0"/>
          <w:numId w:val="23"/>
        </w:numPr>
        <w:rPr>
          <w:rFonts w:asciiTheme="majorHAnsi" w:hAnsiTheme="majorHAnsi" w:cstheme="majorHAnsi"/>
        </w:rPr>
      </w:pPr>
      <w:r w:rsidRPr="00B72D00">
        <w:rPr>
          <w:rFonts w:asciiTheme="majorHAnsi" w:hAnsiTheme="majorHAnsi" w:cstheme="majorHAnsi"/>
          <w:u w:val="single"/>
        </w:rPr>
        <w:t>The Center for Health Information and Analysis (CHIA)</w:t>
      </w:r>
      <w:r w:rsidRPr="00971A19">
        <w:rPr>
          <w:rFonts w:asciiTheme="majorHAnsi" w:hAnsiTheme="majorHAnsi" w:cstheme="majorHAnsi"/>
        </w:rPr>
        <w:t xml:space="preserve"> – Reviews cost reports and develops rate methodology options to present to EOHHS.</w:t>
      </w:r>
    </w:p>
    <w:p w14:paraId="2D06D3E3" w14:textId="77777777" w:rsidR="001E1A3E" w:rsidRPr="00971A19" w:rsidRDefault="00000000" w:rsidP="00D64948">
      <w:pPr>
        <w:pStyle w:val="ListParagraph"/>
        <w:numPr>
          <w:ilvl w:val="0"/>
          <w:numId w:val="23"/>
        </w:numPr>
        <w:rPr>
          <w:rFonts w:asciiTheme="majorHAnsi" w:hAnsiTheme="majorHAnsi" w:cstheme="majorHAnsi"/>
        </w:rPr>
      </w:pPr>
      <w:r w:rsidRPr="00B72D00">
        <w:rPr>
          <w:rFonts w:asciiTheme="majorHAnsi" w:hAnsiTheme="majorHAnsi" w:cstheme="majorHAnsi"/>
          <w:u w:val="single"/>
        </w:rPr>
        <w:t>MassHealth / Office of Long-Term Services and Supports (OLTSS)</w:t>
      </w:r>
      <w:r w:rsidRPr="00971A19">
        <w:rPr>
          <w:rFonts w:asciiTheme="majorHAnsi" w:hAnsiTheme="majorHAnsi" w:cstheme="majorHAnsi"/>
        </w:rPr>
        <w:t xml:space="preserve"> –Makes direct payments to rest homes with funds from DTA to make up the difference between </w:t>
      </w:r>
      <w:r w:rsidRPr="00971A19">
        <w:rPr>
          <w:rFonts w:asciiTheme="majorHAnsi" w:hAnsiTheme="majorHAnsi" w:cstheme="majorHAnsi"/>
        </w:rPr>
        <w:lastRenderedPageBreak/>
        <w:t>the combined federal and state SSI/SSP benefits and the actual cost of rest home care.</w:t>
      </w:r>
    </w:p>
    <w:p w14:paraId="79FB83A7" w14:textId="77777777" w:rsidR="001E1A3E" w:rsidRPr="00971A19" w:rsidRDefault="00000000" w:rsidP="00D64948">
      <w:pPr>
        <w:pStyle w:val="ListParagraph"/>
        <w:numPr>
          <w:ilvl w:val="0"/>
          <w:numId w:val="23"/>
        </w:numPr>
        <w:rPr>
          <w:rFonts w:asciiTheme="majorHAnsi" w:hAnsiTheme="majorHAnsi" w:cstheme="majorHAnsi"/>
        </w:rPr>
      </w:pPr>
      <w:r w:rsidRPr="00B72D00">
        <w:rPr>
          <w:rFonts w:asciiTheme="majorHAnsi" w:hAnsiTheme="majorHAnsi" w:cstheme="majorHAnsi"/>
          <w:u w:val="single"/>
        </w:rPr>
        <w:t>The Department of Transitional Assistance (DTA)</w:t>
      </w:r>
      <w:r w:rsidRPr="00971A19">
        <w:rPr>
          <w:rFonts w:asciiTheme="majorHAnsi" w:hAnsiTheme="majorHAnsi" w:cstheme="majorHAnsi"/>
        </w:rPr>
        <w:t xml:space="preserve"> –Serves as payer using State Supplemental Program (SSP) and Emergency Aid to Elderly, Disabled, and Children (EAEDC).</w:t>
      </w:r>
    </w:p>
    <w:p w14:paraId="40F695DA" w14:textId="77777777" w:rsidR="001E1A3E" w:rsidRPr="00971A19" w:rsidRDefault="00000000" w:rsidP="00D64948">
      <w:pPr>
        <w:pStyle w:val="ListParagraph"/>
        <w:numPr>
          <w:ilvl w:val="0"/>
          <w:numId w:val="23"/>
        </w:numPr>
        <w:rPr>
          <w:rFonts w:asciiTheme="majorHAnsi" w:hAnsiTheme="majorHAnsi" w:cstheme="majorHAnsi"/>
        </w:rPr>
      </w:pPr>
      <w:r w:rsidRPr="00B72D00">
        <w:rPr>
          <w:rFonts w:asciiTheme="majorHAnsi" w:hAnsiTheme="majorHAnsi" w:cstheme="majorHAnsi"/>
          <w:u w:val="single"/>
        </w:rPr>
        <w:t>The Department of Public Health (DPH)</w:t>
      </w:r>
      <w:r w:rsidRPr="00971A19">
        <w:rPr>
          <w:rFonts w:asciiTheme="majorHAnsi" w:hAnsiTheme="majorHAnsi" w:cstheme="majorHAnsi"/>
        </w:rPr>
        <w:t xml:space="preserve"> – Oversees licensing, regulates, inspects, and quality assurance (complaint unit and inspections) for rest homes.</w:t>
      </w:r>
    </w:p>
    <w:p w14:paraId="3836A73F" w14:textId="77777777" w:rsidR="00B72D00" w:rsidRPr="00B72D00" w:rsidRDefault="00B72D00" w:rsidP="00D64948">
      <w:pPr>
        <w:pStyle w:val="ListParagraph"/>
        <w:numPr>
          <w:ilvl w:val="0"/>
          <w:numId w:val="23"/>
        </w:numPr>
        <w:rPr>
          <w:rFonts w:asciiTheme="majorHAnsi" w:hAnsiTheme="majorHAnsi" w:cstheme="majorHAnsi"/>
        </w:rPr>
      </w:pPr>
      <w:r w:rsidRPr="00B72D00">
        <w:rPr>
          <w:rFonts w:asciiTheme="majorHAnsi" w:hAnsiTheme="majorHAnsi" w:cstheme="majorHAnsi"/>
          <w:u w:val="single"/>
        </w:rPr>
        <w:t>UMass Medical School</w:t>
      </w:r>
      <w:r w:rsidRPr="00B72D00">
        <w:rPr>
          <w:rFonts w:asciiTheme="majorHAnsi" w:hAnsiTheme="majorHAnsi" w:cstheme="majorHAnsi"/>
        </w:rPr>
        <w:t xml:space="preserve"> – Oversees submission of SSI/SSP and RCC-Q data and administers the SSP payments under agreements with OLTSS and DTA.</w:t>
      </w:r>
    </w:p>
    <w:p w14:paraId="76F6E1A9" w14:textId="77777777" w:rsidR="001E1A3E" w:rsidRPr="00971A19" w:rsidRDefault="00000000" w:rsidP="00D64948">
      <w:pPr>
        <w:pStyle w:val="ListParagraph"/>
        <w:numPr>
          <w:ilvl w:val="0"/>
          <w:numId w:val="23"/>
        </w:numPr>
        <w:rPr>
          <w:rFonts w:asciiTheme="majorHAnsi" w:hAnsiTheme="majorHAnsi" w:cstheme="majorHAnsi"/>
        </w:rPr>
      </w:pPr>
      <w:r w:rsidRPr="00B72D00">
        <w:rPr>
          <w:rFonts w:asciiTheme="majorHAnsi" w:hAnsiTheme="majorHAnsi" w:cstheme="majorHAnsi"/>
          <w:u w:val="single"/>
        </w:rPr>
        <w:t>EOHHS Ombudsman Program</w:t>
      </w:r>
      <w:r w:rsidRPr="00971A19">
        <w:rPr>
          <w:rFonts w:asciiTheme="majorHAnsi" w:hAnsiTheme="majorHAnsi" w:cstheme="majorHAnsi"/>
        </w:rPr>
        <w:t xml:space="preserve"> – Works to resolve problems between residents and rest homes, as they relate to the health, welfare, and rights of those served.</w:t>
      </w:r>
    </w:p>
    <w:p w14:paraId="1537A1DB" w14:textId="77777777" w:rsidR="00971A19" w:rsidRDefault="00971A19" w:rsidP="00971A19">
      <w:pPr>
        <w:pStyle w:val="ListParagraph"/>
        <w:rPr>
          <w:rFonts w:asciiTheme="majorHAnsi" w:hAnsiTheme="majorHAnsi" w:cstheme="majorHAnsi"/>
        </w:rPr>
      </w:pPr>
    </w:p>
    <w:p w14:paraId="783C0342" w14:textId="2971FE5B" w:rsidR="001E1A3E" w:rsidRPr="00971A19" w:rsidRDefault="00000000" w:rsidP="00D64948">
      <w:pPr>
        <w:pStyle w:val="ListParagraph"/>
        <w:numPr>
          <w:ilvl w:val="0"/>
          <w:numId w:val="22"/>
        </w:numPr>
        <w:rPr>
          <w:rFonts w:asciiTheme="majorHAnsi" w:hAnsiTheme="majorHAnsi" w:cstheme="majorHAnsi"/>
        </w:rPr>
      </w:pPr>
      <w:r w:rsidRPr="00971A19">
        <w:rPr>
          <w:rFonts w:asciiTheme="majorHAnsi" w:hAnsiTheme="majorHAnsi" w:cstheme="majorHAnsi"/>
        </w:rPr>
        <w:t>The following slides outline the licensing, regulatory and reporting structure for rest homes in more detail.</w:t>
      </w:r>
    </w:p>
    <w:p w14:paraId="4772C969" w14:textId="1EACA4E8" w:rsidR="001E1A3E" w:rsidRPr="00F178E4" w:rsidRDefault="001E1A3E">
      <w:pPr>
        <w:rPr>
          <w:rFonts w:asciiTheme="majorHAnsi" w:hAnsiTheme="majorHAnsi" w:cstheme="majorHAnsi"/>
        </w:rPr>
      </w:pPr>
    </w:p>
    <w:p w14:paraId="19A59C43" w14:textId="77777777" w:rsidR="001E1A3E" w:rsidRPr="00F178E4" w:rsidRDefault="00000000">
      <w:pPr>
        <w:pStyle w:val="Heading1"/>
        <w:rPr>
          <w:rFonts w:cstheme="majorHAnsi"/>
        </w:rPr>
      </w:pPr>
      <w:r w:rsidRPr="00F178E4">
        <w:rPr>
          <w:rFonts w:cstheme="majorHAnsi"/>
        </w:rPr>
        <w:t>Slide 12</w:t>
      </w:r>
    </w:p>
    <w:p w14:paraId="1B470A32" w14:textId="0F5EEC98" w:rsidR="00971A19" w:rsidRDefault="00971A19">
      <w:pPr>
        <w:rPr>
          <w:rFonts w:asciiTheme="majorHAnsi" w:hAnsiTheme="majorHAnsi" w:cstheme="majorHAnsi"/>
        </w:rPr>
      </w:pPr>
      <w:r w:rsidRPr="00F178E4">
        <w:rPr>
          <w:rFonts w:asciiTheme="majorHAnsi" w:hAnsiTheme="majorHAnsi" w:cstheme="majorHAnsi"/>
        </w:rPr>
        <w:t>Task Force’s Findings – Charge (i) (cont.)</w:t>
      </w:r>
    </w:p>
    <w:p w14:paraId="01686506" w14:textId="56F1F4BE" w:rsidR="001E1A3E" w:rsidRPr="00757827" w:rsidRDefault="00000000">
      <w:pPr>
        <w:rPr>
          <w:rFonts w:asciiTheme="majorHAnsi" w:hAnsiTheme="majorHAnsi" w:cstheme="majorHAnsi"/>
          <w:u w:val="single"/>
        </w:rPr>
      </w:pPr>
      <w:r w:rsidRPr="00757827">
        <w:rPr>
          <w:rFonts w:asciiTheme="majorHAnsi" w:hAnsiTheme="majorHAnsi" w:cstheme="majorHAnsi"/>
          <w:u w:val="single"/>
        </w:rPr>
        <w:t>Findings (cont.)</w:t>
      </w:r>
    </w:p>
    <w:p w14:paraId="1CF850E0" w14:textId="77777777" w:rsidR="001E1A3E" w:rsidRPr="00757827" w:rsidRDefault="00000000" w:rsidP="00D64948">
      <w:pPr>
        <w:pStyle w:val="ListParagraph"/>
        <w:numPr>
          <w:ilvl w:val="0"/>
          <w:numId w:val="22"/>
        </w:numPr>
        <w:rPr>
          <w:rFonts w:asciiTheme="majorHAnsi" w:hAnsiTheme="majorHAnsi" w:cstheme="majorHAnsi"/>
        </w:rPr>
      </w:pPr>
      <w:r w:rsidRPr="00757827">
        <w:rPr>
          <w:rFonts w:asciiTheme="majorHAnsi" w:hAnsiTheme="majorHAnsi" w:cstheme="majorHAnsi"/>
        </w:rPr>
        <w:t>Several state agencies support rate setting, payment, licensure and patient care responsibilities.</w:t>
      </w:r>
    </w:p>
    <w:p w14:paraId="20119335" w14:textId="2D240D15" w:rsidR="001E1A3E" w:rsidRDefault="00757827">
      <w:pPr>
        <w:rPr>
          <w:rFonts w:asciiTheme="majorHAnsi" w:hAnsiTheme="majorHAnsi" w:cstheme="majorHAnsi"/>
        </w:rPr>
      </w:pPr>
      <w:r>
        <w:rPr>
          <w:rFonts w:asciiTheme="majorHAnsi" w:hAnsiTheme="majorHAnsi" w:cstheme="majorHAnsi"/>
        </w:rPr>
        <w:t>[Graphic depicting agency roles]</w:t>
      </w:r>
    </w:p>
    <w:p w14:paraId="0FDB1A59" w14:textId="77777777" w:rsidR="00757827" w:rsidRPr="00F178E4" w:rsidRDefault="00757827">
      <w:pPr>
        <w:rPr>
          <w:rFonts w:asciiTheme="majorHAnsi" w:hAnsiTheme="majorHAnsi" w:cstheme="majorHAnsi"/>
        </w:rPr>
      </w:pPr>
    </w:p>
    <w:p w14:paraId="5D492DE5" w14:textId="77777777" w:rsidR="001E1A3E" w:rsidRPr="00F178E4" w:rsidRDefault="00000000">
      <w:pPr>
        <w:pStyle w:val="Heading1"/>
        <w:rPr>
          <w:rFonts w:cstheme="majorHAnsi"/>
        </w:rPr>
      </w:pPr>
      <w:r w:rsidRPr="00F178E4">
        <w:rPr>
          <w:rFonts w:cstheme="majorHAnsi"/>
        </w:rPr>
        <w:t>Slide 13</w:t>
      </w:r>
    </w:p>
    <w:p w14:paraId="77D220BC" w14:textId="533EC60E" w:rsidR="00757827" w:rsidRDefault="00757827">
      <w:pPr>
        <w:rPr>
          <w:rFonts w:asciiTheme="majorHAnsi" w:hAnsiTheme="majorHAnsi" w:cstheme="majorHAnsi"/>
        </w:rPr>
      </w:pPr>
      <w:r w:rsidRPr="00F178E4">
        <w:rPr>
          <w:rFonts w:asciiTheme="majorHAnsi" w:hAnsiTheme="majorHAnsi" w:cstheme="majorHAnsi"/>
        </w:rPr>
        <w:t>Task Force’s Findings – Charge (i) (cont.)</w:t>
      </w:r>
    </w:p>
    <w:p w14:paraId="5B729BA2" w14:textId="7EC21CA7" w:rsidR="001E1A3E" w:rsidRPr="00757827" w:rsidRDefault="00000000">
      <w:pPr>
        <w:rPr>
          <w:rFonts w:asciiTheme="majorHAnsi" w:hAnsiTheme="majorHAnsi" w:cstheme="majorHAnsi"/>
          <w:u w:val="single"/>
        </w:rPr>
      </w:pPr>
      <w:r w:rsidRPr="00757827">
        <w:rPr>
          <w:rFonts w:asciiTheme="majorHAnsi" w:hAnsiTheme="majorHAnsi" w:cstheme="majorHAnsi"/>
          <w:u w:val="single"/>
        </w:rPr>
        <w:t>Charge</w:t>
      </w:r>
    </w:p>
    <w:p w14:paraId="56C96FD7" w14:textId="7424B9AA" w:rsidR="001E1A3E" w:rsidRPr="00757827" w:rsidRDefault="00000000" w:rsidP="00D64948">
      <w:pPr>
        <w:pStyle w:val="ListParagraph"/>
        <w:numPr>
          <w:ilvl w:val="0"/>
          <w:numId w:val="24"/>
        </w:numPr>
        <w:rPr>
          <w:rFonts w:asciiTheme="majorHAnsi" w:hAnsiTheme="majorHAnsi" w:cstheme="majorHAnsi"/>
        </w:rPr>
      </w:pPr>
      <w:r w:rsidRPr="00757827">
        <w:rPr>
          <w:rFonts w:asciiTheme="majorHAnsi" w:hAnsiTheme="majorHAnsi" w:cstheme="majorHAnsi"/>
        </w:rPr>
        <w:t>Examine the licensing, regulatory and reporting structure for rest homes</w:t>
      </w:r>
    </w:p>
    <w:p w14:paraId="08D46AB8" w14:textId="77777777" w:rsidR="001E1A3E" w:rsidRPr="00757827" w:rsidRDefault="00000000">
      <w:pPr>
        <w:rPr>
          <w:rFonts w:asciiTheme="majorHAnsi" w:hAnsiTheme="majorHAnsi" w:cstheme="majorHAnsi"/>
          <w:u w:val="single"/>
        </w:rPr>
      </w:pPr>
      <w:r w:rsidRPr="00757827">
        <w:rPr>
          <w:rFonts w:asciiTheme="majorHAnsi" w:hAnsiTheme="majorHAnsi" w:cstheme="majorHAnsi"/>
          <w:u w:val="single"/>
        </w:rPr>
        <w:t>Findings – Licensing</w:t>
      </w:r>
    </w:p>
    <w:p w14:paraId="580EBFA0" w14:textId="77777777" w:rsidR="001E1A3E" w:rsidRPr="00757827" w:rsidRDefault="00000000" w:rsidP="00D64948">
      <w:pPr>
        <w:pStyle w:val="ListParagraph"/>
        <w:numPr>
          <w:ilvl w:val="0"/>
          <w:numId w:val="25"/>
        </w:numPr>
        <w:rPr>
          <w:rFonts w:asciiTheme="majorHAnsi" w:hAnsiTheme="majorHAnsi" w:cstheme="majorHAnsi"/>
        </w:rPr>
      </w:pPr>
      <w:r w:rsidRPr="00757827">
        <w:rPr>
          <w:rFonts w:asciiTheme="majorHAnsi" w:hAnsiTheme="majorHAnsi" w:cstheme="majorHAnsi"/>
        </w:rPr>
        <w:t>DPH holds licensing authority over rest homes in the Commonwealth, requiring licensure renewal every two years.</w:t>
      </w:r>
    </w:p>
    <w:p w14:paraId="6977B4E6" w14:textId="77777777" w:rsidR="00F402D1" w:rsidRDefault="00000000" w:rsidP="00D64948">
      <w:pPr>
        <w:pStyle w:val="ListParagraph"/>
        <w:numPr>
          <w:ilvl w:val="0"/>
          <w:numId w:val="25"/>
        </w:numPr>
        <w:rPr>
          <w:rFonts w:asciiTheme="majorHAnsi" w:hAnsiTheme="majorHAnsi" w:cstheme="majorHAnsi"/>
        </w:rPr>
      </w:pPr>
      <w:r w:rsidRPr="00F402D1">
        <w:rPr>
          <w:rFonts w:asciiTheme="majorHAnsi" w:hAnsiTheme="majorHAnsi" w:cstheme="majorHAnsi"/>
        </w:rPr>
        <w:t>Initial licensure of rest homes and any renovations afterwards require completion of a</w:t>
      </w:r>
      <w:r w:rsidR="00F402D1">
        <w:rPr>
          <w:rFonts w:asciiTheme="majorHAnsi" w:hAnsiTheme="majorHAnsi" w:cstheme="majorHAnsi"/>
        </w:rPr>
        <w:t xml:space="preserve"> </w:t>
      </w:r>
      <w:hyperlink r:id="rId6" w:history="1">
        <w:r w:rsidR="00F402D1" w:rsidRPr="00F402D1">
          <w:rPr>
            <w:rStyle w:val="Hyperlink"/>
            <w:rFonts w:asciiTheme="majorHAnsi" w:hAnsiTheme="majorHAnsi" w:cstheme="majorHAnsi"/>
          </w:rPr>
          <w:t>Plan Review for Health Care Facilities</w:t>
        </w:r>
      </w:hyperlink>
      <w:r w:rsidR="00F402D1" w:rsidRPr="00F402D1">
        <w:rPr>
          <w:rFonts w:asciiTheme="majorHAnsi" w:hAnsiTheme="majorHAnsi" w:cstheme="majorHAnsi"/>
        </w:rPr>
        <w:t xml:space="preserve">. Plan Review includes the architectural review of </w:t>
      </w:r>
      <w:r w:rsidR="00F402D1" w:rsidRPr="00F402D1">
        <w:rPr>
          <w:rFonts w:asciiTheme="majorHAnsi" w:hAnsiTheme="majorHAnsi" w:cstheme="majorHAnsi"/>
        </w:rPr>
        <w:lastRenderedPageBreak/>
        <w:t>the physical plant to determine compliance with Facility Guidelines Institute (FGI) guidelines. </w:t>
      </w:r>
    </w:p>
    <w:p w14:paraId="0277F8B8" w14:textId="77B15786" w:rsidR="00F402D1" w:rsidRPr="00F402D1" w:rsidRDefault="00F402D1" w:rsidP="00D64948">
      <w:pPr>
        <w:pStyle w:val="ListParagraph"/>
        <w:numPr>
          <w:ilvl w:val="0"/>
          <w:numId w:val="25"/>
        </w:numPr>
        <w:rPr>
          <w:rFonts w:asciiTheme="majorHAnsi" w:hAnsiTheme="majorHAnsi" w:cstheme="majorHAnsi"/>
        </w:rPr>
      </w:pPr>
      <w:r w:rsidRPr="00F402D1">
        <w:rPr>
          <w:rFonts w:asciiTheme="majorHAnsi" w:hAnsiTheme="majorHAnsi" w:cstheme="majorHAnsi"/>
        </w:rPr>
        <w:t xml:space="preserve">Initial licensure/Change of Ownership (CHOW) requires </w:t>
      </w:r>
      <w:hyperlink r:id="rId7" w:history="1">
        <w:r w:rsidRPr="00F402D1">
          <w:rPr>
            <w:rStyle w:val="Hyperlink"/>
            <w:rFonts w:asciiTheme="majorHAnsi" w:hAnsiTheme="majorHAnsi" w:cstheme="majorHAnsi"/>
          </w:rPr>
          <w:t>Health care facility initial licensure and change of ownership | Mass.gov</w:t>
        </w:r>
      </w:hyperlink>
      <w:r w:rsidRPr="00F402D1">
        <w:rPr>
          <w:rFonts w:asciiTheme="majorHAnsi" w:hAnsiTheme="majorHAnsi" w:cstheme="majorHAnsi"/>
        </w:rPr>
        <w:t xml:space="preserve"> as a LTC facility for the provision of Level IV services.</w:t>
      </w:r>
    </w:p>
    <w:p w14:paraId="0FF8DDAF" w14:textId="77777777" w:rsidR="001E1A3E" w:rsidRPr="00757827" w:rsidRDefault="00000000" w:rsidP="00D64948">
      <w:pPr>
        <w:pStyle w:val="ListParagraph"/>
        <w:numPr>
          <w:ilvl w:val="0"/>
          <w:numId w:val="26"/>
        </w:numPr>
        <w:rPr>
          <w:rFonts w:asciiTheme="majorHAnsi" w:hAnsiTheme="majorHAnsi" w:cstheme="majorHAnsi"/>
        </w:rPr>
      </w:pPr>
      <w:r w:rsidRPr="00757827">
        <w:rPr>
          <w:rFonts w:asciiTheme="majorHAnsi" w:hAnsiTheme="majorHAnsi" w:cstheme="majorHAnsi"/>
        </w:rPr>
        <w:t xml:space="preserve">This includes an initial licensure application, suitability (the review of information to </w:t>
      </w:r>
      <w:proofErr w:type="spellStart"/>
      <w:r w:rsidRPr="00757827">
        <w:rPr>
          <w:rFonts w:asciiTheme="majorHAnsi" w:hAnsiTheme="majorHAnsi" w:cstheme="majorHAnsi"/>
        </w:rPr>
        <w:t>determineacceptable</w:t>
      </w:r>
      <w:proofErr w:type="spellEnd"/>
      <w:r w:rsidRPr="00757827">
        <w:rPr>
          <w:rFonts w:asciiTheme="majorHAnsi" w:hAnsiTheme="majorHAnsi" w:cstheme="majorHAnsi"/>
        </w:rPr>
        <w:t xml:space="preserve"> or right for ownership), and CORI checks, along with other application documentation such as local municipality approval, and a fee.</w:t>
      </w:r>
    </w:p>
    <w:p w14:paraId="595D40D7" w14:textId="77777777" w:rsidR="001E1A3E" w:rsidRPr="00757827" w:rsidRDefault="00000000" w:rsidP="00D64948">
      <w:pPr>
        <w:pStyle w:val="ListParagraph"/>
        <w:numPr>
          <w:ilvl w:val="0"/>
          <w:numId w:val="26"/>
        </w:numPr>
        <w:rPr>
          <w:rFonts w:asciiTheme="majorHAnsi" w:hAnsiTheme="majorHAnsi" w:cstheme="majorHAnsi"/>
        </w:rPr>
      </w:pPr>
      <w:r w:rsidRPr="00757827">
        <w:rPr>
          <w:rFonts w:asciiTheme="majorHAnsi" w:hAnsiTheme="majorHAnsi" w:cstheme="majorHAnsi"/>
        </w:rPr>
        <w:t>For a brand-new rest home, “Determination of Need” approval may also be required, which supports the development of innovative health delivery methods and population health strategies within the health care delivery system; and to ensure that resources will be made reasonably and equitably.</w:t>
      </w:r>
    </w:p>
    <w:p w14:paraId="698D4FC5" w14:textId="77777777" w:rsidR="001E1A3E" w:rsidRPr="00757827" w:rsidRDefault="00000000" w:rsidP="00D64948">
      <w:pPr>
        <w:pStyle w:val="ListParagraph"/>
        <w:numPr>
          <w:ilvl w:val="0"/>
          <w:numId w:val="26"/>
        </w:numPr>
        <w:rPr>
          <w:rFonts w:asciiTheme="majorHAnsi" w:hAnsiTheme="majorHAnsi" w:cstheme="majorHAnsi"/>
        </w:rPr>
      </w:pPr>
      <w:r w:rsidRPr="00757827">
        <w:rPr>
          <w:rFonts w:asciiTheme="majorHAnsi" w:hAnsiTheme="majorHAnsi" w:cstheme="majorHAnsi"/>
        </w:rPr>
        <w:t>For licensure renewals, DPH mails applications to facilities approximately 90 days prior to expiration, along with a letter detailing the required documentation for submitting the application.</w:t>
      </w:r>
    </w:p>
    <w:p w14:paraId="6ADD8F0D" w14:textId="1F0E32DD" w:rsidR="001E1A3E" w:rsidRPr="00F178E4" w:rsidRDefault="001E1A3E">
      <w:pPr>
        <w:rPr>
          <w:rFonts w:asciiTheme="majorHAnsi" w:hAnsiTheme="majorHAnsi" w:cstheme="majorHAnsi"/>
        </w:rPr>
      </w:pPr>
    </w:p>
    <w:p w14:paraId="50C5CF72" w14:textId="77777777" w:rsidR="001E1A3E" w:rsidRPr="00F178E4" w:rsidRDefault="00000000">
      <w:pPr>
        <w:pStyle w:val="Heading1"/>
        <w:rPr>
          <w:rFonts w:cstheme="majorHAnsi"/>
        </w:rPr>
      </w:pPr>
      <w:r w:rsidRPr="00F178E4">
        <w:rPr>
          <w:rFonts w:cstheme="majorHAnsi"/>
        </w:rPr>
        <w:t>Slide 14</w:t>
      </w:r>
    </w:p>
    <w:p w14:paraId="598CA26E" w14:textId="03404948" w:rsidR="00757827" w:rsidRDefault="00757827">
      <w:pPr>
        <w:rPr>
          <w:rFonts w:asciiTheme="majorHAnsi" w:hAnsiTheme="majorHAnsi" w:cstheme="majorHAnsi"/>
        </w:rPr>
      </w:pPr>
      <w:r w:rsidRPr="00F178E4">
        <w:rPr>
          <w:rFonts w:asciiTheme="majorHAnsi" w:hAnsiTheme="majorHAnsi" w:cstheme="majorHAnsi"/>
        </w:rPr>
        <w:t>Task Force’s Findings – Charge (i) (cont.)</w:t>
      </w:r>
    </w:p>
    <w:p w14:paraId="4FB42DA4" w14:textId="6B91F5B9" w:rsidR="001E1A3E" w:rsidRPr="00757827" w:rsidRDefault="00000000">
      <w:pPr>
        <w:rPr>
          <w:rFonts w:asciiTheme="majorHAnsi" w:hAnsiTheme="majorHAnsi" w:cstheme="majorHAnsi"/>
          <w:u w:val="single"/>
        </w:rPr>
      </w:pPr>
      <w:r w:rsidRPr="00757827">
        <w:rPr>
          <w:rFonts w:asciiTheme="majorHAnsi" w:hAnsiTheme="majorHAnsi" w:cstheme="majorHAnsi"/>
          <w:u w:val="single"/>
        </w:rPr>
        <w:t>Charge</w:t>
      </w:r>
    </w:p>
    <w:p w14:paraId="4E47D5A1" w14:textId="042751D2" w:rsidR="001E1A3E" w:rsidRPr="00757827" w:rsidRDefault="00000000" w:rsidP="00D64948">
      <w:pPr>
        <w:pStyle w:val="ListParagraph"/>
        <w:numPr>
          <w:ilvl w:val="0"/>
          <w:numId w:val="27"/>
        </w:numPr>
        <w:rPr>
          <w:rFonts w:asciiTheme="majorHAnsi" w:hAnsiTheme="majorHAnsi" w:cstheme="majorHAnsi"/>
        </w:rPr>
      </w:pPr>
      <w:r w:rsidRPr="00757827">
        <w:rPr>
          <w:rFonts w:asciiTheme="majorHAnsi" w:hAnsiTheme="majorHAnsi" w:cstheme="majorHAnsi"/>
        </w:rPr>
        <w:t>Examine the licensing, regulatory and reporting structure for rest homes</w:t>
      </w:r>
    </w:p>
    <w:p w14:paraId="34DB4E4A" w14:textId="77777777" w:rsidR="001E1A3E" w:rsidRPr="00757827" w:rsidRDefault="00000000">
      <w:pPr>
        <w:rPr>
          <w:rFonts w:asciiTheme="majorHAnsi" w:hAnsiTheme="majorHAnsi" w:cstheme="majorHAnsi"/>
          <w:u w:val="single"/>
        </w:rPr>
      </w:pPr>
      <w:r w:rsidRPr="00757827">
        <w:rPr>
          <w:rFonts w:asciiTheme="majorHAnsi" w:hAnsiTheme="majorHAnsi" w:cstheme="majorHAnsi"/>
          <w:u w:val="single"/>
        </w:rPr>
        <w:t>Findings – Regulatory and Reporting Structure</w:t>
      </w:r>
    </w:p>
    <w:p w14:paraId="091B2B22" w14:textId="1DBB1C50" w:rsidR="00C2437D" w:rsidRPr="00C2437D" w:rsidRDefault="00000000" w:rsidP="00D64948">
      <w:pPr>
        <w:pStyle w:val="ListParagraph"/>
        <w:numPr>
          <w:ilvl w:val="0"/>
          <w:numId w:val="28"/>
        </w:numPr>
        <w:rPr>
          <w:rFonts w:asciiTheme="majorHAnsi" w:hAnsiTheme="majorHAnsi" w:cstheme="majorHAnsi"/>
        </w:rPr>
      </w:pPr>
      <w:r w:rsidRPr="00757827">
        <w:rPr>
          <w:rFonts w:asciiTheme="majorHAnsi" w:hAnsiTheme="majorHAnsi" w:cstheme="majorHAnsi"/>
        </w:rPr>
        <w:t>The Bureau of Health Care Safety and Quality (BHCSQ) at DPH oversees regulatory requirements for the operation of rest homes (Level IV Long Term Care Facilities), outlined in the following standards</w:t>
      </w:r>
      <w:r w:rsidR="00C2437D" w:rsidRPr="00C2437D">
        <w:rPr>
          <w:rFonts w:asciiTheme="majorHAnsi" w:hAnsiTheme="majorHAnsi" w:cstheme="majorHAnsi"/>
        </w:rPr>
        <w:t>:</w:t>
      </w:r>
    </w:p>
    <w:p w14:paraId="497B7048" w14:textId="77777777" w:rsidR="00C2437D" w:rsidRDefault="00C2437D" w:rsidP="00D64948">
      <w:pPr>
        <w:pStyle w:val="ListParagraph"/>
        <w:numPr>
          <w:ilvl w:val="0"/>
          <w:numId w:val="12"/>
        </w:numPr>
        <w:rPr>
          <w:rFonts w:asciiTheme="majorHAnsi" w:hAnsiTheme="majorHAnsi" w:cstheme="majorHAnsi"/>
        </w:rPr>
      </w:pPr>
      <w:hyperlink r:id="rId8" w:history="1">
        <w:r w:rsidRPr="00C2437D">
          <w:rPr>
            <w:rStyle w:val="Hyperlink"/>
            <w:rFonts w:asciiTheme="majorHAnsi" w:hAnsiTheme="majorHAnsi" w:cstheme="majorHAnsi"/>
          </w:rPr>
          <w:t>105 CMR 150.00: Standards for long-term care facilities | Mass.gov</w:t>
        </w:r>
      </w:hyperlink>
    </w:p>
    <w:p w14:paraId="3425877F" w14:textId="77777777" w:rsidR="00C2437D" w:rsidRDefault="00C2437D" w:rsidP="00D64948">
      <w:pPr>
        <w:pStyle w:val="ListParagraph"/>
        <w:numPr>
          <w:ilvl w:val="0"/>
          <w:numId w:val="12"/>
        </w:numPr>
        <w:rPr>
          <w:rFonts w:asciiTheme="majorHAnsi" w:hAnsiTheme="majorHAnsi" w:cstheme="majorHAnsi"/>
        </w:rPr>
      </w:pPr>
      <w:hyperlink r:id="rId9" w:history="1">
        <w:r w:rsidRPr="00C2437D">
          <w:rPr>
            <w:rStyle w:val="Hyperlink"/>
            <w:rFonts w:asciiTheme="majorHAnsi" w:hAnsiTheme="majorHAnsi" w:cstheme="majorHAnsi"/>
          </w:rPr>
          <w:t>105 CMR 153.00: Licensure procedure and suitability requirements for long-term care facilities | Mass.gov</w:t>
        </w:r>
      </w:hyperlink>
    </w:p>
    <w:p w14:paraId="5DB1E000" w14:textId="0BA42B80" w:rsidR="00C2437D" w:rsidRPr="00C2437D" w:rsidRDefault="00C2437D" w:rsidP="00D64948">
      <w:pPr>
        <w:pStyle w:val="ListParagraph"/>
        <w:numPr>
          <w:ilvl w:val="0"/>
          <w:numId w:val="12"/>
        </w:numPr>
        <w:rPr>
          <w:rFonts w:asciiTheme="majorHAnsi" w:hAnsiTheme="majorHAnsi" w:cstheme="majorHAnsi"/>
        </w:rPr>
      </w:pPr>
      <w:hyperlink r:id="rId10" w:history="1">
        <w:r w:rsidRPr="00C2437D">
          <w:rPr>
            <w:rStyle w:val="Hyperlink"/>
            <w:rFonts w:asciiTheme="majorHAnsi" w:hAnsiTheme="majorHAnsi" w:cstheme="majorHAnsi"/>
          </w:rPr>
          <w:t>105 CMR 155.00: Patient and resident abuse prevention, reporting, investigation, penalties and registry | Mass.gov</w:t>
        </w:r>
      </w:hyperlink>
    </w:p>
    <w:p w14:paraId="7BF7FDF7" w14:textId="77777777" w:rsidR="00C2437D" w:rsidRDefault="00C2437D" w:rsidP="00D64948">
      <w:pPr>
        <w:pStyle w:val="ListParagraph"/>
        <w:numPr>
          <w:ilvl w:val="0"/>
          <w:numId w:val="28"/>
        </w:numPr>
        <w:rPr>
          <w:rFonts w:asciiTheme="majorHAnsi" w:hAnsiTheme="majorHAnsi" w:cstheme="majorHAnsi"/>
        </w:rPr>
      </w:pPr>
      <w:r w:rsidRPr="00C2437D">
        <w:rPr>
          <w:rFonts w:asciiTheme="majorHAnsi" w:hAnsiTheme="majorHAnsi" w:cstheme="majorHAnsi"/>
        </w:rPr>
        <w:t>The Health Care Facility Reporting System (</w:t>
      </w:r>
      <w:hyperlink r:id="rId11" w:history="1">
        <w:r w:rsidRPr="00C2437D">
          <w:rPr>
            <w:rStyle w:val="Hyperlink"/>
            <w:rFonts w:asciiTheme="majorHAnsi" w:hAnsiTheme="majorHAnsi" w:cstheme="majorHAnsi"/>
          </w:rPr>
          <w:t>HCFRS</w:t>
        </w:r>
      </w:hyperlink>
      <w:r w:rsidRPr="00C2437D">
        <w:rPr>
          <w:rFonts w:asciiTheme="majorHAnsi" w:hAnsiTheme="majorHAnsi" w:cstheme="majorHAnsi"/>
        </w:rPr>
        <w:t>) is a web-based system overseen by BHCSQ that health care facilities must use to report incidents and allegations of abuse, neglect, and misappropriation.</w:t>
      </w:r>
    </w:p>
    <w:p w14:paraId="4DD85609" w14:textId="77777777" w:rsidR="00C2437D" w:rsidRDefault="00C2437D" w:rsidP="00D64948">
      <w:pPr>
        <w:pStyle w:val="ListParagraph"/>
        <w:numPr>
          <w:ilvl w:val="0"/>
          <w:numId w:val="28"/>
        </w:numPr>
        <w:rPr>
          <w:rFonts w:asciiTheme="majorHAnsi" w:hAnsiTheme="majorHAnsi" w:cstheme="majorHAnsi"/>
        </w:rPr>
      </w:pPr>
      <w:r w:rsidRPr="00C2437D">
        <w:rPr>
          <w:rFonts w:asciiTheme="majorHAnsi" w:hAnsiTheme="majorHAnsi" w:cstheme="majorHAnsi"/>
        </w:rPr>
        <w:t>Complaints can be submitted via the </w:t>
      </w:r>
      <w:hyperlink r:id="rId12" w:history="1">
        <w:r w:rsidRPr="00C2437D">
          <w:rPr>
            <w:rStyle w:val="Hyperlink"/>
            <w:rFonts w:asciiTheme="majorHAnsi" w:hAnsiTheme="majorHAnsi" w:cstheme="majorHAnsi"/>
          </w:rPr>
          <w:t>Consumer/Resident/Patient Complaint Form</w:t>
        </w:r>
      </w:hyperlink>
      <w:r w:rsidRPr="00C2437D">
        <w:rPr>
          <w:rFonts w:asciiTheme="majorHAnsi" w:hAnsiTheme="majorHAnsi" w:cstheme="majorHAnsi"/>
          <w:b/>
          <w:bCs/>
        </w:rPr>
        <w:t> </w:t>
      </w:r>
      <w:r w:rsidRPr="00C2437D">
        <w:rPr>
          <w:rFonts w:asciiTheme="majorHAnsi" w:hAnsiTheme="majorHAnsi" w:cstheme="majorHAnsi"/>
        </w:rPr>
        <w:t xml:space="preserve">available on the </w:t>
      </w:r>
      <w:hyperlink r:id="rId13" w:history="1">
        <w:r w:rsidRPr="00C2437D">
          <w:rPr>
            <w:rStyle w:val="Hyperlink"/>
            <w:rFonts w:asciiTheme="majorHAnsi" w:hAnsiTheme="majorHAnsi" w:cstheme="majorHAnsi"/>
          </w:rPr>
          <w:t>webpage</w:t>
        </w:r>
      </w:hyperlink>
      <w:r w:rsidRPr="00C2437D">
        <w:rPr>
          <w:rFonts w:asciiTheme="majorHAnsi" w:hAnsiTheme="majorHAnsi" w:cstheme="majorHAnsi"/>
        </w:rPr>
        <w:t xml:space="preserve"> of the Division of Health Care Facility Licensure and Certification Complaint Unit, which investigates each complaint.</w:t>
      </w:r>
    </w:p>
    <w:p w14:paraId="0BA00D87" w14:textId="3E07D738" w:rsidR="00C2437D" w:rsidRPr="00C2437D" w:rsidRDefault="00C2437D" w:rsidP="00D64948">
      <w:pPr>
        <w:pStyle w:val="ListParagraph"/>
        <w:numPr>
          <w:ilvl w:val="0"/>
          <w:numId w:val="28"/>
        </w:numPr>
        <w:rPr>
          <w:rFonts w:asciiTheme="majorHAnsi" w:hAnsiTheme="majorHAnsi" w:cstheme="majorHAnsi"/>
        </w:rPr>
      </w:pPr>
      <w:r w:rsidRPr="00C2437D">
        <w:rPr>
          <w:rFonts w:asciiTheme="majorHAnsi" w:hAnsiTheme="majorHAnsi" w:cstheme="majorHAnsi"/>
        </w:rPr>
        <w:lastRenderedPageBreak/>
        <w:t xml:space="preserve">Massachusetts rest homes must also report annually aggregate Health Care Personnel COVID-19 and influenza data through the HCFRS: </w:t>
      </w:r>
      <w:hyperlink r:id="rId14" w:history="1">
        <w:r w:rsidRPr="00C2437D">
          <w:rPr>
            <w:rStyle w:val="Hyperlink"/>
            <w:rFonts w:asciiTheme="majorHAnsi" w:hAnsiTheme="majorHAnsi" w:cstheme="majorHAnsi"/>
          </w:rPr>
          <w:t>Health Care Personnel COVID &amp; Influenza Vaccination References and Resources</w:t>
        </w:r>
      </w:hyperlink>
    </w:p>
    <w:p w14:paraId="7BAAD20B" w14:textId="7F2C638E" w:rsidR="001E1A3E" w:rsidRPr="00F178E4" w:rsidRDefault="001E1A3E">
      <w:pPr>
        <w:rPr>
          <w:rFonts w:asciiTheme="majorHAnsi" w:hAnsiTheme="majorHAnsi" w:cstheme="majorHAnsi"/>
        </w:rPr>
      </w:pPr>
    </w:p>
    <w:p w14:paraId="6348DD17" w14:textId="77777777" w:rsidR="001E1A3E" w:rsidRPr="00F178E4" w:rsidRDefault="00000000">
      <w:pPr>
        <w:pStyle w:val="Heading1"/>
        <w:rPr>
          <w:rFonts w:cstheme="majorHAnsi"/>
        </w:rPr>
      </w:pPr>
      <w:r w:rsidRPr="00F178E4">
        <w:rPr>
          <w:rFonts w:cstheme="majorHAnsi"/>
        </w:rPr>
        <w:t>Slide 15</w:t>
      </w:r>
    </w:p>
    <w:p w14:paraId="07EBCACA" w14:textId="4C347ECA" w:rsidR="00757827" w:rsidRDefault="00757827">
      <w:pPr>
        <w:rPr>
          <w:rFonts w:asciiTheme="majorHAnsi" w:hAnsiTheme="majorHAnsi" w:cstheme="majorHAnsi"/>
        </w:rPr>
      </w:pPr>
      <w:r w:rsidRPr="00F178E4">
        <w:rPr>
          <w:rFonts w:asciiTheme="majorHAnsi" w:hAnsiTheme="majorHAnsi" w:cstheme="majorHAnsi"/>
        </w:rPr>
        <w:t>Task Force’s Findings – Charges (ii) &amp; (iii)</w:t>
      </w:r>
    </w:p>
    <w:p w14:paraId="7D56A72D" w14:textId="64F436EB" w:rsidR="001E1A3E" w:rsidRPr="00757827" w:rsidRDefault="00000000">
      <w:pPr>
        <w:rPr>
          <w:rFonts w:asciiTheme="majorHAnsi" w:hAnsiTheme="majorHAnsi" w:cstheme="majorHAnsi"/>
          <w:u w:val="single"/>
        </w:rPr>
      </w:pPr>
      <w:r w:rsidRPr="00757827">
        <w:rPr>
          <w:rFonts w:asciiTheme="majorHAnsi" w:hAnsiTheme="majorHAnsi" w:cstheme="majorHAnsi"/>
          <w:u w:val="single"/>
        </w:rPr>
        <w:t>Charge</w:t>
      </w:r>
    </w:p>
    <w:p w14:paraId="0505614C" w14:textId="77777777" w:rsidR="00757827" w:rsidRDefault="00000000" w:rsidP="00D64948">
      <w:pPr>
        <w:pStyle w:val="ListParagraph"/>
        <w:numPr>
          <w:ilvl w:val="0"/>
          <w:numId w:val="27"/>
        </w:numPr>
        <w:rPr>
          <w:rFonts w:asciiTheme="majorHAnsi" w:hAnsiTheme="majorHAnsi" w:cstheme="majorHAnsi"/>
        </w:rPr>
      </w:pPr>
      <w:r w:rsidRPr="00757827">
        <w:rPr>
          <w:rFonts w:asciiTheme="majorHAnsi" w:hAnsiTheme="majorHAnsi" w:cstheme="majorHAnsi"/>
        </w:rPr>
        <w:t xml:space="preserve">Examine an inventory of licensed rest homes and licensed rest home </w:t>
      </w:r>
      <w:proofErr w:type="gramStart"/>
      <w:r w:rsidRPr="00757827">
        <w:rPr>
          <w:rFonts w:asciiTheme="majorHAnsi" w:hAnsiTheme="majorHAnsi" w:cstheme="majorHAnsi"/>
        </w:rPr>
        <w:t>bed</w:t>
      </w:r>
      <w:proofErr w:type="gramEnd"/>
    </w:p>
    <w:p w14:paraId="5746E10A" w14:textId="05FAE3E4" w:rsidR="001E1A3E" w:rsidRPr="00757827" w:rsidRDefault="00000000" w:rsidP="00D64948">
      <w:pPr>
        <w:pStyle w:val="ListParagraph"/>
        <w:numPr>
          <w:ilvl w:val="0"/>
          <w:numId w:val="27"/>
        </w:numPr>
        <w:rPr>
          <w:rFonts w:asciiTheme="majorHAnsi" w:hAnsiTheme="majorHAnsi" w:cstheme="majorHAnsi"/>
        </w:rPr>
      </w:pPr>
      <w:r w:rsidRPr="00757827">
        <w:rPr>
          <w:rFonts w:asciiTheme="majorHAnsi" w:hAnsiTheme="majorHAnsi" w:cstheme="majorHAnsi"/>
        </w:rPr>
        <w:t>Examine the location and service areas of existing rest homes</w:t>
      </w:r>
    </w:p>
    <w:p w14:paraId="553425FC" w14:textId="77777777" w:rsidR="001E1A3E" w:rsidRPr="00757827" w:rsidRDefault="00000000">
      <w:pPr>
        <w:rPr>
          <w:rFonts w:asciiTheme="majorHAnsi" w:hAnsiTheme="majorHAnsi" w:cstheme="majorHAnsi"/>
          <w:u w:val="single"/>
        </w:rPr>
      </w:pPr>
      <w:r w:rsidRPr="00757827">
        <w:rPr>
          <w:rFonts w:asciiTheme="majorHAnsi" w:hAnsiTheme="majorHAnsi" w:cstheme="majorHAnsi"/>
          <w:u w:val="single"/>
        </w:rPr>
        <w:t>Findings – Inventory of Rest Homes and Rest Home Beds</w:t>
      </w:r>
    </w:p>
    <w:p w14:paraId="4CA2053F" w14:textId="77777777" w:rsidR="001E1A3E" w:rsidRPr="00757827" w:rsidRDefault="00000000" w:rsidP="00D64948">
      <w:pPr>
        <w:pStyle w:val="ListParagraph"/>
        <w:numPr>
          <w:ilvl w:val="0"/>
          <w:numId w:val="29"/>
        </w:numPr>
        <w:rPr>
          <w:rFonts w:asciiTheme="majorHAnsi" w:hAnsiTheme="majorHAnsi" w:cstheme="majorHAnsi"/>
        </w:rPr>
      </w:pPr>
      <w:r w:rsidRPr="00757827">
        <w:rPr>
          <w:rFonts w:asciiTheme="majorHAnsi" w:hAnsiTheme="majorHAnsi" w:cstheme="majorHAnsi"/>
        </w:rPr>
        <w:t>There are currently 74 DPH-licensed rest homes operating in the Commonwealth:</w:t>
      </w:r>
    </w:p>
    <w:p w14:paraId="7EB00D69" w14:textId="31E60DD8" w:rsidR="001E1A3E" w:rsidRPr="00757827" w:rsidRDefault="00000000" w:rsidP="00D64948">
      <w:pPr>
        <w:pStyle w:val="ListParagraph"/>
        <w:numPr>
          <w:ilvl w:val="0"/>
          <w:numId w:val="30"/>
        </w:numPr>
        <w:rPr>
          <w:rFonts w:asciiTheme="majorHAnsi" w:hAnsiTheme="majorHAnsi" w:cstheme="majorHAnsi"/>
        </w:rPr>
      </w:pPr>
      <w:r w:rsidRPr="00757827">
        <w:rPr>
          <w:rFonts w:asciiTheme="majorHAnsi" w:hAnsiTheme="majorHAnsi" w:cstheme="majorHAnsi"/>
        </w:rPr>
        <w:t>58 freestanding rest homes with a total of 2,002 beds (see map and table on Slide 17).</w:t>
      </w:r>
    </w:p>
    <w:p w14:paraId="42FF78F2" w14:textId="2724BAFE" w:rsidR="001E1A3E" w:rsidRPr="00757827" w:rsidRDefault="00000000" w:rsidP="00D64948">
      <w:pPr>
        <w:pStyle w:val="ListParagraph"/>
        <w:numPr>
          <w:ilvl w:val="0"/>
          <w:numId w:val="30"/>
        </w:numPr>
        <w:rPr>
          <w:rFonts w:asciiTheme="majorHAnsi" w:hAnsiTheme="majorHAnsi" w:cstheme="majorHAnsi"/>
        </w:rPr>
      </w:pPr>
      <w:r w:rsidRPr="00757827">
        <w:rPr>
          <w:rFonts w:asciiTheme="majorHAnsi" w:hAnsiTheme="majorHAnsi" w:cstheme="majorHAnsi"/>
        </w:rPr>
        <w:t xml:space="preserve">16 skilled nursing facilities (SNFs) </w:t>
      </w:r>
      <w:proofErr w:type="spellStart"/>
      <w:r w:rsidRPr="00757827">
        <w:rPr>
          <w:rFonts w:asciiTheme="majorHAnsi" w:hAnsiTheme="majorHAnsi" w:cstheme="majorHAnsi"/>
        </w:rPr>
        <w:t>haverest</w:t>
      </w:r>
      <w:proofErr w:type="spellEnd"/>
      <w:r w:rsidRPr="00757827">
        <w:rPr>
          <w:rFonts w:asciiTheme="majorHAnsi" w:hAnsiTheme="majorHAnsi" w:cstheme="majorHAnsi"/>
        </w:rPr>
        <w:t xml:space="preserve"> home (Level IV) beds and are known as multi-level or hybrid facilities, with a total of 624 Level IV </w:t>
      </w:r>
      <w:proofErr w:type="gramStart"/>
      <w:r w:rsidRPr="00757827">
        <w:rPr>
          <w:rFonts w:asciiTheme="majorHAnsi" w:hAnsiTheme="majorHAnsi" w:cstheme="majorHAnsi"/>
        </w:rPr>
        <w:t>beds(</w:t>
      </w:r>
      <w:proofErr w:type="gramEnd"/>
      <w:r w:rsidRPr="00757827">
        <w:rPr>
          <w:rFonts w:asciiTheme="majorHAnsi" w:hAnsiTheme="majorHAnsi" w:cstheme="majorHAnsi"/>
        </w:rPr>
        <w:t>see map and table on Slide18).</w:t>
      </w:r>
    </w:p>
    <w:p w14:paraId="6FEFB005" w14:textId="548A12E0" w:rsidR="00757827" w:rsidRPr="006B2FAE" w:rsidRDefault="00000000" w:rsidP="00D64948">
      <w:pPr>
        <w:pStyle w:val="ListParagraph"/>
        <w:numPr>
          <w:ilvl w:val="0"/>
          <w:numId w:val="29"/>
        </w:numPr>
        <w:rPr>
          <w:rFonts w:asciiTheme="majorHAnsi" w:hAnsiTheme="majorHAnsi" w:cstheme="majorHAnsi"/>
        </w:rPr>
      </w:pPr>
      <w:r w:rsidRPr="006B2FAE">
        <w:rPr>
          <w:rFonts w:asciiTheme="majorHAnsi" w:hAnsiTheme="majorHAnsi" w:cstheme="majorHAnsi"/>
        </w:rPr>
        <w:t xml:space="preserve">In addition, there are a handful of religious rest homes that are not </w:t>
      </w:r>
      <w:r w:rsidR="006B2FAE" w:rsidRPr="006B2FAE">
        <w:rPr>
          <w:rFonts w:asciiTheme="majorHAnsi" w:hAnsiTheme="majorHAnsi" w:cstheme="majorHAnsi"/>
        </w:rPr>
        <w:t xml:space="preserve">licensed and tracked by DPH. Per </w:t>
      </w:r>
      <w:hyperlink r:id="rId15" w:history="1">
        <w:r w:rsidR="006B2FAE" w:rsidRPr="006B2FAE">
          <w:rPr>
            <w:rStyle w:val="Hyperlink"/>
            <w:rFonts w:asciiTheme="majorHAnsi" w:hAnsiTheme="majorHAnsi" w:cstheme="majorHAnsi"/>
          </w:rPr>
          <w:t>105 CMR 150.00 Standards for Long Term Care Facilities</w:t>
        </w:r>
      </w:hyperlink>
      <w:r w:rsidR="006B2FAE" w:rsidRPr="006B2FAE">
        <w:rPr>
          <w:rFonts w:asciiTheme="majorHAnsi" w:hAnsiTheme="majorHAnsi" w:cstheme="majorHAnsi"/>
        </w:rPr>
        <w:t xml:space="preserve">, religious </w:t>
      </w:r>
      <w:r w:rsidRPr="006B2FAE">
        <w:rPr>
          <w:rFonts w:asciiTheme="majorHAnsi" w:hAnsiTheme="majorHAnsi" w:cstheme="majorHAnsi"/>
        </w:rPr>
        <w:t>order homes do not require a license from DPH to operate and are not included in the count. However, these homes must meet all local health and safety requirements.</w:t>
      </w:r>
    </w:p>
    <w:p w14:paraId="01A81F61" w14:textId="36838E1D" w:rsidR="001E1A3E" w:rsidRPr="00757827" w:rsidRDefault="00000000" w:rsidP="00D64948">
      <w:pPr>
        <w:pStyle w:val="ListParagraph"/>
        <w:numPr>
          <w:ilvl w:val="0"/>
          <w:numId w:val="29"/>
        </w:numPr>
        <w:rPr>
          <w:rFonts w:asciiTheme="majorHAnsi" w:hAnsiTheme="majorHAnsi" w:cstheme="majorHAnsi"/>
        </w:rPr>
      </w:pPr>
      <w:r w:rsidRPr="00757827">
        <w:rPr>
          <w:rFonts w:asciiTheme="majorHAnsi" w:hAnsiTheme="majorHAnsi" w:cstheme="majorHAnsi"/>
        </w:rPr>
        <w:t xml:space="preserve">Of the 58 freestanding rest homes referenced above, 31 are private/for-profit, 21 are non-profit. The financial status of the remaining 6 rest homes is not tracked by DPH, as these facilities do not admit public residents and are therefore not required to submit annual cost reports. </w:t>
      </w:r>
    </w:p>
    <w:p w14:paraId="0C2E9D47" w14:textId="204351DC" w:rsidR="001E1A3E" w:rsidRPr="00F178E4" w:rsidRDefault="001E1A3E">
      <w:pPr>
        <w:rPr>
          <w:rFonts w:asciiTheme="majorHAnsi" w:hAnsiTheme="majorHAnsi" w:cstheme="majorHAnsi"/>
        </w:rPr>
      </w:pPr>
    </w:p>
    <w:p w14:paraId="735462C7" w14:textId="77777777" w:rsidR="001E1A3E" w:rsidRPr="00F178E4" w:rsidRDefault="00000000">
      <w:pPr>
        <w:pStyle w:val="Heading1"/>
        <w:rPr>
          <w:rFonts w:cstheme="majorHAnsi"/>
        </w:rPr>
      </w:pPr>
      <w:r w:rsidRPr="00F178E4">
        <w:rPr>
          <w:rFonts w:cstheme="majorHAnsi"/>
        </w:rPr>
        <w:t>Slide 16</w:t>
      </w:r>
    </w:p>
    <w:p w14:paraId="61BE9B64" w14:textId="181B093E" w:rsidR="006B2FAE" w:rsidRPr="006B2FAE" w:rsidRDefault="006B2FAE" w:rsidP="006B2FAE">
      <w:pPr>
        <w:rPr>
          <w:rFonts w:asciiTheme="majorHAnsi" w:hAnsiTheme="majorHAnsi" w:cstheme="majorHAnsi"/>
        </w:rPr>
      </w:pPr>
      <w:r w:rsidRPr="00F178E4">
        <w:rPr>
          <w:rFonts w:asciiTheme="majorHAnsi" w:hAnsiTheme="majorHAnsi" w:cstheme="majorHAnsi"/>
        </w:rPr>
        <w:t>Task Force’s Findings – Charges (ii) &amp; (iii)</w:t>
      </w:r>
      <w:r>
        <w:rPr>
          <w:rFonts w:asciiTheme="majorHAnsi" w:hAnsiTheme="majorHAnsi" w:cstheme="majorHAnsi"/>
        </w:rPr>
        <w:t xml:space="preserve"> (cont.)</w:t>
      </w:r>
    </w:p>
    <w:p w14:paraId="61737B46" w14:textId="29B6B807" w:rsidR="006B2FAE" w:rsidRPr="00757827" w:rsidRDefault="006B2FAE" w:rsidP="006B2FAE">
      <w:pPr>
        <w:rPr>
          <w:rFonts w:asciiTheme="majorHAnsi" w:hAnsiTheme="majorHAnsi" w:cstheme="majorHAnsi"/>
          <w:u w:val="single"/>
        </w:rPr>
      </w:pPr>
      <w:r w:rsidRPr="00757827">
        <w:rPr>
          <w:rFonts w:asciiTheme="majorHAnsi" w:hAnsiTheme="majorHAnsi" w:cstheme="majorHAnsi"/>
          <w:u w:val="single"/>
        </w:rPr>
        <w:t>Charge</w:t>
      </w:r>
    </w:p>
    <w:p w14:paraId="264D0EE3" w14:textId="5D816ACF" w:rsidR="006B2FAE" w:rsidRDefault="006B2FAE" w:rsidP="00D64948">
      <w:pPr>
        <w:pStyle w:val="ListParagraph"/>
        <w:numPr>
          <w:ilvl w:val="0"/>
          <w:numId w:val="31"/>
        </w:numPr>
        <w:rPr>
          <w:rFonts w:asciiTheme="majorHAnsi" w:hAnsiTheme="majorHAnsi" w:cstheme="majorHAnsi"/>
        </w:rPr>
      </w:pPr>
      <w:r w:rsidRPr="00757827">
        <w:rPr>
          <w:rFonts w:asciiTheme="majorHAnsi" w:hAnsiTheme="majorHAnsi" w:cstheme="majorHAnsi"/>
        </w:rPr>
        <w:t>Examine an inventory of licensed rest homes and licensed rest home bed</w:t>
      </w:r>
      <w:r>
        <w:rPr>
          <w:rFonts w:asciiTheme="majorHAnsi" w:hAnsiTheme="majorHAnsi" w:cstheme="majorHAnsi"/>
        </w:rPr>
        <w:t>s</w:t>
      </w:r>
    </w:p>
    <w:p w14:paraId="7540E7DD" w14:textId="77777777" w:rsidR="006B2FAE" w:rsidRPr="00757827" w:rsidRDefault="006B2FAE" w:rsidP="00D64948">
      <w:pPr>
        <w:pStyle w:val="ListParagraph"/>
        <w:numPr>
          <w:ilvl w:val="0"/>
          <w:numId w:val="31"/>
        </w:numPr>
        <w:rPr>
          <w:rFonts w:asciiTheme="majorHAnsi" w:hAnsiTheme="majorHAnsi" w:cstheme="majorHAnsi"/>
        </w:rPr>
      </w:pPr>
      <w:r w:rsidRPr="00757827">
        <w:rPr>
          <w:rFonts w:asciiTheme="majorHAnsi" w:hAnsiTheme="majorHAnsi" w:cstheme="majorHAnsi"/>
        </w:rPr>
        <w:t>Examine the location and service areas of existing rest homes</w:t>
      </w:r>
    </w:p>
    <w:p w14:paraId="73420DD5" w14:textId="542043D3" w:rsidR="001E1A3E" w:rsidRPr="006B2FAE" w:rsidRDefault="006B2FAE">
      <w:pPr>
        <w:rPr>
          <w:rFonts w:asciiTheme="majorHAnsi" w:hAnsiTheme="majorHAnsi" w:cstheme="majorHAnsi"/>
          <w:u w:val="single"/>
        </w:rPr>
      </w:pPr>
      <w:r w:rsidRPr="00757827">
        <w:rPr>
          <w:rFonts w:asciiTheme="majorHAnsi" w:hAnsiTheme="majorHAnsi" w:cstheme="majorHAnsi"/>
          <w:u w:val="single"/>
        </w:rPr>
        <w:t>Findings –</w:t>
      </w:r>
      <w:r>
        <w:rPr>
          <w:rFonts w:asciiTheme="majorHAnsi" w:hAnsiTheme="majorHAnsi" w:cstheme="majorHAnsi"/>
          <w:u w:val="single"/>
        </w:rPr>
        <w:t xml:space="preserve"> </w:t>
      </w:r>
      <w:r w:rsidRPr="006B2FAE">
        <w:rPr>
          <w:rFonts w:asciiTheme="majorHAnsi" w:hAnsiTheme="majorHAnsi" w:cstheme="majorHAnsi"/>
          <w:u w:val="single"/>
        </w:rPr>
        <w:t>Service Areas</w:t>
      </w:r>
    </w:p>
    <w:p w14:paraId="35DDC300" w14:textId="77777777" w:rsidR="006B2FAE" w:rsidRDefault="00000000" w:rsidP="00D64948">
      <w:pPr>
        <w:pStyle w:val="ListParagraph"/>
        <w:numPr>
          <w:ilvl w:val="0"/>
          <w:numId w:val="32"/>
        </w:numPr>
        <w:rPr>
          <w:rFonts w:asciiTheme="majorHAnsi" w:hAnsiTheme="majorHAnsi" w:cstheme="majorHAnsi"/>
        </w:rPr>
      </w:pPr>
      <w:r w:rsidRPr="006B2FAE">
        <w:rPr>
          <w:rFonts w:asciiTheme="majorHAnsi" w:hAnsiTheme="majorHAnsi" w:cstheme="majorHAnsi"/>
        </w:rPr>
        <w:lastRenderedPageBreak/>
        <w:t xml:space="preserve">Typically, the term “service area,” when used in the context of the health care system, is defined by the home address of a patient for a given health care facility or service or based on the hospital location where a patient is </w:t>
      </w:r>
      <w:proofErr w:type="spellStart"/>
      <w:r w:rsidRPr="006B2FAE">
        <w:rPr>
          <w:rFonts w:asciiTheme="majorHAnsi" w:hAnsiTheme="majorHAnsi" w:cstheme="majorHAnsi"/>
        </w:rPr>
        <w:t>treated.By</w:t>
      </w:r>
      <w:proofErr w:type="spellEnd"/>
      <w:r w:rsidRPr="006B2FAE">
        <w:rPr>
          <w:rFonts w:asciiTheme="majorHAnsi" w:hAnsiTheme="majorHAnsi" w:cstheme="majorHAnsi"/>
        </w:rPr>
        <w:t xml:space="preserve"> definition, a rest home is the home address for its residents, therefore, this definition cannot be applied to patients or residents occupying a rest home. DPH does not have or collect home addresses for residents prior to their admission to a rest </w:t>
      </w:r>
      <w:proofErr w:type="spellStart"/>
      <w:proofErr w:type="gramStart"/>
      <w:r w:rsidRPr="006B2FAE">
        <w:rPr>
          <w:rFonts w:asciiTheme="majorHAnsi" w:hAnsiTheme="majorHAnsi" w:cstheme="majorHAnsi"/>
        </w:rPr>
        <w:t>home.Moreover</w:t>
      </w:r>
      <w:proofErr w:type="spellEnd"/>
      <w:proofErr w:type="gramEnd"/>
      <w:r w:rsidRPr="006B2FAE">
        <w:rPr>
          <w:rFonts w:asciiTheme="majorHAnsi" w:hAnsiTheme="majorHAnsi" w:cstheme="majorHAnsi"/>
        </w:rPr>
        <w:t>, selection of a rest home location may be influenced by the home address of family members rather than the prior address of the resident.</w:t>
      </w:r>
    </w:p>
    <w:p w14:paraId="564B8EFC" w14:textId="63453B03" w:rsidR="006B2FAE" w:rsidRPr="006B2FAE" w:rsidRDefault="00000000" w:rsidP="00D64948">
      <w:pPr>
        <w:pStyle w:val="ListParagraph"/>
        <w:numPr>
          <w:ilvl w:val="0"/>
          <w:numId w:val="32"/>
        </w:numPr>
        <w:rPr>
          <w:rFonts w:cstheme="majorHAnsi"/>
        </w:rPr>
      </w:pPr>
      <w:r w:rsidRPr="006B2FAE">
        <w:rPr>
          <w:rFonts w:asciiTheme="majorHAnsi" w:hAnsiTheme="majorHAnsi" w:cstheme="majorHAnsi"/>
        </w:rPr>
        <w:t xml:space="preserve">For the purposes of this report, DPH has applied the six EOHHS regional definitions as a proxy for “service areas” of existing rest homes: </w:t>
      </w:r>
      <w:r w:rsidRPr="006B2FAE">
        <w:rPr>
          <w:rFonts w:asciiTheme="majorHAnsi" w:hAnsiTheme="majorHAnsi" w:cstheme="majorHAnsi"/>
          <w:u w:val="single"/>
        </w:rPr>
        <w:t>Boston</w:t>
      </w:r>
      <w:r w:rsidRPr="006B2FAE">
        <w:rPr>
          <w:rFonts w:asciiTheme="majorHAnsi" w:hAnsiTheme="majorHAnsi" w:cstheme="majorHAnsi"/>
        </w:rPr>
        <w:t xml:space="preserve">, </w:t>
      </w:r>
      <w:r w:rsidRPr="006B2FAE">
        <w:rPr>
          <w:rFonts w:asciiTheme="majorHAnsi" w:hAnsiTheme="majorHAnsi" w:cstheme="majorHAnsi"/>
          <w:u w:val="single"/>
        </w:rPr>
        <w:t>Central</w:t>
      </w:r>
      <w:r w:rsidRPr="006B2FAE">
        <w:rPr>
          <w:rFonts w:asciiTheme="majorHAnsi" w:hAnsiTheme="majorHAnsi" w:cstheme="majorHAnsi"/>
        </w:rPr>
        <w:t xml:space="preserve">, </w:t>
      </w:r>
      <w:r w:rsidRPr="006B2FAE">
        <w:rPr>
          <w:rFonts w:asciiTheme="majorHAnsi" w:hAnsiTheme="majorHAnsi" w:cstheme="majorHAnsi"/>
          <w:u w:val="single"/>
        </w:rPr>
        <w:t>Metro West</w:t>
      </w:r>
      <w:r w:rsidRPr="006B2FAE">
        <w:rPr>
          <w:rFonts w:asciiTheme="majorHAnsi" w:hAnsiTheme="majorHAnsi" w:cstheme="majorHAnsi"/>
        </w:rPr>
        <w:t xml:space="preserve">, </w:t>
      </w:r>
      <w:r w:rsidRPr="006B2FAE">
        <w:rPr>
          <w:rFonts w:asciiTheme="majorHAnsi" w:hAnsiTheme="majorHAnsi" w:cstheme="majorHAnsi"/>
          <w:u w:val="single"/>
        </w:rPr>
        <w:t>Northeast</w:t>
      </w:r>
      <w:r w:rsidRPr="006B2FAE">
        <w:rPr>
          <w:rFonts w:asciiTheme="majorHAnsi" w:hAnsiTheme="majorHAnsi" w:cstheme="majorHAnsi"/>
        </w:rPr>
        <w:t xml:space="preserve">, </w:t>
      </w:r>
      <w:r w:rsidRPr="006B2FAE">
        <w:rPr>
          <w:rFonts w:asciiTheme="majorHAnsi" w:hAnsiTheme="majorHAnsi" w:cstheme="majorHAnsi"/>
          <w:u w:val="single"/>
        </w:rPr>
        <w:t>Southeast</w:t>
      </w:r>
      <w:r w:rsidRPr="006B2FAE">
        <w:rPr>
          <w:rFonts w:asciiTheme="majorHAnsi" w:hAnsiTheme="majorHAnsi" w:cstheme="majorHAnsi"/>
        </w:rPr>
        <w:t xml:space="preserve">, and </w:t>
      </w:r>
      <w:r w:rsidRPr="006B2FAE">
        <w:rPr>
          <w:rFonts w:asciiTheme="majorHAnsi" w:hAnsiTheme="majorHAnsi" w:cstheme="majorHAnsi"/>
          <w:u w:val="single"/>
        </w:rPr>
        <w:t>Western Massachusetts</w:t>
      </w:r>
      <w:r w:rsidRPr="006B2FAE">
        <w:rPr>
          <w:rFonts w:asciiTheme="majorHAnsi" w:hAnsiTheme="majorHAnsi" w:cstheme="majorHAnsi"/>
        </w:rPr>
        <w:t xml:space="preserve"> </w:t>
      </w:r>
      <w:r w:rsidRPr="006B2FAE">
        <w:rPr>
          <w:rFonts w:asciiTheme="majorHAnsi" w:hAnsiTheme="majorHAnsi" w:cstheme="majorHAnsi"/>
          <w:i/>
          <w:iCs/>
        </w:rPr>
        <w:t>(see map and table on the following slide)</w:t>
      </w:r>
      <w:r w:rsidRPr="006B2FAE">
        <w:rPr>
          <w:rFonts w:asciiTheme="majorHAnsi" w:hAnsiTheme="majorHAnsi" w:cstheme="majorHAnsi"/>
        </w:rPr>
        <w:t>.</w:t>
      </w:r>
    </w:p>
    <w:p w14:paraId="7C260065" w14:textId="77777777" w:rsidR="006B2FAE" w:rsidRPr="006B2FAE" w:rsidRDefault="006B2FAE" w:rsidP="006B2FAE">
      <w:pPr>
        <w:pStyle w:val="ListParagraph"/>
        <w:rPr>
          <w:rFonts w:cstheme="majorHAnsi"/>
        </w:rPr>
      </w:pPr>
    </w:p>
    <w:p w14:paraId="21FC66C2" w14:textId="178EA48E" w:rsidR="001E1A3E" w:rsidRPr="00F178E4" w:rsidRDefault="00000000">
      <w:pPr>
        <w:pStyle w:val="Heading1"/>
        <w:rPr>
          <w:rFonts w:cstheme="majorHAnsi"/>
        </w:rPr>
      </w:pPr>
      <w:r w:rsidRPr="00F178E4">
        <w:rPr>
          <w:rFonts w:cstheme="majorHAnsi"/>
        </w:rPr>
        <w:t>Slide 17</w:t>
      </w:r>
    </w:p>
    <w:p w14:paraId="23D3D9E4" w14:textId="77777777" w:rsidR="006B2FAE" w:rsidRDefault="006B2FAE" w:rsidP="006B2FAE">
      <w:pPr>
        <w:rPr>
          <w:rFonts w:asciiTheme="majorHAnsi" w:hAnsiTheme="majorHAnsi" w:cstheme="majorHAnsi"/>
        </w:rPr>
      </w:pPr>
      <w:r w:rsidRPr="00F178E4">
        <w:rPr>
          <w:rFonts w:asciiTheme="majorHAnsi" w:hAnsiTheme="majorHAnsi" w:cstheme="majorHAnsi"/>
        </w:rPr>
        <w:t>Task Force’s Findings – Charges (ii) &amp; (iii)</w:t>
      </w:r>
      <w:r>
        <w:rPr>
          <w:rFonts w:asciiTheme="majorHAnsi" w:hAnsiTheme="majorHAnsi" w:cstheme="majorHAnsi"/>
        </w:rPr>
        <w:t xml:space="preserve"> (cont.)</w:t>
      </w:r>
    </w:p>
    <w:tbl>
      <w:tblPr>
        <w:tblW w:w="4460" w:type="dxa"/>
        <w:tblCellMar>
          <w:left w:w="0" w:type="dxa"/>
          <w:right w:w="0" w:type="dxa"/>
        </w:tblCellMar>
        <w:tblLook w:val="0600" w:firstRow="0" w:lastRow="0" w:firstColumn="0" w:lastColumn="0" w:noHBand="1" w:noVBand="1"/>
      </w:tblPr>
      <w:tblGrid>
        <w:gridCol w:w="1780"/>
        <w:gridCol w:w="1580"/>
        <w:gridCol w:w="1100"/>
      </w:tblGrid>
      <w:tr w:rsidR="009E4536" w:rsidRPr="009E4536" w14:paraId="3D6A63BC" w14:textId="77777777" w:rsidTr="009E4536">
        <w:trPr>
          <w:trHeight w:val="504"/>
        </w:trPr>
        <w:tc>
          <w:tcPr>
            <w:tcW w:w="1780" w:type="dxa"/>
            <w:tcBorders>
              <w:top w:val="single" w:sz="2" w:space="0" w:color="000000"/>
              <w:left w:val="single" w:sz="2" w:space="0" w:color="000000"/>
              <w:bottom w:val="single" w:sz="2" w:space="0" w:color="000000"/>
              <w:right w:val="single" w:sz="2" w:space="0" w:color="000000"/>
            </w:tcBorders>
            <w:shd w:val="clear" w:color="auto" w:fill="BBBBBB"/>
            <w:tcMar>
              <w:top w:w="56" w:type="dxa"/>
              <w:left w:w="112" w:type="dxa"/>
              <w:bottom w:w="56" w:type="dxa"/>
              <w:right w:w="112" w:type="dxa"/>
            </w:tcMar>
            <w:vAlign w:val="center"/>
            <w:hideMark/>
          </w:tcPr>
          <w:p w14:paraId="32463CA9"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EOHHS</w:t>
            </w:r>
            <w:r w:rsidRPr="009E4536">
              <w:rPr>
                <w:rFonts w:asciiTheme="majorHAnsi" w:hAnsiTheme="majorHAnsi" w:cstheme="majorHAnsi"/>
                <w:b/>
                <w:bCs/>
              </w:rPr>
              <w:br/>
              <w:t>Region</w:t>
            </w:r>
          </w:p>
        </w:tc>
        <w:tc>
          <w:tcPr>
            <w:tcW w:w="1580" w:type="dxa"/>
            <w:tcBorders>
              <w:top w:val="single" w:sz="2" w:space="0" w:color="000000"/>
              <w:left w:val="single" w:sz="2" w:space="0" w:color="000000"/>
              <w:bottom w:val="single" w:sz="2" w:space="0" w:color="000000"/>
              <w:right w:val="single" w:sz="2" w:space="0" w:color="000000"/>
            </w:tcBorders>
            <w:shd w:val="clear" w:color="auto" w:fill="BBBBBB"/>
            <w:tcMar>
              <w:top w:w="56" w:type="dxa"/>
              <w:left w:w="112" w:type="dxa"/>
              <w:bottom w:w="56" w:type="dxa"/>
              <w:right w:w="112" w:type="dxa"/>
            </w:tcMar>
            <w:vAlign w:val="center"/>
            <w:hideMark/>
          </w:tcPr>
          <w:p w14:paraId="4B91FCD4"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Free-standing RHs</w:t>
            </w:r>
            <w:r w:rsidRPr="009E4536">
              <w:rPr>
                <w:rFonts w:asciiTheme="majorHAnsi" w:hAnsiTheme="majorHAnsi" w:cstheme="majorHAnsi"/>
              </w:rPr>
              <w:t>​</w:t>
            </w:r>
          </w:p>
        </w:tc>
        <w:tc>
          <w:tcPr>
            <w:tcW w:w="1100" w:type="dxa"/>
            <w:tcBorders>
              <w:top w:val="single" w:sz="2" w:space="0" w:color="000000"/>
              <w:left w:val="single" w:sz="2" w:space="0" w:color="000000"/>
              <w:bottom w:val="single" w:sz="2" w:space="0" w:color="000000"/>
              <w:right w:val="single" w:sz="2" w:space="0" w:color="000000"/>
            </w:tcBorders>
            <w:shd w:val="clear" w:color="auto" w:fill="BBBBBB"/>
            <w:tcMar>
              <w:top w:w="56" w:type="dxa"/>
              <w:left w:w="112" w:type="dxa"/>
              <w:bottom w:w="56" w:type="dxa"/>
              <w:right w:w="112" w:type="dxa"/>
            </w:tcMar>
            <w:vAlign w:val="center"/>
            <w:hideMark/>
          </w:tcPr>
          <w:p w14:paraId="3A9D3E43"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Total</w:t>
            </w:r>
            <w:r w:rsidRPr="009E4536">
              <w:rPr>
                <w:rFonts w:asciiTheme="majorHAnsi" w:hAnsiTheme="majorHAnsi" w:cstheme="majorHAnsi"/>
                <w:b/>
                <w:bCs/>
              </w:rPr>
              <w:br/>
              <w:t>Beds</w:t>
            </w:r>
            <w:r w:rsidRPr="009E4536">
              <w:rPr>
                <w:rFonts w:asciiTheme="majorHAnsi" w:hAnsiTheme="majorHAnsi" w:cstheme="majorHAnsi"/>
              </w:rPr>
              <w:t>​</w:t>
            </w:r>
          </w:p>
        </w:tc>
      </w:tr>
      <w:tr w:rsidR="009E4536" w:rsidRPr="009E4536" w14:paraId="07A52686" w14:textId="77777777" w:rsidTr="009E4536">
        <w:trPr>
          <w:trHeight w:val="443"/>
        </w:trPr>
        <w:tc>
          <w:tcPr>
            <w:tcW w:w="17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5810381"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Boston ​</w:t>
            </w:r>
          </w:p>
        </w:tc>
        <w:tc>
          <w:tcPr>
            <w:tcW w:w="15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1704E65"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7​</w:t>
            </w:r>
          </w:p>
        </w:tc>
        <w:tc>
          <w:tcPr>
            <w:tcW w:w="11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C7C4D10"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248​</w:t>
            </w:r>
          </w:p>
        </w:tc>
      </w:tr>
      <w:tr w:rsidR="009E4536" w:rsidRPr="009E4536" w14:paraId="245728BE" w14:textId="77777777" w:rsidTr="009E4536">
        <w:trPr>
          <w:trHeight w:val="443"/>
        </w:trPr>
        <w:tc>
          <w:tcPr>
            <w:tcW w:w="17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65C38FA2"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Central ​</w:t>
            </w:r>
          </w:p>
        </w:tc>
        <w:tc>
          <w:tcPr>
            <w:tcW w:w="15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1A6A3975"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14​</w:t>
            </w:r>
          </w:p>
        </w:tc>
        <w:tc>
          <w:tcPr>
            <w:tcW w:w="11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782AFDCA"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530​</w:t>
            </w:r>
          </w:p>
        </w:tc>
      </w:tr>
      <w:tr w:rsidR="009E4536" w:rsidRPr="009E4536" w14:paraId="0B4A6295" w14:textId="77777777" w:rsidTr="009E4536">
        <w:trPr>
          <w:trHeight w:val="475"/>
        </w:trPr>
        <w:tc>
          <w:tcPr>
            <w:tcW w:w="17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EC2CC54"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Metro West ​</w:t>
            </w:r>
          </w:p>
        </w:tc>
        <w:tc>
          <w:tcPr>
            <w:tcW w:w="15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52257B0C"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7​</w:t>
            </w:r>
          </w:p>
        </w:tc>
        <w:tc>
          <w:tcPr>
            <w:tcW w:w="11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02EE4E9C"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278​</w:t>
            </w:r>
          </w:p>
        </w:tc>
      </w:tr>
      <w:tr w:rsidR="009E4536" w:rsidRPr="009E4536" w14:paraId="43BC64B3" w14:textId="77777777" w:rsidTr="009E4536">
        <w:trPr>
          <w:trHeight w:val="443"/>
        </w:trPr>
        <w:tc>
          <w:tcPr>
            <w:tcW w:w="17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FB4B28B"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Northeast ​</w:t>
            </w:r>
          </w:p>
        </w:tc>
        <w:tc>
          <w:tcPr>
            <w:tcW w:w="15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123242C0"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11​</w:t>
            </w:r>
          </w:p>
        </w:tc>
        <w:tc>
          <w:tcPr>
            <w:tcW w:w="11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2D377626"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287​</w:t>
            </w:r>
          </w:p>
        </w:tc>
      </w:tr>
      <w:tr w:rsidR="009E4536" w:rsidRPr="009E4536" w14:paraId="05506B0E" w14:textId="77777777" w:rsidTr="009E4536">
        <w:trPr>
          <w:trHeight w:val="443"/>
        </w:trPr>
        <w:tc>
          <w:tcPr>
            <w:tcW w:w="17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2D6FF926"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Southeast ​</w:t>
            </w:r>
          </w:p>
        </w:tc>
        <w:tc>
          <w:tcPr>
            <w:tcW w:w="15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BB603A4"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11​</w:t>
            </w:r>
          </w:p>
        </w:tc>
        <w:tc>
          <w:tcPr>
            <w:tcW w:w="11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50B68671"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320​</w:t>
            </w:r>
          </w:p>
        </w:tc>
      </w:tr>
      <w:tr w:rsidR="009E4536" w:rsidRPr="009E4536" w14:paraId="6E190E68" w14:textId="77777777" w:rsidTr="009E4536">
        <w:trPr>
          <w:trHeight w:val="443"/>
        </w:trPr>
        <w:tc>
          <w:tcPr>
            <w:tcW w:w="17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7927AEEE"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Western ​</w:t>
            </w:r>
          </w:p>
        </w:tc>
        <w:tc>
          <w:tcPr>
            <w:tcW w:w="158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026EDF2B"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8​</w:t>
            </w:r>
          </w:p>
        </w:tc>
        <w:tc>
          <w:tcPr>
            <w:tcW w:w="11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72742E17"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339​</w:t>
            </w:r>
          </w:p>
        </w:tc>
      </w:tr>
      <w:tr w:rsidR="009E4536" w:rsidRPr="009E4536" w14:paraId="40614102" w14:textId="77777777" w:rsidTr="009E4536">
        <w:trPr>
          <w:trHeight w:val="443"/>
        </w:trPr>
        <w:tc>
          <w:tcPr>
            <w:tcW w:w="1780" w:type="dxa"/>
            <w:tcBorders>
              <w:top w:val="single" w:sz="2" w:space="0" w:color="000000"/>
              <w:left w:val="single" w:sz="2" w:space="0" w:color="000000"/>
              <w:bottom w:val="single" w:sz="2" w:space="0" w:color="000000"/>
              <w:right w:val="single" w:sz="2" w:space="0" w:color="000000"/>
            </w:tcBorders>
            <w:shd w:val="clear" w:color="auto" w:fill="ACCBF9"/>
            <w:tcMar>
              <w:top w:w="56" w:type="dxa"/>
              <w:left w:w="112" w:type="dxa"/>
              <w:bottom w:w="56" w:type="dxa"/>
              <w:right w:w="112" w:type="dxa"/>
            </w:tcMar>
            <w:vAlign w:val="bottom"/>
            <w:hideMark/>
          </w:tcPr>
          <w:p w14:paraId="524AABD5"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Total​</w:t>
            </w:r>
          </w:p>
        </w:tc>
        <w:tc>
          <w:tcPr>
            <w:tcW w:w="1580" w:type="dxa"/>
            <w:tcBorders>
              <w:top w:val="single" w:sz="2" w:space="0" w:color="000000"/>
              <w:left w:val="single" w:sz="2" w:space="0" w:color="000000"/>
              <w:bottom w:val="single" w:sz="2" w:space="0" w:color="000000"/>
              <w:right w:val="single" w:sz="2" w:space="0" w:color="000000"/>
            </w:tcBorders>
            <w:shd w:val="clear" w:color="auto" w:fill="ACCBF9"/>
            <w:tcMar>
              <w:top w:w="56" w:type="dxa"/>
              <w:left w:w="112" w:type="dxa"/>
              <w:bottom w:w="56" w:type="dxa"/>
              <w:right w:w="112" w:type="dxa"/>
            </w:tcMar>
            <w:vAlign w:val="bottom"/>
            <w:hideMark/>
          </w:tcPr>
          <w:p w14:paraId="15AEF48E"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58​</w:t>
            </w:r>
          </w:p>
        </w:tc>
        <w:tc>
          <w:tcPr>
            <w:tcW w:w="1100" w:type="dxa"/>
            <w:tcBorders>
              <w:top w:val="single" w:sz="2" w:space="0" w:color="000000"/>
              <w:left w:val="single" w:sz="2" w:space="0" w:color="000000"/>
              <w:bottom w:val="single" w:sz="2" w:space="0" w:color="000000"/>
              <w:right w:val="single" w:sz="2" w:space="0" w:color="000000"/>
            </w:tcBorders>
            <w:shd w:val="clear" w:color="auto" w:fill="ACCBF9"/>
            <w:tcMar>
              <w:top w:w="56" w:type="dxa"/>
              <w:left w:w="112" w:type="dxa"/>
              <w:bottom w:w="56" w:type="dxa"/>
              <w:right w:w="112" w:type="dxa"/>
            </w:tcMar>
            <w:vAlign w:val="bottom"/>
            <w:hideMark/>
          </w:tcPr>
          <w:p w14:paraId="73E8ADD2"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2,002</w:t>
            </w:r>
            <w:r w:rsidRPr="009E4536">
              <w:rPr>
                <w:rFonts w:asciiTheme="majorHAnsi" w:hAnsiTheme="majorHAnsi" w:cstheme="majorHAnsi"/>
              </w:rPr>
              <w:t> ​</w:t>
            </w:r>
          </w:p>
        </w:tc>
      </w:tr>
    </w:tbl>
    <w:p w14:paraId="7184E0D1" w14:textId="77777777" w:rsidR="009E4536" w:rsidRDefault="009E4536" w:rsidP="006B2FAE">
      <w:pPr>
        <w:rPr>
          <w:rFonts w:asciiTheme="majorHAnsi" w:hAnsiTheme="majorHAnsi" w:cstheme="majorHAnsi"/>
        </w:rPr>
      </w:pPr>
    </w:p>
    <w:p w14:paraId="18302039" w14:textId="6FAAD7F1" w:rsidR="006B2FAE" w:rsidRDefault="009E4536">
      <w:pPr>
        <w:rPr>
          <w:rFonts w:asciiTheme="majorHAnsi" w:hAnsiTheme="majorHAnsi" w:cstheme="majorHAnsi"/>
        </w:rPr>
      </w:pPr>
      <w:r w:rsidRPr="009E4536">
        <w:rPr>
          <w:rFonts w:asciiTheme="majorHAnsi" w:hAnsiTheme="majorHAnsi" w:cstheme="majorHAnsi"/>
        </w:rPr>
        <w:t xml:space="preserve">[Map of Open Rest Homes in Massachusetts as of </w:t>
      </w:r>
      <w:proofErr w:type="gramStart"/>
      <w:r w:rsidRPr="009E4536">
        <w:rPr>
          <w:rFonts w:asciiTheme="majorHAnsi" w:hAnsiTheme="majorHAnsi" w:cstheme="majorHAnsi"/>
        </w:rPr>
        <w:t>December,</w:t>
      </w:r>
      <w:proofErr w:type="gramEnd"/>
      <w:r w:rsidRPr="009E4536">
        <w:rPr>
          <w:rFonts w:asciiTheme="majorHAnsi" w:hAnsiTheme="majorHAnsi" w:cstheme="majorHAnsi"/>
        </w:rPr>
        <w:t xml:space="preserve"> 2024</w:t>
      </w:r>
      <w:r>
        <w:rPr>
          <w:rFonts w:asciiTheme="majorHAnsi" w:hAnsiTheme="majorHAnsi" w:cstheme="majorHAnsi"/>
        </w:rPr>
        <w:t>]</w:t>
      </w:r>
    </w:p>
    <w:p w14:paraId="690BABDB" w14:textId="75717D8F" w:rsidR="001E1A3E" w:rsidRPr="00F178E4" w:rsidRDefault="009E4536">
      <w:pPr>
        <w:rPr>
          <w:rFonts w:asciiTheme="majorHAnsi" w:hAnsiTheme="majorHAnsi" w:cstheme="majorHAnsi"/>
        </w:rPr>
      </w:pPr>
      <w:r w:rsidRPr="009E4536">
        <w:rPr>
          <w:rFonts w:asciiTheme="majorHAnsi" w:hAnsiTheme="majorHAnsi" w:cstheme="majorHAnsi"/>
        </w:rPr>
        <w:t xml:space="preserve">Please refer to the </w:t>
      </w:r>
      <w:hyperlink r:id="rId16" w:history="1">
        <w:r w:rsidRPr="009E4536">
          <w:rPr>
            <w:rStyle w:val="Hyperlink"/>
            <w:rFonts w:asciiTheme="majorHAnsi" w:hAnsiTheme="majorHAnsi" w:cstheme="majorHAnsi"/>
          </w:rPr>
          <w:t>Bureau of Health Care Safety &amp; Quality Data Summary</w:t>
        </w:r>
      </w:hyperlink>
      <w:r w:rsidRPr="009E4536">
        <w:rPr>
          <w:rFonts w:asciiTheme="majorHAnsi" w:hAnsiTheme="majorHAnsi" w:cstheme="majorHAnsi"/>
        </w:rPr>
        <w:t xml:space="preserve">  Care Safety &amp; Quality</w:t>
      </w:r>
      <w:r w:rsidRPr="00F178E4">
        <w:rPr>
          <w:rFonts w:asciiTheme="majorHAnsi" w:hAnsiTheme="majorHAnsi" w:cstheme="majorHAnsi"/>
        </w:rPr>
        <w:t xml:space="preserve"> Data Summary presentation from the Task Force’s 1/10/2025 meeting for additional information.</w:t>
      </w:r>
    </w:p>
    <w:p w14:paraId="7FCCDC4D" w14:textId="77777777" w:rsidR="001E1A3E" w:rsidRPr="00F178E4" w:rsidRDefault="00000000">
      <w:pPr>
        <w:pStyle w:val="Heading1"/>
        <w:rPr>
          <w:rFonts w:cstheme="majorHAnsi"/>
        </w:rPr>
      </w:pPr>
      <w:r w:rsidRPr="00F178E4">
        <w:rPr>
          <w:rFonts w:cstheme="majorHAnsi"/>
        </w:rPr>
        <w:lastRenderedPageBreak/>
        <w:t>Slide 18</w:t>
      </w:r>
    </w:p>
    <w:p w14:paraId="712C7DD1" w14:textId="77777777" w:rsidR="001E1A3E" w:rsidRPr="00F178E4" w:rsidRDefault="00000000">
      <w:pPr>
        <w:rPr>
          <w:rFonts w:asciiTheme="majorHAnsi" w:hAnsiTheme="majorHAnsi" w:cstheme="majorHAnsi"/>
        </w:rPr>
      </w:pPr>
      <w:r w:rsidRPr="00F178E4">
        <w:rPr>
          <w:rFonts w:asciiTheme="majorHAnsi" w:hAnsiTheme="majorHAnsi" w:cstheme="majorHAnsi"/>
        </w:rPr>
        <w:t>Task Force’s Findings – Charges (ii) &amp; (iii) (cont.)</w:t>
      </w:r>
    </w:p>
    <w:tbl>
      <w:tblPr>
        <w:tblW w:w="4440" w:type="dxa"/>
        <w:tblCellMar>
          <w:left w:w="0" w:type="dxa"/>
          <w:right w:w="0" w:type="dxa"/>
        </w:tblCellMar>
        <w:tblLook w:val="0600" w:firstRow="0" w:lastRow="0" w:firstColumn="0" w:lastColumn="0" w:noHBand="1" w:noVBand="1"/>
      </w:tblPr>
      <w:tblGrid>
        <w:gridCol w:w="1727"/>
        <w:gridCol w:w="1708"/>
        <w:gridCol w:w="1005"/>
      </w:tblGrid>
      <w:tr w:rsidR="009E4536" w:rsidRPr="009E4536" w14:paraId="15AEBDC6" w14:textId="77777777" w:rsidTr="009E4536">
        <w:trPr>
          <w:trHeight w:val="504"/>
        </w:trPr>
        <w:tc>
          <w:tcPr>
            <w:tcW w:w="1720" w:type="dxa"/>
            <w:tcBorders>
              <w:top w:val="single" w:sz="2" w:space="0" w:color="000000"/>
              <w:left w:val="single" w:sz="2" w:space="0" w:color="000000"/>
              <w:bottom w:val="single" w:sz="2" w:space="0" w:color="000000"/>
              <w:right w:val="single" w:sz="2" w:space="0" w:color="000000"/>
            </w:tcBorders>
            <w:shd w:val="clear" w:color="auto" w:fill="BBBBBB"/>
            <w:tcMar>
              <w:top w:w="56" w:type="dxa"/>
              <w:left w:w="112" w:type="dxa"/>
              <w:bottom w:w="56" w:type="dxa"/>
              <w:right w:w="112" w:type="dxa"/>
            </w:tcMar>
            <w:vAlign w:val="center"/>
            <w:hideMark/>
          </w:tcPr>
          <w:p w14:paraId="1B3D2A6C"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EOHHS</w:t>
            </w:r>
            <w:r w:rsidRPr="009E4536">
              <w:rPr>
                <w:rFonts w:asciiTheme="majorHAnsi" w:hAnsiTheme="majorHAnsi" w:cstheme="majorHAnsi"/>
                <w:b/>
                <w:bCs/>
              </w:rPr>
              <w:br/>
              <w:t>Region</w:t>
            </w:r>
          </w:p>
        </w:tc>
        <w:tc>
          <w:tcPr>
            <w:tcW w:w="1700" w:type="dxa"/>
            <w:tcBorders>
              <w:top w:val="single" w:sz="2" w:space="0" w:color="000000"/>
              <w:left w:val="single" w:sz="2" w:space="0" w:color="000000"/>
              <w:bottom w:val="single" w:sz="2" w:space="0" w:color="000000"/>
              <w:right w:val="single" w:sz="2" w:space="0" w:color="000000"/>
            </w:tcBorders>
            <w:shd w:val="clear" w:color="auto" w:fill="BBBBBB"/>
            <w:tcMar>
              <w:top w:w="56" w:type="dxa"/>
              <w:left w:w="112" w:type="dxa"/>
              <w:bottom w:w="56" w:type="dxa"/>
              <w:right w:w="112" w:type="dxa"/>
            </w:tcMar>
            <w:vAlign w:val="center"/>
            <w:hideMark/>
          </w:tcPr>
          <w:p w14:paraId="149124B7"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SNFs with Level IV beds</w:t>
            </w:r>
            <w:r w:rsidRPr="009E4536">
              <w:rPr>
                <w:rFonts w:asciiTheme="majorHAnsi" w:hAnsiTheme="majorHAnsi" w:cstheme="majorHAnsi"/>
              </w:rPr>
              <w:t>​</w:t>
            </w:r>
          </w:p>
        </w:tc>
        <w:tc>
          <w:tcPr>
            <w:tcW w:w="1000" w:type="dxa"/>
            <w:tcBorders>
              <w:top w:val="single" w:sz="2" w:space="0" w:color="000000"/>
              <w:left w:val="single" w:sz="2" w:space="0" w:color="000000"/>
              <w:bottom w:val="single" w:sz="2" w:space="0" w:color="000000"/>
              <w:right w:val="single" w:sz="2" w:space="0" w:color="000000"/>
            </w:tcBorders>
            <w:shd w:val="clear" w:color="auto" w:fill="BBBBBB"/>
            <w:tcMar>
              <w:top w:w="56" w:type="dxa"/>
              <w:left w:w="112" w:type="dxa"/>
              <w:bottom w:w="56" w:type="dxa"/>
              <w:right w:w="112" w:type="dxa"/>
            </w:tcMar>
            <w:vAlign w:val="center"/>
            <w:hideMark/>
          </w:tcPr>
          <w:p w14:paraId="1F3A2BCB"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Total</w:t>
            </w:r>
            <w:r w:rsidRPr="009E4536">
              <w:rPr>
                <w:rFonts w:asciiTheme="majorHAnsi" w:hAnsiTheme="majorHAnsi" w:cstheme="majorHAnsi"/>
                <w:b/>
                <w:bCs/>
              </w:rPr>
              <w:br/>
              <w:t>Beds</w:t>
            </w:r>
            <w:r w:rsidRPr="009E4536">
              <w:rPr>
                <w:rFonts w:asciiTheme="majorHAnsi" w:hAnsiTheme="majorHAnsi" w:cstheme="majorHAnsi"/>
              </w:rPr>
              <w:t>​</w:t>
            </w:r>
          </w:p>
        </w:tc>
      </w:tr>
      <w:tr w:rsidR="009E4536" w:rsidRPr="009E4536" w14:paraId="36645DE4" w14:textId="77777777" w:rsidTr="009E4536">
        <w:trPr>
          <w:trHeight w:val="443"/>
        </w:trPr>
        <w:tc>
          <w:tcPr>
            <w:tcW w:w="17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6BB32327"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Boston ​</w:t>
            </w:r>
          </w:p>
        </w:tc>
        <w:tc>
          <w:tcPr>
            <w:tcW w:w="17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52588148"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0</w:t>
            </w:r>
          </w:p>
        </w:tc>
        <w:tc>
          <w:tcPr>
            <w:tcW w:w="10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28649993"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0</w:t>
            </w:r>
          </w:p>
        </w:tc>
      </w:tr>
      <w:tr w:rsidR="009E4536" w:rsidRPr="009E4536" w14:paraId="407A5E64" w14:textId="77777777" w:rsidTr="009E4536">
        <w:trPr>
          <w:trHeight w:val="443"/>
        </w:trPr>
        <w:tc>
          <w:tcPr>
            <w:tcW w:w="17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4372C43A"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Central ​</w:t>
            </w:r>
          </w:p>
        </w:tc>
        <w:tc>
          <w:tcPr>
            <w:tcW w:w="17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24DEBB17"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2​</w:t>
            </w:r>
          </w:p>
        </w:tc>
        <w:tc>
          <w:tcPr>
            <w:tcW w:w="10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0FBC28EA"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85</w:t>
            </w:r>
          </w:p>
        </w:tc>
      </w:tr>
      <w:tr w:rsidR="009E4536" w:rsidRPr="009E4536" w14:paraId="169BB520" w14:textId="77777777" w:rsidTr="009E4536">
        <w:trPr>
          <w:trHeight w:val="475"/>
        </w:trPr>
        <w:tc>
          <w:tcPr>
            <w:tcW w:w="17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18403D0"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Metro West ​</w:t>
            </w:r>
          </w:p>
        </w:tc>
        <w:tc>
          <w:tcPr>
            <w:tcW w:w="17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093021A"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7​</w:t>
            </w:r>
          </w:p>
        </w:tc>
        <w:tc>
          <w:tcPr>
            <w:tcW w:w="10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12C47A7C"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282</w:t>
            </w:r>
          </w:p>
        </w:tc>
      </w:tr>
      <w:tr w:rsidR="009E4536" w:rsidRPr="009E4536" w14:paraId="05540818" w14:textId="77777777" w:rsidTr="009E4536">
        <w:trPr>
          <w:trHeight w:val="443"/>
        </w:trPr>
        <w:tc>
          <w:tcPr>
            <w:tcW w:w="17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6E804A70"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Northeast ​</w:t>
            </w:r>
          </w:p>
        </w:tc>
        <w:tc>
          <w:tcPr>
            <w:tcW w:w="17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4AB4A545"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4​</w:t>
            </w:r>
          </w:p>
        </w:tc>
        <w:tc>
          <w:tcPr>
            <w:tcW w:w="10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0F352834"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185</w:t>
            </w:r>
          </w:p>
        </w:tc>
      </w:tr>
      <w:tr w:rsidR="009E4536" w:rsidRPr="009E4536" w14:paraId="2BB0ACEE" w14:textId="77777777" w:rsidTr="009E4536">
        <w:trPr>
          <w:trHeight w:val="443"/>
        </w:trPr>
        <w:tc>
          <w:tcPr>
            <w:tcW w:w="17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03C732DA"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Southeast ​</w:t>
            </w:r>
          </w:p>
        </w:tc>
        <w:tc>
          <w:tcPr>
            <w:tcW w:w="17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0BF6762B"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3​</w:t>
            </w:r>
          </w:p>
        </w:tc>
        <w:tc>
          <w:tcPr>
            <w:tcW w:w="10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0920001A"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72</w:t>
            </w:r>
          </w:p>
        </w:tc>
      </w:tr>
      <w:tr w:rsidR="009E4536" w:rsidRPr="009E4536" w14:paraId="7648BAE3" w14:textId="77777777" w:rsidTr="009E4536">
        <w:trPr>
          <w:trHeight w:val="443"/>
        </w:trPr>
        <w:tc>
          <w:tcPr>
            <w:tcW w:w="172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3E6E4E1"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Western​</w:t>
            </w:r>
          </w:p>
        </w:tc>
        <w:tc>
          <w:tcPr>
            <w:tcW w:w="17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BE74AFA"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0</w:t>
            </w:r>
          </w:p>
        </w:tc>
        <w:tc>
          <w:tcPr>
            <w:tcW w:w="1000" w:type="dxa"/>
            <w:tcBorders>
              <w:top w:val="single" w:sz="2" w:space="0" w:color="000000"/>
              <w:left w:val="single" w:sz="2" w:space="0" w:color="000000"/>
              <w:bottom w:val="single" w:sz="2" w:space="0" w:color="000000"/>
              <w:right w:val="single" w:sz="2" w:space="0" w:color="000000"/>
            </w:tcBorders>
            <w:shd w:val="clear" w:color="auto" w:fill="auto"/>
            <w:tcMar>
              <w:top w:w="56" w:type="dxa"/>
              <w:left w:w="112" w:type="dxa"/>
              <w:bottom w:w="56" w:type="dxa"/>
              <w:right w:w="112" w:type="dxa"/>
            </w:tcMar>
            <w:vAlign w:val="center"/>
            <w:hideMark/>
          </w:tcPr>
          <w:p w14:paraId="33343E59"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0</w:t>
            </w:r>
          </w:p>
        </w:tc>
      </w:tr>
      <w:tr w:rsidR="009E4536" w:rsidRPr="009E4536" w14:paraId="7E5826C1" w14:textId="77777777" w:rsidTr="009E4536">
        <w:trPr>
          <w:trHeight w:val="443"/>
        </w:trPr>
        <w:tc>
          <w:tcPr>
            <w:tcW w:w="1720" w:type="dxa"/>
            <w:tcBorders>
              <w:top w:val="single" w:sz="2" w:space="0" w:color="000000"/>
              <w:left w:val="single" w:sz="2" w:space="0" w:color="000000"/>
              <w:bottom w:val="single" w:sz="2" w:space="0" w:color="000000"/>
              <w:right w:val="single" w:sz="2" w:space="0" w:color="000000"/>
            </w:tcBorders>
            <w:shd w:val="clear" w:color="auto" w:fill="ACCBF9"/>
            <w:tcMar>
              <w:top w:w="56" w:type="dxa"/>
              <w:left w:w="112" w:type="dxa"/>
              <w:bottom w:w="56" w:type="dxa"/>
              <w:right w:w="112" w:type="dxa"/>
            </w:tcMar>
            <w:vAlign w:val="bottom"/>
            <w:hideMark/>
          </w:tcPr>
          <w:p w14:paraId="5F369F82"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Total​</w:t>
            </w:r>
          </w:p>
        </w:tc>
        <w:tc>
          <w:tcPr>
            <w:tcW w:w="1700" w:type="dxa"/>
            <w:tcBorders>
              <w:top w:val="single" w:sz="2" w:space="0" w:color="000000"/>
              <w:left w:val="single" w:sz="2" w:space="0" w:color="000000"/>
              <w:bottom w:val="single" w:sz="2" w:space="0" w:color="000000"/>
              <w:right w:val="single" w:sz="2" w:space="0" w:color="000000"/>
            </w:tcBorders>
            <w:shd w:val="clear" w:color="auto" w:fill="ACCBF9"/>
            <w:tcMar>
              <w:top w:w="56" w:type="dxa"/>
              <w:left w:w="112" w:type="dxa"/>
              <w:bottom w:w="56" w:type="dxa"/>
              <w:right w:w="112" w:type="dxa"/>
            </w:tcMar>
            <w:vAlign w:val="bottom"/>
            <w:hideMark/>
          </w:tcPr>
          <w:p w14:paraId="4D92209B"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16​</w:t>
            </w:r>
          </w:p>
        </w:tc>
        <w:tc>
          <w:tcPr>
            <w:tcW w:w="1000" w:type="dxa"/>
            <w:tcBorders>
              <w:top w:val="single" w:sz="2" w:space="0" w:color="000000"/>
              <w:left w:val="single" w:sz="2" w:space="0" w:color="000000"/>
              <w:bottom w:val="single" w:sz="2" w:space="0" w:color="000000"/>
              <w:right w:val="single" w:sz="2" w:space="0" w:color="000000"/>
            </w:tcBorders>
            <w:shd w:val="clear" w:color="auto" w:fill="ACCBF9"/>
            <w:tcMar>
              <w:top w:w="56" w:type="dxa"/>
              <w:left w:w="112" w:type="dxa"/>
              <w:bottom w:w="56" w:type="dxa"/>
              <w:right w:w="112" w:type="dxa"/>
            </w:tcMar>
            <w:vAlign w:val="bottom"/>
            <w:hideMark/>
          </w:tcPr>
          <w:p w14:paraId="79F9C71A"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624</w:t>
            </w:r>
            <w:r w:rsidRPr="009E4536">
              <w:rPr>
                <w:rFonts w:asciiTheme="majorHAnsi" w:hAnsiTheme="majorHAnsi" w:cstheme="majorHAnsi"/>
              </w:rPr>
              <w:t>​</w:t>
            </w:r>
          </w:p>
        </w:tc>
      </w:tr>
    </w:tbl>
    <w:p w14:paraId="0A6E6C18" w14:textId="77777777" w:rsidR="009E4536" w:rsidRDefault="009E4536" w:rsidP="006B2FAE">
      <w:pPr>
        <w:rPr>
          <w:rFonts w:asciiTheme="majorHAnsi" w:hAnsiTheme="majorHAnsi" w:cstheme="majorHAnsi"/>
          <w:highlight w:val="yellow"/>
        </w:rPr>
      </w:pPr>
    </w:p>
    <w:p w14:paraId="79B14168" w14:textId="22493962" w:rsidR="006B2FAE" w:rsidRDefault="006B2FAE" w:rsidP="006B2FAE">
      <w:pPr>
        <w:rPr>
          <w:rFonts w:asciiTheme="majorHAnsi" w:hAnsiTheme="majorHAnsi" w:cstheme="majorHAnsi"/>
        </w:rPr>
      </w:pPr>
      <w:r w:rsidRPr="00985EFC">
        <w:rPr>
          <w:rFonts w:asciiTheme="majorHAnsi" w:hAnsiTheme="majorHAnsi" w:cstheme="majorHAnsi"/>
        </w:rPr>
        <w:t>[</w:t>
      </w:r>
      <w:r w:rsidR="009E4536" w:rsidRPr="00985EFC">
        <w:rPr>
          <w:rFonts w:asciiTheme="majorHAnsi" w:hAnsiTheme="majorHAnsi" w:cstheme="majorHAnsi"/>
        </w:rPr>
        <w:t>M</w:t>
      </w:r>
      <w:r w:rsidRPr="00985EFC">
        <w:rPr>
          <w:rFonts w:asciiTheme="majorHAnsi" w:hAnsiTheme="majorHAnsi" w:cstheme="majorHAnsi"/>
        </w:rPr>
        <w:t>ap</w:t>
      </w:r>
      <w:r w:rsidR="009E4536" w:rsidRPr="00985EFC">
        <w:rPr>
          <w:rFonts w:asciiTheme="majorHAnsi" w:hAnsiTheme="majorHAnsi" w:cstheme="majorHAnsi"/>
        </w:rPr>
        <w:t xml:space="preserve"> of </w:t>
      </w:r>
      <w:r w:rsidR="00985EFC">
        <w:rPr>
          <w:rFonts w:asciiTheme="majorHAnsi" w:hAnsiTheme="majorHAnsi" w:cstheme="majorHAnsi"/>
        </w:rPr>
        <w:t xml:space="preserve">Nursing Homes in </w:t>
      </w:r>
      <w:r w:rsidR="009E4536" w:rsidRPr="00985EFC">
        <w:rPr>
          <w:rFonts w:asciiTheme="majorHAnsi" w:hAnsiTheme="majorHAnsi" w:cstheme="majorHAnsi"/>
        </w:rPr>
        <w:t>Massachusetts</w:t>
      </w:r>
      <w:r w:rsidR="00985EFC">
        <w:rPr>
          <w:rFonts w:asciiTheme="majorHAnsi" w:hAnsiTheme="majorHAnsi" w:cstheme="majorHAnsi"/>
        </w:rPr>
        <w:t xml:space="preserve"> with Level 4 beds (2015-present)</w:t>
      </w:r>
      <w:r w:rsidRPr="00985EFC">
        <w:rPr>
          <w:rFonts w:asciiTheme="majorHAnsi" w:hAnsiTheme="majorHAnsi" w:cstheme="majorHAnsi"/>
        </w:rPr>
        <w:t>]</w:t>
      </w:r>
    </w:p>
    <w:p w14:paraId="01A0A001" w14:textId="6351582D" w:rsidR="001E1A3E" w:rsidRDefault="00000000">
      <w:pPr>
        <w:rPr>
          <w:rFonts w:asciiTheme="majorHAnsi" w:hAnsiTheme="majorHAnsi" w:cstheme="majorHAnsi"/>
        </w:rPr>
      </w:pPr>
      <w:r w:rsidRPr="009E4536">
        <w:rPr>
          <w:rFonts w:asciiTheme="majorHAnsi" w:hAnsiTheme="majorHAnsi" w:cstheme="majorHAnsi"/>
        </w:rPr>
        <w:t xml:space="preserve">Please refer to the </w:t>
      </w:r>
      <w:hyperlink r:id="rId17" w:history="1">
        <w:r w:rsidR="009E4536" w:rsidRPr="009E4536">
          <w:rPr>
            <w:rStyle w:val="Hyperlink"/>
            <w:rFonts w:asciiTheme="majorHAnsi" w:hAnsiTheme="majorHAnsi" w:cstheme="majorHAnsi"/>
          </w:rPr>
          <w:t>Bureau of Health Care Safety &amp; Quality Data Summary</w:t>
        </w:r>
      </w:hyperlink>
      <w:r w:rsidR="009E4536" w:rsidRPr="009E4536">
        <w:rPr>
          <w:rFonts w:asciiTheme="majorHAnsi" w:hAnsiTheme="majorHAnsi" w:cstheme="majorHAnsi"/>
        </w:rPr>
        <w:t xml:space="preserve"> </w:t>
      </w:r>
      <w:r w:rsidRPr="009E4536">
        <w:rPr>
          <w:rFonts w:asciiTheme="majorHAnsi" w:hAnsiTheme="majorHAnsi" w:cstheme="majorHAnsi"/>
        </w:rPr>
        <w:t xml:space="preserve"> Care Safety &amp; Quality</w:t>
      </w:r>
      <w:r w:rsidRPr="00F178E4">
        <w:rPr>
          <w:rFonts w:asciiTheme="majorHAnsi" w:hAnsiTheme="majorHAnsi" w:cstheme="majorHAnsi"/>
        </w:rPr>
        <w:t xml:space="preserve"> Data Summary presentation from the Task Force’s 1/10/2025 meeting for additional information.</w:t>
      </w:r>
    </w:p>
    <w:p w14:paraId="0B944BE6" w14:textId="77777777" w:rsidR="00985EFC" w:rsidRPr="00F178E4" w:rsidRDefault="00985EFC">
      <w:pPr>
        <w:rPr>
          <w:rFonts w:asciiTheme="majorHAnsi" w:hAnsiTheme="majorHAnsi" w:cstheme="majorHAnsi"/>
        </w:rPr>
      </w:pPr>
    </w:p>
    <w:p w14:paraId="0A26F0ED" w14:textId="77777777" w:rsidR="001E1A3E" w:rsidRPr="00F178E4" w:rsidRDefault="00000000">
      <w:pPr>
        <w:pStyle w:val="Heading1"/>
        <w:rPr>
          <w:rFonts w:cstheme="majorHAnsi"/>
        </w:rPr>
      </w:pPr>
      <w:r w:rsidRPr="00F178E4">
        <w:rPr>
          <w:rFonts w:cstheme="majorHAnsi"/>
        </w:rPr>
        <w:t>Slide 19</w:t>
      </w:r>
    </w:p>
    <w:p w14:paraId="6BCA4343" w14:textId="77777777" w:rsidR="009E4536" w:rsidRPr="00F178E4" w:rsidRDefault="009E4536" w:rsidP="009E4536">
      <w:pPr>
        <w:rPr>
          <w:rFonts w:asciiTheme="majorHAnsi" w:hAnsiTheme="majorHAnsi" w:cstheme="majorHAnsi"/>
        </w:rPr>
      </w:pPr>
      <w:r w:rsidRPr="00F178E4">
        <w:rPr>
          <w:rFonts w:asciiTheme="majorHAnsi" w:hAnsiTheme="majorHAnsi" w:cstheme="majorHAnsi"/>
        </w:rPr>
        <w:t>Task Force’s Findings – Charge (iv)</w:t>
      </w:r>
    </w:p>
    <w:p w14:paraId="12F56E2C" w14:textId="77777777" w:rsidR="001E1A3E" w:rsidRPr="009E4536" w:rsidRDefault="00000000">
      <w:pPr>
        <w:rPr>
          <w:rFonts w:asciiTheme="majorHAnsi" w:hAnsiTheme="majorHAnsi" w:cstheme="majorHAnsi"/>
          <w:u w:val="single"/>
        </w:rPr>
      </w:pPr>
      <w:r w:rsidRPr="009E4536">
        <w:rPr>
          <w:rFonts w:asciiTheme="majorHAnsi" w:hAnsiTheme="majorHAnsi" w:cstheme="majorHAnsi"/>
          <w:u w:val="single"/>
        </w:rPr>
        <w:t>Charge</w:t>
      </w:r>
    </w:p>
    <w:p w14:paraId="6C904431" w14:textId="35096F83" w:rsidR="001E1A3E" w:rsidRPr="009E4536" w:rsidRDefault="00000000" w:rsidP="00D64948">
      <w:pPr>
        <w:pStyle w:val="ListParagraph"/>
        <w:numPr>
          <w:ilvl w:val="0"/>
          <w:numId w:val="33"/>
        </w:numPr>
        <w:rPr>
          <w:rFonts w:asciiTheme="majorHAnsi" w:hAnsiTheme="majorHAnsi" w:cstheme="majorHAnsi"/>
        </w:rPr>
      </w:pPr>
      <w:r w:rsidRPr="009E4536">
        <w:rPr>
          <w:rFonts w:asciiTheme="majorHAnsi" w:hAnsiTheme="majorHAnsi" w:cstheme="majorHAnsi"/>
        </w:rPr>
        <w:t>Review rest home closures since 2015</w:t>
      </w:r>
    </w:p>
    <w:p w14:paraId="759508D1" w14:textId="77777777" w:rsidR="001E1A3E" w:rsidRPr="009E4536" w:rsidRDefault="00000000">
      <w:pPr>
        <w:rPr>
          <w:rFonts w:asciiTheme="majorHAnsi" w:hAnsiTheme="majorHAnsi" w:cstheme="majorHAnsi"/>
          <w:u w:val="single"/>
        </w:rPr>
      </w:pPr>
      <w:r w:rsidRPr="009E4536">
        <w:rPr>
          <w:rFonts w:asciiTheme="majorHAnsi" w:hAnsiTheme="majorHAnsi" w:cstheme="majorHAnsi"/>
          <w:u w:val="single"/>
        </w:rPr>
        <w:t>Findings</w:t>
      </w:r>
    </w:p>
    <w:p w14:paraId="718029A4" w14:textId="77777777" w:rsidR="001E1A3E" w:rsidRPr="009E4536" w:rsidRDefault="00000000" w:rsidP="00D64948">
      <w:pPr>
        <w:pStyle w:val="ListParagraph"/>
        <w:numPr>
          <w:ilvl w:val="0"/>
          <w:numId w:val="34"/>
        </w:numPr>
        <w:rPr>
          <w:rFonts w:asciiTheme="majorHAnsi" w:hAnsiTheme="majorHAnsi" w:cstheme="majorHAnsi"/>
        </w:rPr>
      </w:pPr>
      <w:r w:rsidRPr="009E4536">
        <w:rPr>
          <w:rFonts w:asciiTheme="majorHAnsi" w:hAnsiTheme="majorHAnsi" w:cstheme="majorHAnsi"/>
        </w:rPr>
        <w:t>Since 2015, a total of 16 of 74 (22%) DPH-licensed rest homes operating in the Commonwealth have closed. Of these 16 facilities, 11 closed between 2015-2019 and5 closed between 2020-2022. No rest home closures were observed in 2023 or 2024.</w:t>
      </w:r>
    </w:p>
    <w:p w14:paraId="5CCA722F" w14:textId="77777777" w:rsidR="001E1A3E" w:rsidRPr="009E4536" w:rsidRDefault="00000000" w:rsidP="00D64948">
      <w:pPr>
        <w:pStyle w:val="ListParagraph"/>
        <w:numPr>
          <w:ilvl w:val="0"/>
          <w:numId w:val="34"/>
        </w:numPr>
        <w:rPr>
          <w:rFonts w:asciiTheme="majorHAnsi" w:hAnsiTheme="majorHAnsi" w:cstheme="majorHAnsi"/>
        </w:rPr>
      </w:pPr>
      <w:r w:rsidRPr="009E4536">
        <w:rPr>
          <w:rFonts w:asciiTheme="majorHAnsi" w:hAnsiTheme="majorHAnsi" w:cstheme="majorHAnsi"/>
        </w:rPr>
        <w:lastRenderedPageBreak/>
        <w:t>Closures of these facilities resulted in a 17% reduction in beds from 2,404 beds in2015 to 2,002 beds in 2024 (last available data).</w:t>
      </w:r>
    </w:p>
    <w:p w14:paraId="5D8B6DC8" w14:textId="77777777" w:rsidR="001E1A3E" w:rsidRPr="009E4536" w:rsidRDefault="00000000" w:rsidP="00D64948">
      <w:pPr>
        <w:pStyle w:val="ListParagraph"/>
        <w:numPr>
          <w:ilvl w:val="0"/>
          <w:numId w:val="34"/>
        </w:numPr>
        <w:rPr>
          <w:rFonts w:asciiTheme="majorHAnsi" w:hAnsiTheme="majorHAnsi" w:cstheme="majorHAnsi"/>
        </w:rPr>
      </w:pPr>
      <w:r w:rsidRPr="009E4536">
        <w:rPr>
          <w:rFonts w:asciiTheme="majorHAnsi" w:hAnsiTheme="majorHAnsi" w:cstheme="majorHAnsi"/>
        </w:rPr>
        <w:t>The Task Force discussed that while outside the scope of their specific charge, the period from 1998 to 2015 saw a larger number of facility closures.</w:t>
      </w:r>
    </w:p>
    <w:p w14:paraId="48FF8366" w14:textId="77777777" w:rsidR="001E1A3E" w:rsidRPr="009E4536" w:rsidRDefault="00000000" w:rsidP="00D64948">
      <w:pPr>
        <w:pStyle w:val="ListParagraph"/>
        <w:numPr>
          <w:ilvl w:val="0"/>
          <w:numId w:val="34"/>
        </w:numPr>
        <w:rPr>
          <w:rFonts w:asciiTheme="majorHAnsi" w:hAnsiTheme="majorHAnsi" w:cstheme="majorHAnsi"/>
        </w:rPr>
      </w:pPr>
      <w:r w:rsidRPr="009E4536">
        <w:rPr>
          <w:rFonts w:asciiTheme="majorHAnsi" w:hAnsiTheme="majorHAnsi" w:cstheme="majorHAnsi"/>
        </w:rPr>
        <w:t>Testimony provided to the Task Force during its meetings touched on some of the reasons why facilities such as rest homes close, which include financial challenges and the retirement or passing of the owner or administrator of a private/for-profit rest home.</w:t>
      </w:r>
    </w:p>
    <w:tbl>
      <w:tblPr>
        <w:tblW w:w="5520" w:type="dxa"/>
        <w:tblCellMar>
          <w:left w:w="0" w:type="dxa"/>
          <w:right w:w="0" w:type="dxa"/>
        </w:tblCellMar>
        <w:tblLook w:val="0600" w:firstRow="0" w:lastRow="0" w:firstColumn="0" w:lastColumn="0" w:noHBand="1" w:noVBand="1"/>
      </w:tblPr>
      <w:tblGrid>
        <w:gridCol w:w="1920"/>
        <w:gridCol w:w="1940"/>
        <w:gridCol w:w="1660"/>
      </w:tblGrid>
      <w:tr w:rsidR="009E4536" w:rsidRPr="009E4536" w14:paraId="21A2C3E1" w14:textId="77777777" w:rsidTr="009E4536">
        <w:trPr>
          <w:trHeight w:val="721"/>
        </w:trPr>
        <w:tc>
          <w:tcPr>
            <w:tcW w:w="1920" w:type="dxa"/>
            <w:tcBorders>
              <w:top w:val="single" w:sz="2" w:space="0" w:color="000000"/>
              <w:left w:val="single" w:sz="2" w:space="0" w:color="000000"/>
              <w:bottom w:val="single" w:sz="2" w:space="0" w:color="000000"/>
              <w:right w:val="single" w:sz="2" w:space="0" w:color="000000"/>
            </w:tcBorders>
            <w:shd w:val="clear" w:color="auto" w:fill="BBBBBB"/>
            <w:tcMar>
              <w:top w:w="70" w:type="dxa"/>
              <w:left w:w="141" w:type="dxa"/>
              <w:bottom w:w="70" w:type="dxa"/>
              <w:right w:w="141" w:type="dxa"/>
            </w:tcMar>
            <w:vAlign w:val="center"/>
            <w:hideMark/>
          </w:tcPr>
          <w:p w14:paraId="7FCA61B0"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 xml:space="preserve">Region </w:t>
            </w:r>
            <w:r w:rsidRPr="009E4536">
              <w:rPr>
                <w:rFonts w:asciiTheme="majorHAnsi" w:hAnsiTheme="majorHAnsi" w:cstheme="majorHAnsi"/>
              </w:rPr>
              <w:t>​</w:t>
            </w:r>
          </w:p>
        </w:tc>
        <w:tc>
          <w:tcPr>
            <w:tcW w:w="1940" w:type="dxa"/>
            <w:tcBorders>
              <w:top w:val="single" w:sz="2" w:space="0" w:color="000000"/>
              <w:left w:val="single" w:sz="2" w:space="0" w:color="000000"/>
              <w:bottom w:val="single" w:sz="2" w:space="0" w:color="000000"/>
              <w:right w:val="single" w:sz="2" w:space="0" w:color="000000"/>
            </w:tcBorders>
            <w:shd w:val="clear" w:color="auto" w:fill="BBBBBB"/>
            <w:tcMar>
              <w:top w:w="70" w:type="dxa"/>
              <w:left w:w="141" w:type="dxa"/>
              <w:bottom w:w="70" w:type="dxa"/>
              <w:right w:w="141" w:type="dxa"/>
            </w:tcMar>
            <w:vAlign w:val="center"/>
            <w:hideMark/>
          </w:tcPr>
          <w:p w14:paraId="121295F3"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RH Closures</w:t>
            </w:r>
            <w:r w:rsidRPr="009E4536">
              <w:rPr>
                <w:rFonts w:asciiTheme="majorHAnsi" w:hAnsiTheme="majorHAnsi" w:cstheme="majorHAnsi"/>
                <w:b/>
                <w:bCs/>
              </w:rPr>
              <w:br/>
              <w:t>(since 2015</w:t>
            </w:r>
            <w:r w:rsidRPr="009E4536">
              <w:rPr>
                <w:rFonts w:asciiTheme="majorHAnsi" w:hAnsiTheme="majorHAnsi" w:cstheme="majorHAnsi"/>
              </w:rPr>
              <w:t>​)</w:t>
            </w:r>
          </w:p>
        </w:tc>
        <w:tc>
          <w:tcPr>
            <w:tcW w:w="1660" w:type="dxa"/>
            <w:tcBorders>
              <w:top w:val="single" w:sz="2" w:space="0" w:color="000000"/>
              <w:left w:val="single" w:sz="2" w:space="0" w:color="000000"/>
              <w:bottom w:val="single" w:sz="2" w:space="0" w:color="000000"/>
              <w:right w:val="single" w:sz="2" w:space="0" w:color="000000"/>
            </w:tcBorders>
            <w:shd w:val="clear" w:color="auto" w:fill="BBBBBB"/>
            <w:tcMar>
              <w:top w:w="70" w:type="dxa"/>
              <w:left w:w="141" w:type="dxa"/>
              <w:bottom w:w="70" w:type="dxa"/>
              <w:right w:w="141" w:type="dxa"/>
            </w:tcMar>
            <w:vAlign w:val="center"/>
            <w:hideMark/>
          </w:tcPr>
          <w:p w14:paraId="6E0F4C3D"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Total</w:t>
            </w:r>
          </w:p>
          <w:p w14:paraId="5BECAC81"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Beds</w:t>
            </w:r>
            <w:r w:rsidRPr="009E4536">
              <w:rPr>
                <w:rFonts w:asciiTheme="majorHAnsi" w:hAnsiTheme="majorHAnsi" w:cstheme="majorHAnsi"/>
              </w:rPr>
              <w:t>​</w:t>
            </w:r>
          </w:p>
        </w:tc>
      </w:tr>
      <w:tr w:rsidR="009E4536" w:rsidRPr="009E4536" w14:paraId="4C6DA394" w14:textId="77777777" w:rsidTr="009E4536">
        <w:trPr>
          <w:trHeight w:val="531"/>
        </w:trPr>
        <w:tc>
          <w:tcPr>
            <w:tcW w:w="192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7C41619B"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Central ​</w:t>
            </w:r>
          </w:p>
        </w:tc>
        <w:tc>
          <w:tcPr>
            <w:tcW w:w="19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734A7376"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5​</w:t>
            </w:r>
          </w:p>
        </w:tc>
        <w:tc>
          <w:tcPr>
            <w:tcW w:w="166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0A3C7553"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112​</w:t>
            </w:r>
          </w:p>
        </w:tc>
      </w:tr>
      <w:tr w:rsidR="009E4536" w:rsidRPr="009E4536" w14:paraId="42E8B5F9" w14:textId="77777777" w:rsidTr="009E4536">
        <w:trPr>
          <w:trHeight w:val="531"/>
        </w:trPr>
        <w:tc>
          <w:tcPr>
            <w:tcW w:w="192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252947F9"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Metro West ​</w:t>
            </w:r>
          </w:p>
        </w:tc>
        <w:tc>
          <w:tcPr>
            <w:tcW w:w="19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3BBAE1D1"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6​</w:t>
            </w:r>
          </w:p>
        </w:tc>
        <w:tc>
          <w:tcPr>
            <w:tcW w:w="166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0B75D7E9"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145​</w:t>
            </w:r>
          </w:p>
        </w:tc>
      </w:tr>
      <w:tr w:rsidR="009E4536" w:rsidRPr="009E4536" w14:paraId="67CE7461" w14:textId="77777777" w:rsidTr="009E4536">
        <w:trPr>
          <w:trHeight w:val="531"/>
        </w:trPr>
        <w:tc>
          <w:tcPr>
            <w:tcW w:w="192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7499F15D"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Northeast ​</w:t>
            </w:r>
          </w:p>
        </w:tc>
        <w:tc>
          <w:tcPr>
            <w:tcW w:w="19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50CD69CE"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3​</w:t>
            </w:r>
          </w:p>
        </w:tc>
        <w:tc>
          <w:tcPr>
            <w:tcW w:w="166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7360E8C3"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93​</w:t>
            </w:r>
          </w:p>
        </w:tc>
      </w:tr>
      <w:tr w:rsidR="009E4536" w:rsidRPr="009E4536" w14:paraId="4B27488A" w14:textId="77777777" w:rsidTr="009E4536">
        <w:trPr>
          <w:trHeight w:val="531"/>
        </w:trPr>
        <w:tc>
          <w:tcPr>
            <w:tcW w:w="192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76538AAC"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Southeast ​</w:t>
            </w:r>
          </w:p>
        </w:tc>
        <w:tc>
          <w:tcPr>
            <w:tcW w:w="194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7DFBD5BA"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2​</w:t>
            </w:r>
          </w:p>
        </w:tc>
        <w:tc>
          <w:tcPr>
            <w:tcW w:w="1660" w:type="dxa"/>
            <w:tcBorders>
              <w:top w:val="single" w:sz="2" w:space="0" w:color="000000"/>
              <w:left w:val="single" w:sz="2" w:space="0" w:color="000000"/>
              <w:bottom w:val="single" w:sz="2" w:space="0" w:color="000000"/>
              <w:right w:val="single" w:sz="2" w:space="0" w:color="000000"/>
            </w:tcBorders>
            <w:shd w:val="clear" w:color="auto" w:fill="auto"/>
            <w:tcMar>
              <w:top w:w="70" w:type="dxa"/>
              <w:left w:w="141" w:type="dxa"/>
              <w:bottom w:w="70" w:type="dxa"/>
              <w:right w:w="141" w:type="dxa"/>
            </w:tcMar>
            <w:vAlign w:val="center"/>
            <w:hideMark/>
          </w:tcPr>
          <w:p w14:paraId="41433A7B" w14:textId="77777777" w:rsidR="009E4536" w:rsidRPr="009E4536" w:rsidRDefault="009E4536" w:rsidP="009E4536">
            <w:pPr>
              <w:rPr>
                <w:rFonts w:asciiTheme="majorHAnsi" w:hAnsiTheme="majorHAnsi" w:cstheme="majorHAnsi"/>
              </w:rPr>
            </w:pPr>
            <w:r w:rsidRPr="009E4536">
              <w:rPr>
                <w:rFonts w:asciiTheme="majorHAnsi" w:hAnsiTheme="majorHAnsi" w:cstheme="majorHAnsi"/>
              </w:rPr>
              <w:t>52​</w:t>
            </w:r>
          </w:p>
        </w:tc>
      </w:tr>
      <w:tr w:rsidR="009E4536" w:rsidRPr="009E4536" w14:paraId="3DD7378A" w14:textId="77777777" w:rsidTr="009E4536">
        <w:trPr>
          <w:trHeight w:val="531"/>
        </w:trPr>
        <w:tc>
          <w:tcPr>
            <w:tcW w:w="1920" w:type="dxa"/>
            <w:tcBorders>
              <w:top w:val="single" w:sz="2" w:space="0" w:color="000000"/>
              <w:left w:val="single" w:sz="2" w:space="0" w:color="000000"/>
              <w:bottom w:val="single" w:sz="2" w:space="0" w:color="000000"/>
              <w:right w:val="single" w:sz="2" w:space="0" w:color="000000"/>
            </w:tcBorders>
            <w:shd w:val="clear" w:color="auto" w:fill="ACCBF9"/>
            <w:tcMar>
              <w:top w:w="70" w:type="dxa"/>
              <w:left w:w="141" w:type="dxa"/>
              <w:bottom w:w="70" w:type="dxa"/>
              <w:right w:w="141" w:type="dxa"/>
            </w:tcMar>
            <w:vAlign w:val="center"/>
            <w:hideMark/>
          </w:tcPr>
          <w:p w14:paraId="3D16B764"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TOTAL​</w:t>
            </w:r>
          </w:p>
        </w:tc>
        <w:tc>
          <w:tcPr>
            <w:tcW w:w="1940" w:type="dxa"/>
            <w:tcBorders>
              <w:top w:val="single" w:sz="2" w:space="0" w:color="000000"/>
              <w:left w:val="single" w:sz="2" w:space="0" w:color="000000"/>
              <w:bottom w:val="single" w:sz="2" w:space="0" w:color="000000"/>
              <w:right w:val="single" w:sz="2" w:space="0" w:color="000000"/>
            </w:tcBorders>
            <w:shd w:val="clear" w:color="auto" w:fill="ACCBF9"/>
            <w:tcMar>
              <w:top w:w="70" w:type="dxa"/>
              <w:left w:w="141" w:type="dxa"/>
              <w:bottom w:w="70" w:type="dxa"/>
              <w:right w:w="141" w:type="dxa"/>
            </w:tcMar>
            <w:vAlign w:val="bottom"/>
            <w:hideMark/>
          </w:tcPr>
          <w:p w14:paraId="2B864854"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16​</w:t>
            </w:r>
          </w:p>
        </w:tc>
        <w:tc>
          <w:tcPr>
            <w:tcW w:w="1660" w:type="dxa"/>
            <w:tcBorders>
              <w:top w:val="single" w:sz="2" w:space="0" w:color="000000"/>
              <w:left w:val="single" w:sz="2" w:space="0" w:color="000000"/>
              <w:bottom w:val="single" w:sz="2" w:space="0" w:color="000000"/>
              <w:right w:val="single" w:sz="2" w:space="0" w:color="000000"/>
            </w:tcBorders>
            <w:shd w:val="clear" w:color="auto" w:fill="ACCBF9"/>
            <w:tcMar>
              <w:top w:w="70" w:type="dxa"/>
              <w:left w:w="141" w:type="dxa"/>
              <w:bottom w:w="70" w:type="dxa"/>
              <w:right w:w="141" w:type="dxa"/>
            </w:tcMar>
            <w:vAlign w:val="bottom"/>
            <w:hideMark/>
          </w:tcPr>
          <w:p w14:paraId="59917F8D" w14:textId="77777777" w:rsidR="009E4536" w:rsidRPr="009E4536" w:rsidRDefault="009E4536" w:rsidP="009E4536">
            <w:pPr>
              <w:rPr>
                <w:rFonts w:asciiTheme="majorHAnsi" w:hAnsiTheme="majorHAnsi" w:cstheme="majorHAnsi"/>
              </w:rPr>
            </w:pPr>
            <w:r w:rsidRPr="009E4536">
              <w:rPr>
                <w:rFonts w:asciiTheme="majorHAnsi" w:hAnsiTheme="majorHAnsi" w:cstheme="majorHAnsi"/>
                <w:b/>
                <w:bCs/>
              </w:rPr>
              <w:t>402​</w:t>
            </w:r>
          </w:p>
        </w:tc>
      </w:tr>
    </w:tbl>
    <w:p w14:paraId="14B618FE" w14:textId="77777777" w:rsidR="009E4536" w:rsidRDefault="009E4536">
      <w:pPr>
        <w:rPr>
          <w:rFonts w:asciiTheme="majorHAnsi" w:hAnsiTheme="majorHAnsi" w:cstheme="majorHAnsi"/>
        </w:rPr>
      </w:pPr>
    </w:p>
    <w:p w14:paraId="78EA7DC3" w14:textId="5393F7AB" w:rsidR="001E1A3E" w:rsidRDefault="00000000">
      <w:pPr>
        <w:rPr>
          <w:rFonts w:asciiTheme="majorHAnsi" w:hAnsiTheme="majorHAnsi" w:cstheme="majorHAnsi"/>
        </w:rPr>
      </w:pPr>
      <w:r w:rsidRPr="00F178E4">
        <w:rPr>
          <w:rFonts w:asciiTheme="majorHAnsi" w:hAnsiTheme="majorHAnsi" w:cstheme="majorHAnsi"/>
        </w:rPr>
        <w:t xml:space="preserve">Please refer to </w:t>
      </w:r>
      <w:r w:rsidR="009E4536" w:rsidRPr="009E4536">
        <w:rPr>
          <w:rFonts w:asciiTheme="majorHAnsi" w:hAnsiTheme="majorHAnsi" w:cstheme="majorHAnsi"/>
        </w:rPr>
        <w:t xml:space="preserve">the </w:t>
      </w:r>
      <w:hyperlink r:id="rId18" w:history="1">
        <w:r w:rsidR="009E4536" w:rsidRPr="009E4536">
          <w:rPr>
            <w:rStyle w:val="Hyperlink"/>
            <w:rFonts w:asciiTheme="majorHAnsi" w:hAnsiTheme="majorHAnsi" w:cstheme="majorHAnsi"/>
          </w:rPr>
          <w:t>Bureau of Health Care Safety &amp; Quality Data Summary</w:t>
        </w:r>
      </w:hyperlink>
      <w:r w:rsidR="009E4536" w:rsidRPr="009E4536">
        <w:rPr>
          <w:rFonts w:asciiTheme="majorHAnsi" w:hAnsiTheme="majorHAnsi" w:cstheme="majorHAnsi"/>
        </w:rPr>
        <w:t xml:space="preserve"> presentation from the Task Force’s 1/10/2025</w:t>
      </w:r>
      <w:r w:rsidRPr="00F178E4">
        <w:rPr>
          <w:rFonts w:asciiTheme="majorHAnsi" w:hAnsiTheme="majorHAnsi" w:cstheme="majorHAnsi"/>
        </w:rPr>
        <w:t xml:space="preserve"> meeting for additional information.</w:t>
      </w:r>
    </w:p>
    <w:p w14:paraId="5322791E" w14:textId="77777777" w:rsidR="009E4536" w:rsidRPr="00F178E4" w:rsidRDefault="009E4536">
      <w:pPr>
        <w:rPr>
          <w:rFonts w:asciiTheme="majorHAnsi" w:hAnsiTheme="majorHAnsi" w:cstheme="majorHAnsi"/>
        </w:rPr>
      </w:pPr>
    </w:p>
    <w:p w14:paraId="56E78917" w14:textId="77777777" w:rsidR="001E1A3E" w:rsidRPr="00F178E4" w:rsidRDefault="00000000">
      <w:pPr>
        <w:pStyle w:val="Heading1"/>
        <w:rPr>
          <w:rFonts w:cstheme="majorHAnsi"/>
        </w:rPr>
      </w:pPr>
      <w:r w:rsidRPr="00F178E4">
        <w:rPr>
          <w:rFonts w:cstheme="majorHAnsi"/>
        </w:rPr>
        <w:t>Slide 20</w:t>
      </w:r>
    </w:p>
    <w:p w14:paraId="0B831CE3" w14:textId="77777777" w:rsidR="001E1A3E" w:rsidRPr="00DB5438" w:rsidRDefault="00000000">
      <w:pPr>
        <w:rPr>
          <w:rFonts w:asciiTheme="majorHAnsi" w:hAnsiTheme="majorHAnsi" w:cstheme="majorHAnsi"/>
        </w:rPr>
      </w:pPr>
      <w:r w:rsidRPr="00DB5438">
        <w:rPr>
          <w:rFonts w:asciiTheme="majorHAnsi" w:hAnsiTheme="majorHAnsi" w:cstheme="majorHAnsi"/>
        </w:rPr>
        <w:t>Task Force’s Findings – Charge (iv) (cont.)</w:t>
      </w:r>
    </w:p>
    <w:p w14:paraId="372336EA" w14:textId="7FECBC7E" w:rsidR="00DB5438" w:rsidRPr="00DB5438" w:rsidRDefault="00DB5438" w:rsidP="00DB5438">
      <w:pPr>
        <w:rPr>
          <w:rFonts w:asciiTheme="majorHAnsi" w:hAnsiTheme="majorHAnsi" w:cstheme="majorHAnsi"/>
        </w:rPr>
      </w:pPr>
      <w:r w:rsidRPr="00DB5438">
        <w:rPr>
          <w:rFonts w:asciiTheme="majorHAnsi" w:hAnsiTheme="majorHAnsi" w:cstheme="majorHAnsi"/>
        </w:rPr>
        <w:t>[Chart with Number of Freestanding Rest Homes and Total Bed Counts]</w:t>
      </w:r>
    </w:p>
    <w:p w14:paraId="7F09D451" w14:textId="77777777" w:rsidR="00DB5438" w:rsidRPr="00DB5438" w:rsidRDefault="00DB5438">
      <w:pPr>
        <w:rPr>
          <w:rFonts w:asciiTheme="majorHAnsi" w:hAnsiTheme="majorHAnsi" w:cstheme="majorHAnsi"/>
        </w:rPr>
      </w:pPr>
    </w:p>
    <w:tbl>
      <w:tblPr>
        <w:tblW w:w="6060" w:type="dxa"/>
        <w:tblCellMar>
          <w:left w:w="0" w:type="dxa"/>
          <w:right w:w="0" w:type="dxa"/>
        </w:tblCellMar>
        <w:tblLook w:val="0600" w:firstRow="0" w:lastRow="0" w:firstColumn="0" w:lastColumn="0" w:noHBand="1" w:noVBand="1"/>
      </w:tblPr>
      <w:tblGrid>
        <w:gridCol w:w="1385"/>
        <w:gridCol w:w="1043"/>
        <w:gridCol w:w="2127"/>
        <w:gridCol w:w="1505"/>
      </w:tblGrid>
      <w:tr w:rsidR="00DB5438" w:rsidRPr="00DB5438" w14:paraId="613924CE" w14:textId="77777777" w:rsidTr="00E313B5">
        <w:trPr>
          <w:trHeight w:val="627"/>
        </w:trPr>
        <w:tc>
          <w:tcPr>
            <w:tcW w:w="1380" w:type="dxa"/>
            <w:tcBorders>
              <w:top w:val="single" w:sz="2" w:space="0" w:color="000000"/>
              <w:left w:val="single" w:sz="2" w:space="0" w:color="000000"/>
              <w:bottom w:val="single" w:sz="2" w:space="0" w:color="000000"/>
              <w:right w:val="single" w:sz="2" w:space="0" w:color="000000"/>
            </w:tcBorders>
            <w:shd w:val="clear" w:color="auto" w:fill="DAE3F3"/>
            <w:tcMar>
              <w:top w:w="46" w:type="dxa"/>
              <w:left w:w="91" w:type="dxa"/>
              <w:bottom w:w="46" w:type="dxa"/>
              <w:right w:w="91" w:type="dxa"/>
            </w:tcMar>
            <w:vAlign w:val="bottom"/>
            <w:hideMark/>
          </w:tcPr>
          <w:p w14:paraId="0A15C8EE"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Year​</w:t>
            </w:r>
          </w:p>
        </w:tc>
        <w:tc>
          <w:tcPr>
            <w:tcW w:w="1040" w:type="dxa"/>
            <w:tcBorders>
              <w:top w:val="single" w:sz="2" w:space="0" w:color="000000"/>
              <w:left w:val="single" w:sz="2" w:space="0" w:color="000000"/>
              <w:bottom w:val="single" w:sz="2" w:space="0" w:color="000000"/>
              <w:right w:val="single" w:sz="2" w:space="0" w:color="000000"/>
            </w:tcBorders>
            <w:shd w:val="clear" w:color="auto" w:fill="DAE3F3"/>
            <w:tcMar>
              <w:top w:w="46" w:type="dxa"/>
              <w:left w:w="91" w:type="dxa"/>
              <w:bottom w:w="46" w:type="dxa"/>
              <w:right w:w="91" w:type="dxa"/>
            </w:tcMar>
            <w:vAlign w:val="bottom"/>
            <w:hideMark/>
          </w:tcPr>
          <w:p w14:paraId="00CA17B3"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 RHs ​</w:t>
            </w:r>
          </w:p>
        </w:tc>
        <w:tc>
          <w:tcPr>
            <w:tcW w:w="2120" w:type="dxa"/>
            <w:tcBorders>
              <w:top w:val="single" w:sz="2" w:space="0" w:color="000000"/>
              <w:left w:val="single" w:sz="2" w:space="0" w:color="000000"/>
              <w:bottom w:val="single" w:sz="2" w:space="0" w:color="000000"/>
              <w:right w:val="single" w:sz="2" w:space="0" w:color="000000"/>
            </w:tcBorders>
            <w:shd w:val="clear" w:color="auto" w:fill="DAE3F3"/>
            <w:tcMar>
              <w:top w:w="46" w:type="dxa"/>
              <w:left w:w="91" w:type="dxa"/>
              <w:bottom w:w="46" w:type="dxa"/>
              <w:right w:w="91" w:type="dxa"/>
            </w:tcMar>
            <w:vAlign w:val="bottom"/>
            <w:hideMark/>
          </w:tcPr>
          <w:p w14:paraId="63FBDB35"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Total beds​</w:t>
            </w:r>
          </w:p>
        </w:tc>
        <w:tc>
          <w:tcPr>
            <w:tcW w:w="1500" w:type="dxa"/>
            <w:tcBorders>
              <w:top w:val="single" w:sz="2" w:space="0" w:color="000000"/>
              <w:left w:val="single" w:sz="2" w:space="0" w:color="000000"/>
              <w:bottom w:val="single" w:sz="2" w:space="0" w:color="000000"/>
              <w:right w:val="single" w:sz="2" w:space="0" w:color="000000"/>
            </w:tcBorders>
            <w:shd w:val="clear" w:color="auto" w:fill="DAE3F3"/>
            <w:tcMar>
              <w:top w:w="46" w:type="dxa"/>
              <w:left w:w="91" w:type="dxa"/>
              <w:bottom w:w="46" w:type="dxa"/>
              <w:right w:w="91" w:type="dxa"/>
            </w:tcMar>
            <w:vAlign w:val="bottom"/>
            <w:hideMark/>
          </w:tcPr>
          <w:p w14:paraId="50156E66"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#closures​</w:t>
            </w:r>
          </w:p>
        </w:tc>
      </w:tr>
      <w:tr w:rsidR="00DB5438" w:rsidRPr="00DB5438" w14:paraId="55A9BB22" w14:textId="77777777" w:rsidTr="00E313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6845E64C"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2015​</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5CA0EE4A"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74​</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24E27051"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2,404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DFB8854"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1​</w:t>
            </w:r>
          </w:p>
        </w:tc>
      </w:tr>
      <w:tr w:rsidR="00DB5438" w:rsidRPr="00DB5438" w14:paraId="31D291A1" w14:textId="77777777" w:rsidTr="00E313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6B7CDF2A"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lastRenderedPageBreak/>
              <w:t>2016​</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308A49F7"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73​</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44445E60"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2,378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DE553F5"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5​</w:t>
            </w:r>
          </w:p>
        </w:tc>
      </w:tr>
      <w:tr w:rsidR="00DB5438" w:rsidRPr="00DB5438" w14:paraId="3BCFE794" w14:textId="77777777" w:rsidTr="00E313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7629AD18"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2017​</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37E2693B"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68​</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3EBCB7D"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2,266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7EA1FBA"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1​</w:t>
            </w:r>
          </w:p>
        </w:tc>
      </w:tr>
      <w:tr w:rsidR="00DB5438" w:rsidRPr="00DB5438" w14:paraId="139CD5F7" w14:textId="77777777" w:rsidTr="00E313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31F3FDC5"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2018​</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785B42B5"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67​</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601B1948"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2,250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AA5BEFE"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1​</w:t>
            </w:r>
          </w:p>
        </w:tc>
      </w:tr>
      <w:tr w:rsidR="00DB5438" w:rsidRPr="00DB5438" w14:paraId="26BACDCE" w14:textId="77777777" w:rsidTr="00E313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2C92759"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2019​</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79F720CC"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66​</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8B23D68"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2,214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8EA7C9A"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3​</w:t>
            </w:r>
          </w:p>
        </w:tc>
      </w:tr>
      <w:tr w:rsidR="00DB5438" w:rsidRPr="00DB5438" w14:paraId="55076601" w14:textId="77777777" w:rsidTr="00E313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6776119B"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2020​</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378E42DF"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63​</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67A83D80"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2,144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3C4C4532"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1​</w:t>
            </w:r>
          </w:p>
        </w:tc>
      </w:tr>
      <w:tr w:rsidR="00DB5438" w:rsidRPr="00DB5438" w14:paraId="560872AC" w14:textId="77777777" w:rsidTr="00E313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7E12236"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2021​</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32EA3009"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62​</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5D418882"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2,104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361EC8C1"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w:t>
            </w:r>
          </w:p>
        </w:tc>
      </w:tr>
      <w:tr w:rsidR="00DB5438" w:rsidRPr="00DB5438" w14:paraId="34EB6727" w14:textId="77777777" w:rsidTr="00E313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D24132B"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2022​</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0C001491"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60​</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7A21BE23"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2,066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7B883F25"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w:t>
            </w:r>
          </w:p>
        </w:tc>
      </w:tr>
      <w:tr w:rsidR="00DB5438" w:rsidRPr="00DB5438" w14:paraId="1867447C" w14:textId="77777777" w:rsidTr="00E313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45E10E9F"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2023​</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65FAC03A"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58​</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5FAD626F"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2,022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9A635B6"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0​</w:t>
            </w:r>
          </w:p>
        </w:tc>
      </w:tr>
      <w:tr w:rsidR="00DB5438" w:rsidRPr="00DB5438" w14:paraId="03FF5361" w14:textId="77777777" w:rsidTr="00E313B5">
        <w:trPr>
          <w:trHeight w:val="340"/>
        </w:trPr>
        <w:tc>
          <w:tcPr>
            <w:tcW w:w="138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4CBB19D2"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2024​</w:t>
            </w:r>
          </w:p>
        </w:tc>
        <w:tc>
          <w:tcPr>
            <w:tcW w:w="104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40DA5FC9"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58​</w:t>
            </w:r>
          </w:p>
        </w:tc>
        <w:tc>
          <w:tcPr>
            <w:tcW w:w="212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14997B56"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2,002 ​</w:t>
            </w:r>
          </w:p>
        </w:tc>
        <w:tc>
          <w:tcPr>
            <w:tcW w:w="1500" w:type="dxa"/>
            <w:tcBorders>
              <w:top w:val="single" w:sz="2" w:space="0" w:color="000000"/>
              <w:left w:val="single" w:sz="2" w:space="0" w:color="000000"/>
              <w:bottom w:val="single" w:sz="2" w:space="0" w:color="000000"/>
              <w:right w:val="single" w:sz="2" w:space="0" w:color="000000"/>
            </w:tcBorders>
            <w:shd w:val="clear" w:color="auto" w:fill="auto"/>
            <w:tcMar>
              <w:top w:w="46" w:type="dxa"/>
              <w:left w:w="91" w:type="dxa"/>
              <w:bottom w:w="46" w:type="dxa"/>
              <w:right w:w="91" w:type="dxa"/>
            </w:tcMar>
            <w:vAlign w:val="bottom"/>
            <w:hideMark/>
          </w:tcPr>
          <w:p w14:paraId="5F1D597F" w14:textId="77777777" w:rsidR="00DB5438" w:rsidRPr="00DB5438" w:rsidRDefault="00DB5438" w:rsidP="00E313B5">
            <w:pPr>
              <w:rPr>
                <w:rFonts w:asciiTheme="majorHAnsi" w:hAnsiTheme="majorHAnsi" w:cstheme="majorHAnsi"/>
              </w:rPr>
            </w:pPr>
            <w:r w:rsidRPr="00DB5438">
              <w:rPr>
                <w:rFonts w:asciiTheme="majorHAnsi" w:hAnsiTheme="majorHAnsi" w:cstheme="majorHAnsi"/>
              </w:rPr>
              <w:t>0​</w:t>
            </w:r>
          </w:p>
        </w:tc>
      </w:tr>
    </w:tbl>
    <w:p w14:paraId="752E557A" w14:textId="77777777" w:rsidR="00DB5438" w:rsidRPr="00DB5438" w:rsidRDefault="00DB5438" w:rsidP="00DB5438">
      <w:pPr>
        <w:rPr>
          <w:rFonts w:asciiTheme="majorHAnsi" w:hAnsiTheme="majorHAnsi" w:cstheme="majorHAnsi"/>
        </w:rPr>
      </w:pPr>
    </w:p>
    <w:p w14:paraId="6CEC0433" w14:textId="77777777" w:rsidR="00DB5438" w:rsidRPr="00DB5438" w:rsidRDefault="00DB5438">
      <w:pPr>
        <w:rPr>
          <w:rFonts w:asciiTheme="majorHAnsi" w:hAnsiTheme="majorHAnsi" w:cstheme="majorHAnsi"/>
        </w:rPr>
      </w:pPr>
    </w:p>
    <w:p w14:paraId="6B530F5A" w14:textId="689DCAD3" w:rsidR="00DB5438" w:rsidRDefault="00DB5438">
      <w:pPr>
        <w:rPr>
          <w:rFonts w:asciiTheme="majorHAnsi" w:hAnsiTheme="majorHAnsi" w:cstheme="majorHAnsi"/>
        </w:rPr>
      </w:pPr>
      <w:r w:rsidRPr="00DB5438">
        <w:rPr>
          <w:rFonts w:asciiTheme="majorHAnsi" w:hAnsiTheme="majorHAnsi" w:cstheme="majorHAnsi"/>
        </w:rPr>
        <w:t xml:space="preserve">Please refer to the </w:t>
      </w:r>
      <w:hyperlink r:id="rId19" w:history="1">
        <w:r w:rsidRPr="00DB5438">
          <w:rPr>
            <w:rStyle w:val="Hyperlink"/>
            <w:rFonts w:asciiTheme="majorHAnsi" w:hAnsiTheme="majorHAnsi" w:cstheme="majorHAnsi"/>
          </w:rPr>
          <w:t>Bureau of Health Care Safety &amp; Quality Data Summary</w:t>
        </w:r>
      </w:hyperlink>
      <w:r w:rsidRPr="00DB5438">
        <w:rPr>
          <w:rFonts w:asciiTheme="majorHAnsi" w:hAnsiTheme="majorHAnsi" w:cstheme="majorHAnsi"/>
        </w:rPr>
        <w:t xml:space="preserve"> presentation from the </w:t>
      </w:r>
      <w:r w:rsidRPr="009E4536">
        <w:rPr>
          <w:rFonts w:asciiTheme="majorHAnsi" w:hAnsiTheme="majorHAnsi" w:cstheme="majorHAnsi"/>
        </w:rPr>
        <w:t>Task Force’s 1/10/2025</w:t>
      </w:r>
      <w:r w:rsidRPr="00F178E4">
        <w:rPr>
          <w:rFonts w:asciiTheme="majorHAnsi" w:hAnsiTheme="majorHAnsi" w:cstheme="majorHAnsi"/>
        </w:rPr>
        <w:t xml:space="preserve"> meeting for additional information.</w:t>
      </w:r>
    </w:p>
    <w:p w14:paraId="6DD1D1C9" w14:textId="77777777" w:rsidR="00DB5438" w:rsidRPr="00F178E4" w:rsidRDefault="00DB5438">
      <w:pPr>
        <w:rPr>
          <w:rFonts w:asciiTheme="majorHAnsi" w:hAnsiTheme="majorHAnsi" w:cstheme="majorHAnsi"/>
        </w:rPr>
      </w:pPr>
    </w:p>
    <w:p w14:paraId="7BE28134" w14:textId="77777777" w:rsidR="001E1A3E" w:rsidRPr="00F178E4" w:rsidRDefault="00000000">
      <w:pPr>
        <w:pStyle w:val="Heading1"/>
        <w:rPr>
          <w:rFonts w:cstheme="majorHAnsi"/>
        </w:rPr>
      </w:pPr>
      <w:r w:rsidRPr="00F178E4">
        <w:rPr>
          <w:rFonts w:cstheme="majorHAnsi"/>
        </w:rPr>
        <w:t>Slide 21</w:t>
      </w:r>
    </w:p>
    <w:p w14:paraId="4B8703C0" w14:textId="77777777" w:rsidR="00DB5438" w:rsidRPr="00F178E4" w:rsidRDefault="00DB5438" w:rsidP="00DB5438">
      <w:pPr>
        <w:rPr>
          <w:rFonts w:asciiTheme="majorHAnsi" w:hAnsiTheme="majorHAnsi" w:cstheme="majorHAnsi"/>
        </w:rPr>
      </w:pPr>
      <w:r w:rsidRPr="00F178E4">
        <w:rPr>
          <w:rFonts w:asciiTheme="majorHAnsi" w:hAnsiTheme="majorHAnsi" w:cstheme="majorHAnsi"/>
        </w:rPr>
        <w:t>Task Force’s Findings – Charge (v)</w:t>
      </w:r>
    </w:p>
    <w:p w14:paraId="3B83B415" w14:textId="67A1CEF1" w:rsidR="001E1A3E" w:rsidRPr="00DB5438" w:rsidRDefault="00000000">
      <w:pPr>
        <w:rPr>
          <w:rFonts w:asciiTheme="majorHAnsi" w:hAnsiTheme="majorHAnsi" w:cstheme="majorHAnsi"/>
          <w:u w:val="single"/>
        </w:rPr>
      </w:pPr>
      <w:r w:rsidRPr="00DB5438">
        <w:rPr>
          <w:rFonts w:asciiTheme="majorHAnsi" w:hAnsiTheme="majorHAnsi" w:cstheme="majorHAnsi"/>
          <w:u w:val="single"/>
        </w:rPr>
        <w:t>Charge</w:t>
      </w:r>
    </w:p>
    <w:p w14:paraId="46A05DC6" w14:textId="353B71EF" w:rsidR="001E1A3E" w:rsidRPr="00DB5438" w:rsidRDefault="00000000" w:rsidP="00D64948">
      <w:pPr>
        <w:pStyle w:val="ListParagraph"/>
        <w:numPr>
          <w:ilvl w:val="0"/>
          <w:numId w:val="33"/>
        </w:numPr>
        <w:rPr>
          <w:rFonts w:asciiTheme="majorHAnsi" w:hAnsiTheme="majorHAnsi" w:cstheme="majorHAnsi"/>
        </w:rPr>
      </w:pPr>
      <w:proofErr w:type="gramStart"/>
      <w:r w:rsidRPr="00DB5438">
        <w:rPr>
          <w:rFonts w:asciiTheme="majorHAnsi" w:hAnsiTheme="majorHAnsi" w:cstheme="majorHAnsi"/>
        </w:rPr>
        <w:t>Review</w:t>
      </w:r>
      <w:proofErr w:type="gramEnd"/>
      <w:r w:rsidRPr="00DB5438">
        <w:rPr>
          <w:rFonts w:asciiTheme="majorHAnsi" w:hAnsiTheme="majorHAnsi" w:cstheme="majorHAnsi"/>
        </w:rPr>
        <w:t xml:space="preserve"> the recommendations implemented from the Nursing Facility Task Force report issued pursuant to Section 91 of Chapter 41 of the Acts of 2019</w:t>
      </w:r>
    </w:p>
    <w:p w14:paraId="113A4E19" w14:textId="77777777" w:rsidR="001E1A3E" w:rsidRPr="00DB5438" w:rsidRDefault="00000000">
      <w:pPr>
        <w:rPr>
          <w:rFonts w:asciiTheme="majorHAnsi" w:hAnsiTheme="majorHAnsi" w:cstheme="majorHAnsi"/>
          <w:u w:val="single"/>
        </w:rPr>
      </w:pPr>
      <w:r w:rsidRPr="00DB5438">
        <w:rPr>
          <w:rFonts w:asciiTheme="majorHAnsi" w:hAnsiTheme="majorHAnsi" w:cstheme="majorHAnsi"/>
          <w:u w:val="single"/>
        </w:rPr>
        <w:t>Findings</w:t>
      </w:r>
    </w:p>
    <w:p w14:paraId="04D2CE68" w14:textId="4B3AE49A" w:rsidR="001E1A3E" w:rsidRPr="00E06026" w:rsidRDefault="00000000" w:rsidP="00D64948">
      <w:pPr>
        <w:pStyle w:val="ListParagraph"/>
        <w:numPr>
          <w:ilvl w:val="0"/>
          <w:numId w:val="35"/>
        </w:numPr>
        <w:rPr>
          <w:rFonts w:asciiTheme="majorHAnsi" w:hAnsiTheme="majorHAnsi" w:cstheme="majorHAnsi"/>
        </w:rPr>
      </w:pPr>
      <w:r w:rsidRPr="00E06026">
        <w:rPr>
          <w:rFonts w:asciiTheme="majorHAnsi" w:hAnsiTheme="majorHAnsi" w:cstheme="majorHAnsi"/>
        </w:rPr>
        <w:t xml:space="preserve">The </w:t>
      </w:r>
      <w:hyperlink r:id="rId20" w:history="1">
        <w:r w:rsidR="00E06026" w:rsidRPr="00E06026">
          <w:rPr>
            <w:rStyle w:val="Hyperlink"/>
            <w:rFonts w:asciiTheme="majorHAnsi" w:hAnsiTheme="majorHAnsi" w:cstheme="majorHAnsi"/>
          </w:rPr>
          <w:t>Nursing Facility Task Force</w:t>
        </w:r>
      </w:hyperlink>
      <w:r w:rsidR="00E06026" w:rsidRPr="00E06026">
        <w:rPr>
          <w:rFonts w:asciiTheme="majorHAnsi" w:hAnsiTheme="majorHAnsi" w:cstheme="majorHAnsi"/>
        </w:rPr>
        <w:t xml:space="preserve"> was established through the Acts of 2019 and convened six times </w:t>
      </w:r>
      <w:r w:rsidR="00E06026">
        <w:rPr>
          <w:rFonts w:asciiTheme="majorHAnsi" w:hAnsiTheme="majorHAnsi" w:cstheme="majorHAnsi"/>
        </w:rPr>
        <w:t>fro</w:t>
      </w:r>
      <w:r w:rsidRPr="00E06026">
        <w:rPr>
          <w:rFonts w:asciiTheme="majorHAnsi" w:hAnsiTheme="majorHAnsi" w:cstheme="majorHAnsi"/>
        </w:rPr>
        <w:t>m September 2019 through January 2020, charged with evaluating ways to ensure the financial stability of skilled nursing facilities, considering the role of skilled nursing facilities within the continuum of elder care services, and addressing current workforce challenges.</w:t>
      </w:r>
    </w:p>
    <w:p w14:paraId="26451D89" w14:textId="607DA3BE" w:rsidR="001E1A3E" w:rsidRPr="00DB5438" w:rsidRDefault="00000000" w:rsidP="00D64948">
      <w:pPr>
        <w:pStyle w:val="ListParagraph"/>
        <w:numPr>
          <w:ilvl w:val="0"/>
          <w:numId w:val="35"/>
        </w:numPr>
        <w:rPr>
          <w:rFonts w:asciiTheme="majorHAnsi" w:hAnsiTheme="majorHAnsi" w:cstheme="majorHAnsi"/>
        </w:rPr>
      </w:pPr>
      <w:r w:rsidRPr="00DB5438">
        <w:rPr>
          <w:rFonts w:asciiTheme="majorHAnsi" w:hAnsiTheme="majorHAnsi" w:cstheme="majorHAnsi"/>
        </w:rPr>
        <w:lastRenderedPageBreak/>
        <w:t>While there</w:t>
      </w:r>
      <w:r w:rsidR="00E06026">
        <w:rPr>
          <w:rFonts w:asciiTheme="majorHAnsi" w:hAnsiTheme="majorHAnsi" w:cstheme="majorHAnsi"/>
        </w:rPr>
        <w:t xml:space="preserve"> </w:t>
      </w:r>
      <w:r w:rsidRPr="00DB5438">
        <w:rPr>
          <w:rFonts w:asciiTheme="majorHAnsi" w:hAnsiTheme="majorHAnsi" w:cstheme="majorHAnsi"/>
        </w:rPr>
        <w:t xml:space="preserve">was some discussion of rest homes, </w:t>
      </w:r>
      <w:proofErr w:type="spellStart"/>
      <w:r w:rsidRPr="00DB5438">
        <w:rPr>
          <w:rFonts w:asciiTheme="majorHAnsi" w:hAnsiTheme="majorHAnsi" w:cstheme="majorHAnsi"/>
        </w:rPr>
        <w:t>themajority</w:t>
      </w:r>
      <w:proofErr w:type="spellEnd"/>
      <w:r w:rsidRPr="00DB5438">
        <w:rPr>
          <w:rFonts w:asciiTheme="majorHAnsi" w:hAnsiTheme="majorHAnsi" w:cstheme="majorHAnsi"/>
        </w:rPr>
        <w:t xml:space="preserve"> of the Nursing Facility Task Force's work focused on the nursing facility industry. </w:t>
      </w:r>
    </w:p>
    <w:p w14:paraId="448ADB9F" w14:textId="77777777" w:rsidR="001E1A3E" w:rsidRPr="00DB5438" w:rsidRDefault="00000000" w:rsidP="00D64948">
      <w:pPr>
        <w:pStyle w:val="ListParagraph"/>
        <w:numPr>
          <w:ilvl w:val="0"/>
          <w:numId w:val="35"/>
        </w:numPr>
        <w:rPr>
          <w:rFonts w:asciiTheme="majorHAnsi" w:hAnsiTheme="majorHAnsi" w:cstheme="majorHAnsi"/>
        </w:rPr>
      </w:pPr>
      <w:r w:rsidRPr="00DB5438">
        <w:rPr>
          <w:rFonts w:asciiTheme="majorHAnsi" w:hAnsiTheme="majorHAnsi" w:cstheme="majorHAnsi"/>
        </w:rPr>
        <w:t xml:space="preserve">Through its deliberations, the Task Force reached consensus on 19 “points of agreement,” summarized in the group’s final report submitted to the Legislature on 1/31/2020. As referenced by the MARCH representative during the Rest Home Task Force’s deliberations, during the 1/10/2020 meeting of the Nursing Facility Task Force, MARCH proposed </w:t>
      </w:r>
      <w:proofErr w:type="gramStart"/>
      <w:r w:rsidRPr="00DB5438">
        <w:rPr>
          <w:rFonts w:asciiTheme="majorHAnsi" w:hAnsiTheme="majorHAnsi" w:cstheme="majorHAnsi"/>
        </w:rPr>
        <w:t>a number of</w:t>
      </w:r>
      <w:proofErr w:type="gramEnd"/>
      <w:r w:rsidRPr="00DB5438">
        <w:rPr>
          <w:rFonts w:asciiTheme="majorHAnsi" w:hAnsiTheme="majorHAnsi" w:cstheme="majorHAnsi"/>
        </w:rPr>
        <w:t xml:space="preserve"> recommendations related to rest homes that were not ultimately adopted.</w:t>
      </w:r>
    </w:p>
    <w:p w14:paraId="180B504F" w14:textId="77777777" w:rsidR="00DB5438" w:rsidRDefault="00000000" w:rsidP="00D64948">
      <w:pPr>
        <w:pStyle w:val="ListParagraph"/>
        <w:numPr>
          <w:ilvl w:val="0"/>
          <w:numId w:val="35"/>
        </w:numPr>
        <w:rPr>
          <w:rFonts w:asciiTheme="majorHAnsi" w:hAnsiTheme="majorHAnsi" w:cstheme="majorHAnsi"/>
        </w:rPr>
      </w:pPr>
      <w:r w:rsidRPr="00DB5438">
        <w:rPr>
          <w:rFonts w:asciiTheme="majorHAnsi" w:hAnsiTheme="majorHAnsi" w:cstheme="majorHAnsi"/>
        </w:rPr>
        <w:t>These 19 points of agreement were distilled by the Nursing Facility Task Force into four “policy goals,” each with their own “policy proposals” (see following slides for additional details).</w:t>
      </w:r>
    </w:p>
    <w:p w14:paraId="0DFA5A43" w14:textId="24081BA6" w:rsidR="001E1A3E" w:rsidRPr="00DB5438" w:rsidRDefault="00000000" w:rsidP="00D64948">
      <w:pPr>
        <w:pStyle w:val="ListParagraph"/>
        <w:numPr>
          <w:ilvl w:val="0"/>
          <w:numId w:val="35"/>
        </w:numPr>
        <w:rPr>
          <w:rFonts w:asciiTheme="majorHAnsi" w:hAnsiTheme="majorHAnsi" w:cstheme="majorHAnsi"/>
        </w:rPr>
      </w:pPr>
      <w:r w:rsidRPr="00DB5438">
        <w:rPr>
          <w:rFonts w:asciiTheme="majorHAnsi" w:hAnsiTheme="majorHAnsi" w:cstheme="majorHAnsi"/>
        </w:rPr>
        <w:t>The full Nursing Facility Task Force report is available at:</w:t>
      </w:r>
      <w:r w:rsidR="00DB5438">
        <w:rPr>
          <w:rFonts w:asciiTheme="majorHAnsi" w:hAnsiTheme="majorHAnsi" w:cstheme="majorHAnsi"/>
        </w:rPr>
        <w:t xml:space="preserve"> </w:t>
      </w:r>
      <w:hyperlink r:id="rId21" w:history="1">
        <w:r w:rsidR="00DB5438" w:rsidRPr="00DA5F8D">
          <w:rPr>
            <w:rStyle w:val="Hyperlink"/>
            <w:rFonts w:asciiTheme="majorHAnsi" w:hAnsiTheme="majorHAnsi" w:cstheme="majorHAnsi"/>
          </w:rPr>
          <w:t>https://www.mass.gov/doc/nursing-facility-task-force-final-report/download</w:t>
        </w:r>
      </w:hyperlink>
    </w:p>
    <w:p w14:paraId="220CFF10" w14:textId="77777777" w:rsidR="00DB5438" w:rsidRPr="00F178E4" w:rsidRDefault="00DB5438">
      <w:pPr>
        <w:rPr>
          <w:rFonts w:asciiTheme="majorHAnsi" w:hAnsiTheme="majorHAnsi" w:cstheme="majorHAnsi"/>
        </w:rPr>
      </w:pPr>
    </w:p>
    <w:p w14:paraId="58657223" w14:textId="77777777" w:rsidR="001E1A3E" w:rsidRPr="00F178E4" w:rsidRDefault="00000000">
      <w:pPr>
        <w:pStyle w:val="Heading1"/>
        <w:rPr>
          <w:rFonts w:cstheme="majorHAnsi"/>
        </w:rPr>
      </w:pPr>
      <w:r w:rsidRPr="00F178E4">
        <w:rPr>
          <w:rFonts w:cstheme="majorHAnsi"/>
        </w:rPr>
        <w:t>Slide 22</w:t>
      </w:r>
    </w:p>
    <w:p w14:paraId="46D89297" w14:textId="77777777" w:rsidR="001E1A3E" w:rsidRDefault="00000000">
      <w:pPr>
        <w:rPr>
          <w:rFonts w:asciiTheme="majorHAnsi" w:hAnsiTheme="majorHAnsi" w:cstheme="majorHAnsi"/>
        </w:rPr>
      </w:pPr>
      <w:r w:rsidRPr="00F178E4">
        <w:rPr>
          <w:rFonts w:asciiTheme="majorHAnsi" w:hAnsiTheme="majorHAnsi" w:cstheme="majorHAnsi"/>
        </w:rPr>
        <w:t>Task Force’s Findings – Charge (v) (cont.)</w:t>
      </w:r>
    </w:p>
    <w:p w14:paraId="6F7024A7" w14:textId="1349A4DD" w:rsidR="005418A5" w:rsidRPr="00F178E4" w:rsidRDefault="005418A5">
      <w:pPr>
        <w:rPr>
          <w:rFonts w:asciiTheme="majorHAnsi" w:hAnsiTheme="majorHAnsi" w:cstheme="majorHAnsi"/>
        </w:rPr>
      </w:pPr>
      <w:r w:rsidRPr="005418A5">
        <w:rPr>
          <w:rFonts w:asciiTheme="majorHAnsi" w:hAnsiTheme="majorHAnsi" w:cstheme="majorHAnsi"/>
        </w:rPr>
        <w:t>Policy Area 1: Right size the Nursing Home industry in response to current and future demand</w:t>
      </w:r>
    </w:p>
    <w:tbl>
      <w:tblPr>
        <w:tblW w:w="9980" w:type="dxa"/>
        <w:tblCellMar>
          <w:left w:w="0" w:type="dxa"/>
          <w:right w:w="0" w:type="dxa"/>
        </w:tblCellMar>
        <w:tblLook w:val="0420" w:firstRow="1" w:lastRow="0" w:firstColumn="0" w:lastColumn="0" w:noHBand="0" w:noVBand="1"/>
      </w:tblPr>
      <w:tblGrid>
        <w:gridCol w:w="5030"/>
        <w:gridCol w:w="4950"/>
      </w:tblGrid>
      <w:tr w:rsidR="00E06026" w:rsidRPr="00E06026" w14:paraId="6F4B0486" w14:textId="77777777" w:rsidTr="00E06026">
        <w:tc>
          <w:tcPr>
            <w:tcW w:w="5030" w:type="dxa"/>
            <w:tcBorders>
              <w:top w:val="single" w:sz="24"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3518A6D9" w14:textId="77777777" w:rsidR="00E06026" w:rsidRPr="00E06026" w:rsidRDefault="00E06026" w:rsidP="00E06026">
            <w:pPr>
              <w:spacing w:after="160"/>
              <w:rPr>
                <w:rFonts w:asciiTheme="majorHAnsi" w:eastAsia="Times New Roman" w:hAnsiTheme="majorHAnsi" w:cstheme="majorHAnsi"/>
              </w:rPr>
            </w:pPr>
            <w:r w:rsidRPr="00E06026">
              <w:rPr>
                <w:rFonts w:asciiTheme="majorHAnsi" w:eastAsia="Aptos" w:hAnsiTheme="majorHAnsi" w:cstheme="majorHAnsi"/>
                <w:b/>
                <w:bCs/>
                <w:color w:val="FFFFFF"/>
                <w:kern w:val="2"/>
              </w:rPr>
              <w:t>Recommendation</w:t>
            </w:r>
          </w:p>
        </w:tc>
        <w:tc>
          <w:tcPr>
            <w:tcW w:w="4950" w:type="dxa"/>
            <w:tcBorders>
              <w:top w:val="single" w:sz="24"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0DC590A7" w14:textId="77777777" w:rsidR="00E06026" w:rsidRPr="00E06026" w:rsidRDefault="00E06026" w:rsidP="00E06026">
            <w:pPr>
              <w:spacing w:after="160"/>
              <w:rPr>
                <w:rFonts w:ascii="Arial" w:eastAsia="Times New Roman" w:hAnsi="Arial" w:cs="Arial"/>
                <w:sz w:val="36"/>
                <w:szCs w:val="36"/>
              </w:rPr>
            </w:pPr>
            <w:r w:rsidRPr="00E06026">
              <w:rPr>
                <w:rFonts w:ascii="Arial" w:eastAsia="Times New Roman" w:hAnsi="Arial" w:cs="Arial"/>
                <w:b/>
                <w:bCs/>
                <w:color w:val="FFFFFF"/>
                <w:kern w:val="24"/>
                <w:sz w:val="24"/>
                <w:szCs w:val="24"/>
              </w:rPr>
              <w:t>Status/Notes</w:t>
            </w:r>
          </w:p>
        </w:tc>
      </w:tr>
      <w:tr w:rsidR="00E06026" w:rsidRPr="00E06026" w14:paraId="43B7B6FC" w14:textId="77777777" w:rsidTr="00E06026">
        <w:trPr>
          <w:trHeight w:val="807"/>
        </w:trPr>
        <w:tc>
          <w:tcPr>
            <w:tcW w:w="503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2BF968D0" w14:textId="77777777" w:rsidR="00E06026" w:rsidRPr="00E06026" w:rsidRDefault="00E06026" w:rsidP="00E06026">
            <w:pPr>
              <w:spacing w:after="160"/>
              <w:rPr>
                <w:rFonts w:asciiTheme="majorHAnsi" w:eastAsia="Times New Roman" w:hAnsiTheme="majorHAnsi" w:cstheme="majorHAnsi"/>
              </w:rPr>
            </w:pPr>
            <w:r w:rsidRPr="00E06026">
              <w:rPr>
                <w:rFonts w:asciiTheme="majorHAnsi" w:eastAsia="Aptos" w:hAnsiTheme="majorHAnsi" w:cstheme="majorHAnsi"/>
                <w:color w:val="000000"/>
                <w:kern w:val="2"/>
              </w:rPr>
              <w:t xml:space="preserve">Establish incentives for high occupancy and </w:t>
            </w:r>
            <w:proofErr w:type="gramStart"/>
            <w:r w:rsidRPr="00E06026">
              <w:rPr>
                <w:rFonts w:asciiTheme="majorHAnsi" w:eastAsia="Aptos" w:hAnsiTheme="majorHAnsi" w:cstheme="majorHAnsi"/>
                <w:color w:val="000000"/>
                <w:kern w:val="2"/>
              </w:rPr>
              <w:t>high quality</w:t>
            </w:r>
            <w:proofErr w:type="gramEnd"/>
            <w:r w:rsidRPr="00E06026">
              <w:rPr>
                <w:rFonts w:asciiTheme="majorHAnsi" w:eastAsia="Aptos" w:hAnsiTheme="majorHAnsi" w:cstheme="majorHAnsi"/>
                <w:color w:val="000000"/>
                <w:kern w:val="2"/>
              </w:rPr>
              <w:t xml:space="preserve"> facilities that result in the closure or repurposing of chronically low occupancy and low quality nursing facilities  </w:t>
            </w:r>
          </w:p>
        </w:tc>
        <w:tc>
          <w:tcPr>
            <w:tcW w:w="495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1A36CF34" w14:textId="77777777" w:rsidR="00E06026" w:rsidRPr="00E06026" w:rsidRDefault="00E06026" w:rsidP="00E06026">
            <w:pPr>
              <w:spacing w:after="160"/>
              <w:rPr>
                <w:rFonts w:ascii="Arial" w:eastAsia="Times New Roman" w:hAnsi="Arial" w:cs="Arial"/>
                <w:sz w:val="36"/>
                <w:szCs w:val="36"/>
              </w:rPr>
            </w:pPr>
            <w:r w:rsidRPr="00E06026">
              <w:rPr>
                <w:rFonts w:ascii="Arial" w:eastAsia="Aptos" w:hAnsi="Arial" w:cs="Times New Roman"/>
                <w:color w:val="000000"/>
                <w:kern w:val="2"/>
                <w:sz w:val="24"/>
                <w:szCs w:val="24"/>
              </w:rPr>
              <w:t>Not applicable</w:t>
            </w:r>
          </w:p>
        </w:tc>
      </w:tr>
      <w:tr w:rsidR="00E06026" w:rsidRPr="00E06026" w14:paraId="3B2AA1A5" w14:textId="77777777" w:rsidTr="00E06026">
        <w:trPr>
          <w:trHeight w:val="807"/>
        </w:trPr>
        <w:tc>
          <w:tcPr>
            <w:tcW w:w="503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79F3CB1E" w14:textId="77777777" w:rsidR="00E06026" w:rsidRPr="00E06026" w:rsidRDefault="00E06026" w:rsidP="00E06026">
            <w:pPr>
              <w:spacing w:after="160"/>
              <w:rPr>
                <w:rFonts w:asciiTheme="majorHAnsi" w:eastAsia="Times New Roman" w:hAnsiTheme="majorHAnsi" w:cstheme="majorHAnsi"/>
              </w:rPr>
            </w:pPr>
            <w:r w:rsidRPr="00E06026">
              <w:rPr>
                <w:rFonts w:asciiTheme="majorHAnsi" w:eastAsia="Aptos" w:hAnsiTheme="majorHAnsi" w:cstheme="majorHAnsi"/>
                <w:color w:val="000000"/>
                <w:kern w:val="2"/>
              </w:rPr>
              <w:t xml:space="preserve">Provide DPH with more explicit statutory authority to revoke the licenses of chronic underperformers in quality and occupancy </w:t>
            </w:r>
          </w:p>
        </w:tc>
        <w:tc>
          <w:tcPr>
            <w:tcW w:w="495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18C43B7B" w14:textId="77777777" w:rsidR="00E06026" w:rsidRPr="00E06026" w:rsidRDefault="00E06026" w:rsidP="00E06026">
            <w:pPr>
              <w:spacing w:after="160"/>
              <w:rPr>
                <w:rFonts w:ascii="Arial" w:eastAsia="Times New Roman" w:hAnsi="Arial" w:cs="Arial"/>
                <w:sz w:val="36"/>
                <w:szCs w:val="36"/>
              </w:rPr>
            </w:pPr>
            <w:r w:rsidRPr="00E06026">
              <w:rPr>
                <w:rFonts w:ascii="Arial" w:eastAsia="Aptos" w:hAnsi="Arial" w:cs="Times New Roman"/>
                <w:color w:val="000000"/>
                <w:kern w:val="2"/>
                <w:sz w:val="24"/>
                <w:szCs w:val="24"/>
              </w:rPr>
              <w:t>Not applicable</w:t>
            </w:r>
          </w:p>
        </w:tc>
      </w:tr>
      <w:tr w:rsidR="00E06026" w:rsidRPr="00E06026" w14:paraId="25CA0616" w14:textId="77777777" w:rsidTr="00E06026">
        <w:trPr>
          <w:trHeight w:val="807"/>
        </w:trPr>
        <w:tc>
          <w:tcPr>
            <w:tcW w:w="503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6D88071D" w14:textId="77777777" w:rsidR="00E06026" w:rsidRPr="00E06026" w:rsidRDefault="00E06026" w:rsidP="00E06026">
            <w:pPr>
              <w:spacing w:after="160"/>
              <w:rPr>
                <w:rFonts w:asciiTheme="majorHAnsi" w:eastAsia="Times New Roman" w:hAnsiTheme="majorHAnsi" w:cstheme="majorHAnsi"/>
              </w:rPr>
            </w:pPr>
            <w:r w:rsidRPr="00E06026">
              <w:rPr>
                <w:rFonts w:asciiTheme="majorHAnsi" w:eastAsia="Aptos" w:hAnsiTheme="majorHAnsi" w:cstheme="majorHAnsi"/>
                <w:color w:val="000000"/>
                <w:kern w:val="2"/>
              </w:rPr>
              <w:t xml:space="preserve">Establish clear standards for defining “chronic underperformers” and “occupancy” </w:t>
            </w:r>
          </w:p>
        </w:tc>
        <w:tc>
          <w:tcPr>
            <w:tcW w:w="495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1685CB04" w14:textId="77777777" w:rsidR="00E06026" w:rsidRPr="00E06026" w:rsidRDefault="00E06026" w:rsidP="00E06026">
            <w:pPr>
              <w:spacing w:after="160"/>
              <w:rPr>
                <w:rFonts w:ascii="Arial" w:eastAsia="Times New Roman" w:hAnsi="Arial" w:cs="Arial"/>
                <w:sz w:val="36"/>
                <w:szCs w:val="36"/>
              </w:rPr>
            </w:pPr>
            <w:r w:rsidRPr="00E06026">
              <w:rPr>
                <w:rFonts w:ascii="Arial" w:eastAsia="Aptos" w:hAnsi="Arial" w:cs="Times New Roman"/>
                <w:color w:val="000000"/>
                <w:kern w:val="2"/>
                <w:sz w:val="24"/>
                <w:szCs w:val="24"/>
              </w:rPr>
              <w:t>Not applicable</w:t>
            </w:r>
          </w:p>
        </w:tc>
      </w:tr>
      <w:tr w:rsidR="00E06026" w:rsidRPr="00E06026" w14:paraId="685AF76E" w14:textId="77777777" w:rsidTr="00E06026">
        <w:trPr>
          <w:trHeight w:val="807"/>
        </w:trPr>
        <w:tc>
          <w:tcPr>
            <w:tcW w:w="503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52584538" w14:textId="77777777" w:rsidR="00E06026" w:rsidRPr="00E06026" w:rsidRDefault="00E06026" w:rsidP="00E06026">
            <w:pPr>
              <w:spacing w:after="160"/>
              <w:rPr>
                <w:rFonts w:asciiTheme="majorHAnsi" w:eastAsia="Times New Roman" w:hAnsiTheme="majorHAnsi" w:cstheme="majorHAnsi"/>
              </w:rPr>
            </w:pPr>
            <w:r w:rsidRPr="00E06026">
              <w:rPr>
                <w:rFonts w:asciiTheme="majorHAnsi" w:eastAsia="Aptos" w:hAnsiTheme="majorHAnsi" w:cstheme="majorHAnsi"/>
                <w:color w:val="000000"/>
                <w:kern w:val="2"/>
              </w:rPr>
              <w:t xml:space="preserve">Establish comprehensive projection of future demand across the </w:t>
            </w:r>
            <w:proofErr w:type="gramStart"/>
            <w:r w:rsidRPr="00E06026">
              <w:rPr>
                <w:rFonts w:asciiTheme="majorHAnsi" w:eastAsia="Aptos" w:hAnsiTheme="majorHAnsi" w:cstheme="majorHAnsi"/>
                <w:color w:val="000000"/>
                <w:kern w:val="2"/>
              </w:rPr>
              <w:t>long term</w:t>
            </w:r>
            <w:proofErr w:type="gramEnd"/>
            <w:r w:rsidRPr="00E06026">
              <w:rPr>
                <w:rFonts w:asciiTheme="majorHAnsi" w:eastAsia="Aptos" w:hAnsiTheme="majorHAnsi" w:cstheme="majorHAnsi"/>
                <w:color w:val="000000"/>
                <w:kern w:val="2"/>
              </w:rPr>
              <w:t xml:space="preserve"> care continuum as well as the estimated costs associated with this demand </w:t>
            </w:r>
          </w:p>
        </w:tc>
        <w:tc>
          <w:tcPr>
            <w:tcW w:w="4950" w:type="dxa"/>
            <w:tcBorders>
              <w:top w:val="single" w:sz="8" w:space="0" w:color="FFFFFF"/>
              <w:left w:val="single" w:sz="8" w:space="0" w:color="FFFFFF"/>
              <w:bottom w:val="single" w:sz="8" w:space="0" w:color="FFFFFF"/>
              <w:right w:val="single" w:sz="8" w:space="0" w:color="FFFFFF"/>
            </w:tcBorders>
            <w:shd w:val="clear" w:color="auto" w:fill="CBD3EC"/>
            <w:tcMar>
              <w:top w:w="72" w:type="dxa"/>
              <w:left w:w="144" w:type="dxa"/>
              <w:bottom w:w="72" w:type="dxa"/>
              <w:right w:w="144" w:type="dxa"/>
            </w:tcMar>
            <w:hideMark/>
          </w:tcPr>
          <w:p w14:paraId="1F645D46" w14:textId="77777777" w:rsidR="00E06026" w:rsidRPr="00E06026" w:rsidRDefault="00E06026" w:rsidP="00E06026">
            <w:pPr>
              <w:spacing w:after="0" w:line="240" w:lineRule="auto"/>
              <w:rPr>
                <w:rFonts w:ascii="Arial" w:eastAsia="Times New Roman" w:hAnsi="Arial" w:cs="Arial"/>
                <w:sz w:val="36"/>
                <w:szCs w:val="36"/>
              </w:rPr>
            </w:pPr>
            <w:r w:rsidRPr="00E06026">
              <w:rPr>
                <w:rFonts w:ascii="Arial" w:eastAsia="Times New Roman" w:hAnsi="Arial" w:cs="Arial"/>
                <w:color w:val="000000"/>
                <w:kern w:val="24"/>
                <w:sz w:val="24"/>
                <w:szCs w:val="24"/>
              </w:rPr>
              <w:t xml:space="preserve">Not applicable </w:t>
            </w:r>
          </w:p>
        </w:tc>
      </w:tr>
      <w:tr w:rsidR="00E06026" w:rsidRPr="00E06026" w14:paraId="60930670" w14:textId="77777777" w:rsidTr="00E06026">
        <w:trPr>
          <w:trHeight w:val="807"/>
        </w:trPr>
        <w:tc>
          <w:tcPr>
            <w:tcW w:w="503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04D32F3A" w14:textId="77777777" w:rsidR="00E06026" w:rsidRPr="00E06026" w:rsidRDefault="00E06026" w:rsidP="00E06026">
            <w:pPr>
              <w:spacing w:after="0" w:line="240" w:lineRule="auto"/>
              <w:rPr>
                <w:rFonts w:asciiTheme="majorHAnsi" w:eastAsia="Times New Roman" w:hAnsiTheme="majorHAnsi" w:cstheme="majorHAnsi"/>
              </w:rPr>
            </w:pPr>
            <w:r w:rsidRPr="00E06026">
              <w:rPr>
                <w:rFonts w:asciiTheme="majorHAnsi" w:eastAsia="Times New Roman" w:hAnsiTheme="majorHAnsi" w:cstheme="majorHAnsi"/>
                <w:color w:val="000000"/>
                <w:kern w:val="24"/>
              </w:rPr>
              <w:t xml:space="preserve">Rate investments should support structural change rather than funding broad based rate increases alone </w:t>
            </w:r>
          </w:p>
        </w:tc>
        <w:tc>
          <w:tcPr>
            <w:tcW w:w="495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34C765A4" w14:textId="77777777" w:rsidR="00E06026" w:rsidRPr="00E06026" w:rsidRDefault="00E06026" w:rsidP="00E06026">
            <w:pPr>
              <w:spacing w:after="160"/>
              <w:rPr>
                <w:rFonts w:ascii="Arial" w:eastAsia="Times New Roman" w:hAnsi="Arial" w:cs="Arial"/>
                <w:sz w:val="36"/>
                <w:szCs w:val="36"/>
              </w:rPr>
            </w:pPr>
            <w:r w:rsidRPr="00E06026">
              <w:rPr>
                <w:rFonts w:ascii="Arial" w:eastAsia="Aptos" w:hAnsi="Arial" w:cs="Times New Roman"/>
                <w:color w:val="000000"/>
                <w:kern w:val="2"/>
                <w:sz w:val="24"/>
                <w:szCs w:val="24"/>
              </w:rPr>
              <w:t>Not applicable</w:t>
            </w:r>
          </w:p>
        </w:tc>
      </w:tr>
      <w:tr w:rsidR="00E06026" w:rsidRPr="00E06026" w14:paraId="31524988" w14:textId="77777777" w:rsidTr="00E06026">
        <w:trPr>
          <w:trHeight w:val="807"/>
        </w:trPr>
        <w:tc>
          <w:tcPr>
            <w:tcW w:w="503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036AE9EE" w14:textId="77777777" w:rsidR="00E06026" w:rsidRPr="00E06026" w:rsidRDefault="00E06026" w:rsidP="00E06026">
            <w:pPr>
              <w:spacing w:after="0"/>
              <w:rPr>
                <w:rFonts w:asciiTheme="majorHAnsi" w:eastAsia="Times New Roman" w:hAnsiTheme="majorHAnsi" w:cstheme="majorHAnsi"/>
              </w:rPr>
            </w:pPr>
            <w:r w:rsidRPr="00E06026">
              <w:rPr>
                <w:rFonts w:asciiTheme="majorHAnsi" w:eastAsia="Aptos" w:hAnsiTheme="majorHAnsi" w:cstheme="majorHAnsi"/>
                <w:color w:val="000000"/>
                <w:kern w:val="2"/>
              </w:rPr>
              <w:lastRenderedPageBreak/>
              <w:t xml:space="preserve">Support and facilitate structural changes to the nursing and rest homes industry that promote sustainability across the </w:t>
            </w:r>
            <w:proofErr w:type="gramStart"/>
            <w:r w:rsidRPr="00E06026">
              <w:rPr>
                <w:rFonts w:asciiTheme="majorHAnsi" w:eastAsia="Aptos" w:hAnsiTheme="majorHAnsi" w:cstheme="majorHAnsi"/>
                <w:color w:val="000000"/>
                <w:kern w:val="2"/>
              </w:rPr>
              <w:t>long term</w:t>
            </w:r>
            <w:proofErr w:type="gramEnd"/>
            <w:r w:rsidRPr="00E06026">
              <w:rPr>
                <w:rFonts w:asciiTheme="majorHAnsi" w:eastAsia="Aptos" w:hAnsiTheme="majorHAnsi" w:cstheme="majorHAnsi"/>
                <w:color w:val="000000"/>
                <w:kern w:val="2"/>
              </w:rPr>
              <w:t xml:space="preserve"> care continuum, through initiatives including: </w:t>
            </w:r>
          </w:p>
          <w:p w14:paraId="379D10E0" w14:textId="77777777" w:rsidR="00E06026" w:rsidRPr="00E06026" w:rsidRDefault="00E06026" w:rsidP="00D64948">
            <w:pPr>
              <w:numPr>
                <w:ilvl w:val="0"/>
                <w:numId w:val="36"/>
              </w:numPr>
              <w:spacing w:after="0"/>
              <w:ind w:left="994"/>
              <w:contextualSpacing/>
              <w:rPr>
                <w:rFonts w:asciiTheme="majorHAnsi" w:eastAsia="Times New Roman" w:hAnsiTheme="majorHAnsi" w:cstheme="majorHAnsi"/>
              </w:rPr>
            </w:pPr>
            <w:r w:rsidRPr="00E06026">
              <w:rPr>
                <w:rFonts w:asciiTheme="majorHAnsi" w:eastAsia="Aptos" w:hAnsiTheme="majorHAnsi" w:cstheme="majorHAnsi"/>
                <w:color w:val="000000"/>
                <w:kern w:val="2"/>
              </w:rPr>
              <w:t xml:space="preserve">Low-interest, capital programs to incentivize conversions or </w:t>
            </w:r>
            <w:proofErr w:type="gramStart"/>
            <w:r w:rsidRPr="00E06026">
              <w:rPr>
                <w:rFonts w:asciiTheme="majorHAnsi" w:eastAsia="Aptos" w:hAnsiTheme="majorHAnsi" w:cstheme="majorHAnsi"/>
                <w:color w:val="000000"/>
                <w:kern w:val="2"/>
              </w:rPr>
              <w:t>colocation</w:t>
            </w:r>
            <w:proofErr w:type="gramEnd"/>
            <w:r w:rsidRPr="00E06026">
              <w:rPr>
                <w:rFonts w:asciiTheme="majorHAnsi" w:eastAsia="Aptos" w:hAnsiTheme="majorHAnsi" w:cstheme="majorHAnsi"/>
                <w:color w:val="000000"/>
                <w:kern w:val="2"/>
              </w:rPr>
              <w:t xml:space="preserve"> of other services </w:t>
            </w:r>
          </w:p>
          <w:p w14:paraId="1F9D2ACF" w14:textId="77777777" w:rsidR="00E06026" w:rsidRPr="00E06026" w:rsidRDefault="00E06026" w:rsidP="00D64948">
            <w:pPr>
              <w:numPr>
                <w:ilvl w:val="0"/>
                <w:numId w:val="36"/>
              </w:numPr>
              <w:spacing w:after="0"/>
              <w:ind w:left="994"/>
              <w:contextualSpacing/>
              <w:rPr>
                <w:rFonts w:asciiTheme="majorHAnsi" w:eastAsia="Times New Roman" w:hAnsiTheme="majorHAnsi" w:cstheme="majorHAnsi"/>
              </w:rPr>
            </w:pPr>
            <w:r w:rsidRPr="00E06026">
              <w:rPr>
                <w:rFonts w:asciiTheme="majorHAnsi" w:eastAsia="Aptos" w:hAnsiTheme="majorHAnsi" w:cstheme="majorHAnsi"/>
                <w:color w:val="000000"/>
                <w:kern w:val="2"/>
              </w:rPr>
              <w:t xml:space="preserve">Voluntary reconfiguration program  </w:t>
            </w:r>
          </w:p>
          <w:p w14:paraId="6B7FFAF9" w14:textId="77777777" w:rsidR="00E06026" w:rsidRPr="00E06026" w:rsidRDefault="00E06026" w:rsidP="00D64948">
            <w:pPr>
              <w:numPr>
                <w:ilvl w:val="0"/>
                <w:numId w:val="36"/>
              </w:numPr>
              <w:spacing w:after="0"/>
              <w:ind w:left="994"/>
              <w:contextualSpacing/>
              <w:rPr>
                <w:rFonts w:asciiTheme="majorHAnsi" w:eastAsia="Times New Roman" w:hAnsiTheme="majorHAnsi" w:cstheme="majorHAnsi"/>
              </w:rPr>
            </w:pPr>
            <w:r w:rsidRPr="00E06026">
              <w:rPr>
                <w:rFonts w:asciiTheme="majorHAnsi" w:eastAsia="Aptos" w:hAnsiTheme="majorHAnsi" w:cstheme="majorHAnsi"/>
                <w:color w:val="000000"/>
                <w:kern w:val="2"/>
              </w:rPr>
              <w:t xml:space="preserve">Technical assistance for NFs interested in conversion or closure </w:t>
            </w:r>
          </w:p>
          <w:p w14:paraId="27CC1001" w14:textId="77777777" w:rsidR="00E06026" w:rsidRPr="00E06026" w:rsidRDefault="00E06026" w:rsidP="00D64948">
            <w:pPr>
              <w:numPr>
                <w:ilvl w:val="0"/>
                <w:numId w:val="36"/>
              </w:numPr>
              <w:spacing w:after="0"/>
              <w:ind w:left="994"/>
              <w:contextualSpacing/>
              <w:rPr>
                <w:rFonts w:asciiTheme="majorHAnsi" w:eastAsia="Times New Roman" w:hAnsiTheme="majorHAnsi" w:cstheme="majorHAnsi"/>
              </w:rPr>
            </w:pPr>
            <w:r w:rsidRPr="00E06026">
              <w:rPr>
                <w:rFonts w:asciiTheme="majorHAnsi" w:eastAsia="Aptos" w:hAnsiTheme="majorHAnsi" w:cstheme="majorHAnsi"/>
                <w:color w:val="000000"/>
                <w:kern w:val="2"/>
              </w:rPr>
              <w:t xml:space="preserve">Development of affordable assisted living </w:t>
            </w:r>
          </w:p>
        </w:tc>
        <w:tc>
          <w:tcPr>
            <w:tcW w:w="495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5A8EBF6B" w14:textId="77777777" w:rsidR="00E06026" w:rsidRPr="00E06026" w:rsidRDefault="00E06026" w:rsidP="00E06026">
            <w:pPr>
              <w:spacing w:after="160"/>
              <w:rPr>
                <w:rFonts w:ascii="Arial" w:eastAsia="Times New Roman" w:hAnsi="Arial" w:cs="Arial"/>
                <w:sz w:val="36"/>
                <w:szCs w:val="36"/>
              </w:rPr>
            </w:pPr>
            <w:r w:rsidRPr="00E06026">
              <w:rPr>
                <w:rFonts w:ascii="Arial" w:eastAsia="Aptos" w:hAnsi="Arial" w:cs="Times New Roman"/>
                <w:color w:val="000000"/>
                <w:kern w:val="2"/>
                <w:sz w:val="24"/>
                <w:szCs w:val="24"/>
              </w:rPr>
              <w:t xml:space="preserve">Not applicable </w:t>
            </w:r>
          </w:p>
        </w:tc>
      </w:tr>
      <w:tr w:rsidR="00E06026" w:rsidRPr="00E06026" w14:paraId="3874C27F" w14:textId="77777777" w:rsidTr="00E06026">
        <w:trPr>
          <w:trHeight w:val="807"/>
        </w:trPr>
        <w:tc>
          <w:tcPr>
            <w:tcW w:w="503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3CDBC232" w14:textId="77777777" w:rsidR="00E06026" w:rsidRPr="00E06026" w:rsidRDefault="00E06026" w:rsidP="00E06026">
            <w:pPr>
              <w:spacing w:after="160"/>
              <w:rPr>
                <w:rFonts w:asciiTheme="majorHAnsi" w:eastAsia="Times New Roman" w:hAnsiTheme="majorHAnsi" w:cstheme="majorHAnsi"/>
              </w:rPr>
            </w:pPr>
            <w:r w:rsidRPr="00E06026">
              <w:rPr>
                <w:rFonts w:asciiTheme="majorHAnsi" w:eastAsia="Aptos" w:hAnsiTheme="majorHAnsi" w:cstheme="majorHAnsi"/>
                <w:color w:val="000000"/>
                <w:kern w:val="2"/>
              </w:rPr>
              <w:t xml:space="preserve">Build on age-friendly efforts within cities and towns and improve the availability of affordable, supportive housing for older adults </w:t>
            </w:r>
          </w:p>
        </w:tc>
        <w:tc>
          <w:tcPr>
            <w:tcW w:w="495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55B5BF32" w14:textId="77777777" w:rsidR="00E06026" w:rsidRPr="00E06026" w:rsidRDefault="00E06026" w:rsidP="00E06026">
            <w:pPr>
              <w:spacing w:after="160"/>
              <w:rPr>
                <w:rFonts w:ascii="Arial" w:eastAsia="Times New Roman" w:hAnsi="Arial" w:cs="Arial"/>
                <w:sz w:val="36"/>
                <w:szCs w:val="36"/>
              </w:rPr>
            </w:pPr>
            <w:r w:rsidRPr="00E06026">
              <w:rPr>
                <w:rFonts w:ascii="Arial" w:eastAsia="Aptos" w:hAnsi="Arial" w:cs="Times New Roman"/>
                <w:color w:val="000000"/>
                <w:kern w:val="2"/>
                <w:sz w:val="24"/>
                <w:szCs w:val="24"/>
              </w:rPr>
              <w:t xml:space="preserve">Not applicable </w:t>
            </w:r>
          </w:p>
        </w:tc>
      </w:tr>
      <w:tr w:rsidR="00E06026" w:rsidRPr="00E06026" w14:paraId="1A2FFEF9" w14:textId="77777777" w:rsidTr="00E06026">
        <w:trPr>
          <w:trHeight w:val="807"/>
        </w:trPr>
        <w:tc>
          <w:tcPr>
            <w:tcW w:w="503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72565A1A" w14:textId="77777777" w:rsidR="00E06026" w:rsidRPr="00E06026" w:rsidRDefault="00E06026" w:rsidP="00E06026">
            <w:pPr>
              <w:spacing w:after="160"/>
              <w:rPr>
                <w:rFonts w:asciiTheme="majorHAnsi" w:eastAsia="Times New Roman" w:hAnsiTheme="majorHAnsi" w:cstheme="majorHAnsi"/>
              </w:rPr>
            </w:pPr>
            <w:r w:rsidRPr="00E06026">
              <w:rPr>
                <w:rFonts w:asciiTheme="majorHAnsi" w:eastAsia="Aptos" w:hAnsiTheme="majorHAnsi" w:cstheme="majorHAnsi"/>
                <w:color w:val="000000"/>
                <w:kern w:val="2"/>
              </w:rPr>
              <w:t xml:space="preserve">Support the workforce impacted by nursing facility closures and reconfiguration to ensure appropriate employment transitions  </w:t>
            </w:r>
          </w:p>
        </w:tc>
        <w:tc>
          <w:tcPr>
            <w:tcW w:w="495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75CB7AB9" w14:textId="77777777" w:rsidR="00E06026" w:rsidRPr="00E06026" w:rsidRDefault="00E06026" w:rsidP="00E06026">
            <w:pPr>
              <w:spacing w:after="160"/>
              <w:rPr>
                <w:rFonts w:ascii="Arial" w:eastAsia="Times New Roman" w:hAnsi="Arial" w:cs="Arial"/>
                <w:sz w:val="36"/>
                <w:szCs w:val="36"/>
              </w:rPr>
            </w:pPr>
            <w:r w:rsidRPr="00E06026">
              <w:rPr>
                <w:rFonts w:ascii="Arial" w:eastAsia="Aptos" w:hAnsi="Arial" w:cs="Times New Roman"/>
                <w:color w:val="000000"/>
                <w:kern w:val="2"/>
                <w:sz w:val="24"/>
                <w:szCs w:val="24"/>
              </w:rPr>
              <w:t>Not applicable</w:t>
            </w:r>
          </w:p>
        </w:tc>
      </w:tr>
    </w:tbl>
    <w:p w14:paraId="71A12897" w14:textId="77777777" w:rsidR="00E06026" w:rsidRDefault="00E06026">
      <w:pPr>
        <w:pStyle w:val="Heading1"/>
        <w:rPr>
          <w:rFonts w:cstheme="majorHAnsi"/>
        </w:rPr>
      </w:pPr>
    </w:p>
    <w:p w14:paraId="2B0468F8" w14:textId="2D60B233" w:rsidR="001E1A3E" w:rsidRPr="00F178E4" w:rsidRDefault="00000000">
      <w:pPr>
        <w:pStyle w:val="Heading1"/>
        <w:rPr>
          <w:rFonts w:cstheme="majorHAnsi"/>
        </w:rPr>
      </w:pPr>
      <w:r w:rsidRPr="00F178E4">
        <w:rPr>
          <w:rFonts w:cstheme="majorHAnsi"/>
        </w:rPr>
        <w:t>Slide 23</w:t>
      </w:r>
    </w:p>
    <w:p w14:paraId="633BC3D7" w14:textId="77777777" w:rsidR="001E1A3E" w:rsidRDefault="00000000">
      <w:pPr>
        <w:rPr>
          <w:rFonts w:asciiTheme="majorHAnsi" w:hAnsiTheme="majorHAnsi" w:cstheme="majorHAnsi"/>
        </w:rPr>
      </w:pPr>
      <w:r w:rsidRPr="00F178E4">
        <w:rPr>
          <w:rFonts w:asciiTheme="majorHAnsi" w:hAnsiTheme="majorHAnsi" w:cstheme="majorHAnsi"/>
        </w:rPr>
        <w:t>Task Force’s Findings – Charge (v) (cont.)</w:t>
      </w:r>
    </w:p>
    <w:p w14:paraId="3397DD1F" w14:textId="0D4EB31B" w:rsidR="005418A5" w:rsidRPr="00F178E4" w:rsidRDefault="005418A5">
      <w:pPr>
        <w:rPr>
          <w:rFonts w:asciiTheme="majorHAnsi" w:hAnsiTheme="majorHAnsi" w:cstheme="majorHAnsi"/>
        </w:rPr>
      </w:pPr>
      <w:r w:rsidRPr="005418A5">
        <w:rPr>
          <w:rFonts w:asciiTheme="majorHAnsi" w:hAnsiTheme="majorHAnsi" w:cstheme="majorHAnsi"/>
        </w:rPr>
        <w:t>Policy Area 2: Establish a Reasonable and Sustainable Rate Structure for Nursing Homes and Rest Homes</w:t>
      </w:r>
    </w:p>
    <w:tbl>
      <w:tblPr>
        <w:tblW w:w="9710" w:type="dxa"/>
        <w:tblCellMar>
          <w:left w:w="0" w:type="dxa"/>
          <w:right w:w="0" w:type="dxa"/>
        </w:tblCellMar>
        <w:tblLook w:val="0420" w:firstRow="1" w:lastRow="0" w:firstColumn="0" w:lastColumn="0" w:noHBand="0" w:noVBand="1"/>
      </w:tblPr>
      <w:tblGrid>
        <w:gridCol w:w="5300"/>
        <w:gridCol w:w="4410"/>
      </w:tblGrid>
      <w:tr w:rsidR="00442B27" w:rsidRPr="00442B27" w14:paraId="27960A4A" w14:textId="77777777" w:rsidTr="00442B27">
        <w:trPr>
          <w:trHeight w:val="360"/>
        </w:trPr>
        <w:tc>
          <w:tcPr>
            <w:tcW w:w="5300" w:type="dxa"/>
            <w:tcBorders>
              <w:top w:val="single" w:sz="8"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55733EEF" w14:textId="77777777" w:rsidR="00442B27" w:rsidRPr="00442B27" w:rsidRDefault="00442B27" w:rsidP="00442B27">
            <w:pPr>
              <w:spacing w:after="0"/>
              <w:rPr>
                <w:rFonts w:asciiTheme="majorHAnsi" w:eastAsia="Times New Roman" w:hAnsiTheme="majorHAnsi" w:cstheme="majorHAnsi"/>
              </w:rPr>
            </w:pPr>
            <w:r w:rsidRPr="00442B27">
              <w:rPr>
                <w:rFonts w:asciiTheme="majorHAnsi" w:eastAsia="Times New Roman" w:hAnsiTheme="majorHAnsi" w:cstheme="majorHAnsi"/>
                <w:b/>
                <w:bCs/>
                <w:color w:val="FFFFFF" w:themeColor="background1"/>
                <w:kern w:val="24"/>
              </w:rPr>
              <w:t xml:space="preserve">Recommendation: </w:t>
            </w:r>
          </w:p>
        </w:tc>
        <w:tc>
          <w:tcPr>
            <w:tcW w:w="4410" w:type="dxa"/>
            <w:tcBorders>
              <w:top w:val="single" w:sz="8"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41424D23" w14:textId="77777777" w:rsidR="00442B27" w:rsidRPr="00442B27" w:rsidRDefault="00442B27" w:rsidP="00442B27">
            <w:pPr>
              <w:spacing w:after="160"/>
              <w:rPr>
                <w:rFonts w:asciiTheme="majorHAnsi" w:eastAsia="Times New Roman" w:hAnsiTheme="majorHAnsi" w:cstheme="majorHAnsi"/>
              </w:rPr>
            </w:pPr>
            <w:r w:rsidRPr="00442B27">
              <w:rPr>
                <w:rFonts w:asciiTheme="majorHAnsi" w:hAnsiTheme="majorHAnsi" w:cstheme="majorHAnsi"/>
                <w:b/>
                <w:bCs/>
                <w:color w:val="FFFFFF"/>
                <w:kern w:val="24"/>
              </w:rPr>
              <w:t>Status/Notes</w:t>
            </w:r>
          </w:p>
        </w:tc>
      </w:tr>
      <w:tr w:rsidR="00442B27" w:rsidRPr="00442B27" w14:paraId="7CB9EA83" w14:textId="77777777" w:rsidTr="00442B27">
        <w:trPr>
          <w:trHeight w:val="807"/>
        </w:trPr>
        <w:tc>
          <w:tcPr>
            <w:tcW w:w="530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421572CD" w14:textId="77777777" w:rsidR="00442B27" w:rsidRPr="00442B27" w:rsidRDefault="00442B27" w:rsidP="00442B27">
            <w:pPr>
              <w:spacing w:after="0"/>
              <w:rPr>
                <w:rFonts w:asciiTheme="majorHAnsi" w:eastAsia="Times New Roman" w:hAnsiTheme="majorHAnsi" w:cstheme="majorHAnsi"/>
              </w:rPr>
            </w:pPr>
            <w:r w:rsidRPr="00442B27">
              <w:rPr>
                <w:rFonts w:asciiTheme="majorHAnsi" w:eastAsia="Aptos" w:hAnsiTheme="majorHAnsi" w:cstheme="majorHAnsi"/>
                <w:color w:val="000000"/>
                <w:kern w:val="2"/>
              </w:rPr>
              <w:t xml:space="preserve">Establish </w:t>
            </w:r>
            <w:proofErr w:type="gramStart"/>
            <w:r w:rsidRPr="00442B27">
              <w:rPr>
                <w:rFonts w:asciiTheme="majorHAnsi" w:eastAsia="Aptos" w:hAnsiTheme="majorHAnsi" w:cstheme="majorHAnsi"/>
                <w:color w:val="000000"/>
                <w:kern w:val="2"/>
              </w:rPr>
              <w:t>one</w:t>
            </w:r>
            <w:proofErr w:type="gramEnd"/>
            <w:r w:rsidRPr="00442B27">
              <w:rPr>
                <w:rFonts w:asciiTheme="majorHAnsi" w:eastAsia="Aptos" w:hAnsiTheme="majorHAnsi" w:cstheme="majorHAnsi"/>
                <w:color w:val="000000"/>
                <w:kern w:val="2"/>
              </w:rPr>
              <w:t xml:space="preserve"> integrated rate structure based on building blocks of a sensible, sustainable rate structure. This includes: </w:t>
            </w:r>
          </w:p>
          <w:p w14:paraId="4BE20BF9" w14:textId="77777777" w:rsidR="00442B27" w:rsidRPr="00442B27" w:rsidRDefault="00442B27" w:rsidP="00D64948">
            <w:pPr>
              <w:numPr>
                <w:ilvl w:val="0"/>
                <w:numId w:val="37"/>
              </w:numPr>
              <w:spacing w:after="0"/>
              <w:ind w:left="994"/>
              <w:contextualSpacing/>
              <w:rPr>
                <w:rFonts w:asciiTheme="majorHAnsi" w:eastAsia="Times New Roman" w:hAnsiTheme="majorHAnsi" w:cstheme="majorHAnsi"/>
              </w:rPr>
            </w:pPr>
            <w:r w:rsidRPr="00442B27">
              <w:rPr>
                <w:rFonts w:asciiTheme="majorHAnsi" w:eastAsia="Aptos" w:hAnsiTheme="majorHAnsi" w:cstheme="majorHAnsi"/>
                <w:color w:val="000000" w:themeColor="dark1"/>
                <w:kern w:val="2"/>
              </w:rPr>
              <w:t xml:space="preserve">Eliminating the MMQ and basing reimbursement on the MDS assessment </w:t>
            </w:r>
          </w:p>
          <w:p w14:paraId="39F21FB5" w14:textId="77777777" w:rsidR="00442B27" w:rsidRPr="00442B27" w:rsidRDefault="00442B27" w:rsidP="00D64948">
            <w:pPr>
              <w:numPr>
                <w:ilvl w:val="0"/>
                <w:numId w:val="37"/>
              </w:numPr>
              <w:spacing w:after="0"/>
              <w:ind w:left="994"/>
              <w:contextualSpacing/>
              <w:rPr>
                <w:rFonts w:asciiTheme="majorHAnsi" w:eastAsia="Times New Roman" w:hAnsiTheme="majorHAnsi" w:cstheme="majorHAnsi"/>
              </w:rPr>
            </w:pPr>
            <w:r w:rsidRPr="00442B27">
              <w:rPr>
                <w:rFonts w:asciiTheme="majorHAnsi" w:eastAsia="Aptos" w:hAnsiTheme="majorHAnsi" w:cstheme="majorHAnsi"/>
                <w:color w:val="000000" w:themeColor="dark1"/>
                <w:kern w:val="2"/>
              </w:rPr>
              <w:t xml:space="preserve">Incentives for higher occupancy and facilities with a high percentage of Medicaid residents </w:t>
            </w:r>
          </w:p>
          <w:p w14:paraId="18B72AD6" w14:textId="77777777" w:rsidR="00442B27" w:rsidRPr="00442B27" w:rsidRDefault="00442B27" w:rsidP="00D64948">
            <w:pPr>
              <w:numPr>
                <w:ilvl w:val="0"/>
                <w:numId w:val="37"/>
              </w:numPr>
              <w:spacing w:after="0"/>
              <w:ind w:left="994"/>
              <w:contextualSpacing/>
              <w:rPr>
                <w:rFonts w:asciiTheme="majorHAnsi" w:eastAsia="Times New Roman" w:hAnsiTheme="majorHAnsi" w:cstheme="majorHAnsi"/>
              </w:rPr>
            </w:pPr>
            <w:r w:rsidRPr="00442B27">
              <w:rPr>
                <w:rFonts w:asciiTheme="majorHAnsi" w:eastAsia="Aptos" w:hAnsiTheme="majorHAnsi" w:cstheme="majorHAnsi"/>
                <w:color w:val="000000" w:themeColor="dark1"/>
                <w:kern w:val="2"/>
              </w:rPr>
              <w:t xml:space="preserve">A rate structure and payments linked to quality achievement and improvement </w:t>
            </w:r>
          </w:p>
          <w:p w14:paraId="45F3238A" w14:textId="77777777" w:rsidR="00442B27" w:rsidRPr="00442B27" w:rsidRDefault="00442B27" w:rsidP="00D64948">
            <w:pPr>
              <w:numPr>
                <w:ilvl w:val="0"/>
                <w:numId w:val="37"/>
              </w:numPr>
              <w:spacing w:after="0"/>
              <w:ind w:left="994"/>
              <w:contextualSpacing/>
              <w:rPr>
                <w:rFonts w:asciiTheme="majorHAnsi" w:eastAsia="Times New Roman" w:hAnsiTheme="majorHAnsi" w:cstheme="majorHAnsi"/>
              </w:rPr>
            </w:pPr>
            <w:r w:rsidRPr="00442B27">
              <w:rPr>
                <w:rFonts w:asciiTheme="majorHAnsi" w:eastAsia="Aptos" w:hAnsiTheme="majorHAnsi" w:cstheme="majorHAnsi"/>
                <w:color w:val="000000" w:themeColor="dark1"/>
                <w:kern w:val="2"/>
              </w:rPr>
              <w:t xml:space="preserve">Support for geographically isolated areas </w:t>
            </w:r>
          </w:p>
        </w:tc>
        <w:tc>
          <w:tcPr>
            <w:tcW w:w="441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1BA75022"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Not applicable – focused on nursing facilities – see below.</w:t>
            </w:r>
          </w:p>
        </w:tc>
      </w:tr>
      <w:tr w:rsidR="00442B27" w:rsidRPr="00442B27" w14:paraId="56D28C89" w14:textId="77777777" w:rsidTr="00442B27">
        <w:trPr>
          <w:trHeight w:val="1250"/>
        </w:trPr>
        <w:tc>
          <w:tcPr>
            <w:tcW w:w="530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03668C58" w14:textId="77777777" w:rsidR="00442B27" w:rsidRPr="00442B27" w:rsidRDefault="00442B27" w:rsidP="00442B27">
            <w:pPr>
              <w:spacing w:after="0" w:line="240" w:lineRule="auto"/>
              <w:rPr>
                <w:rFonts w:asciiTheme="majorHAnsi" w:eastAsia="Times New Roman" w:hAnsiTheme="majorHAnsi" w:cstheme="majorHAnsi"/>
              </w:rPr>
            </w:pPr>
            <w:r w:rsidRPr="00442B27">
              <w:rPr>
                <w:rFonts w:asciiTheme="majorHAnsi" w:eastAsia="Times New Roman" w:hAnsiTheme="majorHAnsi" w:cstheme="majorHAnsi"/>
                <w:color w:val="000000" w:themeColor="dark1"/>
                <w:kern w:val="24"/>
              </w:rPr>
              <w:lastRenderedPageBreak/>
              <w:t xml:space="preserve">Review rest home rate structure and how best to apply these principles to rest home rates </w:t>
            </w:r>
          </w:p>
        </w:tc>
        <w:tc>
          <w:tcPr>
            <w:tcW w:w="441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1022BD0D" w14:textId="77777777" w:rsidR="00442B27" w:rsidRPr="00442B27" w:rsidRDefault="00442B27" w:rsidP="00D64948">
            <w:pPr>
              <w:numPr>
                <w:ilvl w:val="0"/>
                <w:numId w:val="38"/>
              </w:numPr>
              <w:spacing w:after="120" w:line="240" w:lineRule="auto"/>
              <w:ind w:left="994"/>
              <w:contextualSpacing/>
              <w:rPr>
                <w:rFonts w:asciiTheme="majorHAnsi" w:eastAsia="Times New Roman" w:hAnsiTheme="majorHAnsi" w:cstheme="majorHAnsi"/>
              </w:rPr>
            </w:pPr>
            <w:r w:rsidRPr="00442B27">
              <w:rPr>
                <w:rFonts w:asciiTheme="majorHAnsi" w:eastAsia="Aptos" w:hAnsiTheme="majorHAnsi" w:cstheme="majorHAnsi"/>
                <w:color w:val="000000" w:themeColor="text1"/>
                <w:kern w:val="2"/>
              </w:rPr>
              <w:t>Rest home rates cannot be tied to resident acuity or complexity because these facilities do not complete MDS assessments.</w:t>
            </w:r>
          </w:p>
          <w:p w14:paraId="1FBB4E3A" w14:textId="77777777" w:rsidR="00442B27" w:rsidRPr="00442B27" w:rsidRDefault="00442B27" w:rsidP="00D64948">
            <w:pPr>
              <w:numPr>
                <w:ilvl w:val="0"/>
                <w:numId w:val="38"/>
              </w:numPr>
              <w:spacing w:after="120" w:line="240" w:lineRule="auto"/>
              <w:ind w:left="994"/>
              <w:contextualSpacing/>
              <w:rPr>
                <w:rFonts w:asciiTheme="majorHAnsi" w:eastAsia="Times New Roman" w:hAnsiTheme="majorHAnsi" w:cstheme="majorHAnsi"/>
              </w:rPr>
            </w:pPr>
            <w:r w:rsidRPr="00442B27">
              <w:rPr>
                <w:rFonts w:asciiTheme="majorHAnsi" w:eastAsia="Times New Roman" w:hAnsiTheme="majorHAnsi" w:cstheme="majorHAnsi"/>
                <w:color w:val="000000" w:themeColor="dark1"/>
                <w:kern w:val="24"/>
              </w:rPr>
              <w:t>Incentives for high occupancy rest homes have not been implemented, as this would require the submission of occupancy data to EOHHS.</w:t>
            </w:r>
          </w:p>
          <w:p w14:paraId="6FB4CAE1" w14:textId="77777777" w:rsidR="00442B27" w:rsidRPr="00442B27" w:rsidRDefault="00442B27" w:rsidP="00D64948">
            <w:pPr>
              <w:numPr>
                <w:ilvl w:val="0"/>
                <w:numId w:val="38"/>
              </w:numPr>
              <w:spacing w:after="120" w:line="240" w:lineRule="auto"/>
              <w:ind w:left="994"/>
              <w:contextualSpacing/>
              <w:rPr>
                <w:rFonts w:asciiTheme="majorHAnsi" w:eastAsia="Times New Roman" w:hAnsiTheme="majorHAnsi" w:cstheme="majorHAnsi"/>
              </w:rPr>
            </w:pPr>
            <w:r w:rsidRPr="00442B27">
              <w:rPr>
                <w:rFonts w:asciiTheme="majorHAnsi" w:eastAsia="Times New Roman" w:hAnsiTheme="majorHAnsi" w:cstheme="majorHAnsi"/>
                <w:color w:val="000000" w:themeColor="dark1"/>
                <w:kern w:val="24"/>
              </w:rPr>
              <w:t>This incentive is provided for facilities with a high percentage of public (MassHealth) residents through the DTA &amp; EAEDC Add-on.</w:t>
            </w:r>
          </w:p>
          <w:p w14:paraId="05D80258" w14:textId="77777777" w:rsidR="00442B27" w:rsidRPr="00442B27" w:rsidRDefault="00442B27" w:rsidP="00D64948">
            <w:pPr>
              <w:numPr>
                <w:ilvl w:val="0"/>
                <w:numId w:val="38"/>
              </w:numPr>
              <w:spacing w:after="120" w:line="240" w:lineRule="auto"/>
              <w:ind w:left="994"/>
              <w:contextualSpacing/>
              <w:rPr>
                <w:rFonts w:asciiTheme="majorHAnsi" w:eastAsia="Times New Roman" w:hAnsiTheme="majorHAnsi" w:cstheme="majorHAnsi"/>
              </w:rPr>
            </w:pPr>
            <w:r w:rsidRPr="00442B27">
              <w:rPr>
                <w:rFonts w:asciiTheme="majorHAnsi" w:eastAsia="Times New Roman" w:hAnsiTheme="majorHAnsi" w:cstheme="majorHAnsi"/>
                <w:color w:val="000000" w:themeColor="dark1"/>
                <w:kern w:val="24"/>
              </w:rPr>
              <w:t>Rates linked to quality have not been implemented since rest homes do not report any quality measures to the state.</w:t>
            </w:r>
          </w:p>
          <w:p w14:paraId="4ADE8CF6" w14:textId="77777777" w:rsidR="00442B27" w:rsidRPr="00442B27" w:rsidRDefault="00442B27" w:rsidP="00D64948">
            <w:pPr>
              <w:numPr>
                <w:ilvl w:val="0"/>
                <w:numId w:val="38"/>
              </w:numPr>
              <w:spacing w:line="240" w:lineRule="auto"/>
              <w:ind w:left="994"/>
              <w:contextualSpacing/>
              <w:rPr>
                <w:rFonts w:asciiTheme="majorHAnsi" w:eastAsia="Times New Roman" w:hAnsiTheme="majorHAnsi" w:cstheme="majorHAnsi"/>
              </w:rPr>
            </w:pPr>
            <w:r w:rsidRPr="00442B27">
              <w:rPr>
                <w:rFonts w:asciiTheme="majorHAnsi" w:eastAsia="Times New Roman" w:hAnsiTheme="majorHAnsi" w:cstheme="majorHAnsi"/>
                <w:color w:val="000000" w:themeColor="dark1"/>
                <w:kern w:val="24"/>
              </w:rPr>
              <w:t xml:space="preserve">Incentives for rest homes in geographically isolated areas have not been introduced, as </w:t>
            </w:r>
            <w:proofErr w:type="gramStart"/>
            <w:r w:rsidRPr="00442B27">
              <w:rPr>
                <w:rFonts w:asciiTheme="majorHAnsi" w:eastAsia="Times New Roman" w:hAnsiTheme="majorHAnsi" w:cstheme="majorHAnsi"/>
                <w:color w:val="000000" w:themeColor="dark1"/>
                <w:kern w:val="24"/>
              </w:rPr>
              <w:t>the majority of</w:t>
            </w:r>
            <w:proofErr w:type="gramEnd"/>
            <w:r w:rsidRPr="00442B27">
              <w:rPr>
                <w:rFonts w:asciiTheme="majorHAnsi" w:eastAsia="Times New Roman" w:hAnsiTheme="majorHAnsi" w:cstheme="majorHAnsi"/>
                <w:color w:val="000000" w:themeColor="dark1"/>
                <w:kern w:val="24"/>
              </w:rPr>
              <w:t xml:space="preserve"> rest homes are located in urban areas.</w:t>
            </w:r>
          </w:p>
        </w:tc>
      </w:tr>
      <w:tr w:rsidR="00442B27" w:rsidRPr="00442B27" w14:paraId="66ADF033" w14:textId="77777777" w:rsidTr="00442B27">
        <w:trPr>
          <w:trHeight w:val="807"/>
        </w:trPr>
        <w:tc>
          <w:tcPr>
            <w:tcW w:w="530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6666556F"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Update base year costs regularly so that rates are reflective of actual costs</w:t>
            </w:r>
          </w:p>
        </w:tc>
        <w:tc>
          <w:tcPr>
            <w:tcW w:w="441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7EE87237" w14:textId="77777777" w:rsidR="00442B27" w:rsidRPr="00442B27" w:rsidRDefault="00442B27" w:rsidP="00D64948">
            <w:pPr>
              <w:numPr>
                <w:ilvl w:val="0"/>
                <w:numId w:val="39"/>
              </w:numPr>
              <w:spacing w:after="120" w:line="240" w:lineRule="auto"/>
              <w:ind w:left="994"/>
              <w:contextualSpacing/>
              <w:rPr>
                <w:rFonts w:asciiTheme="majorHAnsi" w:eastAsia="Times New Roman" w:hAnsiTheme="majorHAnsi" w:cstheme="majorHAnsi"/>
              </w:rPr>
            </w:pPr>
            <w:r w:rsidRPr="00442B27">
              <w:rPr>
                <w:rFonts w:asciiTheme="majorHAnsi" w:eastAsia="Times New Roman" w:hAnsiTheme="majorHAnsi" w:cstheme="majorHAnsi"/>
                <w:color w:val="000000" w:themeColor="dark1"/>
                <w:kern w:val="24"/>
              </w:rPr>
              <w:t xml:space="preserve">EOHHS annually rebases rest home rates, applying a reasonable inflation adjustment to reflect current costs. </w:t>
            </w:r>
          </w:p>
          <w:p w14:paraId="3672A197" w14:textId="77777777" w:rsidR="00442B27" w:rsidRPr="00442B27" w:rsidRDefault="00442B27" w:rsidP="00D64948">
            <w:pPr>
              <w:numPr>
                <w:ilvl w:val="0"/>
                <w:numId w:val="39"/>
              </w:numPr>
              <w:spacing w:after="120" w:line="240" w:lineRule="auto"/>
              <w:ind w:left="994"/>
              <w:contextualSpacing/>
              <w:rPr>
                <w:rFonts w:asciiTheme="majorHAnsi" w:eastAsia="Times New Roman" w:hAnsiTheme="majorHAnsi" w:cstheme="majorHAnsi"/>
              </w:rPr>
            </w:pPr>
            <w:r w:rsidRPr="00442B27">
              <w:rPr>
                <w:rFonts w:asciiTheme="majorHAnsi" w:eastAsia="Times New Roman" w:hAnsiTheme="majorHAnsi" w:cstheme="majorHAnsi"/>
                <w:color w:val="000000" w:themeColor="dark1"/>
                <w:kern w:val="24"/>
              </w:rPr>
              <w:t>Updating rates based on the 2022 cost report data and adjusting them for inflation from 2022 to now—without further modifications—would lower rates for 51 of 52 rest homes, resulting in savings of $15 million.</w:t>
            </w:r>
          </w:p>
        </w:tc>
      </w:tr>
    </w:tbl>
    <w:p w14:paraId="471FE26D" w14:textId="77777777" w:rsidR="00E06026" w:rsidRDefault="00E06026">
      <w:pPr>
        <w:pStyle w:val="Heading1"/>
        <w:rPr>
          <w:rFonts w:cstheme="majorHAnsi"/>
        </w:rPr>
      </w:pPr>
    </w:p>
    <w:p w14:paraId="31F37256" w14:textId="4E9F0F6F" w:rsidR="001E1A3E" w:rsidRPr="00F178E4" w:rsidRDefault="00000000">
      <w:pPr>
        <w:pStyle w:val="Heading1"/>
        <w:rPr>
          <w:rFonts w:cstheme="majorHAnsi"/>
        </w:rPr>
      </w:pPr>
      <w:r w:rsidRPr="00F178E4">
        <w:rPr>
          <w:rFonts w:cstheme="majorHAnsi"/>
        </w:rPr>
        <w:t>Slide 24</w:t>
      </w:r>
    </w:p>
    <w:p w14:paraId="6376195E" w14:textId="77777777" w:rsidR="001E1A3E" w:rsidRDefault="00000000">
      <w:pPr>
        <w:rPr>
          <w:rFonts w:asciiTheme="majorHAnsi" w:hAnsiTheme="majorHAnsi" w:cstheme="majorHAnsi"/>
        </w:rPr>
      </w:pPr>
      <w:r w:rsidRPr="00F178E4">
        <w:rPr>
          <w:rFonts w:asciiTheme="majorHAnsi" w:hAnsiTheme="majorHAnsi" w:cstheme="majorHAnsi"/>
        </w:rPr>
        <w:t>Task Force’s Findings – Charge (v) (cont.)</w:t>
      </w:r>
    </w:p>
    <w:p w14:paraId="3B59903F" w14:textId="1F39C40A" w:rsidR="005418A5" w:rsidRPr="00F178E4" w:rsidRDefault="005418A5">
      <w:pPr>
        <w:rPr>
          <w:rFonts w:asciiTheme="majorHAnsi" w:hAnsiTheme="majorHAnsi" w:cstheme="majorHAnsi"/>
        </w:rPr>
      </w:pPr>
      <w:r w:rsidRPr="005418A5">
        <w:rPr>
          <w:rFonts w:asciiTheme="majorHAnsi" w:hAnsiTheme="majorHAnsi" w:cstheme="majorHAnsi"/>
        </w:rPr>
        <w:t>Policy Area 2: Establish a Reasonable and Sustainable Rate Structure for Nursing Homes and Rest Homes</w:t>
      </w:r>
    </w:p>
    <w:tbl>
      <w:tblPr>
        <w:tblW w:w="9080" w:type="dxa"/>
        <w:tblCellMar>
          <w:left w:w="0" w:type="dxa"/>
          <w:right w:w="0" w:type="dxa"/>
        </w:tblCellMar>
        <w:tblLook w:val="0420" w:firstRow="1" w:lastRow="0" w:firstColumn="0" w:lastColumn="0" w:noHBand="0" w:noVBand="1"/>
      </w:tblPr>
      <w:tblGrid>
        <w:gridCol w:w="4760"/>
        <w:gridCol w:w="4320"/>
      </w:tblGrid>
      <w:tr w:rsidR="00442B27" w:rsidRPr="00442B27" w14:paraId="50479930" w14:textId="77777777" w:rsidTr="00442B27">
        <w:trPr>
          <w:trHeight w:val="360"/>
        </w:trPr>
        <w:tc>
          <w:tcPr>
            <w:tcW w:w="4760" w:type="dxa"/>
            <w:tcBorders>
              <w:top w:val="single" w:sz="24"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23A1684E" w14:textId="77777777" w:rsidR="00442B27" w:rsidRPr="00442B27" w:rsidRDefault="00442B27" w:rsidP="00442B27">
            <w:pPr>
              <w:spacing w:after="0"/>
              <w:rPr>
                <w:rFonts w:asciiTheme="majorHAnsi" w:eastAsia="Times New Roman" w:hAnsiTheme="majorHAnsi" w:cstheme="majorHAnsi"/>
              </w:rPr>
            </w:pPr>
            <w:r w:rsidRPr="00442B27">
              <w:rPr>
                <w:rFonts w:asciiTheme="majorHAnsi" w:eastAsia="Times New Roman" w:hAnsiTheme="majorHAnsi" w:cstheme="majorHAnsi"/>
                <w:b/>
                <w:bCs/>
                <w:color w:val="FFFFFF" w:themeColor="background1"/>
                <w:kern w:val="24"/>
              </w:rPr>
              <w:t xml:space="preserve">Recommendation: </w:t>
            </w:r>
          </w:p>
        </w:tc>
        <w:tc>
          <w:tcPr>
            <w:tcW w:w="4320" w:type="dxa"/>
            <w:tcBorders>
              <w:top w:val="single" w:sz="24"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022B401F" w14:textId="77777777" w:rsidR="00442B27" w:rsidRPr="00442B27" w:rsidRDefault="00442B27" w:rsidP="00442B27">
            <w:pPr>
              <w:spacing w:after="160"/>
              <w:rPr>
                <w:rFonts w:asciiTheme="majorHAnsi" w:eastAsia="Times New Roman" w:hAnsiTheme="majorHAnsi" w:cstheme="majorHAnsi"/>
              </w:rPr>
            </w:pPr>
            <w:r w:rsidRPr="00442B27">
              <w:rPr>
                <w:rFonts w:asciiTheme="majorHAnsi" w:hAnsiTheme="majorHAnsi" w:cstheme="majorHAnsi"/>
                <w:b/>
                <w:bCs/>
                <w:color w:val="FFFFFF"/>
                <w:kern w:val="24"/>
              </w:rPr>
              <w:t>Status/Notes</w:t>
            </w:r>
          </w:p>
        </w:tc>
      </w:tr>
      <w:tr w:rsidR="00442B27" w:rsidRPr="00442B27" w14:paraId="2DEA38CE" w14:textId="77777777" w:rsidTr="00442B27">
        <w:trPr>
          <w:trHeight w:val="807"/>
        </w:trPr>
        <w:tc>
          <w:tcPr>
            <w:tcW w:w="476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65CC9B8E"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lastRenderedPageBreak/>
              <w:t xml:space="preserve">Structure rates to incentivize higher occupancy while maintaining quality, to invest in staff and not empty beds  </w:t>
            </w:r>
          </w:p>
        </w:tc>
        <w:tc>
          <w:tcPr>
            <w:tcW w:w="432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7578949D"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 xml:space="preserve">EOHHS has implemented a downward rate adjustment for SNFs with low occupancy; however, this approach has not been applied to rest homes due to lack of occupancy data. The only consistently collected data comes from the RCC-Q requirements, which monitor </w:t>
            </w:r>
            <w:proofErr w:type="gramStart"/>
            <w:r w:rsidRPr="00442B27">
              <w:rPr>
                <w:rFonts w:asciiTheme="majorHAnsi" w:eastAsia="Aptos" w:hAnsiTheme="majorHAnsi" w:cstheme="majorHAnsi"/>
                <w:color w:val="000000" w:themeColor="text1"/>
                <w:kern w:val="2"/>
              </w:rPr>
              <w:t>expenditures</w:t>
            </w:r>
            <w:proofErr w:type="gramEnd"/>
            <w:r w:rsidRPr="00442B27">
              <w:rPr>
                <w:rFonts w:asciiTheme="majorHAnsi" w:eastAsia="Aptos" w:hAnsiTheme="majorHAnsi" w:cstheme="majorHAnsi"/>
                <w:color w:val="000000" w:themeColor="text1"/>
                <w:kern w:val="2"/>
              </w:rPr>
              <w:t xml:space="preserve"> on staff and essential supplies—key indicators of quality care.</w:t>
            </w:r>
          </w:p>
        </w:tc>
      </w:tr>
      <w:tr w:rsidR="00442B27" w:rsidRPr="00442B27" w14:paraId="68C0B3CD" w14:textId="77777777" w:rsidTr="00442B27">
        <w:trPr>
          <w:trHeight w:val="707"/>
        </w:trPr>
        <w:tc>
          <w:tcPr>
            <w:tcW w:w="476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0D9214B9"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 xml:space="preserve">Increase compliance of the user fee assessment through additional payment and licensing enforcement tools </w:t>
            </w:r>
          </w:p>
        </w:tc>
        <w:tc>
          <w:tcPr>
            <w:tcW w:w="432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3831C789"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Not applicable</w:t>
            </w:r>
          </w:p>
        </w:tc>
      </w:tr>
      <w:tr w:rsidR="00442B27" w:rsidRPr="00442B27" w14:paraId="39FC8E1D" w14:textId="77777777" w:rsidTr="00442B27">
        <w:trPr>
          <w:trHeight w:val="807"/>
        </w:trPr>
        <w:tc>
          <w:tcPr>
            <w:tcW w:w="476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43BEA1EE"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 xml:space="preserve">Ensure capital component of the rate reflects </w:t>
            </w:r>
            <w:proofErr w:type="gramStart"/>
            <w:r w:rsidRPr="00442B27">
              <w:rPr>
                <w:rFonts w:asciiTheme="majorHAnsi" w:eastAsia="Aptos" w:hAnsiTheme="majorHAnsi" w:cstheme="majorHAnsi"/>
                <w:color w:val="000000" w:themeColor="text1"/>
                <w:kern w:val="2"/>
              </w:rPr>
              <w:t>ability</w:t>
            </w:r>
            <w:proofErr w:type="gramEnd"/>
            <w:r w:rsidRPr="00442B27">
              <w:rPr>
                <w:rFonts w:asciiTheme="majorHAnsi" w:eastAsia="Aptos" w:hAnsiTheme="majorHAnsi" w:cstheme="majorHAnsi"/>
                <w:color w:val="000000" w:themeColor="text1"/>
                <w:kern w:val="2"/>
              </w:rPr>
              <w:t xml:space="preserve"> of providers to invest in capital projects and improvements</w:t>
            </w:r>
          </w:p>
        </w:tc>
        <w:tc>
          <w:tcPr>
            <w:tcW w:w="432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0356F4DE" w14:textId="2504894A" w:rsidR="00442B27" w:rsidRPr="00442B27" w:rsidRDefault="00442B27" w:rsidP="00442B27">
            <w:pPr>
              <w:spacing w:after="160"/>
              <w:rPr>
                <w:rFonts w:asciiTheme="majorHAnsi" w:eastAsia="Times New Roman" w:hAnsiTheme="majorHAnsi" w:cstheme="majorHAnsi"/>
              </w:rPr>
            </w:pPr>
            <w:r w:rsidRPr="00442B27">
              <w:rPr>
                <w:rFonts w:asciiTheme="majorHAnsi" w:eastAsia="Times New Roman" w:hAnsiTheme="majorHAnsi" w:cstheme="majorHAnsi"/>
                <w:color w:val="000000" w:themeColor="dark1"/>
                <w:kern w:val="24"/>
              </w:rPr>
              <w:t>Some rest homes do require capital improvements. In FY23 and FY24, $30 million was distributed in supplemental lump-sum payments.</w:t>
            </w:r>
          </w:p>
        </w:tc>
      </w:tr>
    </w:tbl>
    <w:p w14:paraId="490D0570" w14:textId="77777777" w:rsidR="00E06026" w:rsidRDefault="00E06026">
      <w:pPr>
        <w:pStyle w:val="Heading1"/>
        <w:rPr>
          <w:rFonts w:cstheme="majorHAnsi"/>
        </w:rPr>
      </w:pPr>
    </w:p>
    <w:p w14:paraId="25A41957" w14:textId="35005B5B" w:rsidR="005418A5" w:rsidRPr="005418A5" w:rsidRDefault="005418A5" w:rsidP="005418A5">
      <w:pPr>
        <w:rPr>
          <w:rFonts w:asciiTheme="majorHAnsi" w:hAnsiTheme="majorHAnsi" w:cstheme="majorHAnsi"/>
        </w:rPr>
      </w:pPr>
      <w:r w:rsidRPr="005418A5">
        <w:rPr>
          <w:rFonts w:asciiTheme="majorHAnsi" w:hAnsiTheme="majorHAnsi" w:cstheme="majorHAnsi"/>
        </w:rPr>
        <w:t>Policy Area 3: Promote High Quality Care in Nursing Home and Rest Homes</w:t>
      </w:r>
    </w:p>
    <w:tbl>
      <w:tblPr>
        <w:tblW w:w="9170" w:type="dxa"/>
        <w:tblCellMar>
          <w:left w:w="0" w:type="dxa"/>
          <w:right w:w="0" w:type="dxa"/>
        </w:tblCellMar>
        <w:tblLook w:val="0420" w:firstRow="1" w:lastRow="0" w:firstColumn="0" w:lastColumn="0" w:noHBand="0" w:noVBand="1"/>
      </w:tblPr>
      <w:tblGrid>
        <w:gridCol w:w="4760"/>
        <w:gridCol w:w="4410"/>
      </w:tblGrid>
      <w:tr w:rsidR="00442B27" w:rsidRPr="00442B27" w14:paraId="7ED8CF63" w14:textId="77777777" w:rsidTr="00442B27">
        <w:trPr>
          <w:trHeight w:val="360"/>
        </w:trPr>
        <w:tc>
          <w:tcPr>
            <w:tcW w:w="4760" w:type="dxa"/>
            <w:tcBorders>
              <w:top w:val="single" w:sz="24"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2DE7BB17" w14:textId="77777777" w:rsidR="00442B27" w:rsidRPr="00442B27" w:rsidRDefault="00442B27" w:rsidP="00442B27">
            <w:pPr>
              <w:spacing w:after="0"/>
              <w:rPr>
                <w:rFonts w:asciiTheme="majorHAnsi" w:eastAsia="Times New Roman" w:hAnsiTheme="majorHAnsi" w:cstheme="majorHAnsi"/>
              </w:rPr>
            </w:pPr>
            <w:r w:rsidRPr="00442B27">
              <w:rPr>
                <w:rFonts w:asciiTheme="majorHAnsi" w:eastAsia="Times New Roman" w:hAnsiTheme="majorHAnsi" w:cstheme="majorHAnsi"/>
                <w:b/>
                <w:bCs/>
                <w:color w:val="FFFFFF" w:themeColor="background1"/>
                <w:kern w:val="24"/>
              </w:rPr>
              <w:t xml:space="preserve">Recommendation: </w:t>
            </w:r>
          </w:p>
        </w:tc>
        <w:tc>
          <w:tcPr>
            <w:tcW w:w="4410" w:type="dxa"/>
            <w:tcBorders>
              <w:top w:val="single" w:sz="24"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2E01319B" w14:textId="77777777" w:rsidR="00442B27" w:rsidRPr="00442B27" w:rsidRDefault="00442B27" w:rsidP="00442B27">
            <w:pPr>
              <w:spacing w:after="160"/>
              <w:rPr>
                <w:rFonts w:asciiTheme="majorHAnsi" w:eastAsia="Times New Roman" w:hAnsiTheme="majorHAnsi" w:cstheme="majorHAnsi"/>
              </w:rPr>
            </w:pPr>
            <w:r w:rsidRPr="00442B27">
              <w:rPr>
                <w:rFonts w:asciiTheme="majorHAnsi" w:hAnsiTheme="majorHAnsi" w:cstheme="majorHAnsi"/>
                <w:b/>
                <w:bCs/>
                <w:color w:val="FFFFFF"/>
                <w:kern w:val="24"/>
              </w:rPr>
              <w:t>Status/Notes</w:t>
            </w:r>
          </w:p>
        </w:tc>
      </w:tr>
      <w:tr w:rsidR="00442B27" w:rsidRPr="00442B27" w14:paraId="0CFDF129" w14:textId="77777777" w:rsidTr="00442B27">
        <w:trPr>
          <w:trHeight w:val="669"/>
        </w:trPr>
        <w:tc>
          <w:tcPr>
            <w:tcW w:w="476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5E98FF20"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 xml:space="preserve">Strengthen and or expand targeted quality programs such as the DPH Supportive Planning and Operations Team (SPOT) program </w:t>
            </w:r>
          </w:p>
        </w:tc>
        <w:tc>
          <w:tcPr>
            <w:tcW w:w="441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2E8059B3"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Not applicable</w:t>
            </w:r>
          </w:p>
        </w:tc>
      </w:tr>
      <w:tr w:rsidR="00442B27" w:rsidRPr="00442B27" w14:paraId="1B18D7B9" w14:textId="77777777" w:rsidTr="00442B27">
        <w:trPr>
          <w:trHeight w:val="807"/>
        </w:trPr>
        <w:tc>
          <w:tcPr>
            <w:tcW w:w="476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0519702A"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 xml:space="preserve">Enhance quality resident care by sharing best practices with the nursing facilities and rest homes industries to address identified resident and safety concerns </w:t>
            </w:r>
          </w:p>
        </w:tc>
        <w:tc>
          <w:tcPr>
            <w:tcW w:w="441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3BF0AC90"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 xml:space="preserve">During COVID, </w:t>
            </w:r>
            <w:proofErr w:type="gramStart"/>
            <w:r w:rsidRPr="00442B27">
              <w:rPr>
                <w:rFonts w:asciiTheme="majorHAnsi" w:eastAsia="Aptos" w:hAnsiTheme="majorHAnsi" w:cstheme="majorHAnsi"/>
                <w:color w:val="000000" w:themeColor="text1"/>
                <w:kern w:val="2"/>
              </w:rPr>
              <w:t>DPH did provide</w:t>
            </w:r>
            <w:proofErr w:type="gramEnd"/>
            <w:r w:rsidRPr="00442B27">
              <w:rPr>
                <w:rFonts w:asciiTheme="majorHAnsi" w:eastAsia="Aptos" w:hAnsiTheme="majorHAnsi" w:cstheme="majorHAnsi"/>
                <w:color w:val="000000" w:themeColor="text1"/>
                <w:kern w:val="2"/>
              </w:rPr>
              <w:t xml:space="preserve"> technical assistance on infection control to facilities. </w:t>
            </w:r>
          </w:p>
        </w:tc>
      </w:tr>
      <w:tr w:rsidR="00442B27" w:rsidRPr="00442B27" w14:paraId="7B68347A" w14:textId="77777777" w:rsidTr="00442B27">
        <w:trPr>
          <w:trHeight w:val="696"/>
        </w:trPr>
        <w:tc>
          <w:tcPr>
            <w:tcW w:w="476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23188BA8"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Promote and incorporate the resident and family experience by implementing a resident quality of life and family experience survey into quality metrics</w:t>
            </w:r>
          </w:p>
        </w:tc>
        <w:tc>
          <w:tcPr>
            <w:tcW w:w="441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7FB26F63"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There are currently no quality metrics for rest homes.</w:t>
            </w:r>
          </w:p>
        </w:tc>
      </w:tr>
      <w:tr w:rsidR="00442B27" w:rsidRPr="00442B27" w14:paraId="6063A3B5" w14:textId="77777777" w:rsidTr="00442B27">
        <w:trPr>
          <w:trHeight w:val="807"/>
        </w:trPr>
        <w:tc>
          <w:tcPr>
            <w:tcW w:w="476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67B234EA"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Aptos" w:hAnsiTheme="majorHAnsi" w:cstheme="majorHAnsi"/>
                <w:color w:val="000000" w:themeColor="text1"/>
                <w:kern w:val="2"/>
              </w:rPr>
              <w:t xml:space="preserve">Strengthen and streamline suitability review standards for nursing homes and rest homes </w:t>
            </w:r>
          </w:p>
        </w:tc>
        <w:tc>
          <w:tcPr>
            <w:tcW w:w="441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3AA4D3F1" w14:textId="77777777" w:rsidR="00442B27" w:rsidRPr="00442B27" w:rsidRDefault="00442B27" w:rsidP="00442B27">
            <w:pPr>
              <w:spacing w:after="160"/>
              <w:rPr>
                <w:rFonts w:asciiTheme="majorHAnsi" w:eastAsia="Times New Roman" w:hAnsiTheme="majorHAnsi" w:cstheme="majorHAnsi"/>
              </w:rPr>
            </w:pPr>
            <w:r w:rsidRPr="00442B27">
              <w:rPr>
                <w:rFonts w:asciiTheme="majorHAnsi" w:eastAsia="Times New Roman" w:hAnsiTheme="majorHAnsi" w:cstheme="majorHAnsi"/>
                <w:color w:val="000000" w:themeColor="dark1"/>
                <w:kern w:val="24"/>
              </w:rPr>
              <w:t xml:space="preserve">To date, the suitability review standards have not changed. However, the 2024 LTC Bill granted DPH additional authority to enhance these standards. </w:t>
            </w:r>
          </w:p>
        </w:tc>
      </w:tr>
    </w:tbl>
    <w:p w14:paraId="43C4DBA2" w14:textId="77777777" w:rsidR="00442B27" w:rsidRDefault="00442B27" w:rsidP="00442B27"/>
    <w:p w14:paraId="6B8600C1" w14:textId="77777777" w:rsidR="00442B27" w:rsidRPr="00442B27" w:rsidRDefault="00442B27" w:rsidP="00442B27"/>
    <w:p w14:paraId="65C90B5E" w14:textId="2D3E45EB" w:rsidR="001E1A3E" w:rsidRPr="00F178E4" w:rsidRDefault="00000000">
      <w:pPr>
        <w:pStyle w:val="Heading1"/>
        <w:rPr>
          <w:rFonts w:cstheme="majorHAnsi"/>
        </w:rPr>
      </w:pPr>
      <w:r w:rsidRPr="00F178E4">
        <w:rPr>
          <w:rFonts w:cstheme="majorHAnsi"/>
        </w:rPr>
        <w:t>Slide 25</w:t>
      </w:r>
    </w:p>
    <w:p w14:paraId="6CC611E7" w14:textId="77777777" w:rsidR="001E1A3E" w:rsidRPr="00F178E4" w:rsidRDefault="00000000">
      <w:pPr>
        <w:rPr>
          <w:rFonts w:asciiTheme="majorHAnsi" w:hAnsiTheme="majorHAnsi" w:cstheme="majorHAnsi"/>
        </w:rPr>
      </w:pPr>
      <w:r w:rsidRPr="00F178E4">
        <w:rPr>
          <w:rFonts w:asciiTheme="majorHAnsi" w:hAnsiTheme="majorHAnsi" w:cstheme="majorHAnsi"/>
        </w:rPr>
        <w:t>Task Force’s Findings – Charge (v) (cont.)</w:t>
      </w:r>
    </w:p>
    <w:p w14:paraId="05A9B552" w14:textId="633B6C88" w:rsidR="001E1A3E" w:rsidRDefault="009351E3">
      <w:pPr>
        <w:rPr>
          <w:rFonts w:asciiTheme="majorHAnsi" w:hAnsiTheme="majorHAnsi" w:cstheme="majorHAnsi"/>
        </w:rPr>
      </w:pPr>
      <w:r w:rsidRPr="009351E3">
        <w:rPr>
          <w:rFonts w:asciiTheme="majorHAnsi" w:hAnsiTheme="majorHAnsi" w:cstheme="majorHAnsi"/>
        </w:rPr>
        <w:t>Policy Area 3: Promote High Quality Care in Nursing Home and Rest Homes</w:t>
      </w:r>
    </w:p>
    <w:tbl>
      <w:tblPr>
        <w:tblW w:w="9710" w:type="dxa"/>
        <w:tblCellMar>
          <w:left w:w="0" w:type="dxa"/>
          <w:right w:w="0" w:type="dxa"/>
        </w:tblCellMar>
        <w:tblLook w:val="0420" w:firstRow="1" w:lastRow="0" w:firstColumn="0" w:lastColumn="0" w:noHBand="0" w:noVBand="1"/>
      </w:tblPr>
      <w:tblGrid>
        <w:gridCol w:w="4670"/>
        <w:gridCol w:w="5040"/>
      </w:tblGrid>
      <w:tr w:rsidR="00425332" w:rsidRPr="00425332" w14:paraId="684CBE9E" w14:textId="77777777" w:rsidTr="00425332">
        <w:trPr>
          <w:trHeight w:val="360"/>
        </w:trPr>
        <w:tc>
          <w:tcPr>
            <w:tcW w:w="4670" w:type="dxa"/>
            <w:tcBorders>
              <w:top w:val="single" w:sz="24"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289F5FA2" w14:textId="77777777" w:rsidR="00425332" w:rsidRPr="00425332" w:rsidRDefault="00425332" w:rsidP="00425332">
            <w:pPr>
              <w:spacing w:after="0"/>
              <w:rPr>
                <w:rFonts w:asciiTheme="majorHAnsi" w:eastAsia="Times New Roman" w:hAnsiTheme="majorHAnsi" w:cstheme="majorHAnsi"/>
              </w:rPr>
            </w:pPr>
            <w:r w:rsidRPr="00425332">
              <w:rPr>
                <w:rFonts w:asciiTheme="majorHAnsi" w:eastAsia="Times New Roman" w:hAnsiTheme="majorHAnsi" w:cstheme="majorHAnsi"/>
                <w:b/>
                <w:bCs/>
                <w:color w:val="FFFFFF" w:themeColor="background1"/>
                <w:kern w:val="24"/>
              </w:rPr>
              <w:t xml:space="preserve">Recommendation: </w:t>
            </w:r>
          </w:p>
        </w:tc>
        <w:tc>
          <w:tcPr>
            <w:tcW w:w="5040" w:type="dxa"/>
            <w:tcBorders>
              <w:top w:val="single" w:sz="24"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05249AA1" w14:textId="77777777" w:rsidR="00425332" w:rsidRPr="00425332" w:rsidRDefault="00425332" w:rsidP="00425332">
            <w:pPr>
              <w:spacing w:after="160"/>
              <w:rPr>
                <w:rFonts w:asciiTheme="majorHAnsi" w:eastAsia="Times New Roman" w:hAnsiTheme="majorHAnsi" w:cstheme="majorHAnsi"/>
              </w:rPr>
            </w:pPr>
            <w:r w:rsidRPr="00425332">
              <w:rPr>
                <w:rFonts w:asciiTheme="majorHAnsi" w:hAnsiTheme="majorHAnsi" w:cstheme="majorHAnsi"/>
                <w:b/>
                <w:bCs/>
                <w:color w:val="FFFFFF"/>
                <w:kern w:val="24"/>
              </w:rPr>
              <w:t>Status/Notes</w:t>
            </w:r>
          </w:p>
        </w:tc>
      </w:tr>
      <w:tr w:rsidR="00425332" w:rsidRPr="00425332" w14:paraId="55B45D8D" w14:textId="77777777" w:rsidTr="00425332">
        <w:trPr>
          <w:trHeight w:val="807"/>
        </w:trPr>
        <w:tc>
          <w:tcPr>
            <w:tcW w:w="467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6339B313" w14:textId="77777777" w:rsidR="00425332" w:rsidRPr="00425332" w:rsidRDefault="00425332" w:rsidP="00425332">
            <w:pPr>
              <w:spacing w:after="160"/>
              <w:rPr>
                <w:rFonts w:asciiTheme="majorHAnsi" w:eastAsia="Times New Roman" w:hAnsiTheme="majorHAnsi" w:cstheme="majorHAnsi"/>
              </w:rPr>
            </w:pPr>
            <w:r w:rsidRPr="00425332">
              <w:rPr>
                <w:rFonts w:asciiTheme="majorHAnsi" w:eastAsia="Aptos" w:hAnsiTheme="majorHAnsi" w:cstheme="majorHAnsi"/>
                <w:color w:val="000000" w:themeColor="text1"/>
                <w:kern w:val="2"/>
              </w:rPr>
              <w:t xml:space="preserve">Incorporate resident and family survey results as a measured component when determining quality incentives </w:t>
            </w:r>
          </w:p>
        </w:tc>
        <w:tc>
          <w:tcPr>
            <w:tcW w:w="504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3797CD86" w14:textId="77777777" w:rsidR="00425332" w:rsidRPr="00425332" w:rsidRDefault="00425332" w:rsidP="00425332">
            <w:pPr>
              <w:spacing w:after="160"/>
              <w:rPr>
                <w:rFonts w:asciiTheme="majorHAnsi" w:eastAsia="Times New Roman" w:hAnsiTheme="majorHAnsi" w:cstheme="majorHAnsi"/>
              </w:rPr>
            </w:pPr>
            <w:r w:rsidRPr="00425332">
              <w:rPr>
                <w:rFonts w:asciiTheme="majorHAnsi" w:eastAsia="Aptos" w:hAnsiTheme="majorHAnsi" w:cstheme="majorHAnsi"/>
                <w:color w:val="000000" w:themeColor="text1"/>
                <w:kern w:val="2"/>
              </w:rPr>
              <w:t>There are currently no quality metrics for rest homes.</w:t>
            </w:r>
          </w:p>
        </w:tc>
      </w:tr>
      <w:tr w:rsidR="00425332" w:rsidRPr="00425332" w14:paraId="4B8C7E3B" w14:textId="77777777" w:rsidTr="00425332">
        <w:trPr>
          <w:trHeight w:val="807"/>
        </w:trPr>
        <w:tc>
          <w:tcPr>
            <w:tcW w:w="467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0375DC31" w14:textId="77777777" w:rsidR="00425332" w:rsidRPr="00425332" w:rsidRDefault="00425332" w:rsidP="00425332">
            <w:pPr>
              <w:spacing w:after="160"/>
              <w:rPr>
                <w:rFonts w:asciiTheme="majorHAnsi" w:eastAsia="Times New Roman" w:hAnsiTheme="majorHAnsi" w:cstheme="majorHAnsi"/>
              </w:rPr>
            </w:pPr>
            <w:r w:rsidRPr="00425332">
              <w:rPr>
                <w:rFonts w:asciiTheme="majorHAnsi" w:eastAsia="Aptos" w:hAnsiTheme="majorHAnsi" w:cstheme="majorHAnsi"/>
                <w:color w:val="000000" w:themeColor="text1"/>
                <w:kern w:val="2"/>
              </w:rPr>
              <w:t xml:space="preserve">Mitigate the negative impact of involuntary transfers when a home is closed by developing a resident, family, and staff transition support program in addition to current communication standards  </w:t>
            </w:r>
          </w:p>
        </w:tc>
        <w:tc>
          <w:tcPr>
            <w:tcW w:w="504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5B8D01D7" w14:textId="77777777" w:rsidR="00425332" w:rsidRPr="00425332" w:rsidRDefault="00425332" w:rsidP="00425332">
            <w:pPr>
              <w:spacing w:after="160"/>
              <w:rPr>
                <w:rFonts w:asciiTheme="majorHAnsi" w:eastAsia="Times New Roman" w:hAnsiTheme="majorHAnsi" w:cstheme="majorHAnsi"/>
              </w:rPr>
            </w:pPr>
            <w:r w:rsidRPr="00425332">
              <w:rPr>
                <w:rFonts w:asciiTheme="majorHAnsi" w:eastAsia="Aptos" w:hAnsiTheme="majorHAnsi" w:cstheme="majorHAnsi"/>
                <w:color w:val="000000" w:themeColor="text1"/>
                <w:kern w:val="2"/>
              </w:rPr>
              <w:t>The rate of closures has slowed / stopped in recent years but when a facility closed in the past, MassHealth did help with transitions.</w:t>
            </w:r>
          </w:p>
        </w:tc>
      </w:tr>
      <w:tr w:rsidR="00425332" w:rsidRPr="00425332" w14:paraId="70DE5FB0" w14:textId="77777777" w:rsidTr="00425332">
        <w:trPr>
          <w:trHeight w:val="807"/>
        </w:trPr>
        <w:tc>
          <w:tcPr>
            <w:tcW w:w="467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67D37134" w14:textId="77777777" w:rsidR="00425332" w:rsidRPr="00425332" w:rsidRDefault="00425332" w:rsidP="00425332">
            <w:pPr>
              <w:spacing w:after="160"/>
              <w:rPr>
                <w:rFonts w:asciiTheme="majorHAnsi" w:eastAsia="Times New Roman" w:hAnsiTheme="majorHAnsi" w:cstheme="majorHAnsi"/>
              </w:rPr>
            </w:pPr>
            <w:r w:rsidRPr="00425332">
              <w:rPr>
                <w:rFonts w:asciiTheme="majorHAnsi" w:eastAsia="Aptos" w:hAnsiTheme="majorHAnsi" w:cstheme="majorHAnsi"/>
                <w:color w:val="000000" w:themeColor="text1"/>
                <w:kern w:val="2"/>
              </w:rPr>
              <w:t xml:space="preserve">Prioritize the DPH Nursing Home Survey Performance Tool over the CMS Nursing Home Compare 5-Star Quality Rating Tool as a measure of quality </w:t>
            </w:r>
          </w:p>
        </w:tc>
        <w:tc>
          <w:tcPr>
            <w:tcW w:w="504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35AAB494" w14:textId="77777777" w:rsidR="00425332" w:rsidRPr="00425332" w:rsidRDefault="00425332" w:rsidP="00425332">
            <w:pPr>
              <w:spacing w:after="160"/>
              <w:rPr>
                <w:rFonts w:asciiTheme="majorHAnsi" w:eastAsia="Times New Roman" w:hAnsiTheme="majorHAnsi" w:cstheme="majorHAnsi"/>
              </w:rPr>
            </w:pPr>
            <w:r w:rsidRPr="00425332">
              <w:rPr>
                <w:rFonts w:asciiTheme="majorHAnsi" w:eastAsia="Aptos" w:hAnsiTheme="majorHAnsi" w:cstheme="majorHAnsi"/>
                <w:color w:val="000000" w:themeColor="text1"/>
                <w:kern w:val="2"/>
              </w:rPr>
              <w:t>Not applicable</w:t>
            </w:r>
          </w:p>
        </w:tc>
      </w:tr>
      <w:tr w:rsidR="00425332" w:rsidRPr="00425332" w14:paraId="36F47D42" w14:textId="77777777" w:rsidTr="00425332">
        <w:trPr>
          <w:trHeight w:val="807"/>
        </w:trPr>
        <w:tc>
          <w:tcPr>
            <w:tcW w:w="467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1E09DF8C" w14:textId="77777777" w:rsidR="00425332" w:rsidRPr="00425332" w:rsidRDefault="00425332" w:rsidP="00425332">
            <w:pPr>
              <w:spacing w:after="160"/>
              <w:rPr>
                <w:rFonts w:asciiTheme="majorHAnsi" w:eastAsia="Times New Roman" w:hAnsiTheme="majorHAnsi" w:cstheme="majorHAnsi"/>
              </w:rPr>
            </w:pPr>
            <w:r w:rsidRPr="00425332">
              <w:rPr>
                <w:rFonts w:asciiTheme="majorHAnsi" w:eastAsia="Aptos" w:hAnsiTheme="majorHAnsi" w:cstheme="majorHAnsi"/>
                <w:color w:val="000000" w:themeColor="text1"/>
                <w:kern w:val="2"/>
              </w:rPr>
              <w:t>Quality measures should be considered over time; nursing facilities should have opportunities to implement quality performance improvement projects over a period of three years and/or survey cycles</w:t>
            </w:r>
          </w:p>
        </w:tc>
        <w:tc>
          <w:tcPr>
            <w:tcW w:w="504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7BD1B407" w14:textId="77777777" w:rsidR="00425332" w:rsidRPr="00425332" w:rsidRDefault="00425332" w:rsidP="00425332">
            <w:pPr>
              <w:spacing w:after="160"/>
              <w:rPr>
                <w:rFonts w:asciiTheme="majorHAnsi" w:eastAsia="Times New Roman" w:hAnsiTheme="majorHAnsi" w:cstheme="majorHAnsi"/>
              </w:rPr>
            </w:pPr>
            <w:r w:rsidRPr="00425332">
              <w:rPr>
                <w:rFonts w:asciiTheme="majorHAnsi" w:eastAsia="Aptos" w:hAnsiTheme="majorHAnsi" w:cstheme="majorHAnsi"/>
                <w:color w:val="000000" w:themeColor="text1"/>
                <w:kern w:val="2"/>
              </w:rPr>
              <w:t>Not applicable</w:t>
            </w:r>
          </w:p>
        </w:tc>
      </w:tr>
    </w:tbl>
    <w:p w14:paraId="0E240486" w14:textId="77777777" w:rsidR="00425332" w:rsidRDefault="00425332">
      <w:pPr>
        <w:rPr>
          <w:rFonts w:asciiTheme="majorHAnsi" w:hAnsiTheme="majorHAnsi" w:cstheme="majorHAnsi"/>
        </w:rPr>
      </w:pPr>
    </w:p>
    <w:p w14:paraId="01651684" w14:textId="10B83DB5" w:rsidR="00425332" w:rsidRDefault="006019C3">
      <w:pPr>
        <w:rPr>
          <w:rFonts w:asciiTheme="majorHAnsi" w:hAnsiTheme="majorHAnsi" w:cstheme="majorHAnsi"/>
        </w:rPr>
      </w:pPr>
      <w:r w:rsidRPr="006019C3">
        <w:rPr>
          <w:rFonts w:asciiTheme="majorHAnsi" w:hAnsiTheme="majorHAnsi" w:cstheme="majorHAnsi"/>
        </w:rPr>
        <w:t>Policy Area 4: Ensure a Sustainable Workforce Serving the Care Needs of Individuals Across the Long-Term Care Continuum</w:t>
      </w:r>
    </w:p>
    <w:tbl>
      <w:tblPr>
        <w:tblW w:w="9710" w:type="dxa"/>
        <w:tblCellMar>
          <w:left w:w="0" w:type="dxa"/>
          <w:right w:w="0" w:type="dxa"/>
        </w:tblCellMar>
        <w:tblLook w:val="0420" w:firstRow="1" w:lastRow="0" w:firstColumn="0" w:lastColumn="0" w:noHBand="0" w:noVBand="1"/>
      </w:tblPr>
      <w:tblGrid>
        <w:gridCol w:w="4670"/>
        <w:gridCol w:w="5040"/>
      </w:tblGrid>
      <w:tr w:rsidR="00425332" w:rsidRPr="00425332" w14:paraId="13A10C72" w14:textId="77777777" w:rsidTr="00425332">
        <w:trPr>
          <w:trHeight w:val="360"/>
        </w:trPr>
        <w:tc>
          <w:tcPr>
            <w:tcW w:w="4670" w:type="dxa"/>
            <w:tcBorders>
              <w:top w:val="single" w:sz="24"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3EC229CA" w14:textId="77777777" w:rsidR="00425332" w:rsidRPr="00425332" w:rsidRDefault="00425332" w:rsidP="00425332">
            <w:pPr>
              <w:spacing w:after="0"/>
              <w:rPr>
                <w:rFonts w:asciiTheme="majorHAnsi" w:eastAsia="Times New Roman" w:hAnsiTheme="majorHAnsi" w:cstheme="majorHAnsi"/>
              </w:rPr>
            </w:pPr>
            <w:r w:rsidRPr="00425332">
              <w:rPr>
                <w:rFonts w:asciiTheme="majorHAnsi" w:eastAsia="Times New Roman" w:hAnsiTheme="majorHAnsi" w:cstheme="majorHAnsi"/>
                <w:b/>
                <w:bCs/>
                <w:color w:val="FFFFFF" w:themeColor="background1"/>
                <w:kern w:val="24"/>
              </w:rPr>
              <w:t xml:space="preserve">Recommendation: </w:t>
            </w:r>
          </w:p>
        </w:tc>
        <w:tc>
          <w:tcPr>
            <w:tcW w:w="5040" w:type="dxa"/>
            <w:tcBorders>
              <w:top w:val="single" w:sz="24"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39C9F3F7" w14:textId="77777777" w:rsidR="00425332" w:rsidRPr="00425332" w:rsidRDefault="00425332" w:rsidP="00425332">
            <w:pPr>
              <w:spacing w:after="160"/>
              <w:rPr>
                <w:rFonts w:asciiTheme="majorHAnsi" w:eastAsia="Times New Roman" w:hAnsiTheme="majorHAnsi" w:cstheme="majorHAnsi"/>
              </w:rPr>
            </w:pPr>
            <w:r w:rsidRPr="00425332">
              <w:rPr>
                <w:rFonts w:asciiTheme="majorHAnsi" w:hAnsiTheme="majorHAnsi" w:cstheme="majorHAnsi"/>
                <w:b/>
                <w:bCs/>
                <w:color w:val="FFFFFF"/>
                <w:kern w:val="24"/>
              </w:rPr>
              <w:t>Status/Notes</w:t>
            </w:r>
          </w:p>
        </w:tc>
      </w:tr>
      <w:tr w:rsidR="00425332" w:rsidRPr="00425332" w14:paraId="733E2128" w14:textId="77777777" w:rsidTr="00425332">
        <w:trPr>
          <w:trHeight w:val="807"/>
        </w:trPr>
        <w:tc>
          <w:tcPr>
            <w:tcW w:w="467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2467305B" w14:textId="77777777" w:rsidR="00425332" w:rsidRPr="00425332" w:rsidRDefault="00425332" w:rsidP="00425332">
            <w:pPr>
              <w:spacing w:after="160"/>
              <w:rPr>
                <w:rFonts w:asciiTheme="majorHAnsi" w:eastAsia="Times New Roman" w:hAnsiTheme="majorHAnsi" w:cstheme="majorHAnsi"/>
              </w:rPr>
            </w:pPr>
            <w:r w:rsidRPr="00425332">
              <w:rPr>
                <w:rFonts w:asciiTheme="majorHAnsi" w:eastAsia="Aptos" w:hAnsiTheme="majorHAnsi" w:cstheme="majorHAnsi"/>
                <w:color w:val="000000" w:themeColor="text1"/>
                <w:kern w:val="2"/>
              </w:rPr>
              <w:t xml:space="preserve">Strengthen the quality of resident care by requiring that a certain percentage of facility expenditures are directed towards staff wages and other direct care costs </w:t>
            </w:r>
          </w:p>
        </w:tc>
        <w:tc>
          <w:tcPr>
            <w:tcW w:w="504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25B6DCB7" w14:textId="77777777" w:rsidR="00425332" w:rsidRPr="00425332" w:rsidRDefault="00425332" w:rsidP="00425332">
            <w:pPr>
              <w:spacing w:after="160"/>
              <w:rPr>
                <w:rFonts w:asciiTheme="majorHAnsi" w:eastAsia="Times New Roman" w:hAnsiTheme="majorHAnsi" w:cstheme="majorHAnsi"/>
              </w:rPr>
            </w:pPr>
            <w:r w:rsidRPr="00425332">
              <w:rPr>
                <w:rFonts w:asciiTheme="majorHAnsi" w:eastAsia="Aptos" w:hAnsiTheme="majorHAnsi" w:cstheme="majorHAnsi"/>
                <w:color w:val="000000" w:themeColor="text1"/>
                <w:kern w:val="2"/>
              </w:rPr>
              <w:t>Developed DCC-Q for Nursing Facilities and RCC-Q for Rest Homes in response to this recommendation.</w:t>
            </w:r>
          </w:p>
        </w:tc>
      </w:tr>
      <w:tr w:rsidR="00425332" w:rsidRPr="00425332" w14:paraId="0C0968A4" w14:textId="77777777" w:rsidTr="00425332">
        <w:trPr>
          <w:trHeight w:val="807"/>
        </w:trPr>
        <w:tc>
          <w:tcPr>
            <w:tcW w:w="467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318B0314" w14:textId="77777777" w:rsidR="00425332" w:rsidRPr="00425332" w:rsidRDefault="00425332" w:rsidP="00425332">
            <w:pPr>
              <w:spacing w:after="160"/>
              <w:rPr>
                <w:rFonts w:asciiTheme="majorHAnsi" w:eastAsia="Times New Roman" w:hAnsiTheme="majorHAnsi" w:cstheme="majorHAnsi"/>
              </w:rPr>
            </w:pPr>
            <w:r w:rsidRPr="00425332">
              <w:rPr>
                <w:rFonts w:asciiTheme="majorHAnsi" w:eastAsia="Aptos" w:hAnsiTheme="majorHAnsi" w:cstheme="majorHAnsi"/>
                <w:color w:val="000000" w:themeColor="text1"/>
                <w:kern w:val="2"/>
              </w:rPr>
              <w:lastRenderedPageBreak/>
              <w:t xml:space="preserve">Provide adequate wages to recruit, train and retain direct care staff across the continuum </w:t>
            </w:r>
          </w:p>
        </w:tc>
        <w:tc>
          <w:tcPr>
            <w:tcW w:w="504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3D01E05F" w14:textId="77777777" w:rsidR="00425332" w:rsidRPr="00425332" w:rsidRDefault="00425332" w:rsidP="00425332">
            <w:pPr>
              <w:spacing w:after="160"/>
              <w:rPr>
                <w:rFonts w:asciiTheme="majorHAnsi" w:eastAsia="Times New Roman" w:hAnsiTheme="majorHAnsi" w:cstheme="majorHAnsi"/>
              </w:rPr>
            </w:pPr>
            <w:r w:rsidRPr="00425332">
              <w:rPr>
                <w:rFonts w:asciiTheme="majorHAnsi" w:eastAsia="Aptos" w:hAnsiTheme="majorHAnsi" w:cstheme="majorHAnsi"/>
                <w:color w:val="000000" w:themeColor="text1"/>
                <w:kern w:val="2"/>
              </w:rPr>
              <w:t>DCC-Q and RCC-Q requirements were put in place to encourage SNFs and rest homes to spend additional funding on direct care staff.</w:t>
            </w:r>
          </w:p>
        </w:tc>
      </w:tr>
      <w:tr w:rsidR="00425332" w:rsidRPr="00425332" w14:paraId="438D26FB" w14:textId="77777777" w:rsidTr="00425332">
        <w:trPr>
          <w:trHeight w:val="807"/>
        </w:trPr>
        <w:tc>
          <w:tcPr>
            <w:tcW w:w="467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60002408" w14:textId="14E2ACA3" w:rsidR="00425332" w:rsidRPr="00425332" w:rsidRDefault="00425332" w:rsidP="00425332">
            <w:pPr>
              <w:spacing w:after="0"/>
              <w:rPr>
                <w:rFonts w:asciiTheme="majorHAnsi" w:eastAsia="Times New Roman" w:hAnsiTheme="majorHAnsi" w:cstheme="majorHAnsi"/>
              </w:rPr>
            </w:pPr>
            <w:r w:rsidRPr="00425332">
              <w:rPr>
                <w:rFonts w:asciiTheme="majorHAnsi" w:eastAsia="Aptos" w:hAnsiTheme="majorHAnsi" w:cstheme="majorHAnsi"/>
                <w:color w:val="000000" w:themeColor="text1"/>
                <w:kern w:val="2"/>
              </w:rPr>
              <w:t xml:space="preserve">Support and provide resources to increase recruitment and retention initiatives, including: </w:t>
            </w:r>
          </w:p>
          <w:p w14:paraId="0073398D" w14:textId="77777777" w:rsidR="00425332" w:rsidRPr="00425332" w:rsidRDefault="00425332" w:rsidP="00D64948">
            <w:pPr>
              <w:numPr>
                <w:ilvl w:val="0"/>
                <w:numId w:val="40"/>
              </w:numPr>
              <w:spacing w:after="0"/>
              <w:ind w:left="994"/>
              <w:contextualSpacing/>
              <w:rPr>
                <w:rFonts w:asciiTheme="majorHAnsi" w:eastAsia="Times New Roman" w:hAnsiTheme="majorHAnsi" w:cstheme="majorHAnsi"/>
              </w:rPr>
            </w:pPr>
            <w:r w:rsidRPr="00425332">
              <w:rPr>
                <w:rFonts w:asciiTheme="majorHAnsi" w:eastAsia="Aptos" w:hAnsiTheme="majorHAnsi" w:cstheme="majorHAnsi"/>
                <w:color w:val="000000" w:themeColor="text1"/>
                <w:kern w:val="2"/>
              </w:rPr>
              <w:t>Career ladder grants</w:t>
            </w:r>
          </w:p>
          <w:p w14:paraId="5F738640" w14:textId="77777777" w:rsidR="00425332" w:rsidRPr="00425332" w:rsidRDefault="00425332" w:rsidP="00D64948">
            <w:pPr>
              <w:numPr>
                <w:ilvl w:val="0"/>
                <w:numId w:val="40"/>
              </w:numPr>
              <w:spacing w:after="0"/>
              <w:ind w:left="994"/>
              <w:contextualSpacing/>
              <w:rPr>
                <w:rFonts w:asciiTheme="majorHAnsi" w:eastAsia="Times New Roman" w:hAnsiTheme="majorHAnsi" w:cstheme="majorHAnsi"/>
              </w:rPr>
            </w:pPr>
            <w:r w:rsidRPr="00425332">
              <w:rPr>
                <w:rFonts w:asciiTheme="majorHAnsi" w:eastAsia="Aptos" w:hAnsiTheme="majorHAnsi" w:cstheme="majorHAnsi"/>
                <w:color w:val="000000" w:themeColor="text1"/>
                <w:kern w:val="2"/>
              </w:rPr>
              <w:t>Loan/tuition forgiveness programs</w:t>
            </w:r>
          </w:p>
          <w:p w14:paraId="6DF22FA6" w14:textId="77777777" w:rsidR="00425332" w:rsidRPr="00425332" w:rsidRDefault="00425332" w:rsidP="00D64948">
            <w:pPr>
              <w:numPr>
                <w:ilvl w:val="0"/>
                <w:numId w:val="40"/>
              </w:numPr>
              <w:spacing w:after="160"/>
              <w:ind w:left="994"/>
              <w:contextualSpacing/>
              <w:rPr>
                <w:rFonts w:asciiTheme="majorHAnsi" w:eastAsia="Times New Roman" w:hAnsiTheme="majorHAnsi" w:cstheme="majorHAnsi"/>
              </w:rPr>
            </w:pPr>
            <w:r w:rsidRPr="00425332">
              <w:rPr>
                <w:rFonts w:asciiTheme="majorHAnsi" w:eastAsia="Aptos" w:hAnsiTheme="majorHAnsi" w:cstheme="majorHAnsi"/>
                <w:color w:val="000000" w:themeColor="text1"/>
                <w:kern w:val="2"/>
              </w:rPr>
              <w:t>Increased availability of affordable classes and training opportunities</w:t>
            </w:r>
          </w:p>
        </w:tc>
        <w:tc>
          <w:tcPr>
            <w:tcW w:w="504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7F1AD5E8" w14:textId="77777777" w:rsidR="00425332" w:rsidRPr="00425332" w:rsidRDefault="00425332" w:rsidP="00425332">
            <w:pPr>
              <w:spacing w:after="160"/>
              <w:rPr>
                <w:rFonts w:asciiTheme="majorHAnsi" w:eastAsia="Times New Roman" w:hAnsiTheme="majorHAnsi" w:cstheme="majorHAnsi"/>
              </w:rPr>
            </w:pPr>
            <w:proofErr w:type="spellStart"/>
            <w:r w:rsidRPr="00425332">
              <w:rPr>
                <w:rFonts w:asciiTheme="majorHAnsi" w:eastAsia="Aptos" w:hAnsiTheme="majorHAnsi" w:cstheme="majorHAnsi"/>
                <w:color w:val="000000" w:themeColor="text1"/>
                <w:kern w:val="2"/>
              </w:rPr>
              <w:t>MassReconnect</w:t>
            </w:r>
            <w:proofErr w:type="spellEnd"/>
            <w:r w:rsidRPr="00425332">
              <w:rPr>
                <w:rFonts w:asciiTheme="majorHAnsi" w:eastAsia="Aptos" w:hAnsiTheme="majorHAnsi" w:cstheme="majorHAnsi"/>
                <w:color w:val="000000" w:themeColor="text1"/>
                <w:kern w:val="2"/>
              </w:rPr>
              <w:t xml:space="preserve">, Community College Nursing Scholarship, and </w:t>
            </w:r>
            <w:proofErr w:type="spellStart"/>
            <w:r w:rsidRPr="00425332">
              <w:rPr>
                <w:rFonts w:asciiTheme="majorHAnsi" w:eastAsia="Aptos" w:hAnsiTheme="majorHAnsi" w:cstheme="majorHAnsi"/>
                <w:color w:val="000000" w:themeColor="text1"/>
                <w:kern w:val="2"/>
              </w:rPr>
              <w:t>MassEducate</w:t>
            </w:r>
            <w:proofErr w:type="spellEnd"/>
            <w:r w:rsidRPr="00425332">
              <w:rPr>
                <w:rFonts w:asciiTheme="majorHAnsi" w:eastAsia="Aptos" w:hAnsiTheme="majorHAnsi" w:cstheme="majorHAnsi"/>
                <w:color w:val="000000" w:themeColor="text1"/>
                <w:kern w:val="2"/>
              </w:rPr>
              <w:t xml:space="preserve"> programs cover community college tuition for individuals who may be part of the Rest Home workforce.</w:t>
            </w:r>
          </w:p>
        </w:tc>
      </w:tr>
    </w:tbl>
    <w:p w14:paraId="6D49714D" w14:textId="77777777" w:rsidR="00425332" w:rsidRPr="00F178E4" w:rsidRDefault="00425332">
      <w:pPr>
        <w:rPr>
          <w:rFonts w:asciiTheme="majorHAnsi" w:hAnsiTheme="majorHAnsi" w:cstheme="majorHAnsi"/>
        </w:rPr>
      </w:pPr>
    </w:p>
    <w:p w14:paraId="5A9DBB91" w14:textId="77777777" w:rsidR="001E1A3E" w:rsidRPr="00F178E4" w:rsidRDefault="00000000">
      <w:pPr>
        <w:pStyle w:val="Heading1"/>
        <w:rPr>
          <w:rFonts w:cstheme="majorHAnsi"/>
        </w:rPr>
      </w:pPr>
      <w:r w:rsidRPr="00F178E4">
        <w:rPr>
          <w:rFonts w:cstheme="majorHAnsi"/>
        </w:rPr>
        <w:t>Slide 26</w:t>
      </w:r>
    </w:p>
    <w:p w14:paraId="70318D07" w14:textId="77777777" w:rsidR="001E1A3E" w:rsidRDefault="00000000">
      <w:pPr>
        <w:rPr>
          <w:rFonts w:asciiTheme="majorHAnsi" w:hAnsiTheme="majorHAnsi" w:cstheme="majorHAnsi"/>
        </w:rPr>
      </w:pPr>
      <w:r w:rsidRPr="00F178E4">
        <w:rPr>
          <w:rFonts w:asciiTheme="majorHAnsi" w:hAnsiTheme="majorHAnsi" w:cstheme="majorHAnsi"/>
        </w:rPr>
        <w:t>Task Force’s Findings – Charge (v) (cont.)</w:t>
      </w:r>
    </w:p>
    <w:p w14:paraId="0E058D47" w14:textId="67024856" w:rsidR="006019C3" w:rsidRPr="00F178E4" w:rsidRDefault="006019C3">
      <w:pPr>
        <w:rPr>
          <w:rFonts w:asciiTheme="majorHAnsi" w:hAnsiTheme="majorHAnsi" w:cstheme="majorHAnsi"/>
        </w:rPr>
      </w:pPr>
      <w:r w:rsidRPr="006019C3">
        <w:rPr>
          <w:rFonts w:asciiTheme="majorHAnsi" w:hAnsiTheme="majorHAnsi" w:cstheme="majorHAnsi"/>
        </w:rPr>
        <w:t>Policy Area 4: Ensure a Sustainable Workforce Serving the Care Needs of Individuals Across the Long-Term Care Continuum</w:t>
      </w:r>
    </w:p>
    <w:tbl>
      <w:tblPr>
        <w:tblW w:w="9620" w:type="dxa"/>
        <w:tblCellMar>
          <w:left w:w="0" w:type="dxa"/>
          <w:right w:w="0" w:type="dxa"/>
        </w:tblCellMar>
        <w:tblLook w:val="0420" w:firstRow="1" w:lastRow="0" w:firstColumn="0" w:lastColumn="0" w:noHBand="0" w:noVBand="1"/>
      </w:tblPr>
      <w:tblGrid>
        <w:gridCol w:w="4490"/>
        <w:gridCol w:w="5130"/>
      </w:tblGrid>
      <w:tr w:rsidR="00425332" w:rsidRPr="00425332" w14:paraId="1749CD6D" w14:textId="77777777" w:rsidTr="00425332">
        <w:trPr>
          <w:trHeight w:val="360"/>
        </w:trPr>
        <w:tc>
          <w:tcPr>
            <w:tcW w:w="4490" w:type="dxa"/>
            <w:tcBorders>
              <w:top w:val="single" w:sz="24"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7B6B078A" w14:textId="77777777" w:rsidR="00425332" w:rsidRPr="00425332" w:rsidRDefault="00425332" w:rsidP="00425332">
            <w:pPr>
              <w:rPr>
                <w:rFonts w:asciiTheme="majorHAnsi" w:hAnsiTheme="majorHAnsi" w:cstheme="majorHAnsi"/>
                <w:color w:val="FFFFFF" w:themeColor="background1"/>
              </w:rPr>
            </w:pPr>
            <w:r w:rsidRPr="00425332">
              <w:rPr>
                <w:rFonts w:asciiTheme="majorHAnsi" w:hAnsiTheme="majorHAnsi" w:cstheme="majorHAnsi"/>
                <w:b/>
                <w:bCs/>
                <w:color w:val="FFFFFF" w:themeColor="background1"/>
              </w:rPr>
              <w:t xml:space="preserve">Recommendation: </w:t>
            </w:r>
          </w:p>
        </w:tc>
        <w:tc>
          <w:tcPr>
            <w:tcW w:w="5130" w:type="dxa"/>
            <w:tcBorders>
              <w:top w:val="single" w:sz="24" w:space="0" w:color="FFFFFF"/>
              <w:left w:val="single" w:sz="8" w:space="0" w:color="FFFFFF"/>
              <w:bottom w:val="single" w:sz="8" w:space="0" w:color="FFFFFF"/>
              <w:right w:val="single" w:sz="8" w:space="0" w:color="FFFFFF"/>
            </w:tcBorders>
            <w:shd w:val="clear" w:color="auto" w:fill="0066CC"/>
            <w:tcMar>
              <w:top w:w="15" w:type="dxa"/>
              <w:left w:w="108" w:type="dxa"/>
              <w:bottom w:w="0" w:type="dxa"/>
              <w:right w:w="108" w:type="dxa"/>
            </w:tcMar>
            <w:hideMark/>
          </w:tcPr>
          <w:p w14:paraId="540D24CE" w14:textId="77777777" w:rsidR="00425332" w:rsidRPr="00425332" w:rsidRDefault="00425332" w:rsidP="00425332">
            <w:pPr>
              <w:rPr>
                <w:rFonts w:asciiTheme="majorHAnsi" w:hAnsiTheme="majorHAnsi" w:cstheme="majorHAnsi"/>
                <w:color w:val="FFFFFF" w:themeColor="background1"/>
              </w:rPr>
            </w:pPr>
            <w:r w:rsidRPr="00425332">
              <w:rPr>
                <w:rFonts w:asciiTheme="majorHAnsi" w:hAnsiTheme="majorHAnsi" w:cstheme="majorHAnsi"/>
                <w:b/>
                <w:bCs/>
                <w:color w:val="FFFFFF" w:themeColor="background1"/>
              </w:rPr>
              <w:t>Status/Notes</w:t>
            </w:r>
          </w:p>
        </w:tc>
      </w:tr>
      <w:tr w:rsidR="00425332" w:rsidRPr="00425332" w14:paraId="62178501" w14:textId="77777777" w:rsidTr="00425332">
        <w:trPr>
          <w:trHeight w:val="807"/>
        </w:trPr>
        <w:tc>
          <w:tcPr>
            <w:tcW w:w="449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055A993B" w14:textId="77777777" w:rsidR="00425332" w:rsidRPr="00425332" w:rsidRDefault="00425332" w:rsidP="00425332">
            <w:pPr>
              <w:rPr>
                <w:rFonts w:asciiTheme="majorHAnsi" w:hAnsiTheme="majorHAnsi" w:cstheme="majorHAnsi"/>
              </w:rPr>
            </w:pPr>
            <w:r w:rsidRPr="00425332">
              <w:rPr>
                <w:rFonts w:asciiTheme="majorHAnsi" w:hAnsiTheme="majorHAnsi" w:cstheme="majorHAnsi"/>
              </w:rPr>
              <w:t xml:space="preserve">Evaluate and identify opportunities to improve the CNA certification process such as reducing delays in certification </w:t>
            </w:r>
          </w:p>
        </w:tc>
        <w:tc>
          <w:tcPr>
            <w:tcW w:w="513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7FB51C9C" w14:textId="77777777" w:rsidR="00425332" w:rsidRPr="00425332" w:rsidRDefault="00425332" w:rsidP="00425332">
            <w:pPr>
              <w:rPr>
                <w:rFonts w:asciiTheme="majorHAnsi" w:hAnsiTheme="majorHAnsi" w:cstheme="majorHAnsi"/>
              </w:rPr>
            </w:pPr>
            <w:r w:rsidRPr="00425332">
              <w:rPr>
                <w:rFonts w:asciiTheme="majorHAnsi" w:hAnsiTheme="majorHAnsi" w:cstheme="majorHAnsi"/>
              </w:rPr>
              <w:t>There is no longer a waitlist for CNA testing due to the presence of a new vendor. CNA tests have been translated into 3 languages (Spanish, Haitian Creole, and Chinese). Testing fees waived for 1</w:t>
            </w:r>
            <w:r w:rsidRPr="00425332">
              <w:rPr>
                <w:rFonts w:asciiTheme="majorHAnsi" w:hAnsiTheme="majorHAnsi" w:cstheme="majorHAnsi"/>
                <w:vertAlign w:val="superscript"/>
              </w:rPr>
              <w:t>st</w:t>
            </w:r>
            <w:r w:rsidRPr="00425332">
              <w:rPr>
                <w:rFonts w:asciiTheme="majorHAnsi" w:hAnsiTheme="majorHAnsi" w:cstheme="majorHAnsi"/>
              </w:rPr>
              <w:t xml:space="preserve"> time test takers (ends 6/30/25).</w:t>
            </w:r>
          </w:p>
        </w:tc>
      </w:tr>
      <w:tr w:rsidR="00425332" w:rsidRPr="00425332" w14:paraId="4591EA77" w14:textId="77777777" w:rsidTr="00425332">
        <w:trPr>
          <w:trHeight w:val="807"/>
        </w:trPr>
        <w:tc>
          <w:tcPr>
            <w:tcW w:w="449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3B566CC7" w14:textId="77777777" w:rsidR="00425332" w:rsidRPr="00425332" w:rsidRDefault="00425332" w:rsidP="00425332">
            <w:pPr>
              <w:rPr>
                <w:rFonts w:asciiTheme="majorHAnsi" w:hAnsiTheme="majorHAnsi" w:cstheme="majorHAnsi"/>
              </w:rPr>
            </w:pPr>
            <w:r w:rsidRPr="00425332">
              <w:rPr>
                <w:rFonts w:asciiTheme="majorHAnsi" w:hAnsiTheme="majorHAnsi" w:cstheme="majorHAnsi"/>
              </w:rPr>
              <w:t xml:space="preserve">Examine the utilization rate and impact of per diem wages on direct care staff </w:t>
            </w:r>
          </w:p>
        </w:tc>
        <w:tc>
          <w:tcPr>
            <w:tcW w:w="513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7D97D9F8" w14:textId="77777777" w:rsidR="00425332" w:rsidRPr="00425332" w:rsidRDefault="00425332" w:rsidP="00425332">
            <w:pPr>
              <w:rPr>
                <w:rFonts w:asciiTheme="majorHAnsi" w:hAnsiTheme="majorHAnsi" w:cstheme="majorHAnsi"/>
              </w:rPr>
            </w:pPr>
            <w:r w:rsidRPr="00425332">
              <w:rPr>
                <w:rFonts w:asciiTheme="majorHAnsi" w:hAnsiTheme="majorHAnsi" w:cstheme="majorHAnsi"/>
              </w:rPr>
              <w:t xml:space="preserve">This has not been implemented. </w:t>
            </w:r>
          </w:p>
        </w:tc>
      </w:tr>
      <w:tr w:rsidR="00425332" w:rsidRPr="00425332" w14:paraId="1685E99C" w14:textId="77777777" w:rsidTr="00425332">
        <w:trPr>
          <w:trHeight w:val="807"/>
        </w:trPr>
        <w:tc>
          <w:tcPr>
            <w:tcW w:w="449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09DCBC50" w14:textId="77777777" w:rsidR="00425332" w:rsidRPr="00425332" w:rsidRDefault="00425332" w:rsidP="00425332">
            <w:pPr>
              <w:rPr>
                <w:rFonts w:asciiTheme="majorHAnsi" w:hAnsiTheme="majorHAnsi" w:cstheme="majorHAnsi"/>
              </w:rPr>
            </w:pPr>
            <w:r w:rsidRPr="00425332">
              <w:rPr>
                <w:rFonts w:asciiTheme="majorHAnsi" w:hAnsiTheme="majorHAnsi" w:cstheme="majorHAnsi"/>
              </w:rPr>
              <w:t xml:space="preserve">Establish best practices relative to workforce and workplace standards that promote high quality, safe patient care </w:t>
            </w:r>
          </w:p>
        </w:tc>
        <w:tc>
          <w:tcPr>
            <w:tcW w:w="5130" w:type="dxa"/>
            <w:tcBorders>
              <w:top w:val="single" w:sz="8" w:space="0" w:color="FFFFFF"/>
              <w:left w:val="single" w:sz="8" w:space="0" w:color="FFFFFF"/>
              <w:bottom w:val="single" w:sz="8" w:space="0" w:color="FFFFFF"/>
              <w:right w:val="single" w:sz="8" w:space="0" w:color="FFFFFF"/>
            </w:tcBorders>
            <w:shd w:val="clear" w:color="auto" w:fill="E7EAF6"/>
            <w:tcMar>
              <w:top w:w="15" w:type="dxa"/>
              <w:left w:w="108" w:type="dxa"/>
              <w:bottom w:w="0" w:type="dxa"/>
              <w:right w:w="108" w:type="dxa"/>
            </w:tcMar>
            <w:hideMark/>
          </w:tcPr>
          <w:p w14:paraId="7430FDCF" w14:textId="77777777" w:rsidR="00425332" w:rsidRPr="00425332" w:rsidRDefault="00425332" w:rsidP="00425332">
            <w:pPr>
              <w:rPr>
                <w:rFonts w:asciiTheme="majorHAnsi" w:hAnsiTheme="majorHAnsi" w:cstheme="majorHAnsi"/>
              </w:rPr>
            </w:pPr>
            <w:r w:rsidRPr="00425332">
              <w:rPr>
                <w:rFonts w:asciiTheme="majorHAnsi" w:hAnsiTheme="majorHAnsi" w:cstheme="majorHAnsi"/>
              </w:rPr>
              <w:t xml:space="preserve">This has not been implemented. </w:t>
            </w:r>
          </w:p>
        </w:tc>
      </w:tr>
      <w:tr w:rsidR="00425332" w:rsidRPr="00425332" w14:paraId="5722B886" w14:textId="77777777" w:rsidTr="00425332">
        <w:trPr>
          <w:trHeight w:val="807"/>
        </w:trPr>
        <w:tc>
          <w:tcPr>
            <w:tcW w:w="449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2A5FBF71" w14:textId="77777777" w:rsidR="00425332" w:rsidRPr="00425332" w:rsidRDefault="00425332" w:rsidP="00425332">
            <w:pPr>
              <w:rPr>
                <w:rFonts w:asciiTheme="majorHAnsi" w:hAnsiTheme="majorHAnsi" w:cstheme="majorHAnsi"/>
              </w:rPr>
            </w:pPr>
            <w:r w:rsidRPr="00425332">
              <w:rPr>
                <w:rFonts w:asciiTheme="majorHAnsi" w:hAnsiTheme="majorHAnsi" w:cstheme="majorHAnsi"/>
              </w:rPr>
              <w:t xml:space="preserve">Improve HPC/CHIA reporting from the nursing home industry on employers’ ongoing efforts that demonstrate planning and investment in worker readiness such as education and best practice training </w:t>
            </w:r>
          </w:p>
        </w:tc>
        <w:tc>
          <w:tcPr>
            <w:tcW w:w="5130" w:type="dxa"/>
            <w:tcBorders>
              <w:top w:val="single" w:sz="8" w:space="0" w:color="FFFFFF"/>
              <w:left w:val="single" w:sz="8" w:space="0" w:color="FFFFFF"/>
              <w:bottom w:val="single" w:sz="8" w:space="0" w:color="FFFFFF"/>
              <w:right w:val="single" w:sz="8" w:space="0" w:color="FFFFFF"/>
            </w:tcBorders>
            <w:shd w:val="clear" w:color="auto" w:fill="CBD3EC"/>
            <w:tcMar>
              <w:top w:w="15" w:type="dxa"/>
              <w:left w:w="108" w:type="dxa"/>
              <w:bottom w:w="0" w:type="dxa"/>
              <w:right w:w="108" w:type="dxa"/>
            </w:tcMar>
            <w:hideMark/>
          </w:tcPr>
          <w:p w14:paraId="36402D9D" w14:textId="77777777" w:rsidR="00425332" w:rsidRPr="00425332" w:rsidRDefault="00425332" w:rsidP="00425332">
            <w:pPr>
              <w:rPr>
                <w:rFonts w:asciiTheme="majorHAnsi" w:hAnsiTheme="majorHAnsi" w:cstheme="majorHAnsi"/>
              </w:rPr>
            </w:pPr>
            <w:r w:rsidRPr="00425332">
              <w:rPr>
                <w:rFonts w:asciiTheme="majorHAnsi" w:hAnsiTheme="majorHAnsi" w:cstheme="majorHAnsi"/>
              </w:rPr>
              <w:t xml:space="preserve">Not applicable </w:t>
            </w:r>
          </w:p>
        </w:tc>
      </w:tr>
    </w:tbl>
    <w:p w14:paraId="37FC4034" w14:textId="0B9E6CC4" w:rsidR="001E1A3E" w:rsidRDefault="001E1A3E">
      <w:pPr>
        <w:rPr>
          <w:rFonts w:asciiTheme="majorHAnsi" w:hAnsiTheme="majorHAnsi" w:cstheme="majorHAnsi"/>
        </w:rPr>
      </w:pPr>
    </w:p>
    <w:p w14:paraId="616838D0" w14:textId="77777777" w:rsidR="00425332" w:rsidRDefault="00425332">
      <w:pPr>
        <w:rPr>
          <w:rFonts w:asciiTheme="majorHAnsi" w:hAnsiTheme="majorHAnsi" w:cstheme="majorHAnsi"/>
        </w:rPr>
      </w:pPr>
    </w:p>
    <w:p w14:paraId="6337CBB4" w14:textId="77777777" w:rsidR="001E1A3E" w:rsidRPr="00F178E4" w:rsidRDefault="00000000">
      <w:pPr>
        <w:pStyle w:val="Heading1"/>
        <w:rPr>
          <w:rFonts w:cstheme="majorHAnsi"/>
        </w:rPr>
      </w:pPr>
      <w:r w:rsidRPr="00F178E4">
        <w:rPr>
          <w:rFonts w:cstheme="majorHAnsi"/>
        </w:rPr>
        <w:lastRenderedPageBreak/>
        <w:t>Slide 27</w:t>
      </w:r>
    </w:p>
    <w:p w14:paraId="0EDE8559" w14:textId="09AE6B12" w:rsidR="00425332" w:rsidRDefault="00425332">
      <w:pPr>
        <w:rPr>
          <w:rFonts w:asciiTheme="majorHAnsi" w:hAnsiTheme="majorHAnsi" w:cstheme="majorHAnsi"/>
        </w:rPr>
      </w:pPr>
      <w:r w:rsidRPr="00F178E4">
        <w:rPr>
          <w:rFonts w:asciiTheme="majorHAnsi" w:hAnsiTheme="majorHAnsi" w:cstheme="majorHAnsi"/>
        </w:rPr>
        <w:t>Task Force’s Findings – Charge (vi)</w:t>
      </w:r>
    </w:p>
    <w:p w14:paraId="6E8E96CC" w14:textId="2F814FC8" w:rsidR="001E1A3E" w:rsidRPr="00425332" w:rsidRDefault="00000000">
      <w:pPr>
        <w:rPr>
          <w:rFonts w:asciiTheme="majorHAnsi" w:hAnsiTheme="majorHAnsi" w:cstheme="majorHAnsi"/>
          <w:u w:val="single"/>
        </w:rPr>
      </w:pPr>
      <w:r w:rsidRPr="00425332">
        <w:rPr>
          <w:rFonts w:asciiTheme="majorHAnsi" w:hAnsiTheme="majorHAnsi" w:cstheme="majorHAnsi"/>
          <w:u w:val="single"/>
        </w:rPr>
        <w:t>Charge</w:t>
      </w:r>
    </w:p>
    <w:p w14:paraId="6F3C0B37" w14:textId="084939A4" w:rsidR="001E1A3E" w:rsidRPr="00425332" w:rsidRDefault="00000000" w:rsidP="00D64948">
      <w:pPr>
        <w:pStyle w:val="ListParagraph"/>
        <w:numPr>
          <w:ilvl w:val="0"/>
          <w:numId w:val="33"/>
        </w:numPr>
        <w:rPr>
          <w:rFonts w:asciiTheme="majorHAnsi" w:hAnsiTheme="majorHAnsi" w:cstheme="majorHAnsi"/>
        </w:rPr>
      </w:pPr>
      <w:r w:rsidRPr="00425332">
        <w:rPr>
          <w:rFonts w:asciiTheme="majorHAnsi" w:hAnsiTheme="majorHAnsi" w:cstheme="majorHAnsi"/>
        </w:rPr>
        <w:t>Examine the feasibility of receiving federal reimbursement for rest home expenses</w:t>
      </w:r>
    </w:p>
    <w:p w14:paraId="6D87279A" w14:textId="77777777" w:rsidR="001E1A3E" w:rsidRPr="00425332" w:rsidRDefault="00000000">
      <w:pPr>
        <w:rPr>
          <w:rFonts w:asciiTheme="majorHAnsi" w:hAnsiTheme="majorHAnsi" w:cstheme="majorHAnsi"/>
          <w:u w:val="single"/>
        </w:rPr>
      </w:pPr>
      <w:r w:rsidRPr="00425332">
        <w:rPr>
          <w:rFonts w:asciiTheme="majorHAnsi" w:hAnsiTheme="majorHAnsi" w:cstheme="majorHAnsi"/>
          <w:u w:val="single"/>
        </w:rPr>
        <w:t>Findings</w:t>
      </w:r>
    </w:p>
    <w:p w14:paraId="75072B10" w14:textId="77777777" w:rsidR="001E1A3E" w:rsidRPr="00425332" w:rsidRDefault="00000000" w:rsidP="00D64948">
      <w:pPr>
        <w:pStyle w:val="ListParagraph"/>
        <w:numPr>
          <w:ilvl w:val="0"/>
          <w:numId w:val="41"/>
        </w:numPr>
        <w:rPr>
          <w:rFonts w:asciiTheme="majorHAnsi" w:hAnsiTheme="majorHAnsi" w:cstheme="majorHAnsi"/>
        </w:rPr>
      </w:pPr>
      <w:r w:rsidRPr="00425332">
        <w:rPr>
          <w:rFonts w:asciiTheme="majorHAnsi" w:hAnsiTheme="majorHAnsi" w:cstheme="majorHAnsi"/>
        </w:rPr>
        <w:t>With the new federal administration and rapidly changing landscape for federal funding, it remains uncertain the extent to which policies and funding from the U.S. Department of Health and Human Services (HHS) and Centers for Medicare and Medicaid Services (CMS) will change and, if so, how those changes may impact rest home services.</w:t>
      </w:r>
    </w:p>
    <w:p w14:paraId="2F0C0936" w14:textId="77777777" w:rsidR="001E1A3E" w:rsidRPr="00425332" w:rsidRDefault="00000000" w:rsidP="00D64948">
      <w:pPr>
        <w:pStyle w:val="ListParagraph"/>
        <w:numPr>
          <w:ilvl w:val="0"/>
          <w:numId w:val="41"/>
        </w:numPr>
        <w:rPr>
          <w:rFonts w:asciiTheme="majorHAnsi" w:hAnsiTheme="majorHAnsi" w:cstheme="majorHAnsi"/>
        </w:rPr>
      </w:pPr>
      <w:r w:rsidRPr="00425332">
        <w:rPr>
          <w:rFonts w:asciiTheme="majorHAnsi" w:hAnsiTheme="majorHAnsi" w:cstheme="majorHAnsi"/>
        </w:rPr>
        <w:t>Rest home services are currently ineligible for federal reimbursement through Federal Medical Assistance Percentage (FMAP), as they are not included in the list of Medicaid services approved by CMS.</w:t>
      </w:r>
    </w:p>
    <w:p w14:paraId="7BCA34F4" w14:textId="77777777" w:rsidR="001E1A3E" w:rsidRPr="00425332" w:rsidRDefault="00000000" w:rsidP="00D64948">
      <w:pPr>
        <w:pStyle w:val="ListParagraph"/>
        <w:numPr>
          <w:ilvl w:val="0"/>
          <w:numId w:val="41"/>
        </w:numPr>
        <w:rPr>
          <w:rFonts w:asciiTheme="majorHAnsi" w:hAnsiTheme="majorHAnsi" w:cstheme="majorHAnsi"/>
        </w:rPr>
      </w:pPr>
      <w:r w:rsidRPr="00425332">
        <w:rPr>
          <w:rFonts w:asciiTheme="majorHAnsi" w:hAnsiTheme="majorHAnsi" w:cstheme="majorHAnsi"/>
        </w:rPr>
        <w:t>Public rest home residents often have MassHealth coverage, but they are not required to be on MassHealth to access rest home services. However, some residents with MassHealth coverage, such as those on MassHealth Standard, may qualify for certain Long-Term Services and Supports (LTSS) services. Many residents already receive LTSS services, including Adult Day Health (ADH), Day Habilitation, and Home Health, for which MassHealth receives federal matching funds.</w:t>
      </w:r>
    </w:p>
    <w:p w14:paraId="175E7AC4" w14:textId="77777777" w:rsidR="001E1A3E" w:rsidRPr="00425332" w:rsidRDefault="00000000" w:rsidP="00D64948">
      <w:pPr>
        <w:pStyle w:val="ListParagraph"/>
        <w:numPr>
          <w:ilvl w:val="0"/>
          <w:numId w:val="41"/>
        </w:numPr>
        <w:rPr>
          <w:rFonts w:asciiTheme="majorHAnsi" w:hAnsiTheme="majorHAnsi" w:cstheme="majorHAnsi"/>
        </w:rPr>
      </w:pPr>
      <w:r w:rsidRPr="00425332">
        <w:rPr>
          <w:rFonts w:asciiTheme="majorHAnsi" w:hAnsiTheme="majorHAnsi" w:cstheme="majorHAnsi"/>
        </w:rPr>
        <w:t>Given that rest homes are institutional settings, under the current CMS rules, obtaining a waiver to cover certain services provided by rest homes would be challenging. Furthermore, even if CMS were to approve such a waiver, rest homes would then be subject to specific Medicaid requirements for service provision. Additionally, all residents receiving these services would need to be MassHealth members.</w:t>
      </w:r>
    </w:p>
    <w:p w14:paraId="1E986A13" w14:textId="1B9EA088" w:rsidR="001E1A3E" w:rsidRPr="00F178E4" w:rsidRDefault="001E1A3E">
      <w:pPr>
        <w:rPr>
          <w:rFonts w:asciiTheme="majorHAnsi" w:hAnsiTheme="majorHAnsi" w:cstheme="majorHAnsi"/>
        </w:rPr>
      </w:pPr>
    </w:p>
    <w:p w14:paraId="582A2F92" w14:textId="6B4F5465" w:rsidR="001E1A3E" w:rsidRPr="00F178E4" w:rsidRDefault="001E1A3E">
      <w:pPr>
        <w:rPr>
          <w:rFonts w:asciiTheme="majorHAnsi" w:hAnsiTheme="majorHAnsi" w:cstheme="majorHAnsi"/>
        </w:rPr>
      </w:pPr>
    </w:p>
    <w:p w14:paraId="656FD79E" w14:textId="77777777" w:rsidR="001E1A3E" w:rsidRPr="00F178E4" w:rsidRDefault="00000000">
      <w:pPr>
        <w:pStyle w:val="Heading1"/>
        <w:rPr>
          <w:rFonts w:cstheme="majorHAnsi"/>
        </w:rPr>
      </w:pPr>
      <w:r w:rsidRPr="00F178E4">
        <w:rPr>
          <w:rFonts w:cstheme="majorHAnsi"/>
        </w:rPr>
        <w:t>Slide 28</w:t>
      </w:r>
    </w:p>
    <w:p w14:paraId="5285CA91" w14:textId="77777777" w:rsidR="00425332" w:rsidRPr="00F178E4" w:rsidRDefault="00425332" w:rsidP="00425332">
      <w:pPr>
        <w:rPr>
          <w:rFonts w:asciiTheme="majorHAnsi" w:hAnsiTheme="majorHAnsi" w:cstheme="majorHAnsi"/>
        </w:rPr>
      </w:pPr>
      <w:r w:rsidRPr="00F178E4">
        <w:rPr>
          <w:rFonts w:asciiTheme="majorHAnsi" w:hAnsiTheme="majorHAnsi" w:cstheme="majorHAnsi"/>
        </w:rPr>
        <w:t>Task Force’s Findings – Charge (vii)</w:t>
      </w:r>
    </w:p>
    <w:p w14:paraId="0EAFB19A" w14:textId="18909CCB" w:rsidR="001E1A3E" w:rsidRPr="00425332" w:rsidRDefault="00000000">
      <w:pPr>
        <w:rPr>
          <w:rFonts w:asciiTheme="majorHAnsi" w:hAnsiTheme="majorHAnsi" w:cstheme="majorHAnsi"/>
          <w:u w:val="single"/>
        </w:rPr>
      </w:pPr>
      <w:r w:rsidRPr="00425332">
        <w:rPr>
          <w:rFonts w:asciiTheme="majorHAnsi" w:hAnsiTheme="majorHAnsi" w:cstheme="majorHAnsi"/>
          <w:u w:val="single"/>
        </w:rPr>
        <w:t>Charge</w:t>
      </w:r>
    </w:p>
    <w:p w14:paraId="053D1553" w14:textId="77BCE07D" w:rsidR="001E1A3E" w:rsidRPr="00425332" w:rsidRDefault="00000000" w:rsidP="00D64948">
      <w:pPr>
        <w:pStyle w:val="ListParagraph"/>
        <w:numPr>
          <w:ilvl w:val="0"/>
          <w:numId w:val="33"/>
        </w:numPr>
        <w:rPr>
          <w:rFonts w:asciiTheme="majorHAnsi" w:hAnsiTheme="majorHAnsi" w:cstheme="majorHAnsi"/>
        </w:rPr>
      </w:pPr>
      <w:r w:rsidRPr="00425332">
        <w:rPr>
          <w:rFonts w:asciiTheme="majorHAnsi" w:hAnsiTheme="majorHAnsi" w:cstheme="majorHAnsi"/>
        </w:rPr>
        <w:t>Review the current rate structure for rest homes compared to the actual cost of care to residents</w:t>
      </w:r>
    </w:p>
    <w:p w14:paraId="1367C35B" w14:textId="77777777" w:rsidR="001E1A3E" w:rsidRPr="00425332" w:rsidRDefault="00000000">
      <w:pPr>
        <w:rPr>
          <w:rFonts w:asciiTheme="majorHAnsi" w:hAnsiTheme="majorHAnsi" w:cstheme="majorHAnsi"/>
          <w:u w:val="single"/>
        </w:rPr>
      </w:pPr>
      <w:r w:rsidRPr="00425332">
        <w:rPr>
          <w:rFonts w:asciiTheme="majorHAnsi" w:hAnsiTheme="majorHAnsi" w:cstheme="majorHAnsi"/>
          <w:u w:val="single"/>
        </w:rPr>
        <w:t>Findings</w:t>
      </w:r>
    </w:p>
    <w:p w14:paraId="0EBE485D" w14:textId="77777777" w:rsidR="001E1A3E" w:rsidRPr="00425332" w:rsidRDefault="00000000" w:rsidP="00D64948">
      <w:pPr>
        <w:pStyle w:val="ListParagraph"/>
        <w:numPr>
          <w:ilvl w:val="0"/>
          <w:numId w:val="42"/>
        </w:numPr>
        <w:rPr>
          <w:rFonts w:asciiTheme="majorHAnsi" w:hAnsiTheme="majorHAnsi" w:cstheme="majorHAnsi"/>
        </w:rPr>
      </w:pPr>
      <w:r w:rsidRPr="00425332">
        <w:rPr>
          <w:rFonts w:asciiTheme="majorHAnsi" w:hAnsiTheme="majorHAnsi" w:cstheme="majorHAnsi"/>
        </w:rPr>
        <w:lastRenderedPageBreak/>
        <w:t>Several state agencies support rate setting and payments: EOHHS, CHIA, and DTA evaluate costs, revenues and budget constraints yearly to determine rates. These rates are required to be promulgated annually.</w:t>
      </w:r>
    </w:p>
    <w:p w14:paraId="24B71E59" w14:textId="77777777" w:rsidR="00425332" w:rsidRDefault="00000000" w:rsidP="00D64948">
      <w:pPr>
        <w:pStyle w:val="ListParagraph"/>
        <w:numPr>
          <w:ilvl w:val="0"/>
          <w:numId w:val="42"/>
        </w:numPr>
        <w:rPr>
          <w:rFonts w:asciiTheme="majorHAnsi" w:hAnsiTheme="majorHAnsi" w:cstheme="majorHAnsi"/>
        </w:rPr>
      </w:pPr>
      <w:r w:rsidRPr="00425332">
        <w:rPr>
          <w:rFonts w:asciiTheme="majorHAnsi" w:hAnsiTheme="majorHAnsi" w:cstheme="majorHAnsi"/>
        </w:rPr>
        <w:t>The following information is compiled and analyzed to determine rest home rates:</w:t>
      </w:r>
    </w:p>
    <w:p w14:paraId="3AF74670" w14:textId="77777777" w:rsidR="00425332" w:rsidRDefault="00425332" w:rsidP="00425332">
      <w:pPr>
        <w:pStyle w:val="ListParagraph"/>
        <w:rPr>
          <w:rFonts w:asciiTheme="majorHAnsi" w:hAnsiTheme="majorHAnsi" w:cstheme="majorHAnsi"/>
        </w:rPr>
      </w:pPr>
    </w:p>
    <w:tbl>
      <w:tblPr>
        <w:tblW w:w="9620" w:type="dxa"/>
        <w:tblCellMar>
          <w:left w:w="0" w:type="dxa"/>
          <w:right w:w="0" w:type="dxa"/>
        </w:tblCellMar>
        <w:tblLook w:val="0420" w:firstRow="1" w:lastRow="0" w:firstColumn="0" w:lastColumn="0" w:noHBand="0" w:noVBand="1"/>
      </w:tblPr>
      <w:tblGrid>
        <w:gridCol w:w="3566"/>
        <w:gridCol w:w="6054"/>
      </w:tblGrid>
      <w:tr w:rsidR="00425332" w:rsidRPr="00425332" w14:paraId="7E57C13C" w14:textId="77777777" w:rsidTr="00425332">
        <w:trPr>
          <w:trHeight w:val="969"/>
        </w:trPr>
        <w:tc>
          <w:tcPr>
            <w:tcW w:w="3566"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5F79958B" w14:textId="77777777" w:rsidR="00425332" w:rsidRPr="00425332" w:rsidRDefault="00425332" w:rsidP="00425332">
            <w:pPr>
              <w:pStyle w:val="ListParagraph"/>
              <w:rPr>
                <w:rFonts w:asciiTheme="majorHAnsi" w:hAnsiTheme="majorHAnsi" w:cstheme="majorHAnsi"/>
              </w:rPr>
            </w:pPr>
            <w:r w:rsidRPr="00425332">
              <w:rPr>
                <w:rFonts w:asciiTheme="majorHAnsi" w:hAnsiTheme="majorHAnsi" w:cstheme="majorHAnsi"/>
                <w:b/>
                <w:bCs/>
              </w:rPr>
              <w:t>Cost Reports</w:t>
            </w:r>
          </w:p>
        </w:tc>
        <w:tc>
          <w:tcPr>
            <w:tcW w:w="6054"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566ADE78" w14:textId="77777777" w:rsidR="00425332" w:rsidRPr="00425332" w:rsidRDefault="00425332" w:rsidP="00D64948">
            <w:pPr>
              <w:pStyle w:val="ListParagraph"/>
              <w:numPr>
                <w:ilvl w:val="0"/>
                <w:numId w:val="43"/>
              </w:numPr>
              <w:rPr>
                <w:rFonts w:asciiTheme="majorHAnsi" w:hAnsiTheme="majorHAnsi" w:cstheme="majorHAnsi"/>
              </w:rPr>
            </w:pPr>
            <w:r w:rsidRPr="00425332">
              <w:rPr>
                <w:rFonts w:asciiTheme="majorHAnsi" w:hAnsiTheme="majorHAnsi" w:cstheme="majorHAnsi"/>
              </w:rPr>
              <w:t>Submitted to CHIA annually by rest homes (due by June).</w:t>
            </w:r>
          </w:p>
          <w:p w14:paraId="5CE58DCA" w14:textId="77777777" w:rsidR="00425332" w:rsidRPr="00425332" w:rsidRDefault="00425332" w:rsidP="00D64948">
            <w:pPr>
              <w:pStyle w:val="ListParagraph"/>
              <w:numPr>
                <w:ilvl w:val="0"/>
                <w:numId w:val="43"/>
              </w:numPr>
              <w:rPr>
                <w:rFonts w:asciiTheme="majorHAnsi" w:hAnsiTheme="majorHAnsi" w:cstheme="majorHAnsi"/>
              </w:rPr>
            </w:pPr>
            <w:r w:rsidRPr="00425332">
              <w:rPr>
                <w:rFonts w:asciiTheme="majorHAnsi" w:hAnsiTheme="majorHAnsi" w:cstheme="majorHAnsi"/>
              </w:rPr>
              <w:t xml:space="preserve">Analysis typically completed by CHIA in a </w:t>
            </w:r>
            <w:proofErr w:type="gramStart"/>
            <w:r w:rsidRPr="00425332">
              <w:rPr>
                <w:rFonts w:asciiTheme="majorHAnsi" w:hAnsiTheme="majorHAnsi" w:cstheme="majorHAnsi"/>
              </w:rPr>
              <w:t>6-8 month</w:t>
            </w:r>
            <w:proofErr w:type="gramEnd"/>
            <w:r w:rsidRPr="00425332">
              <w:rPr>
                <w:rFonts w:asciiTheme="majorHAnsi" w:hAnsiTheme="majorHAnsi" w:cstheme="majorHAnsi"/>
              </w:rPr>
              <w:t xml:space="preserve"> timeframe.</w:t>
            </w:r>
          </w:p>
          <w:p w14:paraId="6D7D634F" w14:textId="77777777" w:rsidR="00425332" w:rsidRPr="00425332" w:rsidRDefault="00425332" w:rsidP="00D64948">
            <w:pPr>
              <w:pStyle w:val="ListParagraph"/>
              <w:numPr>
                <w:ilvl w:val="0"/>
                <w:numId w:val="43"/>
              </w:numPr>
              <w:rPr>
                <w:rFonts w:asciiTheme="majorHAnsi" w:hAnsiTheme="majorHAnsi" w:cstheme="majorHAnsi"/>
              </w:rPr>
            </w:pPr>
            <w:r w:rsidRPr="00425332">
              <w:rPr>
                <w:rFonts w:asciiTheme="majorHAnsi" w:hAnsiTheme="majorHAnsi" w:cstheme="majorHAnsi"/>
              </w:rPr>
              <w:t>Required data includes assets, liabilities, revenues, expenses, bed counts, resident days, and mortgage/loan information.</w:t>
            </w:r>
          </w:p>
        </w:tc>
      </w:tr>
      <w:tr w:rsidR="00425332" w:rsidRPr="00425332" w14:paraId="06EC363A" w14:textId="77777777" w:rsidTr="00425332">
        <w:trPr>
          <w:trHeight w:val="1143"/>
        </w:trPr>
        <w:tc>
          <w:tcPr>
            <w:tcW w:w="3566"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079D1E99" w14:textId="77777777" w:rsidR="00425332" w:rsidRPr="00425332" w:rsidRDefault="00425332" w:rsidP="00425332">
            <w:pPr>
              <w:pStyle w:val="ListParagraph"/>
              <w:rPr>
                <w:rFonts w:asciiTheme="majorHAnsi" w:hAnsiTheme="majorHAnsi" w:cstheme="majorHAnsi"/>
              </w:rPr>
            </w:pPr>
            <w:r w:rsidRPr="00425332">
              <w:rPr>
                <w:rFonts w:asciiTheme="majorHAnsi" w:hAnsiTheme="majorHAnsi" w:cstheme="majorHAnsi"/>
                <w:b/>
                <w:bCs/>
              </w:rPr>
              <w:t>Resident Care Cost Quotient (RCC-Q) Filings</w:t>
            </w:r>
          </w:p>
        </w:tc>
        <w:tc>
          <w:tcPr>
            <w:tcW w:w="6054"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31AB9A8A" w14:textId="77777777" w:rsidR="00425332" w:rsidRPr="00425332" w:rsidRDefault="00425332" w:rsidP="00D64948">
            <w:pPr>
              <w:pStyle w:val="ListParagraph"/>
              <w:numPr>
                <w:ilvl w:val="0"/>
                <w:numId w:val="44"/>
              </w:numPr>
              <w:rPr>
                <w:rFonts w:asciiTheme="majorHAnsi" w:hAnsiTheme="majorHAnsi" w:cstheme="majorHAnsi"/>
              </w:rPr>
            </w:pPr>
            <w:r w:rsidRPr="00425332">
              <w:rPr>
                <w:rFonts w:asciiTheme="majorHAnsi" w:hAnsiTheme="majorHAnsi" w:cstheme="majorHAnsi"/>
              </w:rPr>
              <w:t>Submitted twice a year to EOHHS by rest homes (due on March 1st and September 1st).</w:t>
            </w:r>
          </w:p>
          <w:p w14:paraId="1F547A80" w14:textId="77777777" w:rsidR="00425332" w:rsidRPr="00425332" w:rsidRDefault="00425332" w:rsidP="00D64948">
            <w:pPr>
              <w:pStyle w:val="ListParagraph"/>
              <w:numPr>
                <w:ilvl w:val="0"/>
                <w:numId w:val="44"/>
              </w:numPr>
              <w:rPr>
                <w:rFonts w:asciiTheme="majorHAnsi" w:hAnsiTheme="majorHAnsi" w:cstheme="majorHAnsi"/>
              </w:rPr>
            </w:pPr>
            <w:r w:rsidRPr="00425332">
              <w:rPr>
                <w:rFonts w:asciiTheme="majorHAnsi" w:hAnsiTheme="majorHAnsi" w:cstheme="majorHAnsi"/>
              </w:rPr>
              <w:t>Required data includes resident care expenses on direct care staff and revenues.</w:t>
            </w:r>
          </w:p>
        </w:tc>
      </w:tr>
      <w:tr w:rsidR="00425332" w:rsidRPr="00425332" w14:paraId="7364F590" w14:textId="77777777" w:rsidTr="00425332">
        <w:trPr>
          <w:trHeight w:val="917"/>
        </w:trPr>
        <w:tc>
          <w:tcPr>
            <w:tcW w:w="3566"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2EE90B9D" w14:textId="77777777" w:rsidR="00425332" w:rsidRPr="00425332" w:rsidRDefault="00425332" w:rsidP="00425332">
            <w:pPr>
              <w:pStyle w:val="ListParagraph"/>
              <w:rPr>
                <w:rFonts w:asciiTheme="majorHAnsi" w:hAnsiTheme="majorHAnsi" w:cstheme="majorHAnsi"/>
              </w:rPr>
            </w:pPr>
            <w:r w:rsidRPr="00425332">
              <w:rPr>
                <w:rFonts w:asciiTheme="majorHAnsi" w:hAnsiTheme="majorHAnsi" w:cstheme="majorHAnsi"/>
                <w:b/>
                <w:bCs/>
              </w:rPr>
              <w:t>Budget Appropriation</w:t>
            </w:r>
          </w:p>
        </w:tc>
        <w:tc>
          <w:tcPr>
            <w:tcW w:w="6054" w:type="dxa"/>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14:paraId="3D6F56E2" w14:textId="77777777" w:rsidR="00425332" w:rsidRPr="00425332" w:rsidRDefault="00425332" w:rsidP="00D64948">
            <w:pPr>
              <w:pStyle w:val="ListParagraph"/>
              <w:numPr>
                <w:ilvl w:val="0"/>
                <w:numId w:val="45"/>
              </w:numPr>
              <w:rPr>
                <w:rFonts w:asciiTheme="majorHAnsi" w:hAnsiTheme="majorHAnsi" w:cstheme="majorHAnsi"/>
              </w:rPr>
            </w:pPr>
            <w:r w:rsidRPr="00425332">
              <w:rPr>
                <w:rFonts w:asciiTheme="majorHAnsi" w:hAnsiTheme="majorHAnsi" w:cstheme="majorHAnsi"/>
              </w:rPr>
              <w:t xml:space="preserve">Additional funding </w:t>
            </w:r>
            <w:proofErr w:type="gramStart"/>
            <w:r w:rsidRPr="00425332">
              <w:rPr>
                <w:rFonts w:asciiTheme="majorHAnsi" w:hAnsiTheme="majorHAnsi" w:cstheme="majorHAnsi"/>
              </w:rPr>
              <w:t>earmarked</w:t>
            </w:r>
            <w:proofErr w:type="gramEnd"/>
            <w:r w:rsidRPr="00425332">
              <w:rPr>
                <w:rFonts w:asciiTheme="majorHAnsi" w:hAnsiTheme="majorHAnsi" w:cstheme="majorHAnsi"/>
              </w:rPr>
              <w:t xml:space="preserve"> by the Legislature.</w:t>
            </w:r>
          </w:p>
        </w:tc>
      </w:tr>
    </w:tbl>
    <w:p w14:paraId="6D357A33" w14:textId="77777777" w:rsidR="00425332" w:rsidRDefault="00425332" w:rsidP="00425332">
      <w:pPr>
        <w:pStyle w:val="ListParagraph"/>
        <w:rPr>
          <w:rFonts w:asciiTheme="majorHAnsi" w:hAnsiTheme="majorHAnsi" w:cstheme="majorHAnsi"/>
        </w:rPr>
      </w:pPr>
    </w:p>
    <w:p w14:paraId="3F129815" w14:textId="77777777" w:rsidR="00425332" w:rsidRDefault="00425332" w:rsidP="00425332">
      <w:pPr>
        <w:pStyle w:val="ListParagraph"/>
        <w:rPr>
          <w:rFonts w:asciiTheme="majorHAnsi" w:hAnsiTheme="majorHAnsi" w:cstheme="majorHAnsi"/>
        </w:rPr>
      </w:pPr>
    </w:p>
    <w:p w14:paraId="2D73874D" w14:textId="714B8FCF" w:rsidR="001E1A3E" w:rsidRPr="00425332" w:rsidRDefault="00000000" w:rsidP="00D64948">
      <w:pPr>
        <w:pStyle w:val="ListParagraph"/>
        <w:numPr>
          <w:ilvl w:val="0"/>
          <w:numId w:val="42"/>
        </w:numPr>
        <w:rPr>
          <w:rFonts w:asciiTheme="majorHAnsi" w:hAnsiTheme="majorHAnsi" w:cstheme="majorHAnsi"/>
        </w:rPr>
      </w:pPr>
      <w:r w:rsidRPr="00425332">
        <w:rPr>
          <w:rFonts w:asciiTheme="majorHAnsi" w:hAnsiTheme="majorHAnsi" w:cstheme="majorHAnsi"/>
        </w:rPr>
        <w:t xml:space="preserve">Please refer to the detailed overview </w:t>
      </w:r>
      <w:r w:rsidR="00425332" w:rsidRPr="00425332">
        <w:rPr>
          <w:rFonts w:asciiTheme="majorHAnsi" w:hAnsiTheme="majorHAnsi" w:cstheme="majorHAnsi"/>
        </w:rPr>
        <w:t xml:space="preserve">included in the </w:t>
      </w:r>
      <w:hyperlink r:id="rId22" w:history="1">
        <w:r w:rsidR="00425332" w:rsidRPr="00425332">
          <w:rPr>
            <w:rStyle w:val="Hyperlink"/>
            <w:rFonts w:asciiTheme="majorHAnsi" w:hAnsiTheme="majorHAnsi" w:cstheme="majorHAnsi"/>
          </w:rPr>
          <w:t>Rest Home Payment and Rate Overview</w:t>
        </w:r>
      </w:hyperlink>
      <w:r w:rsidR="00425332" w:rsidRPr="00425332">
        <w:rPr>
          <w:rFonts w:asciiTheme="majorHAnsi" w:hAnsiTheme="majorHAnsi" w:cstheme="majorHAnsi"/>
        </w:rPr>
        <w:t xml:space="preserve"> presentation from the Task Force’s 1/24/2025</w:t>
      </w:r>
      <w:r w:rsidR="00425332">
        <w:rPr>
          <w:rFonts w:asciiTheme="majorHAnsi" w:hAnsiTheme="majorHAnsi" w:cstheme="majorHAnsi"/>
        </w:rPr>
        <w:t xml:space="preserve"> m</w:t>
      </w:r>
      <w:r w:rsidRPr="00425332">
        <w:rPr>
          <w:rFonts w:asciiTheme="majorHAnsi" w:hAnsiTheme="majorHAnsi" w:cstheme="majorHAnsi"/>
        </w:rPr>
        <w:t>eeting for additional information.</w:t>
      </w:r>
    </w:p>
    <w:p w14:paraId="4076C8A5" w14:textId="4F0F49D7" w:rsidR="001E1A3E" w:rsidRPr="00F178E4" w:rsidRDefault="001E1A3E">
      <w:pPr>
        <w:rPr>
          <w:rFonts w:asciiTheme="majorHAnsi" w:hAnsiTheme="majorHAnsi" w:cstheme="majorHAnsi"/>
        </w:rPr>
      </w:pPr>
    </w:p>
    <w:p w14:paraId="27FC4958" w14:textId="77777777" w:rsidR="001E1A3E" w:rsidRPr="00F178E4" w:rsidRDefault="00000000">
      <w:pPr>
        <w:pStyle w:val="Heading1"/>
        <w:rPr>
          <w:rFonts w:cstheme="majorHAnsi"/>
        </w:rPr>
      </w:pPr>
      <w:r w:rsidRPr="00F178E4">
        <w:rPr>
          <w:rFonts w:cstheme="majorHAnsi"/>
        </w:rPr>
        <w:t>Slide 29</w:t>
      </w:r>
    </w:p>
    <w:p w14:paraId="149681EC" w14:textId="77777777" w:rsidR="001E1A3E" w:rsidRPr="00F178E4" w:rsidRDefault="00000000">
      <w:pPr>
        <w:rPr>
          <w:rFonts w:asciiTheme="majorHAnsi" w:hAnsiTheme="majorHAnsi" w:cstheme="majorHAnsi"/>
        </w:rPr>
      </w:pPr>
      <w:r w:rsidRPr="00F178E4">
        <w:rPr>
          <w:rFonts w:asciiTheme="majorHAnsi" w:hAnsiTheme="majorHAnsi" w:cstheme="majorHAnsi"/>
        </w:rPr>
        <w:t>Task Force’s Recommendations</w:t>
      </w:r>
    </w:p>
    <w:p w14:paraId="6D03031D" w14:textId="12BAAE42" w:rsidR="001E1A3E" w:rsidRPr="00F178E4" w:rsidRDefault="001E1A3E">
      <w:pPr>
        <w:rPr>
          <w:rFonts w:asciiTheme="majorHAnsi" w:hAnsiTheme="majorHAnsi" w:cstheme="majorHAnsi"/>
        </w:rPr>
      </w:pPr>
    </w:p>
    <w:p w14:paraId="279B5B35" w14:textId="77777777" w:rsidR="001E1A3E" w:rsidRPr="00F178E4" w:rsidRDefault="00000000">
      <w:pPr>
        <w:pStyle w:val="Heading1"/>
        <w:rPr>
          <w:rFonts w:cstheme="majorHAnsi"/>
        </w:rPr>
      </w:pPr>
      <w:r w:rsidRPr="00F178E4">
        <w:rPr>
          <w:rFonts w:cstheme="majorHAnsi"/>
        </w:rPr>
        <w:t>Slide 30</w:t>
      </w:r>
    </w:p>
    <w:p w14:paraId="331E1FF8" w14:textId="77777777" w:rsidR="00FD30F2" w:rsidRPr="00F178E4" w:rsidRDefault="00FD30F2" w:rsidP="00FD30F2">
      <w:pPr>
        <w:rPr>
          <w:rFonts w:asciiTheme="majorHAnsi" w:hAnsiTheme="majorHAnsi" w:cstheme="majorHAnsi"/>
        </w:rPr>
      </w:pPr>
      <w:r w:rsidRPr="00F178E4">
        <w:rPr>
          <w:rFonts w:asciiTheme="majorHAnsi" w:hAnsiTheme="majorHAnsi" w:cstheme="majorHAnsi"/>
        </w:rPr>
        <w:t>Task Force’s Recommendations</w:t>
      </w:r>
    </w:p>
    <w:p w14:paraId="0E06DAD8" w14:textId="01D165F5" w:rsidR="001E1A3E" w:rsidRPr="00FD30F2" w:rsidRDefault="00000000">
      <w:pPr>
        <w:rPr>
          <w:rFonts w:asciiTheme="majorHAnsi" w:hAnsiTheme="majorHAnsi" w:cstheme="majorHAnsi"/>
          <w:u w:val="single"/>
        </w:rPr>
      </w:pPr>
      <w:r w:rsidRPr="00FD30F2">
        <w:rPr>
          <w:rFonts w:asciiTheme="majorHAnsi" w:hAnsiTheme="majorHAnsi" w:cstheme="majorHAnsi"/>
          <w:u w:val="single"/>
        </w:rPr>
        <w:t>Recommendations:</w:t>
      </w:r>
    </w:p>
    <w:p w14:paraId="38065B19" w14:textId="47F360E8" w:rsidR="001E1A3E" w:rsidRPr="00FD30F2" w:rsidRDefault="00000000" w:rsidP="00D64948">
      <w:pPr>
        <w:pStyle w:val="ListParagraph"/>
        <w:numPr>
          <w:ilvl w:val="0"/>
          <w:numId w:val="42"/>
        </w:numPr>
        <w:rPr>
          <w:rFonts w:asciiTheme="majorHAnsi" w:hAnsiTheme="majorHAnsi" w:cstheme="majorHAnsi"/>
        </w:rPr>
      </w:pPr>
      <w:r w:rsidRPr="00FD30F2">
        <w:rPr>
          <w:rFonts w:asciiTheme="majorHAnsi" w:hAnsiTheme="majorHAnsi" w:cstheme="majorHAnsi"/>
        </w:rPr>
        <w:lastRenderedPageBreak/>
        <w:t xml:space="preserve">Based on the information, resources, and testimony presented to the Task Force, a set of long-term strategies were developed that </w:t>
      </w:r>
      <w:proofErr w:type="gramStart"/>
      <w:r w:rsidRPr="00FD30F2">
        <w:rPr>
          <w:rFonts w:asciiTheme="majorHAnsi" w:hAnsiTheme="majorHAnsi" w:cstheme="majorHAnsi"/>
        </w:rPr>
        <w:t>fall</w:t>
      </w:r>
      <w:proofErr w:type="gramEnd"/>
      <w:r w:rsidRPr="00FD30F2">
        <w:rPr>
          <w:rFonts w:asciiTheme="majorHAnsi" w:hAnsiTheme="majorHAnsi" w:cstheme="majorHAnsi"/>
        </w:rPr>
        <w:t xml:space="preserve"> under the following </w:t>
      </w:r>
      <w:r w:rsidR="00FD30F2">
        <w:rPr>
          <w:rFonts w:asciiTheme="majorHAnsi" w:hAnsiTheme="majorHAnsi" w:cstheme="majorHAnsi"/>
        </w:rPr>
        <w:t>fiv</w:t>
      </w:r>
      <w:r w:rsidRPr="00FD30F2">
        <w:rPr>
          <w:rFonts w:asciiTheme="majorHAnsi" w:hAnsiTheme="majorHAnsi" w:cstheme="majorHAnsi"/>
        </w:rPr>
        <w:t>e broad categories:</w:t>
      </w:r>
    </w:p>
    <w:p w14:paraId="32C0BB69" w14:textId="77777777" w:rsidR="00FD30F2" w:rsidRDefault="00000000" w:rsidP="00D64948">
      <w:pPr>
        <w:pStyle w:val="ListParagraph"/>
        <w:numPr>
          <w:ilvl w:val="0"/>
          <w:numId w:val="46"/>
        </w:numPr>
        <w:rPr>
          <w:rFonts w:asciiTheme="majorHAnsi" w:hAnsiTheme="majorHAnsi" w:cstheme="majorHAnsi"/>
        </w:rPr>
      </w:pPr>
      <w:r w:rsidRPr="00FD30F2">
        <w:rPr>
          <w:rFonts w:asciiTheme="majorHAnsi" w:hAnsiTheme="majorHAnsi" w:cstheme="majorHAnsi"/>
        </w:rPr>
        <w:t>Update regulatory requirements to ensure standard expectations of care and distribution of funding across rest homes.</w:t>
      </w:r>
    </w:p>
    <w:p w14:paraId="3CC6C863" w14:textId="77777777" w:rsidR="00FD30F2" w:rsidRDefault="00000000" w:rsidP="00D64948">
      <w:pPr>
        <w:pStyle w:val="ListParagraph"/>
        <w:numPr>
          <w:ilvl w:val="0"/>
          <w:numId w:val="46"/>
        </w:numPr>
        <w:rPr>
          <w:rFonts w:asciiTheme="majorHAnsi" w:hAnsiTheme="majorHAnsi" w:cstheme="majorHAnsi"/>
        </w:rPr>
      </w:pPr>
      <w:r w:rsidRPr="00FD30F2">
        <w:rPr>
          <w:rFonts w:asciiTheme="majorHAnsi" w:hAnsiTheme="majorHAnsi" w:cstheme="majorHAnsi"/>
        </w:rPr>
        <w:t>Enhance financial reporting requirements to increase transparency and best identify impacts of costs on rest homes.</w:t>
      </w:r>
    </w:p>
    <w:p w14:paraId="6699A45E" w14:textId="77777777" w:rsidR="00FD30F2" w:rsidRDefault="00000000" w:rsidP="00D64948">
      <w:pPr>
        <w:pStyle w:val="ListParagraph"/>
        <w:numPr>
          <w:ilvl w:val="0"/>
          <w:numId w:val="46"/>
        </w:numPr>
        <w:rPr>
          <w:rFonts w:asciiTheme="majorHAnsi" w:hAnsiTheme="majorHAnsi" w:cstheme="majorHAnsi"/>
        </w:rPr>
      </w:pPr>
      <w:r w:rsidRPr="00FD30F2">
        <w:rPr>
          <w:rFonts w:asciiTheme="majorHAnsi" w:hAnsiTheme="majorHAnsi" w:cstheme="majorHAnsi"/>
        </w:rPr>
        <w:t>Increases in data collection to improve access to data related to quality of care, patient demographics, and geographic trends in occupancy.</w:t>
      </w:r>
    </w:p>
    <w:p w14:paraId="1F9927A0" w14:textId="77777777" w:rsidR="00FD30F2" w:rsidRDefault="00000000" w:rsidP="00D64948">
      <w:pPr>
        <w:pStyle w:val="ListParagraph"/>
        <w:numPr>
          <w:ilvl w:val="0"/>
          <w:numId w:val="46"/>
        </w:numPr>
        <w:rPr>
          <w:rFonts w:asciiTheme="majorHAnsi" w:hAnsiTheme="majorHAnsi" w:cstheme="majorHAnsi"/>
        </w:rPr>
      </w:pPr>
      <w:r w:rsidRPr="00FD30F2">
        <w:rPr>
          <w:rFonts w:asciiTheme="majorHAnsi" w:hAnsiTheme="majorHAnsi" w:cstheme="majorHAnsi"/>
        </w:rPr>
        <w:t>Increase engagement among regulatory and industry stakeholders.</w:t>
      </w:r>
    </w:p>
    <w:p w14:paraId="58FC3601" w14:textId="3342AAA4" w:rsidR="001E1A3E" w:rsidRPr="00FD30F2" w:rsidRDefault="00000000" w:rsidP="00D64948">
      <w:pPr>
        <w:pStyle w:val="ListParagraph"/>
        <w:numPr>
          <w:ilvl w:val="0"/>
          <w:numId w:val="46"/>
        </w:numPr>
        <w:rPr>
          <w:rFonts w:asciiTheme="majorHAnsi" w:hAnsiTheme="majorHAnsi" w:cstheme="majorHAnsi"/>
        </w:rPr>
      </w:pPr>
      <w:r w:rsidRPr="00FD30F2">
        <w:rPr>
          <w:rFonts w:asciiTheme="majorHAnsi" w:hAnsiTheme="majorHAnsi" w:cstheme="majorHAnsi"/>
        </w:rPr>
        <w:t>Increase rest home industry’s access to capital funding.</w:t>
      </w:r>
    </w:p>
    <w:p w14:paraId="6069A9A3" w14:textId="77777777" w:rsidR="00FD30F2" w:rsidRDefault="00FD30F2" w:rsidP="00FD30F2">
      <w:pPr>
        <w:pStyle w:val="ListParagraph"/>
        <w:rPr>
          <w:rFonts w:asciiTheme="majorHAnsi" w:hAnsiTheme="majorHAnsi" w:cstheme="majorHAnsi"/>
        </w:rPr>
      </w:pPr>
    </w:p>
    <w:p w14:paraId="5EB0A47F" w14:textId="72B68DC5" w:rsidR="001E1A3E" w:rsidRPr="00FD30F2" w:rsidRDefault="00000000" w:rsidP="00D64948">
      <w:pPr>
        <w:pStyle w:val="ListParagraph"/>
        <w:numPr>
          <w:ilvl w:val="0"/>
          <w:numId w:val="42"/>
        </w:numPr>
        <w:rPr>
          <w:rFonts w:asciiTheme="majorHAnsi" w:hAnsiTheme="majorHAnsi" w:cstheme="majorHAnsi"/>
        </w:rPr>
      </w:pPr>
      <w:r w:rsidRPr="00FD30F2">
        <w:rPr>
          <w:rFonts w:asciiTheme="majorHAnsi" w:hAnsiTheme="majorHAnsi" w:cstheme="majorHAnsi"/>
        </w:rPr>
        <w:t xml:space="preserve">Under each category, various proposals were developed, prioritizing both the long-term sustainability of the rest home industry and the current realities of the federal landscape and specifically the priorities of the incoming federal administration. </w:t>
      </w:r>
    </w:p>
    <w:p w14:paraId="39A377B3" w14:textId="77777777" w:rsidR="001E1A3E" w:rsidRPr="00FD30F2" w:rsidRDefault="00000000" w:rsidP="00D64948">
      <w:pPr>
        <w:pStyle w:val="ListParagraph"/>
        <w:numPr>
          <w:ilvl w:val="0"/>
          <w:numId w:val="42"/>
        </w:numPr>
        <w:rPr>
          <w:rFonts w:asciiTheme="majorHAnsi" w:hAnsiTheme="majorHAnsi" w:cstheme="majorHAnsi"/>
        </w:rPr>
      </w:pPr>
      <w:r w:rsidRPr="00FD30F2">
        <w:rPr>
          <w:rFonts w:asciiTheme="majorHAnsi" w:hAnsiTheme="majorHAnsi" w:cstheme="majorHAnsi"/>
        </w:rPr>
        <w:t>Members discussed the draft proposals during the 2/28/2025 and 3/14/2025 Task Force meetings.</w:t>
      </w:r>
    </w:p>
    <w:p w14:paraId="151F43A7" w14:textId="64E6B598" w:rsidR="001E1A3E" w:rsidRPr="00F178E4" w:rsidRDefault="001E1A3E">
      <w:pPr>
        <w:rPr>
          <w:rFonts w:asciiTheme="majorHAnsi" w:hAnsiTheme="majorHAnsi" w:cstheme="majorHAnsi"/>
        </w:rPr>
      </w:pPr>
    </w:p>
    <w:p w14:paraId="6B730E25" w14:textId="77777777" w:rsidR="001E1A3E" w:rsidRPr="00F178E4" w:rsidRDefault="00000000">
      <w:pPr>
        <w:pStyle w:val="Heading1"/>
        <w:rPr>
          <w:rFonts w:cstheme="majorHAnsi"/>
        </w:rPr>
      </w:pPr>
      <w:r w:rsidRPr="00F178E4">
        <w:rPr>
          <w:rFonts w:cstheme="majorHAnsi"/>
        </w:rPr>
        <w:t>Slide 31</w:t>
      </w:r>
    </w:p>
    <w:p w14:paraId="37F28F4A" w14:textId="77777777" w:rsidR="001E1A3E" w:rsidRPr="00F178E4" w:rsidRDefault="00000000">
      <w:pPr>
        <w:rPr>
          <w:rFonts w:asciiTheme="majorHAnsi" w:hAnsiTheme="majorHAnsi" w:cstheme="majorHAnsi"/>
        </w:rPr>
      </w:pPr>
      <w:r w:rsidRPr="00F178E4">
        <w:rPr>
          <w:rFonts w:asciiTheme="majorHAnsi" w:hAnsiTheme="majorHAnsi" w:cstheme="majorHAnsi"/>
        </w:rPr>
        <w:t>Task Force’s Recommendations (cont.)</w:t>
      </w:r>
    </w:p>
    <w:tbl>
      <w:tblPr>
        <w:tblW w:w="9800" w:type="dxa"/>
        <w:tblCellMar>
          <w:left w:w="0" w:type="dxa"/>
          <w:right w:w="0" w:type="dxa"/>
        </w:tblCellMar>
        <w:tblLook w:val="0420" w:firstRow="1" w:lastRow="0" w:firstColumn="0" w:lastColumn="0" w:noHBand="0" w:noVBand="1"/>
      </w:tblPr>
      <w:tblGrid>
        <w:gridCol w:w="580"/>
        <w:gridCol w:w="9220"/>
      </w:tblGrid>
      <w:tr w:rsidR="0087423A" w:rsidRPr="0087423A" w14:paraId="7E9DE2DD" w14:textId="77777777" w:rsidTr="0087423A">
        <w:trPr>
          <w:trHeight w:val="631"/>
        </w:trPr>
        <w:tc>
          <w:tcPr>
            <w:tcW w:w="580" w:type="dxa"/>
            <w:tcBorders>
              <w:top w:val="single" w:sz="8" w:space="0" w:color="FFFFFF"/>
              <w:left w:val="single" w:sz="8" w:space="0" w:color="FFFFFF"/>
              <w:bottom w:val="single" w:sz="24" w:space="0" w:color="FFFFFF"/>
              <w:right w:val="single" w:sz="8" w:space="0" w:color="FFFFFF"/>
            </w:tcBorders>
            <w:shd w:val="clear" w:color="auto" w:fill="9CC7CE"/>
            <w:tcMar>
              <w:top w:w="72" w:type="dxa"/>
              <w:left w:w="144" w:type="dxa"/>
              <w:bottom w:w="72" w:type="dxa"/>
              <w:right w:w="144" w:type="dxa"/>
            </w:tcMar>
            <w:hideMark/>
          </w:tcPr>
          <w:p w14:paraId="024AADFD" w14:textId="77777777" w:rsidR="0087423A" w:rsidRPr="0087423A" w:rsidRDefault="0087423A" w:rsidP="0087423A">
            <w:pPr>
              <w:rPr>
                <w:rFonts w:asciiTheme="majorHAnsi" w:hAnsiTheme="majorHAnsi" w:cstheme="majorHAnsi"/>
              </w:rPr>
            </w:pPr>
            <w:r w:rsidRPr="0087423A">
              <w:rPr>
                <w:rFonts w:asciiTheme="majorHAnsi" w:hAnsiTheme="majorHAnsi" w:cstheme="majorHAnsi"/>
                <w:b/>
                <w:bCs/>
              </w:rPr>
              <w:t>1</w:t>
            </w:r>
          </w:p>
        </w:tc>
        <w:tc>
          <w:tcPr>
            <w:tcW w:w="9220" w:type="dxa"/>
            <w:tcBorders>
              <w:top w:val="single" w:sz="8" w:space="0" w:color="FFFFFF"/>
              <w:left w:val="single" w:sz="8" w:space="0" w:color="FFFFFF"/>
              <w:bottom w:val="single" w:sz="24" w:space="0" w:color="FFFFFF"/>
              <w:right w:val="single" w:sz="8" w:space="0" w:color="FFFFFF"/>
            </w:tcBorders>
            <w:shd w:val="clear" w:color="auto" w:fill="9CC7CE"/>
            <w:tcMar>
              <w:top w:w="72" w:type="dxa"/>
              <w:left w:w="144" w:type="dxa"/>
              <w:bottom w:w="72" w:type="dxa"/>
              <w:right w:w="144" w:type="dxa"/>
            </w:tcMar>
            <w:hideMark/>
          </w:tcPr>
          <w:p w14:paraId="06016575" w14:textId="77777777" w:rsidR="0087423A" w:rsidRPr="0087423A" w:rsidRDefault="0087423A" w:rsidP="0087423A">
            <w:pPr>
              <w:rPr>
                <w:rFonts w:asciiTheme="majorHAnsi" w:hAnsiTheme="majorHAnsi" w:cstheme="majorHAnsi"/>
              </w:rPr>
            </w:pPr>
            <w:r w:rsidRPr="0087423A">
              <w:rPr>
                <w:rFonts w:asciiTheme="majorHAnsi" w:hAnsiTheme="majorHAnsi" w:cstheme="majorHAnsi"/>
                <w:b/>
                <w:bCs/>
              </w:rPr>
              <w:t>Update regulatory requirements to ensure standard expectations of care and distribution of funding across rest homes</w:t>
            </w:r>
          </w:p>
        </w:tc>
      </w:tr>
      <w:tr w:rsidR="0087423A" w:rsidRPr="0087423A" w14:paraId="56AF92B2" w14:textId="77777777" w:rsidTr="0087423A">
        <w:trPr>
          <w:trHeight w:val="1146"/>
        </w:trPr>
        <w:tc>
          <w:tcPr>
            <w:tcW w:w="580" w:type="dxa"/>
            <w:tcBorders>
              <w:top w:val="single" w:sz="24"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0A153350"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A</w:t>
            </w:r>
          </w:p>
        </w:tc>
        <w:tc>
          <w:tcPr>
            <w:tcW w:w="9220" w:type="dxa"/>
            <w:tcBorders>
              <w:top w:val="single" w:sz="24"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6A5E3224"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Collaborate with the rest home industry to review and propose updates to the rest home regulations to both streamline and modernize the current regulations for licensed rest homes and ensure high quality of care for rest home residents, including exploring establishing reasonable staffing requirements for rest homes. </w:t>
            </w:r>
          </w:p>
          <w:p w14:paraId="3AB6841E" w14:textId="77777777" w:rsidR="0087423A" w:rsidRPr="0087423A" w:rsidRDefault="0087423A" w:rsidP="00D64948">
            <w:pPr>
              <w:numPr>
                <w:ilvl w:val="1"/>
                <w:numId w:val="47"/>
              </w:numPr>
              <w:rPr>
                <w:rFonts w:asciiTheme="majorHAnsi" w:hAnsiTheme="majorHAnsi" w:cstheme="majorHAnsi"/>
              </w:rPr>
            </w:pPr>
            <w:r w:rsidRPr="0087423A">
              <w:rPr>
                <w:rFonts w:asciiTheme="majorHAnsi" w:hAnsiTheme="majorHAnsi" w:cstheme="majorHAnsi"/>
              </w:rPr>
              <w:t xml:space="preserve">As part of considerations of staffing requirements, conduct an analysis of current staffing levels, standards of care. Components would include staffing levels, turnover rates and impact on </w:t>
            </w:r>
            <w:proofErr w:type="gramStart"/>
            <w:r w:rsidRPr="0087423A">
              <w:rPr>
                <w:rFonts w:asciiTheme="majorHAnsi" w:hAnsiTheme="majorHAnsi" w:cstheme="majorHAnsi"/>
              </w:rPr>
              <w:t>quality of</w:t>
            </w:r>
            <w:proofErr w:type="gramEnd"/>
            <w:r w:rsidRPr="0087423A">
              <w:rPr>
                <w:rFonts w:asciiTheme="majorHAnsi" w:hAnsiTheme="majorHAnsi" w:cstheme="majorHAnsi"/>
              </w:rPr>
              <w:t xml:space="preserve"> care.</w:t>
            </w:r>
          </w:p>
          <w:p w14:paraId="06F7421A" w14:textId="77777777" w:rsidR="0087423A" w:rsidRPr="0087423A" w:rsidRDefault="0087423A" w:rsidP="00D64948">
            <w:pPr>
              <w:numPr>
                <w:ilvl w:val="1"/>
                <w:numId w:val="47"/>
              </w:numPr>
              <w:rPr>
                <w:rFonts w:asciiTheme="majorHAnsi" w:hAnsiTheme="majorHAnsi" w:cstheme="majorHAnsi"/>
              </w:rPr>
            </w:pPr>
            <w:r w:rsidRPr="0087423A">
              <w:rPr>
                <w:rFonts w:asciiTheme="majorHAnsi" w:hAnsiTheme="majorHAnsi" w:cstheme="majorHAnsi"/>
              </w:rPr>
              <w:t>Explore feasibility of client related quality measures such as survey responses on care, environment and experience, family communication (especially where they go when a rest home is closed) and autonomy of clients.</w:t>
            </w:r>
          </w:p>
        </w:tc>
      </w:tr>
      <w:tr w:rsidR="0087423A" w:rsidRPr="0087423A" w14:paraId="5102899A" w14:textId="77777777" w:rsidTr="0087423A">
        <w:trPr>
          <w:trHeight w:val="952"/>
        </w:trPr>
        <w:tc>
          <w:tcPr>
            <w:tcW w:w="580" w:type="dxa"/>
            <w:tcBorders>
              <w:top w:val="single" w:sz="8" w:space="0" w:color="FFFFFF"/>
              <w:left w:val="single" w:sz="8" w:space="0" w:color="FFFFFF"/>
              <w:bottom w:val="single" w:sz="8" w:space="0" w:color="FFFFFF"/>
              <w:right w:val="single" w:sz="8" w:space="0" w:color="FFFFFF"/>
            </w:tcBorders>
            <w:shd w:val="clear" w:color="auto" w:fill="EAF0F7"/>
            <w:tcMar>
              <w:top w:w="144" w:type="dxa"/>
              <w:left w:w="144" w:type="dxa"/>
              <w:bottom w:w="144" w:type="dxa"/>
              <w:right w:w="144" w:type="dxa"/>
            </w:tcMar>
            <w:hideMark/>
          </w:tcPr>
          <w:p w14:paraId="289B99CC"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lastRenderedPageBreak/>
              <w:t>B</w:t>
            </w:r>
          </w:p>
        </w:tc>
        <w:tc>
          <w:tcPr>
            <w:tcW w:w="9220" w:type="dxa"/>
            <w:tcBorders>
              <w:top w:val="single" w:sz="8" w:space="0" w:color="FFFFFF"/>
              <w:left w:val="single" w:sz="8" w:space="0" w:color="FFFFFF"/>
              <w:bottom w:val="single" w:sz="8" w:space="0" w:color="FFFFFF"/>
              <w:right w:val="single" w:sz="8" w:space="0" w:color="FFFFFF"/>
            </w:tcBorders>
            <w:shd w:val="clear" w:color="auto" w:fill="EAF0F7"/>
            <w:tcMar>
              <w:top w:w="144" w:type="dxa"/>
              <w:left w:w="144" w:type="dxa"/>
              <w:bottom w:w="144" w:type="dxa"/>
              <w:right w:w="144" w:type="dxa"/>
            </w:tcMar>
            <w:hideMark/>
          </w:tcPr>
          <w:p w14:paraId="7467E67F"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Conduct an analysis to report on the viability of receiving federal approval to receive Federal Medical Assistance Percentages (FMAP) for rest home services and identify any necessary changes to current law or regulatory requirements that would facilitate rest homes being eligible for FMAP.</w:t>
            </w:r>
          </w:p>
        </w:tc>
      </w:tr>
    </w:tbl>
    <w:p w14:paraId="6F6FC872" w14:textId="61DF2317" w:rsidR="001E1A3E" w:rsidRPr="00F178E4" w:rsidRDefault="001E1A3E">
      <w:pPr>
        <w:rPr>
          <w:rFonts w:asciiTheme="majorHAnsi" w:hAnsiTheme="majorHAnsi" w:cstheme="majorHAnsi"/>
        </w:rPr>
      </w:pPr>
    </w:p>
    <w:p w14:paraId="2E69B0F4" w14:textId="77777777" w:rsidR="001E1A3E" w:rsidRPr="00F178E4" w:rsidRDefault="00000000">
      <w:pPr>
        <w:pStyle w:val="Heading1"/>
        <w:rPr>
          <w:rFonts w:cstheme="majorHAnsi"/>
        </w:rPr>
      </w:pPr>
      <w:r w:rsidRPr="00F178E4">
        <w:rPr>
          <w:rFonts w:cstheme="majorHAnsi"/>
        </w:rPr>
        <w:t>Slide 32</w:t>
      </w:r>
    </w:p>
    <w:p w14:paraId="27B65E14" w14:textId="77777777" w:rsidR="001E1A3E" w:rsidRPr="00F178E4" w:rsidRDefault="00000000">
      <w:pPr>
        <w:rPr>
          <w:rFonts w:asciiTheme="majorHAnsi" w:hAnsiTheme="majorHAnsi" w:cstheme="majorHAnsi"/>
        </w:rPr>
      </w:pPr>
      <w:r w:rsidRPr="00F178E4">
        <w:rPr>
          <w:rFonts w:asciiTheme="majorHAnsi" w:hAnsiTheme="majorHAnsi" w:cstheme="majorHAnsi"/>
        </w:rPr>
        <w:t>Task Force’s Recommendations (cont.)</w:t>
      </w:r>
    </w:p>
    <w:tbl>
      <w:tblPr>
        <w:tblW w:w="9800" w:type="dxa"/>
        <w:tblCellMar>
          <w:left w:w="0" w:type="dxa"/>
          <w:right w:w="0" w:type="dxa"/>
        </w:tblCellMar>
        <w:tblLook w:val="0420" w:firstRow="1" w:lastRow="0" w:firstColumn="0" w:lastColumn="0" w:noHBand="0" w:noVBand="1"/>
      </w:tblPr>
      <w:tblGrid>
        <w:gridCol w:w="580"/>
        <w:gridCol w:w="9220"/>
      </w:tblGrid>
      <w:tr w:rsidR="0087423A" w:rsidRPr="0087423A" w14:paraId="104D739A" w14:textId="77777777" w:rsidTr="0087423A">
        <w:trPr>
          <w:trHeight w:val="1116"/>
        </w:trPr>
        <w:tc>
          <w:tcPr>
            <w:tcW w:w="580" w:type="dxa"/>
            <w:tcBorders>
              <w:top w:val="single" w:sz="8" w:space="0" w:color="FFFFFF"/>
              <w:left w:val="single" w:sz="8" w:space="0" w:color="FFFFFF"/>
              <w:bottom w:val="single" w:sz="24" w:space="0" w:color="FFFFFF"/>
              <w:right w:val="single" w:sz="8" w:space="0" w:color="FFFFFF"/>
            </w:tcBorders>
            <w:shd w:val="clear" w:color="auto" w:fill="9CC7CE"/>
            <w:tcMar>
              <w:top w:w="72" w:type="dxa"/>
              <w:left w:w="144" w:type="dxa"/>
              <w:bottom w:w="72" w:type="dxa"/>
              <w:right w:w="144" w:type="dxa"/>
            </w:tcMar>
            <w:hideMark/>
          </w:tcPr>
          <w:p w14:paraId="55CC3423" w14:textId="77777777" w:rsidR="0087423A" w:rsidRPr="0087423A" w:rsidRDefault="0087423A" w:rsidP="0087423A">
            <w:pPr>
              <w:rPr>
                <w:rFonts w:asciiTheme="majorHAnsi" w:hAnsiTheme="majorHAnsi" w:cstheme="majorHAnsi"/>
              </w:rPr>
            </w:pPr>
            <w:r w:rsidRPr="0087423A">
              <w:rPr>
                <w:rFonts w:asciiTheme="majorHAnsi" w:hAnsiTheme="majorHAnsi" w:cstheme="majorHAnsi"/>
                <w:b/>
                <w:bCs/>
              </w:rPr>
              <w:t>1</w:t>
            </w:r>
          </w:p>
        </w:tc>
        <w:tc>
          <w:tcPr>
            <w:tcW w:w="9220" w:type="dxa"/>
            <w:tcBorders>
              <w:top w:val="single" w:sz="8" w:space="0" w:color="FFFFFF"/>
              <w:left w:val="single" w:sz="8" w:space="0" w:color="FFFFFF"/>
              <w:bottom w:val="single" w:sz="24" w:space="0" w:color="FFFFFF"/>
              <w:right w:val="single" w:sz="8" w:space="0" w:color="FFFFFF"/>
            </w:tcBorders>
            <w:shd w:val="clear" w:color="auto" w:fill="9CC7CE"/>
            <w:tcMar>
              <w:top w:w="72" w:type="dxa"/>
              <w:left w:w="144" w:type="dxa"/>
              <w:bottom w:w="72" w:type="dxa"/>
              <w:right w:w="144" w:type="dxa"/>
            </w:tcMar>
            <w:hideMark/>
          </w:tcPr>
          <w:p w14:paraId="15F91954" w14:textId="77777777" w:rsidR="0087423A" w:rsidRPr="0087423A" w:rsidRDefault="0087423A" w:rsidP="0087423A">
            <w:pPr>
              <w:rPr>
                <w:rFonts w:asciiTheme="majorHAnsi" w:hAnsiTheme="majorHAnsi" w:cstheme="majorHAnsi"/>
              </w:rPr>
            </w:pPr>
            <w:r w:rsidRPr="0087423A">
              <w:rPr>
                <w:rFonts w:asciiTheme="majorHAnsi" w:hAnsiTheme="majorHAnsi" w:cstheme="majorHAnsi"/>
                <w:b/>
                <w:bCs/>
              </w:rPr>
              <w:t>Update regulatory requirements to ensure standard expectations of care and distribution of funding across rest homes</w:t>
            </w:r>
          </w:p>
        </w:tc>
      </w:tr>
      <w:tr w:rsidR="0087423A" w:rsidRPr="0087423A" w14:paraId="6AF2AC91" w14:textId="77777777" w:rsidTr="0087423A">
        <w:trPr>
          <w:trHeight w:val="3670"/>
        </w:trPr>
        <w:tc>
          <w:tcPr>
            <w:tcW w:w="580" w:type="dxa"/>
            <w:tcBorders>
              <w:top w:val="single" w:sz="24"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06588462"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C</w:t>
            </w:r>
          </w:p>
        </w:tc>
        <w:tc>
          <w:tcPr>
            <w:tcW w:w="9220" w:type="dxa"/>
            <w:tcBorders>
              <w:top w:val="single" w:sz="24"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0CDB683D"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In the instance where additional funding is allocated to rest homes, consider the following rate adjustments:</w:t>
            </w:r>
          </w:p>
          <w:p w14:paraId="583AAE52" w14:textId="77777777" w:rsidR="0087423A" w:rsidRPr="0087423A" w:rsidRDefault="0087423A" w:rsidP="00D64948">
            <w:pPr>
              <w:numPr>
                <w:ilvl w:val="0"/>
                <w:numId w:val="48"/>
              </w:numPr>
              <w:rPr>
                <w:rFonts w:asciiTheme="majorHAnsi" w:hAnsiTheme="majorHAnsi" w:cstheme="majorHAnsi"/>
              </w:rPr>
            </w:pPr>
            <w:r w:rsidRPr="0087423A">
              <w:rPr>
                <w:rFonts w:asciiTheme="majorHAnsi" w:hAnsiTheme="majorHAnsi" w:cstheme="majorHAnsi"/>
              </w:rPr>
              <w:t>Lower the occupancy standard from 90% and increase the cap on variable costs from 85%</w:t>
            </w:r>
          </w:p>
          <w:p w14:paraId="5E3E688A" w14:textId="77777777" w:rsidR="0087423A" w:rsidRPr="0087423A" w:rsidRDefault="0087423A" w:rsidP="00D64948">
            <w:pPr>
              <w:numPr>
                <w:ilvl w:val="0"/>
                <w:numId w:val="48"/>
              </w:numPr>
              <w:rPr>
                <w:rFonts w:asciiTheme="majorHAnsi" w:hAnsiTheme="majorHAnsi" w:cstheme="majorHAnsi"/>
              </w:rPr>
            </w:pPr>
            <w:r w:rsidRPr="0087423A">
              <w:rPr>
                <w:rFonts w:asciiTheme="majorHAnsi" w:hAnsiTheme="majorHAnsi" w:cstheme="majorHAnsi"/>
              </w:rPr>
              <w:t>Use alternative inflation forecasting data (e.g., Massachusetts CPI) for updating rates</w:t>
            </w:r>
          </w:p>
          <w:p w14:paraId="1B3D4D6D" w14:textId="77777777" w:rsidR="0087423A" w:rsidRPr="0087423A" w:rsidRDefault="0087423A" w:rsidP="00D64948">
            <w:pPr>
              <w:numPr>
                <w:ilvl w:val="0"/>
                <w:numId w:val="48"/>
              </w:numPr>
              <w:rPr>
                <w:rFonts w:asciiTheme="majorHAnsi" w:hAnsiTheme="majorHAnsi" w:cstheme="majorHAnsi"/>
              </w:rPr>
            </w:pPr>
            <w:r w:rsidRPr="0087423A">
              <w:rPr>
                <w:rFonts w:asciiTheme="majorHAnsi" w:hAnsiTheme="majorHAnsi" w:cstheme="majorHAnsi"/>
              </w:rPr>
              <w:t>Adjust the methodology for determining capital rates</w:t>
            </w:r>
          </w:p>
          <w:p w14:paraId="19D01987" w14:textId="77777777" w:rsidR="0087423A" w:rsidRPr="0087423A" w:rsidRDefault="0087423A" w:rsidP="00D64948">
            <w:pPr>
              <w:numPr>
                <w:ilvl w:val="0"/>
                <w:numId w:val="48"/>
              </w:numPr>
              <w:rPr>
                <w:rFonts w:asciiTheme="majorHAnsi" w:hAnsiTheme="majorHAnsi" w:cstheme="majorHAnsi"/>
              </w:rPr>
            </w:pPr>
            <w:r w:rsidRPr="0087423A">
              <w:rPr>
                <w:rFonts w:asciiTheme="majorHAnsi" w:hAnsiTheme="majorHAnsi" w:cstheme="majorHAnsi"/>
              </w:rPr>
              <w:t xml:space="preserve">Combine the two existing add-ons, the DTA/EAEDC and Resident Care add-ons, into a single DTA add-on, structured to benefit rest homes that have a larger percentage of residents receiving DTA benefits. </w:t>
            </w:r>
          </w:p>
          <w:p w14:paraId="5F701C18" w14:textId="77777777" w:rsidR="0087423A" w:rsidRPr="0087423A" w:rsidRDefault="0087423A" w:rsidP="00D64948">
            <w:pPr>
              <w:numPr>
                <w:ilvl w:val="1"/>
                <w:numId w:val="48"/>
              </w:numPr>
              <w:rPr>
                <w:rFonts w:asciiTheme="majorHAnsi" w:hAnsiTheme="majorHAnsi" w:cstheme="majorHAnsi"/>
              </w:rPr>
            </w:pPr>
            <w:r w:rsidRPr="0087423A">
              <w:rPr>
                <w:rFonts w:asciiTheme="majorHAnsi" w:hAnsiTheme="majorHAnsi" w:cstheme="majorHAnsi"/>
              </w:rPr>
              <w:t xml:space="preserve">Provide staffing add-ons for rest homes with higher use of nursing staff, reflecting higher acuity needs of residents. </w:t>
            </w:r>
          </w:p>
        </w:tc>
      </w:tr>
      <w:tr w:rsidR="0087423A" w:rsidRPr="0087423A" w14:paraId="45688242" w14:textId="77777777" w:rsidTr="0087423A">
        <w:trPr>
          <w:trHeight w:val="951"/>
        </w:trPr>
        <w:tc>
          <w:tcPr>
            <w:tcW w:w="580" w:type="dxa"/>
            <w:tcBorders>
              <w:top w:val="single" w:sz="8" w:space="0" w:color="FFFFFF"/>
              <w:left w:val="single" w:sz="8" w:space="0" w:color="FFFFFF"/>
              <w:bottom w:val="single" w:sz="8" w:space="0" w:color="FFFFFF"/>
              <w:right w:val="single" w:sz="8" w:space="0" w:color="FFFFFF"/>
            </w:tcBorders>
            <w:shd w:val="clear" w:color="auto" w:fill="EAF0F7"/>
            <w:tcMar>
              <w:top w:w="144" w:type="dxa"/>
              <w:left w:w="144" w:type="dxa"/>
              <w:bottom w:w="144" w:type="dxa"/>
              <w:right w:w="144" w:type="dxa"/>
            </w:tcMar>
            <w:hideMark/>
          </w:tcPr>
          <w:p w14:paraId="7AD32D6F"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D</w:t>
            </w:r>
          </w:p>
        </w:tc>
        <w:tc>
          <w:tcPr>
            <w:tcW w:w="9220" w:type="dxa"/>
            <w:tcBorders>
              <w:top w:val="single" w:sz="8" w:space="0" w:color="FFFFFF"/>
              <w:left w:val="single" w:sz="8" w:space="0" w:color="FFFFFF"/>
              <w:bottom w:val="single" w:sz="8" w:space="0" w:color="FFFFFF"/>
              <w:right w:val="single" w:sz="8" w:space="0" w:color="FFFFFF"/>
            </w:tcBorders>
            <w:shd w:val="clear" w:color="auto" w:fill="EAF0F7"/>
            <w:tcMar>
              <w:top w:w="144" w:type="dxa"/>
              <w:left w:w="144" w:type="dxa"/>
              <w:bottom w:w="144" w:type="dxa"/>
              <w:right w:w="144" w:type="dxa"/>
            </w:tcMar>
            <w:hideMark/>
          </w:tcPr>
          <w:p w14:paraId="1282F7C9"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Increase the Personal Needs Allowance (PNA) for rest home residents that receive public subsidy, to enhance the dignity of residents and address the current PNA of $72.80.</w:t>
            </w:r>
          </w:p>
        </w:tc>
      </w:tr>
    </w:tbl>
    <w:p w14:paraId="1A43EC27" w14:textId="0FE0C95A" w:rsidR="001E1A3E" w:rsidRPr="00F178E4" w:rsidRDefault="001E1A3E">
      <w:pPr>
        <w:rPr>
          <w:rFonts w:asciiTheme="majorHAnsi" w:hAnsiTheme="majorHAnsi" w:cstheme="majorHAnsi"/>
        </w:rPr>
      </w:pPr>
    </w:p>
    <w:p w14:paraId="3AC74133" w14:textId="77777777" w:rsidR="001E1A3E" w:rsidRPr="00F178E4" w:rsidRDefault="00000000">
      <w:pPr>
        <w:pStyle w:val="Heading1"/>
        <w:rPr>
          <w:rFonts w:cstheme="majorHAnsi"/>
        </w:rPr>
      </w:pPr>
      <w:r w:rsidRPr="00F178E4">
        <w:rPr>
          <w:rFonts w:cstheme="majorHAnsi"/>
        </w:rPr>
        <w:t>Slide 33</w:t>
      </w:r>
    </w:p>
    <w:p w14:paraId="091D21BD" w14:textId="77777777" w:rsidR="001E1A3E" w:rsidRPr="00F178E4" w:rsidRDefault="00000000">
      <w:pPr>
        <w:rPr>
          <w:rFonts w:asciiTheme="majorHAnsi" w:hAnsiTheme="majorHAnsi" w:cstheme="majorHAnsi"/>
        </w:rPr>
      </w:pPr>
      <w:r w:rsidRPr="00F178E4">
        <w:rPr>
          <w:rFonts w:asciiTheme="majorHAnsi" w:hAnsiTheme="majorHAnsi" w:cstheme="majorHAnsi"/>
        </w:rPr>
        <w:t>Task Force’s Recommendations (cont.)</w:t>
      </w:r>
    </w:p>
    <w:tbl>
      <w:tblPr>
        <w:tblW w:w="9800" w:type="dxa"/>
        <w:tblCellMar>
          <w:left w:w="0" w:type="dxa"/>
          <w:right w:w="0" w:type="dxa"/>
        </w:tblCellMar>
        <w:tblLook w:val="0420" w:firstRow="1" w:lastRow="0" w:firstColumn="0" w:lastColumn="0" w:noHBand="0" w:noVBand="1"/>
      </w:tblPr>
      <w:tblGrid>
        <w:gridCol w:w="580"/>
        <w:gridCol w:w="9220"/>
      </w:tblGrid>
      <w:tr w:rsidR="0087423A" w:rsidRPr="0087423A" w14:paraId="7B5C1932" w14:textId="77777777" w:rsidTr="0087423A">
        <w:trPr>
          <w:trHeight w:val="538"/>
        </w:trPr>
        <w:tc>
          <w:tcPr>
            <w:tcW w:w="580" w:type="dxa"/>
            <w:tcBorders>
              <w:top w:val="single" w:sz="8" w:space="0" w:color="FFFFFF"/>
              <w:left w:val="single" w:sz="8" w:space="0" w:color="FFFFFF"/>
              <w:bottom w:val="single" w:sz="24" w:space="0" w:color="FFFFFF"/>
              <w:right w:val="single" w:sz="8" w:space="0" w:color="FFFFFF"/>
            </w:tcBorders>
            <w:shd w:val="clear" w:color="auto" w:fill="9CC7CE"/>
            <w:tcMar>
              <w:top w:w="72" w:type="dxa"/>
              <w:left w:w="144" w:type="dxa"/>
              <w:bottom w:w="72" w:type="dxa"/>
              <w:right w:w="144" w:type="dxa"/>
            </w:tcMar>
            <w:hideMark/>
          </w:tcPr>
          <w:p w14:paraId="0F1529CD" w14:textId="77777777" w:rsidR="0087423A" w:rsidRPr="0087423A" w:rsidRDefault="0087423A" w:rsidP="0087423A">
            <w:pPr>
              <w:rPr>
                <w:rFonts w:asciiTheme="majorHAnsi" w:hAnsiTheme="majorHAnsi" w:cstheme="majorHAnsi"/>
              </w:rPr>
            </w:pPr>
            <w:r w:rsidRPr="0087423A">
              <w:rPr>
                <w:rFonts w:asciiTheme="majorHAnsi" w:hAnsiTheme="majorHAnsi" w:cstheme="majorHAnsi"/>
                <w:b/>
                <w:bCs/>
              </w:rPr>
              <w:lastRenderedPageBreak/>
              <w:t>2</w:t>
            </w:r>
          </w:p>
        </w:tc>
        <w:tc>
          <w:tcPr>
            <w:tcW w:w="9220" w:type="dxa"/>
            <w:tcBorders>
              <w:top w:val="single" w:sz="8" w:space="0" w:color="FFFFFF"/>
              <w:left w:val="single" w:sz="8" w:space="0" w:color="FFFFFF"/>
              <w:bottom w:val="single" w:sz="24" w:space="0" w:color="FFFFFF"/>
              <w:right w:val="single" w:sz="8" w:space="0" w:color="FFFFFF"/>
            </w:tcBorders>
            <w:shd w:val="clear" w:color="auto" w:fill="9CC7CE"/>
            <w:tcMar>
              <w:top w:w="72" w:type="dxa"/>
              <w:left w:w="144" w:type="dxa"/>
              <w:bottom w:w="72" w:type="dxa"/>
              <w:right w:w="144" w:type="dxa"/>
            </w:tcMar>
            <w:hideMark/>
          </w:tcPr>
          <w:p w14:paraId="39F15BD0" w14:textId="77777777" w:rsidR="0087423A" w:rsidRPr="0087423A" w:rsidRDefault="0087423A" w:rsidP="0087423A">
            <w:pPr>
              <w:rPr>
                <w:rFonts w:asciiTheme="majorHAnsi" w:hAnsiTheme="majorHAnsi" w:cstheme="majorHAnsi"/>
              </w:rPr>
            </w:pPr>
            <w:r w:rsidRPr="0087423A">
              <w:rPr>
                <w:rFonts w:asciiTheme="majorHAnsi" w:hAnsiTheme="majorHAnsi" w:cstheme="majorHAnsi"/>
                <w:b/>
                <w:bCs/>
              </w:rPr>
              <w:t>Enhance financial reporting requirements to increase transparency and best identify impacts of costs on rest homes</w:t>
            </w:r>
          </w:p>
        </w:tc>
      </w:tr>
      <w:tr w:rsidR="0087423A" w:rsidRPr="0087423A" w14:paraId="26E8E655" w14:textId="77777777" w:rsidTr="0087423A">
        <w:trPr>
          <w:trHeight w:val="1174"/>
        </w:trPr>
        <w:tc>
          <w:tcPr>
            <w:tcW w:w="580" w:type="dxa"/>
            <w:tcBorders>
              <w:top w:val="single" w:sz="24"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173F7CD1"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A</w:t>
            </w:r>
          </w:p>
        </w:tc>
        <w:tc>
          <w:tcPr>
            <w:tcW w:w="9220" w:type="dxa"/>
            <w:tcBorders>
              <w:top w:val="single" w:sz="24"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79A415E5"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 xml:space="preserve">Strengthen cost report data submissions by requiring rest homes to submit financial statements with cost reports and identifying any existing redundancies relative to reporting requirements </w:t>
            </w:r>
            <w:proofErr w:type="gramStart"/>
            <w:r w:rsidRPr="0087423A">
              <w:rPr>
                <w:rFonts w:asciiTheme="majorHAnsi" w:hAnsiTheme="majorHAnsi" w:cstheme="majorHAnsi"/>
              </w:rPr>
              <w:t>in an effort to</w:t>
            </w:r>
            <w:proofErr w:type="gramEnd"/>
            <w:r w:rsidRPr="0087423A">
              <w:rPr>
                <w:rFonts w:asciiTheme="majorHAnsi" w:hAnsiTheme="majorHAnsi" w:cstheme="majorHAnsi"/>
              </w:rPr>
              <w:t xml:space="preserve"> streamline those requirements.</w:t>
            </w:r>
          </w:p>
        </w:tc>
      </w:tr>
      <w:tr w:rsidR="0087423A" w:rsidRPr="0087423A" w14:paraId="64E642B5" w14:textId="77777777" w:rsidTr="0087423A">
        <w:trPr>
          <w:trHeight w:val="1294"/>
        </w:trPr>
        <w:tc>
          <w:tcPr>
            <w:tcW w:w="580" w:type="dxa"/>
            <w:tcBorders>
              <w:top w:val="single" w:sz="8" w:space="0" w:color="FFFFFF"/>
              <w:left w:val="single" w:sz="8" w:space="0" w:color="FFFFFF"/>
              <w:bottom w:val="single" w:sz="8" w:space="0" w:color="FFFFFF"/>
              <w:right w:val="single" w:sz="8" w:space="0" w:color="FFFFFF"/>
            </w:tcBorders>
            <w:shd w:val="clear" w:color="auto" w:fill="EAF0F7"/>
            <w:tcMar>
              <w:top w:w="144" w:type="dxa"/>
              <w:left w:w="144" w:type="dxa"/>
              <w:bottom w:w="144" w:type="dxa"/>
              <w:right w:w="144" w:type="dxa"/>
            </w:tcMar>
            <w:hideMark/>
          </w:tcPr>
          <w:p w14:paraId="4FD91355"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B</w:t>
            </w:r>
          </w:p>
        </w:tc>
        <w:tc>
          <w:tcPr>
            <w:tcW w:w="9220" w:type="dxa"/>
            <w:tcBorders>
              <w:top w:val="single" w:sz="8" w:space="0" w:color="FFFFFF"/>
              <w:left w:val="single" w:sz="8" w:space="0" w:color="FFFFFF"/>
              <w:bottom w:val="single" w:sz="8" w:space="0" w:color="FFFFFF"/>
              <w:right w:val="single" w:sz="8" w:space="0" w:color="FFFFFF"/>
            </w:tcBorders>
            <w:shd w:val="clear" w:color="auto" w:fill="EAF0F7"/>
            <w:tcMar>
              <w:top w:w="144" w:type="dxa"/>
              <w:left w:w="144" w:type="dxa"/>
              <w:bottom w:w="144" w:type="dxa"/>
              <w:right w:w="144" w:type="dxa"/>
            </w:tcMar>
            <w:hideMark/>
          </w:tcPr>
          <w:p w14:paraId="55C79685"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 xml:space="preserve">Update the RCC-Q report submission process, allowing rest homes to petition EOHHS for a temporary “waiver” if a rest home was below the RCC-Q threshold because the costs incurred by the rest home to make physical plant improvements were more than 10% of the rest home’s annual revenue in the reporting year. </w:t>
            </w:r>
          </w:p>
        </w:tc>
      </w:tr>
      <w:tr w:rsidR="0087423A" w:rsidRPr="0087423A" w14:paraId="50BD7121" w14:textId="77777777" w:rsidTr="0087423A">
        <w:trPr>
          <w:trHeight w:val="980"/>
        </w:trPr>
        <w:tc>
          <w:tcPr>
            <w:tcW w:w="580" w:type="dxa"/>
            <w:tcBorders>
              <w:top w:val="single" w:sz="8"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709A0426"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C</w:t>
            </w:r>
          </w:p>
        </w:tc>
        <w:tc>
          <w:tcPr>
            <w:tcW w:w="9220" w:type="dxa"/>
            <w:tcBorders>
              <w:top w:val="single" w:sz="8"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5F9E234F"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Ensure transparency and accountability in the RCC-Q submissions by annually publishing the RCC-Q scores on the EOHHS website, in the manner it is currently done for the DCC-Q scores for nursing facilities.</w:t>
            </w:r>
          </w:p>
        </w:tc>
      </w:tr>
    </w:tbl>
    <w:p w14:paraId="3DA40BD4" w14:textId="3C73C9CF" w:rsidR="001E1A3E" w:rsidRPr="00F178E4" w:rsidRDefault="001E1A3E">
      <w:pPr>
        <w:rPr>
          <w:rFonts w:asciiTheme="majorHAnsi" w:hAnsiTheme="majorHAnsi" w:cstheme="majorHAnsi"/>
        </w:rPr>
      </w:pPr>
    </w:p>
    <w:p w14:paraId="59669862" w14:textId="77777777" w:rsidR="001E1A3E" w:rsidRPr="00F178E4" w:rsidRDefault="00000000">
      <w:pPr>
        <w:pStyle w:val="Heading1"/>
        <w:rPr>
          <w:rFonts w:cstheme="majorHAnsi"/>
        </w:rPr>
      </w:pPr>
      <w:r w:rsidRPr="00F178E4">
        <w:rPr>
          <w:rFonts w:cstheme="majorHAnsi"/>
        </w:rPr>
        <w:t>Slide 34</w:t>
      </w:r>
    </w:p>
    <w:p w14:paraId="4FF0D5AC" w14:textId="77777777" w:rsidR="001E1A3E" w:rsidRPr="00F178E4" w:rsidRDefault="00000000">
      <w:pPr>
        <w:rPr>
          <w:rFonts w:asciiTheme="majorHAnsi" w:hAnsiTheme="majorHAnsi" w:cstheme="majorHAnsi"/>
        </w:rPr>
      </w:pPr>
      <w:r w:rsidRPr="00F178E4">
        <w:rPr>
          <w:rFonts w:asciiTheme="majorHAnsi" w:hAnsiTheme="majorHAnsi" w:cstheme="majorHAnsi"/>
        </w:rPr>
        <w:t>Task Force’s Recommendations (cont.)</w:t>
      </w:r>
    </w:p>
    <w:tbl>
      <w:tblPr>
        <w:tblW w:w="9800" w:type="dxa"/>
        <w:tblCellMar>
          <w:left w:w="0" w:type="dxa"/>
          <w:right w:w="0" w:type="dxa"/>
        </w:tblCellMar>
        <w:tblLook w:val="0420" w:firstRow="1" w:lastRow="0" w:firstColumn="0" w:lastColumn="0" w:noHBand="0" w:noVBand="1"/>
      </w:tblPr>
      <w:tblGrid>
        <w:gridCol w:w="580"/>
        <w:gridCol w:w="9220"/>
      </w:tblGrid>
      <w:tr w:rsidR="0087423A" w:rsidRPr="0087423A" w14:paraId="33F5D575" w14:textId="77777777" w:rsidTr="0087423A">
        <w:trPr>
          <w:trHeight w:val="965"/>
        </w:trPr>
        <w:tc>
          <w:tcPr>
            <w:tcW w:w="580" w:type="dxa"/>
            <w:tcBorders>
              <w:top w:val="single" w:sz="8" w:space="0" w:color="FFFFFF"/>
              <w:left w:val="single" w:sz="8" w:space="0" w:color="FFFFFF"/>
              <w:bottom w:val="single" w:sz="24" w:space="0" w:color="FFFFFF"/>
              <w:right w:val="single" w:sz="8" w:space="0" w:color="FFFFFF"/>
            </w:tcBorders>
            <w:shd w:val="clear" w:color="auto" w:fill="9CC7CE"/>
            <w:tcMar>
              <w:top w:w="72" w:type="dxa"/>
              <w:left w:w="144" w:type="dxa"/>
              <w:bottom w:w="72" w:type="dxa"/>
              <w:right w:w="144" w:type="dxa"/>
            </w:tcMar>
            <w:hideMark/>
          </w:tcPr>
          <w:p w14:paraId="5AB7AE1F" w14:textId="77777777" w:rsidR="0087423A" w:rsidRPr="0087423A" w:rsidRDefault="0087423A" w:rsidP="0087423A">
            <w:pPr>
              <w:rPr>
                <w:rFonts w:asciiTheme="majorHAnsi" w:hAnsiTheme="majorHAnsi" w:cstheme="majorHAnsi"/>
              </w:rPr>
            </w:pPr>
            <w:r w:rsidRPr="0087423A">
              <w:rPr>
                <w:rFonts w:asciiTheme="majorHAnsi" w:hAnsiTheme="majorHAnsi" w:cstheme="majorHAnsi"/>
                <w:b/>
                <w:bCs/>
              </w:rPr>
              <w:t>3</w:t>
            </w:r>
          </w:p>
        </w:tc>
        <w:tc>
          <w:tcPr>
            <w:tcW w:w="9220" w:type="dxa"/>
            <w:tcBorders>
              <w:top w:val="single" w:sz="8" w:space="0" w:color="FFFFFF"/>
              <w:left w:val="single" w:sz="8" w:space="0" w:color="FFFFFF"/>
              <w:bottom w:val="single" w:sz="24" w:space="0" w:color="FFFFFF"/>
              <w:right w:val="single" w:sz="8" w:space="0" w:color="FFFFFF"/>
            </w:tcBorders>
            <w:shd w:val="clear" w:color="auto" w:fill="9CC7CE"/>
            <w:tcMar>
              <w:top w:w="72" w:type="dxa"/>
              <w:left w:w="144" w:type="dxa"/>
              <w:bottom w:w="72" w:type="dxa"/>
              <w:right w:w="144" w:type="dxa"/>
            </w:tcMar>
            <w:hideMark/>
          </w:tcPr>
          <w:p w14:paraId="539FC92E" w14:textId="77777777" w:rsidR="0087423A" w:rsidRPr="0087423A" w:rsidRDefault="0087423A" w:rsidP="0087423A">
            <w:pPr>
              <w:rPr>
                <w:rFonts w:asciiTheme="majorHAnsi" w:hAnsiTheme="majorHAnsi" w:cstheme="majorHAnsi"/>
              </w:rPr>
            </w:pPr>
            <w:r w:rsidRPr="0087423A">
              <w:rPr>
                <w:rFonts w:asciiTheme="majorHAnsi" w:hAnsiTheme="majorHAnsi" w:cstheme="majorHAnsi"/>
                <w:b/>
                <w:bCs/>
              </w:rPr>
              <w:t>Increase data collection to improve access to data related to quality of care, patient demographics and geographic trends in occupancy</w:t>
            </w:r>
          </w:p>
        </w:tc>
      </w:tr>
      <w:tr w:rsidR="0087423A" w:rsidRPr="0087423A" w14:paraId="0DEFC101" w14:textId="77777777" w:rsidTr="0087423A">
        <w:trPr>
          <w:trHeight w:val="2175"/>
        </w:trPr>
        <w:tc>
          <w:tcPr>
            <w:tcW w:w="580" w:type="dxa"/>
            <w:tcBorders>
              <w:top w:val="single" w:sz="24"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790ACAFC"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A</w:t>
            </w:r>
          </w:p>
        </w:tc>
        <w:tc>
          <w:tcPr>
            <w:tcW w:w="9220" w:type="dxa"/>
            <w:tcBorders>
              <w:top w:val="single" w:sz="24"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2E1A0B73"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Monitor the Commonwealth’s needs for rest home services in all geographic areas by collecting staffing and occupancy data from rest homes on a regular basis in a manner which does not impose significant administrative burden on rest homes.</w:t>
            </w:r>
          </w:p>
          <w:p w14:paraId="383615D1" w14:textId="77777777" w:rsidR="0087423A" w:rsidRPr="0087423A" w:rsidRDefault="0087423A" w:rsidP="00D64948">
            <w:pPr>
              <w:numPr>
                <w:ilvl w:val="0"/>
                <w:numId w:val="49"/>
              </w:numPr>
              <w:rPr>
                <w:rFonts w:asciiTheme="majorHAnsi" w:hAnsiTheme="majorHAnsi" w:cstheme="majorHAnsi"/>
              </w:rPr>
            </w:pPr>
            <w:r w:rsidRPr="0087423A">
              <w:rPr>
                <w:rFonts w:asciiTheme="majorHAnsi" w:hAnsiTheme="majorHAnsi" w:cstheme="majorHAnsi"/>
              </w:rPr>
              <w:t xml:space="preserve">Explore the feasibility of conducting a detailed analysis of geographic disparities in rest home services and occupancy rates with the goal of developing strategies to address these disparities. </w:t>
            </w:r>
          </w:p>
        </w:tc>
      </w:tr>
      <w:tr w:rsidR="0087423A" w:rsidRPr="0087423A" w14:paraId="63942B98" w14:textId="77777777" w:rsidTr="0087423A">
        <w:trPr>
          <w:trHeight w:val="1186"/>
        </w:trPr>
        <w:tc>
          <w:tcPr>
            <w:tcW w:w="580" w:type="dxa"/>
            <w:tcBorders>
              <w:top w:val="single" w:sz="8" w:space="0" w:color="FFFFFF"/>
              <w:left w:val="single" w:sz="8" w:space="0" w:color="FFFFFF"/>
              <w:bottom w:val="single" w:sz="8" w:space="0" w:color="FFFFFF"/>
              <w:right w:val="single" w:sz="8" w:space="0" w:color="FFFFFF"/>
            </w:tcBorders>
            <w:shd w:val="clear" w:color="auto" w:fill="EAF0F7"/>
            <w:tcMar>
              <w:top w:w="144" w:type="dxa"/>
              <w:left w:w="144" w:type="dxa"/>
              <w:bottom w:w="144" w:type="dxa"/>
              <w:right w:w="144" w:type="dxa"/>
            </w:tcMar>
            <w:hideMark/>
          </w:tcPr>
          <w:p w14:paraId="41CC012E"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B</w:t>
            </w:r>
          </w:p>
        </w:tc>
        <w:tc>
          <w:tcPr>
            <w:tcW w:w="9220" w:type="dxa"/>
            <w:tcBorders>
              <w:top w:val="single" w:sz="8" w:space="0" w:color="FFFFFF"/>
              <w:left w:val="single" w:sz="8" w:space="0" w:color="FFFFFF"/>
              <w:bottom w:val="single" w:sz="8" w:space="0" w:color="FFFFFF"/>
              <w:right w:val="single" w:sz="8" w:space="0" w:color="FFFFFF"/>
            </w:tcBorders>
            <w:shd w:val="clear" w:color="auto" w:fill="EAF0F7"/>
            <w:tcMar>
              <w:top w:w="144" w:type="dxa"/>
              <w:left w:w="144" w:type="dxa"/>
              <w:bottom w:w="144" w:type="dxa"/>
              <w:right w:w="144" w:type="dxa"/>
            </w:tcMar>
            <w:hideMark/>
          </w:tcPr>
          <w:p w14:paraId="4A5615EE"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Improve hospitals and other providers’ awareness of rest homes by publishing a dedicated page containing information about rest home services, an interactive map of rest homes, and their contact information.</w:t>
            </w:r>
          </w:p>
        </w:tc>
      </w:tr>
    </w:tbl>
    <w:p w14:paraId="6541FACD" w14:textId="01A707B7" w:rsidR="001E1A3E" w:rsidRPr="00F178E4" w:rsidRDefault="001E1A3E">
      <w:pPr>
        <w:rPr>
          <w:rFonts w:asciiTheme="majorHAnsi" w:hAnsiTheme="majorHAnsi" w:cstheme="majorHAnsi"/>
        </w:rPr>
      </w:pPr>
    </w:p>
    <w:p w14:paraId="2F3F8A14" w14:textId="77777777" w:rsidR="001E1A3E" w:rsidRPr="00F178E4" w:rsidRDefault="00000000">
      <w:pPr>
        <w:pStyle w:val="Heading1"/>
        <w:rPr>
          <w:rFonts w:cstheme="majorHAnsi"/>
        </w:rPr>
      </w:pPr>
      <w:r w:rsidRPr="00F178E4">
        <w:rPr>
          <w:rFonts w:cstheme="majorHAnsi"/>
        </w:rPr>
        <w:lastRenderedPageBreak/>
        <w:t>Slide 35</w:t>
      </w:r>
    </w:p>
    <w:p w14:paraId="33A0E18E" w14:textId="77777777" w:rsidR="001E1A3E" w:rsidRPr="00F178E4" w:rsidRDefault="00000000">
      <w:pPr>
        <w:rPr>
          <w:rFonts w:asciiTheme="majorHAnsi" w:hAnsiTheme="majorHAnsi" w:cstheme="majorHAnsi"/>
        </w:rPr>
      </w:pPr>
      <w:r w:rsidRPr="00F178E4">
        <w:rPr>
          <w:rFonts w:asciiTheme="majorHAnsi" w:hAnsiTheme="majorHAnsi" w:cstheme="majorHAnsi"/>
        </w:rPr>
        <w:t>Task Force’s Recommendations (cont.)</w:t>
      </w:r>
    </w:p>
    <w:tbl>
      <w:tblPr>
        <w:tblW w:w="9710" w:type="dxa"/>
        <w:tblCellMar>
          <w:left w:w="0" w:type="dxa"/>
          <w:right w:w="0" w:type="dxa"/>
        </w:tblCellMar>
        <w:tblLook w:val="0420" w:firstRow="1" w:lastRow="0" w:firstColumn="0" w:lastColumn="0" w:noHBand="0" w:noVBand="1"/>
      </w:tblPr>
      <w:tblGrid>
        <w:gridCol w:w="580"/>
        <w:gridCol w:w="9130"/>
      </w:tblGrid>
      <w:tr w:rsidR="0087423A" w:rsidRPr="0087423A" w14:paraId="09264792" w14:textId="77777777" w:rsidTr="0087423A">
        <w:trPr>
          <w:trHeight w:val="574"/>
        </w:trPr>
        <w:tc>
          <w:tcPr>
            <w:tcW w:w="580" w:type="dxa"/>
            <w:tcBorders>
              <w:top w:val="single" w:sz="8" w:space="0" w:color="FFFFFF"/>
              <w:left w:val="single" w:sz="8" w:space="0" w:color="FFFFFF"/>
              <w:bottom w:val="single" w:sz="24" w:space="0" w:color="FFFFFF"/>
              <w:right w:val="single" w:sz="8" w:space="0" w:color="FFFFFF"/>
            </w:tcBorders>
            <w:shd w:val="clear" w:color="auto" w:fill="9CC7CE"/>
            <w:tcMar>
              <w:top w:w="72" w:type="dxa"/>
              <w:left w:w="144" w:type="dxa"/>
              <w:bottom w:w="72" w:type="dxa"/>
              <w:right w:w="144" w:type="dxa"/>
            </w:tcMar>
            <w:hideMark/>
          </w:tcPr>
          <w:p w14:paraId="7CD290EB" w14:textId="77777777" w:rsidR="0087423A" w:rsidRPr="0087423A" w:rsidRDefault="0087423A" w:rsidP="0087423A">
            <w:pPr>
              <w:rPr>
                <w:rFonts w:asciiTheme="majorHAnsi" w:hAnsiTheme="majorHAnsi" w:cstheme="majorHAnsi"/>
              </w:rPr>
            </w:pPr>
            <w:r w:rsidRPr="0087423A">
              <w:rPr>
                <w:rFonts w:asciiTheme="majorHAnsi" w:hAnsiTheme="majorHAnsi" w:cstheme="majorHAnsi"/>
                <w:b/>
                <w:bCs/>
              </w:rPr>
              <w:t>4</w:t>
            </w:r>
          </w:p>
        </w:tc>
        <w:tc>
          <w:tcPr>
            <w:tcW w:w="9130" w:type="dxa"/>
            <w:tcBorders>
              <w:top w:val="single" w:sz="8" w:space="0" w:color="FFFFFF"/>
              <w:left w:val="single" w:sz="8" w:space="0" w:color="FFFFFF"/>
              <w:bottom w:val="single" w:sz="24" w:space="0" w:color="FFFFFF"/>
              <w:right w:val="single" w:sz="8" w:space="0" w:color="FFFFFF"/>
            </w:tcBorders>
            <w:shd w:val="clear" w:color="auto" w:fill="9CC7CE"/>
            <w:tcMar>
              <w:top w:w="72" w:type="dxa"/>
              <w:left w:w="144" w:type="dxa"/>
              <w:bottom w:w="72" w:type="dxa"/>
              <w:right w:w="144" w:type="dxa"/>
            </w:tcMar>
            <w:hideMark/>
          </w:tcPr>
          <w:p w14:paraId="350E858D" w14:textId="77777777" w:rsidR="0087423A" w:rsidRPr="0087423A" w:rsidRDefault="0087423A" w:rsidP="0087423A">
            <w:pPr>
              <w:rPr>
                <w:rFonts w:asciiTheme="majorHAnsi" w:hAnsiTheme="majorHAnsi" w:cstheme="majorHAnsi"/>
              </w:rPr>
            </w:pPr>
            <w:r w:rsidRPr="0087423A">
              <w:rPr>
                <w:rFonts w:asciiTheme="majorHAnsi" w:hAnsiTheme="majorHAnsi" w:cstheme="majorHAnsi"/>
                <w:b/>
                <w:bCs/>
              </w:rPr>
              <w:t>Increase engagement among regulatory and industry stakeholders</w:t>
            </w:r>
          </w:p>
        </w:tc>
      </w:tr>
      <w:tr w:rsidR="0087423A" w:rsidRPr="0087423A" w14:paraId="1AA66BC0" w14:textId="77777777" w:rsidTr="0087423A">
        <w:trPr>
          <w:trHeight w:val="804"/>
        </w:trPr>
        <w:tc>
          <w:tcPr>
            <w:tcW w:w="580" w:type="dxa"/>
            <w:tcBorders>
              <w:top w:val="single" w:sz="24"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1C945B3F"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A</w:t>
            </w:r>
          </w:p>
        </w:tc>
        <w:tc>
          <w:tcPr>
            <w:tcW w:w="9130" w:type="dxa"/>
            <w:tcBorders>
              <w:top w:val="single" w:sz="24"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027D4400"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DPH holds annual meetings with rest home providers to share important information, including common survey findings and best practices, and to engage in Q&amp;A with providers, with the aim of improving care for rest home residents.</w:t>
            </w:r>
          </w:p>
        </w:tc>
      </w:tr>
      <w:tr w:rsidR="0087423A" w:rsidRPr="0087423A" w14:paraId="1D42E4EA" w14:textId="77777777" w:rsidTr="0087423A">
        <w:trPr>
          <w:trHeight w:val="673"/>
        </w:trPr>
        <w:tc>
          <w:tcPr>
            <w:tcW w:w="580" w:type="dxa"/>
            <w:tcBorders>
              <w:top w:val="single" w:sz="8" w:space="0" w:color="FFFFFF"/>
              <w:left w:val="single" w:sz="8" w:space="0" w:color="FFFFFF"/>
              <w:bottom w:val="single" w:sz="8" w:space="0" w:color="FFFFFF"/>
              <w:right w:val="single" w:sz="8" w:space="0" w:color="FFFFFF"/>
            </w:tcBorders>
            <w:shd w:val="clear" w:color="auto" w:fill="EAF0F7"/>
            <w:tcMar>
              <w:top w:w="144" w:type="dxa"/>
              <w:left w:w="144" w:type="dxa"/>
              <w:bottom w:w="144" w:type="dxa"/>
              <w:right w:w="144" w:type="dxa"/>
            </w:tcMar>
            <w:hideMark/>
          </w:tcPr>
          <w:p w14:paraId="7D805D9F"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B</w:t>
            </w:r>
          </w:p>
        </w:tc>
        <w:tc>
          <w:tcPr>
            <w:tcW w:w="9130" w:type="dxa"/>
            <w:tcBorders>
              <w:top w:val="single" w:sz="8" w:space="0" w:color="FFFFFF"/>
              <w:left w:val="single" w:sz="8" w:space="0" w:color="FFFFFF"/>
              <w:bottom w:val="single" w:sz="8" w:space="0" w:color="FFFFFF"/>
              <w:right w:val="single" w:sz="8" w:space="0" w:color="FFFFFF"/>
            </w:tcBorders>
            <w:shd w:val="clear" w:color="auto" w:fill="EAF0F7"/>
            <w:tcMar>
              <w:top w:w="144" w:type="dxa"/>
              <w:left w:w="144" w:type="dxa"/>
              <w:bottom w:w="144" w:type="dxa"/>
              <w:right w:w="144" w:type="dxa"/>
            </w:tcMar>
            <w:hideMark/>
          </w:tcPr>
          <w:p w14:paraId="4094886F"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Establish an internal EOHHS working group to explore the topics raised during the deliberations of the Rest Home Task Force, with regular engagement from the rest home industry.</w:t>
            </w:r>
          </w:p>
        </w:tc>
      </w:tr>
      <w:tr w:rsidR="0087423A" w:rsidRPr="0087423A" w14:paraId="5255A273" w14:textId="77777777" w:rsidTr="0087423A">
        <w:trPr>
          <w:trHeight w:val="1078"/>
        </w:trPr>
        <w:tc>
          <w:tcPr>
            <w:tcW w:w="580" w:type="dxa"/>
            <w:tcBorders>
              <w:top w:val="single" w:sz="8"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2A54AFA3"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C</w:t>
            </w:r>
          </w:p>
        </w:tc>
        <w:tc>
          <w:tcPr>
            <w:tcW w:w="9130" w:type="dxa"/>
            <w:tcBorders>
              <w:top w:val="single" w:sz="8"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0DE2D6C3"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EOHHS, DTA, DPH and MassHealth meet with the Joint Committee on Aging and Independence on a quarterly basis to discuss the implementation of recommendations included in the Rest Home Task Force report.</w:t>
            </w:r>
          </w:p>
        </w:tc>
      </w:tr>
    </w:tbl>
    <w:p w14:paraId="3DF9D895" w14:textId="7016B467" w:rsidR="001E1A3E" w:rsidRDefault="001E1A3E">
      <w:pPr>
        <w:rPr>
          <w:rFonts w:asciiTheme="majorHAnsi" w:hAnsiTheme="majorHAnsi" w:cstheme="majorHAnsi"/>
        </w:rPr>
      </w:pPr>
    </w:p>
    <w:p w14:paraId="20636816" w14:textId="77777777" w:rsidR="0087423A" w:rsidRPr="00F178E4" w:rsidRDefault="0087423A">
      <w:pPr>
        <w:rPr>
          <w:rFonts w:asciiTheme="majorHAnsi" w:hAnsiTheme="majorHAnsi" w:cstheme="majorHAnsi"/>
        </w:rPr>
      </w:pPr>
    </w:p>
    <w:p w14:paraId="34F6975C" w14:textId="77777777" w:rsidR="001E1A3E" w:rsidRPr="00F178E4" w:rsidRDefault="00000000">
      <w:pPr>
        <w:pStyle w:val="Heading1"/>
        <w:rPr>
          <w:rFonts w:cstheme="majorHAnsi"/>
        </w:rPr>
      </w:pPr>
      <w:r w:rsidRPr="00F178E4">
        <w:rPr>
          <w:rFonts w:cstheme="majorHAnsi"/>
        </w:rPr>
        <w:t>Slide 36</w:t>
      </w:r>
    </w:p>
    <w:p w14:paraId="731965FB" w14:textId="77777777" w:rsidR="001E1A3E" w:rsidRPr="00F178E4" w:rsidRDefault="00000000">
      <w:pPr>
        <w:rPr>
          <w:rFonts w:asciiTheme="majorHAnsi" w:hAnsiTheme="majorHAnsi" w:cstheme="majorHAnsi"/>
        </w:rPr>
      </w:pPr>
      <w:r w:rsidRPr="00F178E4">
        <w:rPr>
          <w:rFonts w:asciiTheme="majorHAnsi" w:hAnsiTheme="majorHAnsi" w:cstheme="majorHAnsi"/>
        </w:rPr>
        <w:t>Task Force’s Recommendations (cont.)</w:t>
      </w:r>
    </w:p>
    <w:tbl>
      <w:tblPr>
        <w:tblW w:w="9710" w:type="dxa"/>
        <w:tblCellMar>
          <w:left w:w="0" w:type="dxa"/>
          <w:right w:w="0" w:type="dxa"/>
        </w:tblCellMar>
        <w:tblLook w:val="0420" w:firstRow="1" w:lastRow="0" w:firstColumn="0" w:lastColumn="0" w:noHBand="0" w:noVBand="1"/>
      </w:tblPr>
      <w:tblGrid>
        <w:gridCol w:w="580"/>
        <w:gridCol w:w="9130"/>
      </w:tblGrid>
      <w:tr w:rsidR="0087423A" w:rsidRPr="0087423A" w14:paraId="7001DB77" w14:textId="77777777" w:rsidTr="0087423A">
        <w:trPr>
          <w:trHeight w:val="965"/>
        </w:trPr>
        <w:tc>
          <w:tcPr>
            <w:tcW w:w="580" w:type="dxa"/>
            <w:tcBorders>
              <w:top w:val="single" w:sz="8" w:space="0" w:color="FFFFFF"/>
              <w:left w:val="single" w:sz="8" w:space="0" w:color="FFFFFF"/>
              <w:bottom w:val="single" w:sz="24" w:space="0" w:color="FFFFFF"/>
              <w:right w:val="single" w:sz="8" w:space="0" w:color="FFFFFF"/>
            </w:tcBorders>
            <w:shd w:val="clear" w:color="auto" w:fill="9CC7CE"/>
            <w:tcMar>
              <w:top w:w="72" w:type="dxa"/>
              <w:left w:w="144" w:type="dxa"/>
              <w:bottom w:w="72" w:type="dxa"/>
              <w:right w:w="144" w:type="dxa"/>
            </w:tcMar>
            <w:hideMark/>
          </w:tcPr>
          <w:p w14:paraId="725D99CA" w14:textId="77777777" w:rsidR="0087423A" w:rsidRPr="0087423A" w:rsidRDefault="0087423A" w:rsidP="0087423A">
            <w:pPr>
              <w:rPr>
                <w:rFonts w:asciiTheme="majorHAnsi" w:hAnsiTheme="majorHAnsi" w:cstheme="majorHAnsi"/>
              </w:rPr>
            </w:pPr>
            <w:r w:rsidRPr="0087423A">
              <w:rPr>
                <w:rFonts w:asciiTheme="majorHAnsi" w:hAnsiTheme="majorHAnsi" w:cstheme="majorHAnsi"/>
                <w:b/>
                <w:bCs/>
              </w:rPr>
              <w:t>5</w:t>
            </w:r>
          </w:p>
        </w:tc>
        <w:tc>
          <w:tcPr>
            <w:tcW w:w="9130" w:type="dxa"/>
            <w:tcBorders>
              <w:top w:val="single" w:sz="8" w:space="0" w:color="FFFFFF"/>
              <w:left w:val="single" w:sz="8" w:space="0" w:color="FFFFFF"/>
              <w:bottom w:val="single" w:sz="24" w:space="0" w:color="FFFFFF"/>
              <w:right w:val="single" w:sz="8" w:space="0" w:color="FFFFFF"/>
            </w:tcBorders>
            <w:shd w:val="clear" w:color="auto" w:fill="9CC7CE"/>
            <w:tcMar>
              <w:top w:w="72" w:type="dxa"/>
              <w:left w:w="144" w:type="dxa"/>
              <w:bottom w:w="72" w:type="dxa"/>
              <w:right w:w="144" w:type="dxa"/>
            </w:tcMar>
            <w:hideMark/>
          </w:tcPr>
          <w:p w14:paraId="0BE1C9A8" w14:textId="77777777" w:rsidR="0087423A" w:rsidRPr="0087423A" w:rsidRDefault="0087423A" w:rsidP="0087423A">
            <w:pPr>
              <w:rPr>
                <w:rFonts w:asciiTheme="majorHAnsi" w:hAnsiTheme="majorHAnsi" w:cstheme="majorHAnsi"/>
              </w:rPr>
            </w:pPr>
            <w:r w:rsidRPr="0087423A">
              <w:rPr>
                <w:rFonts w:asciiTheme="majorHAnsi" w:hAnsiTheme="majorHAnsi" w:cstheme="majorHAnsi"/>
                <w:b/>
                <w:bCs/>
              </w:rPr>
              <w:t>Increase rest home industry’s access to capital funding</w:t>
            </w:r>
          </w:p>
        </w:tc>
      </w:tr>
      <w:tr w:rsidR="0087423A" w:rsidRPr="0087423A" w14:paraId="09B84BF9" w14:textId="77777777" w:rsidTr="0087423A">
        <w:trPr>
          <w:trHeight w:val="1421"/>
        </w:trPr>
        <w:tc>
          <w:tcPr>
            <w:tcW w:w="580" w:type="dxa"/>
            <w:tcBorders>
              <w:top w:val="single" w:sz="24"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124D4F3B"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A</w:t>
            </w:r>
          </w:p>
        </w:tc>
        <w:tc>
          <w:tcPr>
            <w:tcW w:w="9130" w:type="dxa"/>
            <w:tcBorders>
              <w:top w:val="single" w:sz="24" w:space="0" w:color="FFFFFF"/>
              <w:left w:val="single" w:sz="8" w:space="0" w:color="FFFFFF"/>
              <w:bottom w:val="single" w:sz="8" w:space="0" w:color="FFFFFF"/>
              <w:right w:val="single" w:sz="8" w:space="0" w:color="FFFFFF"/>
            </w:tcBorders>
            <w:shd w:val="clear" w:color="auto" w:fill="D3DFEE"/>
            <w:tcMar>
              <w:top w:w="144" w:type="dxa"/>
              <w:left w:w="144" w:type="dxa"/>
              <w:bottom w:w="144" w:type="dxa"/>
              <w:right w:w="144" w:type="dxa"/>
            </w:tcMar>
            <w:hideMark/>
          </w:tcPr>
          <w:p w14:paraId="3AE54C99" w14:textId="77777777" w:rsidR="0087423A" w:rsidRPr="0087423A" w:rsidRDefault="0087423A" w:rsidP="0087423A">
            <w:pPr>
              <w:rPr>
                <w:rFonts w:asciiTheme="majorHAnsi" w:hAnsiTheme="majorHAnsi" w:cstheme="majorHAnsi"/>
              </w:rPr>
            </w:pPr>
            <w:r w:rsidRPr="0087423A">
              <w:rPr>
                <w:rFonts w:asciiTheme="majorHAnsi" w:hAnsiTheme="majorHAnsi" w:cstheme="majorHAnsi"/>
              </w:rPr>
              <w:t>Spend the $10 million for capital projects at rest homes authorized by the Legislature in the 2024 Economic Development Bill (</w:t>
            </w:r>
            <w:hyperlink r:id="rId23" w:history="1">
              <w:r w:rsidRPr="0087423A">
                <w:rPr>
                  <w:rStyle w:val="Hyperlink"/>
                  <w:rFonts w:asciiTheme="majorHAnsi" w:hAnsiTheme="majorHAnsi" w:cstheme="majorHAnsi"/>
                </w:rPr>
                <w:t>Chapter 238, Acts of 2024, An Act Relative to Strengthening Massachusetts’ Economic Leadership</w:t>
              </w:r>
            </w:hyperlink>
            <w:r w:rsidRPr="0087423A">
              <w:rPr>
                <w:rFonts w:asciiTheme="majorHAnsi" w:hAnsiTheme="majorHAnsi" w:cstheme="majorHAnsi"/>
              </w:rPr>
              <w:t xml:space="preserve">). See </w:t>
            </w:r>
            <w:proofErr w:type="gramStart"/>
            <w:r w:rsidRPr="0087423A">
              <w:rPr>
                <w:rFonts w:asciiTheme="majorHAnsi" w:hAnsiTheme="majorHAnsi" w:cstheme="majorHAnsi"/>
              </w:rPr>
              <w:t>note</w:t>
            </w:r>
            <w:proofErr w:type="gramEnd"/>
            <w:r w:rsidRPr="0087423A">
              <w:rPr>
                <w:rFonts w:asciiTheme="majorHAnsi" w:hAnsiTheme="majorHAnsi" w:cstheme="majorHAnsi"/>
              </w:rPr>
              <w:t xml:space="preserve"> below.</w:t>
            </w:r>
          </w:p>
        </w:tc>
      </w:tr>
    </w:tbl>
    <w:p w14:paraId="306A4BEA" w14:textId="3946DC25" w:rsidR="001E1A3E" w:rsidRPr="0087423A" w:rsidRDefault="001E1A3E">
      <w:pPr>
        <w:rPr>
          <w:rFonts w:asciiTheme="majorHAnsi" w:hAnsiTheme="majorHAnsi" w:cstheme="majorHAnsi"/>
          <w:u w:val="single"/>
        </w:rPr>
      </w:pPr>
    </w:p>
    <w:p w14:paraId="78EF220D" w14:textId="499E0486" w:rsidR="001E1A3E" w:rsidRDefault="00000000">
      <w:pPr>
        <w:rPr>
          <w:rFonts w:asciiTheme="majorHAnsi" w:hAnsiTheme="majorHAnsi" w:cstheme="majorHAnsi"/>
        </w:rPr>
      </w:pPr>
      <w:r w:rsidRPr="0087423A">
        <w:rPr>
          <w:rFonts w:asciiTheme="majorHAnsi" w:hAnsiTheme="majorHAnsi" w:cstheme="majorHAnsi"/>
          <w:u w:val="single"/>
        </w:rPr>
        <w:t>Note:</w:t>
      </w:r>
      <w:r w:rsidRPr="00F178E4">
        <w:rPr>
          <w:rFonts w:asciiTheme="majorHAnsi" w:hAnsiTheme="majorHAnsi" w:cstheme="majorHAnsi"/>
        </w:rPr>
        <w:t xml:space="preserve"> Task Force members discussed the need for additional capital funding for the </w:t>
      </w:r>
      <w:proofErr w:type="gramStart"/>
      <w:r w:rsidRPr="00F178E4">
        <w:rPr>
          <w:rFonts w:asciiTheme="majorHAnsi" w:hAnsiTheme="majorHAnsi" w:cstheme="majorHAnsi"/>
        </w:rPr>
        <w:t>rest</w:t>
      </w:r>
      <w:proofErr w:type="gramEnd"/>
      <w:r w:rsidRPr="00F178E4">
        <w:rPr>
          <w:rFonts w:asciiTheme="majorHAnsi" w:hAnsiTheme="majorHAnsi" w:cstheme="majorHAnsi"/>
        </w:rPr>
        <w:t xml:space="preserve"> home industry. However, for a capital earmark in a bond bill to be funded, it must be included in the</w:t>
      </w:r>
      <w:r w:rsidR="00D64948">
        <w:rPr>
          <w:rFonts w:asciiTheme="majorHAnsi" w:hAnsiTheme="majorHAnsi" w:cstheme="majorHAnsi"/>
        </w:rPr>
        <w:t xml:space="preserve"> </w:t>
      </w:r>
      <w:r w:rsidRPr="00F178E4">
        <w:rPr>
          <w:rFonts w:asciiTheme="majorHAnsi" w:hAnsiTheme="majorHAnsi" w:cstheme="majorHAnsi"/>
        </w:rPr>
        <w:t>Governor’s annual capital investment plan (CIP), published in the spring each year.  The Administration is aware of the authorization and</w:t>
      </w:r>
      <w:r w:rsidR="00D64948">
        <w:rPr>
          <w:rFonts w:asciiTheme="majorHAnsi" w:hAnsiTheme="majorHAnsi" w:cstheme="majorHAnsi"/>
        </w:rPr>
        <w:t xml:space="preserve"> </w:t>
      </w:r>
      <w:r w:rsidRPr="00F178E4">
        <w:rPr>
          <w:rFonts w:asciiTheme="majorHAnsi" w:hAnsiTheme="majorHAnsi" w:cstheme="majorHAnsi"/>
        </w:rPr>
        <w:t>will consider this program in the context of all other funding requests received, all capital needs across the</w:t>
      </w:r>
      <w:r w:rsidR="00D64948">
        <w:rPr>
          <w:rFonts w:asciiTheme="majorHAnsi" w:hAnsiTheme="majorHAnsi" w:cstheme="majorHAnsi"/>
        </w:rPr>
        <w:t xml:space="preserve"> </w:t>
      </w:r>
      <w:r w:rsidRPr="00F178E4">
        <w:rPr>
          <w:rFonts w:asciiTheme="majorHAnsi" w:hAnsiTheme="majorHAnsi" w:cstheme="majorHAnsi"/>
        </w:rPr>
        <w:t xml:space="preserve">Commonwealth, the amount of </w:t>
      </w:r>
      <w:r w:rsidRPr="00F178E4">
        <w:rPr>
          <w:rFonts w:asciiTheme="majorHAnsi" w:hAnsiTheme="majorHAnsi" w:cstheme="majorHAnsi"/>
        </w:rPr>
        <w:lastRenderedPageBreak/>
        <w:t>capital spending that the Commonwealth can prudently afford, and whether the request is eligible for tax-exempt bond financing per federal tax law.</w:t>
      </w:r>
    </w:p>
    <w:p w14:paraId="366907B5" w14:textId="77777777" w:rsidR="0087423A" w:rsidRPr="00F178E4" w:rsidRDefault="0087423A">
      <w:pPr>
        <w:rPr>
          <w:rFonts w:asciiTheme="majorHAnsi" w:hAnsiTheme="majorHAnsi" w:cstheme="majorHAnsi"/>
        </w:rPr>
      </w:pPr>
    </w:p>
    <w:p w14:paraId="08FA48F5" w14:textId="77777777" w:rsidR="001E1A3E" w:rsidRPr="00F178E4" w:rsidRDefault="00000000">
      <w:pPr>
        <w:pStyle w:val="Heading1"/>
        <w:rPr>
          <w:rFonts w:cstheme="majorHAnsi"/>
        </w:rPr>
      </w:pPr>
      <w:r w:rsidRPr="00F178E4">
        <w:rPr>
          <w:rFonts w:cstheme="majorHAnsi"/>
        </w:rPr>
        <w:t>Slide 37</w:t>
      </w:r>
    </w:p>
    <w:p w14:paraId="5FF652C8" w14:textId="21256534" w:rsidR="0087423A" w:rsidRDefault="0087423A">
      <w:pPr>
        <w:rPr>
          <w:rFonts w:asciiTheme="majorHAnsi" w:hAnsiTheme="majorHAnsi" w:cstheme="majorHAnsi"/>
          <w:u w:val="single"/>
        </w:rPr>
      </w:pPr>
      <w:r w:rsidRPr="00F178E4">
        <w:rPr>
          <w:rFonts w:asciiTheme="majorHAnsi" w:hAnsiTheme="majorHAnsi" w:cstheme="majorHAnsi"/>
        </w:rPr>
        <w:t>Task Force’s Recommendations (cont.)</w:t>
      </w:r>
    </w:p>
    <w:p w14:paraId="04CD98C7" w14:textId="76596EA3" w:rsidR="001E1A3E" w:rsidRPr="0087423A" w:rsidRDefault="00000000">
      <w:pPr>
        <w:rPr>
          <w:rFonts w:asciiTheme="majorHAnsi" w:hAnsiTheme="majorHAnsi" w:cstheme="majorHAnsi"/>
          <w:u w:val="single"/>
        </w:rPr>
      </w:pPr>
      <w:r w:rsidRPr="0087423A">
        <w:rPr>
          <w:rFonts w:asciiTheme="majorHAnsi" w:hAnsiTheme="majorHAnsi" w:cstheme="majorHAnsi"/>
          <w:u w:val="single"/>
        </w:rPr>
        <w:t>Recommendations on Which the Task Force Was Unable to Reach Clear Agreement</w:t>
      </w:r>
    </w:p>
    <w:p w14:paraId="5E6ABF7E" w14:textId="77777777" w:rsidR="001E1A3E" w:rsidRPr="0087423A" w:rsidRDefault="00000000" w:rsidP="00D64948">
      <w:pPr>
        <w:pStyle w:val="ListParagraph"/>
        <w:numPr>
          <w:ilvl w:val="0"/>
          <w:numId w:val="50"/>
        </w:numPr>
        <w:rPr>
          <w:rFonts w:asciiTheme="majorHAnsi" w:hAnsiTheme="majorHAnsi" w:cstheme="majorHAnsi"/>
        </w:rPr>
      </w:pPr>
      <w:r w:rsidRPr="0087423A">
        <w:rPr>
          <w:rFonts w:asciiTheme="majorHAnsi" w:hAnsiTheme="majorHAnsi" w:cstheme="majorHAnsi"/>
        </w:rPr>
        <w:t>Establish a requirement for a 5-year Strategic Plan outlining agency and industry roles, timelines, as well as anticipated outcomes, to serve as a framework for this collaboration and allow the incorporation of any recommendations that may come from the other groups, such as the Viability and Sustainability of Long-Term Care Facilities Task Force, as well as the Senior Housing Commission.</w:t>
      </w:r>
    </w:p>
    <w:p w14:paraId="40411D44" w14:textId="77777777" w:rsidR="001E1A3E" w:rsidRPr="0087423A" w:rsidRDefault="00000000" w:rsidP="00D64948">
      <w:pPr>
        <w:pStyle w:val="ListParagraph"/>
        <w:numPr>
          <w:ilvl w:val="0"/>
          <w:numId w:val="50"/>
        </w:numPr>
        <w:rPr>
          <w:rFonts w:asciiTheme="majorHAnsi" w:hAnsiTheme="majorHAnsi" w:cstheme="majorHAnsi"/>
        </w:rPr>
      </w:pPr>
      <w:r w:rsidRPr="0087423A">
        <w:rPr>
          <w:rFonts w:asciiTheme="majorHAnsi" w:hAnsiTheme="majorHAnsi" w:cstheme="majorHAnsi"/>
        </w:rPr>
        <w:t>Change the use and methodology of the RCC-Q, including:</w:t>
      </w:r>
    </w:p>
    <w:p w14:paraId="1D0C810A" w14:textId="225E66D8" w:rsidR="001E1A3E" w:rsidRPr="0087423A" w:rsidRDefault="00000000" w:rsidP="00D64948">
      <w:pPr>
        <w:pStyle w:val="ListParagraph"/>
        <w:numPr>
          <w:ilvl w:val="0"/>
          <w:numId w:val="30"/>
        </w:numPr>
        <w:rPr>
          <w:rFonts w:asciiTheme="majorHAnsi" w:hAnsiTheme="majorHAnsi" w:cstheme="majorHAnsi"/>
        </w:rPr>
      </w:pPr>
      <w:r w:rsidRPr="0087423A">
        <w:rPr>
          <w:rFonts w:asciiTheme="majorHAnsi" w:hAnsiTheme="majorHAnsi" w:cstheme="majorHAnsi"/>
        </w:rPr>
        <w:t>Align the current RCC-Q requirements for rest homes with the DCC-Q requirements for nursing facilities by lowering the RCC-Q threshold to 75% and prorating the self-reported costs related to the rest homes ED/CEO/owner(s) and staff not providing direct care services.</w:t>
      </w:r>
    </w:p>
    <w:p w14:paraId="03BF0D1E" w14:textId="77777777" w:rsidR="001E1A3E" w:rsidRPr="00F178E4" w:rsidRDefault="00000000" w:rsidP="00D64948">
      <w:pPr>
        <w:pStyle w:val="ListParagraph"/>
        <w:numPr>
          <w:ilvl w:val="0"/>
          <w:numId w:val="30"/>
        </w:numPr>
        <w:rPr>
          <w:rFonts w:asciiTheme="majorHAnsi" w:hAnsiTheme="majorHAnsi" w:cstheme="majorHAnsi"/>
        </w:rPr>
      </w:pPr>
      <w:r w:rsidRPr="00F178E4">
        <w:rPr>
          <w:rFonts w:asciiTheme="majorHAnsi" w:hAnsiTheme="majorHAnsi" w:cstheme="majorHAnsi"/>
        </w:rPr>
        <w:t xml:space="preserve">Eliminate the RCC-Q, establishing an alternative rating system focused on </w:t>
      </w:r>
      <w:proofErr w:type="gramStart"/>
      <w:r w:rsidRPr="00F178E4">
        <w:rPr>
          <w:rFonts w:asciiTheme="majorHAnsi" w:hAnsiTheme="majorHAnsi" w:cstheme="majorHAnsi"/>
        </w:rPr>
        <w:t>quality-of-care</w:t>
      </w:r>
      <w:proofErr w:type="gramEnd"/>
      <w:r w:rsidRPr="00F178E4">
        <w:rPr>
          <w:rFonts w:asciiTheme="majorHAnsi" w:hAnsiTheme="majorHAnsi" w:cstheme="majorHAnsi"/>
        </w:rPr>
        <w:t>.</w:t>
      </w:r>
    </w:p>
    <w:p w14:paraId="5366D904" w14:textId="77777777" w:rsidR="001E1A3E" w:rsidRPr="00F178E4" w:rsidRDefault="00000000" w:rsidP="00D64948">
      <w:pPr>
        <w:pStyle w:val="ListParagraph"/>
        <w:numPr>
          <w:ilvl w:val="0"/>
          <w:numId w:val="30"/>
        </w:numPr>
        <w:rPr>
          <w:rFonts w:asciiTheme="majorHAnsi" w:hAnsiTheme="majorHAnsi" w:cstheme="majorHAnsi"/>
        </w:rPr>
      </w:pPr>
      <w:r w:rsidRPr="00F178E4">
        <w:rPr>
          <w:rFonts w:asciiTheme="majorHAnsi" w:hAnsiTheme="majorHAnsi" w:cstheme="majorHAnsi"/>
        </w:rPr>
        <w:t>Allow Administrator and Responsible Person Cost</w:t>
      </w:r>
    </w:p>
    <w:p w14:paraId="2BA0533C" w14:textId="77777777" w:rsidR="001E1A3E" w:rsidRPr="00F178E4" w:rsidRDefault="00000000" w:rsidP="00D64948">
      <w:pPr>
        <w:pStyle w:val="ListParagraph"/>
        <w:numPr>
          <w:ilvl w:val="0"/>
          <w:numId w:val="30"/>
        </w:numPr>
        <w:rPr>
          <w:rFonts w:asciiTheme="majorHAnsi" w:hAnsiTheme="majorHAnsi" w:cstheme="majorHAnsi"/>
        </w:rPr>
      </w:pPr>
      <w:r w:rsidRPr="00F178E4">
        <w:rPr>
          <w:rFonts w:asciiTheme="majorHAnsi" w:hAnsiTheme="majorHAnsi" w:cstheme="majorHAnsi"/>
        </w:rPr>
        <w:t xml:space="preserve">Conduct an independent analysis of the relevant allowable costs, goals, criteria and outcomes of the RCC-Q, and the impact of including private revenue and revenue from endowments. </w:t>
      </w:r>
    </w:p>
    <w:p w14:paraId="40A5E409" w14:textId="77777777" w:rsidR="001E1A3E" w:rsidRPr="0087423A" w:rsidRDefault="00000000" w:rsidP="00D64948">
      <w:pPr>
        <w:pStyle w:val="ListParagraph"/>
        <w:numPr>
          <w:ilvl w:val="0"/>
          <w:numId w:val="51"/>
        </w:numPr>
        <w:rPr>
          <w:rFonts w:asciiTheme="majorHAnsi" w:hAnsiTheme="majorHAnsi" w:cstheme="majorHAnsi"/>
        </w:rPr>
      </w:pPr>
      <w:r w:rsidRPr="0087423A">
        <w:rPr>
          <w:rFonts w:asciiTheme="majorHAnsi" w:hAnsiTheme="majorHAnsi" w:cstheme="majorHAnsi"/>
        </w:rPr>
        <w:t xml:space="preserve">Conduct an independent analysis of rate adequacy and cost reporting that would inform </w:t>
      </w:r>
      <w:proofErr w:type="gramStart"/>
      <w:r w:rsidRPr="0087423A">
        <w:rPr>
          <w:rFonts w:asciiTheme="majorHAnsi" w:hAnsiTheme="majorHAnsi" w:cstheme="majorHAnsi"/>
        </w:rPr>
        <w:t>any</w:t>
      </w:r>
      <w:proofErr w:type="gramEnd"/>
      <w:r w:rsidRPr="0087423A">
        <w:rPr>
          <w:rFonts w:asciiTheme="majorHAnsi" w:hAnsiTheme="majorHAnsi" w:cstheme="majorHAnsi"/>
        </w:rPr>
        <w:t xml:space="preserve"> regulatory revision related to costs associated with minimum staffing levels and recommend any new or updated financial reporting requirements.</w:t>
      </w:r>
    </w:p>
    <w:p w14:paraId="372A12CC" w14:textId="092D1258" w:rsidR="001E1A3E" w:rsidRPr="00F178E4" w:rsidRDefault="001E1A3E">
      <w:pPr>
        <w:rPr>
          <w:rFonts w:asciiTheme="majorHAnsi" w:hAnsiTheme="majorHAnsi" w:cstheme="majorHAnsi"/>
        </w:rPr>
      </w:pPr>
    </w:p>
    <w:p w14:paraId="641FFAAB" w14:textId="3876A708" w:rsidR="001E1A3E" w:rsidRPr="00F178E4" w:rsidRDefault="001E1A3E">
      <w:pPr>
        <w:rPr>
          <w:rFonts w:asciiTheme="majorHAnsi" w:hAnsiTheme="majorHAnsi" w:cstheme="majorHAnsi"/>
        </w:rPr>
      </w:pPr>
    </w:p>
    <w:p w14:paraId="39E054CD" w14:textId="77777777" w:rsidR="001E1A3E" w:rsidRPr="00F178E4" w:rsidRDefault="00000000">
      <w:pPr>
        <w:pStyle w:val="Heading1"/>
        <w:rPr>
          <w:rFonts w:cstheme="majorHAnsi"/>
        </w:rPr>
      </w:pPr>
      <w:r w:rsidRPr="00F178E4">
        <w:rPr>
          <w:rFonts w:cstheme="majorHAnsi"/>
        </w:rPr>
        <w:t>Slide 38</w:t>
      </w:r>
    </w:p>
    <w:p w14:paraId="7701E039" w14:textId="77777777" w:rsidR="0087423A" w:rsidRPr="00F178E4" w:rsidRDefault="0087423A" w:rsidP="0087423A">
      <w:pPr>
        <w:rPr>
          <w:rFonts w:asciiTheme="majorHAnsi" w:hAnsiTheme="majorHAnsi" w:cstheme="majorHAnsi"/>
        </w:rPr>
      </w:pPr>
      <w:r w:rsidRPr="00F178E4">
        <w:rPr>
          <w:rFonts w:asciiTheme="majorHAnsi" w:hAnsiTheme="majorHAnsi" w:cstheme="majorHAnsi"/>
        </w:rPr>
        <w:t>Task Force’s Recommendations (cont.)</w:t>
      </w:r>
    </w:p>
    <w:p w14:paraId="6E221EC7" w14:textId="1724AF35" w:rsidR="001E1A3E" w:rsidRPr="0087423A" w:rsidRDefault="00000000">
      <w:pPr>
        <w:rPr>
          <w:rFonts w:asciiTheme="majorHAnsi" w:hAnsiTheme="majorHAnsi" w:cstheme="majorHAnsi"/>
          <w:u w:val="single"/>
        </w:rPr>
      </w:pPr>
      <w:r w:rsidRPr="0087423A">
        <w:rPr>
          <w:rFonts w:asciiTheme="majorHAnsi" w:hAnsiTheme="majorHAnsi" w:cstheme="majorHAnsi"/>
          <w:u w:val="single"/>
        </w:rPr>
        <w:t>Recommendations on Which the Task Force Was Unable to Reach Clear Agreement (cont.)</w:t>
      </w:r>
    </w:p>
    <w:p w14:paraId="2E039E1F" w14:textId="77777777" w:rsidR="001E1A3E" w:rsidRPr="0087423A" w:rsidRDefault="00000000" w:rsidP="00D64948">
      <w:pPr>
        <w:pStyle w:val="ListParagraph"/>
        <w:numPr>
          <w:ilvl w:val="0"/>
          <w:numId w:val="51"/>
        </w:numPr>
        <w:rPr>
          <w:rFonts w:asciiTheme="majorHAnsi" w:hAnsiTheme="majorHAnsi" w:cstheme="majorHAnsi"/>
        </w:rPr>
      </w:pPr>
      <w:r w:rsidRPr="0087423A">
        <w:rPr>
          <w:rFonts w:asciiTheme="majorHAnsi" w:hAnsiTheme="majorHAnsi" w:cstheme="majorHAnsi"/>
        </w:rPr>
        <w:t xml:space="preserve">Address the capital needs of rest homes across the state through </w:t>
      </w:r>
      <w:proofErr w:type="gramStart"/>
      <w:r w:rsidRPr="0087423A">
        <w:rPr>
          <w:rFonts w:asciiTheme="majorHAnsi" w:hAnsiTheme="majorHAnsi" w:cstheme="majorHAnsi"/>
        </w:rPr>
        <w:t>a number of</w:t>
      </w:r>
      <w:proofErr w:type="gramEnd"/>
      <w:r w:rsidRPr="0087423A">
        <w:rPr>
          <w:rFonts w:asciiTheme="majorHAnsi" w:hAnsiTheme="majorHAnsi" w:cstheme="majorHAnsi"/>
        </w:rPr>
        <w:t xml:space="preserve"> possible mechanisms:</w:t>
      </w:r>
    </w:p>
    <w:p w14:paraId="19993860" w14:textId="77777777" w:rsidR="0087423A" w:rsidRDefault="00000000" w:rsidP="00D64948">
      <w:pPr>
        <w:pStyle w:val="ListParagraph"/>
        <w:numPr>
          <w:ilvl w:val="0"/>
          <w:numId w:val="30"/>
        </w:numPr>
        <w:rPr>
          <w:rFonts w:asciiTheme="majorHAnsi" w:hAnsiTheme="majorHAnsi" w:cstheme="majorHAnsi"/>
        </w:rPr>
      </w:pPr>
      <w:r w:rsidRPr="0087423A">
        <w:rPr>
          <w:rFonts w:asciiTheme="majorHAnsi" w:hAnsiTheme="majorHAnsi" w:cstheme="majorHAnsi"/>
        </w:rPr>
        <w:t xml:space="preserve">Conduct a capital needs assessment for all </w:t>
      </w:r>
      <w:proofErr w:type="gramStart"/>
      <w:r w:rsidRPr="0087423A">
        <w:rPr>
          <w:rFonts w:asciiTheme="majorHAnsi" w:hAnsiTheme="majorHAnsi" w:cstheme="majorHAnsi"/>
        </w:rPr>
        <w:t>facilities;</w:t>
      </w:r>
      <w:proofErr w:type="gramEnd"/>
    </w:p>
    <w:p w14:paraId="00EE7348" w14:textId="345DF401" w:rsidR="0087423A" w:rsidRPr="0087423A" w:rsidRDefault="00000000" w:rsidP="00D64948">
      <w:pPr>
        <w:pStyle w:val="ListParagraph"/>
        <w:numPr>
          <w:ilvl w:val="0"/>
          <w:numId w:val="30"/>
        </w:numPr>
        <w:rPr>
          <w:rFonts w:asciiTheme="majorHAnsi" w:hAnsiTheme="majorHAnsi" w:cstheme="majorHAnsi"/>
        </w:rPr>
      </w:pPr>
      <w:r w:rsidRPr="0087423A">
        <w:rPr>
          <w:rFonts w:asciiTheme="majorHAnsi" w:hAnsiTheme="majorHAnsi" w:cstheme="majorHAnsi"/>
        </w:rPr>
        <w:lastRenderedPageBreak/>
        <w:t>Ensure that rest homes with Level IV Nursing Homes are eligible for funds from the Long-Term Care Workforce and Capital Fund in the 2024 Long Term Care</w:t>
      </w:r>
      <w:r w:rsidR="0087423A">
        <w:rPr>
          <w:rFonts w:asciiTheme="majorHAnsi" w:hAnsiTheme="majorHAnsi" w:cstheme="majorHAnsi"/>
        </w:rPr>
        <w:t xml:space="preserve"> </w:t>
      </w:r>
      <w:r w:rsidR="0087423A" w:rsidRPr="0087423A">
        <w:rPr>
          <w:rFonts w:asciiTheme="majorHAnsi" w:hAnsiTheme="majorHAnsi" w:cstheme="majorHAnsi"/>
        </w:rPr>
        <w:t>bill (</w:t>
      </w:r>
      <w:hyperlink r:id="rId24" w:history="1">
        <w:r w:rsidR="0087423A" w:rsidRPr="0087423A">
          <w:rPr>
            <w:rStyle w:val="Hyperlink"/>
            <w:rFonts w:asciiTheme="majorHAnsi" w:hAnsiTheme="majorHAnsi" w:cstheme="majorHAnsi"/>
          </w:rPr>
          <w:t>Chapter 197 of the Acts of 2024, An Act to Improve Quality And Oversight of Long-term Care</w:t>
        </w:r>
      </w:hyperlink>
      <w:r w:rsidR="0087423A" w:rsidRPr="0087423A">
        <w:rPr>
          <w:rFonts w:asciiTheme="majorHAnsi" w:hAnsiTheme="majorHAnsi" w:cstheme="majorHAnsi"/>
        </w:rPr>
        <w:t>);</w:t>
      </w:r>
    </w:p>
    <w:p w14:paraId="0E68309A" w14:textId="7CFA8AD0" w:rsidR="001E1A3E" w:rsidRPr="00DB79DE" w:rsidRDefault="0087423A" w:rsidP="00D64948">
      <w:pPr>
        <w:pStyle w:val="ListParagraph"/>
        <w:numPr>
          <w:ilvl w:val="0"/>
          <w:numId w:val="30"/>
        </w:numPr>
        <w:rPr>
          <w:rFonts w:asciiTheme="majorHAnsi" w:hAnsiTheme="majorHAnsi" w:cstheme="majorHAnsi"/>
        </w:rPr>
      </w:pPr>
      <w:r w:rsidRPr="0087423A">
        <w:rPr>
          <w:rFonts w:asciiTheme="majorHAnsi" w:hAnsiTheme="majorHAnsi" w:cstheme="majorHAnsi"/>
        </w:rPr>
        <w:t>Explore whether supportive housing funds in the 2024 Economic Development bond bill (</w:t>
      </w:r>
      <w:hyperlink r:id="rId25" w:history="1">
        <w:r w:rsidRPr="0087423A">
          <w:rPr>
            <w:rStyle w:val="Hyperlink"/>
            <w:rFonts w:asciiTheme="majorHAnsi" w:hAnsiTheme="majorHAnsi" w:cstheme="majorHAnsi"/>
          </w:rPr>
          <w:t>Chapter 238, Acts of 2024, An Act Relative to Strengthening Massachusetts’ Economic Leadership</w:t>
        </w:r>
      </w:hyperlink>
      <w:r w:rsidRPr="0087423A">
        <w:rPr>
          <w:rFonts w:asciiTheme="majorHAnsi" w:hAnsiTheme="majorHAnsi" w:cstheme="majorHAnsi"/>
        </w:rPr>
        <w:t>) could be used for rest homes; and</w:t>
      </w:r>
    </w:p>
    <w:p w14:paraId="39D6E8CD" w14:textId="77777777" w:rsidR="0087423A" w:rsidRDefault="00000000" w:rsidP="00D64948">
      <w:pPr>
        <w:pStyle w:val="ListParagraph"/>
        <w:numPr>
          <w:ilvl w:val="0"/>
          <w:numId w:val="51"/>
        </w:numPr>
        <w:rPr>
          <w:rFonts w:asciiTheme="majorHAnsi" w:hAnsiTheme="majorHAnsi" w:cstheme="majorHAnsi"/>
        </w:rPr>
      </w:pPr>
      <w:r w:rsidRPr="0087423A">
        <w:rPr>
          <w:rFonts w:asciiTheme="majorHAnsi" w:hAnsiTheme="majorHAnsi" w:cstheme="majorHAnsi"/>
        </w:rPr>
        <w:t xml:space="preserve">Amend the construction standards for rest homes to allow rest homes to be renovated in accordance with residential building codes </w:t>
      </w:r>
      <w:proofErr w:type="gramStart"/>
      <w:r w:rsidRPr="0087423A">
        <w:rPr>
          <w:rFonts w:asciiTheme="majorHAnsi" w:hAnsiTheme="majorHAnsi" w:cstheme="majorHAnsi"/>
        </w:rPr>
        <w:t>similar to</w:t>
      </w:r>
      <w:proofErr w:type="gramEnd"/>
      <w:r w:rsidRPr="0087423A">
        <w:rPr>
          <w:rFonts w:asciiTheme="majorHAnsi" w:hAnsiTheme="majorHAnsi" w:cstheme="majorHAnsi"/>
        </w:rPr>
        <w:t xml:space="preserve"> those allowed for Assisted Living Residences. Current regulations require rest homes to comply with health care facility regulations, subject to plan review at DPH, and Determination of Need requirements.  </w:t>
      </w:r>
      <w:proofErr w:type="gramStart"/>
      <w:r w:rsidRPr="0087423A">
        <w:rPr>
          <w:rFonts w:asciiTheme="majorHAnsi" w:hAnsiTheme="majorHAnsi" w:cstheme="majorHAnsi"/>
        </w:rPr>
        <w:t>All of</w:t>
      </w:r>
      <w:proofErr w:type="gramEnd"/>
      <w:r w:rsidRPr="0087423A">
        <w:rPr>
          <w:rFonts w:asciiTheme="majorHAnsi" w:hAnsiTheme="majorHAnsi" w:cstheme="majorHAnsi"/>
        </w:rPr>
        <w:t xml:space="preserve"> these requirements make it extremely challenging and costly to renovate and update rest homes. </w:t>
      </w:r>
    </w:p>
    <w:p w14:paraId="51A1DEE1" w14:textId="2575F8CF" w:rsidR="001E1A3E" w:rsidRPr="0087423A" w:rsidRDefault="00000000" w:rsidP="00D64948">
      <w:pPr>
        <w:pStyle w:val="ListParagraph"/>
        <w:numPr>
          <w:ilvl w:val="0"/>
          <w:numId w:val="51"/>
        </w:numPr>
        <w:rPr>
          <w:rFonts w:asciiTheme="majorHAnsi" w:hAnsiTheme="majorHAnsi" w:cstheme="majorHAnsi"/>
        </w:rPr>
      </w:pPr>
      <w:r w:rsidRPr="0087423A">
        <w:rPr>
          <w:rFonts w:asciiTheme="majorHAnsi" w:hAnsiTheme="majorHAnsi" w:cstheme="majorHAnsi"/>
        </w:rPr>
        <w:t>Explore whether DPH regulations and licensing applications could include questions regarding previous ownership of rest homes (as part of suitability criteria).</w:t>
      </w:r>
    </w:p>
    <w:p w14:paraId="22347C0C" w14:textId="1ADBA2D1" w:rsidR="001E1A3E" w:rsidRPr="00F178E4" w:rsidRDefault="001E1A3E">
      <w:pPr>
        <w:rPr>
          <w:rFonts w:asciiTheme="majorHAnsi" w:hAnsiTheme="majorHAnsi" w:cstheme="majorHAnsi"/>
        </w:rPr>
      </w:pPr>
    </w:p>
    <w:p w14:paraId="5287A862" w14:textId="77777777" w:rsidR="001E1A3E" w:rsidRPr="00F178E4" w:rsidRDefault="00000000">
      <w:pPr>
        <w:pStyle w:val="Heading1"/>
        <w:rPr>
          <w:rFonts w:cstheme="majorHAnsi"/>
        </w:rPr>
      </w:pPr>
      <w:r w:rsidRPr="00F178E4">
        <w:rPr>
          <w:rFonts w:cstheme="majorHAnsi"/>
        </w:rPr>
        <w:t>Slide 39</w:t>
      </w:r>
    </w:p>
    <w:p w14:paraId="39539124" w14:textId="77777777" w:rsidR="001E1A3E" w:rsidRPr="00F178E4" w:rsidRDefault="00000000">
      <w:pPr>
        <w:rPr>
          <w:rFonts w:asciiTheme="majorHAnsi" w:hAnsiTheme="majorHAnsi" w:cstheme="majorHAnsi"/>
        </w:rPr>
      </w:pPr>
      <w:r w:rsidRPr="00F178E4">
        <w:rPr>
          <w:rFonts w:asciiTheme="majorHAnsi" w:hAnsiTheme="majorHAnsi" w:cstheme="majorHAnsi"/>
        </w:rPr>
        <w:t>Appendices</w:t>
      </w:r>
    </w:p>
    <w:p w14:paraId="55F3EE3D" w14:textId="45262920" w:rsidR="001E1A3E" w:rsidRPr="00F178E4" w:rsidRDefault="001E1A3E">
      <w:pPr>
        <w:rPr>
          <w:rFonts w:asciiTheme="majorHAnsi" w:hAnsiTheme="majorHAnsi" w:cstheme="majorHAnsi"/>
        </w:rPr>
      </w:pPr>
    </w:p>
    <w:p w14:paraId="0A07840A" w14:textId="77777777" w:rsidR="001E1A3E" w:rsidRPr="00F178E4" w:rsidRDefault="00000000">
      <w:pPr>
        <w:pStyle w:val="Heading1"/>
        <w:rPr>
          <w:rFonts w:cstheme="majorHAnsi"/>
        </w:rPr>
      </w:pPr>
      <w:r w:rsidRPr="00F178E4">
        <w:rPr>
          <w:rFonts w:cstheme="majorHAnsi"/>
        </w:rPr>
        <w:t>Slide 40</w:t>
      </w:r>
    </w:p>
    <w:p w14:paraId="1CF7F385" w14:textId="77777777" w:rsidR="00CF0539" w:rsidRPr="00F178E4" w:rsidRDefault="00CF0539" w:rsidP="00CF0539">
      <w:pPr>
        <w:rPr>
          <w:rFonts w:asciiTheme="majorHAnsi" w:hAnsiTheme="majorHAnsi" w:cstheme="majorHAnsi"/>
        </w:rPr>
      </w:pPr>
      <w:r w:rsidRPr="00F178E4">
        <w:rPr>
          <w:rFonts w:asciiTheme="majorHAnsi" w:hAnsiTheme="majorHAnsi" w:cstheme="majorHAnsi"/>
        </w:rPr>
        <w:t>Appendix A – Legislative Mandate</w:t>
      </w:r>
    </w:p>
    <w:p w14:paraId="5D6119FF" w14:textId="139EC640" w:rsidR="001E1A3E" w:rsidRPr="00F178E4" w:rsidRDefault="00000000">
      <w:pPr>
        <w:rPr>
          <w:rFonts w:asciiTheme="majorHAnsi" w:hAnsiTheme="majorHAnsi" w:cstheme="majorHAnsi"/>
        </w:rPr>
      </w:pPr>
      <w:r w:rsidRPr="00CF0539">
        <w:rPr>
          <w:rFonts w:asciiTheme="majorHAnsi" w:hAnsiTheme="majorHAnsi" w:cstheme="majorHAnsi"/>
          <w:u w:val="single"/>
        </w:rPr>
        <w:t>Full text of the legislation:</w:t>
      </w:r>
      <w:r w:rsidRPr="00F178E4">
        <w:rPr>
          <w:rFonts w:asciiTheme="majorHAnsi" w:hAnsiTheme="majorHAnsi" w:cstheme="majorHAnsi"/>
        </w:rPr>
        <w:t xml:space="preserve"> </w:t>
      </w:r>
      <w:hyperlink r:id="rId26" w:history="1">
        <w:r w:rsidR="00CF0539" w:rsidRPr="00DA5F8D">
          <w:rPr>
            <w:rStyle w:val="Hyperlink"/>
            <w:rFonts w:asciiTheme="majorHAnsi" w:hAnsiTheme="majorHAnsi" w:cstheme="majorHAnsi"/>
          </w:rPr>
          <w:t>https://malegislature.gov/Laws/SessionLaws/Acts/2024/Chapter197</w:t>
        </w:r>
      </w:hyperlink>
      <w:r w:rsidR="00CF0539">
        <w:rPr>
          <w:rFonts w:asciiTheme="majorHAnsi" w:hAnsiTheme="majorHAnsi" w:cstheme="majorHAnsi"/>
        </w:rPr>
        <w:t xml:space="preserve"> </w:t>
      </w:r>
    </w:p>
    <w:p w14:paraId="712F2579" w14:textId="77777777" w:rsidR="001E1A3E" w:rsidRPr="00CF0539" w:rsidRDefault="00000000">
      <w:pPr>
        <w:rPr>
          <w:rFonts w:asciiTheme="majorHAnsi" w:hAnsiTheme="majorHAnsi" w:cstheme="majorHAnsi"/>
          <w:u w:val="single"/>
        </w:rPr>
      </w:pPr>
      <w:r w:rsidRPr="00CF0539">
        <w:rPr>
          <w:rFonts w:asciiTheme="majorHAnsi" w:hAnsiTheme="majorHAnsi" w:cstheme="majorHAnsi"/>
          <w:u w:val="single"/>
        </w:rPr>
        <w:t>Chapter 197, Section 27 of the Acts of 2024</w:t>
      </w:r>
    </w:p>
    <w:p w14:paraId="38BD8AFE" w14:textId="77777777" w:rsidR="001E1A3E" w:rsidRPr="00F178E4" w:rsidRDefault="00000000">
      <w:pPr>
        <w:rPr>
          <w:rFonts w:asciiTheme="majorHAnsi" w:hAnsiTheme="majorHAnsi" w:cstheme="majorHAnsi"/>
        </w:rPr>
      </w:pPr>
      <w:r w:rsidRPr="00F178E4">
        <w:rPr>
          <w:rFonts w:asciiTheme="majorHAnsi" w:hAnsiTheme="majorHAnsi" w:cstheme="majorHAnsi"/>
        </w:rPr>
        <w:t>(a) There shall be a task force to evaluate the governance and regulatory structure of rest homes in the commonwealth. The task force shall include, but shall not be limited to, an examination of the following: (i) the licensing, regulatory and reporting structure for rest homes; (ii) an inventory of licensed rest homes and licensed rest home beds; (iii) the location and service areas of existing rest homes; (iv) a review of rest home closures since 2015; (v) a review of the recommendations implemented from the nursing facility task force report issued pursuant to section 91 of chapter 41 of the acts of 2019; (vi) the feasibility of receiving federal reimbursement for rest home expenses; and (vii) a review of the current rate structure for rest homes compared to the actual cost of care to residents.</w:t>
      </w:r>
    </w:p>
    <w:p w14:paraId="5A8A0BD0" w14:textId="77777777" w:rsidR="001E1A3E" w:rsidRPr="00F178E4" w:rsidRDefault="00000000">
      <w:pPr>
        <w:rPr>
          <w:rFonts w:asciiTheme="majorHAnsi" w:hAnsiTheme="majorHAnsi" w:cstheme="majorHAnsi"/>
        </w:rPr>
      </w:pPr>
      <w:r w:rsidRPr="00F178E4">
        <w:rPr>
          <w:rFonts w:asciiTheme="majorHAnsi" w:hAnsiTheme="majorHAnsi" w:cstheme="majorHAnsi"/>
        </w:rPr>
        <w:t xml:space="preserve">(b) The task force shall consist of the secretary of health and human services, or their designee, who shall serve as chair; the secretary of elder affairs, or their designee; the commissioner of </w:t>
      </w:r>
      <w:r w:rsidRPr="00F178E4">
        <w:rPr>
          <w:rFonts w:asciiTheme="majorHAnsi" w:hAnsiTheme="majorHAnsi" w:cstheme="majorHAnsi"/>
        </w:rPr>
        <w:lastRenderedPageBreak/>
        <w:t>public health, or their designee; the assistant secretary for MassHealth, or their designee; the commissioner of the department of mental health, or their designee; the commissioner of the department of transitional assistance, or their designee; the chairs of the joint committee on elder affairs, or their designees; 1 person to be appointed by the minority leader of the house of representatives; 1 person to be appointed by the minority leader of the senate; and 5 members to be appointed by the governor, 1 of whom shall be a representative from the Massachusetts Association of Residential Care Homes, Inc., 1 of whom shall be a representative of LeadingAge Massachusetts, Inc., 1 of whom shall be a representative of Massachusetts Senior Action Council, Inc., 1 of whom shall have direct care giver experience and 1 of whom shall have experience in health care administration and finance.</w:t>
      </w:r>
    </w:p>
    <w:p w14:paraId="7CF406B9" w14:textId="77777777" w:rsidR="001E1A3E" w:rsidRDefault="00000000">
      <w:pPr>
        <w:rPr>
          <w:rFonts w:asciiTheme="majorHAnsi" w:hAnsiTheme="majorHAnsi" w:cstheme="majorHAnsi"/>
        </w:rPr>
      </w:pPr>
      <w:r w:rsidRPr="00F178E4">
        <w:rPr>
          <w:rFonts w:asciiTheme="majorHAnsi" w:hAnsiTheme="majorHAnsi" w:cstheme="majorHAnsi"/>
        </w:rPr>
        <w:t>(c) The task force shall submit a report of its findings, including any recommendations or proposed legislation necessary to carry out its recommendations, to the clerks of the house of representatives and the senate and to the house and senate committees on ways and means, not later than April 1, 2025.</w:t>
      </w:r>
    </w:p>
    <w:p w14:paraId="6886BA1D" w14:textId="77777777" w:rsidR="00CF0539" w:rsidRPr="00F178E4" w:rsidRDefault="00CF0539">
      <w:pPr>
        <w:rPr>
          <w:rFonts w:asciiTheme="majorHAnsi" w:hAnsiTheme="majorHAnsi" w:cstheme="majorHAnsi"/>
        </w:rPr>
      </w:pPr>
    </w:p>
    <w:p w14:paraId="45875FC5" w14:textId="77777777" w:rsidR="001E1A3E" w:rsidRPr="00F178E4" w:rsidRDefault="00000000">
      <w:pPr>
        <w:pStyle w:val="Heading1"/>
        <w:rPr>
          <w:rFonts w:cstheme="majorHAnsi"/>
        </w:rPr>
      </w:pPr>
      <w:r w:rsidRPr="00F178E4">
        <w:rPr>
          <w:rFonts w:cstheme="majorHAnsi"/>
        </w:rPr>
        <w:t>Slide 41</w:t>
      </w:r>
    </w:p>
    <w:p w14:paraId="7571D61D" w14:textId="77777777" w:rsidR="001E1A3E" w:rsidRPr="00F178E4" w:rsidRDefault="00000000">
      <w:pPr>
        <w:rPr>
          <w:rFonts w:asciiTheme="majorHAnsi" w:hAnsiTheme="majorHAnsi" w:cstheme="majorHAnsi"/>
        </w:rPr>
      </w:pPr>
      <w:r w:rsidRPr="00F178E4">
        <w:rPr>
          <w:rFonts w:asciiTheme="majorHAnsi" w:hAnsiTheme="majorHAnsi" w:cstheme="majorHAnsi"/>
        </w:rPr>
        <w:t>Appendix B – List of Task Force Members</w:t>
      </w:r>
    </w:p>
    <w:tbl>
      <w:tblPr>
        <w:tblW w:w="9260" w:type="dxa"/>
        <w:tblCellMar>
          <w:left w:w="0" w:type="dxa"/>
          <w:right w:w="0" w:type="dxa"/>
        </w:tblCellMar>
        <w:tblLook w:val="04A0" w:firstRow="1" w:lastRow="0" w:firstColumn="1" w:lastColumn="0" w:noHBand="0" w:noVBand="1"/>
      </w:tblPr>
      <w:tblGrid>
        <w:gridCol w:w="4400"/>
        <w:gridCol w:w="4860"/>
      </w:tblGrid>
      <w:tr w:rsidR="00CF0539" w:rsidRPr="00CF0539" w14:paraId="3A88B4F6" w14:textId="77777777" w:rsidTr="00CF0539">
        <w:trPr>
          <w:trHeight w:val="720"/>
        </w:trPr>
        <w:tc>
          <w:tcPr>
            <w:tcW w:w="4400" w:type="dxa"/>
            <w:tcBorders>
              <w:top w:val="single" w:sz="8" w:space="0" w:color="1B1E3E"/>
              <w:left w:val="single" w:sz="8" w:space="0" w:color="1B1E3E"/>
              <w:bottom w:val="single" w:sz="8" w:space="0" w:color="1B1E3E"/>
              <w:right w:val="single" w:sz="8" w:space="0" w:color="1B1E3E"/>
            </w:tcBorders>
            <w:shd w:val="clear" w:color="auto" w:fill="90A2CF"/>
            <w:tcMar>
              <w:top w:w="15" w:type="dxa"/>
              <w:left w:w="115" w:type="dxa"/>
              <w:bottom w:w="0" w:type="dxa"/>
              <w:right w:w="115" w:type="dxa"/>
            </w:tcMar>
            <w:vAlign w:val="center"/>
            <w:hideMark/>
          </w:tcPr>
          <w:p w14:paraId="5448FDB5"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Name / Affiliation</w:t>
            </w:r>
          </w:p>
        </w:tc>
        <w:tc>
          <w:tcPr>
            <w:tcW w:w="4860" w:type="dxa"/>
            <w:tcBorders>
              <w:top w:val="single" w:sz="8" w:space="0" w:color="1B1E3E"/>
              <w:left w:val="single" w:sz="8" w:space="0" w:color="1B1E3E"/>
              <w:bottom w:val="single" w:sz="8" w:space="0" w:color="1B1E3E"/>
              <w:right w:val="single" w:sz="8" w:space="0" w:color="1B1E3E"/>
            </w:tcBorders>
            <w:shd w:val="clear" w:color="auto" w:fill="90A2CF"/>
            <w:tcMar>
              <w:top w:w="15" w:type="dxa"/>
              <w:left w:w="115" w:type="dxa"/>
              <w:bottom w:w="0" w:type="dxa"/>
              <w:right w:w="115" w:type="dxa"/>
            </w:tcMar>
            <w:vAlign w:val="center"/>
            <w:hideMark/>
          </w:tcPr>
          <w:p w14:paraId="0F39E166"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Task Force Seat</w:t>
            </w:r>
          </w:p>
        </w:tc>
      </w:tr>
      <w:tr w:rsidR="00CF0539" w:rsidRPr="00CF0539" w14:paraId="0D462D39" w14:textId="77777777" w:rsidTr="00CF0539">
        <w:trPr>
          <w:trHeight w:val="1080"/>
        </w:trPr>
        <w:tc>
          <w:tcPr>
            <w:tcW w:w="440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15" w:type="dxa"/>
              <w:bottom w:w="0" w:type="dxa"/>
              <w:right w:w="115" w:type="dxa"/>
            </w:tcMar>
            <w:vAlign w:val="center"/>
            <w:hideMark/>
          </w:tcPr>
          <w:p w14:paraId="29930FF8"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 xml:space="preserve">Kiame </w:t>
            </w:r>
            <w:proofErr w:type="spellStart"/>
            <w:r w:rsidRPr="00CF0539">
              <w:rPr>
                <w:rFonts w:asciiTheme="majorHAnsi" w:hAnsiTheme="majorHAnsi" w:cstheme="majorHAnsi"/>
                <w:b/>
                <w:bCs/>
              </w:rPr>
              <w:t>Mahaniah</w:t>
            </w:r>
            <w:proofErr w:type="spellEnd"/>
          </w:p>
          <w:p w14:paraId="09D86554"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 xml:space="preserve">Executive Office of Health and Human Services </w:t>
            </w:r>
            <w:r w:rsidRPr="00CF0539">
              <w:rPr>
                <w:rFonts w:asciiTheme="majorHAnsi" w:hAnsiTheme="majorHAnsi" w:cstheme="majorHAnsi"/>
                <w:i/>
                <w:iCs/>
              </w:rPr>
              <w:t>(chair)</w:t>
            </w:r>
          </w:p>
        </w:tc>
        <w:tc>
          <w:tcPr>
            <w:tcW w:w="486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15" w:type="dxa"/>
              <w:bottom w:w="0" w:type="dxa"/>
              <w:right w:w="115" w:type="dxa"/>
            </w:tcMar>
            <w:vAlign w:val="center"/>
            <w:hideMark/>
          </w:tcPr>
          <w:p w14:paraId="4DB3FEE3"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 xml:space="preserve">Designee of the Secretary of Health and Human Services </w:t>
            </w:r>
            <w:r w:rsidRPr="00CF0539">
              <w:rPr>
                <w:rFonts w:asciiTheme="majorHAnsi" w:hAnsiTheme="majorHAnsi" w:cstheme="majorHAnsi"/>
                <w:i/>
                <w:iCs/>
              </w:rPr>
              <w:t>(who shall serve as chair)</w:t>
            </w:r>
          </w:p>
        </w:tc>
      </w:tr>
      <w:tr w:rsidR="00CF0539" w:rsidRPr="00CF0539" w14:paraId="44B7714A" w14:textId="77777777" w:rsidTr="00CF0539">
        <w:trPr>
          <w:trHeight w:val="1080"/>
        </w:trPr>
        <w:tc>
          <w:tcPr>
            <w:tcW w:w="440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15" w:type="dxa"/>
              <w:bottom w:w="0" w:type="dxa"/>
              <w:right w:w="115" w:type="dxa"/>
            </w:tcMar>
            <w:vAlign w:val="center"/>
            <w:hideMark/>
          </w:tcPr>
          <w:p w14:paraId="5841A69E"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Judy Bernice</w:t>
            </w:r>
          </w:p>
          <w:p w14:paraId="69A1DD1A"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Bureau of Health Care Safety and Quality, Department of Public Health (DPH)</w:t>
            </w:r>
          </w:p>
        </w:tc>
        <w:tc>
          <w:tcPr>
            <w:tcW w:w="486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15" w:type="dxa"/>
              <w:bottom w:w="0" w:type="dxa"/>
              <w:right w:w="115" w:type="dxa"/>
            </w:tcMar>
            <w:vAlign w:val="center"/>
            <w:hideMark/>
          </w:tcPr>
          <w:p w14:paraId="01AC2942"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Designee of the DPH Commissioner</w:t>
            </w:r>
          </w:p>
        </w:tc>
      </w:tr>
      <w:tr w:rsidR="00CF0539" w:rsidRPr="00CF0539" w14:paraId="188737DB" w14:textId="77777777" w:rsidTr="00CF0539">
        <w:trPr>
          <w:trHeight w:val="1080"/>
        </w:trPr>
        <w:tc>
          <w:tcPr>
            <w:tcW w:w="440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15" w:type="dxa"/>
              <w:bottom w:w="0" w:type="dxa"/>
              <w:right w:w="115" w:type="dxa"/>
            </w:tcMar>
            <w:vAlign w:val="center"/>
            <w:hideMark/>
          </w:tcPr>
          <w:p w14:paraId="4C81F315" w14:textId="77777777" w:rsidR="00CF0539" w:rsidRPr="00CF0539" w:rsidRDefault="00CF0539" w:rsidP="00CF0539">
            <w:pPr>
              <w:rPr>
                <w:rFonts w:asciiTheme="majorHAnsi" w:hAnsiTheme="majorHAnsi" w:cstheme="majorHAnsi"/>
              </w:rPr>
            </w:pPr>
            <w:proofErr w:type="spellStart"/>
            <w:r w:rsidRPr="00CF0539">
              <w:rPr>
                <w:rFonts w:asciiTheme="majorHAnsi" w:hAnsiTheme="majorHAnsi" w:cstheme="majorHAnsi"/>
                <w:b/>
                <w:bCs/>
              </w:rPr>
              <w:t>Scune</w:t>
            </w:r>
            <w:proofErr w:type="spellEnd"/>
            <w:r w:rsidRPr="00CF0539">
              <w:rPr>
                <w:rFonts w:asciiTheme="majorHAnsi" w:hAnsiTheme="majorHAnsi" w:cstheme="majorHAnsi"/>
                <w:b/>
                <w:bCs/>
              </w:rPr>
              <w:t xml:space="preserve"> Carrington</w:t>
            </w:r>
          </w:p>
          <w:p w14:paraId="30575D3F"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 xml:space="preserve">Private practitioner, </w:t>
            </w:r>
            <w:proofErr w:type="spellStart"/>
            <w:r w:rsidRPr="00CF0539">
              <w:rPr>
                <w:rFonts w:asciiTheme="majorHAnsi" w:hAnsiTheme="majorHAnsi" w:cstheme="majorHAnsi"/>
              </w:rPr>
              <w:t>BennuCare</w:t>
            </w:r>
            <w:proofErr w:type="spellEnd"/>
          </w:p>
        </w:tc>
        <w:tc>
          <w:tcPr>
            <w:tcW w:w="486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22A113F4"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Appointee of the Governor, representative with direct care giver experience</w:t>
            </w:r>
          </w:p>
        </w:tc>
      </w:tr>
      <w:tr w:rsidR="00CF0539" w:rsidRPr="00CF0539" w14:paraId="329698EC" w14:textId="77777777" w:rsidTr="00CF0539">
        <w:trPr>
          <w:trHeight w:val="1080"/>
        </w:trPr>
        <w:tc>
          <w:tcPr>
            <w:tcW w:w="440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16769996"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Kim Clougherty</w:t>
            </w:r>
          </w:p>
          <w:p w14:paraId="5EEEDED7"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Department of Mental Health (DMH)</w:t>
            </w:r>
          </w:p>
        </w:tc>
        <w:tc>
          <w:tcPr>
            <w:tcW w:w="486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0CE7C5A9"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DMH Commissioner or their designee</w:t>
            </w:r>
          </w:p>
        </w:tc>
      </w:tr>
      <w:tr w:rsidR="00CF0539" w:rsidRPr="00CF0539" w14:paraId="348CCC13" w14:textId="77777777" w:rsidTr="00CF0539">
        <w:trPr>
          <w:trHeight w:val="1080"/>
        </w:trPr>
        <w:tc>
          <w:tcPr>
            <w:tcW w:w="440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567555DF"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lastRenderedPageBreak/>
              <w:t>Emily Cooper</w:t>
            </w:r>
          </w:p>
          <w:p w14:paraId="6E6C386E"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Executive Office of Aging &amp; Independence (AGE)</w:t>
            </w:r>
          </w:p>
        </w:tc>
        <w:tc>
          <w:tcPr>
            <w:tcW w:w="486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48BDCDCB"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AGE Secretary or their designee</w:t>
            </w:r>
          </w:p>
        </w:tc>
      </w:tr>
      <w:tr w:rsidR="00CF0539" w:rsidRPr="00CF0539" w14:paraId="7EC1AF93" w14:textId="77777777" w:rsidTr="00CF0539">
        <w:trPr>
          <w:trHeight w:val="1080"/>
        </w:trPr>
        <w:tc>
          <w:tcPr>
            <w:tcW w:w="440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187DBAE3"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 xml:space="preserve">Tracey </w:t>
            </w:r>
            <w:proofErr w:type="spellStart"/>
            <w:r w:rsidRPr="00CF0539">
              <w:rPr>
                <w:rFonts w:asciiTheme="majorHAnsi" w:hAnsiTheme="majorHAnsi" w:cstheme="majorHAnsi"/>
                <w:b/>
                <w:bCs/>
              </w:rPr>
              <w:t>Cravedi</w:t>
            </w:r>
            <w:proofErr w:type="spellEnd"/>
          </w:p>
          <w:p w14:paraId="2A7762F8"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Hale House</w:t>
            </w:r>
          </w:p>
        </w:tc>
        <w:tc>
          <w:tcPr>
            <w:tcW w:w="486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411C8907"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Appointee of the Governor, representative of LeadingAge Massachusetts, Inc.</w:t>
            </w:r>
          </w:p>
        </w:tc>
      </w:tr>
    </w:tbl>
    <w:p w14:paraId="2B3016AA" w14:textId="67AA494C" w:rsidR="001E1A3E" w:rsidRDefault="001E1A3E">
      <w:pPr>
        <w:rPr>
          <w:rFonts w:asciiTheme="majorHAnsi" w:hAnsiTheme="majorHAnsi" w:cstheme="majorHAnsi"/>
        </w:rPr>
      </w:pPr>
    </w:p>
    <w:p w14:paraId="6EE2429C" w14:textId="77777777" w:rsidR="001E1A3E" w:rsidRPr="00F178E4" w:rsidRDefault="00000000">
      <w:pPr>
        <w:pStyle w:val="Heading1"/>
        <w:rPr>
          <w:rFonts w:cstheme="majorHAnsi"/>
        </w:rPr>
      </w:pPr>
      <w:r w:rsidRPr="00F178E4">
        <w:rPr>
          <w:rFonts w:cstheme="majorHAnsi"/>
        </w:rPr>
        <w:t>Slide 42</w:t>
      </w:r>
    </w:p>
    <w:p w14:paraId="7922461E" w14:textId="77777777" w:rsidR="001E1A3E" w:rsidRPr="00F178E4" w:rsidRDefault="00000000">
      <w:pPr>
        <w:rPr>
          <w:rFonts w:asciiTheme="majorHAnsi" w:hAnsiTheme="majorHAnsi" w:cstheme="majorHAnsi"/>
        </w:rPr>
      </w:pPr>
      <w:r w:rsidRPr="00F178E4">
        <w:rPr>
          <w:rFonts w:asciiTheme="majorHAnsi" w:hAnsiTheme="majorHAnsi" w:cstheme="majorHAnsi"/>
        </w:rPr>
        <w:t>Appendix B – List of Task Force Members (cont.)</w:t>
      </w:r>
    </w:p>
    <w:tbl>
      <w:tblPr>
        <w:tblW w:w="9260" w:type="dxa"/>
        <w:tblCellMar>
          <w:left w:w="0" w:type="dxa"/>
          <w:right w:w="0" w:type="dxa"/>
        </w:tblCellMar>
        <w:tblLook w:val="04A0" w:firstRow="1" w:lastRow="0" w:firstColumn="1" w:lastColumn="0" w:noHBand="0" w:noVBand="1"/>
      </w:tblPr>
      <w:tblGrid>
        <w:gridCol w:w="4400"/>
        <w:gridCol w:w="4860"/>
      </w:tblGrid>
      <w:tr w:rsidR="00CF0539" w:rsidRPr="00CF0539" w14:paraId="40A32ECB" w14:textId="77777777" w:rsidTr="00CF0539">
        <w:trPr>
          <w:trHeight w:val="720"/>
        </w:trPr>
        <w:tc>
          <w:tcPr>
            <w:tcW w:w="4400" w:type="dxa"/>
            <w:tcBorders>
              <w:top w:val="single" w:sz="8" w:space="0" w:color="1B1E3E"/>
              <w:left w:val="single" w:sz="8" w:space="0" w:color="1B1E3E"/>
              <w:bottom w:val="single" w:sz="8" w:space="0" w:color="1B1E3E"/>
              <w:right w:val="single" w:sz="8" w:space="0" w:color="1B1E3E"/>
            </w:tcBorders>
            <w:shd w:val="clear" w:color="auto" w:fill="90A2CF"/>
            <w:tcMar>
              <w:top w:w="15" w:type="dxa"/>
              <w:left w:w="115" w:type="dxa"/>
              <w:bottom w:w="0" w:type="dxa"/>
              <w:right w:w="115" w:type="dxa"/>
            </w:tcMar>
            <w:vAlign w:val="center"/>
            <w:hideMark/>
          </w:tcPr>
          <w:p w14:paraId="6B306CF1"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Name / Affiliation</w:t>
            </w:r>
          </w:p>
        </w:tc>
        <w:tc>
          <w:tcPr>
            <w:tcW w:w="4860" w:type="dxa"/>
            <w:tcBorders>
              <w:top w:val="single" w:sz="8" w:space="0" w:color="1B1E3E"/>
              <w:left w:val="single" w:sz="8" w:space="0" w:color="1B1E3E"/>
              <w:bottom w:val="single" w:sz="8" w:space="0" w:color="1B1E3E"/>
              <w:right w:val="single" w:sz="8" w:space="0" w:color="1B1E3E"/>
            </w:tcBorders>
            <w:shd w:val="clear" w:color="auto" w:fill="90A2CF"/>
            <w:tcMar>
              <w:top w:w="15" w:type="dxa"/>
              <w:left w:w="115" w:type="dxa"/>
              <w:bottom w:w="0" w:type="dxa"/>
              <w:right w:w="115" w:type="dxa"/>
            </w:tcMar>
            <w:vAlign w:val="center"/>
            <w:hideMark/>
          </w:tcPr>
          <w:p w14:paraId="3BD04992"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Task Force Seat</w:t>
            </w:r>
          </w:p>
        </w:tc>
      </w:tr>
      <w:tr w:rsidR="00CF0539" w:rsidRPr="00CF0539" w14:paraId="31AF2C42" w14:textId="77777777" w:rsidTr="00CF0539">
        <w:trPr>
          <w:trHeight w:val="1080"/>
        </w:trPr>
        <w:tc>
          <w:tcPr>
            <w:tcW w:w="440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4F4709E5"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Moses Dixon</w:t>
            </w:r>
          </w:p>
          <w:p w14:paraId="73538276"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Senior Connection</w:t>
            </w:r>
          </w:p>
        </w:tc>
        <w:tc>
          <w:tcPr>
            <w:tcW w:w="486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65C0D4C3"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Appointee of the Governor, representative with experience in health care administration and finance</w:t>
            </w:r>
          </w:p>
        </w:tc>
      </w:tr>
      <w:tr w:rsidR="00CF0539" w:rsidRPr="00CF0539" w14:paraId="14181F07" w14:textId="77777777" w:rsidTr="00CF0539">
        <w:trPr>
          <w:trHeight w:val="1080"/>
        </w:trPr>
        <w:tc>
          <w:tcPr>
            <w:tcW w:w="440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2841BDA4"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Pamela Edwards</w:t>
            </w:r>
          </w:p>
          <w:p w14:paraId="7D14F200"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Massachusetts Senior Action Council</w:t>
            </w:r>
          </w:p>
        </w:tc>
        <w:tc>
          <w:tcPr>
            <w:tcW w:w="486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2794D766"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Appointee of the Governor, representative of Massachusetts Senior Action Council</w:t>
            </w:r>
          </w:p>
        </w:tc>
      </w:tr>
      <w:tr w:rsidR="00CF0539" w:rsidRPr="00CF0539" w14:paraId="454E3D80" w14:textId="77777777" w:rsidTr="00CF0539">
        <w:trPr>
          <w:trHeight w:val="1080"/>
        </w:trPr>
        <w:tc>
          <w:tcPr>
            <w:tcW w:w="440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7C6B0124"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 xml:space="preserve">Patricia </w:t>
            </w:r>
            <w:proofErr w:type="spellStart"/>
            <w:r w:rsidRPr="00CF0539">
              <w:rPr>
                <w:rFonts w:asciiTheme="majorHAnsi" w:hAnsiTheme="majorHAnsi" w:cstheme="majorHAnsi"/>
                <w:b/>
                <w:bCs/>
              </w:rPr>
              <w:t>Jehlen</w:t>
            </w:r>
            <w:proofErr w:type="spellEnd"/>
          </w:p>
          <w:p w14:paraId="3017CBB9"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Massachusetts Senate, Joint Committee on Aging and Independence</w:t>
            </w:r>
          </w:p>
        </w:tc>
        <w:tc>
          <w:tcPr>
            <w:tcW w:w="486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1BEF459C"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Co-chair of the Joint Committee on Aging and Independence or their designee</w:t>
            </w:r>
          </w:p>
        </w:tc>
      </w:tr>
      <w:tr w:rsidR="00CF0539" w:rsidRPr="00CF0539" w14:paraId="580457A5" w14:textId="77777777" w:rsidTr="00CF0539">
        <w:trPr>
          <w:trHeight w:val="1080"/>
        </w:trPr>
        <w:tc>
          <w:tcPr>
            <w:tcW w:w="440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659A2A72"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Mathew Muratore</w:t>
            </w:r>
          </w:p>
          <w:p w14:paraId="665B342C"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Former Member of the House of Representatives</w:t>
            </w:r>
          </w:p>
        </w:tc>
        <w:tc>
          <w:tcPr>
            <w:tcW w:w="486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53ED773E"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Appointee of the Minority Leader of the House of Representatives</w:t>
            </w:r>
          </w:p>
        </w:tc>
      </w:tr>
      <w:tr w:rsidR="00CF0539" w:rsidRPr="00CF0539" w14:paraId="65ADED9D" w14:textId="77777777" w:rsidTr="00CF0539">
        <w:trPr>
          <w:trHeight w:val="1080"/>
        </w:trPr>
        <w:tc>
          <w:tcPr>
            <w:tcW w:w="440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39A331C7"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Megan Nicholls</w:t>
            </w:r>
          </w:p>
          <w:p w14:paraId="44B97B28"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Department of Transitional Assistance (DTA)</w:t>
            </w:r>
          </w:p>
        </w:tc>
        <w:tc>
          <w:tcPr>
            <w:tcW w:w="486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1AB67B89"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Designee of the DTA Commissioner</w:t>
            </w:r>
          </w:p>
        </w:tc>
      </w:tr>
      <w:tr w:rsidR="00CF0539" w:rsidRPr="00CF0539" w14:paraId="1635C0D0" w14:textId="77777777" w:rsidTr="00CF0539">
        <w:trPr>
          <w:trHeight w:val="1080"/>
        </w:trPr>
        <w:tc>
          <w:tcPr>
            <w:tcW w:w="440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5C819EBD"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Patrick O’Connor</w:t>
            </w:r>
          </w:p>
          <w:p w14:paraId="73B3986A"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Massachusetts Senate</w:t>
            </w:r>
          </w:p>
        </w:tc>
        <w:tc>
          <w:tcPr>
            <w:tcW w:w="486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4BEB1FF4"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Appointee of the Minority Leader of the Senate</w:t>
            </w:r>
          </w:p>
        </w:tc>
      </w:tr>
    </w:tbl>
    <w:p w14:paraId="32E8D905" w14:textId="092FBA08" w:rsidR="001E1A3E" w:rsidRDefault="001E1A3E">
      <w:pPr>
        <w:rPr>
          <w:rFonts w:asciiTheme="majorHAnsi" w:hAnsiTheme="majorHAnsi" w:cstheme="majorHAnsi"/>
        </w:rPr>
      </w:pPr>
    </w:p>
    <w:p w14:paraId="35A1A119" w14:textId="77777777" w:rsidR="00CF0539" w:rsidRPr="00F178E4" w:rsidRDefault="00CF0539">
      <w:pPr>
        <w:rPr>
          <w:rFonts w:asciiTheme="majorHAnsi" w:hAnsiTheme="majorHAnsi" w:cstheme="majorHAnsi"/>
        </w:rPr>
      </w:pPr>
    </w:p>
    <w:p w14:paraId="29DA72DA" w14:textId="77777777" w:rsidR="001E1A3E" w:rsidRPr="00F178E4" w:rsidRDefault="00000000">
      <w:pPr>
        <w:pStyle w:val="Heading1"/>
        <w:rPr>
          <w:rFonts w:cstheme="majorHAnsi"/>
        </w:rPr>
      </w:pPr>
      <w:r w:rsidRPr="00F178E4">
        <w:rPr>
          <w:rFonts w:cstheme="majorHAnsi"/>
        </w:rPr>
        <w:t>Slide 43</w:t>
      </w:r>
    </w:p>
    <w:p w14:paraId="3C74ED76" w14:textId="77777777" w:rsidR="001E1A3E" w:rsidRPr="00F178E4" w:rsidRDefault="00000000">
      <w:pPr>
        <w:rPr>
          <w:rFonts w:asciiTheme="majorHAnsi" w:hAnsiTheme="majorHAnsi" w:cstheme="majorHAnsi"/>
        </w:rPr>
      </w:pPr>
      <w:r w:rsidRPr="00F178E4">
        <w:rPr>
          <w:rFonts w:asciiTheme="majorHAnsi" w:hAnsiTheme="majorHAnsi" w:cstheme="majorHAnsi"/>
        </w:rPr>
        <w:t>Appendix B – List of Task Force Members (cont.)</w:t>
      </w:r>
    </w:p>
    <w:tbl>
      <w:tblPr>
        <w:tblW w:w="9260" w:type="dxa"/>
        <w:tblCellMar>
          <w:left w:w="0" w:type="dxa"/>
          <w:right w:w="0" w:type="dxa"/>
        </w:tblCellMar>
        <w:tblLook w:val="04A0" w:firstRow="1" w:lastRow="0" w:firstColumn="1" w:lastColumn="0" w:noHBand="0" w:noVBand="1"/>
      </w:tblPr>
      <w:tblGrid>
        <w:gridCol w:w="4490"/>
        <w:gridCol w:w="4770"/>
      </w:tblGrid>
      <w:tr w:rsidR="00CF0539" w:rsidRPr="00CF0539" w14:paraId="27F33EB4" w14:textId="77777777" w:rsidTr="00CF0539">
        <w:trPr>
          <w:trHeight w:val="720"/>
        </w:trPr>
        <w:tc>
          <w:tcPr>
            <w:tcW w:w="4490" w:type="dxa"/>
            <w:tcBorders>
              <w:top w:val="single" w:sz="8" w:space="0" w:color="1B1E3E"/>
              <w:left w:val="single" w:sz="8" w:space="0" w:color="1B1E3E"/>
              <w:bottom w:val="single" w:sz="8" w:space="0" w:color="1B1E3E"/>
              <w:right w:val="single" w:sz="8" w:space="0" w:color="1B1E3E"/>
            </w:tcBorders>
            <w:shd w:val="clear" w:color="auto" w:fill="90A2CF"/>
            <w:tcMar>
              <w:top w:w="15" w:type="dxa"/>
              <w:left w:w="115" w:type="dxa"/>
              <w:bottom w:w="0" w:type="dxa"/>
              <w:right w:w="115" w:type="dxa"/>
            </w:tcMar>
            <w:vAlign w:val="center"/>
            <w:hideMark/>
          </w:tcPr>
          <w:p w14:paraId="0E8864FA"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Name / Affiliation</w:t>
            </w:r>
          </w:p>
        </w:tc>
        <w:tc>
          <w:tcPr>
            <w:tcW w:w="4770" w:type="dxa"/>
            <w:tcBorders>
              <w:top w:val="single" w:sz="8" w:space="0" w:color="1B1E3E"/>
              <w:left w:val="single" w:sz="8" w:space="0" w:color="1B1E3E"/>
              <w:bottom w:val="single" w:sz="8" w:space="0" w:color="1B1E3E"/>
              <w:right w:val="single" w:sz="8" w:space="0" w:color="1B1E3E"/>
            </w:tcBorders>
            <w:shd w:val="clear" w:color="auto" w:fill="90A2CF"/>
            <w:tcMar>
              <w:top w:w="15" w:type="dxa"/>
              <w:left w:w="115" w:type="dxa"/>
              <w:bottom w:w="0" w:type="dxa"/>
              <w:right w:w="115" w:type="dxa"/>
            </w:tcMar>
            <w:vAlign w:val="center"/>
            <w:hideMark/>
          </w:tcPr>
          <w:p w14:paraId="21968EDB"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Task Force Seat</w:t>
            </w:r>
          </w:p>
        </w:tc>
      </w:tr>
      <w:tr w:rsidR="00CF0539" w:rsidRPr="00CF0539" w14:paraId="1E5E73B1" w14:textId="77777777" w:rsidTr="00CF0539">
        <w:trPr>
          <w:trHeight w:val="1080"/>
        </w:trPr>
        <w:tc>
          <w:tcPr>
            <w:tcW w:w="449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39B93C62"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Ron Pawelski</w:t>
            </w:r>
          </w:p>
          <w:p w14:paraId="124E4FE6"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Massachusetts Association of Residential Care Homes (MARCH)</w:t>
            </w:r>
          </w:p>
        </w:tc>
        <w:tc>
          <w:tcPr>
            <w:tcW w:w="477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615BEB4B"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Appointee of the Governor, representative from MARCH</w:t>
            </w:r>
          </w:p>
        </w:tc>
      </w:tr>
      <w:tr w:rsidR="00CF0539" w:rsidRPr="00CF0539" w14:paraId="769AA4D9" w14:textId="77777777" w:rsidTr="00CF0539">
        <w:trPr>
          <w:trHeight w:val="1080"/>
        </w:trPr>
        <w:tc>
          <w:tcPr>
            <w:tcW w:w="449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2888FFCE"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Thomas Stanley</w:t>
            </w:r>
          </w:p>
          <w:p w14:paraId="2ACA45A6"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Massachusetts House of Representatives, Joint Committee on Aging and Independence</w:t>
            </w:r>
          </w:p>
        </w:tc>
        <w:tc>
          <w:tcPr>
            <w:tcW w:w="477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2CDEB38B"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Co-chair of the Joint Committee on Aging and Independence or their designee</w:t>
            </w:r>
          </w:p>
        </w:tc>
      </w:tr>
      <w:tr w:rsidR="00CF0539" w:rsidRPr="00CF0539" w14:paraId="43ABB283" w14:textId="77777777" w:rsidTr="00CF0539">
        <w:trPr>
          <w:trHeight w:val="1080"/>
        </w:trPr>
        <w:tc>
          <w:tcPr>
            <w:tcW w:w="449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25B3125E"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 xml:space="preserve">Pavel </w:t>
            </w:r>
            <w:proofErr w:type="spellStart"/>
            <w:r w:rsidRPr="00CF0539">
              <w:rPr>
                <w:rFonts w:asciiTheme="majorHAnsi" w:hAnsiTheme="majorHAnsi" w:cstheme="majorHAnsi"/>
                <w:b/>
                <w:bCs/>
              </w:rPr>
              <w:t>Terpelets</w:t>
            </w:r>
            <w:proofErr w:type="spellEnd"/>
          </w:p>
          <w:p w14:paraId="61D46B99"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Office of Long-Term Services and Supports (OLTSS), MassHealth</w:t>
            </w:r>
          </w:p>
        </w:tc>
        <w:tc>
          <w:tcPr>
            <w:tcW w:w="4770" w:type="dxa"/>
            <w:tcBorders>
              <w:top w:val="single" w:sz="8" w:space="0" w:color="1B1E3E"/>
              <w:left w:val="single" w:sz="8" w:space="0" w:color="1B1E3E"/>
              <w:bottom w:val="single" w:sz="8" w:space="0" w:color="1B1E3E"/>
              <w:right w:val="single" w:sz="8" w:space="0" w:color="1B1E3E"/>
            </w:tcBorders>
            <w:shd w:val="clear" w:color="auto" w:fill="DAE0EF"/>
            <w:tcMar>
              <w:top w:w="15" w:type="dxa"/>
              <w:left w:w="108" w:type="dxa"/>
              <w:bottom w:w="0" w:type="dxa"/>
              <w:right w:w="108" w:type="dxa"/>
            </w:tcMar>
            <w:vAlign w:val="center"/>
            <w:hideMark/>
          </w:tcPr>
          <w:p w14:paraId="2D30C96A"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Designee of the Assistant Secretary for MassHealth</w:t>
            </w:r>
          </w:p>
        </w:tc>
      </w:tr>
    </w:tbl>
    <w:p w14:paraId="6CC6A0A8" w14:textId="620B6298" w:rsidR="001E1A3E" w:rsidRPr="00F178E4" w:rsidRDefault="001E1A3E">
      <w:pPr>
        <w:rPr>
          <w:rFonts w:asciiTheme="majorHAnsi" w:hAnsiTheme="majorHAnsi" w:cstheme="majorHAnsi"/>
        </w:rPr>
      </w:pPr>
    </w:p>
    <w:p w14:paraId="1B0E303D" w14:textId="77777777" w:rsidR="001E1A3E" w:rsidRPr="00F178E4" w:rsidRDefault="00000000">
      <w:pPr>
        <w:pStyle w:val="Heading1"/>
        <w:rPr>
          <w:rFonts w:cstheme="majorHAnsi"/>
        </w:rPr>
      </w:pPr>
      <w:r w:rsidRPr="00F178E4">
        <w:rPr>
          <w:rFonts w:cstheme="majorHAnsi"/>
        </w:rPr>
        <w:t>Slide 44</w:t>
      </w:r>
    </w:p>
    <w:p w14:paraId="0A5D5A85" w14:textId="77777777" w:rsidR="001E1A3E" w:rsidRDefault="00000000">
      <w:pPr>
        <w:rPr>
          <w:rFonts w:asciiTheme="majorHAnsi" w:hAnsiTheme="majorHAnsi" w:cstheme="majorHAnsi"/>
        </w:rPr>
      </w:pPr>
      <w:r w:rsidRPr="00F178E4">
        <w:rPr>
          <w:rFonts w:asciiTheme="majorHAnsi" w:hAnsiTheme="majorHAnsi" w:cstheme="majorHAnsi"/>
        </w:rPr>
        <w:t>Appendix C – Summary of Meetings and Input Provided to the Task Force</w:t>
      </w:r>
    </w:p>
    <w:p w14:paraId="15960DE2" w14:textId="389F5B96" w:rsidR="00D64948" w:rsidRPr="00F178E4" w:rsidRDefault="00D64948">
      <w:pPr>
        <w:rPr>
          <w:rFonts w:asciiTheme="majorHAnsi" w:hAnsiTheme="majorHAnsi" w:cstheme="majorHAnsi"/>
        </w:rPr>
      </w:pPr>
      <w:r w:rsidRPr="00CF0539">
        <w:rPr>
          <w:rFonts w:asciiTheme="majorHAnsi" w:hAnsiTheme="majorHAnsi" w:cstheme="majorHAnsi"/>
          <w:b/>
          <w:bCs/>
        </w:rPr>
        <w:t>January 10, 2025</w:t>
      </w:r>
    </w:p>
    <w:tbl>
      <w:tblPr>
        <w:tblW w:w="9800" w:type="dxa"/>
        <w:tblCellMar>
          <w:left w:w="0" w:type="dxa"/>
          <w:right w:w="0" w:type="dxa"/>
        </w:tblCellMar>
        <w:tblLook w:val="04A0" w:firstRow="1" w:lastRow="0" w:firstColumn="1" w:lastColumn="0" w:noHBand="0" w:noVBand="1"/>
      </w:tblPr>
      <w:tblGrid>
        <w:gridCol w:w="3590"/>
        <w:gridCol w:w="2700"/>
        <w:gridCol w:w="3510"/>
      </w:tblGrid>
      <w:tr w:rsidR="00CF0539" w:rsidRPr="00CF0539" w14:paraId="0C4A9843" w14:textId="77777777" w:rsidTr="00CF0539">
        <w:trPr>
          <w:trHeight w:val="544"/>
        </w:trPr>
        <w:tc>
          <w:tcPr>
            <w:tcW w:w="3590" w:type="dxa"/>
            <w:tcBorders>
              <w:top w:val="single" w:sz="8" w:space="0" w:color="000000"/>
              <w:left w:val="single" w:sz="8" w:space="0" w:color="000000"/>
              <w:bottom w:val="single" w:sz="8" w:space="0" w:color="000000"/>
              <w:right w:val="single" w:sz="8" w:space="0" w:color="000000"/>
            </w:tcBorders>
            <w:shd w:val="clear" w:color="auto" w:fill="90A2CF"/>
            <w:tcMar>
              <w:top w:w="14" w:type="dxa"/>
              <w:left w:w="38" w:type="dxa"/>
              <w:bottom w:w="14" w:type="dxa"/>
              <w:right w:w="38" w:type="dxa"/>
            </w:tcMar>
            <w:vAlign w:val="center"/>
            <w:hideMark/>
          </w:tcPr>
          <w:p w14:paraId="3509F36A"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Presenters</w:t>
            </w:r>
          </w:p>
        </w:tc>
        <w:tc>
          <w:tcPr>
            <w:tcW w:w="2700" w:type="dxa"/>
            <w:tcBorders>
              <w:top w:val="single" w:sz="8" w:space="0" w:color="000000"/>
              <w:left w:val="single" w:sz="8" w:space="0" w:color="000000"/>
              <w:bottom w:val="single" w:sz="8" w:space="0" w:color="000000"/>
              <w:right w:val="single" w:sz="8" w:space="0" w:color="000000"/>
            </w:tcBorders>
            <w:shd w:val="clear" w:color="auto" w:fill="90A2CF"/>
            <w:tcMar>
              <w:top w:w="14" w:type="dxa"/>
              <w:left w:w="38" w:type="dxa"/>
              <w:bottom w:w="14" w:type="dxa"/>
              <w:right w:w="38" w:type="dxa"/>
            </w:tcMar>
            <w:vAlign w:val="center"/>
            <w:hideMark/>
          </w:tcPr>
          <w:p w14:paraId="59CC0A8A"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Topics Discussed</w:t>
            </w:r>
          </w:p>
        </w:tc>
        <w:tc>
          <w:tcPr>
            <w:tcW w:w="3510" w:type="dxa"/>
            <w:tcBorders>
              <w:top w:val="single" w:sz="8" w:space="0" w:color="000000"/>
              <w:left w:val="single" w:sz="8" w:space="0" w:color="000000"/>
              <w:bottom w:val="single" w:sz="8" w:space="0" w:color="000000"/>
              <w:right w:val="single" w:sz="8" w:space="0" w:color="000000"/>
            </w:tcBorders>
            <w:shd w:val="clear" w:color="auto" w:fill="90A2CF"/>
            <w:tcMar>
              <w:top w:w="14" w:type="dxa"/>
              <w:left w:w="38" w:type="dxa"/>
              <w:bottom w:w="14" w:type="dxa"/>
              <w:right w:w="38" w:type="dxa"/>
            </w:tcMar>
            <w:vAlign w:val="center"/>
            <w:hideMark/>
          </w:tcPr>
          <w:p w14:paraId="03BD3298"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Resources and Supporting Documents</w:t>
            </w:r>
          </w:p>
        </w:tc>
      </w:tr>
      <w:tr w:rsidR="00CF0539" w:rsidRPr="00CF0539" w14:paraId="34D934AB" w14:textId="77777777" w:rsidTr="00CF0539">
        <w:trPr>
          <w:trHeight w:val="1723"/>
        </w:trPr>
        <w:tc>
          <w:tcPr>
            <w:tcW w:w="359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14" w:type="dxa"/>
              <w:right w:w="38" w:type="dxa"/>
            </w:tcMar>
            <w:vAlign w:val="center"/>
            <w:hideMark/>
          </w:tcPr>
          <w:p w14:paraId="5787816B"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 xml:space="preserve">Kiame </w:t>
            </w:r>
            <w:proofErr w:type="spellStart"/>
            <w:r w:rsidRPr="00CF0539">
              <w:rPr>
                <w:rFonts w:asciiTheme="majorHAnsi" w:hAnsiTheme="majorHAnsi" w:cstheme="majorHAnsi"/>
                <w:b/>
                <w:bCs/>
              </w:rPr>
              <w:t>Mahaniah</w:t>
            </w:r>
            <w:proofErr w:type="spellEnd"/>
            <w:r w:rsidRPr="00CF0539">
              <w:rPr>
                <w:rFonts w:asciiTheme="majorHAnsi" w:hAnsiTheme="majorHAnsi" w:cstheme="majorHAnsi"/>
                <w:b/>
                <w:bCs/>
              </w:rPr>
              <w:t xml:space="preserve"> </w:t>
            </w:r>
            <w:r w:rsidRPr="00CF0539">
              <w:rPr>
                <w:rFonts w:asciiTheme="majorHAnsi" w:hAnsiTheme="majorHAnsi" w:cstheme="majorHAnsi"/>
                <w:i/>
                <w:iCs/>
              </w:rPr>
              <w:t>(chair)</w:t>
            </w:r>
          </w:p>
          <w:p w14:paraId="047CBAEB"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Undersecretary for Health</w:t>
            </w:r>
          </w:p>
          <w:p w14:paraId="401B8311"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Designee of the Executive Office of Health and Human Services Secretary</w:t>
            </w:r>
          </w:p>
        </w:tc>
        <w:tc>
          <w:tcPr>
            <w:tcW w:w="270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7A7FF7C4"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Discussion of the Task Force’s charge and proposed meeting schedule</w:t>
            </w:r>
          </w:p>
        </w:tc>
        <w:tc>
          <w:tcPr>
            <w:tcW w:w="351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1A511D2E" w14:textId="77777777" w:rsidR="00CF0539" w:rsidRPr="00CF0539" w:rsidRDefault="00CF0539" w:rsidP="00CF0539">
            <w:pPr>
              <w:rPr>
                <w:rFonts w:asciiTheme="majorHAnsi" w:hAnsiTheme="majorHAnsi" w:cstheme="majorHAnsi"/>
              </w:rPr>
            </w:pPr>
            <w:hyperlink r:id="rId27" w:history="1">
              <w:r w:rsidRPr="00CF0539">
                <w:rPr>
                  <w:rStyle w:val="Hyperlink"/>
                  <w:rFonts w:asciiTheme="majorHAnsi" w:hAnsiTheme="majorHAnsi" w:cstheme="majorHAnsi"/>
                  <w:b/>
                  <w:bCs/>
                </w:rPr>
                <w:t>Task Force Presentation</w:t>
              </w:r>
            </w:hyperlink>
          </w:p>
        </w:tc>
      </w:tr>
      <w:tr w:rsidR="00CF0539" w:rsidRPr="00CF0539" w14:paraId="3F044DF7" w14:textId="77777777" w:rsidTr="00CF0539">
        <w:trPr>
          <w:trHeight w:val="1269"/>
        </w:trPr>
        <w:tc>
          <w:tcPr>
            <w:tcW w:w="359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14" w:type="dxa"/>
              <w:right w:w="38" w:type="dxa"/>
            </w:tcMar>
            <w:vAlign w:val="center"/>
            <w:hideMark/>
          </w:tcPr>
          <w:p w14:paraId="0BC65E7D"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Lauren Cleary</w:t>
            </w:r>
          </w:p>
          <w:p w14:paraId="54239722"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Associate General Counsel</w:t>
            </w:r>
          </w:p>
          <w:p w14:paraId="7469D641"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lastRenderedPageBreak/>
              <w:t>Executive Office of Health and Human Services</w:t>
            </w:r>
          </w:p>
        </w:tc>
        <w:tc>
          <w:tcPr>
            <w:tcW w:w="270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1B4D72D4"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lastRenderedPageBreak/>
              <w:t>Overview of the Open Meeting Law (OML)</w:t>
            </w:r>
          </w:p>
        </w:tc>
        <w:tc>
          <w:tcPr>
            <w:tcW w:w="351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053AE232" w14:textId="77777777" w:rsidR="00CF0539" w:rsidRPr="00CF0539" w:rsidRDefault="00CF0539" w:rsidP="00CF0539">
            <w:pPr>
              <w:rPr>
                <w:rFonts w:asciiTheme="majorHAnsi" w:hAnsiTheme="majorHAnsi" w:cstheme="majorHAnsi"/>
              </w:rPr>
            </w:pPr>
            <w:hyperlink r:id="rId28" w:history="1">
              <w:r w:rsidRPr="00CF0539">
                <w:rPr>
                  <w:rStyle w:val="Hyperlink"/>
                  <w:rFonts w:asciiTheme="majorHAnsi" w:hAnsiTheme="majorHAnsi" w:cstheme="majorHAnsi"/>
                  <w:b/>
                  <w:bCs/>
                </w:rPr>
                <w:t>OML Guide</w:t>
              </w:r>
            </w:hyperlink>
          </w:p>
        </w:tc>
      </w:tr>
      <w:tr w:rsidR="00CF0539" w:rsidRPr="00CF0539" w14:paraId="2DBF65CE" w14:textId="77777777" w:rsidTr="00CF0539">
        <w:trPr>
          <w:trHeight w:val="1360"/>
        </w:trPr>
        <w:tc>
          <w:tcPr>
            <w:tcW w:w="359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14" w:type="dxa"/>
              <w:right w:w="38" w:type="dxa"/>
            </w:tcMar>
            <w:vAlign w:val="center"/>
            <w:hideMark/>
          </w:tcPr>
          <w:p w14:paraId="232FC03E"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David Giannotti</w:t>
            </w:r>
          </w:p>
          <w:p w14:paraId="79EED73F"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Public Education and Communications Division Chief, State Ethics Commission</w:t>
            </w:r>
          </w:p>
        </w:tc>
        <w:tc>
          <w:tcPr>
            <w:tcW w:w="270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5AC48C16"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Overview of members’ Ethics and Conflict of Interest requirements</w:t>
            </w:r>
          </w:p>
        </w:tc>
        <w:tc>
          <w:tcPr>
            <w:tcW w:w="351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413F201A" w14:textId="77777777" w:rsidR="00CF0539" w:rsidRPr="00CF0539" w:rsidRDefault="00CF0539" w:rsidP="00CF0539">
            <w:pPr>
              <w:rPr>
                <w:rFonts w:asciiTheme="majorHAnsi" w:hAnsiTheme="majorHAnsi" w:cstheme="majorHAnsi"/>
              </w:rPr>
            </w:pPr>
            <w:hyperlink r:id="rId29" w:history="1">
              <w:r w:rsidRPr="00CF0539">
                <w:rPr>
                  <w:rStyle w:val="Hyperlink"/>
                  <w:rFonts w:asciiTheme="majorHAnsi" w:hAnsiTheme="majorHAnsi" w:cstheme="majorHAnsi"/>
                  <w:b/>
                  <w:bCs/>
                </w:rPr>
                <w:t>Ethics and Conflict of Interest Overview</w:t>
              </w:r>
            </w:hyperlink>
          </w:p>
        </w:tc>
      </w:tr>
      <w:tr w:rsidR="00CF0539" w:rsidRPr="00CF0539" w14:paraId="24B8B0AF" w14:textId="77777777" w:rsidTr="00CF0539">
        <w:trPr>
          <w:trHeight w:val="2280"/>
        </w:trPr>
        <w:tc>
          <w:tcPr>
            <w:tcW w:w="359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14" w:type="dxa"/>
              <w:right w:w="38" w:type="dxa"/>
            </w:tcMar>
            <w:vAlign w:val="center"/>
            <w:hideMark/>
          </w:tcPr>
          <w:p w14:paraId="22B159F1"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Judy Bernice</w:t>
            </w:r>
          </w:p>
          <w:p w14:paraId="08D43EAE"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Licensure Unit Manager</w:t>
            </w:r>
          </w:p>
          <w:p w14:paraId="517561AA"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Bureau of Health Care Safety and Quality, DPH</w:t>
            </w:r>
          </w:p>
          <w:p w14:paraId="1F30A967" w14:textId="77777777" w:rsidR="00CF0539" w:rsidRPr="00CF0539" w:rsidRDefault="00CF0539" w:rsidP="00CF0539">
            <w:pPr>
              <w:rPr>
                <w:rFonts w:asciiTheme="majorHAnsi" w:hAnsiTheme="majorHAnsi" w:cstheme="majorHAnsi"/>
              </w:rPr>
            </w:pPr>
            <w:r w:rsidRPr="00CF0539">
              <w:rPr>
                <w:rFonts w:asciiTheme="majorHAnsi" w:hAnsiTheme="majorHAnsi" w:cstheme="majorHAnsi"/>
                <w:b/>
                <w:bCs/>
              </w:rPr>
              <w:t>Kate Saunders</w:t>
            </w:r>
          </w:p>
          <w:p w14:paraId="28DF8473"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Director, Division of Quality Improvement</w:t>
            </w:r>
          </w:p>
          <w:p w14:paraId="21E8F3D0"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Bureau of Health Care Safety and Quality, DPH</w:t>
            </w:r>
          </w:p>
        </w:tc>
        <w:tc>
          <w:tcPr>
            <w:tcW w:w="270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00DE49B5" w14:textId="77777777" w:rsidR="00CF0539" w:rsidRPr="00CF0539" w:rsidRDefault="00CF0539" w:rsidP="00CF0539">
            <w:pPr>
              <w:rPr>
                <w:rFonts w:asciiTheme="majorHAnsi" w:hAnsiTheme="majorHAnsi" w:cstheme="majorHAnsi"/>
              </w:rPr>
            </w:pPr>
            <w:r w:rsidRPr="00CF0539">
              <w:rPr>
                <w:rFonts w:asciiTheme="majorHAnsi" w:hAnsiTheme="majorHAnsi" w:cstheme="majorHAnsi"/>
              </w:rPr>
              <w:t>Overview of rest home licensing, reporting structures, and existing data collected for DPH-licensed rest homes in the Commonwealth</w:t>
            </w:r>
          </w:p>
        </w:tc>
        <w:tc>
          <w:tcPr>
            <w:tcW w:w="351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6ABE61BE" w14:textId="77777777" w:rsidR="00CF0539" w:rsidRPr="00CF0539" w:rsidRDefault="00CF0539" w:rsidP="00CF0539">
            <w:pPr>
              <w:rPr>
                <w:rFonts w:asciiTheme="majorHAnsi" w:hAnsiTheme="majorHAnsi" w:cstheme="majorHAnsi"/>
              </w:rPr>
            </w:pPr>
            <w:hyperlink r:id="rId30" w:history="1">
              <w:r w:rsidRPr="00CF0539">
                <w:rPr>
                  <w:rStyle w:val="Hyperlink"/>
                  <w:rFonts w:asciiTheme="majorHAnsi" w:hAnsiTheme="majorHAnsi" w:cstheme="majorHAnsi"/>
                  <w:b/>
                  <w:bCs/>
                </w:rPr>
                <w:t>Bureau of Health Care Safety &amp; Quality Data Summary</w:t>
              </w:r>
            </w:hyperlink>
          </w:p>
        </w:tc>
      </w:tr>
    </w:tbl>
    <w:p w14:paraId="3A66694C" w14:textId="3AA64DA5" w:rsidR="001E1A3E" w:rsidRPr="00F178E4" w:rsidRDefault="001E1A3E">
      <w:pPr>
        <w:rPr>
          <w:rFonts w:asciiTheme="majorHAnsi" w:hAnsiTheme="majorHAnsi" w:cstheme="majorHAnsi"/>
        </w:rPr>
      </w:pPr>
    </w:p>
    <w:p w14:paraId="05E25F4E" w14:textId="77777777" w:rsidR="001E1A3E" w:rsidRPr="00F178E4" w:rsidRDefault="00000000">
      <w:pPr>
        <w:pStyle w:val="Heading1"/>
        <w:rPr>
          <w:rFonts w:cstheme="majorHAnsi"/>
        </w:rPr>
      </w:pPr>
      <w:r w:rsidRPr="00F178E4">
        <w:rPr>
          <w:rFonts w:cstheme="majorHAnsi"/>
        </w:rPr>
        <w:t>Slide 45</w:t>
      </w:r>
    </w:p>
    <w:p w14:paraId="586EECE1" w14:textId="77777777" w:rsidR="001E1A3E" w:rsidRPr="00F178E4" w:rsidRDefault="00000000">
      <w:pPr>
        <w:rPr>
          <w:rFonts w:asciiTheme="majorHAnsi" w:hAnsiTheme="majorHAnsi" w:cstheme="majorHAnsi"/>
        </w:rPr>
      </w:pPr>
      <w:r w:rsidRPr="00F178E4">
        <w:rPr>
          <w:rFonts w:asciiTheme="majorHAnsi" w:hAnsiTheme="majorHAnsi" w:cstheme="majorHAnsi"/>
        </w:rPr>
        <w:t>Appendix C – Summary of Meetings and Input Provided to the Task Force (cont.)</w:t>
      </w:r>
    </w:p>
    <w:tbl>
      <w:tblPr>
        <w:tblW w:w="8900" w:type="dxa"/>
        <w:tblCellMar>
          <w:left w:w="0" w:type="dxa"/>
          <w:right w:w="0" w:type="dxa"/>
        </w:tblCellMar>
        <w:tblLook w:val="04A0" w:firstRow="1" w:lastRow="0" w:firstColumn="1" w:lastColumn="0" w:noHBand="0" w:noVBand="1"/>
      </w:tblPr>
      <w:tblGrid>
        <w:gridCol w:w="3500"/>
        <w:gridCol w:w="2970"/>
        <w:gridCol w:w="2430"/>
      </w:tblGrid>
      <w:tr w:rsidR="008E3EB0" w:rsidRPr="008E3EB0" w14:paraId="5CBB75B3" w14:textId="77777777" w:rsidTr="008E3EB0">
        <w:trPr>
          <w:trHeight w:val="521"/>
        </w:trPr>
        <w:tc>
          <w:tcPr>
            <w:tcW w:w="3500" w:type="dxa"/>
            <w:tcBorders>
              <w:top w:val="single" w:sz="8" w:space="0" w:color="000000"/>
              <w:left w:val="single" w:sz="8" w:space="0" w:color="000000"/>
              <w:bottom w:val="single" w:sz="8" w:space="0" w:color="000000"/>
              <w:right w:val="single" w:sz="8" w:space="0" w:color="000000"/>
            </w:tcBorders>
            <w:shd w:val="clear" w:color="auto" w:fill="90A2CF"/>
            <w:tcMar>
              <w:top w:w="14" w:type="dxa"/>
              <w:left w:w="38" w:type="dxa"/>
              <w:bottom w:w="14" w:type="dxa"/>
              <w:right w:w="38" w:type="dxa"/>
            </w:tcMar>
            <w:vAlign w:val="center"/>
            <w:hideMark/>
          </w:tcPr>
          <w:p w14:paraId="5BECD973" w14:textId="77777777" w:rsidR="008E3EB0" w:rsidRPr="008E3EB0" w:rsidRDefault="008E3EB0" w:rsidP="008E3EB0">
            <w:pPr>
              <w:rPr>
                <w:rFonts w:asciiTheme="majorHAnsi" w:hAnsiTheme="majorHAnsi" w:cstheme="majorHAnsi"/>
              </w:rPr>
            </w:pPr>
            <w:r w:rsidRPr="008E3EB0">
              <w:rPr>
                <w:rFonts w:asciiTheme="majorHAnsi" w:hAnsiTheme="majorHAnsi" w:cstheme="majorHAnsi"/>
                <w:b/>
                <w:bCs/>
              </w:rPr>
              <w:t>Presenters</w:t>
            </w:r>
          </w:p>
        </w:tc>
        <w:tc>
          <w:tcPr>
            <w:tcW w:w="2970" w:type="dxa"/>
            <w:tcBorders>
              <w:top w:val="single" w:sz="8" w:space="0" w:color="000000"/>
              <w:left w:val="single" w:sz="8" w:space="0" w:color="000000"/>
              <w:bottom w:val="single" w:sz="8" w:space="0" w:color="000000"/>
              <w:right w:val="single" w:sz="8" w:space="0" w:color="000000"/>
            </w:tcBorders>
            <w:shd w:val="clear" w:color="auto" w:fill="90A2CF"/>
            <w:tcMar>
              <w:top w:w="14" w:type="dxa"/>
              <w:left w:w="38" w:type="dxa"/>
              <w:bottom w:w="14" w:type="dxa"/>
              <w:right w:w="38" w:type="dxa"/>
            </w:tcMar>
            <w:vAlign w:val="center"/>
            <w:hideMark/>
          </w:tcPr>
          <w:p w14:paraId="285EF3AF" w14:textId="77777777" w:rsidR="008E3EB0" w:rsidRPr="008E3EB0" w:rsidRDefault="008E3EB0" w:rsidP="008E3EB0">
            <w:pPr>
              <w:rPr>
                <w:rFonts w:asciiTheme="majorHAnsi" w:hAnsiTheme="majorHAnsi" w:cstheme="majorHAnsi"/>
              </w:rPr>
            </w:pPr>
            <w:r w:rsidRPr="008E3EB0">
              <w:rPr>
                <w:rFonts w:asciiTheme="majorHAnsi" w:hAnsiTheme="majorHAnsi" w:cstheme="majorHAnsi"/>
                <w:b/>
                <w:bCs/>
              </w:rPr>
              <w:t>Topics Discussed</w:t>
            </w:r>
          </w:p>
        </w:tc>
        <w:tc>
          <w:tcPr>
            <w:tcW w:w="2430" w:type="dxa"/>
            <w:tcBorders>
              <w:top w:val="single" w:sz="8" w:space="0" w:color="000000"/>
              <w:left w:val="single" w:sz="8" w:space="0" w:color="000000"/>
              <w:bottom w:val="single" w:sz="8" w:space="0" w:color="000000"/>
              <w:right w:val="single" w:sz="8" w:space="0" w:color="000000"/>
            </w:tcBorders>
            <w:shd w:val="clear" w:color="auto" w:fill="90A2CF"/>
            <w:tcMar>
              <w:top w:w="14" w:type="dxa"/>
              <w:left w:w="38" w:type="dxa"/>
              <w:bottom w:w="14" w:type="dxa"/>
              <w:right w:w="38" w:type="dxa"/>
            </w:tcMar>
            <w:vAlign w:val="center"/>
            <w:hideMark/>
          </w:tcPr>
          <w:p w14:paraId="5DB7516C" w14:textId="77777777" w:rsidR="008E3EB0" w:rsidRPr="008E3EB0" w:rsidRDefault="008E3EB0" w:rsidP="008E3EB0">
            <w:pPr>
              <w:rPr>
                <w:rFonts w:asciiTheme="majorHAnsi" w:hAnsiTheme="majorHAnsi" w:cstheme="majorHAnsi"/>
              </w:rPr>
            </w:pPr>
            <w:r w:rsidRPr="008E3EB0">
              <w:rPr>
                <w:rFonts w:asciiTheme="majorHAnsi" w:hAnsiTheme="majorHAnsi" w:cstheme="majorHAnsi"/>
                <w:b/>
                <w:bCs/>
              </w:rPr>
              <w:t>Resources and Supporting Documents</w:t>
            </w:r>
          </w:p>
        </w:tc>
      </w:tr>
      <w:tr w:rsidR="008E3EB0" w:rsidRPr="008E3EB0" w14:paraId="6BF25959" w14:textId="77777777" w:rsidTr="008E3EB0">
        <w:trPr>
          <w:trHeight w:val="1649"/>
        </w:trPr>
        <w:tc>
          <w:tcPr>
            <w:tcW w:w="350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14" w:type="dxa"/>
              <w:right w:w="38" w:type="dxa"/>
            </w:tcMar>
            <w:vAlign w:val="center"/>
            <w:hideMark/>
          </w:tcPr>
          <w:p w14:paraId="3F40D0F5" w14:textId="77777777" w:rsidR="008E3EB0" w:rsidRPr="008E3EB0" w:rsidRDefault="008E3EB0" w:rsidP="008E3EB0">
            <w:pPr>
              <w:rPr>
                <w:rFonts w:asciiTheme="majorHAnsi" w:hAnsiTheme="majorHAnsi" w:cstheme="majorHAnsi"/>
              </w:rPr>
            </w:pPr>
            <w:r w:rsidRPr="008E3EB0">
              <w:rPr>
                <w:rFonts w:asciiTheme="majorHAnsi" w:hAnsiTheme="majorHAnsi" w:cstheme="majorHAnsi"/>
                <w:b/>
                <w:bCs/>
              </w:rPr>
              <w:t>Ron Pawelski</w:t>
            </w:r>
          </w:p>
          <w:p w14:paraId="349D245E" w14:textId="77777777" w:rsidR="008E3EB0" w:rsidRPr="008E3EB0" w:rsidRDefault="008E3EB0" w:rsidP="008E3EB0">
            <w:pPr>
              <w:rPr>
                <w:rFonts w:asciiTheme="majorHAnsi" w:hAnsiTheme="majorHAnsi" w:cstheme="majorHAnsi"/>
              </w:rPr>
            </w:pPr>
            <w:r w:rsidRPr="008E3EB0">
              <w:rPr>
                <w:rFonts w:asciiTheme="majorHAnsi" w:hAnsiTheme="majorHAnsi" w:cstheme="majorHAnsi"/>
              </w:rPr>
              <w:t>President, Massachusetts Association of Residential Care Homes (MARCH)</w:t>
            </w:r>
          </w:p>
        </w:tc>
        <w:tc>
          <w:tcPr>
            <w:tcW w:w="297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0B88EA11" w14:textId="77777777" w:rsidR="008E3EB0" w:rsidRPr="008E3EB0" w:rsidRDefault="008E3EB0" w:rsidP="008E3EB0">
            <w:pPr>
              <w:rPr>
                <w:rFonts w:asciiTheme="majorHAnsi" w:hAnsiTheme="majorHAnsi" w:cstheme="majorHAnsi"/>
              </w:rPr>
            </w:pPr>
            <w:r w:rsidRPr="008E3EB0">
              <w:rPr>
                <w:rFonts w:asciiTheme="majorHAnsi" w:hAnsiTheme="majorHAnsi" w:cstheme="majorHAnsi"/>
              </w:rPr>
              <w:t>Expectations for the Task Force’s work</w:t>
            </w:r>
          </w:p>
        </w:tc>
        <w:tc>
          <w:tcPr>
            <w:tcW w:w="243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1E883F55" w14:textId="77777777" w:rsidR="008E3EB0" w:rsidRPr="008E3EB0" w:rsidRDefault="008E3EB0" w:rsidP="008E3EB0">
            <w:pPr>
              <w:rPr>
                <w:rFonts w:asciiTheme="majorHAnsi" w:hAnsiTheme="majorHAnsi" w:cstheme="majorHAnsi"/>
              </w:rPr>
            </w:pPr>
            <w:hyperlink r:id="rId31" w:history="1">
              <w:r w:rsidRPr="008E3EB0">
                <w:rPr>
                  <w:rStyle w:val="Hyperlink"/>
                  <w:rFonts w:asciiTheme="majorHAnsi" w:hAnsiTheme="majorHAnsi" w:cstheme="majorHAnsi"/>
                  <w:b/>
                  <w:bCs/>
                </w:rPr>
                <w:t>MARCH Statement</w:t>
              </w:r>
            </w:hyperlink>
          </w:p>
        </w:tc>
      </w:tr>
    </w:tbl>
    <w:p w14:paraId="3BDF2660" w14:textId="77777777" w:rsidR="00D64948" w:rsidRDefault="00D64948">
      <w:pPr>
        <w:rPr>
          <w:rFonts w:asciiTheme="majorHAnsi" w:hAnsiTheme="majorHAnsi" w:cstheme="majorHAnsi"/>
          <w:b/>
          <w:bCs/>
        </w:rPr>
      </w:pPr>
    </w:p>
    <w:p w14:paraId="1BA4EFBB" w14:textId="77777777" w:rsidR="00D64948" w:rsidRDefault="00D64948">
      <w:pPr>
        <w:rPr>
          <w:rFonts w:asciiTheme="majorHAnsi" w:hAnsiTheme="majorHAnsi" w:cstheme="majorHAnsi"/>
          <w:b/>
          <w:bCs/>
        </w:rPr>
      </w:pPr>
      <w:r>
        <w:rPr>
          <w:rFonts w:asciiTheme="majorHAnsi" w:hAnsiTheme="majorHAnsi" w:cstheme="majorHAnsi"/>
          <w:b/>
          <w:bCs/>
        </w:rPr>
        <w:br w:type="page"/>
      </w:r>
    </w:p>
    <w:p w14:paraId="4E80B64A" w14:textId="7AD0143A" w:rsidR="00D64948" w:rsidRDefault="00D64948">
      <w:r w:rsidRPr="008E3EB0">
        <w:rPr>
          <w:rFonts w:asciiTheme="majorHAnsi" w:hAnsiTheme="majorHAnsi" w:cstheme="majorHAnsi"/>
          <w:b/>
          <w:bCs/>
        </w:rPr>
        <w:lastRenderedPageBreak/>
        <w:t>January 24, 2025</w:t>
      </w:r>
    </w:p>
    <w:tbl>
      <w:tblPr>
        <w:tblW w:w="8900" w:type="dxa"/>
        <w:tblCellMar>
          <w:left w:w="0" w:type="dxa"/>
          <w:right w:w="0" w:type="dxa"/>
        </w:tblCellMar>
        <w:tblLook w:val="04A0" w:firstRow="1" w:lastRow="0" w:firstColumn="1" w:lastColumn="0" w:noHBand="0" w:noVBand="1"/>
      </w:tblPr>
      <w:tblGrid>
        <w:gridCol w:w="3500"/>
        <w:gridCol w:w="2970"/>
        <w:gridCol w:w="2430"/>
      </w:tblGrid>
      <w:tr w:rsidR="008E3EB0" w:rsidRPr="008E3EB0" w14:paraId="67DBF787" w14:textId="77777777" w:rsidTr="008E3EB0">
        <w:trPr>
          <w:trHeight w:val="1653"/>
        </w:trPr>
        <w:tc>
          <w:tcPr>
            <w:tcW w:w="350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14" w:type="dxa"/>
              <w:right w:w="38" w:type="dxa"/>
            </w:tcMar>
            <w:vAlign w:val="center"/>
            <w:hideMark/>
          </w:tcPr>
          <w:p w14:paraId="42E7C457" w14:textId="77777777" w:rsidR="008E3EB0" w:rsidRPr="008E3EB0" w:rsidRDefault="008E3EB0" w:rsidP="008E3EB0">
            <w:pPr>
              <w:rPr>
                <w:rFonts w:asciiTheme="majorHAnsi" w:hAnsiTheme="majorHAnsi" w:cstheme="majorHAnsi"/>
              </w:rPr>
            </w:pPr>
            <w:r w:rsidRPr="008E3EB0">
              <w:rPr>
                <w:rFonts w:asciiTheme="majorHAnsi" w:hAnsiTheme="majorHAnsi" w:cstheme="majorHAnsi"/>
                <w:b/>
                <w:bCs/>
              </w:rPr>
              <w:t xml:space="preserve">Pavel </w:t>
            </w:r>
            <w:proofErr w:type="spellStart"/>
            <w:r w:rsidRPr="008E3EB0">
              <w:rPr>
                <w:rFonts w:asciiTheme="majorHAnsi" w:hAnsiTheme="majorHAnsi" w:cstheme="majorHAnsi"/>
                <w:b/>
                <w:bCs/>
              </w:rPr>
              <w:t>Terpelets</w:t>
            </w:r>
            <w:proofErr w:type="spellEnd"/>
          </w:p>
          <w:p w14:paraId="50641A71" w14:textId="77777777" w:rsidR="008E3EB0" w:rsidRPr="008E3EB0" w:rsidRDefault="008E3EB0" w:rsidP="008E3EB0">
            <w:pPr>
              <w:rPr>
                <w:rFonts w:asciiTheme="majorHAnsi" w:hAnsiTheme="majorHAnsi" w:cstheme="majorHAnsi"/>
              </w:rPr>
            </w:pPr>
            <w:r w:rsidRPr="008E3EB0">
              <w:rPr>
                <w:rFonts w:asciiTheme="majorHAnsi" w:hAnsiTheme="majorHAnsi" w:cstheme="majorHAnsi"/>
              </w:rPr>
              <w:t>Director of Institutional Programs</w:t>
            </w:r>
          </w:p>
          <w:p w14:paraId="2B573CEA" w14:textId="77777777" w:rsidR="008E3EB0" w:rsidRPr="008E3EB0" w:rsidRDefault="008E3EB0" w:rsidP="008E3EB0">
            <w:pPr>
              <w:rPr>
                <w:rFonts w:asciiTheme="majorHAnsi" w:hAnsiTheme="majorHAnsi" w:cstheme="majorHAnsi"/>
              </w:rPr>
            </w:pPr>
            <w:r w:rsidRPr="008E3EB0">
              <w:rPr>
                <w:rFonts w:asciiTheme="majorHAnsi" w:hAnsiTheme="majorHAnsi" w:cstheme="majorHAnsi"/>
              </w:rPr>
              <w:t>Office of Long Term Services and Supports (OLTSS), MassHealth</w:t>
            </w:r>
          </w:p>
        </w:tc>
        <w:tc>
          <w:tcPr>
            <w:tcW w:w="297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4CC8AB02" w14:textId="77777777" w:rsidR="008E3EB0" w:rsidRPr="008E3EB0" w:rsidRDefault="008E3EB0" w:rsidP="008E3EB0">
            <w:pPr>
              <w:rPr>
                <w:rFonts w:asciiTheme="majorHAnsi" w:hAnsiTheme="majorHAnsi" w:cstheme="majorHAnsi"/>
              </w:rPr>
            </w:pPr>
            <w:r w:rsidRPr="008E3EB0">
              <w:rPr>
                <w:rFonts w:asciiTheme="majorHAnsi" w:hAnsiTheme="majorHAnsi" w:cstheme="majorHAnsi"/>
              </w:rPr>
              <w:t>Overview of the rate structure and payment mechanisms for rest home in the Commonwealth</w:t>
            </w:r>
          </w:p>
        </w:tc>
        <w:tc>
          <w:tcPr>
            <w:tcW w:w="243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495548F0" w14:textId="77777777" w:rsidR="008E3EB0" w:rsidRPr="008E3EB0" w:rsidRDefault="008E3EB0" w:rsidP="008E3EB0">
            <w:pPr>
              <w:rPr>
                <w:rFonts w:asciiTheme="majorHAnsi" w:hAnsiTheme="majorHAnsi" w:cstheme="majorHAnsi"/>
              </w:rPr>
            </w:pPr>
            <w:hyperlink r:id="rId32" w:history="1">
              <w:r w:rsidRPr="008E3EB0">
                <w:rPr>
                  <w:rStyle w:val="Hyperlink"/>
                  <w:rFonts w:asciiTheme="majorHAnsi" w:hAnsiTheme="majorHAnsi" w:cstheme="majorHAnsi"/>
                  <w:b/>
                  <w:bCs/>
                </w:rPr>
                <w:t>Rest Home Payment &amp; Rate Overview</w:t>
              </w:r>
            </w:hyperlink>
          </w:p>
        </w:tc>
      </w:tr>
    </w:tbl>
    <w:p w14:paraId="328260C3" w14:textId="25F74CD9" w:rsidR="001E1A3E" w:rsidRPr="00F178E4" w:rsidRDefault="001E1A3E">
      <w:pPr>
        <w:rPr>
          <w:rFonts w:asciiTheme="majorHAnsi" w:hAnsiTheme="majorHAnsi" w:cstheme="majorHAnsi"/>
        </w:rPr>
      </w:pPr>
    </w:p>
    <w:p w14:paraId="4EC6D754" w14:textId="77777777" w:rsidR="001E1A3E" w:rsidRPr="00F178E4" w:rsidRDefault="00000000">
      <w:pPr>
        <w:pStyle w:val="Heading1"/>
        <w:rPr>
          <w:rFonts w:cstheme="majorHAnsi"/>
        </w:rPr>
      </w:pPr>
      <w:r w:rsidRPr="00F178E4">
        <w:rPr>
          <w:rFonts w:cstheme="majorHAnsi"/>
        </w:rPr>
        <w:t>Slide 46</w:t>
      </w:r>
    </w:p>
    <w:p w14:paraId="3D3F9E16" w14:textId="77777777" w:rsidR="001E1A3E" w:rsidRDefault="00000000">
      <w:pPr>
        <w:rPr>
          <w:rFonts w:asciiTheme="majorHAnsi" w:hAnsiTheme="majorHAnsi" w:cstheme="majorHAnsi"/>
        </w:rPr>
      </w:pPr>
      <w:r w:rsidRPr="00F178E4">
        <w:rPr>
          <w:rFonts w:asciiTheme="majorHAnsi" w:hAnsiTheme="majorHAnsi" w:cstheme="majorHAnsi"/>
        </w:rPr>
        <w:t>Appendix C – Summary of Meetings and Input Provided to the Task Force (cont.)</w:t>
      </w:r>
    </w:p>
    <w:p w14:paraId="78EFADC2" w14:textId="1DE9EA2F" w:rsidR="00D64948" w:rsidRPr="00F178E4" w:rsidRDefault="00D64948">
      <w:pPr>
        <w:rPr>
          <w:rFonts w:asciiTheme="majorHAnsi" w:hAnsiTheme="majorHAnsi" w:cstheme="majorHAnsi"/>
        </w:rPr>
      </w:pPr>
      <w:r w:rsidRPr="00BA153B">
        <w:rPr>
          <w:rFonts w:asciiTheme="majorHAnsi" w:hAnsiTheme="majorHAnsi" w:cstheme="majorHAnsi"/>
          <w:b/>
          <w:bCs/>
        </w:rPr>
        <w:t>February 7, 2025</w:t>
      </w:r>
    </w:p>
    <w:tbl>
      <w:tblPr>
        <w:tblW w:w="8900" w:type="dxa"/>
        <w:tblCellMar>
          <w:left w:w="0" w:type="dxa"/>
          <w:right w:w="0" w:type="dxa"/>
        </w:tblCellMar>
        <w:tblLook w:val="04A0" w:firstRow="1" w:lastRow="0" w:firstColumn="1" w:lastColumn="0" w:noHBand="0" w:noVBand="1"/>
      </w:tblPr>
      <w:tblGrid>
        <w:gridCol w:w="3500"/>
        <w:gridCol w:w="3060"/>
        <w:gridCol w:w="2340"/>
      </w:tblGrid>
      <w:tr w:rsidR="00BA153B" w:rsidRPr="00BA153B" w14:paraId="5A7F1AA7" w14:textId="77777777" w:rsidTr="00BA153B">
        <w:trPr>
          <w:trHeight w:val="521"/>
        </w:trPr>
        <w:tc>
          <w:tcPr>
            <w:tcW w:w="3500" w:type="dxa"/>
            <w:tcBorders>
              <w:top w:val="single" w:sz="8" w:space="0" w:color="000000"/>
              <w:left w:val="single" w:sz="8" w:space="0" w:color="000000"/>
              <w:bottom w:val="single" w:sz="8" w:space="0" w:color="000000"/>
              <w:right w:val="single" w:sz="8" w:space="0" w:color="000000"/>
            </w:tcBorders>
            <w:shd w:val="clear" w:color="auto" w:fill="90A2CF"/>
            <w:tcMar>
              <w:top w:w="14" w:type="dxa"/>
              <w:left w:w="38" w:type="dxa"/>
              <w:bottom w:w="14" w:type="dxa"/>
              <w:right w:w="38" w:type="dxa"/>
            </w:tcMar>
            <w:vAlign w:val="center"/>
            <w:hideMark/>
          </w:tcPr>
          <w:p w14:paraId="7C2539A5" w14:textId="77777777" w:rsidR="00BA153B" w:rsidRPr="00BA153B" w:rsidRDefault="00BA153B" w:rsidP="00BA153B">
            <w:pPr>
              <w:rPr>
                <w:rFonts w:asciiTheme="majorHAnsi" w:hAnsiTheme="majorHAnsi" w:cstheme="majorHAnsi"/>
              </w:rPr>
            </w:pPr>
            <w:r w:rsidRPr="00BA153B">
              <w:rPr>
                <w:rFonts w:asciiTheme="majorHAnsi" w:hAnsiTheme="majorHAnsi" w:cstheme="majorHAnsi"/>
                <w:b/>
                <w:bCs/>
              </w:rPr>
              <w:t>Presenters</w:t>
            </w:r>
          </w:p>
        </w:tc>
        <w:tc>
          <w:tcPr>
            <w:tcW w:w="3060" w:type="dxa"/>
            <w:tcBorders>
              <w:top w:val="single" w:sz="8" w:space="0" w:color="000000"/>
              <w:left w:val="single" w:sz="8" w:space="0" w:color="000000"/>
              <w:bottom w:val="single" w:sz="8" w:space="0" w:color="000000"/>
              <w:right w:val="single" w:sz="8" w:space="0" w:color="000000"/>
            </w:tcBorders>
            <w:shd w:val="clear" w:color="auto" w:fill="90A2CF"/>
            <w:tcMar>
              <w:top w:w="14" w:type="dxa"/>
              <w:left w:w="38" w:type="dxa"/>
              <w:bottom w:w="14" w:type="dxa"/>
              <w:right w:w="38" w:type="dxa"/>
            </w:tcMar>
            <w:vAlign w:val="center"/>
            <w:hideMark/>
          </w:tcPr>
          <w:p w14:paraId="3B217810" w14:textId="77777777" w:rsidR="00BA153B" w:rsidRPr="00BA153B" w:rsidRDefault="00BA153B" w:rsidP="00BA153B">
            <w:pPr>
              <w:rPr>
                <w:rFonts w:asciiTheme="majorHAnsi" w:hAnsiTheme="majorHAnsi" w:cstheme="majorHAnsi"/>
              </w:rPr>
            </w:pPr>
            <w:r w:rsidRPr="00BA153B">
              <w:rPr>
                <w:rFonts w:asciiTheme="majorHAnsi" w:hAnsiTheme="majorHAnsi" w:cstheme="majorHAnsi"/>
                <w:b/>
                <w:bCs/>
              </w:rPr>
              <w:t>Topics Discussed</w:t>
            </w:r>
          </w:p>
        </w:tc>
        <w:tc>
          <w:tcPr>
            <w:tcW w:w="2340" w:type="dxa"/>
            <w:tcBorders>
              <w:top w:val="single" w:sz="8" w:space="0" w:color="000000"/>
              <w:left w:val="single" w:sz="8" w:space="0" w:color="000000"/>
              <w:bottom w:val="single" w:sz="8" w:space="0" w:color="000000"/>
              <w:right w:val="single" w:sz="8" w:space="0" w:color="000000"/>
            </w:tcBorders>
            <w:shd w:val="clear" w:color="auto" w:fill="90A2CF"/>
            <w:tcMar>
              <w:top w:w="14" w:type="dxa"/>
              <w:left w:w="38" w:type="dxa"/>
              <w:bottom w:w="14" w:type="dxa"/>
              <w:right w:w="38" w:type="dxa"/>
            </w:tcMar>
            <w:vAlign w:val="center"/>
            <w:hideMark/>
          </w:tcPr>
          <w:p w14:paraId="0E07C0E0" w14:textId="77777777" w:rsidR="00BA153B" w:rsidRPr="00BA153B" w:rsidRDefault="00BA153B" w:rsidP="00BA153B">
            <w:pPr>
              <w:rPr>
                <w:rFonts w:asciiTheme="majorHAnsi" w:hAnsiTheme="majorHAnsi" w:cstheme="majorHAnsi"/>
              </w:rPr>
            </w:pPr>
            <w:r w:rsidRPr="00BA153B">
              <w:rPr>
                <w:rFonts w:asciiTheme="majorHAnsi" w:hAnsiTheme="majorHAnsi" w:cstheme="majorHAnsi"/>
                <w:b/>
                <w:bCs/>
              </w:rPr>
              <w:t>Resources and Supporting Documents</w:t>
            </w:r>
          </w:p>
        </w:tc>
      </w:tr>
      <w:tr w:rsidR="00BA153B" w:rsidRPr="00BA153B" w14:paraId="6EBC9177" w14:textId="77777777" w:rsidTr="00BA153B">
        <w:trPr>
          <w:trHeight w:val="1598"/>
        </w:trPr>
        <w:tc>
          <w:tcPr>
            <w:tcW w:w="350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14" w:type="dxa"/>
              <w:right w:w="38" w:type="dxa"/>
            </w:tcMar>
            <w:vAlign w:val="center"/>
            <w:hideMark/>
          </w:tcPr>
          <w:p w14:paraId="5EED9899" w14:textId="77777777" w:rsidR="00BA153B" w:rsidRPr="00BA153B" w:rsidRDefault="00BA153B" w:rsidP="00BA153B">
            <w:pPr>
              <w:rPr>
                <w:rFonts w:asciiTheme="majorHAnsi" w:hAnsiTheme="majorHAnsi" w:cstheme="majorHAnsi"/>
              </w:rPr>
            </w:pPr>
            <w:r w:rsidRPr="00BA153B">
              <w:rPr>
                <w:rFonts w:asciiTheme="majorHAnsi" w:hAnsiTheme="majorHAnsi" w:cstheme="majorHAnsi"/>
                <w:b/>
                <w:bCs/>
              </w:rPr>
              <w:t>Ron Pawelski</w:t>
            </w:r>
          </w:p>
          <w:p w14:paraId="5C040E7B"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President, MARCH</w:t>
            </w:r>
          </w:p>
        </w:tc>
        <w:tc>
          <w:tcPr>
            <w:tcW w:w="306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22AC69EA"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Overview of the role of rest homes in Massachusetts, including the financial and regulatory challenges their industry faces</w:t>
            </w:r>
          </w:p>
        </w:tc>
        <w:tc>
          <w:tcPr>
            <w:tcW w:w="234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4B67F8B2" w14:textId="77777777" w:rsidR="00BA153B" w:rsidRPr="00BA153B" w:rsidRDefault="00BA153B" w:rsidP="00BA153B">
            <w:pPr>
              <w:rPr>
                <w:rFonts w:asciiTheme="majorHAnsi" w:hAnsiTheme="majorHAnsi" w:cstheme="majorHAnsi"/>
              </w:rPr>
            </w:pPr>
            <w:hyperlink r:id="rId33" w:history="1">
              <w:r w:rsidRPr="00BA153B">
                <w:rPr>
                  <w:rStyle w:val="Hyperlink"/>
                  <w:rFonts w:asciiTheme="majorHAnsi" w:hAnsiTheme="majorHAnsi" w:cstheme="majorHAnsi"/>
                  <w:b/>
                  <w:bCs/>
                </w:rPr>
                <w:t>MARCH Presentation</w:t>
              </w:r>
            </w:hyperlink>
          </w:p>
        </w:tc>
      </w:tr>
      <w:tr w:rsidR="00BA153B" w:rsidRPr="00BA153B" w14:paraId="39F1B7F8" w14:textId="77777777" w:rsidTr="00BA153B">
        <w:trPr>
          <w:trHeight w:val="1680"/>
        </w:trPr>
        <w:tc>
          <w:tcPr>
            <w:tcW w:w="350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14" w:type="dxa"/>
              <w:right w:w="38" w:type="dxa"/>
            </w:tcMar>
            <w:vAlign w:val="center"/>
            <w:hideMark/>
          </w:tcPr>
          <w:p w14:paraId="53256309" w14:textId="77777777" w:rsidR="00BA153B" w:rsidRPr="00BA153B" w:rsidRDefault="00BA153B" w:rsidP="00BA153B">
            <w:pPr>
              <w:rPr>
                <w:rFonts w:asciiTheme="majorHAnsi" w:hAnsiTheme="majorHAnsi" w:cstheme="majorHAnsi"/>
              </w:rPr>
            </w:pPr>
            <w:proofErr w:type="spellStart"/>
            <w:r w:rsidRPr="00BA153B">
              <w:rPr>
                <w:rFonts w:asciiTheme="majorHAnsi" w:hAnsiTheme="majorHAnsi" w:cstheme="majorHAnsi"/>
                <w:b/>
                <w:bCs/>
              </w:rPr>
              <w:t>Condase</w:t>
            </w:r>
            <w:proofErr w:type="spellEnd"/>
            <w:r w:rsidRPr="00BA153B">
              <w:rPr>
                <w:rFonts w:asciiTheme="majorHAnsi" w:hAnsiTheme="majorHAnsi" w:cstheme="majorHAnsi"/>
                <w:b/>
                <w:bCs/>
              </w:rPr>
              <w:t xml:space="preserve"> Weekes-Best</w:t>
            </w:r>
          </w:p>
          <w:p w14:paraId="5C55442F"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Owner and operator, Wellspring Homecare,</w:t>
            </w:r>
          </w:p>
          <w:p w14:paraId="4E2598D6"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Ann’s Rest Home and Burgoyne’s Rest Home</w:t>
            </w:r>
          </w:p>
        </w:tc>
        <w:tc>
          <w:tcPr>
            <w:tcW w:w="306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13653AD0"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Overview of Ms. Weekes-Best’s experience as an owner and administrator of two small rest homes</w:t>
            </w:r>
          </w:p>
        </w:tc>
        <w:tc>
          <w:tcPr>
            <w:tcW w:w="234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2D8DF4B6" w14:textId="77777777" w:rsidR="00BA153B" w:rsidRPr="00BA153B" w:rsidRDefault="00BA153B" w:rsidP="00BA153B">
            <w:pPr>
              <w:rPr>
                <w:rFonts w:asciiTheme="majorHAnsi" w:hAnsiTheme="majorHAnsi" w:cstheme="majorHAnsi"/>
              </w:rPr>
            </w:pPr>
            <w:hyperlink r:id="rId34" w:history="1">
              <w:proofErr w:type="spellStart"/>
              <w:r w:rsidRPr="00BA153B">
                <w:rPr>
                  <w:rStyle w:val="Hyperlink"/>
                  <w:rFonts w:asciiTheme="majorHAnsi" w:hAnsiTheme="majorHAnsi" w:cstheme="majorHAnsi"/>
                  <w:b/>
                  <w:bCs/>
                </w:rPr>
                <w:t>Condase</w:t>
              </w:r>
              <w:proofErr w:type="spellEnd"/>
              <w:r w:rsidRPr="00BA153B">
                <w:rPr>
                  <w:rStyle w:val="Hyperlink"/>
                  <w:rFonts w:asciiTheme="majorHAnsi" w:hAnsiTheme="majorHAnsi" w:cstheme="majorHAnsi"/>
                  <w:b/>
                  <w:bCs/>
                </w:rPr>
                <w:t xml:space="preserve"> Weekes-Best Presentation</w:t>
              </w:r>
            </w:hyperlink>
          </w:p>
        </w:tc>
      </w:tr>
      <w:tr w:rsidR="00BA153B" w:rsidRPr="00BA153B" w14:paraId="60F72275" w14:textId="77777777" w:rsidTr="00BA153B">
        <w:trPr>
          <w:trHeight w:val="1680"/>
        </w:trPr>
        <w:tc>
          <w:tcPr>
            <w:tcW w:w="350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14" w:type="dxa"/>
              <w:right w:w="38" w:type="dxa"/>
            </w:tcMar>
            <w:vAlign w:val="center"/>
            <w:hideMark/>
          </w:tcPr>
          <w:p w14:paraId="092B745F" w14:textId="77777777" w:rsidR="00BA153B" w:rsidRPr="00BA153B" w:rsidRDefault="00BA153B" w:rsidP="00BA153B">
            <w:pPr>
              <w:rPr>
                <w:rFonts w:asciiTheme="majorHAnsi" w:hAnsiTheme="majorHAnsi" w:cstheme="majorHAnsi"/>
              </w:rPr>
            </w:pPr>
            <w:r w:rsidRPr="00BA153B">
              <w:rPr>
                <w:rFonts w:asciiTheme="majorHAnsi" w:hAnsiTheme="majorHAnsi" w:cstheme="majorHAnsi"/>
                <w:b/>
                <w:bCs/>
              </w:rPr>
              <w:t xml:space="preserve">Pavel </w:t>
            </w:r>
            <w:proofErr w:type="spellStart"/>
            <w:r w:rsidRPr="00BA153B">
              <w:rPr>
                <w:rFonts w:asciiTheme="majorHAnsi" w:hAnsiTheme="majorHAnsi" w:cstheme="majorHAnsi"/>
                <w:b/>
                <w:bCs/>
              </w:rPr>
              <w:t>Terpelets</w:t>
            </w:r>
            <w:proofErr w:type="spellEnd"/>
          </w:p>
          <w:p w14:paraId="631C1ABB"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Director of Institutional Programs</w:t>
            </w:r>
          </w:p>
          <w:p w14:paraId="483A56F1"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OLTSS, MassHealth</w:t>
            </w:r>
          </w:p>
        </w:tc>
        <w:tc>
          <w:tcPr>
            <w:tcW w:w="306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012641AF"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Summary of the</w:t>
            </w:r>
            <w:r w:rsidRPr="00BA153B">
              <w:rPr>
                <w:rFonts w:asciiTheme="majorHAnsi" w:hAnsiTheme="majorHAnsi" w:cstheme="majorHAnsi"/>
              </w:rPr>
              <w:br/>
              <w:t>recommendations from the Nursing Facility Task Force</w:t>
            </w:r>
          </w:p>
        </w:tc>
        <w:tc>
          <w:tcPr>
            <w:tcW w:w="234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33B279CB" w14:textId="77777777" w:rsidR="00BA153B" w:rsidRPr="00BA153B" w:rsidRDefault="00BA153B" w:rsidP="00BA153B">
            <w:pPr>
              <w:rPr>
                <w:rFonts w:asciiTheme="majorHAnsi" w:hAnsiTheme="majorHAnsi" w:cstheme="majorHAnsi"/>
              </w:rPr>
            </w:pPr>
            <w:hyperlink r:id="rId35" w:history="1">
              <w:r w:rsidRPr="00BA153B">
                <w:rPr>
                  <w:rStyle w:val="Hyperlink"/>
                  <w:rFonts w:asciiTheme="majorHAnsi" w:hAnsiTheme="majorHAnsi" w:cstheme="majorHAnsi"/>
                  <w:b/>
                  <w:bCs/>
                </w:rPr>
                <w:t>Nursing Facility Task Force Recommendations</w:t>
              </w:r>
            </w:hyperlink>
            <w:r w:rsidRPr="00BA153B">
              <w:rPr>
                <w:rFonts w:asciiTheme="majorHAnsi" w:hAnsiTheme="majorHAnsi" w:cstheme="majorHAnsi"/>
                <w:b/>
                <w:bCs/>
              </w:rPr>
              <w:t xml:space="preserve"> </w:t>
            </w:r>
          </w:p>
        </w:tc>
      </w:tr>
    </w:tbl>
    <w:p w14:paraId="4CA09366" w14:textId="64B54F35" w:rsidR="001E1A3E" w:rsidRPr="00F178E4" w:rsidRDefault="001E1A3E">
      <w:pPr>
        <w:rPr>
          <w:rFonts w:asciiTheme="majorHAnsi" w:hAnsiTheme="majorHAnsi" w:cstheme="majorHAnsi"/>
        </w:rPr>
      </w:pPr>
    </w:p>
    <w:p w14:paraId="47438EFD" w14:textId="77777777" w:rsidR="001E1A3E" w:rsidRPr="00F178E4" w:rsidRDefault="00000000">
      <w:pPr>
        <w:pStyle w:val="Heading1"/>
        <w:rPr>
          <w:rFonts w:cstheme="majorHAnsi"/>
        </w:rPr>
      </w:pPr>
      <w:r w:rsidRPr="00F178E4">
        <w:rPr>
          <w:rFonts w:cstheme="majorHAnsi"/>
        </w:rPr>
        <w:t>Slide 47</w:t>
      </w:r>
    </w:p>
    <w:p w14:paraId="05D15F13" w14:textId="77777777" w:rsidR="001E1A3E" w:rsidRDefault="00000000">
      <w:pPr>
        <w:rPr>
          <w:rFonts w:asciiTheme="majorHAnsi" w:hAnsiTheme="majorHAnsi" w:cstheme="majorHAnsi"/>
        </w:rPr>
      </w:pPr>
      <w:r w:rsidRPr="00F178E4">
        <w:rPr>
          <w:rFonts w:asciiTheme="majorHAnsi" w:hAnsiTheme="majorHAnsi" w:cstheme="majorHAnsi"/>
        </w:rPr>
        <w:t>Appendix C – Summary of Meetings and Input Provided to the Task Force (cont.)</w:t>
      </w:r>
    </w:p>
    <w:p w14:paraId="40BEF4A5" w14:textId="78BC2A11" w:rsidR="00D64948" w:rsidRDefault="00D64948">
      <w:pPr>
        <w:rPr>
          <w:rFonts w:asciiTheme="majorHAnsi" w:hAnsiTheme="majorHAnsi" w:cstheme="majorHAnsi"/>
        </w:rPr>
      </w:pPr>
      <w:r w:rsidRPr="00BA153B">
        <w:rPr>
          <w:rFonts w:asciiTheme="majorHAnsi" w:hAnsiTheme="majorHAnsi" w:cstheme="majorHAnsi"/>
          <w:b/>
          <w:bCs/>
        </w:rPr>
        <w:lastRenderedPageBreak/>
        <w:t>February 28, 2025</w:t>
      </w:r>
    </w:p>
    <w:tbl>
      <w:tblPr>
        <w:tblW w:w="8810" w:type="dxa"/>
        <w:tblCellMar>
          <w:left w:w="0" w:type="dxa"/>
          <w:right w:w="0" w:type="dxa"/>
        </w:tblCellMar>
        <w:tblLook w:val="04A0" w:firstRow="1" w:lastRow="0" w:firstColumn="1" w:lastColumn="0" w:noHBand="0" w:noVBand="1"/>
      </w:tblPr>
      <w:tblGrid>
        <w:gridCol w:w="3500"/>
        <w:gridCol w:w="3060"/>
        <w:gridCol w:w="2250"/>
      </w:tblGrid>
      <w:tr w:rsidR="00BA153B" w:rsidRPr="00BA153B" w14:paraId="56D8FDFE" w14:textId="77777777" w:rsidTr="00BA153B">
        <w:trPr>
          <w:trHeight w:val="521"/>
        </w:trPr>
        <w:tc>
          <w:tcPr>
            <w:tcW w:w="3500" w:type="dxa"/>
            <w:tcBorders>
              <w:top w:val="single" w:sz="8" w:space="0" w:color="000000"/>
              <w:left w:val="single" w:sz="8" w:space="0" w:color="000000"/>
              <w:bottom w:val="single" w:sz="8" w:space="0" w:color="000000"/>
              <w:right w:val="single" w:sz="8" w:space="0" w:color="000000"/>
            </w:tcBorders>
            <w:shd w:val="clear" w:color="auto" w:fill="90A2CF"/>
            <w:tcMar>
              <w:top w:w="14" w:type="dxa"/>
              <w:left w:w="38" w:type="dxa"/>
              <w:bottom w:w="14" w:type="dxa"/>
              <w:right w:w="38" w:type="dxa"/>
            </w:tcMar>
            <w:vAlign w:val="center"/>
            <w:hideMark/>
          </w:tcPr>
          <w:p w14:paraId="5DD05579" w14:textId="6B55AC0D" w:rsidR="00BA153B" w:rsidRPr="00BA153B" w:rsidRDefault="00BA153B" w:rsidP="00BA153B">
            <w:pPr>
              <w:rPr>
                <w:rFonts w:asciiTheme="majorHAnsi" w:hAnsiTheme="majorHAnsi" w:cstheme="majorHAnsi"/>
              </w:rPr>
            </w:pPr>
            <w:r w:rsidRPr="00BA153B">
              <w:rPr>
                <w:rFonts w:asciiTheme="majorHAnsi" w:hAnsiTheme="majorHAnsi" w:cstheme="majorHAnsi"/>
                <w:b/>
                <w:bCs/>
              </w:rPr>
              <w:t>Presenters</w:t>
            </w:r>
            <w:r w:rsidR="00D64948">
              <w:rPr>
                <w:rFonts w:asciiTheme="majorHAnsi" w:hAnsiTheme="majorHAnsi" w:cstheme="majorHAnsi"/>
                <w:b/>
                <w:bCs/>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auto" w:fill="90A2CF"/>
            <w:tcMar>
              <w:top w:w="14" w:type="dxa"/>
              <w:left w:w="38" w:type="dxa"/>
              <w:bottom w:w="14" w:type="dxa"/>
              <w:right w:w="38" w:type="dxa"/>
            </w:tcMar>
            <w:vAlign w:val="center"/>
            <w:hideMark/>
          </w:tcPr>
          <w:p w14:paraId="1C6BF214" w14:textId="77777777" w:rsidR="00BA153B" w:rsidRPr="00BA153B" w:rsidRDefault="00BA153B" w:rsidP="00BA153B">
            <w:pPr>
              <w:rPr>
                <w:rFonts w:asciiTheme="majorHAnsi" w:hAnsiTheme="majorHAnsi" w:cstheme="majorHAnsi"/>
              </w:rPr>
            </w:pPr>
            <w:r w:rsidRPr="00BA153B">
              <w:rPr>
                <w:rFonts w:asciiTheme="majorHAnsi" w:hAnsiTheme="majorHAnsi" w:cstheme="majorHAnsi"/>
                <w:b/>
                <w:bCs/>
              </w:rPr>
              <w:t>Topics Discussed</w:t>
            </w:r>
          </w:p>
        </w:tc>
        <w:tc>
          <w:tcPr>
            <w:tcW w:w="2250" w:type="dxa"/>
            <w:tcBorders>
              <w:top w:val="single" w:sz="8" w:space="0" w:color="000000"/>
              <w:left w:val="single" w:sz="8" w:space="0" w:color="000000"/>
              <w:bottom w:val="single" w:sz="8" w:space="0" w:color="000000"/>
              <w:right w:val="single" w:sz="8" w:space="0" w:color="000000"/>
            </w:tcBorders>
            <w:shd w:val="clear" w:color="auto" w:fill="90A2CF"/>
            <w:tcMar>
              <w:top w:w="14" w:type="dxa"/>
              <w:left w:w="38" w:type="dxa"/>
              <w:bottom w:w="14" w:type="dxa"/>
              <w:right w:w="38" w:type="dxa"/>
            </w:tcMar>
            <w:vAlign w:val="center"/>
            <w:hideMark/>
          </w:tcPr>
          <w:p w14:paraId="7432AB0D" w14:textId="77777777" w:rsidR="00BA153B" w:rsidRPr="00BA153B" w:rsidRDefault="00BA153B" w:rsidP="00BA153B">
            <w:pPr>
              <w:rPr>
                <w:rFonts w:asciiTheme="majorHAnsi" w:hAnsiTheme="majorHAnsi" w:cstheme="majorHAnsi"/>
              </w:rPr>
            </w:pPr>
            <w:r w:rsidRPr="00BA153B">
              <w:rPr>
                <w:rFonts w:asciiTheme="majorHAnsi" w:hAnsiTheme="majorHAnsi" w:cstheme="majorHAnsi"/>
                <w:b/>
                <w:bCs/>
              </w:rPr>
              <w:t>Resources and Supporting Documents</w:t>
            </w:r>
          </w:p>
        </w:tc>
      </w:tr>
      <w:tr w:rsidR="00BA153B" w:rsidRPr="00BA153B" w14:paraId="620453C0" w14:textId="77777777" w:rsidTr="00BA153B">
        <w:trPr>
          <w:trHeight w:val="1598"/>
        </w:trPr>
        <w:tc>
          <w:tcPr>
            <w:tcW w:w="350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14" w:type="dxa"/>
              <w:right w:w="38" w:type="dxa"/>
            </w:tcMar>
            <w:vAlign w:val="center"/>
            <w:hideMark/>
          </w:tcPr>
          <w:p w14:paraId="01BDD130" w14:textId="77777777" w:rsidR="00BA153B" w:rsidRPr="00BA153B" w:rsidRDefault="00BA153B" w:rsidP="00BA153B">
            <w:pPr>
              <w:rPr>
                <w:rFonts w:asciiTheme="majorHAnsi" w:hAnsiTheme="majorHAnsi" w:cstheme="majorHAnsi"/>
              </w:rPr>
            </w:pPr>
            <w:r w:rsidRPr="00BA153B">
              <w:rPr>
                <w:rFonts w:asciiTheme="majorHAnsi" w:hAnsiTheme="majorHAnsi" w:cstheme="majorHAnsi"/>
                <w:b/>
                <w:bCs/>
              </w:rPr>
              <w:t>Micha Shalev</w:t>
            </w:r>
          </w:p>
          <w:p w14:paraId="6A0ED43C"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Owner, Dodge Park</w:t>
            </w:r>
          </w:p>
        </w:tc>
        <w:tc>
          <w:tcPr>
            <w:tcW w:w="306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55F0EBAC"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Overview of Mr. Shalev’s experience as an owner and administrator of a large rest home</w:t>
            </w:r>
          </w:p>
        </w:tc>
        <w:tc>
          <w:tcPr>
            <w:tcW w:w="225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168E0937" w14:textId="77777777" w:rsidR="00BA153B" w:rsidRPr="00BA153B" w:rsidRDefault="00BA153B" w:rsidP="00BA153B">
            <w:pPr>
              <w:rPr>
                <w:rFonts w:asciiTheme="majorHAnsi" w:hAnsiTheme="majorHAnsi" w:cstheme="majorHAnsi"/>
              </w:rPr>
            </w:pPr>
            <w:hyperlink r:id="rId36" w:history="1">
              <w:r w:rsidRPr="00BA153B">
                <w:rPr>
                  <w:rStyle w:val="Hyperlink"/>
                  <w:rFonts w:asciiTheme="majorHAnsi" w:hAnsiTheme="majorHAnsi" w:cstheme="majorHAnsi"/>
                  <w:b/>
                  <w:bCs/>
                </w:rPr>
                <w:t>Micha Shalev Presentation</w:t>
              </w:r>
            </w:hyperlink>
          </w:p>
        </w:tc>
      </w:tr>
      <w:tr w:rsidR="00BA153B" w:rsidRPr="00BA153B" w14:paraId="7FF67BE3" w14:textId="77777777" w:rsidTr="00BA153B">
        <w:trPr>
          <w:trHeight w:val="1680"/>
        </w:trPr>
        <w:tc>
          <w:tcPr>
            <w:tcW w:w="350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14" w:type="dxa"/>
              <w:right w:w="38" w:type="dxa"/>
            </w:tcMar>
            <w:vAlign w:val="center"/>
            <w:hideMark/>
          </w:tcPr>
          <w:p w14:paraId="5B0DE59C" w14:textId="77777777" w:rsidR="00BA153B" w:rsidRPr="00BA153B" w:rsidRDefault="00BA153B" w:rsidP="00BA153B">
            <w:pPr>
              <w:rPr>
                <w:rFonts w:asciiTheme="majorHAnsi" w:hAnsiTheme="majorHAnsi" w:cstheme="majorHAnsi"/>
              </w:rPr>
            </w:pPr>
            <w:r w:rsidRPr="00BA153B">
              <w:rPr>
                <w:rFonts w:asciiTheme="majorHAnsi" w:hAnsiTheme="majorHAnsi" w:cstheme="majorHAnsi"/>
                <w:b/>
                <w:bCs/>
              </w:rPr>
              <w:t>Dayva Briand</w:t>
            </w:r>
          </w:p>
          <w:p w14:paraId="3F2E6AFD"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Deputy Director, OLTSS, MassHealth</w:t>
            </w:r>
          </w:p>
        </w:tc>
        <w:tc>
          <w:tcPr>
            <w:tcW w:w="306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72CB332A"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Discussion of the Task Force’s proposed recommendations</w:t>
            </w:r>
          </w:p>
        </w:tc>
        <w:tc>
          <w:tcPr>
            <w:tcW w:w="225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7876C87E" w14:textId="77777777" w:rsidR="00BA153B" w:rsidRPr="00BA153B" w:rsidRDefault="00BA153B" w:rsidP="00BA153B">
            <w:pPr>
              <w:rPr>
                <w:rFonts w:asciiTheme="majorHAnsi" w:hAnsiTheme="majorHAnsi" w:cstheme="majorHAnsi"/>
              </w:rPr>
            </w:pPr>
            <w:hyperlink r:id="rId37" w:history="1">
              <w:r w:rsidRPr="00BA153B">
                <w:rPr>
                  <w:rStyle w:val="Hyperlink"/>
                  <w:rFonts w:asciiTheme="majorHAnsi" w:hAnsiTheme="majorHAnsi" w:cstheme="majorHAnsi"/>
                  <w:b/>
                  <w:bCs/>
                </w:rPr>
                <w:t>Proposed Recommendations</w:t>
              </w:r>
            </w:hyperlink>
          </w:p>
        </w:tc>
      </w:tr>
    </w:tbl>
    <w:p w14:paraId="3ABBC658" w14:textId="50B4F57C" w:rsidR="00D64948" w:rsidRDefault="00D64948">
      <w:r w:rsidRPr="00BA153B">
        <w:rPr>
          <w:rFonts w:asciiTheme="majorHAnsi" w:hAnsiTheme="majorHAnsi" w:cstheme="majorHAnsi"/>
          <w:b/>
          <w:bCs/>
        </w:rPr>
        <w:t>March 14, 2025</w:t>
      </w:r>
    </w:p>
    <w:tbl>
      <w:tblPr>
        <w:tblW w:w="8810" w:type="dxa"/>
        <w:tblCellMar>
          <w:left w:w="0" w:type="dxa"/>
          <w:right w:w="0" w:type="dxa"/>
        </w:tblCellMar>
        <w:tblLook w:val="04A0" w:firstRow="1" w:lastRow="0" w:firstColumn="1" w:lastColumn="0" w:noHBand="0" w:noVBand="1"/>
      </w:tblPr>
      <w:tblGrid>
        <w:gridCol w:w="3500"/>
        <w:gridCol w:w="3060"/>
        <w:gridCol w:w="2250"/>
      </w:tblGrid>
      <w:tr w:rsidR="00BA153B" w:rsidRPr="00BA153B" w14:paraId="18B5AA70" w14:textId="77777777" w:rsidTr="00BA153B">
        <w:trPr>
          <w:trHeight w:val="1653"/>
        </w:trPr>
        <w:tc>
          <w:tcPr>
            <w:tcW w:w="350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14" w:type="dxa"/>
              <w:right w:w="38" w:type="dxa"/>
            </w:tcMar>
            <w:vAlign w:val="center"/>
            <w:hideMark/>
          </w:tcPr>
          <w:p w14:paraId="6515A11F" w14:textId="77777777" w:rsidR="00BA153B" w:rsidRPr="00BA153B" w:rsidRDefault="00BA153B" w:rsidP="00BA153B">
            <w:pPr>
              <w:rPr>
                <w:rFonts w:asciiTheme="majorHAnsi" w:hAnsiTheme="majorHAnsi" w:cstheme="majorHAnsi"/>
              </w:rPr>
            </w:pPr>
            <w:r w:rsidRPr="00BA153B">
              <w:rPr>
                <w:rFonts w:asciiTheme="majorHAnsi" w:hAnsiTheme="majorHAnsi" w:cstheme="majorHAnsi"/>
                <w:b/>
                <w:bCs/>
              </w:rPr>
              <w:t xml:space="preserve">Kiame </w:t>
            </w:r>
            <w:proofErr w:type="spellStart"/>
            <w:r w:rsidRPr="00BA153B">
              <w:rPr>
                <w:rFonts w:asciiTheme="majorHAnsi" w:hAnsiTheme="majorHAnsi" w:cstheme="majorHAnsi"/>
                <w:b/>
                <w:bCs/>
              </w:rPr>
              <w:t>Mahaniah</w:t>
            </w:r>
            <w:proofErr w:type="spellEnd"/>
          </w:p>
          <w:p w14:paraId="09D31A86"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Undersecretary for Health, EOHHS</w:t>
            </w:r>
          </w:p>
        </w:tc>
        <w:tc>
          <w:tcPr>
            <w:tcW w:w="306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02AD4E9D" w14:textId="77777777" w:rsidR="00BA153B" w:rsidRPr="00BA153B" w:rsidRDefault="00BA153B" w:rsidP="00BA153B">
            <w:pPr>
              <w:rPr>
                <w:rFonts w:asciiTheme="majorHAnsi" w:hAnsiTheme="majorHAnsi" w:cstheme="majorHAnsi"/>
              </w:rPr>
            </w:pPr>
            <w:r w:rsidRPr="00BA153B">
              <w:rPr>
                <w:rFonts w:asciiTheme="majorHAnsi" w:hAnsiTheme="majorHAnsi" w:cstheme="majorHAnsi"/>
              </w:rPr>
              <w:t>Discussion of the Task Force’s draft report and proposed recommendations</w:t>
            </w:r>
          </w:p>
        </w:tc>
        <w:tc>
          <w:tcPr>
            <w:tcW w:w="2250" w:type="dxa"/>
            <w:tcBorders>
              <w:top w:val="single" w:sz="8" w:space="0" w:color="000000"/>
              <w:left w:val="single" w:sz="8" w:space="0" w:color="000000"/>
              <w:bottom w:val="single" w:sz="8" w:space="0" w:color="000000"/>
              <w:right w:val="single" w:sz="8" w:space="0" w:color="000000"/>
            </w:tcBorders>
            <w:shd w:val="clear" w:color="auto" w:fill="DAE0EF"/>
            <w:tcMar>
              <w:top w:w="14" w:type="dxa"/>
              <w:left w:w="38" w:type="dxa"/>
              <w:bottom w:w="24" w:type="dxa"/>
              <w:right w:w="38" w:type="dxa"/>
            </w:tcMar>
            <w:vAlign w:val="center"/>
            <w:hideMark/>
          </w:tcPr>
          <w:p w14:paraId="4DAD9EE6" w14:textId="77777777" w:rsidR="00BA153B" w:rsidRPr="00BA153B" w:rsidRDefault="00BA153B" w:rsidP="00BA153B">
            <w:pPr>
              <w:rPr>
                <w:rFonts w:asciiTheme="majorHAnsi" w:hAnsiTheme="majorHAnsi" w:cstheme="majorHAnsi"/>
              </w:rPr>
            </w:pPr>
            <w:r w:rsidRPr="00BA153B">
              <w:rPr>
                <w:rFonts w:asciiTheme="majorHAnsi" w:hAnsiTheme="majorHAnsi" w:cstheme="majorHAnsi"/>
                <w:b/>
                <w:bCs/>
              </w:rPr>
              <w:t>Draft Report</w:t>
            </w:r>
          </w:p>
        </w:tc>
      </w:tr>
    </w:tbl>
    <w:p w14:paraId="4C39033D" w14:textId="183C4030" w:rsidR="001E1A3E" w:rsidRPr="00F178E4" w:rsidRDefault="001E1A3E">
      <w:pPr>
        <w:rPr>
          <w:rFonts w:asciiTheme="majorHAnsi" w:hAnsiTheme="majorHAnsi" w:cstheme="majorHAnsi"/>
        </w:rPr>
      </w:pPr>
    </w:p>
    <w:p w14:paraId="423E22DC" w14:textId="77777777" w:rsidR="001E1A3E" w:rsidRPr="00F178E4" w:rsidRDefault="00000000">
      <w:pPr>
        <w:pStyle w:val="Heading1"/>
        <w:rPr>
          <w:rFonts w:cstheme="majorHAnsi"/>
        </w:rPr>
      </w:pPr>
      <w:r w:rsidRPr="00F178E4">
        <w:rPr>
          <w:rFonts w:cstheme="majorHAnsi"/>
        </w:rPr>
        <w:t>Slide 48</w:t>
      </w:r>
    </w:p>
    <w:p w14:paraId="3C03797B" w14:textId="3EA8A1B0" w:rsidR="00BA153B" w:rsidRDefault="00BA153B">
      <w:pPr>
        <w:rPr>
          <w:rFonts w:asciiTheme="majorHAnsi" w:hAnsiTheme="majorHAnsi" w:cstheme="majorHAnsi"/>
        </w:rPr>
      </w:pPr>
      <w:r w:rsidRPr="00F178E4">
        <w:rPr>
          <w:rFonts w:asciiTheme="majorHAnsi" w:hAnsiTheme="majorHAnsi" w:cstheme="majorHAnsi"/>
        </w:rPr>
        <w:t>Appendix D – Resources Reviewed by the Task Force</w:t>
      </w:r>
    </w:p>
    <w:p w14:paraId="64CC3ABF" w14:textId="6AEA5D20" w:rsidR="001E1A3E" w:rsidRDefault="00000000">
      <w:pPr>
        <w:rPr>
          <w:rFonts w:asciiTheme="majorHAnsi" w:hAnsiTheme="majorHAnsi" w:cstheme="majorHAnsi"/>
        </w:rPr>
      </w:pPr>
      <w:r w:rsidRPr="00F178E4">
        <w:rPr>
          <w:rFonts w:asciiTheme="majorHAnsi" w:hAnsiTheme="majorHAnsi" w:cstheme="majorHAnsi"/>
        </w:rPr>
        <w:t xml:space="preserve">Copies of all meeting materials are available on the Task Force’s </w:t>
      </w:r>
      <w:proofErr w:type="spellStart"/>
      <w:r w:rsidRPr="00F178E4">
        <w:rPr>
          <w:rFonts w:asciiTheme="majorHAnsi" w:hAnsiTheme="majorHAnsi" w:cstheme="majorHAnsi"/>
        </w:rPr>
        <w:t>Mass.govwebpage</w:t>
      </w:r>
      <w:proofErr w:type="spellEnd"/>
      <w:r w:rsidRPr="00F178E4">
        <w:rPr>
          <w:rFonts w:asciiTheme="majorHAnsi" w:hAnsiTheme="majorHAnsi" w:cstheme="majorHAnsi"/>
        </w:rPr>
        <w:t xml:space="preserve">: </w:t>
      </w:r>
      <w:hyperlink r:id="rId38" w:history="1">
        <w:r w:rsidR="00BA153B" w:rsidRPr="00DA5F8D">
          <w:rPr>
            <w:rStyle w:val="Hyperlink"/>
            <w:rFonts w:asciiTheme="majorHAnsi" w:hAnsiTheme="majorHAnsi" w:cstheme="majorHAnsi"/>
          </w:rPr>
          <w:t>https://www.mass.gov/info-details/rest-home-task-force-meeting-materials</w:t>
        </w:r>
      </w:hyperlink>
      <w:r w:rsidR="00BA153B">
        <w:rPr>
          <w:rFonts w:asciiTheme="majorHAnsi" w:hAnsiTheme="majorHAnsi" w:cstheme="majorHAnsi"/>
        </w:rPr>
        <w:t xml:space="preserve"> </w:t>
      </w:r>
    </w:p>
    <w:p w14:paraId="616E98D7" w14:textId="77777777" w:rsidR="00BA153B" w:rsidRPr="00F178E4" w:rsidRDefault="00BA153B">
      <w:pPr>
        <w:rPr>
          <w:rFonts w:asciiTheme="majorHAnsi" w:hAnsiTheme="majorHAnsi" w:cstheme="majorHAnsi"/>
        </w:rPr>
      </w:pPr>
    </w:p>
    <w:p w14:paraId="5AF626F2" w14:textId="77777777" w:rsidR="00BA153B" w:rsidRPr="00BA153B" w:rsidRDefault="00BA153B" w:rsidP="00BA153B">
      <w:pPr>
        <w:rPr>
          <w:rFonts w:asciiTheme="majorHAnsi" w:hAnsiTheme="majorHAnsi" w:cstheme="majorHAnsi"/>
        </w:rPr>
      </w:pPr>
      <w:r w:rsidRPr="00BA153B">
        <w:rPr>
          <w:rFonts w:asciiTheme="majorHAnsi" w:hAnsiTheme="majorHAnsi" w:cstheme="majorHAnsi"/>
          <w:u w:val="single"/>
        </w:rPr>
        <w:t>January 10, 2025</w:t>
      </w:r>
    </w:p>
    <w:p w14:paraId="30410561" w14:textId="77777777" w:rsidR="00BA153B" w:rsidRPr="00BA153B" w:rsidRDefault="00BA153B" w:rsidP="00D64948">
      <w:pPr>
        <w:numPr>
          <w:ilvl w:val="0"/>
          <w:numId w:val="52"/>
        </w:numPr>
        <w:rPr>
          <w:rFonts w:asciiTheme="majorHAnsi" w:hAnsiTheme="majorHAnsi" w:cstheme="majorHAnsi"/>
        </w:rPr>
      </w:pPr>
      <w:hyperlink r:id="rId39" w:history="1">
        <w:r w:rsidRPr="00BA153B">
          <w:rPr>
            <w:rStyle w:val="Hyperlink"/>
            <w:rFonts w:asciiTheme="majorHAnsi" w:hAnsiTheme="majorHAnsi" w:cstheme="majorHAnsi"/>
          </w:rPr>
          <w:t>Approved 1/10/2025 Meeting Minutes</w:t>
        </w:r>
      </w:hyperlink>
    </w:p>
    <w:p w14:paraId="4978308E" w14:textId="77777777" w:rsidR="00BA153B" w:rsidRPr="00BA153B" w:rsidRDefault="00BA153B" w:rsidP="00D64948">
      <w:pPr>
        <w:numPr>
          <w:ilvl w:val="0"/>
          <w:numId w:val="52"/>
        </w:numPr>
        <w:rPr>
          <w:rFonts w:asciiTheme="majorHAnsi" w:hAnsiTheme="majorHAnsi" w:cstheme="majorHAnsi"/>
        </w:rPr>
      </w:pPr>
      <w:hyperlink r:id="rId40" w:history="1">
        <w:r w:rsidRPr="00BA153B">
          <w:rPr>
            <w:rStyle w:val="Hyperlink"/>
            <w:rFonts w:asciiTheme="majorHAnsi" w:hAnsiTheme="majorHAnsi" w:cstheme="majorHAnsi"/>
          </w:rPr>
          <w:t>Task Force Presentation</w:t>
        </w:r>
      </w:hyperlink>
    </w:p>
    <w:p w14:paraId="22EB9B05" w14:textId="77777777" w:rsidR="00BA153B" w:rsidRPr="00BA153B" w:rsidRDefault="00BA153B" w:rsidP="00D64948">
      <w:pPr>
        <w:numPr>
          <w:ilvl w:val="0"/>
          <w:numId w:val="52"/>
        </w:numPr>
        <w:rPr>
          <w:rFonts w:asciiTheme="majorHAnsi" w:hAnsiTheme="majorHAnsi" w:cstheme="majorHAnsi"/>
        </w:rPr>
      </w:pPr>
      <w:hyperlink r:id="rId41" w:history="1">
        <w:r w:rsidRPr="00BA153B">
          <w:rPr>
            <w:rStyle w:val="Hyperlink"/>
            <w:rFonts w:asciiTheme="majorHAnsi" w:hAnsiTheme="majorHAnsi" w:cstheme="majorHAnsi"/>
          </w:rPr>
          <w:t>Task Force Statute</w:t>
        </w:r>
      </w:hyperlink>
    </w:p>
    <w:p w14:paraId="43A6C3B7" w14:textId="77777777" w:rsidR="00BA153B" w:rsidRPr="00BA153B" w:rsidRDefault="00BA153B" w:rsidP="00D64948">
      <w:pPr>
        <w:numPr>
          <w:ilvl w:val="0"/>
          <w:numId w:val="52"/>
        </w:numPr>
        <w:rPr>
          <w:rFonts w:asciiTheme="majorHAnsi" w:hAnsiTheme="majorHAnsi" w:cstheme="majorHAnsi"/>
        </w:rPr>
      </w:pPr>
      <w:hyperlink r:id="rId42" w:history="1">
        <w:r w:rsidRPr="00BA153B">
          <w:rPr>
            <w:rStyle w:val="Hyperlink"/>
            <w:rFonts w:asciiTheme="majorHAnsi" w:hAnsiTheme="majorHAnsi" w:cstheme="majorHAnsi"/>
          </w:rPr>
          <w:t>Bureau of Health Care Safety &amp; Quality Data Summary</w:t>
        </w:r>
      </w:hyperlink>
    </w:p>
    <w:p w14:paraId="6FAF2675" w14:textId="77777777" w:rsidR="00BA153B" w:rsidRPr="00BA153B" w:rsidRDefault="00BA153B" w:rsidP="00D64948">
      <w:pPr>
        <w:numPr>
          <w:ilvl w:val="0"/>
          <w:numId w:val="52"/>
        </w:numPr>
        <w:rPr>
          <w:rFonts w:asciiTheme="majorHAnsi" w:hAnsiTheme="majorHAnsi" w:cstheme="majorHAnsi"/>
        </w:rPr>
      </w:pPr>
      <w:hyperlink r:id="rId43" w:history="1">
        <w:r w:rsidRPr="00BA153B">
          <w:rPr>
            <w:rStyle w:val="Hyperlink"/>
            <w:rFonts w:asciiTheme="majorHAnsi" w:hAnsiTheme="majorHAnsi" w:cstheme="majorHAnsi"/>
          </w:rPr>
          <w:t>MARCH Statement</w:t>
        </w:r>
      </w:hyperlink>
    </w:p>
    <w:p w14:paraId="2D6354AF" w14:textId="77777777" w:rsidR="00BA153B" w:rsidRPr="00BA153B" w:rsidRDefault="00BA153B" w:rsidP="00BA153B">
      <w:pPr>
        <w:rPr>
          <w:rFonts w:asciiTheme="majorHAnsi" w:hAnsiTheme="majorHAnsi" w:cstheme="majorHAnsi"/>
        </w:rPr>
      </w:pPr>
      <w:r w:rsidRPr="00BA153B">
        <w:rPr>
          <w:rFonts w:asciiTheme="majorHAnsi" w:hAnsiTheme="majorHAnsi" w:cstheme="majorHAnsi"/>
          <w:u w:val="single"/>
        </w:rPr>
        <w:lastRenderedPageBreak/>
        <w:t>January 24, 2025</w:t>
      </w:r>
    </w:p>
    <w:p w14:paraId="56B492EB" w14:textId="77777777" w:rsidR="00BA153B" w:rsidRPr="00BA153B" w:rsidRDefault="00BA153B" w:rsidP="00D64948">
      <w:pPr>
        <w:numPr>
          <w:ilvl w:val="0"/>
          <w:numId w:val="53"/>
        </w:numPr>
        <w:rPr>
          <w:rFonts w:asciiTheme="majorHAnsi" w:hAnsiTheme="majorHAnsi" w:cstheme="majorHAnsi"/>
        </w:rPr>
      </w:pPr>
      <w:hyperlink r:id="rId44" w:history="1">
        <w:r w:rsidRPr="00BA153B">
          <w:rPr>
            <w:rStyle w:val="Hyperlink"/>
            <w:rFonts w:asciiTheme="majorHAnsi" w:hAnsiTheme="majorHAnsi" w:cstheme="majorHAnsi"/>
          </w:rPr>
          <w:t>Approved 1/24/2025 Meeting Minutes</w:t>
        </w:r>
      </w:hyperlink>
    </w:p>
    <w:p w14:paraId="687516F0" w14:textId="77777777" w:rsidR="00BA153B" w:rsidRPr="00BA153B" w:rsidRDefault="00BA153B" w:rsidP="00D64948">
      <w:pPr>
        <w:numPr>
          <w:ilvl w:val="0"/>
          <w:numId w:val="53"/>
        </w:numPr>
        <w:rPr>
          <w:rFonts w:asciiTheme="majorHAnsi" w:hAnsiTheme="majorHAnsi" w:cstheme="majorHAnsi"/>
        </w:rPr>
      </w:pPr>
      <w:hyperlink r:id="rId45" w:history="1">
        <w:r w:rsidRPr="00BA153B">
          <w:rPr>
            <w:rStyle w:val="Hyperlink"/>
            <w:rFonts w:asciiTheme="majorHAnsi" w:hAnsiTheme="majorHAnsi" w:cstheme="majorHAnsi"/>
          </w:rPr>
          <w:t>Rest Home Payment &amp; Rate Overview</w:t>
        </w:r>
      </w:hyperlink>
    </w:p>
    <w:p w14:paraId="6EFDDFA8" w14:textId="77777777" w:rsidR="00BA153B" w:rsidRPr="00BA153B" w:rsidRDefault="00BA153B" w:rsidP="00D64948">
      <w:pPr>
        <w:numPr>
          <w:ilvl w:val="0"/>
          <w:numId w:val="53"/>
        </w:numPr>
        <w:rPr>
          <w:rFonts w:asciiTheme="majorHAnsi" w:hAnsiTheme="majorHAnsi" w:cstheme="majorHAnsi"/>
        </w:rPr>
      </w:pPr>
      <w:hyperlink r:id="rId46" w:history="1">
        <w:r w:rsidRPr="00BA153B">
          <w:rPr>
            <w:rStyle w:val="Hyperlink"/>
            <w:rFonts w:asciiTheme="majorHAnsi" w:hAnsiTheme="majorHAnsi" w:cstheme="majorHAnsi"/>
          </w:rPr>
          <w:t>Rest Home Task Force Revised Calendar</w:t>
        </w:r>
      </w:hyperlink>
    </w:p>
    <w:p w14:paraId="5BCFCB40" w14:textId="49489520" w:rsidR="001E1A3E" w:rsidRPr="00F178E4" w:rsidRDefault="001E1A3E">
      <w:pPr>
        <w:rPr>
          <w:rFonts w:asciiTheme="majorHAnsi" w:hAnsiTheme="majorHAnsi" w:cstheme="majorHAnsi"/>
        </w:rPr>
      </w:pPr>
    </w:p>
    <w:p w14:paraId="4DB52A78" w14:textId="77777777" w:rsidR="001E1A3E" w:rsidRPr="00F178E4" w:rsidRDefault="00000000">
      <w:pPr>
        <w:pStyle w:val="Heading1"/>
        <w:rPr>
          <w:rFonts w:cstheme="majorHAnsi"/>
        </w:rPr>
      </w:pPr>
      <w:r w:rsidRPr="00F178E4">
        <w:rPr>
          <w:rFonts w:cstheme="majorHAnsi"/>
        </w:rPr>
        <w:t>Slide 49</w:t>
      </w:r>
    </w:p>
    <w:p w14:paraId="66E2F1C9" w14:textId="77777777" w:rsidR="001E1A3E" w:rsidRPr="00F178E4" w:rsidRDefault="00000000">
      <w:pPr>
        <w:rPr>
          <w:rFonts w:asciiTheme="majorHAnsi" w:hAnsiTheme="majorHAnsi" w:cstheme="majorHAnsi"/>
        </w:rPr>
      </w:pPr>
      <w:r w:rsidRPr="00F178E4">
        <w:rPr>
          <w:rFonts w:asciiTheme="majorHAnsi" w:hAnsiTheme="majorHAnsi" w:cstheme="majorHAnsi"/>
        </w:rPr>
        <w:t>Appendix D – Resources Reviewed by the Task Force (cont.)</w:t>
      </w:r>
    </w:p>
    <w:p w14:paraId="223108A1" w14:textId="77777777" w:rsidR="00AD3D91" w:rsidRPr="00AD3D91" w:rsidRDefault="00AD3D91" w:rsidP="00AD3D91">
      <w:pPr>
        <w:rPr>
          <w:rFonts w:asciiTheme="majorHAnsi" w:hAnsiTheme="majorHAnsi" w:cstheme="majorHAnsi"/>
        </w:rPr>
      </w:pPr>
      <w:r w:rsidRPr="00AD3D91">
        <w:rPr>
          <w:rFonts w:asciiTheme="majorHAnsi" w:hAnsiTheme="majorHAnsi" w:cstheme="majorHAnsi"/>
          <w:u w:val="single"/>
        </w:rPr>
        <w:t>February 7, 2025</w:t>
      </w:r>
    </w:p>
    <w:p w14:paraId="4E24DE48" w14:textId="77777777" w:rsidR="00AD3D91" w:rsidRPr="00AD3D91" w:rsidRDefault="00AD3D91" w:rsidP="00D64948">
      <w:pPr>
        <w:numPr>
          <w:ilvl w:val="0"/>
          <w:numId w:val="54"/>
        </w:numPr>
        <w:rPr>
          <w:rFonts w:asciiTheme="majorHAnsi" w:hAnsiTheme="majorHAnsi" w:cstheme="majorHAnsi"/>
        </w:rPr>
      </w:pPr>
      <w:hyperlink r:id="rId47" w:history="1">
        <w:r w:rsidRPr="00AD3D91">
          <w:rPr>
            <w:rStyle w:val="Hyperlink"/>
            <w:rFonts w:asciiTheme="majorHAnsi" w:hAnsiTheme="majorHAnsi" w:cstheme="majorHAnsi"/>
          </w:rPr>
          <w:t>Approved 2/7/2025 Meeting Minutes</w:t>
        </w:r>
      </w:hyperlink>
    </w:p>
    <w:p w14:paraId="7770492B" w14:textId="77777777" w:rsidR="00AD3D91" w:rsidRPr="00AD3D91" w:rsidRDefault="00AD3D91" w:rsidP="00D64948">
      <w:pPr>
        <w:numPr>
          <w:ilvl w:val="0"/>
          <w:numId w:val="54"/>
        </w:numPr>
        <w:rPr>
          <w:rFonts w:asciiTheme="majorHAnsi" w:hAnsiTheme="majorHAnsi" w:cstheme="majorHAnsi"/>
        </w:rPr>
      </w:pPr>
      <w:hyperlink r:id="rId48" w:history="1">
        <w:r w:rsidRPr="00AD3D91">
          <w:rPr>
            <w:rStyle w:val="Hyperlink"/>
            <w:rFonts w:asciiTheme="majorHAnsi" w:hAnsiTheme="majorHAnsi" w:cstheme="majorHAnsi"/>
          </w:rPr>
          <w:t>MARCH Presentation</w:t>
        </w:r>
      </w:hyperlink>
    </w:p>
    <w:p w14:paraId="29B3EEBC" w14:textId="77777777" w:rsidR="00AD3D91" w:rsidRPr="00AD3D91" w:rsidRDefault="00AD3D91" w:rsidP="00D64948">
      <w:pPr>
        <w:numPr>
          <w:ilvl w:val="0"/>
          <w:numId w:val="54"/>
        </w:numPr>
        <w:rPr>
          <w:rFonts w:asciiTheme="majorHAnsi" w:hAnsiTheme="majorHAnsi" w:cstheme="majorHAnsi"/>
        </w:rPr>
      </w:pPr>
      <w:hyperlink r:id="rId49" w:history="1">
        <w:proofErr w:type="spellStart"/>
        <w:r w:rsidRPr="00AD3D91">
          <w:rPr>
            <w:rStyle w:val="Hyperlink"/>
            <w:rFonts w:asciiTheme="majorHAnsi" w:hAnsiTheme="majorHAnsi" w:cstheme="majorHAnsi"/>
          </w:rPr>
          <w:t>Condase</w:t>
        </w:r>
        <w:proofErr w:type="spellEnd"/>
        <w:r w:rsidRPr="00AD3D91">
          <w:rPr>
            <w:rStyle w:val="Hyperlink"/>
            <w:rFonts w:asciiTheme="majorHAnsi" w:hAnsiTheme="majorHAnsi" w:cstheme="majorHAnsi"/>
          </w:rPr>
          <w:t xml:space="preserve"> Weekes-Best Presentation</w:t>
        </w:r>
      </w:hyperlink>
    </w:p>
    <w:p w14:paraId="76DA5C5D" w14:textId="77777777" w:rsidR="00AD3D91" w:rsidRPr="00AD3D91" w:rsidRDefault="00AD3D91" w:rsidP="00D64948">
      <w:pPr>
        <w:numPr>
          <w:ilvl w:val="0"/>
          <w:numId w:val="54"/>
        </w:numPr>
        <w:rPr>
          <w:rFonts w:asciiTheme="majorHAnsi" w:hAnsiTheme="majorHAnsi" w:cstheme="majorHAnsi"/>
        </w:rPr>
      </w:pPr>
      <w:hyperlink r:id="rId50" w:history="1">
        <w:r w:rsidRPr="00AD3D91">
          <w:rPr>
            <w:rStyle w:val="Hyperlink"/>
            <w:rFonts w:asciiTheme="majorHAnsi" w:hAnsiTheme="majorHAnsi" w:cstheme="majorHAnsi"/>
          </w:rPr>
          <w:t>Nursing Facility T</w:t>
        </w:r>
        <w:r w:rsidRPr="00AD3D91">
          <w:rPr>
            <w:rStyle w:val="Hyperlink"/>
            <w:rFonts w:asciiTheme="majorHAnsi" w:hAnsiTheme="majorHAnsi" w:cstheme="majorHAnsi"/>
          </w:rPr>
          <w:t>a</w:t>
        </w:r>
        <w:r w:rsidRPr="00AD3D91">
          <w:rPr>
            <w:rStyle w:val="Hyperlink"/>
            <w:rFonts w:asciiTheme="majorHAnsi" w:hAnsiTheme="majorHAnsi" w:cstheme="majorHAnsi"/>
          </w:rPr>
          <w:t>sk</w:t>
        </w:r>
        <w:r w:rsidRPr="00AD3D91">
          <w:rPr>
            <w:rStyle w:val="Hyperlink"/>
            <w:rFonts w:asciiTheme="majorHAnsi" w:hAnsiTheme="majorHAnsi" w:cstheme="majorHAnsi"/>
          </w:rPr>
          <w:t xml:space="preserve"> </w:t>
        </w:r>
        <w:r w:rsidRPr="00AD3D91">
          <w:rPr>
            <w:rStyle w:val="Hyperlink"/>
            <w:rFonts w:asciiTheme="majorHAnsi" w:hAnsiTheme="majorHAnsi" w:cstheme="majorHAnsi"/>
          </w:rPr>
          <w:t>Force Recommendations</w:t>
        </w:r>
      </w:hyperlink>
    </w:p>
    <w:p w14:paraId="32165339" w14:textId="77777777" w:rsidR="00AD3D91" w:rsidRPr="00AD3D91" w:rsidRDefault="00AD3D91" w:rsidP="00AD3D91">
      <w:pPr>
        <w:rPr>
          <w:rFonts w:asciiTheme="majorHAnsi" w:hAnsiTheme="majorHAnsi" w:cstheme="majorHAnsi"/>
        </w:rPr>
      </w:pPr>
      <w:r w:rsidRPr="00AD3D91">
        <w:rPr>
          <w:rFonts w:asciiTheme="majorHAnsi" w:hAnsiTheme="majorHAnsi" w:cstheme="majorHAnsi"/>
          <w:u w:val="single"/>
        </w:rPr>
        <w:t>February 28, 2025</w:t>
      </w:r>
    </w:p>
    <w:p w14:paraId="1D8379DE" w14:textId="77777777" w:rsidR="00AD3D91" w:rsidRPr="00AD3D91" w:rsidRDefault="00AD3D91" w:rsidP="00D64948">
      <w:pPr>
        <w:numPr>
          <w:ilvl w:val="0"/>
          <w:numId w:val="55"/>
        </w:numPr>
        <w:rPr>
          <w:rFonts w:asciiTheme="majorHAnsi" w:hAnsiTheme="majorHAnsi" w:cstheme="majorHAnsi"/>
        </w:rPr>
      </w:pPr>
      <w:hyperlink r:id="rId51" w:history="1">
        <w:r w:rsidRPr="00AD3D91">
          <w:rPr>
            <w:rStyle w:val="Hyperlink"/>
            <w:rFonts w:asciiTheme="majorHAnsi" w:hAnsiTheme="majorHAnsi" w:cstheme="majorHAnsi"/>
          </w:rPr>
          <w:t>Approved 2/28/2025 Meeting Minutes</w:t>
        </w:r>
      </w:hyperlink>
    </w:p>
    <w:p w14:paraId="57E6EA0D" w14:textId="77777777" w:rsidR="00AD3D91" w:rsidRPr="00AD3D91" w:rsidRDefault="00AD3D91" w:rsidP="00D64948">
      <w:pPr>
        <w:numPr>
          <w:ilvl w:val="0"/>
          <w:numId w:val="55"/>
        </w:numPr>
        <w:rPr>
          <w:rFonts w:asciiTheme="majorHAnsi" w:hAnsiTheme="majorHAnsi" w:cstheme="majorHAnsi"/>
        </w:rPr>
      </w:pPr>
      <w:hyperlink r:id="rId52" w:history="1">
        <w:r w:rsidRPr="00AD3D91">
          <w:rPr>
            <w:rStyle w:val="Hyperlink"/>
            <w:rFonts w:asciiTheme="majorHAnsi" w:hAnsiTheme="majorHAnsi" w:cstheme="majorHAnsi"/>
          </w:rPr>
          <w:t>Proposed Recommendations</w:t>
        </w:r>
      </w:hyperlink>
    </w:p>
    <w:p w14:paraId="50ADDB99" w14:textId="77777777" w:rsidR="00AD3D91" w:rsidRPr="00AD3D91" w:rsidRDefault="00AD3D91" w:rsidP="00AD3D91">
      <w:pPr>
        <w:rPr>
          <w:rFonts w:asciiTheme="majorHAnsi" w:hAnsiTheme="majorHAnsi" w:cstheme="majorHAnsi"/>
        </w:rPr>
      </w:pPr>
      <w:r w:rsidRPr="00AD3D91">
        <w:rPr>
          <w:rFonts w:asciiTheme="majorHAnsi" w:hAnsiTheme="majorHAnsi" w:cstheme="majorHAnsi"/>
          <w:u w:val="single"/>
        </w:rPr>
        <w:t>March 14, 2025</w:t>
      </w:r>
    </w:p>
    <w:p w14:paraId="38CE657B" w14:textId="77777777" w:rsidR="00AD3D91" w:rsidRPr="00AD3D91" w:rsidRDefault="00AD3D91" w:rsidP="00D64948">
      <w:pPr>
        <w:numPr>
          <w:ilvl w:val="0"/>
          <w:numId w:val="56"/>
        </w:numPr>
        <w:rPr>
          <w:rFonts w:asciiTheme="majorHAnsi" w:hAnsiTheme="majorHAnsi" w:cstheme="majorHAnsi"/>
        </w:rPr>
      </w:pPr>
      <w:hyperlink r:id="rId53" w:history="1">
        <w:r w:rsidRPr="00AD3D91">
          <w:rPr>
            <w:rStyle w:val="Hyperlink"/>
            <w:rFonts w:asciiTheme="majorHAnsi" w:hAnsiTheme="majorHAnsi" w:cstheme="majorHAnsi"/>
          </w:rPr>
          <w:t>Approved 3/14/2025 Meeting Minutes</w:t>
        </w:r>
      </w:hyperlink>
    </w:p>
    <w:p w14:paraId="611804E9" w14:textId="77777777" w:rsidR="00AD3D91" w:rsidRPr="00AD3D91" w:rsidRDefault="00AD3D91" w:rsidP="00D64948">
      <w:pPr>
        <w:numPr>
          <w:ilvl w:val="0"/>
          <w:numId w:val="56"/>
        </w:numPr>
        <w:rPr>
          <w:rFonts w:asciiTheme="majorHAnsi" w:hAnsiTheme="majorHAnsi" w:cstheme="majorHAnsi"/>
        </w:rPr>
      </w:pPr>
      <w:r w:rsidRPr="00AD3D91">
        <w:rPr>
          <w:rFonts w:asciiTheme="majorHAnsi" w:hAnsiTheme="majorHAnsi" w:cstheme="majorHAnsi"/>
        </w:rPr>
        <w:t>Draft Report</w:t>
      </w:r>
    </w:p>
    <w:p w14:paraId="657A5E35" w14:textId="77777777" w:rsidR="00BA153B" w:rsidRPr="00F178E4" w:rsidRDefault="00BA153B">
      <w:pPr>
        <w:rPr>
          <w:rFonts w:asciiTheme="majorHAnsi" w:hAnsiTheme="majorHAnsi" w:cstheme="majorHAnsi"/>
        </w:rPr>
      </w:pPr>
    </w:p>
    <w:p w14:paraId="7E45D420" w14:textId="77777777" w:rsidR="001E1A3E" w:rsidRPr="00F178E4" w:rsidRDefault="00000000">
      <w:pPr>
        <w:pStyle w:val="Heading1"/>
        <w:rPr>
          <w:rFonts w:cstheme="majorHAnsi"/>
        </w:rPr>
      </w:pPr>
      <w:r w:rsidRPr="00F178E4">
        <w:rPr>
          <w:rFonts w:cstheme="majorHAnsi"/>
        </w:rPr>
        <w:t>Slide 50</w:t>
      </w:r>
    </w:p>
    <w:p w14:paraId="57E7C124" w14:textId="77777777" w:rsidR="001E1A3E" w:rsidRPr="00AD3D91" w:rsidRDefault="00000000">
      <w:pPr>
        <w:rPr>
          <w:rFonts w:asciiTheme="majorHAnsi" w:hAnsiTheme="majorHAnsi" w:cstheme="majorHAnsi"/>
        </w:rPr>
      </w:pPr>
      <w:r w:rsidRPr="00AD3D91">
        <w:rPr>
          <w:rFonts w:asciiTheme="majorHAnsi" w:hAnsiTheme="majorHAnsi" w:cstheme="majorHAnsi"/>
        </w:rPr>
        <w:t>Appendix E – Written Comments Received from Members Regarding the Draft Report</w:t>
      </w:r>
    </w:p>
    <w:p w14:paraId="0EFD38DD" w14:textId="77777777" w:rsidR="00AD3D91" w:rsidRPr="00AD3D91" w:rsidRDefault="00AD3D91" w:rsidP="00AD3D91">
      <w:pPr>
        <w:rPr>
          <w:rFonts w:asciiTheme="majorHAnsi" w:hAnsiTheme="majorHAnsi" w:cstheme="majorHAnsi"/>
        </w:rPr>
      </w:pPr>
    </w:p>
    <w:p w14:paraId="237B21AC" w14:textId="77777777" w:rsidR="00AD3D91" w:rsidRPr="00AD3D91" w:rsidRDefault="00AD3D91" w:rsidP="00AD3D91">
      <w:pPr>
        <w:rPr>
          <w:rFonts w:asciiTheme="majorHAnsi" w:hAnsiTheme="majorHAnsi" w:cstheme="majorHAnsi"/>
        </w:rPr>
      </w:pPr>
    </w:p>
    <w:p w14:paraId="45C77D7B" w14:textId="77777777" w:rsidR="00AD3D91" w:rsidRPr="00AD3D91" w:rsidRDefault="00AD3D91" w:rsidP="00AD3D91">
      <w:pPr>
        <w:jc w:val="center"/>
        <w:rPr>
          <w:rFonts w:asciiTheme="majorHAnsi" w:hAnsiTheme="majorHAnsi" w:cstheme="majorHAnsi"/>
          <w:b/>
          <w:bCs/>
        </w:rPr>
      </w:pPr>
      <w:r w:rsidRPr="00AD3D91">
        <w:rPr>
          <w:rFonts w:asciiTheme="majorHAnsi" w:hAnsiTheme="majorHAnsi" w:cstheme="majorHAnsi"/>
          <w:b/>
          <w:bCs/>
        </w:rPr>
        <w:t>Written Submission</w:t>
      </w:r>
    </w:p>
    <w:p w14:paraId="1125A1CA" w14:textId="77777777" w:rsidR="00AD3D91" w:rsidRPr="00AD3D91" w:rsidRDefault="00AD3D91" w:rsidP="00AD3D91">
      <w:pPr>
        <w:jc w:val="center"/>
        <w:rPr>
          <w:rFonts w:asciiTheme="majorHAnsi" w:hAnsiTheme="majorHAnsi" w:cstheme="majorHAnsi"/>
          <w:b/>
          <w:bCs/>
        </w:rPr>
      </w:pPr>
      <w:r w:rsidRPr="00AD3D91">
        <w:rPr>
          <w:rFonts w:asciiTheme="majorHAnsi" w:hAnsiTheme="majorHAnsi" w:cstheme="majorHAnsi"/>
          <w:b/>
          <w:bCs/>
        </w:rPr>
        <w:t>Rest Home Task Force</w:t>
      </w:r>
    </w:p>
    <w:p w14:paraId="6BBC8E82" w14:textId="77777777" w:rsidR="00AD3D91" w:rsidRPr="00AD3D91" w:rsidRDefault="00AD3D91" w:rsidP="00AD3D91">
      <w:pPr>
        <w:jc w:val="center"/>
        <w:rPr>
          <w:rFonts w:asciiTheme="majorHAnsi" w:hAnsiTheme="majorHAnsi" w:cstheme="majorHAnsi"/>
          <w:b/>
          <w:bCs/>
        </w:rPr>
      </w:pPr>
      <w:r w:rsidRPr="00AD3D91">
        <w:rPr>
          <w:rFonts w:asciiTheme="majorHAnsi" w:hAnsiTheme="majorHAnsi" w:cstheme="majorHAnsi"/>
          <w:b/>
          <w:bCs/>
        </w:rPr>
        <w:lastRenderedPageBreak/>
        <w:t>March 19, 2025</w:t>
      </w:r>
    </w:p>
    <w:p w14:paraId="3BB4000C" w14:textId="77777777" w:rsidR="00AD3D91" w:rsidRPr="00AD3D91" w:rsidRDefault="00AD3D91" w:rsidP="00AD3D91">
      <w:pPr>
        <w:jc w:val="center"/>
        <w:rPr>
          <w:rFonts w:asciiTheme="majorHAnsi" w:hAnsiTheme="majorHAnsi" w:cstheme="majorHAnsi"/>
          <w:b/>
          <w:bCs/>
        </w:rPr>
      </w:pPr>
      <w:r w:rsidRPr="00AD3D91">
        <w:rPr>
          <w:rFonts w:asciiTheme="majorHAnsi" w:hAnsiTheme="majorHAnsi" w:cstheme="majorHAnsi"/>
          <w:b/>
          <w:bCs/>
        </w:rPr>
        <w:t>Re: MARCH Final Comments on Proposed Recommendations</w:t>
      </w:r>
    </w:p>
    <w:p w14:paraId="037298B7" w14:textId="77777777" w:rsidR="00AD3D91" w:rsidRPr="00AD3D91" w:rsidRDefault="00AD3D91" w:rsidP="00AD3D91">
      <w:pPr>
        <w:jc w:val="center"/>
        <w:rPr>
          <w:rFonts w:asciiTheme="majorHAnsi" w:hAnsiTheme="majorHAnsi" w:cstheme="majorHAnsi"/>
          <w:b/>
          <w:bCs/>
        </w:rPr>
      </w:pPr>
      <w:r w:rsidRPr="00AD3D91">
        <w:rPr>
          <w:rFonts w:asciiTheme="majorHAnsi" w:hAnsiTheme="majorHAnsi" w:cstheme="majorHAnsi"/>
          <w:b/>
          <w:bCs/>
        </w:rPr>
        <w:t>Submitted by:</w:t>
      </w:r>
    </w:p>
    <w:p w14:paraId="5E595B7A" w14:textId="77777777" w:rsidR="00AD3D91" w:rsidRPr="00AD3D91" w:rsidRDefault="00AD3D91" w:rsidP="00AD3D91">
      <w:pPr>
        <w:jc w:val="center"/>
        <w:rPr>
          <w:rFonts w:asciiTheme="majorHAnsi" w:hAnsiTheme="majorHAnsi" w:cstheme="majorHAnsi"/>
          <w:b/>
          <w:bCs/>
        </w:rPr>
      </w:pPr>
      <w:r w:rsidRPr="00AD3D91">
        <w:rPr>
          <w:rFonts w:asciiTheme="majorHAnsi" w:hAnsiTheme="majorHAnsi" w:cstheme="majorHAnsi"/>
          <w:b/>
          <w:bCs/>
        </w:rPr>
        <w:t>Ronald J. Pawelski, President</w:t>
      </w:r>
    </w:p>
    <w:p w14:paraId="25173D99" w14:textId="77777777" w:rsidR="00AD3D91" w:rsidRPr="00AD3D91" w:rsidRDefault="00AD3D91" w:rsidP="00AD3D91">
      <w:pPr>
        <w:jc w:val="center"/>
        <w:rPr>
          <w:rFonts w:asciiTheme="majorHAnsi" w:hAnsiTheme="majorHAnsi" w:cstheme="majorHAnsi"/>
        </w:rPr>
      </w:pPr>
    </w:p>
    <w:p w14:paraId="07A2EE1A" w14:textId="77777777" w:rsidR="00AD3D91" w:rsidRPr="00AD3D91" w:rsidRDefault="00AD3D91" w:rsidP="00AD3D91">
      <w:pPr>
        <w:rPr>
          <w:rFonts w:asciiTheme="majorHAnsi" w:hAnsiTheme="majorHAnsi" w:cstheme="majorHAnsi"/>
        </w:rPr>
      </w:pPr>
      <w:r w:rsidRPr="00AD3D91">
        <w:rPr>
          <w:rFonts w:asciiTheme="majorHAnsi" w:hAnsiTheme="majorHAnsi" w:cstheme="majorHAnsi"/>
        </w:rPr>
        <w:t xml:space="preserve">After reviewing the proposed recommendations from the final draft, MARCH offers the following comments for inclusion in the final document. </w:t>
      </w:r>
    </w:p>
    <w:p w14:paraId="109514EB" w14:textId="77777777" w:rsidR="00AD3D91" w:rsidRPr="00AD3D91" w:rsidRDefault="00AD3D91" w:rsidP="00AD3D91">
      <w:pPr>
        <w:rPr>
          <w:rFonts w:asciiTheme="majorHAnsi" w:hAnsiTheme="majorHAnsi" w:cstheme="majorHAnsi"/>
        </w:rPr>
      </w:pPr>
    </w:p>
    <w:p w14:paraId="42503B0F" w14:textId="77777777" w:rsidR="00AD3D91" w:rsidRPr="00AD3D91" w:rsidRDefault="00AD3D91" w:rsidP="00AD3D91">
      <w:pPr>
        <w:rPr>
          <w:rFonts w:asciiTheme="majorHAnsi" w:hAnsiTheme="majorHAnsi" w:cstheme="majorHAnsi"/>
        </w:rPr>
      </w:pPr>
      <w:r w:rsidRPr="00AD3D91">
        <w:rPr>
          <w:rFonts w:asciiTheme="majorHAnsi" w:hAnsiTheme="majorHAnsi" w:cstheme="majorHAnsi"/>
        </w:rPr>
        <w:t>Upon the convening of the Rest Home Task Force, MARCH clearly identified the following written anticipated outcomes:</w:t>
      </w:r>
    </w:p>
    <w:p w14:paraId="1AF6976D" w14:textId="77777777" w:rsidR="00AD3D91" w:rsidRPr="00AD3D91" w:rsidRDefault="00AD3D91" w:rsidP="00AD3D91">
      <w:pPr>
        <w:rPr>
          <w:rFonts w:asciiTheme="majorHAnsi" w:hAnsiTheme="majorHAnsi" w:cstheme="majorHAnsi"/>
        </w:rPr>
      </w:pPr>
    </w:p>
    <w:p w14:paraId="011BF66F" w14:textId="77777777" w:rsidR="00AD3D91" w:rsidRPr="00AD3D91" w:rsidRDefault="00AD3D91" w:rsidP="00AD3D91">
      <w:pPr>
        <w:rPr>
          <w:rFonts w:asciiTheme="majorHAnsi" w:hAnsiTheme="majorHAnsi" w:cstheme="majorHAnsi"/>
          <w:b/>
          <w:bCs/>
          <w:i/>
          <w:iCs/>
        </w:rPr>
      </w:pPr>
      <w:r w:rsidRPr="00AD3D91">
        <w:rPr>
          <w:rFonts w:asciiTheme="majorHAnsi" w:hAnsiTheme="majorHAnsi" w:cstheme="majorHAnsi"/>
          <w:b/>
          <w:bCs/>
          <w:i/>
          <w:iCs/>
        </w:rPr>
        <w:t>MARCH’s Anticipated Outcomes of the Rest Home Task Force</w:t>
      </w:r>
    </w:p>
    <w:p w14:paraId="28C9BEE4" w14:textId="77777777" w:rsidR="00AD3D91" w:rsidRPr="00AD3D91" w:rsidRDefault="00AD3D91" w:rsidP="00AD3D91">
      <w:pPr>
        <w:rPr>
          <w:rFonts w:asciiTheme="majorHAnsi" w:hAnsiTheme="majorHAnsi" w:cstheme="majorHAnsi"/>
          <w:b/>
          <w:bCs/>
          <w:i/>
          <w:iCs/>
        </w:rPr>
      </w:pPr>
    </w:p>
    <w:p w14:paraId="5EACFE01" w14:textId="77777777" w:rsidR="00AD3D91" w:rsidRPr="00AD3D91" w:rsidRDefault="00AD3D91" w:rsidP="00D64948">
      <w:pPr>
        <w:pStyle w:val="ListParagraph"/>
        <w:numPr>
          <w:ilvl w:val="0"/>
          <w:numId w:val="58"/>
        </w:numPr>
        <w:spacing w:after="0" w:line="240" w:lineRule="auto"/>
        <w:rPr>
          <w:rFonts w:asciiTheme="majorHAnsi" w:hAnsiTheme="majorHAnsi" w:cstheme="majorHAnsi"/>
          <w:b/>
          <w:bCs/>
          <w:i/>
          <w:iCs/>
        </w:rPr>
      </w:pPr>
      <w:r w:rsidRPr="00AD3D91">
        <w:rPr>
          <w:rFonts w:asciiTheme="majorHAnsi" w:hAnsiTheme="majorHAnsi" w:cstheme="majorHAnsi"/>
          <w:b/>
          <w:bCs/>
          <w:i/>
          <w:iCs/>
        </w:rPr>
        <w:t>Implement a 5-year Strategic Plan for rest homes including a full regulatory revision.</w:t>
      </w:r>
    </w:p>
    <w:p w14:paraId="2D995527" w14:textId="77777777" w:rsidR="00AD3D91" w:rsidRPr="00AD3D91" w:rsidRDefault="00AD3D91" w:rsidP="00D64948">
      <w:pPr>
        <w:pStyle w:val="ListParagraph"/>
        <w:numPr>
          <w:ilvl w:val="0"/>
          <w:numId w:val="58"/>
        </w:numPr>
        <w:spacing w:after="0" w:line="240" w:lineRule="auto"/>
        <w:rPr>
          <w:rFonts w:asciiTheme="majorHAnsi" w:hAnsiTheme="majorHAnsi" w:cstheme="majorHAnsi"/>
          <w:b/>
          <w:bCs/>
          <w:i/>
          <w:iCs/>
        </w:rPr>
      </w:pPr>
      <w:r w:rsidRPr="00AD3D91">
        <w:rPr>
          <w:rFonts w:asciiTheme="majorHAnsi" w:hAnsiTheme="majorHAnsi" w:cstheme="majorHAnsi"/>
          <w:b/>
          <w:bCs/>
          <w:i/>
          <w:iCs/>
        </w:rPr>
        <w:t xml:space="preserve">Complete an independent analysis of rate adequacy, cost-reporting and RCC-Q to determine </w:t>
      </w:r>
      <w:proofErr w:type="gramStart"/>
      <w:r w:rsidRPr="00AD3D91">
        <w:rPr>
          <w:rFonts w:asciiTheme="majorHAnsi" w:hAnsiTheme="majorHAnsi" w:cstheme="majorHAnsi"/>
          <w:b/>
          <w:bCs/>
          <w:i/>
          <w:iCs/>
        </w:rPr>
        <w:t>most</w:t>
      </w:r>
      <w:proofErr w:type="gramEnd"/>
      <w:r w:rsidRPr="00AD3D91">
        <w:rPr>
          <w:rFonts w:asciiTheme="majorHAnsi" w:hAnsiTheme="majorHAnsi" w:cstheme="majorHAnsi"/>
          <w:b/>
          <w:bCs/>
          <w:i/>
          <w:iCs/>
        </w:rPr>
        <w:t xml:space="preserve"> effective way to restructure the rate setting to improve quality-of-care and promote financial stability in the industry.</w:t>
      </w:r>
    </w:p>
    <w:p w14:paraId="6E6480CC" w14:textId="77777777" w:rsidR="00AD3D91" w:rsidRPr="00AD3D91" w:rsidRDefault="00AD3D91" w:rsidP="00D64948">
      <w:pPr>
        <w:pStyle w:val="ListParagraph"/>
        <w:numPr>
          <w:ilvl w:val="0"/>
          <w:numId w:val="58"/>
        </w:numPr>
        <w:spacing w:after="0" w:line="240" w:lineRule="auto"/>
        <w:rPr>
          <w:rFonts w:asciiTheme="majorHAnsi" w:hAnsiTheme="majorHAnsi" w:cstheme="majorHAnsi"/>
          <w:b/>
          <w:bCs/>
          <w:i/>
          <w:iCs/>
        </w:rPr>
      </w:pPr>
      <w:r w:rsidRPr="00AD3D91">
        <w:rPr>
          <w:rFonts w:asciiTheme="majorHAnsi" w:hAnsiTheme="majorHAnsi" w:cstheme="majorHAnsi"/>
          <w:b/>
          <w:bCs/>
          <w:i/>
          <w:iCs/>
        </w:rPr>
        <w:t>Complete formal analysis to determine if rest homes can/should qualify for federal matching funds.</w:t>
      </w:r>
    </w:p>
    <w:p w14:paraId="20AE04D4" w14:textId="77777777" w:rsidR="00AD3D91" w:rsidRPr="00AD3D91" w:rsidRDefault="00AD3D91" w:rsidP="00D64948">
      <w:pPr>
        <w:pStyle w:val="ListParagraph"/>
        <w:numPr>
          <w:ilvl w:val="0"/>
          <w:numId w:val="58"/>
        </w:numPr>
        <w:spacing w:after="0" w:line="240" w:lineRule="auto"/>
        <w:rPr>
          <w:rFonts w:asciiTheme="majorHAnsi" w:hAnsiTheme="majorHAnsi" w:cstheme="majorHAnsi"/>
          <w:b/>
          <w:bCs/>
          <w:i/>
          <w:iCs/>
        </w:rPr>
      </w:pPr>
      <w:r w:rsidRPr="00AD3D91">
        <w:rPr>
          <w:rFonts w:asciiTheme="majorHAnsi" w:hAnsiTheme="majorHAnsi" w:cstheme="majorHAnsi"/>
          <w:b/>
          <w:bCs/>
          <w:i/>
          <w:iCs/>
        </w:rPr>
        <w:t xml:space="preserve">Consider </w:t>
      </w:r>
      <w:proofErr w:type="gramStart"/>
      <w:r w:rsidRPr="00AD3D91">
        <w:rPr>
          <w:rFonts w:asciiTheme="majorHAnsi" w:hAnsiTheme="majorHAnsi" w:cstheme="majorHAnsi"/>
          <w:b/>
          <w:bCs/>
          <w:i/>
          <w:iCs/>
        </w:rPr>
        <w:t>alternative</w:t>
      </w:r>
      <w:proofErr w:type="gramEnd"/>
      <w:r w:rsidRPr="00AD3D91">
        <w:rPr>
          <w:rFonts w:asciiTheme="majorHAnsi" w:hAnsiTheme="majorHAnsi" w:cstheme="majorHAnsi"/>
          <w:b/>
          <w:bCs/>
          <w:i/>
          <w:iCs/>
        </w:rPr>
        <w:t xml:space="preserve"> rating system to RCC-Q that prioritizes established and verifiable quality-of-care indices.</w:t>
      </w:r>
    </w:p>
    <w:p w14:paraId="4EFBF016" w14:textId="77777777" w:rsidR="00AD3D91" w:rsidRPr="00AD3D91" w:rsidRDefault="00AD3D91" w:rsidP="00D64948">
      <w:pPr>
        <w:pStyle w:val="ListParagraph"/>
        <w:numPr>
          <w:ilvl w:val="0"/>
          <w:numId w:val="58"/>
        </w:numPr>
        <w:spacing w:after="0" w:line="240" w:lineRule="auto"/>
        <w:rPr>
          <w:rFonts w:asciiTheme="majorHAnsi" w:hAnsiTheme="majorHAnsi" w:cstheme="majorHAnsi"/>
          <w:b/>
          <w:bCs/>
          <w:i/>
          <w:iCs/>
        </w:rPr>
      </w:pPr>
      <w:r w:rsidRPr="00AD3D91">
        <w:rPr>
          <w:rFonts w:asciiTheme="majorHAnsi" w:hAnsiTheme="majorHAnsi" w:cstheme="majorHAnsi"/>
          <w:b/>
          <w:bCs/>
          <w:i/>
          <w:iCs/>
        </w:rPr>
        <w:t xml:space="preserve">Modify </w:t>
      </w:r>
      <w:proofErr w:type="gramStart"/>
      <w:r w:rsidRPr="00AD3D91">
        <w:rPr>
          <w:rFonts w:asciiTheme="majorHAnsi" w:hAnsiTheme="majorHAnsi" w:cstheme="majorHAnsi"/>
          <w:b/>
          <w:bCs/>
          <w:i/>
          <w:iCs/>
        </w:rPr>
        <w:t>cost</w:t>
      </w:r>
      <w:proofErr w:type="gramEnd"/>
      <w:r w:rsidRPr="00AD3D91">
        <w:rPr>
          <w:rFonts w:asciiTheme="majorHAnsi" w:hAnsiTheme="majorHAnsi" w:cstheme="majorHAnsi"/>
          <w:b/>
          <w:bCs/>
          <w:i/>
          <w:iCs/>
        </w:rPr>
        <w:t>-reporting process to ensure rates are based on the previous year’s costs.</w:t>
      </w:r>
    </w:p>
    <w:p w14:paraId="3236693D" w14:textId="77777777" w:rsidR="00AD3D91" w:rsidRPr="00AD3D91" w:rsidRDefault="00AD3D91" w:rsidP="00D64948">
      <w:pPr>
        <w:pStyle w:val="ListParagraph"/>
        <w:numPr>
          <w:ilvl w:val="0"/>
          <w:numId w:val="58"/>
        </w:numPr>
        <w:spacing w:after="0" w:line="240" w:lineRule="auto"/>
        <w:rPr>
          <w:rFonts w:asciiTheme="majorHAnsi" w:hAnsiTheme="majorHAnsi" w:cstheme="majorHAnsi"/>
          <w:b/>
          <w:bCs/>
          <w:i/>
          <w:iCs/>
        </w:rPr>
      </w:pPr>
      <w:r w:rsidRPr="00AD3D91">
        <w:rPr>
          <w:rFonts w:asciiTheme="majorHAnsi" w:hAnsiTheme="majorHAnsi" w:cstheme="majorHAnsi"/>
          <w:b/>
          <w:bCs/>
          <w:i/>
          <w:iCs/>
        </w:rPr>
        <w:t xml:space="preserve">Support authorization of $10M in bond funding for rest home capital improvement projects as contained in Ch. 238 of the Acts of 2024. </w:t>
      </w:r>
    </w:p>
    <w:p w14:paraId="6C701C8E" w14:textId="77777777" w:rsidR="00AD3D91" w:rsidRPr="00AD3D91" w:rsidRDefault="00AD3D91" w:rsidP="00AD3D91">
      <w:pPr>
        <w:rPr>
          <w:rFonts w:asciiTheme="majorHAnsi" w:hAnsiTheme="majorHAnsi" w:cstheme="majorHAnsi"/>
          <w:b/>
          <w:bCs/>
          <w:i/>
          <w:iCs/>
        </w:rPr>
      </w:pPr>
    </w:p>
    <w:p w14:paraId="240453CC" w14:textId="77777777" w:rsidR="00AD3D91" w:rsidRPr="00AD3D91" w:rsidRDefault="00AD3D91" w:rsidP="00AD3D91">
      <w:pPr>
        <w:rPr>
          <w:rFonts w:asciiTheme="majorHAnsi" w:hAnsiTheme="majorHAnsi" w:cstheme="majorHAnsi"/>
        </w:rPr>
      </w:pPr>
      <w:r w:rsidRPr="00AD3D91">
        <w:rPr>
          <w:rFonts w:asciiTheme="majorHAnsi" w:hAnsiTheme="majorHAnsi" w:cstheme="majorHAnsi"/>
        </w:rPr>
        <w:t xml:space="preserve">Based on a review of these anticipated outcomes compared to the final recommendations, we find the final recommendations lacking in several key areas. </w:t>
      </w:r>
    </w:p>
    <w:p w14:paraId="550F7547" w14:textId="77777777" w:rsidR="00AD3D91" w:rsidRPr="00AD3D91" w:rsidRDefault="00AD3D91" w:rsidP="00AD3D91">
      <w:pPr>
        <w:rPr>
          <w:rFonts w:asciiTheme="majorHAnsi" w:hAnsiTheme="majorHAnsi" w:cstheme="majorHAnsi"/>
        </w:rPr>
      </w:pPr>
    </w:p>
    <w:p w14:paraId="4D12F929" w14:textId="77777777" w:rsidR="00AD3D91" w:rsidRPr="00AD3D91" w:rsidRDefault="00AD3D91" w:rsidP="00AD3D91">
      <w:pPr>
        <w:rPr>
          <w:rFonts w:asciiTheme="majorHAnsi" w:hAnsiTheme="majorHAnsi" w:cstheme="majorHAnsi"/>
        </w:rPr>
      </w:pPr>
      <w:r w:rsidRPr="00AD3D91">
        <w:rPr>
          <w:rFonts w:asciiTheme="majorHAnsi" w:hAnsiTheme="majorHAnsi" w:cstheme="majorHAnsi"/>
          <w:b/>
          <w:bCs/>
        </w:rPr>
        <w:t>Item 1</w:t>
      </w:r>
      <w:r w:rsidRPr="00AD3D91">
        <w:rPr>
          <w:rFonts w:asciiTheme="majorHAnsi" w:hAnsiTheme="majorHAnsi" w:cstheme="majorHAnsi"/>
        </w:rPr>
        <w:t xml:space="preserve">: Five-year strategic plan- As this item was committed for completion by the previous administration, it is disappointing to learn that this requires additional discussion to reach agreement. </w:t>
      </w:r>
    </w:p>
    <w:p w14:paraId="6BED87F6" w14:textId="77777777" w:rsidR="00AD3D91" w:rsidRPr="00AD3D91" w:rsidRDefault="00AD3D91" w:rsidP="00AD3D91">
      <w:pPr>
        <w:rPr>
          <w:rFonts w:asciiTheme="majorHAnsi" w:hAnsiTheme="majorHAnsi" w:cstheme="majorHAnsi"/>
        </w:rPr>
      </w:pPr>
    </w:p>
    <w:p w14:paraId="1285E20E" w14:textId="77777777" w:rsidR="00AD3D91" w:rsidRPr="00AD3D91" w:rsidRDefault="00AD3D91" w:rsidP="00AD3D91">
      <w:pPr>
        <w:contextualSpacing/>
        <w:rPr>
          <w:rFonts w:asciiTheme="majorHAnsi" w:hAnsiTheme="majorHAnsi" w:cstheme="majorHAnsi"/>
        </w:rPr>
      </w:pPr>
      <w:r w:rsidRPr="00AD3D91">
        <w:rPr>
          <w:rFonts w:asciiTheme="majorHAnsi" w:hAnsiTheme="majorHAnsi" w:cstheme="majorHAnsi"/>
          <w:b/>
          <w:bCs/>
        </w:rPr>
        <w:lastRenderedPageBreak/>
        <w:t>Item 2</w:t>
      </w:r>
      <w:r w:rsidRPr="00AD3D91">
        <w:rPr>
          <w:rFonts w:asciiTheme="majorHAnsi" w:hAnsiTheme="majorHAnsi" w:cstheme="majorHAnsi"/>
        </w:rPr>
        <w:t xml:space="preserve">. Complete independent analysis- This is the most glaring deficiency of the proposed recommendations as it was listed as one of the most important industry issues to be addressed. </w:t>
      </w:r>
      <w:r w:rsidRPr="00AD3D91">
        <w:rPr>
          <w:rFonts w:asciiTheme="majorHAnsi" w:eastAsia="Times New Roman" w:hAnsiTheme="majorHAnsi" w:cstheme="majorHAnsi"/>
        </w:rPr>
        <w:t>The Task Force failed to adequately address the charge of the Task Force (</w:t>
      </w:r>
      <w:r w:rsidRPr="00AD3D91">
        <w:rPr>
          <w:rFonts w:asciiTheme="majorHAnsi" w:hAnsiTheme="majorHAnsi" w:cstheme="majorHAnsi"/>
        </w:rPr>
        <w:t xml:space="preserve">vii. a review of the current rate structure for rest homes compared to the actual cost of care to residents).  While there was discussion of the current rate during the deliberations, there was no </w:t>
      </w:r>
      <w:proofErr w:type="gramStart"/>
      <w:r w:rsidRPr="00AD3D91">
        <w:rPr>
          <w:rFonts w:asciiTheme="majorHAnsi" w:hAnsiTheme="majorHAnsi" w:cstheme="majorHAnsi"/>
        </w:rPr>
        <w:t>discussion</w:t>
      </w:r>
      <w:proofErr w:type="gramEnd"/>
      <w:r w:rsidRPr="00AD3D91">
        <w:rPr>
          <w:rFonts w:asciiTheme="majorHAnsi" w:hAnsiTheme="majorHAnsi" w:cstheme="majorHAnsi"/>
        </w:rPr>
        <w:t xml:space="preserve"> how these costs compare to current costs. Additionally, there were several recommendations discussed that contemplate minimum staffing, standard levels of care, and rate formula changes.  None of those recommendations would make sense without the associated financial analysis to understand the financial impacts to all parties, the residents, the Commonwealth, and the industry. </w:t>
      </w:r>
      <w:r w:rsidRPr="00AD3D91">
        <w:rPr>
          <w:rFonts w:asciiTheme="majorHAnsi" w:eastAsia="Times New Roman" w:hAnsiTheme="majorHAnsi" w:cstheme="majorHAnsi"/>
        </w:rPr>
        <w:t xml:space="preserve">The industry and the legislators attending were ALL in agreement with this point. </w:t>
      </w:r>
    </w:p>
    <w:p w14:paraId="353DE5F7" w14:textId="77777777" w:rsidR="00AD3D91" w:rsidRPr="00AD3D91" w:rsidRDefault="00AD3D91" w:rsidP="00AD3D91">
      <w:pPr>
        <w:rPr>
          <w:rFonts w:asciiTheme="majorHAnsi" w:eastAsia="Times New Roman" w:hAnsiTheme="majorHAnsi" w:cstheme="majorHAnsi"/>
        </w:rPr>
      </w:pPr>
    </w:p>
    <w:p w14:paraId="22ABF505" w14:textId="77777777" w:rsidR="00AD3D91" w:rsidRPr="00AD3D91" w:rsidRDefault="00AD3D91" w:rsidP="00AD3D91">
      <w:pPr>
        <w:rPr>
          <w:rFonts w:asciiTheme="majorHAnsi" w:eastAsia="Times New Roman" w:hAnsiTheme="majorHAnsi" w:cstheme="majorHAnsi"/>
        </w:rPr>
      </w:pPr>
      <w:r w:rsidRPr="00AD3D91">
        <w:rPr>
          <w:rFonts w:asciiTheme="majorHAnsi" w:eastAsia="Times New Roman" w:hAnsiTheme="majorHAnsi" w:cstheme="majorHAnsi"/>
        </w:rPr>
        <w:t xml:space="preserve">The fact that EOHHS is not in agreement further substantiates the point that it should be moved to an immediate recommendation as we are all in agreement that this is an issue. </w:t>
      </w:r>
    </w:p>
    <w:p w14:paraId="39E394D0" w14:textId="77777777" w:rsidR="00AD3D91" w:rsidRPr="00AD3D91" w:rsidRDefault="00AD3D91" w:rsidP="00AD3D91">
      <w:pPr>
        <w:rPr>
          <w:rFonts w:asciiTheme="majorHAnsi" w:eastAsia="Times New Roman" w:hAnsiTheme="majorHAnsi" w:cstheme="majorHAnsi"/>
        </w:rPr>
      </w:pPr>
      <w:r w:rsidRPr="00AD3D91">
        <w:rPr>
          <w:rFonts w:asciiTheme="majorHAnsi" w:eastAsia="Times New Roman" w:hAnsiTheme="majorHAnsi" w:cstheme="majorHAnsi"/>
        </w:rPr>
        <w:t xml:space="preserve">It raises the question of who is empowered to make these final recommendations as MARCH has not deferred to EOHHS in any of these final decisions and does not recognize EOHHS as the sole entity to make these final recommendations. </w:t>
      </w:r>
    </w:p>
    <w:p w14:paraId="6AD0BACA" w14:textId="77777777" w:rsidR="00AD3D91" w:rsidRPr="00AD3D91" w:rsidRDefault="00AD3D91" w:rsidP="00AD3D91">
      <w:pPr>
        <w:rPr>
          <w:rFonts w:asciiTheme="majorHAnsi" w:eastAsia="Times New Roman" w:hAnsiTheme="majorHAnsi" w:cstheme="majorHAnsi"/>
        </w:rPr>
      </w:pPr>
    </w:p>
    <w:p w14:paraId="649ABF4E" w14:textId="77777777" w:rsidR="00AD3D91" w:rsidRPr="00AD3D91" w:rsidRDefault="00AD3D91" w:rsidP="00AD3D91">
      <w:pPr>
        <w:rPr>
          <w:rFonts w:asciiTheme="majorHAnsi" w:eastAsia="Times New Roman" w:hAnsiTheme="majorHAnsi" w:cstheme="majorHAnsi"/>
        </w:rPr>
      </w:pPr>
      <w:r w:rsidRPr="00AD3D91">
        <w:rPr>
          <w:rFonts w:asciiTheme="majorHAnsi" w:eastAsia="Times New Roman" w:hAnsiTheme="majorHAnsi" w:cstheme="majorHAnsi"/>
        </w:rPr>
        <w:t>As was previously submitted here is the justification for immediate inclusion:</w:t>
      </w:r>
    </w:p>
    <w:p w14:paraId="1FAA1125" w14:textId="77777777" w:rsidR="00AD3D91" w:rsidRPr="00AD3D91" w:rsidRDefault="00AD3D91" w:rsidP="00AD3D91">
      <w:pPr>
        <w:rPr>
          <w:rFonts w:asciiTheme="majorHAnsi" w:hAnsiTheme="majorHAnsi" w:cstheme="majorHAnsi"/>
        </w:rPr>
      </w:pPr>
    </w:p>
    <w:p w14:paraId="5A606AF1" w14:textId="77777777" w:rsidR="00AD3D91" w:rsidRPr="00AD3D91" w:rsidRDefault="00AD3D91" w:rsidP="00AD3D91">
      <w:pPr>
        <w:pStyle w:val="ListParagraph"/>
        <w:ind w:left="740"/>
        <w:rPr>
          <w:rFonts w:asciiTheme="majorHAnsi" w:hAnsiTheme="majorHAnsi" w:cstheme="majorHAnsi"/>
        </w:rPr>
      </w:pPr>
      <w:r w:rsidRPr="00AD3D91">
        <w:rPr>
          <w:rFonts w:asciiTheme="majorHAnsi" w:hAnsiTheme="majorHAnsi" w:cstheme="majorHAnsi"/>
        </w:rPr>
        <w:t>Rationale:</w:t>
      </w:r>
    </w:p>
    <w:p w14:paraId="3FF389B9" w14:textId="77777777" w:rsidR="00AD3D91" w:rsidRPr="00AD3D91" w:rsidRDefault="00AD3D91" w:rsidP="00D64948">
      <w:pPr>
        <w:pStyle w:val="ListParagraph"/>
        <w:numPr>
          <w:ilvl w:val="0"/>
          <w:numId w:val="57"/>
        </w:numPr>
        <w:spacing w:after="0" w:line="240" w:lineRule="auto"/>
        <w:rPr>
          <w:rFonts w:asciiTheme="majorHAnsi" w:hAnsiTheme="majorHAnsi" w:cstheme="majorHAnsi"/>
        </w:rPr>
      </w:pPr>
      <w:r w:rsidRPr="00AD3D91">
        <w:rPr>
          <w:rFonts w:asciiTheme="majorHAnsi" w:hAnsiTheme="majorHAnsi" w:cstheme="majorHAnsi"/>
        </w:rPr>
        <w:t>Rate adequacy has always been the primary concern of MARCH due to the 108 closures in the industry since 1998</w:t>
      </w:r>
    </w:p>
    <w:p w14:paraId="7CF766CE" w14:textId="77777777" w:rsidR="00AD3D91" w:rsidRPr="00AD3D91" w:rsidRDefault="00AD3D91" w:rsidP="00D64948">
      <w:pPr>
        <w:pStyle w:val="ListParagraph"/>
        <w:numPr>
          <w:ilvl w:val="0"/>
          <w:numId w:val="57"/>
        </w:numPr>
        <w:spacing w:after="0" w:line="240" w:lineRule="auto"/>
        <w:rPr>
          <w:rFonts w:asciiTheme="majorHAnsi" w:hAnsiTheme="majorHAnsi" w:cstheme="majorHAnsi"/>
        </w:rPr>
      </w:pPr>
      <w:r w:rsidRPr="00AD3D91">
        <w:rPr>
          <w:rFonts w:asciiTheme="majorHAnsi" w:hAnsiTheme="majorHAnsi" w:cstheme="majorHAnsi"/>
        </w:rPr>
        <w:t xml:space="preserve">MARCH made several recommendations to the Nursing Facilities Task Force in 2020 to address rate adequacy that received little or no consideration.  Attachment 1 is included </w:t>
      </w:r>
      <w:proofErr w:type="gramStart"/>
      <w:r w:rsidRPr="00AD3D91">
        <w:rPr>
          <w:rFonts w:asciiTheme="majorHAnsi" w:hAnsiTheme="majorHAnsi" w:cstheme="majorHAnsi"/>
        </w:rPr>
        <w:t>for official</w:t>
      </w:r>
      <w:proofErr w:type="gramEnd"/>
      <w:r w:rsidRPr="00AD3D91">
        <w:rPr>
          <w:rFonts w:asciiTheme="majorHAnsi" w:hAnsiTheme="majorHAnsi" w:cstheme="majorHAnsi"/>
        </w:rPr>
        <w:t xml:space="preserve"> addition to the Rest Home Task Force record</w:t>
      </w:r>
    </w:p>
    <w:p w14:paraId="3A2FDC8E" w14:textId="77777777" w:rsidR="00AD3D91" w:rsidRPr="00AD3D91" w:rsidRDefault="00AD3D91" w:rsidP="00D64948">
      <w:pPr>
        <w:pStyle w:val="ListParagraph"/>
        <w:numPr>
          <w:ilvl w:val="0"/>
          <w:numId w:val="57"/>
        </w:numPr>
        <w:spacing w:after="0" w:line="240" w:lineRule="auto"/>
        <w:rPr>
          <w:rFonts w:asciiTheme="majorHAnsi" w:hAnsiTheme="majorHAnsi" w:cstheme="majorHAnsi"/>
        </w:rPr>
      </w:pPr>
      <w:r w:rsidRPr="00AD3D91">
        <w:rPr>
          <w:rFonts w:asciiTheme="majorHAnsi" w:hAnsiTheme="majorHAnsi" w:cstheme="majorHAnsi"/>
        </w:rPr>
        <w:t>The Task Force was established in part to conduct “a review of the current rate structure for rest homes compared to the actual cost of care to residents”</w:t>
      </w:r>
    </w:p>
    <w:p w14:paraId="592D06D4" w14:textId="77777777" w:rsidR="00AD3D91" w:rsidRPr="00AD3D91" w:rsidRDefault="00AD3D91" w:rsidP="00D64948">
      <w:pPr>
        <w:pStyle w:val="ListParagraph"/>
        <w:numPr>
          <w:ilvl w:val="0"/>
          <w:numId w:val="57"/>
        </w:numPr>
        <w:spacing w:after="0" w:line="240" w:lineRule="auto"/>
        <w:rPr>
          <w:rFonts w:asciiTheme="majorHAnsi" w:hAnsiTheme="majorHAnsi" w:cstheme="majorHAnsi"/>
        </w:rPr>
      </w:pPr>
      <w:r w:rsidRPr="00AD3D91">
        <w:rPr>
          <w:rFonts w:asciiTheme="majorHAnsi" w:hAnsiTheme="majorHAnsi" w:cstheme="majorHAnsi"/>
        </w:rPr>
        <w:t>MARCH and its members presented information to the Task Force indicating some significant shortfalls between the reimbursement rate and current costs of care.</w:t>
      </w:r>
    </w:p>
    <w:p w14:paraId="2F6BEBA7" w14:textId="77777777" w:rsidR="00AD3D91" w:rsidRPr="00AD3D91" w:rsidRDefault="00AD3D91" w:rsidP="00AD3D91">
      <w:pPr>
        <w:rPr>
          <w:rFonts w:asciiTheme="majorHAnsi" w:eastAsia="Times New Roman" w:hAnsiTheme="majorHAnsi" w:cstheme="majorHAnsi"/>
        </w:rPr>
      </w:pPr>
    </w:p>
    <w:p w14:paraId="5A3C2A14" w14:textId="77777777" w:rsidR="00AD3D91" w:rsidRPr="00AD3D91" w:rsidRDefault="00AD3D91" w:rsidP="00AD3D91">
      <w:pPr>
        <w:rPr>
          <w:rFonts w:asciiTheme="majorHAnsi" w:eastAsia="Times New Roman" w:hAnsiTheme="majorHAnsi" w:cstheme="majorHAnsi"/>
        </w:rPr>
      </w:pPr>
      <w:r w:rsidRPr="00AD3D91">
        <w:rPr>
          <w:rFonts w:asciiTheme="majorHAnsi" w:eastAsia="Times New Roman" w:hAnsiTheme="majorHAnsi" w:cstheme="majorHAnsi"/>
          <w:b/>
          <w:bCs/>
        </w:rPr>
        <w:t>Item 3</w:t>
      </w:r>
      <w:r w:rsidRPr="00AD3D91">
        <w:rPr>
          <w:rFonts w:asciiTheme="majorHAnsi" w:eastAsia="Times New Roman" w:hAnsiTheme="majorHAnsi" w:cstheme="majorHAnsi"/>
        </w:rPr>
        <w:t xml:space="preserve"> Federal Matching Funds- We are pleased that an analysis will be conducted and would suggest that the deliverables and the timing of the deliverables be defined. </w:t>
      </w:r>
    </w:p>
    <w:p w14:paraId="512714E3" w14:textId="77777777" w:rsidR="00AD3D91" w:rsidRPr="00AD3D91" w:rsidRDefault="00AD3D91" w:rsidP="00AD3D91">
      <w:pPr>
        <w:rPr>
          <w:rFonts w:asciiTheme="majorHAnsi" w:eastAsia="Times New Roman" w:hAnsiTheme="majorHAnsi" w:cstheme="majorHAnsi"/>
        </w:rPr>
      </w:pPr>
    </w:p>
    <w:p w14:paraId="63591736" w14:textId="77777777" w:rsidR="00AD3D91" w:rsidRPr="00AD3D91" w:rsidRDefault="00AD3D91" w:rsidP="00AD3D91">
      <w:pPr>
        <w:rPr>
          <w:rFonts w:asciiTheme="majorHAnsi" w:eastAsia="Times New Roman" w:hAnsiTheme="majorHAnsi" w:cstheme="majorHAnsi"/>
        </w:rPr>
      </w:pPr>
      <w:r w:rsidRPr="00AD3D91">
        <w:rPr>
          <w:rFonts w:asciiTheme="majorHAnsi" w:eastAsia="Times New Roman" w:hAnsiTheme="majorHAnsi" w:cstheme="majorHAnsi"/>
          <w:b/>
          <w:bCs/>
        </w:rPr>
        <w:lastRenderedPageBreak/>
        <w:t>Item 4</w:t>
      </w:r>
      <w:r w:rsidRPr="00AD3D91">
        <w:rPr>
          <w:rFonts w:asciiTheme="majorHAnsi" w:eastAsia="Times New Roman" w:hAnsiTheme="majorHAnsi" w:cstheme="majorHAnsi"/>
        </w:rPr>
        <w:t xml:space="preserve">- Alternative the RCC-Q- We concur that additional discussion would be required with the stated and </w:t>
      </w:r>
      <w:proofErr w:type="gramStart"/>
      <w:r w:rsidRPr="00AD3D91">
        <w:rPr>
          <w:rFonts w:asciiTheme="majorHAnsi" w:eastAsia="Times New Roman" w:hAnsiTheme="majorHAnsi" w:cstheme="majorHAnsi"/>
        </w:rPr>
        <w:t>in particular DPH</w:t>
      </w:r>
      <w:proofErr w:type="gramEnd"/>
      <w:r w:rsidRPr="00AD3D91">
        <w:rPr>
          <w:rFonts w:asciiTheme="majorHAnsi" w:eastAsia="Times New Roman" w:hAnsiTheme="majorHAnsi" w:cstheme="majorHAnsi"/>
        </w:rPr>
        <w:t xml:space="preserve"> with the intent of eliminating the current process for a more accurate quality of care rating system</w:t>
      </w:r>
    </w:p>
    <w:p w14:paraId="6BDC6F25" w14:textId="77777777" w:rsidR="00AD3D91" w:rsidRPr="00AD3D91" w:rsidRDefault="00AD3D91" w:rsidP="00AD3D91">
      <w:pPr>
        <w:rPr>
          <w:rFonts w:asciiTheme="majorHAnsi" w:eastAsia="Times New Roman" w:hAnsiTheme="majorHAnsi" w:cstheme="majorHAnsi"/>
        </w:rPr>
      </w:pPr>
    </w:p>
    <w:p w14:paraId="02A0DA4D" w14:textId="77777777" w:rsidR="00AD3D91" w:rsidRPr="00AD3D91" w:rsidRDefault="00AD3D91" w:rsidP="00AD3D91">
      <w:pPr>
        <w:rPr>
          <w:rFonts w:asciiTheme="majorHAnsi" w:eastAsia="Times New Roman" w:hAnsiTheme="majorHAnsi" w:cstheme="majorHAnsi"/>
          <w:color w:val="000000"/>
        </w:rPr>
      </w:pPr>
      <w:r w:rsidRPr="00AD3D91">
        <w:rPr>
          <w:rFonts w:asciiTheme="majorHAnsi" w:eastAsia="Times New Roman" w:hAnsiTheme="majorHAnsi" w:cstheme="majorHAnsi"/>
          <w:b/>
          <w:bCs/>
        </w:rPr>
        <w:t>Item-6</w:t>
      </w:r>
      <w:r w:rsidRPr="00AD3D91">
        <w:rPr>
          <w:rFonts w:asciiTheme="majorHAnsi" w:eastAsia="Times New Roman" w:hAnsiTheme="majorHAnsi" w:cstheme="majorHAnsi"/>
        </w:rPr>
        <w:t xml:space="preserve"> - $10M Funding as part of the Economic Development Bill-</w:t>
      </w:r>
      <w:r w:rsidRPr="00AD3D91">
        <w:rPr>
          <w:rFonts w:asciiTheme="majorHAnsi" w:eastAsia="Times New Roman" w:hAnsiTheme="majorHAnsi" w:cstheme="majorHAnsi"/>
          <w:color w:val="000000"/>
        </w:rPr>
        <w:t xml:space="preserve"> Authorize the $10 million in grant program funding for capital projects at rest homes previously appropriated by the Legislature in the 2024 Economic Development Bill.</w:t>
      </w:r>
    </w:p>
    <w:p w14:paraId="6FE37930" w14:textId="77777777" w:rsidR="00AD3D91" w:rsidRPr="00AD3D91" w:rsidRDefault="00AD3D91" w:rsidP="00AD3D91">
      <w:pPr>
        <w:rPr>
          <w:rFonts w:asciiTheme="majorHAnsi" w:eastAsia="Times New Roman" w:hAnsiTheme="majorHAnsi" w:cstheme="majorHAnsi"/>
        </w:rPr>
      </w:pPr>
    </w:p>
    <w:p w14:paraId="27B0CE81" w14:textId="66C6C556" w:rsidR="00AD3D91" w:rsidRPr="00AD3D91" w:rsidRDefault="00AD3D91" w:rsidP="00350F39">
      <w:pPr>
        <w:rPr>
          <w:rFonts w:asciiTheme="majorHAnsi" w:eastAsia="Times New Roman" w:hAnsiTheme="majorHAnsi" w:cstheme="majorHAnsi"/>
          <w:color w:val="000000"/>
        </w:rPr>
      </w:pPr>
      <w:r w:rsidRPr="00AD3D91">
        <w:rPr>
          <w:rFonts w:asciiTheme="majorHAnsi" w:eastAsia="Times New Roman" w:hAnsiTheme="majorHAnsi" w:cstheme="majorHAnsi"/>
        </w:rPr>
        <w:t xml:space="preserve">Based on the deliberations of the Task Force, it seemed clear that Senators </w:t>
      </w:r>
      <w:proofErr w:type="spellStart"/>
      <w:r w:rsidRPr="00AD3D91">
        <w:rPr>
          <w:rFonts w:asciiTheme="majorHAnsi" w:eastAsia="Times New Roman" w:hAnsiTheme="majorHAnsi" w:cstheme="majorHAnsi"/>
        </w:rPr>
        <w:t>Jehlen</w:t>
      </w:r>
      <w:proofErr w:type="spellEnd"/>
      <w:r w:rsidRPr="00AD3D91">
        <w:rPr>
          <w:rFonts w:asciiTheme="majorHAnsi" w:eastAsia="Times New Roman" w:hAnsiTheme="majorHAnsi" w:cstheme="majorHAnsi"/>
        </w:rPr>
        <w:t xml:space="preserve">, O’Connor and Representatives Stanley, Muratore were clear in their recommendation to authorize the </w:t>
      </w:r>
    </w:p>
    <w:p w14:paraId="70E9631C" w14:textId="07E31C50" w:rsidR="001E1A3E" w:rsidRPr="00AD3D91" w:rsidRDefault="001E1A3E">
      <w:pPr>
        <w:rPr>
          <w:rFonts w:asciiTheme="majorHAnsi" w:hAnsiTheme="majorHAnsi" w:cstheme="majorHAnsi"/>
        </w:rPr>
      </w:pPr>
    </w:p>
    <w:p w14:paraId="448C0BA1" w14:textId="77777777" w:rsidR="001E1A3E" w:rsidRPr="00F178E4" w:rsidRDefault="00000000">
      <w:pPr>
        <w:pStyle w:val="Heading1"/>
        <w:rPr>
          <w:rFonts w:cstheme="majorHAnsi"/>
        </w:rPr>
      </w:pPr>
      <w:r w:rsidRPr="00F178E4">
        <w:rPr>
          <w:rFonts w:cstheme="majorHAnsi"/>
        </w:rPr>
        <w:t>Slide 51</w:t>
      </w:r>
    </w:p>
    <w:p w14:paraId="4BA6ED0A" w14:textId="77777777" w:rsidR="001E1A3E" w:rsidRDefault="00000000">
      <w:pPr>
        <w:rPr>
          <w:rFonts w:asciiTheme="majorHAnsi" w:hAnsiTheme="majorHAnsi" w:cstheme="majorHAnsi"/>
        </w:rPr>
      </w:pPr>
      <w:r w:rsidRPr="00F178E4">
        <w:rPr>
          <w:rFonts w:asciiTheme="majorHAnsi" w:hAnsiTheme="majorHAnsi" w:cstheme="majorHAnsi"/>
        </w:rPr>
        <w:t>Appendix E – Written Comments Received from Members Regarding the Draft Report</w:t>
      </w:r>
    </w:p>
    <w:p w14:paraId="24A31DAF" w14:textId="77777777" w:rsidR="00350F39" w:rsidRDefault="00350F39" w:rsidP="00350F39">
      <w:pPr>
        <w:rPr>
          <w:rFonts w:asciiTheme="majorHAnsi" w:eastAsia="Times New Roman" w:hAnsiTheme="majorHAnsi" w:cstheme="majorHAnsi"/>
        </w:rPr>
      </w:pPr>
    </w:p>
    <w:p w14:paraId="728D6635" w14:textId="27709223" w:rsidR="00350F39" w:rsidRPr="00AD3D91" w:rsidRDefault="00350F39" w:rsidP="00350F39">
      <w:pPr>
        <w:rPr>
          <w:rFonts w:asciiTheme="majorHAnsi" w:eastAsia="Times New Roman" w:hAnsiTheme="majorHAnsi" w:cstheme="majorHAnsi"/>
        </w:rPr>
      </w:pPr>
      <w:r w:rsidRPr="00AD3D91">
        <w:rPr>
          <w:rFonts w:asciiTheme="majorHAnsi" w:eastAsia="Times New Roman" w:hAnsiTheme="majorHAnsi" w:cstheme="majorHAnsi"/>
        </w:rPr>
        <w:t xml:space="preserve">capital funding. </w:t>
      </w:r>
      <w:r w:rsidRPr="00AD3D91">
        <w:rPr>
          <w:rFonts w:asciiTheme="majorHAnsi" w:eastAsia="Times New Roman" w:hAnsiTheme="majorHAnsi" w:cstheme="majorHAnsi"/>
          <w:color w:val="000000"/>
        </w:rPr>
        <w:t xml:space="preserve">Failure not to include this item for immediate action again raises the question as to how these recommendations were presented and ultimately decided.   </w:t>
      </w:r>
    </w:p>
    <w:p w14:paraId="3596E3A9" w14:textId="77777777" w:rsidR="00350F39" w:rsidRPr="00AD3D91" w:rsidRDefault="00350F39" w:rsidP="00350F39">
      <w:pPr>
        <w:rPr>
          <w:rFonts w:asciiTheme="majorHAnsi" w:hAnsiTheme="majorHAnsi" w:cstheme="majorHAnsi"/>
        </w:rPr>
      </w:pPr>
    </w:p>
    <w:p w14:paraId="78A88D27" w14:textId="77777777" w:rsidR="00350F39" w:rsidRPr="00AD3D91" w:rsidRDefault="00350F39" w:rsidP="00350F39">
      <w:pPr>
        <w:rPr>
          <w:rFonts w:asciiTheme="majorHAnsi" w:eastAsia="Times New Roman" w:hAnsiTheme="majorHAnsi" w:cstheme="majorHAnsi"/>
          <w:color w:val="000000"/>
        </w:rPr>
      </w:pPr>
      <w:r w:rsidRPr="00AD3D91">
        <w:rPr>
          <w:rFonts w:asciiTheme="majorHAnsi" w:eastAsia="Times New Roman" w:hAnsiTheme="majorHAnsi" w:cstheme="majorHAnsi"/>
          <w:color w:val="000000"/>
        </w:rPr>
        <w:t>In closing, rest homes play an important role on the Massachusetts healthcare continuum by caring for an aging, infirm and indigent population (many of whom were previously homeless) who don’t have the financial means or ability to reside at an Assistance Living Residence (ALR) or meet the clinical and acuity level criteria for Skilled Nursing Facility (SNF) admission. </w:t>
      </w:r>
      <w:r w:rsidRPr="00AD3D91">
        <w:rPr>
          <w:rFonts w:asciiTheme="majorHAnsi" w:eastAsia="Times New Roman" w:hAnsiTheme="majorHAnsi" w:cstheme="majorHAnsi"/>
          <w:color w:val="000000"/>
        </w:rPr>
        <w:br/>
      </w:r>
      <w:r w:rsidRPr="00AD3D91">
        <w:rPr>
          <w:rFonts w:asciiTheme="majorHAnsi" w:eastAsia="Times New Roman" w:hAnsiTheme="majorHAnsi" w:cstheme="majorHAnsi"/>
          <w:color w:val="000000"/>
        </w:rPr>
        <w:br/>
        <w:t>Employing a medical and low-cost housing model, rest homes provide medical management, medication management, address psycho/social needs and provide room and board for an average of $158.00 per day. </w:t>
      </w:r>
      <w:r w:rsidRPr="00AD3D91">
        <w:rPr>
          <w:rFonts w:asciiTheme="majorHAnsi" w:eastAsia="Times New Roman" w:hAnsiTheme="majorHAnsi" w:cstheme="majorHAnsi"/>
          <w:color w:val="000000"/>
        </w:rPr>
        <w:br/>
      </w:r>
      <w:r w:rsidRPr="00AD3D91">
        <w:rPr>
          <w:rFonts w:asciiTheme="majorHAnsi" w:eastAsia="Times New Roman" w:hAnsiTheme="majorHAnsi" w:cstheme="majorHAnsi"/>
          <w:color w:val="000000"/>
        </w:rPr>
        <w:br/>
        <w:t xml:space="preserve">It is our hope that EOHHS and its sister agencies can embrace the rest home model in addressing the ever-increasing aging population in Massachusetts and support the continued need for incremental funding </w:t>
      </w:r>
      <w:proofErr w:type="gramStart"/>
      <w:r w:rsidRPr="00AD3D91">
        <w:rPr>
          <w:rFonts w:asciiTheme="majorHAnsi" w:eastAsia="Times New Roman" w:hAnsiTheme="majorHAnsi" w:cstheme="majorHAnsi"/>
          <w:color w:val="000000"/>
        </w:rPr>
        <w:t>in order to</w:t>
      </w:r>
      <w:proofErr w:type="gramEnd"/>
      <w:r w:rsidRPr="00AD3D91">
        <w:rPr>
          <w:rFonts w:asciiTheme="majorHAnsi" w:eastAsia="Times New Roman" w:hAnsiTheme="majorHAnsi" w:cstheme="majorHAnsi"/>
          <w:color w:val="000000"/>
        </w:rPr>
        <w:t xml:space="preserve"> stabilize this critical industry.</w:t>
      </w:r>
    </w:p>
    <w:p w14:paraId="753C0B4C" w14:textId="77777777" w:rsidR="00350F39" w:rsidRPr="00AD3D91" w:rsidRDefault="00350F39" w:rsidP="00350F39">
      <w:pPr>
        <w:rPr>
          <w:rFonts w:asciiTheme="majorHAnsi" w:eastAsia="Times New Roman" w:hAnsiTheme="majorHAnsi" w:cstheme="majorHAnsi"/>
          <w:color w:val="000000"/>
        </w:rPr>
      </w:pPr>
    </w:p>
    <w:p w14:paraId="1B8A65D0" w14:textId="77777777" w:rsidR="00350F39" w:rsidRPr="00AD3D91" w:rsidRDefault="00350F39" w:rsidP="00350F39">
      <w:pPr>
        <w:rPr>
          <w:rFonts w:asciiTheme="majorHAnsi" w:eastAsia="Times New Roman" w:hAnsiTheme="majorHAnsi" w:cstheme="majorHAnsi"/>
          <w:color w:val="000000"/>
        </w:rPr>
      </w:pPr>
      <w:r w:rsidRPr="00AD3D91">
        <w:rPr>
          <w:rFonts w:asciiTheme="majorHAnsi" w:eastAsia="Times New Roman" w:hAnsiTheme="majorHAnsi" w:cstheme="majorHAnsi"/>
          <w:color w:val="000000"/>
        </w:rPr>
        <w:t xml:space="preserve">The final recommendations of the Rest Home Task Force will serve as a litmus test for EOHHS and its sister agencies in advancing the Rest Home model and in supporting the residents and staff we collectively service. </w:t>
      </w:r>
    </w:p>
    <w:p w14:paraId="5E44CB28" w14:textId="77777777" w:rsidR="00AD3D91" w:rsidRPr="00F178E4" w:rsidRDefault="00AD3D91">
      <w:pPr>
        <w:rPr>
          <w:rFonts w:asciiTheme="majorHAnsi" w:hAnsiTheme="majorHAnsi" w:cstheme="majorHAnsi"/>
        </w:rPr>
      </w:pPr>
    </w:p>
    <w:p w14:paraId="06917DC3" w14:textId="77777777" w:rsidR="001E1A3E" w:rsidRPr="00F178E4" w:rsidRDefault="00000000">
      <w:pPr>
        <w:pStyle w:val="Heading1"/>
        <w:rPr>
          <w:rFonts w:cstheme="majorHAnsi"/>
        </w:rPr>
      </w:pPr>
      <w:r w:rsidRPr="00F178E4">
        <w:rPr>
          <w:rFonts w:cstheme="majorHAnsi"/>
        </w:rPr>
        <w:t>Slide 52</w:t>
      </w:r>
    </w:p>
    <w:p w14:paraId="169258FD" w14:textId="77777777" w:rsidR="001E1A3E" w:rsidRPr="000652F3" w:rsidRDefault="00000000">
      <w:pPr>
        <w:rPr>
          <w:rFonts w:asciiTheme="majorHAnsi" w:hAnsiTheme="majorHAnsi" w:cstheme="majorHAnsi"/>
        </w:rPr>
      </w:pPr>
      <w:r w:rsidRPr="00F178E4">
        <w:rPr>
          <w:rFonts w:asciiTheme="majorHAnsi" w:hAnsiTheme="majorHAnsi" w:cstheme="majorHAnsi"/>
        </w:rPr>
        <w:t>App</w:t>
      </w:r>
      <w:r w:rsidRPr="000652F3">
        <w:rPr>
          <w:rFonts w:asciiTheme="majorHAnsi" w:hAnsiTheme="majorHAnsi" w:cstheme="majorHAnsi"/>
        </w:rPr>
        <w:t>endix E – Written Comments Received from Members Regarding the Draft Report</w:t>
      </w:r>
    </w:p>
    <w:p w14:paraId="02FF95E1" w14:textId="77777777" w:rsidR="00350F39" w:rsidRPr="00350F39" w:rsidRDefault="00350F39" w:rsidP="00350F39">
      <w:pPr>
        <w:autoSpaceDE w:val="0"/>
        <w:autoSpaceDN w:val="0"/>
        <w:adjustRightInd w:val="0"/>
        <w:spacing w:after="0" w:line="240" w:lineRule="auto"/>
        <w:rPr>
          <w:rFonts w:ascii="Calibri" w:hAnsi="Calibri" w:cs="Calibri"/>
          <w:color w:val="000000"/>
        </w:rPr>
      </w:pPr>
    </w:p>
    <w:p w14:paraId="22259356" w14:textId="5E7535C2" w:rsidR="00350F39" w:rsidRPr="000652F3" w:rsidRDefault="00350F39" w:rsidP="00350F39">
      <w:pPr>
        <w:autoSpaceDE w:val="0"/>
        <w:autoSpaceDN w:val="0"/>
        <w:adjustRightInd w:val="0"/>
        <w:spacing w:after="0" w:line="240" w:lineRule="auto"/>
        <w:rPr>
          <w:rFonts w:ascii="Calibri" w:hAnsi="Calibri" w:cs="Calibri"/>
          <w:color w:val="000000"/>
        </w:rPr>
      </w:pPr>
      <w:r w:rsidRPr="00350F39">
        <w:rPr>
          <w:rFonts w:ascii="Calibri" w:hAnsi="Calibri" w:cs="Calibri"/>
          <w:color w:val="000000"/>
        </w:rPr>
        <w:t xml:space="preserve">March 24, 2025 </w:t>
      </w:r>
    </w:p>
    <w:p w14:paraId="7CDFBB95" w14:textId="77777777" w:rsidR="000652F3" w:rsidRPr="00350F39" w:rsidRDefault="000652F3" w:rsidP="00350F39">
      <w:pPr>
        <w:autoSpaceDE w:val="0"/>
        <w:autoSpaceDN w:val="0"/>
        <w:adjustRightInd w:val="0"/>
        <w:spacing w:after="0" w:line="240" w:lineRule="auto"/>
        <w:rPr>
          <w:rFonts w:ascii="Calibri" w:hAnsi="Calibri" w:cs="Calibri"/>
          <w:color w:val="000000"/>
        </w:rPr>
      </w:pPr>
    </w:p>
    <w:p w14:paraId="75DEC114" w14:textId="77777777" w:rsidR="00350F39" w:rsidRPr="000652F3" w:rsidRDefault="00350F39" w:rsidP="00350F39">
      <w:pPr>
        <w:autoSpaceDE w:val="0"/>
        <w:autoSpaceDN w:val="0"/>
        <w:adjustRightInd w:val="0"/>
        <w:spacing w:after="0" w:line="240" w:lineRule="auto"/>
        <w:rPr>
          <w:rFonts w:ascii="Calibri" w:hAnsi="Calibri" w:cs="Calibri"/>
          <w:color w:val="000000"/>
        </w:rPr>
      </w:pPr>
      <w:r w:rsidRPr="00350F39">
        <w:rPr>
          <w:rFonts w:ascii="Calibri" w:hAnsi="Calibri" w:cs="Calibri"/>
          <w:color w:val="000000"/>
        </w:rPr>
        <w:t xml:space="preserve">Kiame </w:t>
      </w:r>
      <w:proofErr w:type="spellStart"/>
      <w:r w:rsidRPr="00350F39">
        <w:rPr>
          <w:rFonts w:ascii="Calibri" w:hAnsi="Calibri" w:cs="Calibri"/>
          <w:color w:val="000000"/>
        </w:rPr>
        <w:t>Mahaniah</w:t>
      </w:r>
      <w:proofErr w:type="spellEnd"/>
      <w:r w:rsidRPr="00350F39">
        <w:rPr>
          <w:rFonts w:ascii="Calibri" w:hAnsi="Calibri" w:cs="Calibri"/>
          <w:color w:val="000000"/>
        </w:rPr>
        <w:t>, Chair</w:t>
      </w:r>
    </w:p>
    <w:p w14:paraId="3EAC5F0A" w14:textId="77777777" w:rsidR="00350F39" w:rsidRPr="000652F3" w:rsidRDefault="00350F39" w:rsidP="00350F39">
      <w:pPr>
        <w:autoSpaceDE w:val="0"/>
        <w:autoSpaceDN w:val="0"/>
        <w:adjustRightInd w:val="0"/>
        <w:spacing w:after="0" w:line="240" w:lineRule="auto"/>
        <w:rPr>
          <w:rFonts w:ascii="Calibri" w:hAnsi="Calibri" w:cs="Calibri"/>
          <w:color w:val="000000"/>
        </w:rPr>
      </w:pPr>
      <w:r w:rsidRPr="00350F39">
        <w:rPr>
          <w:rFonts w:ascii="Calibri" w:hAnsi="Calibri" w:cs="Calibri"/>
          <w:color w:val="000000"/>
        </w:rPr>
        <w:t>Rest Home Task Force</w:t>
      </w:r>
    </w:p>
    <w:p w14:paraId="14D597BF" w14:textId="77777777" w:rsidR="00350F39" w:rsidRPr="000652F3" w:rsidRDefault="00350F39" w:rsidP="00350F39">
      <w:pPr>
        <w:autoSpaceDE w:val="0"/>
        <w:autoSpaceDN w:val="0"/>
        <w:adjustRightInd w:val="0"/>
        <w:spacing w:after="0" w:line="240" w:lineRule="auto"/>
        <w:rPr>
          <w:rFonts w:ascii="Calibri" w:hAnsi="Calibri" w:cs="Calibri"/>
          <w:color w:val="000000"/>
        </w:rPr>
      </w:pPr>
      <w:r w:rsidRPr="00350F39">
        <w:rPr>
          <w:rFonts w:ascii="Calibri" w:hAnsi="Calibri" w:cs="Calibri"/>
          <w:color w:val="000000"/>
        </w:rPr>
        <w:t>Executive Office of Health and Human Services</w:t>
      </w:r>
    </w:p>
    <w:p w14:paraId="1691FF5F" w14:textId="67B48EC2" w:rsidR="00350F39" w:rsidRPr="00350F39" w:rsidRDefault="00350F39" w:rsidP="00350F39">
      <w:pPr>
        <w:autoSpaceDE w:val="0"/>
        <w:autoSpaceDN w:val="0"/>
        <w:adjustRightInd w:val="0"/>
        <w:spacing w:after="0" w:line="240" w:lineRule="auto"/>
        <w:rPr>
          <w:rFonts w:ascii="Calibri" w:hAnsi="Calibri" w:cs="Calibri"/>
          <w:color w:val="000000"/>
        </w:rPr>
      </w:pPr>
      <w:r w:rsidRPr="00350F39">
        <w:rPr>
          <w:rFonts w:ascii="Calibri" w:hAnsi="Calibri" w:cs="Calibri"/>
          <w:color w:val="000000"/>
        </w:rPr>
        <w:t xml:space="preserve">One Ashburton Place Boston, MA 02108 </w:t>
      </w:r>
    </w:p>
    <w:p w14:paraId="54C6F833" w14:textId="77777777" w:rsidR="00350F39" w:rsidRPr="000652F3" w:rsidRDefault="00350F39" w:rsidP="00350F39">
      <w:pPr>
        <w:autoSpaceDE w:val="0"/>
        <w:autoSpaceDN w:val="0"/>
        <w:adjustRightInd w:val="0"/>
        <w:spacing w:after="0" w:line="240" w:lineRule="auto"/>
        <w:rPr>
          <w:rFonts w:ascii="Calibri" w:hAnsi="Calibri" w:cs="Calibri"/>
          <w:color w:val="000000"/>
        </w:rPr>
      </w:pPr>
    </w:p>
    <w:p w14:paraId="79FEA1AC" w14:textId="612B4A1C" w:rsidR="00350F39" w:rsidRPr="00350F39" w:rsidRDefault="00350F39" w:rsidP="00350F39">
      <w:pPr>
        <w:autoSpaceDE w:val="0"/>
        <w:autoSpaceDN w:val="0"/>
        <w:adjustRightInd w:val="0"/>
        <w:spacing w:after="0" w:line="240" w:lineRule="auto"/>
        <w:rPr>
          <w:rFonts w:ascii="Calibri" w:hAnsi="Calibri" w:cs="Calibri"/>
          <w:color w:val="000000"/>
        </w:rPr>
      </w:pPr>
      <w:r w:rsidRPr="00350F39">
        <w:rPr>
          <w:rFonts w:ascii="Calibri" w:hAnsi="Calibri" w:cs="Calibri"/>
          <w:color w:val="000000"/>
        </w:rPr>
        <w:t xml:space="preserve">Dear </w:t>
      </w:r>
      <w:proofErr w:type="gramStart"/>
      <w:r w:rsidRPr="00350F39">
        <w:rPr>
          <w:rFonts w:ascii="Calibri" w:hAnsi="Calibri" w:cs="Calibri"/>
          <w:color w:val="000000"/>
        </w:rPr>
        <w:t>Undersecretary</w:t>
      </w:r>
      <w:proofErr w:type="gramEnd"/>
      <w:r w:rsidRPr="00350F39">
        <w:rPr>
          <w:rFonts w:ascii="Calibri" w:hAnsi="Calibri" w:cs="Calibri"/>
          <w:color w:val="000000"/>
        </w:rPr>
        <w:t xml:space="preserve"> </w:t>
      </w:r>
      <w:proofErr w:type="spellStart"/>
      <w:r w:rsidRPr="00350F39">
        <w:rPr>
          <w:rFonts w:ascii="Calibri" w:hAnsi="Calibri" w:cs="Calibri"/>
          <w:color w:val="000000"/>
        </w:rPr>
        <w:t>Mahaniah</w:t>
      </w:r>
      <w:proofErr w:type="spellEnd"/>
      <w:r w:rsidRPr="00350F39">
        <w:rPr>
          <w:rFonts w:ascii="Calibri" w:hAnsi="Calibri" w:cs="Calibri"/>
          <w:color w:val="000000"/>
        </w:rPr>
        <w:t xml:space="preserve">: </w:t>
      </w:r>
    </w:p>
    <w:p w14:paraId="7C62E55B" w14:textId="77777777" w:rsidR="00350F39" w:rsidRPr="000652F3" w:rsidRDefault="00350F39" w:rsidP="00350F39">
      <w:pPr>
        <w:autoSpaceDE w:val="0"/>
        <w:autoSpaceDN w:val="0"/>
        <w:adjustRightInd w:val="0"/>
        <w:spacing w:after="0" w:line="240" w:lineRule="auto"/>
        <w:rPr>
          <w:rFonts w:ascii="Calibri" w:hAnsi="Calibri" w:cs="Calibri"/>
          <w:color w:val="000000"/>
        </w:rPr>
      </w:pPr>
    </w:p>
    <w:p w14:paraId="388D2C3C" w14:textId="702CA92C" w:rsidR="00350F39" w:rsidRPr="000652F3" w:rsidRDefault="00350F39" w:rsidP="00350F39">
      <w:pPr>
        <w:autoSpaceDE w:val="0"/>
        <w:autoSpaceDN w:val="0"/>
        <w:adjustRightInd w:val="0"/>
        <w:spacing w:after="0" w:line="240" w:lineRule="auto"/>
        <w:rPr>
          <w:rFonts w:ascii="Calibri" w:hAnsi="Calibri" w:cs="Calibri"/>
          <w:color w:val="000000"/>
        </w:rPr>
      </w:pPr>
      <w:r w:rsidRPr="00350F39">
        <w:rPr>
          <w:rFonts w:ascii="Calibri" w:hAnsi="Calibri" w:cs="Calibri"/>
          <w:color w:val="000000"/>
        </w:rPr>
        <w:t xml:space="preserve">LeadingAge Massachusetts was pleased to be named as a member of the Rest Home Task Force, established by Section 27 of Chapter 197 of the Acts of 2024, and through our representative, Tracey </w:t>
      </w:r>
      <w:proofErr w:type="spellStart"/>
      <w:r w:rsidRPr="00350F39">
        <w:rPr>
          <w:rFonts w:ascii="Calibri" w:hAnsi="Calibri" w:cs="Calibri"/>
          <w:color w:val="000000"/>
        </w:rPr>
        <w:t>Cravedi</w:t>
      </w:r>
      <w:proofErr w:type="spellEnd"/>
      <w:r w:rsidRPr="00350F39">
        <w:rPr>
          <w:rFonts w:ascii="Calibri" w:hAnsi="Calibri" w:cs="Calibri"/>
          <w:color w:val="000000"/>
        </w:rPr>
        <w:t xml:space="preserve">, we have appreciated the opportunity to participate in the work of the Task Force over the past two months. As the only statewide association representing the full spectrum of not-for-profit providers of housing and services for older adults in the Commonwealth, LeadingAge Massachusetts is working to ensure that all older adults can live in age friendly communities where they have access to the services they need, when they need in them in the place they call home. Rest homes are a critically important component of our </w:t>
      </w:r>
      <w:proofErr w:type="gramStart"/>
      <w:r w:rsidRPr="00350F39">
        <w:rPr>
          <w:rFonts w:ascii="Calibri" w:hAnsi="Calibri" w:cs="Calibri"/>
          <w:color w:val="000000"/>
        </w:rPr>
        <w:t>aging</w:t>
      </w:r>
      <w:proofErr w:type="gramEnd"/>
      <w:r w:rsidRPr="00350F39">
        <w:rPr>
          <w:rFonts w:ascii="Calibri" w:hAnsi="Calibri" w:cs="Calibri"/>
          <w:color w:val="000000"/>
        </w:rPr>
        <w:t xml:space="preserve"> services system, offering affordable, supportive housing environments for older adults and others who are unable to live independently on their own but who do not need the intensive skilled services available in nursing facilities. </w:t>
      </w:r>
      <w:proofErr w:type="gramStart"/>
      <w:r w:rsidRPr="00350F39">
        <w:rPr>
          <w:rFonts w:ascii="Calibri" w:hAnsi="Calibri" w:cs="Calibri"/>
          <w:color w:val="000000"/>
        </w:rPr>
        <w:t>A majority of</w:t>
      </w:r>
      <w:proofErr w:type="gramEnd"/>
      <w:r w:rsidRPr="00350F39">
        <w:rPr>
          <w:rFonts w:ascii="Calibri" w:hAnsi="Calibri" w:cs="Calibri"/>
          <w:color w:val="000000"/>
        </w:rPr>
        <w:t xml:space="preserve"> rest home residents are unable to afford the cost of assisted living. Unfortunately, the closure of more than a dozen rest homes in the past 10 years mean a reduction in access to this valuable resource. </w:t>
      </w:r>
    </w:p>
    <w:p w14:paraId="6FD51E46" w14:textId="77777777" w:rsidR="00350F39" w:rsidRPr="00350F39" w:rsidRDefault="00350F39" w:rsidP="00350F39">
      <w:pPr>
        <w:autoSpaceDE w:val="0"/>
        <w:autoSpaceDN w:val="0"/>
        <w:adjustRightInd w:val="0"/>
        <w:spacing w:after="0" w:line="240" w:lineRule="auto"/>
        <w:rPr>
          <w:rFonts w:ascii="Calibri" w:hAnsi="Calibri" w:cs="Calibri"/>
          <w:color w:val="000000"/>
        </w:rPr>
      </w:pPr>
    </w:p>
    <w:p w14:paraId="1AE6D13E" w14:textId="77777777" w:rsidR="00350F39" w:rsidRPr="000652F3" w:rsidRDefault="00350F39" w:rsidP="00350F39">
      <w:pPr>
        <w:autoSpaceDE w:val="0"/>
        <w:autoSpaceDN w:val="0"/>
        <w:adjustRightInd w:val="0"/>
        <w:spacing w:after="0" w:line="240" w:lineRule="auto"/>
        <w:rPr>
          <w:rFonts w:ascii="Calibri" w:hAnsi="Calibri" w:cs="Calibri"/>
          <w:b/>
          <w:bCs/>
          <w:color w:val="000000"/>
        </w:rPr>
      </w:pPr>
      <w:r w:rsidRPr="00350F39">
        <w:rPr>
          <w:rFonts w:ascii="Calibri" w:hAnsi="Calibri" w:cs="Calibri"/>
          <w:b/>
          <w:bCs/>
          <w:color w:val="000000"/>
        </w:rPr>
        <w:t xml:space="preserve">Task Force Recommendations Related to Regulatory Requirements </w:t>
      </w:r>
    </w:p>
    <w:p w14:paraId="5E38175D" w14:textId="77777777" w:rsidR="000652F3" w:rsidRPr="00350F39" w:rsidRDefault="000652F3" w:rsidP="00350F39">
      <w:pPr>
        <w:autoSpaceDE w:val="0"/>
        <w:autoSpaceDN w:val="0"/>
        <w:adjustRightInd w:val="0"/>
        <w:spacing w:after="0" w:line="240" w:lineRule="auto"/>
        <w:rPr>
          <w:rFonts w:ascii="Calibri" w:hAnsi="Calibri" w:cs="Calibri"/>
          <w:color w:val="000000"/>
        </w:rPr>
      </w:pPr>
    </w:p>
    <w:p w14:paraId="027DEB50" w14:textId="23F5EA07" w:rsidR="00AD3D91" w:rsidRPr="000652F3" w:rsidRDefault="00350F39" w:rsidP="000652F3">
      <w:pPr>
        <w:autoSpaceDE w:val="0"/>
        <w:autoSpaceDN w:val="0"/>
        <w:adjustRightInd w:val="0"/>
        <w:spacing w:after="0" w:line="240" w:lineRule="auto"/>
        <w:rPr>
          <w:rFonts w:ascii="Calibri" w:hAnsi="Calibri" w:cs="Calibri"/>
          <w:color w:val="000000"/>
        </w:rPr>
      </w:pPr>
      <w:r w:rsidRPr="000652F3">
        <w:rPr>
          <w:rFonts w:ascii="Calibri" w:hAnsi="Calibri" w:cs="Calibri"/>
          <w:color w:val="000000"/>
        </w:rPr>
        <w:t xml:space="preserve">The Rest Home Task Force explored </w:t>
      </w:r>
      <w:proofErr w:type="gramStart"/>
      <w:r w:rsidRPr="000652F3">
        <w:rPr>
          <w:rFonts w:ascii="Calibri" w:hAnsi="Calibri" w:cs="Calibri"/>
          <w:color w:val="000000"/>
        </w:rPr>
        <w:t>a number of</w:t>
      </w:r>
      <w:proofErr w:type="gramEnd"/>
      <w:r w:rsidRPr="000652F3">
        <w:rPr>
          <w:rFonts w:ascii="Calibri" w:hAnsi="Calibri" w:cs="Calibri"/>
          <w:color w:val="000000"/>
        </w:rPr>
        <w:t xml:space="preserve"> issues during its deliberation and issued a report with recommendations aimed at strengthening the rest home sector. LeadingAge Massachusetts is pleased that many of our recommendations </w:t>
      </w:r>
      <w:proofErr w:type="gramStart"/>
      <w:r w:rsidRPr="000652F3">
        <w:rPr>
          <w:rFonts w:ascii="Calibri" w:hAnsi="Calibri" w:cs="Calibri"/>
          <w:color w:val="000000"/>
        </w:rPr>
        <w:t>to strengthen</w:t>
      </w:r>
      <w:proofErr w:type="gramEnd"/>
      <w:r w:rsidRPr="000652F3">
        <w:rPr>
          <w:rFonts w:ascii="Calibri" w:hAnsi="Calibri" w:cs="Calibri"/>
          <w:color w:val="000000"/>
        </w:rPr>
        <w:t xml:space="preserve"> the rest home</w:t>
      </w:r>
    </w:p>
    <w:p w14:paraId="22AEC023" w14:textId="77777777" w:rsidR="000652F3" w:rsidRDefault="000652F3" w:rsidP="000652F3">
      <w:pPr>
        <w:autoSpaceDE w:val="0"/>
        <w:autoSpaceDN w:val="0"/>
        <w:adjustRightInd w:val="0"/>
        <w:spacing w:after="0" w:line="240" w:lineRule="auto"/>
        <w:rPr>
          <w:rFonts w:ascii="Calibri" w:hAnsi="Calibri" w:cs="Calibri"/>
          <w:color w:val="000000"/>
        </w:rPr>
      </w:pPr>
      <w:r w:rsidRPr="000652F3">
        <w:rPr>
          <w:rFonts w:ascii="Calibri" w:hAnsi="Calibri" w:cs="Calibri"/>
          <w:color w:val="000000"/>
        </w:rPr>
        <w:t xml:space="preserve">sector </w:t>
      </w:r>
      <w:proofErr w:type="gramStart"/>
      <w:r w:rsidRPr="000652F3">
        <w:rPr>
          <w:rFonts w:ascii="Calibri" w:hAnsi="Calibri" w:cs="Calibri"/>
          <w:color w:val="000000"/>
        </w:rPr>
        <w:t>were</w:t>
      </w:r>
      <w:proofErr w:type="gramEnd"/>
      <w:r w:rsidRPr="000652F3">
        <w:rPr>
          <w:rFonts w:ascii="Calibri" w:hAnsi="Calibri" w:cs="Calibri"/>
          <w:color w:val="000000"/>
        </w:rPr>
        <w:t xml:space="preserve"> included in the final report, including recommendations to review, update, streamline and modernize regulations for rest homes. </w:t>
      </w:r>
      <w:r w:rsidRPr="000652F3">
        <w:rPr>
          <w:rFonts w:ascii="Calibri" w:hAnsi="Calibri" w:cs="Calibri"/>
          <w:b/>
          <w:bCs/>
          <w:color w:val="000000"/>
        </w:rPr>
        <w:t>However, we are disappointed that the initial recommendation to adopt a separate set of regulations that are clear and distinct for rest homes was deleted from the final report.</w:t>
      </w:r>
      <w:r w:rsidRPr="000652F3">
        <w:rPr>
          <w:rFonts w:ascii="Calibri" w:hAnsi="Calibri" w:cs="Calibri"/>
          <w:color w:val="000000"/>
        </w:rPr>
        <w:t xml:space="preserve"> Approximately 20 years ago, LeadingAge Massachusetts worked together with MARCH and representatives from the Department of Public Health on a workgroup to establish a set of regulations for rest homes that were separate and distinct from the long-term care regulations. Currently, regulatory requirements for rest homes are intertwined within the long-term care regulations. Many of the provisions that are required for nursing homes (levels </w:t>
      </w:r>
      <w:proofErr w:type="gramStart"/>
      <w:r w:rsidRPr="000652F3">
        <w:rPr>
          <w:rFonts w:ascii="Calibri" w:hAnsi="Calibri" w:cs="Calibri"/>
          <w:color w:val="000000"/>
        </w:rPr>
        <w:t>I,II</w:t>
      </w:r>
      <w:proofErr w:type="gramEnd"/>
      <w:r w:rsidRPr="000652F3">
        <w:rPr>
          <w:rFonts w:ascii="Calibri" w:hAnsi="Calibri" w:cs="Calibri"/>
          <w:color w:val="000000"/>
        </w:rPr>
        <w:t xml:space="preserve"> and III) are not applicable for rest homes. It is often confusing to determine what the requirements are for rest homes. This is even the case for DPH surveyors on occasion. The Department of Public Health should have regulations that are clear and distinct for rest homes, and the Department </w:t>
      </w:r>
      <w:proofErr w:type="gramStart"/>
      <w:r w:rsidRPr="000652F3">
        <w:rPr>
          <w:rFonts w:ascii="Calibri" w:hAnsi="Calibri" w:cs="Calibri"/>
          <w:color w:val="000000"/>
        </w:rPr>
        <w:t>was in agreement</w:t>
      </w:r>
      <w:proofErr w:type="gramEnd"/>
      <w:r w:rsidRPr="000652F3">
        <w:rPr>
          <w:rFonts w:ascii="Calibri" w:hAnsi="Calibri" w:cs="Calibri"/>
          <w:color w:val="000000"/>
        </w:rPr>
        <w:t xml:space="preserve"> more than 20 years ago </w:t>
      </w:r>
      <w:r w:rsidRPr="000652F3">
        <w:rPr>
          <w:rFonts w:ascii="Calibri" w:hAnsi="Calibri" w:cs="Calibri"/>
          <w:color w:val="000000"/>
        </w:rPr>
        <w:lastRenderedPageBreak/>
        <w:t xml:space="preserve">when they participated in our work group. Such a process to separate out the regulations would include work to review and update numerous aspects of the regulations including staffing requirements to ensure that the regulations are reflective of the resident population that currently resides within rest homes in the Commonwealth. </w:t>
      </w:r>
    </w:p>
    <w:p w14:paraId="729BAB92" w14:textId="77777777" w:rsidR="000652F3" w:rsidRPr="000652F3" w:rsidRDefault="000652F3" w:rsidP="000652F3">
      <w:pPr>
        <w:autoSpaceDE w:val="0"/>
        <w:autoSpaceDN w:val="0"/>
        <w:adjustRightInd w:val="0"/>
        <w:spacing w:after="0" w:line="240" w:lineRule="auto"/>
        <w:rPr>
          <w:rFonts w:ascii="Calibri" w:hAnsi="Calibri" w:cs="Calibri"/>
          <w:color w:val="000000"/>
        </w:rPr>
      </w:pPr>
    </w:p>
    <w:p w14:paraId="5450C775" w14:textId="272C4043" w:rsidR="000652F3" w:rsidRPr="000652F3" w:rsidRDefault="000652F3" w:rsidP="000652F3">
      <w:pPr>
        <w:autoSpaceDE w:val="0"/>
        <w:autoSpaceDN w:val="0"/>
        <w:adjustRightInd w:val="0"/>
        <w:spacing w:after="0" w:line="240" w:lineRule="auto"/>
        <w:rPr>
          <w:rFonts w:ascii="Calibri" w:hAnsi="Calibri" w:cs="Calibri"/>
          <w:color w:val="000000"/>
        </w:rPr>
      </w:pPr>
      <w:r w:rsidRPr="000652F3">
        <w:rPr>
          <w:rFonts w:ascii="Calibri" w:hAnsi="Calibri" w:cs="Calibri"/>
          <w:b/>
          <w:bCs/>
          <w:color w:val="000000"/>
        </w:rPr>
        <w:t>LeadingAge Massachusetts was also disappointed that the final recommendations of the Task Force did not include LeadingAge Massachusetts’ recommendation to review and amend the construction standards for rest homes to allow rest homes to be built and renovated in accordance with residential building codes as they are for Assisted Living Residences in the Commonwealth.</w:t>
      </w:r>
      <w:r w:rsidRPr="000652F3">
        <w:rPr>
          <w:rFonts w:ascii="Calibri" w:hAnsi="Calibri" w:cs="Calibri"/>
          <w:color w:val="000000"/>
        </w:rPr>
        <w:t xml:space="preserve"> Certified Assisted Living Residences in Massachusetts are built in compliance with residential building codes and are not subject to plan review or determination of need requirements. Rest homes must comply with health care facility regulations, subject to plan review at DPH, and Determination of Need requirements. Such requirements make it extremely challenging and costly to renovate and update rest homes. The resident population living in rest homes is very similar to that of the resident population living in Assisted Living, (with many rest home residents being younger with fewer mobility issues) and should be</w:t>
      </w:r>
    </w:p>
    <w:p w14:paraId="45940B53" w14:textId="77777777" w:rsidR="000652F3" w:rsidRPr="000652F3" w:rsidRDefault="000652F3" w:rsidP="000652F3"/>
    <w:p w14:paraId="6F9F9B1D" w14:textId="1032A8AF" w:rsidR="001E1A3E" w:rsidRPr="00F178E4" w:rsidRDefault="00000000">
      <w:pPr>
        <w:pStyle w:val="Heading1"/>
        <w:rPr>
          <w:rFonts w:cstheme="majorHAnsi"/>
        </w:rPr>
      </w:pPr>
      <w:r w:rsidRPr="00F178E4">
        <w:rPr>
          <w:rFonts w:cstheme="majorHAnsi"/>
        </w:rPr>
        <w:t>Slide 53</w:t>
      </w:r>
    </w:p>
    <w:p w14:paraId="590E881E" w14:textId="77777777" w:rsidR="001E1A3E" w:rsidRDefault="00000000">
      <w:pPr>
        <w:rPr>
          <w:rFonts w:asciiTheme="majorHAnsi" w:hAnsiTheme="majorHAnsi" w:cstheme="majorHAnsi"/>
        </w:rPr>
      </w:pPr>
      <w:r w:rsidRPr="00F178E4">
        <w:rPr>
          <w:rFonts w:asciiTheme="majorHAnsi" w:hAnsiTheme="majorHAnsi" w:cstheme="majorHAnsi"/>
        </w:rPr>
        <w:t>Appendix E – Written Comments Received from Members Regarding the Draft Report</w:t>
      </w:r>
    </w:p>
    <w:p w14:paraId="121CA79D" w14:textId="77777777" w:rsidR="000652F3" w:rsidRPr="00F178E4" w:rsidRDefault="000652F3">
      <w:pPr>
        <w:rPr>
          <w:rFonts w:asciiTheme="majorHAnsi" w:hAnsiTheme="majorHAnsi" w:cstheme="majorHAnsi"/>
        </w:rPr>
      </w:pPr>
    </w:p>
    <w:p w14:paraId="0175C242" w14:textId="77777777" w:rsidR="000652F3" w:rsidRPr="000652F3" w:rsidRDefault="000652F3" w:rsidP="000652F3">
      <w:pPr>
        <w:autoSpaceDE w:val="0"/>
        <w:autoSpaceDN w:val="0"/>
        <w:adjustRightInd w:val="0"/>
        <w:spacing w:after="0" w:line="240" w:lineRule="auto"/>
        <w:rPr>
          <w:rFonts w:asciiTheme="majorHAnsi" w:eastAsia="SimSun" w:hAnsiTheme="majorHAnsi" w:cstheme="majorHAnsi"/>
          <w:kern w:val="2"/>
          <w:szCs w:val="28"/>
          <w:lang w:eastAsia="zh-CN" w:bidi="th-TH"/>
        </w:rPr>
      </w:pPr>
      <w:r w:rsidRPr="000652F3">
        <w:rPr>
          <w:rFonts w:asciiTheme="majorHAnsi" w:eastAsia="SimSun" w:hAnsiTheme="majorHAnsi" w:cstheme="majorHAnsi"/>
          <w:kern w:val="2"/>
          <w:szCs w:val="28"/>
          <w:lang w:eastAsia="zh-CN" w:bidi="th-TH"/>
        </w:rPr>
        <w:t xml:space="preserve">afforded the same opportunity to live in physical buildings that are modern and residential in nature. Another example is the fact that rest homes are not allowed to place locks on the doors of resident bedrooms. This may make sense for a nursing home, but not for a rest home where residents are independent in their ability to come and go, even though they require the 24-hour support provided by the rest home. These residents deserve privacy in their rooms and should not have to be concerned about other residents entering their rooms when they are not invited. In contrast, regulations governing Assisted Living require Assisted Living Residences to have </w:t>
      </w:r>
      <w:proofErr w:type="gramStart"/>
      <w:r w:rsidRPr="000652F3">
        <w:rPr>
          <w:rFonts w:asciiTheme="majorHAnsi" w:eastAsia="SimSun" w:hAnsiTheme="majorHAnsi" w:cstheme="majorHAnsi"/>
          <w:kern w:val="2"/>
          <w:szCs w:val="28"/>
          <w:lang w:eastAsia="zh-CN" w:bidi="th-TH"/>
        </w:rPr>
        <w:t>doors that</w:t>
      </w:r>
      <w:proofErr w:type="gramEnd"/>
      <w:r w:rsidRPr="000652F3">
        <w:rPr>
          <w:rFonts w:asciiTheme="majorHAnsi" w:eastAsia="SimSun" w:hAnsiTheme="majorHAnsi" w:cstheme="majorHAnsi"/>
          <w:kern w:val="2"/>
          <w:szCs w:val="28"/>
          <w:lang w:eastAsia="zh-CN" w:bidi="th-TH"/>
        </w:rPr>
        <w:t xml:space="preserve"> lock. This has put rest homes, especially those that are </w:t>
      </w:r>
      <w:proofErr w:type="gramStart"/>
      <w:r w:rsidRPr="000652F3">
        <w:rPr>
          <w:rFonts w:asciiTheme="majorHAnsi" w:eastAsia="SimSun" w:hAnsiTheme="majorHAnsi" w:cstheme="majorHAnsi"/>
          <w:kern w:val="2"/>
          <w:szCs w:val="28"/>
          <w:lang w:eastAsia="zh-CN" w:bidi="th-TH"/>
        </w:rPr>
        <w:t>private</w:t>
      </w:r>
      <w:proofErr w:type="gramEnd"/>
      <w:r w:rsidRPr="000652F3">
        <w:rPr>
          <w:rFonts w:asciiTheme="majorHAnsi" w:eastAsia="SimSun" w:hAnsiTheme="majorHAnsi" w:cstheme="majorHAnsi"/>
          <w:kern w:val="2"/>
          <w:szCs w:val="28"/>
          <w:lang w:eastAsia="zh-CN" w:bidi="th-TH"/>
        </w:rPr>
        <w:t xml:space="preserve"> pay, at a competitive disadvantage compared with Assisted Living. </w:t>
      </w:r>
      <w:proofErr w:type="gramStart"/>
      <w:r w:rsidRPr="000652F3">
        <w:rPr>
          <w:rFonts w:asciiTheme="majorHAnsi" w:eastAsia="SimSun" w:hAnsiTheme="majorHAnsi" w:cstheme="majorHAnsi"/>
          <w:kern w:val="2"/>
          <w:szCs w:val="28"/>
          <w:lang w:eastAsia="zh-CN" w:bidi="th-TH"/>
        </w:rPr>
        <w:t>As long as</w:t>
      </w:r>
      <w:proofErr w:type="gramEnd"/>
      <w:r w:rsidRPr="000652F3">
        <w:rPr>
          <w:rFonts w:asciiTheme="majorHAnsi" w:eastAsia="SimSun" w:hAnsiTheme="majorHAnsi" w:cstheme="majorHAnsi"/>
          <w:kern w:val="2"/>
          <w:szCs w:val="28"/>
          <w:lang w:eastAsia="zh-CN" w:bidi="th-TH"/>
        </w:rPr>
        <w:t xml:space="preserve"> staff have the </w:t>
      </w:r>
      <w:proofErr w:type="gramStart"/>
      <w:r w:rsidRPr="000652F3">
        <w:rPr>
          <w:rFonts w:asciiTheme="majorHAnsi" w:eastAsia="SimSun" w:hAnsiTheme="majorHAnsi" w:cstheme="majorHAnsi"/>
          <w:kern w:val="2"/>
          <w:szCs w:val="28"/>
          <w:lang w:eastAsia="zh-CN" w:bidi="th-TH"/>
        </w:rPr>
        <w:t>availability</w:t>
      </w:r>
      <w:proofErr w:type="gramEnd"/>
      <w:r w:rsidRPr="000652F3">
        <w:rPr>
          <w:rFonts w:asciiTheme="majorHAnsi" w:eastAsia="SimSun" w:hAnsiTheme="majorHAnsi" w:cstheme="majorHAnsi"/>
          <w:kern w:val="2"/>
          <w:szCs w:val="28"/>
          <w:lang w:eastAsia="zh-CN" w:bidi="th-TH"/>
        </w:rPr>
        <w:t xml:space="preserve"> to have access to the room, residents of rest homes should be able to have the freedom to lock their doors.</w:t>
      </w:r>
    </w:p>
    <w:p w14:paraId="2343F4D3" w14:textId="77777777" w:rsidR="000652F3" w:rsidRDefault="000652F3" w:rsidP="000652F3">
      <w:pPr>
        <w:autoSpaceDE w:val="0"/>
        <w:autoSpaceDN w:val="0"/>
        <w:adjustRightInd w:val="0"/>
        <w:spacing w:after="0" w:line="240" w:lineRule="auto"/>
        <w:rPr>
          <w:rFonts w:asciiTheme="majorHAnsi" w:eastAsia="SimSun" w:hAnsiTheme="majorHAnsi" w:cstheme="majorHAnsi"/>
          <w:kern w:val="2"/>
          <w:szCs w:val="28"/>
          <w:lang w:eastAsia="zh-CN" w:bidi="th-TH"/>
        </w:rPr>
      </w:pPr>
    </w:p>
    <w:p w14:paraId="1DAA0C49" w14:textId="59120483" w:rsidR="000652F3" w:rsidRDefault="000652F3" w:rsidP="000652F3">
      <w:pPr>
        <w:autoSpaceDE w:val="0"/>
        <w:autoSpaceDN w:val="0"/>
        <w:adjustRightInd w:val="0"/>
        <w:spacing w:after="0" w:line="240" w:lineRule="auto"/>
        <w:rPr>
          <w:rFonts w:asciiTheme="majorHAnsi" w:eastAsia="SimSun" w:hAnsiTheme="majorHAnsi" w:cstheme="majorHAnsi"/>
          <w:b/>
          <w:bCs/>
          <w:kern w:val="2"/>
          <w:szCs w:val="28"/>
          <w:lang w:eastAsia="zh-CN" w:bidi="th-TH"/>
        </w:rPr>
      </w:pPr>
      <w:r w:rsidRPr="000652F3">
        <w:rPr>
          <w:rFonts w:asciiTheme="majorHAnsi" w:eastAsia="SimSun" w:hAnsiTheme="majorHAnsi" w:cstheme="majorHAnsi"/>
          <w:b/>
          <w:bCs/>
          <w:kern w:val="2"/>
          <w:szCs w:val="28"/>
          <w:lang w:eastAsia="zh-CN" w:bidi="th-TH"/>
        </w:rPr>
        <w:t>RCC-Q Recommendations</w:t>
      </w:r>
    </w:p>
    <w:p w14:paraId="7ACF885E" w14:textId="77777777" w:rsidR="000652F3" w:rsidRPr="000652F3" w:rsidRDefault="000652F3" w:rsidP="000652F3">
      <w:pPr>
        <w:autoSpaceDE w:val="0"/>
        <w:autoSpaceDN w:val="0"/>
        <w:adjustRightInd w:val="0"/>
        <w:spacing w:after="0" w:line="240" w:lineRule="auto"/>
        <w:rPr>
          <w:rFonts w:asciiTheme="majorHAnsi" w:eastAsia="SimSun" w:hAnsiTheme="majorHAnsi" w:cstheme="majorHAnsi"/>
          <w:b/>
          <w:bCs/>
          <w:kern w:val="2"/>
          <w:szCs w:val="28"/>
          <w:lang w:eastAsia="zh-CN" w:bidi="th-TH"/>
        </w:rPr>
      </w:pPr>
    </w:p>
    <w:p w14:paraId="7BB17293" w14:textId="109AC853" w:rsidR="000652F3" w:rsidRPr="000652F3" w:rsidRDefault="000652F3" w:rsidP="000652F3">
      <w:pPr>
        <w:autoSpaceDE w:val="0"/>
        <w:autoSpaceDN w:val="0"/>
        <w:adjustRightInd w:val="0"/>
        <w:spacing w:after="0" w:line="240" w:lineRule="auto"/>
        <w:rPr>
          <w:rFonts w:asciiTheme="majorHAnsi" w:eastAsia="SimSun" w:hAnsiTheme="majorHAnsi" w:cstheme="majorHAnsi"/>
          <w:kern w:val="2"/>
          <w:szCs w:val="28"/>
          <w:lang w:eastAsia="zh-CN" w:bidi="th-TH"/>
        </w:rPr>
      </w:pPr>
      <w:r w:rsidRPr="000652F3">
        <w:rPr>
          <w:rFonts w:asciiTheme="majorHAnsi" w:eastAsia="SimSun" w:hAnsiTheme="majorHAnsi" w:cstheme="majorHAnsi"/>
          <w:kern w:val="2"/>
          <w:szCs w:val="28"/>
          <w:lang w:eastAsia="zh-CN" w:bidi="th-TH"/>
        </w:rPr>
        <w:t xml:space="preserve">As we have shared in the past, LeadingAge MA continues to be a strong proponent of transparency and accountability by providers, advocating to ensure that public rates be used to deliver quality care. While we agree in theory with the goals of the Resident Care Cost Quotient (RCC-Q), we continue to question whether the RCC-Q is the most appropriate mechanism to ensure funds are spent appropriately, and if so, whether 80% is the correct threshold. We appreciate that the RCC-Q encompasses many of the necessary expenses (to a greater extent than the DCC-Q for nursing homes). However, there are </w:t>
      </w:r>
      <w:proofErr w:type="gramStart"/>
      <w:r w:rsidRPr="000652F3">
        <w:rPr>
          <w:rFonts w:asciiTheme="majorHAnsi" w:eastAsia="SimSun" w:hAnsiTheme="majorHAnsi" w:cstheme="majorHAnsi"/>
          <w:kern w:val="2"/>
          <w:szCs w:val="28"/>
          <w:lang w:eastAsia="zh-CN" w:bidi="th-TH"/>
        </w:rPr>
        <w:t>a number of</w:t>
      </w:r>
      <w:proofErr w:type="gramEnd"/>
      <w:r w:rsidRPr="000652F3">
        <w:rPr>
          <w:rFonts w:asciiTheme="majorHAnsi" w:eastAsia="SimSun" w:hAnsiTheme="majorHAnsi" w:cstheme="majorHAnsi"/>
          <w:kern w:val="2"/>
          <w:szCs w:val="28"/>
          <w:lang w:eastAsia="zh-CN" w:bidi="th-TH"/>
        </w:rPr>
        <w:t xml:space="preserve"> reasons why a rest home may not reach the 80% RCC-Q threshold while still dedicating sufficient resources to staffing and other categories impacting quality of care and quality of life. Administrative costs have soared due to the tremendous amount of reporting requirements that facilities have been subject to over the past four years. A case in point is the requirement to complete the RCC-Q when </w:t>
      </w:r>
      <w:r w:rsidRPr="000652F3">
        <w:rPr>
          <w:rFonts w:asciiTheme="majorHAnsi" w:eastAsia="SimSun" w:hAnsiTheme="majorHAnsi" w:cstheme="majorHAnsi"/>
          <w:kern w:val="2"/>
          <w:szCs w:val="28"/>
          <w:lang w:eastAsia="zh-CN" w:bidi="th-TH"/>
        </w:rPr>
        <w:lastRenderedPageBreak/>
        <w:t xml:space="preserve">providers must already file incredibly detailed cost reports each year. Another reason why a provider may not have met the 80% threshold is due to </w:t>
      </w:r>
      <w:proofErr w:type="gramStart"/>
      <w:r w:rsidRPr="000652F3">
        <w:rPr>
          <w:rFonts w:asciiTheme="majorHAnsi" w:eastAsia="SimSun" w:hAnsiTheme="majorHAnsi" w:cstheme="majorHAnsi"/>
          <w:kern w:val="2"/>
          <w:szCs w:val="28"/>
          <w:lang w:eastAsia="zh-CN" w:bidi="th-TH"/>
        </w:rPr>
        <w:t>required</w:t>
      </w:r>
      <w:proofErr w:type="gramEnd"/>
      <w:r w:rsidRPr="000652F3">
        <w:rPr>
          <w:rFonts w:asciiTheme="majorHAnsi" w:eastAsia="SimSun" w:hAnsiTheme="majorHAnsi" w:cstheme="majorHAnsi"/>
          <w:kern w:val="2"/>
          <w:szCs w:val="28"/>
          <w:lang w:eastAsia="zh-CN" w:bidi="th-TH"/>
        </w:rPr>
        <w:t xml:space="preserve"> capital expenditures that they were able to raise private funds to cover. While we applaud the recommendation</w:t>
      </w:r>
      <w:r w:rsidRPr="000652F3">
        <w:rPr>
          <w:rFonts w:asciiTheme="majorHAnsi" w:hAnsiTheme="majorHAnsi" w:cstheme="majorHAnsi"/>
          <w:color w:val="000000"/>
        </w:rPr>
        <w:t xml:space="preserve"> </w:t>
      </w:r>
      <w:r w:rsidRPr="000652F3">
        <w:rPr>
          <w:rFonts w:asciiTheme="majorHAnsi" w:eastAsia="SimSun" w:hAnsiTheme="majorHAnsi" w:cstheme="majorHAnsi"/>
          <w:kern w:val="2"/>
          <w:szCs w:val="28"/>
          <w:lang w:eastAsia="zh-CN" w:bidi="th-TH"/>
        </w:rPr>
        <w:t xml:space="preserve">allowing rest homes to petition EOHHS for a temporary “waiver” if a rest home was below the RCC-Q threshold due to physical plant improvements that were more than 10% of the rest home’s annual revenue in the reporting year, we would ask that the ability to request a temporary waiver be broadened. There are other legitimate reasons why a rest home may temporarily have an RCC-Q score below 80% that is not indicative of reduced spending on resident care. </w:t>
      </w:r>
      <w:r w:rsidRPr="000652F3">
        <w:rPr>
          <w:rFonts w:asciiTheme="majorHAnsi" w:eastAsia="SimSun" w:hAnsiTheme="majorHAnsi" w:cstheme="majorHAnsi"/>
          <w:b/>
          <w:bCs/>
          <w:kern w:val="2"/>
          <w:szCs w:val="28"/>
          <w:lang w:eastAsia="zh-CN" w:bidi="th-TH"/>
        </w:rPr>
        <w:t xml:space="preserve">More importantly, LeadingAge Massachusetts continues to question whether the RCC-Q is an appropriate tool for rest homes, and urges a separate independent review of the goals, criteria and outcomes of the RCC-Q, </w:t>
      </w:r>
      <w:r w:rsidRPr="000652F3">
        <w:rPr>
          <w:rFonts w:asciiTheme="majorHAnsi" w:eastAsia="SimSun" w:hAnsiTheme="majorHAnsi" w:cstheme="majorHAnsi"/>
          <w:kern w:val="2"/>
          <w:szCs w:val="28"/>
          <w:lang w:eastAsia="zh-CN" w:bidi="th-TH"/>
        </w:rPr>
        <w:t xml:space="preserve">in addition to considering the impact of duplicative reporting requirements for providers. </w:t>
      </w:r>
    </w:p>
    <w:p w14:paraId="679310FD" w14:textId="77777777" w:rsidR="000652F3" w:rsidRDefault="000652F3" w:rsidP="000652F3">
      <w:pPr>
        <w:autoSpaceDE w:val="0"/>
        <w:autoSpaceDN w:val="0"/>
        <w:adjustRightInd w:val="0"/>
        <w:spacing w:after="0" w:line="240" w:lineRule="auto"/>
        <w:rPr>
          <w:rFonts w:asciiTheme="majorHAnsi" w:eastAsia="SimSun" w:hAnsiTheme="majorHAnsi" w:cstheme="majorHAnsi"/>
          <w:b/>
          <w:bCs/>
          <w:kern w:val="2"/>
          <w:szCs w:val="28"/>
          <w:lang w:eastAsia="zh-CN" w:bidi="th-TH"/>
        </w:rPr>
      </w:pPr>
    </w:p>
    <w:p w14:paraId="5E95C74C" w14:textId="7056E32F" w:rsidR="00AD3D91" w:rsidRDefault="000652F3" w:rsidP="000652F3">
      <w:pPr>
        <w:autoSpaceDE w:val="0"/>
        <w:autoSpaceDN w:val="0"/>
        <w:adjustRightInd w:val="0"/>
        <w:spacing w:after="0" w:line="240" w:lineRule="auto"/>
        <w:rPr>
          <w:rFonts w:asciiTheme="majorHAnsi" w:eastAsia="SimSun" w:hAnsiTheme="majorHAnsi" w:cstheme="majorHAnsi"/>
          <w:kern w:val="2"/>
          <w:szCs w:val="28"/>
          <w:lang w:eastAsia="zh-CN" w:bidi="th-TH"/>
        </w:rPr>
      </w:pPr>
      <w:r w:rsidRPr="000652F3">
        <w:rPr>
          <w:rFonts w:asciiTheme="majorHAnsi" w:eastAsia="SimSun" w:hAnsiTheme="majorHAnsi" w:cstheme="majorHAnsi"/>
          <w:b/>
          <w:bCs/>
          <w:kern w:val="2"/>
          <w:szCs w:val="28"/>
          <w:lang w:eastAsia="zh-CN" w:bidi="th-TH"/>
        </w:rPr>
        <w:t xml:space="preserve">Engagement Among Regulatory and Industry Stakeholders </w:t>
      </w:r>
      <w:r w:rsidRPr="000652F3">
        <w:rPr>
          <w:rFonts w:asciiTheme="majorHAnsi" w:eastAsia="SimSun" w:hAnsiTheme="majorHAnsi" w:cstheme="majorHAnsi"/>
          <w:kern w:val="2"/>
          <w:szCs w:val="28"/>
          <w:lang w:eastAsia="zh-CN" w:bidi="th-TH"/>
        </w:rPr>
        <w:t>We fully support the inclusion of recommendation 4, to increase engagement among regulatory and industry stakeholders including the establishment of an internal EOHHS working group to explore the topics raised during the deliberations of the Rest Home Task Force, with regular engagement from the rest home industry. Ongoing dialogue between rest home providers/associations and state agencies involved with rest homes will be critically important in advancing work aimed at strengthening rest homes as an affordable, high-quality, supportive housing option for older adults in the Commonwealth. Related to this recommendation, we recommend that DPH hold annual or semi-annual meetings with rest home providers where DPH staff can share important information including common survey findings, best practices and engage in Q&amp;A with providers. All with the aim of improving care for residents. This is a practice that the Executive Office of Aging and Independence has adopted with Assisted Living Residences to share information, policies and best practices. During the pandemic, DPH staff held monthly informational meetings with long-term care providers that were well-attended and valued by providers.</w:t>
      </w:r>
    </w:p>
    <w:p w14:paraId="22B6A532" w14:textId="77777777" w:rsidR="000652F3" w:rsidRPr="000652F3" w:rsidRDefault="000652F3" w:rsidP="000652F3">
      <w:pPr>
        <w:autoSpaceDE w:val="0"/>
        <w:autoSpaceDN w:val="0"/>
        <w:adjustRightInd w:val="0"/>
        <w:spacing w:after="0" w:line="240" w:lineRule="auto"/>
        <w:rPr>
          <w:rFonts w:asciiTheme="majorHAnsi" w:eastAsia="SimSun" w:hAnsiTheme="majorHAnsi" w:cstheme="majorHAnsi"/>
          <w:kern w:val="2"/>
          <w:szCs w:val="28"/>
          <w:lang w:eastAsia="zh-CN" w:bidi="th-TH"/>
        </w:rPr>
      </w:pPr>
    </w:p>
    <w:p w14:paraId="23201B48" w14:textId="33B91635" w:rsidR="001E1A3E" w:rsidRPr="00F178E4" w:rsidRDefault="00000000">
      <w:pPr>
        <w:pStyle w:val="Heading1"/>
        <w:rPr>
          <w:rFonts w:cstheme="majorHAnsi"/>
        </w:rPr>
      </w:pPr>
      <w:r w:rsidRPr="00F178E4">
        <w:rPr>
          <w:rFonts w:cstheme="majorHAnsi"/>
        </w:rPr>
        <w:t>Slide 54</w:t>
      </w:r>
    </w:p>
    <w:p w14:paraId="21C35E9E" w14:textId="77777777" w:rsidR="001E1A3E" w:rsidRPr="00F178E4" w:rsidRDefault="00000000">
      <w:pPr>
        <w:rPr>
          <w:rFonts w:asciiTheme="majorHAnsi" w:hAnsiTheme="majorHAnsi" w:cstheme="majorHAnsi"/>
        </w:rPr>
      </w:pPr>
      <w:r w:rsidRPr="00F178E4">
        <w:rPr>
          <w:rFonts w:asciiTheme="majorHAnsi" w:hAnsiTheme="majorHAnsi" w:cstheme="majorHAnsi"/>
        </w:rPr>
        <w:t>Appendix E – Written Comments Received from Members Regarding the Draft Report</w:t>
      </w:r>
    </w:p>
    <w:p w14:paraId="6F345E14" w14:textId="77777777" w:rsidR="000652F3" w:rsidRDefault="000652F3" w:rsidP="000652F3">
      <w:pPr>
        <w:rPr>
          <w:rFonts w:asciiTheme="majorHAnsi" w:hAnsiTheme="majorHAnsi" w:cstheme="majorHAnsi"/>
        </w:rPr>
      </w:pPr>
    </w:p>
    <w:p w14:paraId="2849B91A" w14:textId="77777777" w:rsidR="000652F3" w:rsidRDefault="000652F3" w:rsidP="000652F3">
      <w:pPr>
        <w:rPr>
          <w:rFonts w:asciiTheme="majorHAnsi" w:hAnsiTheme="majorHAnsi" w:cstheme="majorHAnsi"/>
        </w:rPr>
      </w:pPr>
    </w:p>
    <w:p w14:paraId="28047280" w14:textId="53EC38BE" w:rsidR="000652F3" w:rsidRPr="000652F3" w:rsidRDefault="000652F3" w:rsidP="000652F3">
      <w:pPr>
        <w:rPr>
          <w:rFonts w:asciiTheme="majorHAnsi" w:hAnsiTheme="majorHAnsi" w:cstheme="majorHAnsi"/>
        </w:rPr>
      </w:pPr>
      <w:r w:rsidRPr="000652F3">
        <w:rPr>
          <w:rFonts w:asciiTheme="majorHAnsi" w:hAnsiTheme="majorHAnsi" w:cstheme="majorHAnsi"/>
        </w:rPr>
        <w:t xml:space="preserve">On behalf of LeadingAge Massachusetts, I thank you for your leadership of this important Task Force and look forward to working with stakeholders to advance the Task Force’s recommendations and ensure that rest homes remain an important community-based supportive housing option for older adults and </w:t>
      </w:r>
      <w:proofErr w:type="gramStart"/>
      <w:r w:rsidRPr="000652F3">
        <w:rPr>
          <w:rFonts w:asciiTheme="majorHAnsi" w:hAnsiTheme="majorHAnsi" w:cstheme="majorHAnsi"/>
        </w:rPr>
        <w:t>persons</w:t>
      </w:r>
      <w:proofErr w:type="gramEnd"/>
      <w:r w:rsidRPr="000652F3">
        <w:rPr>
          <w:rFonts w:asciiTheme="majorHAnsi" w:hAnsiTheme="majorHAnsi" w:cstheme="majorHAnsi"/>
        </w:rPr>
        <w:t xml:space="preserve"> with disabilities well into the future. </w:t>
      </w:r>
    </w:p>
    <w:p w14:paraId="4DA9568A" w14:textId="77777777" w:rsidR="000652F3" w:rsidRPr="000652F3" w:rsidRDefault="000652F3" w:rsidP="000652F3">
      <w:pPr>
        <w:rPr>
          <w:rFonts w:asciiTheme="majorHAnsi" w:hAnsiTheme="majorHAnsi" w:cstheme="majorHAnsi"/>
        </w:rPr>
      </w:pPr>
      <w:r w:rsidRPr="000652F3">
        <w:rPr>
          <w:rFonts w:asciiTheme="majorHAnsi" w:hAnsiTheme="majorHAnsi" w:cstheme="majorHAnsi"/>
        </w:rPr>
        <w:t xml:space="preserve">Sincerely, </w:t>
      </w:r>
    </w:p>
    <w:p w14:paraId="0480B5C8" w14:textId="77777777" w:rsidR="000652F3" w:rsidRDefault="000652F3" w:rsidP="000652F3">
      <w:pPr>
        <w:rPr>
          <w:rFonts w:asciiTheme="majorHAnsi" w:hAnsiTheme="majorHAnsi" w:cstheme="majorHAnsi"/>
        </w:rPr>
      </w:pPr>
      <w:r w:rsidRPr="000652F3">
        <w:rPr>
          <w:rFonts w:asciiTheme="majorHAnsi" w:hAnsiTheme="majorHAnsi" w:cstheme="majorHAnsi"/>
        </w:rPr>
        <w:t>Elissa Sherman</w:t>
      </w:r>
    </w:p>
    <w:p w14:paraId="024660A4" w14:textId="493A75E1" w:rsidR="00AD3D91" w:rsidRPr="00F178E4" w:rsidRDefault="000652F3">
      <w:pPr>
        <w:rPr>
          <w:rFonts w:asciiTheme="majorHAnsi" w:hAnsiTheme="majorHAnsi" w:cstheme="majorHAnsi"/>
        </w:rPr>
      </w:pPr>
      <w:r w:rsidRPr="000652F3">
        <w:rPr>
          <w:rFonts w:asciiTheme="majorHAnsi" w:hAnsiTheme="majorHAnsi" w:cstheme="majorHAnsi"/>
        </w:rPr>
        <w:t>President</w:t>
      </w:r>
    </w:p>
    <w:sectPr w:rsidR="00AD3D91" w:rsidRPr="00F178E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FB4662"/>
    <w:multiLevelType w:val="hybridMultilevel"/>
    <w:tmpl w:val="AF70F45E"/>
    <w:lvl w:ilvl="0" w:tplc="57C22A94">
      <w:start w:val="1"/>
      <w:numFmt w:val="bullet"/>
      <w:lvlText w:val="•"/>
      <w:lvlJc w:val="left"/>
      <w:pPr>
        <w:tabs>
          <w:tab w:val="num" w:pos="720"/>
        </w:tabs>
        <w:ind w:left="720" w:hanging="360"/>
      </w:pPr>
      <w:rPr>
        <w:rFonts w:ascii="Arial" w:hAnsi="Arial" w:hint="default"/>
      </w:rPr>
    </w:lvl>
    <w:lvl w:ilvl="1" w:tplc="B3928E12" w:tentative="1">
      <w:start w:val="1"/>
      <w:numFmt w:val="bullet"/>
      <w:lvlText w:val="•"/>
      <w:lvlJc w:val="left"/>
      <w:pPr>
        <w:tabs>
          <w:tab w:val="num" w:pos="1440"/>
        </w:tabs>
        <w:ind w:left="1440" w:hanging="360"/>
      </w:pPr>
      <w:rPr>
        <w:rFonts w:ascii="Arial" w:hAnsi="Arial" w:hint="default"/>
      </w:rPr>
    </w:lvl>
    <w:lvl w:ilvl="2" w:tplc="E436A76E" w:tentative="1">
      <w:start w:val="1"/>
      <w:numFmt w:val="bullet"/>
      <w:lvlText w:val="•"/>
      <w:lvlJc w:val="left"/>
      <w:pPr>
        <w:tabs>
          <w:tab w:val="num" w:pos="2160"/>
        </w:tabs>
        <w:ind w:left="2160" w:hanging="360"/>
      </w:pPr>
      <w:rPr>
        <w:rFonts w:ascii="Arial" w:hAnsi="Arial" w:hint="default"/>
      </w:rPr>
    </w:lvl>
    <w:lvl w:ilvl="3" w:tplc="C1EC1EE0" w:tentative="1">
      <w:start w:val="1"/>
      <w:numFmt w:val="bullet"/>
      <w:lvlText w:val="•"/>
      <w:lvlJc w:val="left"/>
      <w:pPr>
        <w:tabs>
          <w:tab w:val="num" w:pos="2880"/>
        </w:tabs>
        <w:ind w:left="2880" w:hanging="360"/>
      </w:pPr>
      <w:rPr>
        <w:rFonts w:ascii="Arial" w:hAnsi="Arial" w:hint="default"/>
      </w:rPr>
    </w:lvl>
    <w:lvl w:ilvl="4" w:tplc="D6BCA02C" w:tentative="1">
      <w:start w:val="1"/>
      <w:numFmt w:val="bullet"/>
      <w:lvlText w:val="•"/>
      <w:lvlJc w:val="left"/>
      <w:pPr>
        <w:tabs>
          <w:tab w:val="num" w:pos="3600"/>
        </w:tabs>
        <w:ind w:left="3600" w:hanging="360"/>
      </w:pPr>
      <w:rPr>
        <w:rFonts w:ascii="Arial" w:hAnsi="Arial" w:hint="default"/>
      </w:rPr>
    </w:lvl>
    <w:lvl w:ilvl="5" w:tplc="61B6F17A" w:tentative="1">
      <w:start w:val="1"/>
      <w:numFmt w:val="bullet"/>
      <w:lvlText w:val="•"/>
      <w:lvlJc w:val="left"/>
      <w:pPr>
        <w:tabs>
          <w:tab w:val="num" w:pos="4320"/>
        </w:tabs>
        <w:ind w:left="4320" w:hanging="360"/>
      </w:pPr>
      <w:rPr>
        <w:rFonts w:ascii="Arial" w:hAnsi="Arial" w:hint="default"/>
      </w:rPr>
    </w:lvl>
    <w:lvl w:ilvl="6" w:tplc="6114B8D6" w:tentative="1">
      <w:start w:val="1"/>
      <w:numFmt w:val="bullet"/>
      <w:lvlText w:val="•"/>
      <w:lvlJc w:val="left"/>
      <w:pPr>
        <w:tabs>
          <w:tab w:val="num" w:pos="5040"/>
        </w:tabs>
        <w:ind w:left="5040" w:hanging="360"/>
      </w:pPr>
      <w:rPr>
        <w:rFonts w:ascii="Arial" w:hAnsi="Arial" w:hint="default"/>
      </w:rPr>
    </w:lvl>
    <w:lvl w:ilvl="7" w:tplc="903E38B2" w:tentative="1">
      <w:start w:val="1"/>
      <w:numFmt w:val="bullet"/>
      <w:lvlText w:val="•"/>
      <w:lvlJc w:val="left"/>
      <w:pPr>
        <w:tabs>
          <w:tab w:val="num" w:pos="5760"/>
        </w:tabs>
        <w:ind w:left="5760" w:hanging="360"/>
      </w:pPr>
      <w:rPr>
        <w:rFonts w:ascii="Arial" w:hAnsi="Arial" w:hint="default"/>
      </w:rPr>
    </w:lvl>
    <w:lvl w:ilvl="8" w:tplc="747648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1682E14"/>
    <w:multiLevelType w:val="hybridMultilevel"/>
    <w:tmpl w:val="F810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084219"/>
    <w:multiLevelType w:val="hybridMultilevel"/>
    <w:tmpl w:val="EE8038E2"/>
    <w:lvl w:ilvl="0" w:tplc="9F8665C8">
      <w:start w:val="1"/>
      <w:numFmt w:val="bullet"/>
      <w:lvlText w:val="•"/>
      <w:lvlJc w:val="left"/>
      <w:pPr>
        <w:tabs>
          <w:tab w:val="num" w:pos="720"/>
        </w:tabs>
        <w:ind w:left="720" w:hanging="360"/>
      </w:pPr>
      <w:rPr>
        <w:rFonts w:ascii="Arial" w:hAnsi="Arial" w:hint="default"/>
      </w:rPr>
    </w:lvl>
    <w:lvl w:ilvl="1" w:tplc="31D8770C" w:tentative="1">
      <w:start w:val="1"/>
      <w:numFmt w:val="bullet"/>
      <w:lvlText w:val="•"/>
      <w:lvlJc w:val="left"/>
      <w:pPr>
        <w:tabs>
          <w:tab w:val="num" w:pos="1440"/>
        </w:tabs>
        <w:ind w:left="1440" w:hanging="360"/>
      </w:pPr>
      <w:rPr>
        <w:rFonts w:ascii="Arial" w:hAnsi="Arial" w:hint="default"/>
      </w:rPr>
    </w:lvl>
    <w:lvl w:ilvl="2" w:tplc="A4C82E58" w:tentative="1">
      <w:start w:val="1"/>
      <w:numFmt w:val="bullet"/>
      <w:lvlText w:val="•"/>
      <w:lvlJc w:val="left"/>
      <w:pPr>
        <w:tabs>
          <w:tab w:val="num" w:pos="2160"/>
        </w:tabs>
        <w:ind w:left="2160" w:hanging="360"/>
      </w:pPr>
      <w:rPr>
        <w:rFonts w:ascii="Arial" w:hAnsi="Arial" w:hint="default"/>
      </w:rPr>
    </w:lvl>
    <w:lvl w:ilvl="3" w:tplc="61766E52" w:tentative="1">
      <w:start w:val="1"/>
      <w:numFmt w:val="bullet"/>
      <w:lvlText w:val="•"/>
      <w:lvlJc w:val="left"/>
      <w:pPr>
        <w:tabs>
          <w:tab w:val="num" w:pos="2880"/>
        </w:tabs>
        <w:ind w:left="2880" w:hanging="360"/>
      </w:pPr>
      <w:rPr>
        <w:rFonts w:ascii="Arial" w:hAnsi="Arial" w:hint="default"/>
      </w:rPr>
    </w:lvl>
    <w:lvl w:ilvl="4" w:tplc="DDD26A48" w:tentative="1">
      <w:start w:val="1"/>
      <w:numFmt w:val="bullet"/>
      <w:lvlText w:val="•"/>
      <w:lvlJc w:val="left"/>
      <w:pPr>
        <w:tabs>
          <w:tab w:val="num" w:pos="3600"/>
        </w:tabs>
        <w:ind w:left="3600" w:hanging="360"/>
      </w:pPr>
      <w:rPr>
        <w:rFonts w:ascii="Arial" w:hAnsi="Arial" w:hint="default"/>
      </w:rPr>
    </w:lvl>
    <w:lvl w:ilvl="5" w:tplc="B14075F6" w:tentative="1">
      <w:start w:val="1"/>
      <w:numFmt w:val="bullet"/>
      <w:lvlText w:val="•"/>
      <w:lvlJc w:val="left"/>
      <w:pPr>
        <w:tabs>
          <w:tab w:val="num" w:pos="4320"/>
        </w:tabs>
        <w:ind w:left="4320" w:hanging="360"/>
      </w:pPr>
      <w:rPr>
        <w:rFonts w:ascii="Arial" w:hAnsi="Arial" w:hint="default"/>
      </w:rPr>
    </w:lvl>
    <w:lvl w:ilvl="6" w:tplc="C96A6C4C" w:tentative="1">
      <w:start w:val="1"/>
      <w:numFmt w:val="bullet"/>
      <w:lvlText w:val="•"/>
      <w:lvlJc w:val="left"/>
      <w:pPr>
        <w:tabs>
          <w:tab w:val="num" w:pos="5040"/>
        </w:tabs>
        <w:ind w:left="5040" w:hanging="360"/>
      </w:pPr>
      <w:rPr>
        <w:rFonts w:ascii="Arial" w:hAnsi="Arial" w:hint="default"/>
      </w:rPr>
    </w:lvl>
    <w:lvl w:ilvl="7" w:tplc="FDC8A690" w:tentative="1">
      <w:start w:val="1"/>
      <w:numFmt w:val="bullet"/>
      <w:lvlText w:val="•"/>
      <w:lvlJc w:val="left"/>
      <w:pPr>
        <w:tabs>
          <w:tab w:val="num" w:pos="5760"/>
        </w:tabs>
        <w:ind w:left="5760" w:hanging="360"/>
      </w:pPr>
      <w:rPr>
        <w:rFonts w:ascii="Arial" w:hAnsi="Arial" w:hint="default"/>
      </w:rPr>
    </w:lvl>
    <w:lvl w:ilvl="8" w:tplc="79DEC2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6051DBB"/>
    <w:multiLevelType w:val="hybridMultilevel"/>
    <w:tmpl w:val="A006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9D4E24"/>
    <w:multiLevelType w:val="hybridMultilevel"/>
    <w:tmpl w:val="0FA2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BB52E3"/>
    <w:multiLevelType w:val="hybridMultilevel"/>
    <w:tmpl w:val="17F6A11E"/>
    <w:lvl w:ilvl="0" w:tplc="932EB586">
      <w:start w:val="1"/>
      <w:numFmt w:val="bullet"/>
      <w:lvlText w:val="•"/>
      <w:lvlJc w:val="left"/>
      <w:pPr>
        <w:tabs>
          <w:tab w:val="num" w:pos="720"/>
        </w:tabs>
        <w:ind w:left="720" w:hanging="360"/>
      </w:pPr>
      <w:rPr>
        <w:rFonts w:ascii="Arial" w:hAnsi="Arial" w:hint="default"/>
      </w:rPr>
    </w:lvl>
    <w:lvl w:ilvl="1" w:tplc="48AE980A" w:tentative="1">
      <w:start w:val="1"/>
      <w:numFmt w:val="bullet"/>
      <w:lvlText w:val="•"/>
      <w:lvlJc w:val="left"/>
      <w:pPr>
        <w:tabs>
          <w:tab w:val="num" w:pos="1440"/>
        </w:tabs>
        <w:ind w:left="1440" w:hanging="360"/>
      </w:pPr>
      <w:rPr>
        <w:rFonts w:ascii="Arial" w:hAnsi="Arial" w:hint="default"/>
      </w:rPr>
    </w:lvl>
    <w:lvl w:ilvl="2" w:tplc="55ECB8BE" w:tentative="1">
      <w:start w:val="1"/>
      <w:numFmt w:val="bullet"/>
      <w:lvlText w:val="•"/>
      <w:lvlJc w:val="left"/>
      <w:pPr>
        <w:tabs>
          <w:tab w:val="num" w:pos="2160"/>
        </w:tabs>
        <w:ind w:left="2160" w:hanging="360"/>
      </w:pPr>
      <w:rPr>
        <w:rFonts w:ascii="Arial" w:hAnsi="Arial" w:hint="default"/>
      </w:rPr>
    </w:lvl>
    <w:lvl w:ilvl="3" w:tplc="0A70C1F8" w:tentative="1">
      <w:start w:val="1"/>
      <w:numFmt w:val="bullet"/>
      <w:lvlText w:val="•"/>
      <w:lvlJc w:val="left"/>
      <w:pPr>
        <w:tabs>
          <w:tab w:val="num" w:pos="2880"/>
        </w:tabs>
        <w:ind w:left="2880" w:hanging="360"/>
      </w:pPr>
      <w:rPr>
        <w:rFonts w:ascii="Arial" w:hAnsi="Arial" w:hint="default"/>
      </w:rPr>
    </w:lvl>
    <w:lvl w:ilvl="4" w:tplc="F6F24702" w:tentative="1">
      <w:start w:val="1"/>
      <w:numFmt w:val="bullet"/>
      <w:lvlText w:val="•"/>
      <w:lvlJc w:val="left"/>
      <w:pPr>
        <w:tabs>
          <w:tab w:val="num" w:pos="3600"/>
        </w:tabs>
        <w:ind w:left="3600" w:hanging="360"/>
      </w:pPr>
      <w:rPr>
        <w:rFonts w:ascii="Arial" w:hAnsi="Arial" w:hint="default"/>
      </w:rPr>
    </w:lvl>
    <w:lvl w:ilvl="5" w:tplc="AA447130" w:tentative="1">
      <w:start w:val="1"/>
      <w:numFmt w:val="bullet"/>
      <w:lvlText w:val="•"/>
      <w:lvlJc w:val="left"/>
      <w:pPr>
        <w:tabs>
          <w:tab w:val="num" w:pos="4320"/>
        </w:tabs>
        <w:ind w:left="4320" w:hanging="360"/>
      </w:pPr>
      <w:rPr>
        <w:rFonts w:ascii="Arial" w:hAnsi="Arial" w:hint="default"/>
      </w:rPr>
    </w:lvl>
    <w:lvl w:ilvl="6" w:tplc="9B8027CE" w:tentative="1">
      <w:start w:val="1"/>
      <w:numFmt w:val="bullet"/>
      <w:lvlText w:val="•"/>
      <w:lvlJc w:val="left"/>
      <w:pPr>
        <w:tabs>
          <w:tab w:val="num" w:pos="5040"/>
        </w:tabs>
        <w:ind w:left="5040" w:hanging="360"/>
      </w:pPr>
      <w:rPr>
        <w:rFonts w:ascii="Arial" w:hAnsi="Arial" w:hint="default"/>
      </w:rPr>
    </w:lvl>
    <w:lvl w:ilvl="7" w:tplc="766A3498" w:tentative="1">
      <w:start w:val="1"/>
      <w:numFmt w:val="bullet"/>
      <w:lvlText w:val="•"/>
      <w:lvlJc w:val="left"/>
      <w:pPr>
        <w:tabs>
          <w:tab w:val="num" w:pos="5760"/>
        </w:tabs>
        <w:ind w:left="5760" w:hanging="360"/>
      </w:pPr>
      <w:rPr>
        <w:rFonts w:ascii="Arial" w:hAnsi="Arial" w:hint="default"/>
      </w:rPr>
    </w:lvl>
    <w:lvl w:ilvl="8" w:tplc="22C426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C294302"/>
    <w:multiLevelType w:val="hybridMultilevel"/>
    <w:tmpl w:val="D1F6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312835"/>
    <w:multiLevelType w:val="hybridMultilevel"/>
    <w:tmpl w:val="6EBA5FC2"/>
    <w:lvl w:ilvl="0" w:tplc="D0D4CFDC">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126070"/>
    <w:multiLevelType w:val="hybridMultilevel"/>
    <w:tmpl w:val="CC22BB7C"/>
    <w:lvl w:ilvl="0" w:tplc="2CB2FC7E">
      <w:start w:val="1"/>
      <w:numFmt w:val="lowerRoman"/>
      <w:lvlText w:val="%1."/>
      <w:lvlJc w:val="right"/>
      <w:pPr>
        <w:tabs>
          <w:tab w:val="num" w:pos="720"/>
        </w:tabs>
        <w:ind w:left="720" w:hanging="360"/>
      </w:pPr>
    </w:lvl>
    <w:lvl w:ilvl="1" w:tplc="35B0273E" w:tentative="1">
      <w:start w:val="1"/>
      <w:numFmt w:val="lowerRoman"/>
      <w:lvlText w:val="%2."/>
      <w:lvlJc w:val="right"/>
      <w:pPr>
        <w:tabs>
          <w:tab w:val="num" w:pos="1440"/>
        </w:tabs>
        <w:ind w:left="1440" w:hanging="360"/>
      </w:pPr>
    </w:lvl>
    <w:lvl w:ilvl="2" w:tplc="FEA6C9E4" w:tentative="1">
      <w:start w:val="1"/>
      <w:numFmt w:val="lowerRoman"/>
      <w:lvlText w:val="%3."/>
      <w:lvlJc w:val="right"/>
      <w:pPr>
        <w:tabs>
          <w:tab w:val="num" w:pos="2160"/>
        </w:tabs>
        <w:ind w:left="2160" w:hanging="360"/>
      </w:pPr>
    </w:lvl>
    <w:lvl w:ilvl="3" w:tplc="CF3A9872" w:tentative="1">
      <w:start w:val="1"/>
      <w:numFmt w:val="lowerRoman"/>
      <w:lvlText w:val="%4."/>
      <w:lvlJc w:val="right"/>
      <w:pPr>
        <w:tabs>
          <w:tab w:val="num" w:pos="2880"/>
        </w:tabs>
        <w:ind w:left="2880" w:hanging="360"/>
      </w:pPr>
    </w:lvl>
    <w:lvl w:ilvl="4" w:tplc="C172E1E6" w:tentative="1">
      <w:start w:val="1"/>
      <w:numFmt w:val="lowerRoman"/>
      <w:lvlText w:val="%5."/>
      <w:lvlJc w:val="right"/>
      <w:pPr>
        <w:tabs>
          <w:tab w:val="num" w:pos="3600"/>
        </w:tabs>
        <w:ind w:left="3600" w:hanging="360"/>
      </w:pPr>
    </w:lvl>
    <w:lvl w:ilvl="5" w:tplc="EA9031C6" w:tentative="1">
      <w:start w:val="1"/>
      <w:numFmt w:val="lowerRoman"/>
      <w:lvlText w:val="%6."/>
      <w:lvlJc w:val="right"/>
      <w:pPr>
        <w:tabs>
          <w:tab w:val="num" w:pos="4320"/>
        </w:tabs>
        <w:ind w:left="4320" w:hanging="360"/>
      </w:pPr>
    </w:lvl>
    <w:lvl w:ilvl="6" w:tplc="EF4A74B4" w:tentative="1">
      <w:start w:val="1"/>
      <w:numFmt w:val="lowerRoman"/>
      <w:lvlText w:val="%7."/>
      <w:lvlJc w:val="right"/>
      <w:pPr>
        <w:tabs>
          <w:tab w:val="num" w:pos="5040"/>
        </w:tabs>
        <w:ind w:left="5040" w:hanging="360"/>
      </w:pPr>
    </w:lvl>
    <w:lvl w:ilvl="7" w:tplc="9830129A" w:tentative="1">
      <w:start w:val="1"/>
      <w:numFmt w:val="lowerRoman"/>
      <w:lvlText w:val="%8."/>
      <w:lvlJc w:val="right"/>
      <w:pPr>
        <w:tabs>
          <w:tab w:val="num" w:pos="5760"/>
        </w:tabs>
        <w:ind w:left="5760" w:hanging="360"/>
      </w:pPr>
    </w:lvl>
    <w:lvl w:ilvl="8" w:tplc="EEB64CAA" w:tentative="1">
      <w:start w:val="1"/>
      <w:numFmt w:val="lowerRoman"/>
      <w:lvlText w:val="%9."/>
      <w:lvlJc w:val="right"/>
      <w:pPr>
        <w:tabs>
          <w:tab w:val="num" w:pos="6480"/>
        </w:tabs>
        <w:ind w:left="6480" w:hanging="360"/>
      </w:pPr>
    </w:lvl>
  </w:abstractNum>
  <w:abstractNum w:abstractNumId="15" w15:restartNumberingAfterBreak="0">
    <w:nsid w:val="198B243E"/>
    <w:multiLevelType w:val="hybridMultilevel"/>
    <w:tmpl w:val="311C8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043736"/>
    <w:multiLevelType w:val="hybridMultilevel"/>
    <w:tmpl w:val="89805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292BEF"/>
    <w:multiLevelType w:val="hybridMultilevel"/>
    <w:tmpl w:val="D7D6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9C5BC4"/>
    <w:multiLevelType w:val="hybridMultilevel"/>
    <w:tmpl w:val="EBC47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286509"/>
    <w:multiLevelType w:val="hybridMultilevel"/>
    <w:tmpl w:val="D8B2AD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EF3CCF"/>
    <w:multiLevelType w:val="hybridMultilevel"/>
    <w:tmpl w:val="8DBA8776"/>
    <w:lvl w:ilvl="0" w:tplc="919EE4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197FA3"/>
    <w:multiLevelType w:val="hybridMultilevel"/>
    <w:tmpl w:val="B4B2A1A2"/>
    <w:lvl w:ilvl="0" w:tplc="51FA6CDC">
      <w:start w:val="13"/>
      <w:numFmt w:val="decimal"/>
      <w:lvlText w:val="%1."/>
      <w:lvlJc w:val="left"/>
      <w:pPr>
        <w:tabs>
          <w:tab w:val="num" w:pos="720"/>
        </w:tabs>
        <w:ind w:left="720" w:hanging="360"/>
      </w:pPr>
    </w:lvl>
    <w:lvl w:ilvl="1" w:tplc="BD18B752" w:tentative="1">
      <w:start w:val="1"/>
      <w:numFmt w:val="decimal"/>
      <w:lvlText w:val="%2."/>
      <w:lvlJc w:val="left"/>
      <w:pPr>
        <w:tabs>
          <w:tab w:val="num" w:pos="1440"/>
        </w:tabs>
        <w:ind w:left="1440" w:hanging="360"/>
      </w:pPr>
    </w:lvl>
    <w:lvl w:ilvl="2" w:tplc="71E27174" w:tentative="1">
      <w:start w:val="1"/>
      <w:numFmt w:val="decimal"/>
      <w:lvlText w:val="%3."/>
      <w:lvlJc w:val="left"/>
      <w:pPr>
        <w:tabs>
          <w:tab w:val="num" w:pos="2160"/>
        </w:tabs>
        <w:ind w:left="2160" w:hanging="360"/>
      </w:pPr>
    </w:lvl>
    <w:lvl w:ilvl="3" w:tplc="E272DD58" w:tentative="1">
      <w:start w:val="1"/>
      <w:numFmt w:val="decimal"/>
      <w:lvlText w:val="%4."/>
      <w:lvlJc w:val="left"/>
      <w:pPr>
        <w:tabs>
          <w:tab w:val="num" w:pos="2880"/>
        </w:tabs>
        <w:ind w:left="2880" w:hanging="360"/>
      </w:pPr>
    </w:lvl>
    <w:lvl w:ilvl="4" w:tplc="3C9A4516" w:tentative="1">
      <w:start w:val="1"/>
      <w:numFmt w:val="decimal"/>
      <w:lvlText w:val="%5."/>
      <w:lvlJc w:val="left"/>
      <w:pPr>
        <w:tabs>
          <w:tab w:val="num" w:pos="3600"/>
        </w:tabs>
        <w:ind w:left="3600" w:hanging="360"/>
      </w:pPr>
    </w:lvl>
    <w:lvl w:ilvl="5" w:tplc="B39AAA52" w:tentative="1">
      <w:start w:val="1"/>
      <w:numFmt w:val="decimal"/>
      <w:lvlText w:val="%6."/>
      <w:lvlJc w:val="left"/>
      <w:pPr>
        <w:tabs>
          <w:tab w:val="num" w:pos="4320"/>
        </w:tabs>
        <w:ind w:left="4320" w:hanging="360"/>
      </w:pPr>
    </w:lvl>
    <w:lvl w:ilvl="6" w:tplc="84183024" w:tentative="1">
      <w:start w:val="1"/>
      <w:numFmt w:val="decimal"/>
      <w:lvlText w:val="%7."/>
      <w:lvlJc w:val="left"/>
      <w:pPr>
        <w:tabs>
          <w:tab w:val="num" w:pos="5040"/>
        </w:tabs>
        <w:ind w:left="5040" w:hanging="360"/>
      </w:pPr>
    </w:lvl>
    <w:lvl w:ilvl="7" w:tplc="539E6140" w:tentative="1">
      <w:start w:val="1"/>
      <w:numFmt w:val="decimal"/>
      <w:lvlText w:val="%8."/>
      <w:lvlJc w:val="left"/>
      <w:pPr>
        <w:tabs>
          <w:tab w:val="num" w:pos="5760"/>
        </w:tabs>
        <w:ind w:left="5760" w:hanging="360"/>
      </w:pPr>
    </w:lvl>
    <w:lvl w:ilvl="8" w:tplc="4C28F1A8" w:tentative="1">
      <w:start w:val="1"/>
      <w:numFmt w:val="decimal"/>
      <w:lvlText w:val="%9."/>
      <w:lvlJc w:val="left"/>
      <w:pPr>
        <w:tabs>
          <w:tab w:val="num" w:pos="6480"/>
        </w:tabs>
        <w:ind w:left="6480" w:hanging="360"/>
      </w:pPr>
    </w:lvl>
  </w:abstractNum>
  <w:abstractNum w:abstractNumId="22" w15:restartNumberingAfterBreak="0">
    <w:nsid w:val="2C6D1C8E"/>
    <w:multiLevelType w:val="hybridMultilevel"/>
    <w:tmpl w:val="38768B30"/>
    <w:lvl w:ilvl="0" w:tplc="3DF657CA">
      <w:start w:val="1"/>
      <w:numFmt w:val="bullet"/>
      <w:lvlText w:val="•"/>
      <w:lvlJc w:val="left"/>
      <w:pPr>
        <w:tabs>
          <w:tab w:val="num" w:pos="720"/>
        </w:tabs>
        <w:ind w:left="720" w:hanging="360"/>
      </w:pPr>
      <w:rPr>
        <w:rFonts w:ascii="Arial" w:hAnsi="Arial" w:hint="default"/>
      </w:rPr>
    </w:lvl>
    <w:lvl w:ilvl="1" w:tplc="45542102" w:tentative="1">
      <w:start w:val="1"/>
      <w:numFmt w:val="bullet"/>
      <w:lvlText w:val="•"/>
      <w:lvlJc w:val="left"/>
      <w:pPr>
        <w:tabs>
          <w:tab w:val="num" w:pos="1440"/>
        </w:tabs>
        <w:ind w:left="1440" w:hanging="360"/>
      </w:pPr>
      <w:rPr>
        <w:rFonts w:ascii="Arial" w:hAnsi="Arial" w:hint="default"/>
      </w:rPr>
    </w:lvl>
    <w:lvl w:ilvl="2" w:tplc="953833F6" w:tentative="1">
      <w:start w:val="1"/>
      <w:numFmt w:val="bullet"/>
      <w:lvlText w:val="•"/>
      <w:lvlJc w:val="left"/>
      <w:pPr>
        <w:tabs>
          <w:tab w:val="num" w:pos="2160"/>
        </w:tabs>
        <w:ind w:left="2160" w:hanging="360"/>
      </w:pPr>
      <w:rPr>
        <w:rFonts w:ascii="Arial" w:hAnsi="Arial" w:hint="default"/>
      </w:rPr>
    </w:lvl>
    <w:lvl w:ilvl="3" w:tplc="F0E4E48A" w:tentative="1">
      <w:start w:val="1"/>
      <w:numFmt w:val="bullet"/>
      <w:lvlText w:val="•"/>
      <w:lvlJc w:val="left"/>
      <w:pPr>
        <w:tabs>
          <w:tab w:val="num" w:pos="2880"/>
        </w:tabs>
        <w:ind w:left="2880" w:hanging="360"/>
      </w:pPr>
      <w:rPr>
        <w:rFonts w:ascii="Arial" w:hAnsi="Arial" w:hint="default"/>
      </w:rPr>
    </w:lvl>
    <w:lvl w:ilvl="4" w:tplc="2CFAE334" w:tentative="1">
      <w:start w:val="1"/>
      <w:numFmt w:val="bullet"/>
      <w:lvlText w:val="•"/>
      <w:lvlJc w:val="left"/>
      <w:pPr>
        <w:tabs>
          <w:tab w:val="num" w:pos="3600"/>
        </w:tabs>
        <w:ind w:left="3600" w:hanging="360"/>
      </w:pPr>
      <w:rPr>
        <w:rFonts w:ascii="Arial" w:hAnsi="Arial" w:hint="default"/>
      </w:rPr>
    </w:lvl>
    <w:lvl w:ilvl="5" w:tplc="D8305470" w:tentative="1">
      <w:start w:val="1"/>
      <w:numFmt w:val="bullet"/>
      <w:lvlText w:val="•"/>
      <w:lvlJc w:val="left"/>
      <w:pPr>
        <w:tabs>
          <w:tab w:val="num" w:pos="4320"/>
        </w:tabs>
        <w:ind w:left="4320" w:hanging="360"/>
      </w:pPr>
      <w:rPr>
        <w:rFonts w:ascii="Arial" w:hAnsi="Arial" w:hint="default"/>
      </w:rPr>
    </w:lvl>
    <w:lvl w:ilvl="6" w:tplc="A3A6B198" w:tentative="1">
      <w:start w:val="1"/>
      <w:numFmt w:val="bullet"/>
      <w:lvlText w:val="•"/>
      <w:lvlJc w:val="left"/>
      <w:pPr>
        <w:tabs>
          <w:tab w:val="num" w:pos="5040"/>
        </w:tabs>
        <w:ind w:left="5040" w:hanging="360"/>
      </w:pPr>
      <w:rPr>
        <w:rFonts w:ascii="Arial" w:hAnsi="Arial" w:hint="default"/>
      </w:rPr>
    </w:lvl>
    <w:lvl w:ilvl="7" w:tplc="8970F5F4" w:tentative="1">
      <w:start w:val="1"/>
      <w:numFmt w:val="bullet"/>
      <w:lvlText w:val="•"/>
      <w:lvlJc w:val="left"/>
      <w:pPr>
        <w:tabs>
          <w:tab w:val="num" w:pos="5760"/>
        </w:tabs>
        <w:ind w:left="5760" w:hanging="360"/>
      </w:pPr>
      <w:rPr>
        <w:rFonts w:ascii="Arial" w:hAnsi="Arial" w:hint="default"/>
      </w:rPr>
    </w:lvl>
    <w:lvl w:ilvl="8" w:tplc="5AE464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ED301A0"/>
    <w:multiLevelType w:val="hybridMultilevel"/>
    <w:tmpl w:val="981298E2"/>
    <w:lvl w:ilvl="0" w:tplc="F844DEC0">
      <w:start w:val="3"/>
      <w:numFmt w:val="bullet"/>
      <w:lvlText w:val="-"/>
      <w:lvlJc w:val="left"/>
      <w:pPr>
        <w:ind w:left="1440" w:hanging="360"/>
      </w:pPr>
      <w:rPr>
        <w:rFonts w:ascii="Calibri" w:eastAsiaTheme="minorEastAsia"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00C7E4B"/>
    <w:multiLevelType w:val="hybridMultilevel"/>
    <w:tmpl w:val="D100A57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860C89"/>
    <w:multiLevelType w:val="hybridMultilevel"/>
    <w:tmpl w:val="0932F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211769"/>
    <w:multiLevelType w:val="hybridMultilevel"/>
    <w:tmpl w:val="755CDB30"/>
    <w:lvl w:ilvl="0" w:tplc="5D10A87C">
      <w:start w:val="1"/>
      <w:numFmt w:val="bullet"/>
      <w:lvlText w:val="•"/>
      <w:lvlJc w:val="left"/>
      <w:pPr>
        <w:tabs>
          <w:tab w:val="num" w:pos="720"/>
        </w:tabs>
        <w:ind w:left="720" w:hanging="360"/>
      </w:pPr>
      <w:rPr>
        <w:rFonts w:ascii="Arial" w:hAnsi="Arial" w:hint="default"/>
      </w:rPr>
    </w:lvl>
    <w:lvl w:ilvl="1" w:tplc="319A589A" w:tentative="1">
      <w:start w:val="1"/>
      <w:numFmt w:val="bullet"/>
      <w:lvlText w:val="•"/>
      <w:lvlJc w:val="left"/>
      <w:pPr>
        <w:tabs>
          <w:tab w:val="num" w:pos="1440"/>
        </w:tabs>
        <w:ind w:left="1440" w:hanging="360"/>
      </w:pPr>
      <w:rPr>
        <w:rFonts w:ascii="Arial" w:hAnsi="Arial" w:hint="default"/>
      </w:rPr>
    </w:lvl>
    <w:lvl w:ilvl="2" w:tplc="8D34A134" w:tentative="1">
      <w:start w:val="1"/>
      <w:numFmt w:val="bullet"/>
      <w:lvlText w:val="•"/>
      <w:lvlJc w:val="left"/>
      <w:pPr>
        <w:tabs>
          <w:tab w:val="num" w:pos="2160"/>
        </w:tabs>
        <w:ind w:left="2160" w:hanging="360"/>
      </w:pPr>
      <w:rPr>
        <w:rFonts w:ascii="Arial" w:hAnsi="Arial" w:hint="default"/>
      </w:rPr>
    </w:lvl>
    <w:lvl w:ilvl="3" w:tplc="D1B0FE3A" w:tentative="1">
      <w:start w:val="1"/>
      <w:numFmt w:val="bullet"/>
      <w:lvlText w:val="•"/>
      <w:lvlJc w:val="left"/>
      <w:pPr>
        <w:tabs>
          <w:tab w:val="num" w:pos="2880"/>
        </w:tabs>
        <w:ind w:left="2880" w:hanging="360"/>
      </w:pPr>
      <w:rPr>
        <w:rFonts w:ascii="Arial" w:hAnsi="Arial" w:hint="default"/>
      </w:rPr>
    </w:lvl>
    <w:lvl w:ilvl="4" w:tplc="BD4CBF7C" w:tentative="1">
      <w:start w:val="1"/>
      <w:numFmt w:val="bullet"/>
      <w:lvlText w:val="•"/>
      <w:lvlJc w:val="left"/>
      <w:pPr>
        <w:tabs>
          <w:tab w:val="num" w:pos="3600"/>
        </w:tabs>
        <w:ind w:left="3600" w:hanging="360"/>
      </w:pPr>
      <w:rPr>
        <w:rFonts w:ascii="Arial" w:hAnsi="Arial" w:hint="default"/>
      </w:rPr>
    </w:lvl>
    <w:lvl w:ilvl="5" w:tplc="7C58E3CC" w:tentative="1">
      <w:start w:val="1"/>
      <w:numFmt w:val="bullet"/>
      <w:lvlText w:val="•"/>
      <w:lvlJc w:val="left"/>
      <w:pPr>
        <w:tabs>
          <w:tab w:val="num" w:pos="4320"/>
        </w:tabs>
        <w:ind w:left="4320" w:hanging="360"/>
      </w:pPr>
      <w:rPr>
        <w:rFonts w:ascii="Arial" w:hAnsi="Arial" w:hint="default"/>
      </w:rPr>
    </w:lvl>
    <w:lvl w:ilvl="6" w:tplc="C10802F2" w:tentative="1">
      <w:start w:val="1"/>
      <w:numFmt w:val="bullet"/>
      <w:lvlText w:val="•"/>
      <w:lvlJc w:val="left"/>
      <w:pPr>
        <w:tabs>
          <w:tab w:val="num" w:pos="5040"/>
        </w:tabs>
        <w:ind w:left="5040" w:hanging="360"/>
      </w:pPr>
      <w:rPr>
        <w:rFonts w:ascii="Arial" w:hAnsi="Arial" w:hint="default"/>
      </w:rPr>
    </w:lvl>
    <w:lvl w:ilvl="7" w:tplc="7264F03E" w:tentative="1">
      <w:start w:val="1"/>
      <w:numFmt w:val="bullet"/>
      <w:lvlText w:val="•"/>
      <w:lvlJc w:val="left"/>
      <w:pPr>
        <w:tabs>
          <w:tab w:val="num" w:pos="5760"/>
        </w:tabs>
        <w:ind w:left="5760" w:hanging="360"/>
      </w:pPr>
      <w:rPr>
        <w:rFonts w:ascii="Arial" w:hAnsi="Arial" w:hint="default"/>
      </w:rPr>
    </w:lvl>
    <w:lvl w:ilvl="8" w:tplc="FDC8735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C7F127D"/>
    <w:multiLevelType w:val="hybridMultilevel"/>
    <w:tmpl w:val="DA56D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1332CA"/>
    <w:multiLevelType w:val="hybridMultilevel"/>
    <w:tmpl w:val="4F1C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A1A75"/>
    <w:multiLevelType w:val="hybridMultilevel"/>
    <w:tmpl w:val="D100A57E"/>
    <w:lvl w:ilvl="0" w:tplc="919EE4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D31E66"/>
    <w:multiLevelType w:val="hybridMultilevel"/>
    <w:tmpl w:val="7844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A04A8C"/>
    <w:multiLevelType w:val="hybridMultilevel"/>
    <w:tmpl w:val="41FCE5A4"/>
    <w:lvl w:ilvl="0" w:tplc="411C5134">
      <w:start w:val="1"/>
      <w:numFmt w:val="bullet"/>
      <w:lvlText w:val=""/>
      <w:lvlJc w:val="left"/>
      <w:pPr>
        <w:tabs>
          <w:tab w:val="num" w:pos="720"/>
        </w:tabs>
        <w:ind w:left="720" w:hanging="360"/>
      </w:pPr>
      <w:rPr>
        <w:rFonts w:ascii="Wingdings" w:hAnsi="Wingdings" w:hint="default"/>
      </w:rPr>
    </w:lvl>
    <w:lvl w:ilvl="1" w:tplc="C8B4540E" w:tentative="1">
      <w:start w:val="1"/>
      <w:numFmt w:val="bullet"/>
      <w:lvlText w:val=""/>
      <w:lvlJc w:val="left"/>
      <w:pPr>
        <w:tabs>
          <w:tab w:val="num" w:pos="1440"/>
        </w:tabs>
        <w:ind w:left="1440" w:hanging="360"/>
      </w:pPr>
      <w:rPr>
        <w:rFonts w:ascii="Wingdings" w:hAnsi="Wingdings" w:hint="default"/>
      </w:rPr>
    </w:lvl>
    <w:lvl w:ilvl="2" w:tplc="188C11DE" w:tentative="1">
      <w:start w:val="1"/>
      <w:numFmt w:val="bullet"/>
      <w:lvlText w:val=""/>
      <w:lvlJc w:val="left"/>
      <w:pPr>
        <w:tabs>
          <w:tab w:val="num" w:pos="2160"/>
        </w:tabs>
        <w:ind w:left="2160" w:hanging="360"/>
      </w:pPr>
      <w:rPr>
        <w:rFonts w:ascii="Wingdings" w:hAnsi="Wingdings" w:hint="default"/>
      </w:rPr>
    </w:lvl>
    <w:lvl w:ilvl="3" w:tplc="DC009ED4" w:tentative="1">
      <w:start w:val="1"/>
      <w:numFmt w:val="bullet"/>
      <w:lvlText w:val=""/>
      <w:lvlJc w:val="left"/>
      <w:pPr>
        <w:tabs>
          <w:tab w:val="num" w:pos="2880"/>
        </w:tabs>
        <w:ind w:left="2880" w:hanging="360"/>
      </w:pPr>
      <w:rPr>
        <w:rFonts w:ascii="Wingdings" w:hAnsi="Wingdings" w:hint="default"/>
      </w:rPr>
    </w:lvl>
    <w:lvl w:ilvl="4" w:tplc="D24A213A" w:tentative="1">
      <w:start w:val="1"/>
      <w:numFmt w:val="bullet"/>
      <w:lvlText w:val=""/>
      <w:lvlJc w:val="left"/>
      <w:pPr>
        <w:tabs>
          <w:tab w:val="num" w:pos="3600"/>
        </w:tabs>
        <w:ind w:left="3600" w:hanging="360"/>
      </w:pPr>
      <w:rPr>
        <w:rFonts w:ascii="Wingdings" w:hAnsi="Wingdings" w:hint="default"/>
      </w:rPr>
    </w:lvl>
    <w:lvl w:ilvl="5" w:tplc="095EC42E" w:tentative="1">
      <w:start w:val="1"/>
      <w:numFmt w:val="bullet"/>
      <w:lvlText w:val=""/>
      <w:lvlJc w:val="left"/>
      <w:pPr>
        <w:tabs>
          <w:tab w:val="num" w:pos="4320"/>
        </w:tabs>
        <w:ind w:left="4320" w:hanging="360"/>
      </w:pPr>
      <w:rPr>
        <w:rFonts w:ascii="Wingdings" w:hAnsi="Wingdings" w:hint="default"/>
      </w:rPr>
    </w:lvl>
    <w:lvl w:ilvl="6" w:tplc="C2247F0A" w:tentative="1">
      <w:start w:val="1"/>
      <w:numFmt w:val="bullet"/>
      <w:lvlText w:val=""/>
      <w:lvlJc w:val="left"/>
      <w:pPr>
        <w:tabs>
          <w:tab w:val="num" w:pos="5040"/>
        </w:tabs>
        <w:ind w:left="5040" w:hanging="360"/>
      </w:pPr>
      <w:rPr>
        <w:rFonts w:ascii="Wingdings" w:hAnsi="Wingdings" w:hint="default"/>
      </w:rPr>
    </w:lvl>
    <w:lvl w:ilvl="7" w:tplc="3F6C908A" w:tentative="1">
      <w:start w:val="1"/>
      <w:numFmt w:val="bullet"/>
      <w:lvlText w:val=""/>
      <w:lvlJc w:val="left"/>
      <w:pPr>
        <w:tabs>
          <w:tab w:val="num" w:pos="5760"/>
        </w:tabs>
        <w:ind w:left="5760" w:hanging="360"/>
      </w:pPr>
      <w:rPr>
        <w:rFonts w:ascii="Wingdings" w:hAnsi="Wingdings" w:hint="default"/>
      </w:rPr>
    </w:lvl>
    <w:lvl w:ilvl="8" w:tplc="A7C6D8F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D96ECB"/>
    <w:multiLevelType w:val="hybridMultilevel"/>
    <w:tmpl w:val="77E88A16"/>
    <w:lvl w:ilvl="0" w:tplc="0902CF9C">
      <w:start w:val="15"/>
      <w:numFmt w:val="decimal"/>
      <w:lvlText w:val="%1."/>
      <w:lvlJc w:val="left"/>
      <w:pPr>
        <w:tabs>
          <w:tab w:val="num" w:pos="720"/>
        </w:tabs>
        <w:ind w:left="720" w:hanging="360"/>
      </w:pPr>
    </w:lvl>
    <w:lvl w:ilvl="1" w:tplc="33BC2D82" w:tentative="1">
      <w:start w:val="1"/>
      <w:numFmt w:val="decimal"/>
      <w:lvlText w:val="%2."/>
      <w:lvlJc w:val="left"/>
      <w:pPr>
        <w:tabs>
          <w:tab w:val="num" w:pos="1440"/>
        </w:tabs>
        <w:ind w:left="1440" w:hanging="360"/>
      </w:pPr>
    </w:lvl>
    <w:lvl w:ilvl="2" w:tplc="4642B150" w:tentative="1">
      <w:start w:val="1"/>
      <w:numFmt w:val="decimal"/>
      <w:lvlText w:val="%3."/>
      <w:lvlJc w:val="left"/>
      <w:pPr>
        <w:tabs>
          <w:tab w:val="num" w:pos="2160"/>
        </w:tabs>
        <w:ind w:left="2160" w:hanging="360"/>
      </w:pPr>
    </w:lvl>
    <w:lvl w:ilvl="3" w:tplc="B5E0C9C8" w:tentative="1">
      <w:start w:val="1"/>
      <w:numFmt w:val="decimal"/>
      <w:lvlText w:val="%4."/>
      <w:lvlJc w:val="left"/>
      <w:pPr>
        <w:tabs>
          <w:tab w:val="num" w:pos="2880"/>
        </w:tabs>
        <w:ind w:left="2880" w:hanging="360"/>
      </w:pPr>
    </w:lvl>
    <w:lvl w:ilvl="4" w:tplc="71343EC2" w:tentative="1">
      <w:start w:val="1"/>
      <w:numFmt w:val="decimal"/>
      <w:lvlText w:val="%5."/>
      <w:lvlJc w:val="left"/>
      <w:pPr>
        <w:tabs>
          <w:tab w:val="num" w:pos="3600"/>
        </w:tabs>
        <w:ind w:left="3600" w:hanging="360"/>
      </w:pPr>
    </w:lvl>
    <w:lvl w:ilvl="5" w:tplc="29B0ACF0" w:tentative="1">
      <w:start w:val="1"/>
      <w:numFmt w:val="decimal"/>
      <w:lvlText w:val="%6."/>
      <w:lvlJc w:val="left"/>
      <w:pPr>
        <w:tabs>
          <w:tab w:val="num" w:pos="4320"/>
        </w:tabs>
        <w:ind w:left="4320" w:hanging="360"/>
      </w:pPr>
    </w:lvl>
    <w:lvl w:ilvl="6" w:tplc="0DA03014" w:tentative="1">
      <w:start w:val="1"/>
      <w:numFmt w:val="decimal"/>
      <w:lvlText w:val="%7."/>
      <w:lvlJc w:val="left"/>
      <w:pPr>
        <w:tabs>
          <w:tab w:val="num" w:pos="5040"/>
        </w:tabs>
        <w:ind w:left="5040" w:hanging="360"/>
      </w:pPr>
    </w:lvl>
    <w:lvl w:ilvl="7" w:tplc="005C3A2A" w:tentative="1">
      <w:start w:val="1"/>
      <w:numFmt w:val="decimal"/>
      <w:lvlText w:val="%8."/>
      <w:lvlJc w:val="left"/>
      <w:pPr>
        <w:tabs>
          <w:tab w:val="num" w:pos="5760"/>
        </w:tabs>
        <w:ind w:left="5760" w:hanging="360"/>
      </w:pPr>
    </w:lvl>
    <w:lvl w:ilvl="8" w:tplc="B9CEB76A" w:tentative="1">
      <w:start w:val="1"/>
      <w:numFmt w:val="decimal"/>
      <w:lvlText w:val="%9."/>
      <w:lvlJc w:val="left"/>
      <w:pPr>
        <w:tabs>
          <w:tab w:val="num" w:pos="6480"/>
        </w:tabs>
        <w:ind w:left="6480" w:hanging="360"/>
      </w:pPr>
    </w:lvl>
  </w:abstractNum>
  <w:abstractNum w:abstractNumId="33" w15:restartNumberingAfterBreak="0">
    <w:nsid w:val="41E64EBA"/>
    <w:multiLevelType w:val="hybridMultilevel"/>
    <w:tmpl w:val="0EDC953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49E1C82"/>
    <w:multiLevelType w:val="hybridMultilevel"/>
    <w:tmpl w:val="DDF8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63389D"/>
    <w:multiLevelType w:val="hybridMultilevel"/>
    <w:tmpl w:val="265A9D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7166823"/>
    <w:multiLevelType w:val="hybridMultilevel"/>
    <w:tmpl w:val="9A52C488"/>
    <w:lvl w:ilvl="0" w:tplc="2EFE264C">
      <w:start w:val="9"/>
      <w:numFmt w:val="decimal"/>
      <w:lvlText w:val="%1."/>
      <w:lvlJc w:val="left"/>
      <w:pPr>
        <w:tabs>
          <w:tab w:val="num" w:pos="720"/>
        </w:tabs>
        <w:ind w:left="720" w:hanging="360"/>
      </w:pPr>
    </w:lvl>
    <w:lvl w:ilvl="1" w:tplc="789ECB68" w:tentative="1">
      <w:start w:val="1"/>
      <w:numFmt w:val="decimal"/>
      <w:lvlText w:val="%2."/>
      <w:lvlJc w:val="left"/>
      <w:pPr>
        <w:tabs>
          <w:tab w:val="num" w:pos="1440"/>
        </w:tabs>
        <w:ind w:left="1440" w:hanging="360"/>
      </w:pPr>
    </w:lvl>
    <w:lvl w:ilvl="2" w:tplc="CEE22BA4" w:tentative="1">
      <w:start w:val="1"/>
      <w:numFmt w:val="decimal"/>
      <w:lvlText w:val="%3."/>
      <w:lvlJc w:val="left"/>
      <w:pPr>
        <w:tabs>
          <w:tab w:val="num" w:pos="2160"/>
        </w:tabs>
        <w:ind w:left="2160" w:hanging="360"/>
      </w:pPr>
    </w:lvl>
    <w:lvl w:ilvl="3" w:tplc="B1C0980A" w:tentative="1">
      <w:start w:val="1"/>
      <w:numFmt w:val="decimal"/>
      <w:lvlText w:val="%4."/>
      <w:lvlJc w:val="left"/>
      <w:pPr>
        <w:tabs>
          <w:tab w:val="num" w:pos="2880"/>
        </w:tabs>
        <w:ind w:left="2880" w:hanging="360"/>
      </w:pPr>
    </w:lvl>
    <w:lvl w:ilvl="4" w:tplc="4B80CEF0" w:tentative="1">
      <w:start w:val="1"/>
      <w:numFmt w:val="decimal"/>
      <w:lvlText w:val="%5."/>
      <w:lvlJc w:val="left"/>
      <w:pPr>
        <w:tabs>
          <w:tab w:val="num" w:pos="3600"/>
        </w:tabs>
        <w:ind w:left="3600" w:hanging="360"/>
      </w:pPr>
    </w:lvl>
    <w:lvl w:ilvl="5" w:tplc="7F58E720" w:tentative="1">
      <w:start w:val="1"/>
      <w:numFmt w:val="decimal"/>
      <w:lvlText w:val="%6."/>
      <w:lvlJc w:val="left"/>
      <w:pPr>
        <w:tabs>
          <w:tab w:val="num" w:pos="4320"/>
        </w:tabs>
        <w:ind w:left="4320" w:hanging="360"/>
      </w:pPr>
    </w:lvl>
    <w:lvl w:ilvl="6" w:tplc="630C41D8" w:tentative="1">
      <w:start w:val="1"/>
      <w:numFmt w:val="decimal"/>
      <w:lvlText w:val="%7."/>
      <w:lvlJc w:val="left"/>
      <w:pPr>
        <w:tabs>
          <w:tab w:val="num" w:pos="5040"/>
        </w:tabs>
        <w:ind w:left="5040" w:hanging="360"/>
      </w:pPr>
    </w:lvl>
    <w:lvl w:ilvl="7" w:tplc="643CDE50" w:tentative="1">
      <w:start w:val="1"/>
      <w:numFmt w:val="decimal"/>
      <w:lvlText w:val="%8."/>
      <w:lvlJc w:val="left"/>
      <w:pPr>
        <w:tabs>
          <w:tab w:val="num" w:pos="5760"/>
        </w:tabs>
        <w:ind w:left="5760" w:hanging="360"/>
      </w:pPr>
    </w:lvl>
    <w:lvl w:ilvl="8" w:tplc="3650206E" w:tentative="1">
      <w:start w:val="1"/>
      <w:numFmt w:val="decimal"/>
      <w:lvlText w:val="%9."/>
      <w:lvlJc w:val="left"/>
      <w:pPr>
        <w:tabs>
          <w:tab w:val="num" w:pos="6480"/>
        </w:tabs>
        <w:ind w:left="6480" w:hanging="360"/>
      </w:pPr>
    </w:lvl>
  </w:abstractNum>
  <w:abstractNum w:abstractNumId="37" w15:restartNumberingAfterBreak="0">
    <w:nsid w:val="4BB061B5"/>
    <w:multiLevelType w:val="hybridMultilevel"/>
    <w:tmpl w:val="7580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D74EB6"/>
    <w:multiLevelType w:val="hybridMultilevel"/>
    <w:tmpl w:val="9EAEF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FB3CC2"/>
    <w:multiLevelType w:val="hybridMultilevel"/>
    <w:tmpl w:val="18DCFBBE"/>
    <w:lvl w:ilvl="0" w:tplc="408A717C">
      <w:start w:val="6"/>
      <w:numFmt w:val="decimal"/>
      <w:lvlText w:val="%1."/>
      <w:lvlJc w:val="left"/>
      <w:pPr>
        <w:tabs>
          <w:tab w:val="num" w:pos="720"/>
        </w:tabs>
        <w:ind w:left="720" w:hanging="360"/>
      </w:pPr>
    </w:lvl>
    <w:lvl w:ilvl="1" w:tplc="FF726844" w:tentative="1">
      <w:start w:val="1"/>
      <w:numFmt w:val="decimal"/>
      <w:lvlText w:val="%2."/>
      <w:lvlJc w:val="left"/>
      <w:pPr>
        <w:tabs>
          <w:tab w:val="num" w:pos="1440"/>
        </w:tabs>
        <w:ind w:left="1440" w:hanging="360"/>
      </w:pPr>
    </w:lvl>
    <w:lvl w:ilvl="2" w:tplc="8E20D5B2" w:tentative="1">
      <w:start w:val="1"/>
      <w:numFmt w:val="decimal"/>
      <w:lvlText w:val="%3."/>
      <w:lvlJc w:val="left"/>
      <w:pPr>
        <w:tabs>
          <w:tab w:val="num" w:pos="2160"/>
        </w:tabs>
        <w:ind w:left="2160" w:hanging="360"/>
      </w:pPr>
    </w:lvl>
    <w:lvl w:ilvl="3" w:tplc="982445DC" w:tentative="1">
      <w:start w:val="1"/>
      <w:numFmt w:val="decimal"/>
      <w:lvlText w:val="%4."/>
      <w:lvlJc w:val="left"/>
      <w:pPr>
        <w:tabs>
          <w:tab w:val="num" w:pos="2880"/>
        </w:tabs>
        <w:ind w:left="2880" w:hanging="360"/>
      </w:pPr>
    </w:lvl>
    <w:lvl w:ilvl="4" w:tplc="7B284D1A" w:tentative="1">
      <w:start w:val="1"/>
      <w:numFmt w:val="decimal"/>
      <w:lvlText w:val="%5."/>
      <w:lvlJc w:val="left"/>
      <w:pPr>
        <w:tabs>
          <w:tab w:val="num" w:pos="3600"/>
        </w:tabs>
        <w:ind w:left="3600" w:hanging="360"/>
      </w:pPr>
    </w:lvl>
    <w:lvl w:ilvl="5" w:tplc="580073CE" w:tentative="1">
      <w:start w:val="1"/>
      <w:numFmt w:val="decimal"/>
      <w:lvlText w:val="%6."/>
      <w:lvlJc w:val="left"/>
      <w:pPr>
        <w:tabs>
          <w:tab w:val="num" w:pos="4320"/>
        </w:tabs>
        <w:ind w:left="4320" w:hanging="360"/>
      </w:pPr>
    </w:lvl>
    <w:lvl w:ilvl="6" w:tplc="362CA5D4" w:tentative="1">
      <w:start w:val="1"/>
      <w:numFmt w:val="decimal"/>
      <w:lvlText w:val="%7."/>
      <w:lvlJc w:val="left"/>
      <w:pPr>
        <w:tabs>
          <w:tab w:val="num" w:pos="5040"/>
        </w:tabs>
        <w:ind w:left="5040" w:hanging="360"/>
      </w:pPr>
    </w:lvl>
    <w:lvl w:ilvl="7" w:tplc="47A29292" w:tentative="1">
      <w:start w:val="1"/>
      <w:numFmt w:val="decimal"/>
      <w:lvlText w:val="%8."/>
      <w:lvlJc w:val="left"/>
      <w:pPr>
        <w:tabs>
          <w:tab w:val="num" w:pos="5760"/>
        </w:tabs>
        <w:ind w:left="5760" w:hanging="360"/>
      </w:pPr>
    </w:lvl>
    <w:lvl w:ilvl="8" w:tplc="9438AE70" w:tentative="1">
      <w:start w:val="1"/>
      <w:numFmt w:val="decimal"/>
      <w:lvlText w:val="%9."/>
      <w:lvlJc w:val="left"/>
      <w:pPr>
        <w:tabs>
          <w:tab w:val="num" w:pos="6480"/>
        </w:tabs>
        <w:ind w:left="6480" w:hanging="360"/>
      </w:pPr>
    </w:lvl>
  </w:abstractNum>
  <w:abstractNum w:abstractNumId="40" w15:restartNumberingAfterBreak="0">
    <w:nsid w:val="4F071636"/>
    <w:multiLevelType w:val="hybridMultilevel"/>
    <w:tmpl w:val="6A8E4E10"/>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41" w15:restartNumberingAfterBreak="0">
    <w:nsid w:val="51643A85"/>
    <w:multiLevelType w:val="hybridMultilevel"/>
    <w:tmpl w:val="8996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4F2AC6"/>
    <w:multiLevelType w:val="hybridMultilevel"/>
    <w:tmpl w:val="507C1156"/>
    <w:lvl w:ilvl="0" w:tplc="635E7970">
      <w:start w:val="1"/>
      <w:numFmt w:val="bullet"/>
      <w:lvlText w:val="•"/>
      <w:lvlJc w:val="left"/>
      <w:pPr>
        <w:tabs>
          <w:tab w:val="num" w:pos="720"/>
        </w:tabs>
        <w:ind w:left="720" w:hanging="360"/>
      </w:pPr>
      <w:rPr>
        <w:rFonts w:ascii="Arial" w:hAnsi="Arial" w:hint="default"/>
      </w:rPr>
    </w:lvl>
    <w:lvl w:ilvl="1" w:tplc="4F8E80DA">
      <w:numFmt w:val="bullet"/>
      <w:lvlText w:val="•"/>
      <w:lvlJc w:val="left"/>
      <w:pPr>
        <w:tabs>
          <w:tab w:val="num" w:pos="1440"/>
        </w:tabs>
        <w:ind w:left="1440" w:hanging="360"/>
      </w:pPr>
      <w:rPr>
        <w:rFonts w:ascii="Arial" w:hAnsi="Arial" w:hint="default"/>
      </w:rPr>
    </w:lvl>
    <w:lvl w:ilvl="2" w:tplc="A5D6A2F0" w:tentative="1">
      <w:start w:val="1"/>
      <w:numFmt w:val="bullet"/>
      <w:lvlText w:val="•"/>
      <w:lvlJc w:val="left"/>
      <w:pPr>
        <w:tabs>
          <w:tab w:val="num" w:pos="2160"/>
        </w:tabs>
        <w:ind w:left="2160" w:hanging="360"/>
      </w:pPr>
      <w:rPr>
        <w:rFonts w:ascii="Arial" w:hAnsi="Arial" w:hint="default"/>
      </w:rPr>
    </w:lvl>
    <w:lvl w:ilvl="3" w:tplc="76168E6E" w:tentative="1">
      <w:start w:val="1"/>
      <w:numFmt w:val="bullet"/>
      <w:lvlText w:val="•"/>
      <w:lvlJc w:val="left"/>
      <w:pPr>
        <w:tabs>
          <w:tab w:val="num" w:pos="2880"/>
        </w:tabs>
        <w:ind w:left="2880" w:hanging="360"/>
      </w:pPr>
      <w:rPr>
        <w:rFonts w:ascii="Arial" w:hAnsi="Arial" w:hint="default"/>
      </w:rPr>
    </w:lvl>
    <w:lvl w:ilvl="4" w:tplc="7862C28E" w:tentative="1">
      <w:start w:val="1"/>
      <w:numFmt w:val="bullet"/>
      <w:lvlText w:val="•"/>
      <w:lvlJc w:val="left"/>
      <w:pPr>
        <w:tabs>
          <w:tab w:val="num" w:pos="3600"/>
        </w:tabs>
        <w:ind w:left="3600" w:hanging="360"/>
      </w:pPr>
      <w:rPr>
        <w:rFonts w:ascii="Arial" w:hAnsi="Arial" w:hint="default"/>
      </w:rPr>
    </w:lvl>
    <w:lvl w:ilvl="5" w:tplc="76E0D00C" w:tentative="1">
      <w:start w:val="1"/>
      <w:numFmt w:val="bullet"/>
      <w:lvlText w:val="•"/>
      <w:lvlJc w:val="left"/>
      <w:pPr>
        <w:tabs>
          <w:tab w:val="num" w:pos="4320"/>
        </w:tabs>
        <w:ind w:left="4320" w:hanging="360"/>
      </w:pPr>
      <w:rPr>
        <w:rFonts w:ascii="Arial" w:hAnsi="Arial" w:hint="default"/>
      </w:rPr>
    </w:lvl>
    <w:lvl w:ilvl="6" w:tplc="E5081172" w:tentative="1">
      <w:start w:val="1"/>
      <w:numFmt w:val="bullet"/>
      <w:lvlText w:val="•"/>
      <w:lvlJc w:val="left"/>
      <w:pPr>
        <w:tabs>
          <w:tab w:val="num" w:pos="5040"/>
        </w:tabs>
        <w:ind w:left="5040" w:hanging="360"/>
      </w:pPr>
      <w:rPr>
        <w:rFonts w:ascii="Arial" w:hAnsi="Arial" w:hint="default"/>
      </w:rPr>
    </w:lvl>
    <w:lvl w:ilvl="7" w:tplc="8C32C26E" w:tentative="1">
      <w:start w:val="1"/>
      <w:numFmt w:val="bullet"/>
      <w:lvlText w:val="•"/>
      <w:lvlJc w:val="left"/>
      <w:pPr>
        <w:tabs>
          <w:tab w:val="num" w:pos="5760"/>
        </w:tabs>
        <w:ind w:left="5760" w:hanging="360"/>
      </w:pPr>
      <w:rPr>
        <w:rFonts w:ascii="Arial" w:hAnsi="Arial" w:hint="default"/>
      </w:rPr>
    </w:lvl>
    <w:lvl w:ilvl="8" w:tplc="AEA4343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85509C5"/>
    <w:multiLevelType w:val="hybridMultilevel"/>
    <w:tmpl w:val="F4F4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8C304D"/>
    <w:multiLevelType w:val="hybridMultilevel"/>
    <w:tmpl w:val="563E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D743E1"/>
    <w:multiLevelType w:val="hybridMultilevel"/>
    <w:tmpl w:val="82BAA59E"/>
    <w:lvl w:ilvl="0" w:tplc="380EC006">
      <w:start w:val="1"/>
      <w:numFmt w:val="decimal"/>
      <w:lvlText w:val="%1."/>
      <w:lvlJc w:val="left"/>
      <w:pPr>
        <w:tabs>
          <w:tab w:val="num" w:pos="720"/>
        </w:tabs>
        <w:ind w:left="720" w:hanging="360"/>
      </w:pPr>
    </w:lvl>
    <w:lvl w:ilvl="1" w:tplc="4B321DBE" w:tentative="1">
      <w:start w:val="1"/>
      <w:numFmt w:val="decimal"/>
      <w:lvlText w:val="%2."/>
      <w:lvlJc w:val="left"/>
      <w:pPr>
        <w:tabs>
          <w:tab w:val="num" w:pos="1440"/>
        </w:tabs>
        <w:ind w:left="1440" w:hanging="360"/>
      </w:pPr>
    </w:lvl>
    <w:lvl w:ilvl="2" w:tplc="479A6D82" w:tentative="1">
      <w:start w:val="1"/>
      <w:numFmt w:val="decimal"/>
      <w:lvlText w:val="%3."/>
      <w:lvlJc w:val="left"/>
      <w:pPr>
        <w:tabs>
          <w:tab w:val="num" w:pos="2160"/>
        </w:tabs>
        <w:ind w:left="2160" w:hanging="360"/>
      </w:pPr>
    </w:lvl>
    <w:lvl w:ilvl="3" w:tplc="7E32BD78" w:tentative="1">
      <w:start w:val="1"/>
      <w:numFmt w:val="decimal"/>
      <w:lvlText w:val="%4."/>
      <w:lvlJc w:val="left"/>
      <w:pPr>
        <w:tabs>
          <w:tab w:val="num" w:pos="2880"/>
        </w:tabs>
        <w:ind w:left="2880" w:hanging="360"/>
      </w:pPr>
    </w:lvl>
    <w:lvl w:ilvl="4" w:tplc="38244968" w:tentative="1">
      <w:start w:val="1"/>
      <w:numFmt w:val="decimal"/>
      <w:lvlText w:val="%5."/>
      <w:lvlJc w:val="left"/>
      <w:pPr>
        <w:tabs>
          <w:tab w:val="num" w:pos="3600"/>
        </w:tabs>
        <w:ind w:left="3600" w:hanging="360"/>
      </w:pPr>
    </w:lvl>
    <w:lvl w:ilvl="5" w:tplc="8DBA8CB8" w:tentative="1">
      <w:start w:val="1"/>
      <w:numFmt w:val="decimal"/>
      <w:lvlText w:val="%6."/>
      <w:lvlJc w:val="left"/>
      <w:pPr>
        <w:tabs>
          <w:tab w:val="num" w:pos="4320"/>
        </w:tabs>
        <w:ind w:left="4320" w:hanging="360"/>
      </w:pPr>
    </w:lvl>
    <w:lvl w:ilvl="6" w:tplc="D7FEE672" w:tentative="1">
      <w:start w:val="1"/>
      <w:numFmt w:val="decimal"/>
      <w:lvlText w:val="%7."/>
      <w:lvlJc w:val="left"/>
      <w:pPr>
        <w:tabs>
          <w:tab w:val="num" w:pos="5040"/>
        </w:tabs>
        <w:ind w:left="5040" w:hanging="360"/>
      </w:pPr>
    </w:lvl>
    <w:lvl w:ilvl="7" w:tplc="36CC8D6C" w:tentative="1">
      <w:start w:val="1"/>
      <w:numFmt w:val="decimal"/>
      <w:lvlText w:val="%8."/>
      <w:lvlJc w:val="left"/>
      <w:pPr>
        <w:tabs>
          <w:tab w:val="num" w:pos="5760"/>
        </w:tabs>
        <w:ind w:left="5760" w:hanging="360"/>
      </w:pPr>
    </w:lvl>
    <w:lvl w:ilvl="8" w:tplc="05AACEF2" w:tentative="1">
      <w:start w:val="1"/>
      <w:numFmt w:val="decimal"/>
      <w:lvlText w:val="%9."/>
      <w:lvlJc w:val="left"/>
      <w:pPr>
        <w:tabs>
          <w:tab w:val="num" w:pos="6480"/>
        </w:tabs>
        <w:ind w:left="6480" w:hanging="360"/>
      </w:pPr>
    </w:lvl>
  </w:abstractNum>
  <w:abstractNum w:abstractNumId="46" w15:restartNumberingAfterBreak="0">
    <w:nsid w:val="60CD5A56"/>
    <w:multiLevelType w:val="hybridMultilevel"/>
    <w:tmpl w:val="A116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F11316"/>
    <w:multiLevelType w:val="hybridMultilevel"/>
    <w:tmpl w:val="FE689A80"/>
    <w:lvl w:ilvl="0" w:tplc="F844DEC0">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8111769"/>
    <w:multiLevelType w:val="hybridMultilevel"/>
    <w:tmpl w:val="7282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62541A"/>
    <w:multiLevelType w:val="hybridMultilevel"/>
    <w:tmpl w:val="8BAE0494"/>
    <w:lvl w:ilvl="0" w:tplc="919EE4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8C46A8"/>
    <w:multiLevelType w:val="hybridMultilevel"/>
    <w:tmpl w:val="A26C71AE"/>
    <w:lvl w:ilvl="0" w:tplc="BB680982">
      <w:start w:val="1"/>
      <w:numFmt w:val="bullet"/>
      <w:lvlText w:val="•"/>
      <w:lvlJc w:val="left"/>
      <w:pPr>
        <w:tabs>
          <w:tab w:val="num" w:pos="720"/>
        </w:tabs>
        <w:ind w:left="720" w:hanging="360"/>
      </w:pPr>
      <w:rPr>
        <w:rFonts w:ascii="Arial" w:hAnsi="Arial" w:hint="default"/>
      </w:rPr>
    </w:lvl>
    <w:lvl w:ilvl="1" w:tplc="FD347368" w:tentative="1">
      <w:start w:val="1"/>
      <w:numFmt w:val="bullet"/>
      <w:lvlText w:val="•"/>
      <w:lvlJc w:val="left"/>
      <w:pPr>
        <w:tabs>
          <w:tab w:val="num" w:pos="1440"/>
        </w:tabs>
        <w:ind w:left="1440" w:hanging="360"/>
      </w:pPr>
      <w:rPr>
        <w:rFonts w:ascii="Arial" w:hAnsi="Arial" w:hint="default"/>
      </w:rPr>
    </w:lvl>
    <w:lvl w:ilvl="2" w:tplc="E12E6372" w:tentative="1">
      <w:start w:val="1"/>
      <w:numFmt w:val="bullet"/>
      <w:lvlText w:val="•"/>
      <w:lvlJc w:val="left"/>
      <w:pPr>
        <w:tabs>
          <w:tab w:val="num" w:pos="2160"/>
        </w:tabs>
        <w:ind w:left="2160" w:hanging="360"/>
      </w:pPr>
      <w:rPr>
        <w:rFonts w:ascii="Arial" w:hAnsi="Arial" w:hint="default"/>
      </w:rPr>
    </w:lvl>
    <w:lvl w:ilvl="3" w:tplc="6C7400CA" w:tentative="1">
      <w:start w:val="1"/>
      <w:numFmt w:val="bullet"/>
      <w:lvlText w:val="•"/>
      <w:lvlJc w:val="left"/>
      <w:pPr>
        <w:tabs>
          <w:tab w:val="num" w:pos="2880"/>
        </w:tabs>
        <w:ind w:left="2880" w:hanging="360"/>
      </w:pPr>
      <w:rPr>
        <w:rFonts w:ascii="Arial" w:hAnsi="Arial" w:hint="default"/>
      </w:rPr>
    </w:lvl>
    <w:lvl w:ilvl="4" w:tplc="C5BA1554" w:tentative="1">
      <w:start w:val="1"/>
      <w:numFmt w:val="bullet"/>
      <w:lvlText w:val="•"/>
      <w:lvlJc w:val="left"/>
      <w:pPr>
        <w:tabs>
          <w:tab w:val="num" w:pos="3600"/>
        </w:tabs>
        <w:ind w:left="3600" w:hanging="360"/>
      </w:pPr>
      <w:rPr>
        <w:rFonts w:ascii="Arial" w:hAnsi="Arial" w:hint="default"/>
      </w:rPr>
    </w:lvl>
    <w:lvl w:ilvl="5" w:tplc="80083FDC" w:tentative="1">
      <w:start w:val="1"/>
      <w:numFmt w:val="bullet"/>
      <w:lvlText w:val="•"/>
      <w:lvlJc w:val="left"/>
      <w:pPr>
        <w:tabs>
          <w:tab w:val="num" w:pos="4320"/>
        </w:tabs>
        <w:ind w:left="4320" w:hanging="360"/>
      </w:pPr>
      <w:rPr>
        <w:rFonts w:ascii="Arial" w:hAnsi="Arial" w:hint="default"/>
      </w:rPr>
    </w:lvl>
    <w:lvl w:ilvl="6" w:tplc="3678F678" w:tentative="1">
      <w:start w:val="1"/>
      <w:numFmt w:val="bullet"/>
      <w:lvlText w:val="•"/>
      <w:lvlJc w:val="left"/>
      <w:pPr>
        <w:tabs>
          <w:tab w:val="num" w:pos="5040"/>
        </w:tabs>
        <w:ind w:left="5040" w:hanging="360"/>
      </w:pPr>
      <w:rPr>
        <w:rFonts w:ascii="Arial" w:hAnsi="Arial" w:hint="default"/>
      </w:rPr>
    </w:lvl>
    <w:lvl w:ilvl="7" w:tplc="1966CFA2" w:tentative="1">
      <w:start w:val="1"/>
      <w:numFmt w:val="bullet"/>
      <w:lvlText w:val="•"/>
      <w:lvlJc w:val="left"/>
      <w:pPr>
        <w:tabs>
          <w:tab w:val="num" w:pos="5760"/>
        </w:tabs>
        <w:ind w:left="5760" w:hanging="360"/>
      </w:pPr>
      <w:rPr>
        <w:rFonts w:ascii="Arial" w:hAnsi="Arial" w:hint="default"/>
      </w:rPr>
    </w:lvl>
    <w:lvl w:ilvl="8" w:tplc="19F4ED12"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6DC01D47"/>
    <w:multiLevelType w:val="hybridMultilevel"/>
    <w:tmpl w:val="C764C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5C05D6"/>
    <w:multiLevelType w:val="hybridMultilevel"/>
    <w:tmpl w:val="26F88396"/>
    <w:lvl w:ilvl="0" w:tplc="B9E4D25E">
      <w:start w:val="1"/>
      <w:numFmt w:val="bullet"/>
      <w:lvlText w:val="•"/>
      <w:lvlJc w:val="left"/>
      <w:pPr>
        <w:tabs>
          <w:tab w:val="num" w:pos="720"/>
        </w:tabs>
        <w:ind w:left="720" w:hanging="360"/>
      </w:pPr>
      <w:rPr>
        <w:rFonts w:ascii="Arial" w:hAnsi="Arial" w:hint="default"/>
      </w:rPr>
    </w:lvl>
    <w:lvl w:ilvl="1" w:tplc="DE7E2298" w:tentative="1">
      <w:start w:val="1"/>
      <w:numFmt w:val="bullet"/>
      <w:lvlText w:val="•"/>
      <w:lvlJc w:val="left"/>
      <w:pPr>
        <w:tabs>
          <w:tab w:val="num" w:pos="1440"/>
        </w:tabs>
        <w:ind w:left="1440" w:hanging="360"/>
      </w:pPr>
      <w:rPr>
        <w:rFonts w:ascii="Arial" w:hAnsi="Arial" w:hint="default"/>
      </w:rPr>
    </w:lvl>
    <w:lvl w:ilvl="2" w:tplc="961AE9A0" w:tentative="1">
      <w:start w:val="1"/>
      <w:numFmt w:val="bullet"/>
      <w:lvlText w:val="•"/>
      <w:lvlJc w:val="left"/>
      <w:pPr>
        <w:tabs>
          <w:tab w:val="num" w:pos="2160"/>
        </w:tabs>
        <w:ind w:left="2160" w:hanging="360"/>
      </w:pPr>
      <w:rPr>
        <w:rFonts w:ascii="Arial" w:hAnsi="Arial" w:hint="default"/>
      </w:rPr>
    </w:lvl>
    <w:lvl w:ilvl="3" w:tplc="324885BC" w:tentative="1">
      <w:start w:val="1"/>
      <w:numFmt w:val="bullet"/>
      <w:lvlText w:val="•"/>
      <w:lvlJc w:val="left"/>
      <w:pPr>
        <w:tabs>
          <w:tab w:val="num" w:pos="2880"/>
        </w:tabs>
        <w:ind w:left="2880" w:hanging="360"/>
      </w:pPr>
      <w:rPr>
        <w:rFonts w:ascii="Arial" w:hAnsi="Arial" w:hint="default"/>
      </w:rPr>
    </w:lvl>
    <w:lvl w:ilvl="4" w:tplc="248EE8FE" w:tentative="1">
      <w:start w:val="1"/>
      <w:numFmt w:val="bullet"/>
      <w:lvlText w:val="•"/>
      <w:lvlJc w:val="left"/>
      <w:pPr>
        <w:tabs>
          <w:tab w:val="num" w:pos="3600"/>
        </w:tabs>
        <w:ind w:left="3600" w:hanging="360"/>
      </w:pPr>
      <w:rPr>
        <w:rFonts w:ascii="Arial" w:hAnsi="Arial" w:hint="default"/>
      </w:rPr>
    </w:lvl>
    <w:lvl w:ilvl="5" w:tplc="11621F9A" w:tentative="1">
      <w:start w:val="1"/>
      <w:numFmt w:val="bullet"/>
      <w:lvlText w:val="•"/>
      <w:lvlJc w:val="left"/>
      <w:pPr>
        <w:tabs>
          <w:tab w:val="num" w:pos="4320"/>
        </w:tabs>
        <w:ind w:left="4320" w:hanging="360"/>
      </w:pPr>
      <w:rPr>
        <w:rFonts w:ascii="Arial" w:hAnsi="Arial" w:hint="default"/>
      </w:rPr>
    </w:lvl>
    <w:lvl w:ilvl="6" w:tplc="9EE68DDC" w:tentative="1">
      <w:start w:val="1"/>
      <w:numFmt w:val="bullet"/>
      <w:lvlText w:val="•"/>
      <w:lvlJc w:val="left"/>
      <w:pPr>
        <w:tabs>
          <w:tab w:val="num" w:pos="5040"/>
        </w:tabs>
        <w:ind w:left="5040" w:hanging="360"/>
      </w:pPr>
      <w:rPr>
        <w:rFonts w:ascii="Arial" w:hAnsi="Arial" w:hint="default"/>
      </w:rPr>
    </w:lvl>
    <w:lvl w:ilvl="7" w:tplc="943EAA68" w:tentative="1">
      <w:start w:val="1"/>
      <w:numFmt w:val="bullet"/>
      <w:lvlText w:val="•"/>
      <w:lvlJc w:val="left"/>
      <w:pPr>
        <w:tabs>
          <w:tab w:val="num" w:pos="5760"/>
        </w:tabs>
        <w:ind w:left="5760" w:hanging="360"/>
      </w:pPr>
      <w:rPr>
        <w:rFonts w:ascii="Arial" w:hAnsi="Arial" w:hint="default"/>
      </w:rPr>
    </w:lvl>
    <w:lvl w:ilvl="8" w:tplc="0B7C186E"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6F3D3DB5"/>
    <w:multiLevelType w:val="hybridMultilevel"/>
    <w:tmpl w:val="09266C10"/>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72F252D"/>
    <w:multiLevelType w:val="hybridMultilevel"/>
    <w:tmpl w:val="E4485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A090473"/>
    <w:multiLevelType w:val="hybridMultilevel"/>
    <w:tmpl w:val="9656E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FA66D6"/>
    <w:multiLevelType w:val="hybridMultilevel"/>
    <w:tmpl w:val="B9E8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E20C9C"/>
    <w:multiLevelType w:val="hybridMultilevel"/>
    <w:tmpl w:val="F2DC94EE"/>
    <w:lvl w:ilvl="0" w:tplc="D97286FA">
      <w:start w:val="1"/>
      <w:numFmt w:val="lowerRoman"/>
      <w:lvlText w:val="%1."/>
      <w:lvlJc w:val="right"/>
      <w:pPr>
        <w:tabs>
          <w:tab w:val="num" w:pos="720"/>
        </w:tabs>
        <w:ind w:left="720" w:hanging="360"/>
      </w:pPr>
    </w:lvl>
    <w:lvl w:ilvl="1" w:tplc="AB22BA94">
      <w:start w:val="1"/>
      <w:numFmt w:val="lowerRoman"/>
      <w:lvlText w:val="%2."/>
      <w:lvlJc w:val="right"/>
      <w:pPr>
        <w:tabs>
          <w:tab w:val="num" w:pos="1440"/>
        </w:tabs>
        <w:ind w:left="1440" w:hanging="360"/>
      </w:pPr>
    </w:lvl>
    <w:lvl w:ilvl="2" w:tplc="6F60370E" w:tentative="1">
      <w:start w:val="1"/>
      <w:numFmt w:val="lowerRoman"/>
      <w:lvlText w:val="%3."/>
      <w:lvlJc w:val="right"/>
      <w:pPr>
        <w:tabs>
          <w:tab w:val="num" w:pos="2160"/>
        </w:tabs>
        <w:ind w:left="2160" w:hanging="360"/>
      </w:pPr>
    </w:lvl>
    <w:lvl w:ilvl="3" w:tplc="8528ECE8" w:tentative="1">
      <w:start w:val="1"/>
      <w:numFmt w:val="lowerRoman"/>
      <w:lvlText w:val="%4."/>
      <w:lvlJc w:val="right"/>
      <w:pPr>
        <w:tabs>
          <w:tab w:val="num" w:pos="2880"/>
        </w:tabs>
        <w:ind w:left="2880" w:hanging="360"/>
      </w:pPr>
    </w:lvl>
    <w:lvl w:ilvl="4" w:tplc="27B0FB18" w:tentative="1">
      <w:start w:val="1"/>
      <w:numFmt w:val="lowerRoman"/>
      <w:lvlText w:val="%5."/>
      <w:lvlJc w:val="right"/>
      <w:pPr>
        <w:tabs>
          <w:tab w:val="num" w:pos="3600"/>
        </w:tabs>
        <w:ind w:left="3600" w:hanging="360"/>
      </w:pPr>
    </w:lvl>
    <w:lvl w:ilvl="5" w:tplc="9330FEFC" w:tentative="1">
      <w:start w:val="1"/>
      <w:numFmt w:val="lowerRoman"/>
      <w:lvlText w:val="%6."/>
      <w:lvlJc w:val="right"/>
      <w:pPr>
        <w:tabs>
          <w:tab w:val="num" w:pos="4320"/>
        </w:tabs>
        <w:ind w:left="4320" w:hanging="360"/>
      </w:pPr>
    </w:lvl>
    <w:lvl w:ilvl="6" w:tplc="938A8ACE" w:tentative="1">
      <w:start w:val="1"/>
      <w:numFmt w:val="lowerRoman"/>
      <w:lvlText w:val="%7."/>
      <w:lvlJc w:val="right"/>
      <w:pPr>
        <w:tabs>
          <w:tab w:val="num" w:pos="5040"/>
        </w:tabs>
        <w:ind w:left="5040" w:hanging="360"/>
      </w:pPr>
    </w:lvl>
    <w:lvl w:ilvl="7" w:tplc="8912EE2C" w:tentative="1">
      <w:start w:val="1"/>
      <w:numFmt w:val="lowerRoman"/>
      <w:lvlText w:val="%8."/>
      <w:lvlJc w:val="right"/>
      <w:pPr>
        <w:tabs>
          <w:tab w:val="num" w:pos="5760"/>
        </w:tabs>
        <w:ind w:left="5760" w:hanging="360"/>
      </w:pPr>
    </w:lvl>
    <w:lvl w:ilvl="8" w:tplc="D5A46D34" w:tentative="1">
      <w:start w:val="1"/>
      <w:numFmt w:val="lowerRoman"/>
      <w:lvlText w:val="%9."/>
      <w:lvlJc w:val="right"/>
      <w:pPr>
        <w:tabs>
          <w:tab w:val="num" w:pos="6480"/>
        </w:tabs>
        <w:ind w:left="6480" w:hanging="360"/>
      </w:pPr>
    </w:lvl>
  </w:abstractNum>
  <w:num w:numId="1" w16cid:durableId="1727335863">
    <w:abstractNumId w:val="5"/>
  </w:num>
  <w:num w:numId="2" w16cid:durableId="306209612">
    <w:abstractNumId w:val="3"/>
  </w:num>
  <w:num w:numId="3" w16cid:durableId="2139519896">
    <w:abstractNumId w:val="2"/>
  </w:num>
  <w:num w:numId="4" w16cid:durableId="748650263">
    <w:abstractNumId w:val="4"/>
  </w:num>
  <w:num w:numId="5" w16cid:durableId="1378892220">
    <w:abstractNumId w:val="1"/>
  </w:num>
  <w:num w:numId="6" w16cid:durableId="1755861555">
    <w:abstractNumId w:val="0"/>
  </w:num>
  <w:num w:numId="7" w16cid:durableId="751246109">
    <w:abstractNumId w:val="19"/>
  </w:num>
  <w:num w:numId="8" w16cid:durableId="1460757995">
    <w:abstractNumId w:val="25"/>
  </w:num>
  <w:num w:numId="9" w16cid:durableId="1635020523">
    <w:abstractNumId w:val="54"/>
  </w:num>
  <w:num w:numId="10" w16cid:durableId="393507090">
    <w:abstractNumId w:val="12"/>
  </w:num>
  <w:num w:numId="11" w16cid:durableId="459880717">
    <w:abstractNumId w:val="51"/>
  </w:num>
  <w:num w:numId="12" w16cid:durableId="877738397">
    <w:abstractNumId w:val="47"/>
  </w:num>
  <w:num w:numId="13" w16cid:durableId="880749548">
    <w:abstractNumId w:val="34"/>
  </w:num>
  <w:num w:numId="14" w16cid:durableId="1776439693">
    <w:abstractNumId w:val="41"/>
  </w:num>
  <w:num w:numId="15" w16cid:durableId="1441687010">
    <w:abstractNumId w:val="43"/>
  </w:num>
  <w:num w:numId="16" w16cid:durableId="737288790">
    <w:abstractNumId w:val="18"/>
  </w:num>
  <w:num w:numId="17" w16cid:durableId="1391877415">
    <w:abstractNumId w:val="55"/>
  </w:num>
  <w:num w:numId="18" w16cid:durableId="1043212542">
    <w:abstractNumId w:val="35"/>
  </w:num>
  <w:num w:numId="19" w16cid:durableId="448084556">
    <w:abstractNumId w:val="28"/>
  </w:num>
  <w:num w:numId="20" w16cid:durableId="2007901512">
    <w:abstractNumId w:val="9"/>
  </w:num>
  <w:num w:numId="21" w16cid:durableId="1091854417">
    <w:abstractNumId w:val="49"/>
  </w:num>
  <w:num w:numId="22" w16cid:durableId="1226598548">
    <w:abstractNumId w:val="30"/>
  </w:num>
  <w:num w:numId="23" w16cid:durableId="8333819">
    <w:abstractNumId w:val="53"/>
  </w:num>
  <w:num w:numId="24" w16cid:durableId="97415310">
    <w:abstractNumId w:val="20"/>
  </w:num>
  <w:num w:numId="25" w16cid:durableId="1018241684">
    <w:abstractNumId w:val="27"/>
  </w:num>
  <w:num w:numId="26" w16cid:durableId="474950174">
    <w:abstractNumId w:val="10"/>
  </w:num>
  <w:num w:numId="27" w16cid:durableId="1930264506">
    <w:abstractNumId w:val="29"/>
  </w:num>
  <w:num w:numId="28" w16cid:durableId="1096054514">
    <w:abstractNumId w:val="46"/>
  </w:num>
  <w:num w:numId="29" w16cid:durableId="872227815">
    <w:abstractNumId w:val="56"/>
  </w:num>
  <w:num w:numId="30" w16cid:durableId="1000350189">
    <w:abstractNumId w:val="23"/>
  </w:num>
  <w:num w:numId="31" w16cid:durableId="1701204666">
    <w:abstractNumId w:val="24"/>
  </w:num>
  <w:num w:numId="32" w16cid:durableId="428936722">
    <w:abstractNumId w:val="7"/>
  </w:num>
  <w:num w:numId="33" w16cid:durableId="1395394043">
    <w:abstractNumId w:val="13"/>
  </w:num>
  <w:num w:numId="34" w16cid:durableId="989677286">
    <w:abstractNumId w:val="15"/>
  </w:num>
  <w:num w:numId="35" w16cid:durableId="1219169845">
    <w:abstractNumId w:val="38"/>
  </w:num>
  <w:num w:numId="36" w16cid:durableId="723022552">
    <w:abstractNumId w:val="26"/>
  </w:num>
  <w:num w:numId="37" w16cid:durableId="189874850">
    <w:abstractNumId w:val="6"/>
  </w:num>
  <w:num w:numId="38" w16cid:durableId="811945494">
    <w:abstractNumId w:val="8"/>
  </w:num>
  <w:num w:numId="39" w16cid:durableId="1007027335">
    <w:abstractNumId w:val="50"/>
  </w:num>
  <w:num w:numId="40" w16cid:durableId="895123398">
    <w:abstractNumId w:val="31"/>
  </w:num>
  <w:num w:numId="41" w16cid:durableId="2066491159">
    <w:abstractNumId w:val="44"/>
  </w:num>
  <w:num w:numId="42" w16cid:durableId="2052144086">
    <w:abstractNumId w:val="37"/>
  </w:num>
  <w:num w:numId="43" w16cid:durableId="509805047">
    <w:abstractNumId w:val="11"/>
  </w:num>
  <w:num w:numId="44" w16cid:durableId="986324430">
    <w:abstractNumId w:val="52"/>
  </w:num>
  <w:num w:numId="45" w16cid:durableId="586353140">
    <w:abstractNumId w:val="22"/>
  </w:num>
  <w:num w:numId="46" w16cid:durableId="516890335">
    <w:abstractNumId w:val="33"/>
  </w:num>
  <w:num w:numId="47" w16cid:durableId="1917663392">
    <w:abstractNumId w:val="57"/>
  </w:num>
  <w:num w:numId="48" w16cid:durableId="1210188494">
    <w:abstractNumId w:val="42"/>
  </w:num>
  <w:num w:numId="49" w16cid:durableId="962080922">
    <w:abstractNumId w:val="14"/>
  </w:num>
  <w:num w:numId="50" w16cid:durableId="1321470461">
    <w:abstractNumId w:val="48"/>
  </w:num>
  <w:num w:numId="51" w16cid:durableId="917859899">
    <w:abstractNumId w:val="17"/>
  </w:num>
  <w:num w:numId="52" w16cid:durableId="1293631808">
    <w:abstractNumId w:val="45"/>
  </w:num>
  <w:num w:numId="53" w16cid:durableId="1425688126">
    <w:abstractNumId w:val="39"/>
  </w:num>
  <w:num w:numId="54" w16cid:durableId="792985768">
    <w:abstractNumId w:val="36"/>
  </w:num>
  <w:num w:numId="55" w16cid:durableId="630333009">
    <w:abstractNumId w:val="21"/>
  </w:num>
  <w:num w:numId="56" w16cid:durableId="2015768049">
    <w:abstractNumId w:val="32"/>
  </w:num>
  <w:num w:numId="57" w16cid:durableId="1892962409">
    <w:abstractNumId w:val="40"/>
  </w:num>
  <w:num w:numId="58" w16cid:durableId="776952061">
    <w:abstractNumId w:val="1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52F3"/>
    <w:rsid w:val="0009078A"/>
    <w:rsid w:val="0015074B"/>
    <w:rsid w:val="001E1A3E"/>
    <w:rsid w:val="0029639D"/>
    <w:rsid w:val="00326F90"/>
    <w:rsid w:val="00350F39"/>
    <w:rsid w:val="00375BDC"/>
    <w:rsid w:val="0039306A"/>
    <w:rsid w:val="00425332"/>
    <w:rsid w:val="00442B27"/>
    <w:rsid w:val="004B0762"/>
    <w:rsid w:val="005418A5"/>
    <w:rsid w:val="006019C3"/>
    <w:rsid w:val="00686765"/>
    <w:rsid w:val="006B2FAE"/>
    <w:rsid w:val="006B5A99"/>
    <w:rsid w:val="00757827"/>
    <w:rsid w:val="0087423A"/>
    <w:rsid w:val="008E3EB0"/>
    <w:rsid w:val="00911DB5"/>
    <w:rsid w:val="009351E3"/>
    <w:rsid w:val="00970716"/>
    <w:rsid w:val="00971A19"/>
    <w:rsid w:val="00985EFC"/>
    <w:rsid w:val="009E4536"/>
    <w:rsid w:val="00A959A7"/>
    <w:rsid w:val="00AA1D8D"/>
    <w:rsid w:val="00AD3D91"/>
    <w:rsid w:val="00B10015"/>
    <w:rsid w:val="00B47730"/>
    <w:rsid w:val="00B7083D"/>
    <w:rsid w:val="00B72D00"/>
    <w:rsid w:val="00BA153B"/>
    <w:rsid w:val="00C2437D"/>
    <w:rsid w:val="00C30F78"/>
    <w:rsid w:val="00CB0664"/>
    <w:rsid w:val="00CF0539"/>
    <w:rsid w:val="00D64948"/>
    <w:rsid w:val="00DB5438"/>
    <w:rsid w:val="00DB79DE"/>
    <w:rsid w:val="00E046A9"/>
    <w:rsid w:val="00E06026"/>
    <w:rsid w:val="00F178E4"/>
    <w:rsid w:val="00F402D1"/>
    <w:rsid w:val="00F74289"/>
    <w:rsid w:val="00FC693F"/>
    <w:rsid w:val="00FD3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A4F585"/>
  <w14:defaultImageDpi w14:val="300"/>
  <w15:docId w15:val="{381553D7-2AC9-4FF8-8F14-F450094D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402D1"/>
    <w:rPr>
      <w:color w:val="0000FF" w:themeColor="hyperlink"/>
      <w:u w:val="single"/>
    </w:rPr>
  </w:style>
  <w:style w:type="character" w:styleId="UnresolvedMention">
    <w:name w:val="Unresolved Mention"/>
    <w:basedOn w:val="DefaultParagraphFont"/>
    <w:uiPriority w:val="99"/>
    <w:semiHidden/>
    <w:unhideWhenUsed/>
    <w:rsid w:val="00F402D1"/>
    <w:rPr>
      <w:color w:val="605E5C"/>
      <w:shd w:val="clear" w:color="auto" w:fill="E1DFDD"/>
    </w:rPr>
  </w:style>
  <w:style w:type="paragraph" w:styleId="NormalWeb">
    <w:name w:val="Normal (Web)"/>
    <w:basedOn w:val="Normal"/>
    <w:uiPriority w:val="99"/>
    <w:semiHidden/>
    <w:unhideWhenUsed/>
    <w:rsid w:val="00442B2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649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794">
      <w:bodyDiv w:val="1"/>
      <w:marLeft w:val="0"/>
      <w:marRight w:val="0"/>
      <w:marTop w:val="0"/>
      <w:marBottom w:val="0"/>
      <w:divBdr>
        <w:top w:val="none" w:sz="0" w:space="0" w:color="auto"/>
        <w:left w:val="none" w:sz="0" w:space="0" w:color="auto"/>
        <w:bottom w:val="none" w:sz="0" w:space="0" w:color="auto"/>
        <w:right w:val="none" w:sz="0" w:space="0" w:color="auto"/>
      </w:divBdr>
    </w:div>
    <w:div w:id="41641668">
      <w:bodyDiv w:val="1"/>
      <w:marLeft w:val="0"/>
      <w:marRight w:val="0"/>
      <w:marTop w:val="0"/>
      <w:marBottom w:val="0"/>
      <w:divBdr>
        <w:top w:val="none" w:sz="0" w:space="0" w:color="auto"/>
        <w:left w:val="none" w:sz="0" w:space="0" w:color="auto"/>
        <w:bottom w:val="none" w:sz="0" w:space="0" w:color="auto"/>
        <w:right w:val="none" w:sz="0" w:space="0" w:color="auto"/>
      </w:divBdr>
    </w:div>
    <w:div w:id="51972423">
      <w:bodyDiv w:val="1"/>
      <w:marLeft w:val="0"/>
      <w:marRight w:val="0"/>
      <w:marTop w:val="0"/>
      <w:marBottom w:val="0"/>
      <w:divBdr>
        <w:top w:val="none" w:sz="0" w:space="0" w:color="auto"/>
        <w:left w:val="none" w:sz="0" w:space="0" w:color="auto"/>
        <w:bottom w:val="none" w:sz="0" w:space="0" w:color="auto"/>
        <w:right w:val="none" w:sz="0" w:space="0" w:color="auto"/>
      </w:divBdr>
      <w:divsChild>
        <w:div w:id="1091731268">
          <w:marLeft w:val="720"/>
          <w:marRight w:val="0"/>
          <w:marTop w:val="0"/>
          <w:marBottom w:val="120"/>
          <w:divBdr>
            <w:top w:val="none" w:sz="0" w:space="0" w:color="auto"/>
            <w:left w:val="none" w:sz="0" w:space="0" w:color="auto"/>
            <w:bottom w:val="none" w:sz="0" w:space="0" w:color="auto"/>
            <w:right w:val="none" w:sz="0" w:space="0" w:color="auto"/>
          </w:divBdr>
        </w:div>
      </w:divsChild>
    </w:div>
    <w:div w:id="61102549">
      <w:bodyDiv w:val="1"/>
      <w:marLeft w:val="0"/>
      <w:marRight w:val="0"/>
      <w:marTop w:val="0"/>
      <w:marBottom w:val="0"/>
      <w:divBdr>
        <w:top w:val="none" w:sz="0" w:space="0" w:color="auto"/>
        <w:left w:val="none" w:sz="0" w:space="0" w:color="auto"/>
        <w:bottom w:val="none" w:sz="0" w:space="0" w:color="auto"/>
        <w:right w:val="none" w:sz="0" w:space="0" w:color="auto"/>
      </w:divBdr>
    </w:div>
    <w:div w:id="73362242">
      <w:bodyDiv w:val="1"/>
      <w:marLeft w:val="0"/>
      <w:marRight w:val="0"/>
      <w:marTop w:val="0"/>
      <w:marBottom w:val="0"/>
      <w:divBdr>
        <w:top w:val="none" w:sz="0" w:space="0" w:color="auto"/>
        <w:left w:val="none" w:sz="0" w:space="0" w:color="auto"/>
        <w:bottom w:val="none" w:sz="0" w:space="0" w:color="auto"/>
        <w:right w:val="none" w:sz="0" w:space="0" w:color="auto"/>
      </w:divBdr>
      <w:divsChild>
        <w:div w:id="1167552446">
          <w:marLeft w:val="274"/>
          <w:marRight w:val="0"/>
          <w:marTop w:val="0"/>
          <w:marBottom w:val="0"/>
          <w:divBdr>
            <w:top w:val="none" w:sz="0" w:space="0" w:color="auto"/>
            <w:left w:val="none" w:sz="0" w:space="0" w:color="auto"/>
            <w:bottom w:val="none" w:sz="0" w:space="0" w:color="auto"/>
            <w:right w:val="none" w:sz="0" w:space="0" w:color="auto"/>
          </w:divBdr>
        </w:div>
        <w:div w:id="1432357700">
          <w:marLeft w:val="274"/>
          <w:marRight w:val="0"/>
          <w:marTop w:val="0"/>
          <w:marBottom w:val="0"/>
          <w:divBdr>
            <w:top w:val="none" w:sz="0" w:space="0" w:color="auto"/>
            <w:left w:val="none" w:sz="0" w:space="0" w:color="auto"/>
            <w:bottom w:val="none" w:sz="0" w:space="0" w:color="auto"/>
            <w:right w:val="none" w:sz="0" w:space="0" w:color="auto"/>
          </w:divBdr>
        </w:div>
        <w:div w:id="838547182">
          <w:marLeft w:val="274"/>
          <w:marRight w:val="0"/>
          <w:marTop w:val="0"/>
          <w:marBottom w:val="160"/>
          <w:divBdr>
            <w:top w:val="none" w:sz="0" w:space="0" w:color="auto"/>
            <w:left w:val="none" w:sz="0" w:space="0" w:color="auto"/>
            <w:bottom w:val="none" w:sz="0" w:space="0" w:color="auto"/>
            <w:right w:val="none" w:sz="0" w:space="0" w:color="auto"/>
          </w:divBdr>
        </w:div>
      </w:divsChild>
    </w:div>
    <w:div w:id="94136703">
      <w:bodyDiv w:val="1"/>
      <w:marLeft w:val="0"/>
      <w:marRight w:val="0"/>
      <w:marTop w:val="0"/>
      <w:marBottom w:val="0"/>
      <w:divBdr>
        <w:top w:val="none" w:sz="0" w:space="0" w:color="auto"/>
        <w:left w:val="none" w:sz="0" w:space="0" w:color="auto"/>
        <w:bottom w:val="none" w:sz="0" w:space="0" w:color="auto"/>
        <w:right w:val="none" w:sz="0" w:space="0" w:color="auto"/>
      </w:divBdr>
    </w:div>
    <w:div w:id="101461633">
      <w:bodyDiv w:val="1"/>
      <w:marLeft w:val="0"/>
      <w:marRight w:val="0"/>
      <w:marTop w:val="0"/>
      <w:marBottom w:val="0"/>
      <w:divBdr>
        <w:top w:val="none" w:sz="0" w:space="0" w:color="auto"/>
        <w:left w:val="none" w:sz="0" w:space="0" w:color="auto"/>
        <w:bottom w:val="none" w:sz="0" w:space="0" w:color="auto"/>
        <w:right w:val="none" w:sz="0" w:space="0" w:color="auto"/>
      </w:divBdr>
    </w:div>
    <w:div w:id="166141641">
      <w:bodyDiv w:val="1"/>
      <w:marLeft w:val="0"/>
      <w:marRight w:val="0"/>
      <w:marTop w:val="0"/>
      <w:marBottom w:val="0"/>
      <w:divBdr>
        <w:top w:val="none" w:sz="0" w:space="0" w:color="auto"/>
        <w:left w:val="none" w:sz="0" w:space="0" w:color="auto"/>
        <w:bottom w:val="none" w:sz="0" w:space="0" w:color="auto"/>
        <w:right w:val="none" w:sz="0" w:space="0" w:color="auto"/>
      </w:divBdr>
    </w:div>
    <w:div w:id="332494441">
      <w:bodyDiv w:val="1"/>
      <w:marLeft w:val="0"/>
      <w:marRight w:val="0"/>
      <w:marTop w:val="0"/>
      <w:marBottom w:val="0"/>
      <w:divBdr>
        <w:top w:val="none" w:sz="0" w:space="0" w:color="auto"/>
        <w:left w:val="none" w:sz="0" w:space="0" w:color="auto"/>
        <w:bottom w:val="none" w:sz="0" w:space="0" w:color="auto"/>
        <w:right w:val="none" w:sz="0" w:space="0" w:color="auto"/>
      </w:divBdr>
    </w:div>
    <w:div w:id="346059657">
      <w:bodyDiv w:val="1"/>
      <w:marLeft w:val="0"/>
      <w:marRight w:val="0"/>
      <w:marTop w:val="0"/>
      <w:marBottom w:val="0"/>
      <w:divBdr>
        <w:top w:val="none" w:sz="0" w:space="0" w:color="auto"/>
        <w:left w:val="none" w:sz="0" w:space="0" w:color="auto"/>
        <w:bottom w:val="none" w:sz="0" w:space="0" w:color="auto"/>
        <w:right w:val="none" w:sz="0" w:space="0" w:color="auto"/>
      </w:divBdr>
    </w:div>
    <w:div w:id="369497084">
      <w:bodyDiv w:val="1"/>
      <w:marLeft w:val="0"/>
      <w:marRight w:val="0"/>
      <w:marTop w:val="0"/>
      <w:marBottom w:val="0"/>
      <w:divBdr>
        <w:top w:val="none" w:sz="0" w:space="0" w:color="auto"/>
        <w:left w:val="none" w:sz="0" w:space="0" w:color="auto"/>
        <w:bottom w:val="none" w:sz="0" w:space="0" w:color="auto"/>
        <w:right w:val="none" w:sz="0" w:space="0" w:color="auto"/>
      </w:divBdr>
      <w:divsChild>
        <w:div w:id="466749007">
          <w:marLeft w:val="274"/>
          <w:marRight w:val="0"/>
          <w:marTop w:val="0"/>
          <w:marBottom w:val="0"/>
          <w:divBdr>
            <w:top w:val="none" w:sz="0" w:space="0" w:color="auto"/>
            <w:left w:val="none" w:sz="0" w:space="0" w:color="auto"/>
            <w:bottom w:val="none" w:sz="0" w:space="0" w:color="auto"/>
            <w:right w:val="none" w:sz="0" w:space="0" w:color="auto"/>
          </w:divBdr>
        </w:div>
        <w:div w:id="365638501">
          <w:marLeft w:val="274"/>
          <w:marRight w:val="0"/>
          <w:marTop w:val="0"/>
          <w:marBottom w:val="0"/>
          <w:divBdr>
            <w:top w:val="none" w:sz="0" w:space="0" w:color="auto"/>
            <w:left w:val="none" w:sz="0" w:space="0" w:color="auto"/>
            <w:bottom w:val="none" w:sz="0" w:space="0" w:color="auto"/>
            <w:right w:val="none" w:sz="0" w:space="0" w:color="auto"/>
          </w:divBdr>
        </w:div>
        <w:div w:id="1666587444">
          <w:marLeft w:val="274"/>
          <w:marRight w:val="0"/>
          <w:marTop w:val="0"/>
          <w:marBottom w:val="0"/>
          <w:divBdr>
            <w:top w:val="none" w:sz="0" w:space="0" w:color="auto"/>
            <w:left w:val="none" w:sz="0" w:space="0" w:color="auto"/>
            <w:bottom w:val="none" w:sz="0" w:space="0" w:color="auto"/>
            <w:right w:val="none" w:sz="0" w:space="0" w:color="auto"/>
          </w:divBdr>
        </w:div>
        <w:div w:id="86655826">
          <w:marLeft w:val="274"/>
          <w:marRight w:val="0"/>
          <w:marTop w:val="0"/>
          <w:marBottom w:val="0"/>
          <w:divBdr>
            <w:top w:val="none" w:sz="0" w:space="0" w:color="auto"/>
            <w:left w:val="none" w:sz="0" w:space="0" w:color="auto"/>
            <w:bottom w:val="none" w:sz="0" w:space="0" w:color="auto"/>
            <w:right w:val="none" w:sz="0" w:space="0" w:color="auto"/>
          </w:divBdr>
        </w:div>
        <w:div w:id="389118717">
          <w:marLeft w:val="274"/>
          <w:marRight w:val="0"/>
          <w:marTop w:val="0"/>
          <w:marBottom w:val="120"/>
          <w:divBdr>
            <w:top w:val="none" w:sz="0" w:space="0" w:color="auto"/>
            <w:left w:val="none" w:sz="0" w:space="0" w:color="auto"/>
            <w:bottom w:val="none" w:sz="0" w:space="0" w:color="auto"/>
            <w:right w:val="none" w:sz="0" w:space="0" w:color="auto"/>
          </w:divBdr>
        </w:div>
        <w:div w:id="1914271496">
          <w:marLeft w:val="274"/>
          <w:marRight w:val="0"/>
          <w:marTop w:val="0"/>
          <w:marBottom w:val="120"/>
          <w:divBdr>
            <w:top w:val="none" w:sz="0" w:space="0" w:color="auto"/>
            <w:left w:val="none" w:sz="0" w:space="0" w:color="auto"/>
            <w:bottom w:val="none" w:sz="0" w:space="0" w:color="auto"/>
            <w:right w:val="none" w:sz="0" w:space="0" w:color="auto"/>
          </w:divBdr>
        </w:div>
        <w:div w:id="1658923722">
          <w:marLeft w:val="274"/>
          <w:marRight w:val="0"/>
          <w:marTop w:val="0"/>
          <w:marBottom w:val="120"/>
          <w:divBdr>
            <w:top w:val="none" w:sz="0" w:space="0" w:color="auto"/>
            <w:left w:val="none" w:sz="0" w:space="0" w:color="auto"/>
            <w:bottom w:val="none" w:sz="0" w:space="0" w:color="auto"/>
            <w:right w:val="none" w:sz="0" w:space="0" w:color="auto"/>
          </w:divBdr>
        </w:div>
        <w:div w:id="1175807032">
          <w:marLeft w:val="274"/>
          <w:marRight w:val="0"/>
          <w:marTop w:val="0"/>
          <w:marBottom w:val="120"/>
          <w:divBdr>
            <w:top w:val="none" w:sz="0" w:space="0" w:color="auto"/>
            <w:left w:val="none" w:sz="0" w:space="0" w:color="auto"/>
            <w:bottom w:val="none" w:sz="0" w:space="0" w:color="auto"/>
            <w:right w:val="none" w:sz="0" w:space="0" w:color="auto"/>
          </w:divBdr>
        </w:div>
        <w:div w:id="1728644687">
          <w:marLeft w:val="274"/>
          <w:marRight w:val="0"/>
          <w:marTop w:val="0"/>
          <w:marBottom w:val="240"/>
          <w:divBdr>
            <w:top w:val="none" w:sz="0" w:space="0" w:color="auto"/>
            <w:left w:val="none" w:sz="0" w:space="0" w:color="auto"/>
            <w:bottom w:val="none" w:sz="0" w:space="0" w:color="auto"/>
            <w:right w:val="none" w:sz="0" w:space="0" w:color="auto"/>
          </w:divBdr>
        </w:div>
        <w:div w:id="1885865777">
          <w:marLeft w:val="274"/>
          <w:marRight w:val="0"/>
          <w:marTop w:val="120"/>
          <w:marBottom w:val="120"/>
          <w:divBdr>
            <w:top w:val="none" w:sz="0" w:space="0" w:color="auto"/>
            <w:left w:val="none" w:sz="0" w:space="0" w:color="auto"/>
            <w:bottom w:val="none" w:sz="0" w:space="0" w:color="auto"/>
            <w:right w:val="none" w:sz="0" w:space="0" w:color="auto"/>
          </w:divBdr>
        </w:div>
        <w:div w:id="1380516192">
          <w:marLeft w:val="274"/>
          <w:marRight w:val="0"/>
          <w:marTop w:val="0"/>
          <w:marBottom w:val="120"/>
          <w:divBdr>
            <w:top w:val="none" w:sz="0" w:space="0" w:color="auto"/>
            <w:left w:val="none" w:sz="0" w:space="0" w:color="auto"/>
            <w:bottom w:val="none" w:sz="0" w:space="0" w:color="auto"/>
            <w:right w:val="none" w:sz="0" w:space="0" w:color="auto"/>
          </w:divBdr>
        </w:div>
      </w:divsChild>
    </w:div>
    <w:div w:id="396053628">
      <w:bodyDiv w:val="1"/>
      <w:marLeft w:val="0"/>
      <w:marRight w:val="0"/>
      <w:marTop w:val="0"/>
      <w:marBottom w:val="0"/>
      <w:divBdr>
        <w:top w:val="none" w:sz="0" w:space="0" w:color="auto"/>
        <w:left w:val="none" w:sz="0" w:space="0" w:color="auto"/>
        <w:bottom w:val="none" w:sz="0" w:space="0" w:color="auto"/>
        <w:right w:val="none" w:sz="0" w:space="0" w:color="auto"/>
      </w:divBdr>
      <w:divsChild>
        <w:div w:id="1847816825">
          <w:marLeft w:val="274"/>
          <w:marRight w:val="0"/>
          <w:marTop w:val="0"/>
          <w:marBottom w:val="0"/>
          <w:divBdr>
            <w:top w:val="none" w:sz="0" w:space="0" w:color="auto"/>
            <w:left w:val="none" w:sz="0" w:space="0" w:color="auto"/>
            <w:bottom w:val="none" w:sz="0" w:space="0" w:color="auto"/>
            <w:right w:val="none" w:sz="0" w:space="0" w:color="auto"/>
          </w:divBdr>
        </w:div>
        <w:div w:id="1422483536">
          <w:marLeft w:val="274"/>
          <w:marRight w:val="0"/>
          <w:marTop w:val="0"/>
          <w:marBottom w:val="0"/>
          <w:divBdr>
            <w:top w:val="none" w:sz="0" w:space="0" w:color="auto"/>
            <w:left w:val="none" w:sz="0" w:space="0" w:color="auto"/>
            <w:bottom w:val="none" w:sz="0" w:space="0" w:color="auto"/>
            <w:right w:val="none" w:sz="0" w:space="0" w:color="auto"/>
          </w:divBdr>
        </w:div>
        <w:div w:id="407535451">
          <w:marLeft w:val="274"/>
          <w:marRight w:val="0"/>
          <w:marTop w:val="0"/>
          <w:marBottom w:val="0"/>
          <w:divBdr>
            <w:top w:val="none" w:sz="0" w:space="0" w:color="auto"/>
            <w:left w:val="none" w:sz="0" w:space="0" w:color="auto"/>
            <w:bottom w:val="none" w:sz="0" w:space="0" w:color="auto"/>
            <w:right w:val="none" w:sz="0" w:space="0" w:color="auto"/>
          </w:divBdr>
        </w:div>
        <w:div w:id="257059441">
          <w:marLeft w:val="274"/>
          <w:marRight w:val="0"/>
          <w:marTop w:val="0"/>
          <w:marBottom w:val="0"/>
          <w:divBdr>
            <w:top w:val="none" w:sz="0" w:space="0" w:color="auto"/>
            <w:left w:val="none" w:sz="0" w:space="0" w:color="auto"/>
            <w:bottom w:val="none" w:sz="0" w:space="0" w:color="auto"/>
            <w:right w:val="none" w:sz="0" w:space="0" w:color="auto"/>
          </w:divBdr>
        </w:div>
      </w:divsChild>
    </w:div>
    <w:div w:id="416755763">
      <w:bodyDiv w:val="1"/>
      <w:marLeft w:val="0"/>
      <w:marRight w:val="0"/>
      <w:marTop w:val="0"/>
      <w:marBottom w:val="0"/>
      <w:divBdr>
        <w:top w:val="none" w:sz="0" w:space="0" w:color="auto"/>
        <w:left w:val="none" w:sz="0" w:space="0" w:color="auto"/>
        <w:bottom w:val="none" w:sz="0" w:space="0" w:color="auto"/>
        <w:right w:val="none" w:sz="0" w:space="0" w:color="auto"/>
      </w:divBdr>
    </w:div>
    <w:div w:id="427314282">
      <w:bodyDiv w:val="1"/>
      <w:marLeft w:val="0"/>
      <w:marRight w:val="0"/>
      <w:marTop w:val="0"/>
      <w:marBottom w:val="0"/>
      <w:divBdr>
        <w:top w:val="none" w:sz="0" w:space="0" w:color="auto"/>
        <w:left w:val="none" w:sz="0" w:space="0" w:color="auto"/>
        <w:bottom w:val="none" w:sz="0" w:space="0" w:color="auto"/>
        <w:right w:val="none" w:sz="0" w:space="0" w:color="auto"/>
      </w:divBdr>
    </w:div>
    <w:div w:id="463471508">
      <w:bodyDiv w:val="1"/>
      <w:marLeft w:val="0"/>
      <w:marRight w:val="0"/>
      <w:marTop w:val="0"/>
      <w:marBottom w:val="0"/>
      <w:divBdr>
        <w:top w:val="none" w:sz="0" w:space="0" w:color="auto"/>
        <w:left w:val="none" w:sz="0" w:space="0" w:color="auto"/>
        <w:bottom w:val="none" w:sz="0" w:space="0" w:color="auto"/>
        <w:right w:val="none" w:sz="0" w:space="0" w:color="auto"/>
      </w:divBdr>
    </w:div>
    <w:div w:id="477259300">
      <w:bodyDiv w:val="1"/>
      <w:marLeft w:val="0"/>
      <w:marRight w:val="0"/>
      <w:marTop w:val="0"/>
      <w:marBottom w:val="0"/>
      <w:divBdr>
        <w:top w:val="none" w:sz="0" w:space="0" w:color="auto"/>
        <w:left w:val="none" w:sz="0" w:space="0" w:color="auto"/>
        <w:bottom w:val="none" w:sz="0" w:space="0" w:color="auto"/>
        <w:right w:val="none" w:sz="0" w:space="0" w:color="auto"/>
      </w:divBdr>
      <w:divsChild>
        <w:div w:id="1841431327">
          <w:marLeft w:val="1354"/>
          <w:marRight w:val="0"/>
          <w:marTop w:val="0"/>
          <w:marBottom w:val="60"/>
          <w:divBdr>
            <w:top w:val="none" w:sz="0" w:space="0" w:color="auto"/>
            <w:left w:val="none" w:sz="0" w:space="0" w:color="auto"/>
            <w:bottom w:val="none" w:sz="0" w:space="0" w:color="auto"/>
            <w:right w:val="none" w:sz="0" w:space="0" w:color="auto"/>
          </w:divBdr>
        </w:div>
        <w:div w:id="698050119">
          <w:marLeft w:val="1354"/>
          <w:marRight w:val="0"/>
          <w:marTop w:val="0"/>
          <w:marBottom w:val="60"/>
          <w:divBdr>
            <w:top w:val="none" w:sz="0" w:space="0" w:color="auto"/>
            <w:left w:val="none" w:sz="0" w:space="0" w:color="auto"/>
            <w:bottom w:val="none" w:sz="0" w:space="0" w:color="auto"/>
            <w:right w:val="none" w:sz="0" w:space="0" w:color="auto"/>
          </w:divBdr>
        </w:div>
      </w:divsChild>
    </w:div>
    <w:div w:id="524950905">
      <w:bodyDiv w:val="1"/>
      <w:marLeft w:val="0"/>
      <w:marRight w:val="0"/>
      <w:marTop w:val="0"/>
      <w:marBottom w:val="0"/>
      <w:divBdr>
        <w:top w:val="none" w:sz="0" w:space="0" w:color="auto"/>
        <w:left w:val="none" w:sz="0" w:space="0" w:color="auto"/>
        <w:bottom w:val="none" w:sz="0" w:space="0" w:color="auto"/>
        <w:right w:val="none" w:sz="0" w:space="0" w:color="auto"/>
      </w:divBdr>
    </w:div>
    <w:div w:id="593320933">
      <w:bodyDiv w:val="1"/>
      <w:marLeft w:val="0"/>
      <w:marRight w:val="0"/>
      <w:marTop w:val="0"/>
      <w:marBottom w:val="0"/>
      <w:divBdr>
        <w:top w:val="none" w:sz="0" w:space="0" w:color="auto"/>
        <w:left w:val="none" w:sz="0" w:space="0" w:color="auto"/>
        <w:bottom w:val="none" w:sz="0" w:space="0" w:color="auto"/>
        <w:right w:val="none" w:sz="0" w:space="0" w:color="auto"/>
      </w:divBdr>
    </w:div>
    <w:div w:id="640574728">
      <w:bodyDiv w:val="1"/>
      <w:marLeft w:val="0"/>
      <w:marRight w:val="0"/>
      <w:marTop w:val="0"/>
      <w:marBottom w:val="0"/>
      <w:divBdr>
        <w:top w:val="none" w:sz="0" w:space="0" w:color="auto"/>
        <w:left w:val="none" w:sz="0" w:space="0" w:color="auto"/>
        <w:bottom w:val="none" w:sz="0" w:space="0" w:color="auto"/>
        <w:right w:val="none" w:sz="0" w:space="0" w:color="auto"/>
      </w:divBdr>
    </w:div>
    <w:div w:id="680818923">
      <w:bodyDiv w:val="1"/>
      <w:marLeft w:val="0"/>
      <w:marRight w:val="0"/>
      <w:marTop w:val="0"/>
      <w:marBottom w:val="0"/>
      <w:divBdr>
        <w:top w:val="none" w:sz="0" w:space="0" w:color="auto"/>
        <w:left w:val="none" w:sz="0" w:space="0" w:color="auto"/>
        <w:bottom w:val="none" w:sz="0" w:space="0" w:color="auto"/>
        <w:right w:val="none" w:sz="0" w:space="0" w:color="auto"/>
      </w:divBdr>
    </w:div>
    <w:div w:id="729232040">
      <w:bodyDiv w:val="1"/>
      <w:marLeft w:val="0"/>
      <w:marRight w:val="0"/>
      <w:marTop w:val="0"/>
      <w:marBottom w:val="0"/>
      <w:divBdr>
        <w:top w:val="none" w:sz="0" w:space="0" w:color="auto"/>
        <w:left w:val="none" w:sz="0" w:space="0" w:color="auto"/>
        <w:bottom w:val="none" w:sz="0" w:space="0" w:color="auto"/>
        <w:right w:val="none" w:sz="0" w:space="0" w:color="auto"/>
      </w:divBdr>
    </w:div>
    <w:div w:id="832184798">
      <w:bodyDiv w:val="1"/>
      <w:marLeft w:val="0"/>
      <w:marRight w:val="0"/>
      <w:marTop w:val="0"/>
      <w:marBottom w:val="0"/>
      <w:divBdr>
        <w:top w:val="none" w:sz="0" w:space="0" w:color="auto"/>
        <w:left w:val="none" w:sz="0" w:space="0" w:color="auto"/>
        <w:bottom w:val="none" w:sz="0" w:space="0" w:color="auto"/>
        <w:right w:val="none" w:sz="0" w:space="0" w:color="auto"/>
      </w:divBdr>
    </w:div>
    <w:div w:id="857541536">
      <w:bodyDiv w:val="1"/>
      <w:marLeft w:val="0"/>
      <w:marRight w:val="0"/>
      <w:marTop w:val="0"/>
      <w:marBottom w:val="0"/>
      <w:divBdr>
        <w:top w:val="none" w:sz="0" w:space="0" w:color="auto"/>
        <w:left w:val="none" w:sz="0" w:space="0" w:color="auto"/>
        <w:bottom w:val="none" w:sz="0" w:space="0" w:color="auto"/>
        <w:right w:val="none" w:sz="0" w:space="0" w:color="auto"/>
      </w:divBdr>
    </w:div>
    <w:div w:id="883831952">
      <w:bodyDiv w:val="1"/>
      <w:marLeft w:val="0"/>
      <w:marRight w:val="0"/>
      <w:marTop w:val="0"/>
      <w:marBottom w:val="0"/>
      <w:divBdr>
        <w:top w:val="none" w:sz="0" w:space="0" w:color="auto"/>
        <w:left w:val="none" w:sz="0" w:space="0" w:color="auto"/>
        <w:bottom w:val="none" w:sz="0" w:space="0" w:color="auto"/>
        <w:right w:val="none" w:sz="0" w:space="0" w:color="auto"/>
      </w:divBdr>
      <w:divsChild>
        <w:div w:id="15818368">
          <w:marLeft w:val="274"/>
          <w:marRight w:val="0"/>
          <w:marTop w:val="0"/>
          <w:marBottom w:val="0"/>
          <w:divBdr>
            <w:top w:val="none" w:sz="0" w:space="0" w:color="auto"/>
            <w:left w:val="none" w:sz="0" w:space="0" w:color="auto"/>
            <w:bottom w:val="none" w:sz="0" w:space="0" w:color="auto"/>
            <w:right w:val="none" w:sz="0" w:space="0" w:color="auto"/>
          </w:divBdr>
        </w:div>
        <w:div w:id="266740809">
          <w:marLeft w:val="274"/>
          <w:marRight w:val="0"/>
          <w:marTop w:val="0"/>
          <w:marBottom w:val="0"/>
          <w:divBdr>
            <w:top w:val="none" w:sz="0" w:space="0" w:color="auto"/>
            <w:left w:val="none" w:sz="0" w:space="0" w:color="auto"/>
            <w:bottom w:val="none" w:sz="0" w:space="0" w:color="auto"/>
            <w:right w:val="none" w:sz="0" w:space="0" w:color="auto"/>
          </w:divBdr>
        </w:div>
        <w:div w:id="1158377806">
          <w:marLeft w:val="274"/>
          <w:marRight w:val="0"/>
          <w:marTop w:val="0"/>
          <w:marBottom w:val="0"/>
          <w:divBdr>
            <w:top w:val="none" w:sz="0" w:space="0" w:color="auto"/>
            <w:left w:val="none" w:sz="0" w:space="0" w:color="auto"/>
            <w:bottom w:val="none" w:sz="0" w:space="0" w:color="auto"/>
            <w:right w:val="none" w:sz="0" w:space="0" w:color="auto"/>
          </w:divBdr>
        </w:div>
        <w:div w:id="693768662">
          <w:marLeft w:val="274"/>
          <w:marRight w:val="0"/>
          <w:marTop w:val="0"/>
          <w:marBottom w:val="0"/>
          <w:divBdr>
            <w:top w:val="none" w:sz="0" w:space="0" w:color="auto"/>
            <w:left w:val="none" w:sz="0" w:space="0" w:color="auto"/>
            <w:bottom w:val="none" w:sz="0" w:space="0" w:color="auto"/>
            <w:right w:val="none" w:sz="0" w:space="0" w:color="auto"/>
          </w:divBdr>
        </w:div>
        <w:div w:id="259223438">
          <w:marLeft w:val="274"/>
          <w:marRight w:val="0"/>
          <w:marTop w:val="0"/>
          <w:marBottom w:val="120"/>
          <w:divBdr>
            <w:top w:val="none" w:sz="0" w:space="0" w:color="auto"/>
            <w:left w:val="none" w:sz="0" w:space="0" w:color="auto"/>
            <w:bottom w:val="none" w:sz="0" w:space="0" w:color="auto"/>
            <w:right w:val="none" w:sz="0" w:space="0" w:color="auto"/>
          </w:divBdr>
        </w:div>
        <w:div w:id="1626276474">
          <w:marLeft w:val="274"/>
          <w:marRight w:val="0"/>
          <w:marTop w:val="0"/>
          <w:marBottom w:val="120"/>
          <w:divBdr>
            <w:top w:val="none" w:sz="0" w:space="0" w:color="auto"/>
            <w:left w:val="none" w:sz="0" w:space="0" w:color="auto"/>
            <w:bottom w:val="none" w:sz="0" w:space="0" w:color="auto"/>
            <w:right w:val="none" w:sz="0" w:space="0" w:color="auto"/>
          </w:divBdr>
        </w:div>
        <w:div w:id="1663660879">
          <w:marLeft w:val="274"/>
          <w:marRight w:val="0"/>
          <w:marTop w:val="0"/>
          <w:marBottom w:val="120"/>
          <w:divBdr>
            <w:top w:val="none" w:sz="0" w:space="0" w:color="auto"/>
            <w:left w:val="none" w:sz="0" w:space="0" w:color="auto"/>
            <w:bottom w:val="none" w:sz="0" w:space="0" w:color="auto"/>
            <w:right w:val="none" w:sz="0" w:space="0" w:color="auto"/>
          </w:divBdr>
        </w:div>
        <w:div w:id="1874807225">
          <w:marLeft w:val="274"/>
          <w:marRight w:val="0"/>
          <w:marTop w:val="0"/>
          <w:marBottom w:val="120"/>
          <w:divBdr>
            <w:top w:val="none" w:sz="0" w:space="0" w:color="auto"/>
            <w:left w:val="none" w:sz="0" w:space="0" w:color="auto"/>
            <w:bottom w:val="none" w:sz="0" w:space="0" w:color="auto"/>
            <w:right w:val="none" w:sz="0" w:space="0" w:color="auto"/>
          </w:divBdr>
        </w:div>
        <w:div w:id="2068382278">
          <w:marLeft w:val="274"/>
          <w:marRight w:val="0"/>
          <w:marTop w:val="0"/>
          <w:marBottom w:val="240"/>
          <w:divBdr>
            <w:top w:val="none" w:sz="0" w:space="0" w:color="auto"/>
            <w:left w:val="none" w:sz="0" w:space="0" w:color="auto"/>
            <w:bottom w:val="none" w:sz="0" w:space="0" w:color="auto"/>
            <w:right w:val="none" w:sz="0" w:space="0" w:color="auto"/>
          </w:divBdr>
        </w:div>
        <w:div w:id="904604326">
          <w:marLeft w:val="274"/>
          <w:marRight w:val="0"/>
          <w:marTop w:val="120"/>
          <w:marBottom w:val="120"/>
          <w:divBdr>
            <w:top w:val="none" w:sz="0" w:space="0" w:color="auto"/>
            <w:left w:val="none" w:sz="0" w:space="0" w:color="auto"/>
            <w:bottom w:val="none" w:sz="0" w:space="0" w:color="auto"/>
            <w:right w:val="none" w:sz="0" w:space="0" w:color="auto"/>
          </w:divBdr>
        </w:div>
        <w:div w:id="1822456876">
          <w:marLeft w:val="274"/>
          <w:marRight w:val="0"/>
          <w:marTop w:val="0"/>
          <w:marBottom w:val="120"/>
          <w:divBdr>
            <w:top w:val="none" w:sz="0" w:space="0" w:color="auto"/>
            <w:left w:val="none" w:sz="0" w:space="0" w:color="auto"/>
            <w:bottom w:val="none" w:sz="0" w:space="0" w:color="auto"/>
            <w:right w:val="none" w:sz="0" w:space="0" w:color="auto"/>
          </w:divBdr>
        </w:div>
      </w:divsChild>
    </w:div>
    <w:div w:id="919368812">
      <w:bodyDiv w:val="1"/>
      <w:marLeft w:val="0"/>
      <w:marRight w:val="0"/>
      <w:marTop w:val="0"/>
      <w:marBottom w:val="0"/>
      <w:divBdr>
        <w:top w:val="none" w:sz="0" w:space="0" w:color="auto"/>
        <w:left w:val="none" w:sz="0" w:space="0" w:color="auto"/>
        <w:bottom w:val="none" w:sz="0" w:space="0" w:color="auto"/>
        <w:right w:val="none" w:sz="0" w:space="0" w:color="auto"/>
      </w:divBdr>
    </w:div>
    <w:div w:id="954097895">
      <w:bodyDiv w:val="1"/>
      <w:marLeft w:val="0"/>
      <w:marRight w:val="0"/>
      <w:marTop w:val="0"/>
      <w:marBottom w:val="0"/>
      <w:divBdr>
        <w:top w:val="none" w:sz="0" w:space="0" w:color="auto"/>
        <w:left w:val="none" w:sz="0" w:space="0" w:color="auto"/>
        <w:bottom w:val="none" w:sz="0" w:space="0" w:color="auto"/>
        <w:right w:val="none" w:sz="0" w:space="0" w:color="auto"/>
      </w:divBdr>
    </w:div>
    <w:div w:id="958873689">
      <w:bodyDiv w:val="1"/>
      <w:marLeft w:val="0"/>
      <w:marRight w:val="0"/>
      <w:marTop w:val="0"/>
      <w:marBottom w:val="0"/>
      <w:divBdr>
        <w:top w:val="none" w:sz="0" w:space="0" w:color="auto"/>
        <w:left w:val="none" w:sz="0" w:space="0" w:color="auto"/>
        <w:bottom w:val="none" w:sz="0" w:space="0" w:color="auto"/>
        <w:right w:val="none" w:sz="0" w:space="0" w:color="auto"/>
      </w:divBdr>
      <w:divsChild>
        <w:div w:id="1575092609">
          <w:marLeft w:val="547"/>
          <w:marRight w:val="0"/>
          <w:marTop w:val="0"/>
          <w:marBottom w:val="40"/>
          <w:divBdr>
            <w:top w:val="none" w:sz="0" w:space="0" w:color="auto"/>
            <w:left w:val="none" w:sz="0" w:space="0" w:color="auto"/>
            <w:bottom w:val="none" w:sz="0" w:space="0" w:color="auto"/>
            <w:right w:val="none" w:sz="0" w:space="0" w:color="auto"/>
          </w:divBdr>
        </w:div>
        <w:div w:id="2012217703">
          <w:marLeft w:val="547"/>
          <w:marRight w:val="0"/>
          <w:marTop w:val="0"/>
          <w:marBottom w:val="40"/>
          <w:divBdr>
            <w:top w:val="none" w:sz="0" w:space="0" w:color="auto"/>
            <w:left w:val="none" w:sz="0" w:space="0" w:color="auto"/>
            <w:bottom w:val="none" w:sz="0" w:space="0" w:color="auto"/>
            <w:right w:val="none" w:sz="0" w:space="0" w:color="auto"/>
          </w:divBdr>
        </w:div>
        <w:div w:id="612589507">
          <w:marLeft w:val="547"/>
          <w:marRight w:val="0"/>
          <w:marTop w:val="0"/>
          <w:marBottom w:val="40"/>
          <w:divBdr>
            <w:top w:val="none" w:sz="0" w:space="0" w:color="auto"/>
            <w:left w:val="none" w:sz="0" w:space="0" w:color="auto"/>
            <w:bottom w:val="none" w:sz="0" w:space="0" w:color="auto"/>
            <w:right w:val="none" w:sz="0" w:space="0" w:color="auto"/>
          </w:divBdr>
        </w:div>
        <w:div w:id="1190073106">
          <w:marLeft w:val="547"/>
          <w:marRight w:val="0"/>
          <w:marTop w:val="0"/>
          <w:marBottom w:val="40"/>
          <w:divBdr>
            <w:top w:val="none" w:sz="0" w:space="0" w:color="auto"/>
            <w:left w:val="none" w:sz="0" w:space="0" w:color="auto"/>
            <w:bottom w:val="none" w:sz="0" w:space="0" w:color="auto"/>
            <w:right w:val="none" w:sz="0" w:space="0" w:color="auto"/>
          </w:divBdr>
        </w:div>
        <w:div w:id="640116195">
          <w:marLeft w:val="547"/>
          <w:marRight w:val="0"/>
          <w:marTop w:val="0"/>
          <w:marBottom w:val="40"/>
          <w:divBdr>
            <w:top w:val="none" w:sz="0" w:space="0" w:color="auto"/>
            <w:left w:val="none" w:sz="0" w:space="0" w:color="auto"/>
            <w:bottom w:val="none" w:sz="0" w:space="0" w:color="auto"/>
            <w:right w:val="none" w:sz="0" w:space="0" w:color="auto"/>
          </w:divBdr>
        </w:div>
        <w:div w:id="689112256">
          <w:marLeft w:val="547"/>
          <w:marRight w:val="0"/>
          <w:marTop w:val="0"/>
          <w:marBottom w:val="40"/>
          <w:divBdr>
            <w:top w:val="none" w:sz="0" w:space="0" w:color="auto"/>
            <w:left w:val="none" w:sz="0" w:space="0" w:color="auto"/>
            <w:bottom w:val="none" w:sz="0" w:space="0" w:color="auto"/>
            <w:right w:val="none" w:sz="0" w:space="0" w:color="auto"/>
          </w:divBdr>
        </w:div>
        <w:div w:id="1538082593">
          <w:marLeft w:val="547"/>
          <w:marRight w:val="0"/>
          <w:marTop w:val="0"/>
          <w:marBottom w:val="40"/>
          <w:divBdr>
            <w:top w:val="none" w:sz="0" w:space="0" w:color="auto"/>
            <w:left w:val="none" w:sz="0" w:space="0" w:color="auto"/>
            <w:bottom w:val="none" w:sz="0" w:space="0" w:color="auto"/>
            <w:right w:val="none" w:sz="0" w:space="0" w:color="auto"/>
          </w:divBdr>
        </w:div>
        <w:div w:id="401677726">
          <w:marLeft w:val="547"/>
          <w:marRight w:val="0"/>
          <w:marTop w:val="0"/>
          <w:marBottom w:val="40"/>
          <w:divBdr>
            <w:top w:val="none" w:sz="0" w:space="0" w:color="auto"/>
            <w:left w:val="none" w:sz="0" w:space="0" w:color="auto"/>
            <w:bottom w:val="none" w:sz="0" w:space="0" w:color="auto"/>
            <w:right w:val="none" w:sz="0" w:space="0" w:color="auto"/>
          </w:divBdr>
        </w:div>
      </w:divsChild>
    </w:div>
    <w:div w:id="964850810">
      <w:bodyDiv w:val="1"/>
      <w:marLeft w:val="0"/>
      <w:marRight w:val="0"/>
      <w:marTop w:val="0"/>
      <w:marBottom w:val="0"/>
      <w:divBdr>
        <w:top w:val="none" w:sz="0" w:space="0" w:color="auto"/>
        <w:left w:val="none" w:sz="0" w:space="0" w:color="auto"/>
        <w:bottom w:val="none" w:sz="0" w:space="0" w:color="auto"/>
        <w:right w:val="none" w:sz="0" w:space="0" w:color="auto"/>
      </w:divBdr>
    </w:div>
    <w:div w:id="990791012">
      <w:bodyDiv w:val="1"/>
      <w:marLeft w:val="0"/>
      <w:marRight w:val="0"/>
      <w:marTop w:val="0"/>
      <w:marBottom w:val="0"/>
      <w:divBdr>
        <w:top w:val="none" w:sz="0" w:space="0" w:color="auto"/>
        <w:left w:val="none" w:sz="0" w:space="0" w:color="auto"/>
        <w:bottom w:val="none" w:sz="0" w:space="0" w:color="auto"/>
        <w:right w:val="none" w:sz="0" w:space="0" w:color="auto"/>
      </w:divBdr>
      <w:divsChild>
        <w:div w:id="770050373">
          <w:marLeft w:val="274"/>
          <w:marRight w:val="0"/>
          <w:marTop w:val="0"/>
          <w:marBottom w:val="0"/>
          <w:divBdr>
            <w:top w:val="none" w:sz="0" w:space="0" w:color="auto"/>
            <w:left w:val="none" w:sz="0" w:space="0" w:color="auto"/>
            <w:bottom w:val="none" w:sz="0" w:space="0" w:color="auto"/>
            <w:right w:val="none" w:sz="0" w:space="0" w:color="auto"/>
          </w:divBdr>
        </w:div>
        <w:div w:id="1346665035">
          <w:marLeft w:val="274"/>
          <w:marRight w:val="0"/>
          <w:marTop w:val="0"/>
          <w:marBottom w:val="0"/>
          <w:divBdr>
            <w:top w:val="none" w:sz="0" w:space="0" w:color="auto"/>
            <w:left w:val="none" w:sz="0" w:space="0" w:color="auto"/>
            <w:bottom w:val="none" w:sz="0" w:space="0" w:color="auto"/>
            <w:right w:val="none" w:sz="0" w:space="0" w:color="auto"/>
          </w:divBdr>
        </w:div>
        <w:div w:id="525606000">
          <w:marLeft w:val="274"/>
          <w:marRight w:val="0"/>
          <w:marTop w:val="0"/>
          <w:marBottom w:val="160"/>
          <w:divBdr>
            <w:top w:val="none" w:sz="0" w:space="0" w:color="auto"/>
            <w:left w:val="none" w:sz="0" w:space="0" w:color="auto"/>
            <w:bottom w:val="none" w:sz="0" w:space="0" w:color="auto"/>
            <w:right w:val="none" w:sz="0" w:space="0" w:color="auto"/>
          </w:divBdr>
        </w:div>
      </w:divsChild>
    </w:div>
    <w:div w:id="1006976957">
      <w:bodyDiv w:val="1"/>
      <w:marLeft w:val="0"/>
      <w:marRight w:val="0"/>
      <w:marTop w:val="0"/>
      <w:marBottom w:val="0"/>
      <w:divBdr>
        <w:top w:val="none" w:sz="0" w:space="0" w:color="auto"/>
        <w:left w:val="none" w:sz="0" w:space="0" w:color="auto"/>
        <w:bottom w:val="none" w:sz="0" w:space="0" w:color="auto"/>
        <w:right w:val="none" w:sz="0" w:space="0" w:color="auto"/>
      </w:divBdr>
      <w:divsChild>
        <w:div w:id="1652371240">
          <w:marLeft w:val="274"/>
          <w:marRight w:val="0"/>
          <w:marTop w:val="0"/>
          <w:marBottom w:val="0"/>
          <w:divBdr>
            <w:top w:val="none" w:sz="0" w:space="0" w:color="auto"/>
            <w:left w:val="none" w:sz="0" w:space="0" w:color="auto"/>
            <w:bottom w:val="none" w:sz="0" w:space="0" w:color="auto"/>
            <w:right w:val="none" w:sz="0" w:space="0" w:color="auto"/>
          </w:divBdr>
        </w:div>
        <w:div w:id="1972397176">
          <w:marLeft w:val="274"/>
          <w:marRight w:val="0"/>
          <w:marTop w:val="0"/>
          <w:marBottom w:val="0"/>
          <w:divBdr>
            <w:top w:val="none" w:sz="0" w:space="0" w:color="auto"/>
            <w:left w:val="none" w:sz="0" w:space="0" w:color="auto"/>
            <w:bottom w:val="none" w:sz="0" w:space="0" w:color="auto"/>
            <w:right w:val="none" w:sz="0" w:space="0" w:color="auto"/>
          </w:divBdr>
        </w:div>
        <w:div w:id="1895655416">
          <w:marLeft w:val="274"/>
          <w:marRight w:val="0"/>
          <w:marTop w:val="0"/>
          <w:marBottom w:val="0"/>
          <w:divBdr>
            <w:top w:val="none" w:sz="0" w:space="0" w:color="auto"/>
            <w:left w:val="none" w:sz="0" w:space="0" w:color="auto"/>
            <w:bottom w:val="none" w:sz="0" w:space="0" w:color="auto"/>
            <w:right w:val="none" w:sz="0" w:space="0" w:color="auto"/>
          </w:divBdr>
        </w:div>
        <w:div w:id="1522470888">
          <w:marLeft w:val="274"/>
          <w:marRight w:val="0"/>
          <w:marTop w:val="0"/>
          <w:marBottom w:val="0"/>
          <w:divBdr>
            <w:top w:val="none" w:sz="0" w:space="0" w:color="auto"/>
            <w:left w:val="none" w:sz="0" w:space="0" w:color="auto"/>
            <w:bottom w:val="none" w:sz="0" w:space="0" w:color="auto"/>
            <w:right w:val="none" w:sz="0" w:space="0" w:color="auto"/>
          </w:divBdr>
        </w:div>
        <w:div w:id="1001469902">
          <w:marLeft w:val="274"/>
          <w:marRight w:val="0"/>
          <w:marTop w:val="0"/>
          <w:marBottom w:val="120"/>
          <w:divBdr>
            <w:top w:val="none" w:sz="0" w:space="0" w:color="auto"/>
            <w:left w:val="none" w:sz="0" w:space="0" w:color="auto"/>
            <w:bottom w:val="none" w:sz="0" w:space="0" w:color="auto"/>
            <w:right w:val="none" w:sz="0" w:space="0" w:color="auto"/>
          </w:divBdr>
        </w:div>
        <w:div w:id="1392923116">
          <w:marLeft w:val="274"/>
          <w:marRight w:val="0"/>
          <w:marTop w:val="0"/>
          <w:marBottom w:val="120"/>
          <w:divBdr>
            <w:top w:val="none" w:sz="0" w:space="0" w:color="auto"/>
            <w:left w:val="none" w:sz="0" w:space="0" w:color="auto"/>
            <w:bottom w:val="none" w:sz="0" w:space="0" w:color="auto"/>
            <w:right w:val="none" w:sz="0" w:space="0" w:color="auto"/>
          </w:divBdr>
        </w:div>
        <w:div w:id="2007900151">
          <w:marLeft w:val="274"/>
          <w:marRight w:val="0"/>
          <w:marTop w:val="0"/>
          <w:marBottom w:val="120"/>
          <w:divBdr>
            <w:top w:val="none" w:sz="0" w:space="0" w:color="auto"/>
            <w:left w:val="none" w:sz="0" w:space="0" w:color="auto"/>
            <w:bottom w:val="none" w:sz="0" w:space="0" w:color="auto"/>
            <w:right w:val="none" w:sz="0" w:space="0" w:color="auto"/>
          </w:divBdr>
        </w:div>
        <w:div w:id="529337908">
          <w:marLeft w:val="274"/>
          <w:marRight w:val="0"/>
          <w:marTop w:val="0"/>
          <w:marBottom w:val="120"/>
          <w:divBdr>
            <w:top w:val="none" w:sz="0" w:space="0" w:color="auto"/>
            <w:left w:val="none" w:sz="0" w:space="0" w:color="auto"/>
            <w:bottom w:val="none" w:sz="0" w:space="0" w:color="auto"/>
            <w:right w:val="none" w:sz="0" w:space="0" w:color="auto"/>
          </w:divBdr>
        </w:div>
        <w:div w:id="1161190291">
          <w:marLeft w:val="274"/>
          <w:marRight w:val="0"/>
          <w:marTop w:val="0"/>
          <w:marBottom w:val="240"/>
          <w:divBdr>
            <w:top w:val="none" w:sz="0" w:space="0" w:color="auto"/>
            <w:left w:val="none" w:sz="0" w:space="0" w:color="auto"/>
            <w:bottom w:val="none" w:sz="0" w:space="0" w:color="auto"/>
            <w:right w:val="none" w:sz="0" w:space="0" w:color="auto"/>
          </w:divBdr>
        </w:div>
        <w:div w:id="915239962">
          <w:marLeft w:val="274"/>
          <w:marRight w:val="0"/>
          <w:marTop w:val="120"/>
          <w:marBottom w:val="120"/>
          <w:divBdr>
            <w:top w:val="none" w:sz="0" w:space="0" w:color="auto"/>
            <w:left w:val="none" w:sz="0" w:space="0" w:color="auto"/>
            <w:bottom w:val="none" w:sz="0" w:space="0" w:color="auto"/>
            <w:right w:val="none" w:sz="0" w:space="0" w:color="auto"/>
          </w:divBdr>
        </w:div>
        <w:div w:id="1253590876">
          <w:marLeft w:val="274"/>
          <w:marRight w:val="0"/>
          <w:marTop w:val="0"/>
          <w:marBottom w:val="120"/>
          <w:divBdr>
            <w:top w:val="none" w:sz="0" w:space="0" w:color="auto"/>
            <w:left w:val="none" w:sz="0" w:space="0" w:color="auto"/>
            <w:bottom w:val="none" w:sz="0" w:space="0" w:color="auto"/>
            <w:right w:val="none" w:sz="0" w:space="0" w:color="auto"/>
          </w:divBdr>
        </w:div>
      </w:divsChild>
    </w:div>
    <w:div w:id="1015770860">
      <w:bodyDiv w:val="1"/>
      <w:marLeft w:val="0"/>
      <w:marRight w:val="0"/>
      <w:marTop w:val="0"/>
      <w:marBottom w:val="0"/>
      <w:divBdr>
        <w:top w:val="none" w:sz="0" w:space="0" w:color="auto"/>
        <w:left w:val="none" w:sz="0" w:space="0" w:color="auto"/>
        <w:bottom w:val="none" w:sz="0" w:space="0" w:color="auto"/>
        <w:right w:val="none" w:sz="0" w:space="0" w:color="auto"/>
      </w:divBdr>
    </w:div>
    <w:div w:id="1127552885">
      <w:bodyDiv w:val="1"/>
      <w:marLeft w:val="0"/>
      <w:marRight w:val="0"/>
      <w:marTop w:val="0"/>
      <w:marBottom w:val="0"/>
      <w:divBdr>
        <w:top w:val="none" w:sz="0" w:space="0" w:color="auto"/>
        <w:left w:val="none" w:sz="0" w:space="0" w:color="auto"/>
        <w:bottom w:val="none" w:sz="0" w:space="0" w:color="auto"/>
        <w:right w:val="none" w:sz="0" w:space="0" w:color="auto"/>
      </w:divBdr>
      <w:divsChild>
        <w:div w:id="1594704501">
          <w:marLeft w:val="274"/>
          <w:marRight w:val="0"/>
          <w:marTop w:val="0"/>
          <w:marBottom w:val="0"/>
          <w:divBdr>
            <w:top w:val="none" w:sz="0" w:space="0" w:color="auto"/>
            <w:left w:val="none" w:sz="0" w:space="0" w:color="auto"/>
            <w:bottom w:val="none" w:sz="0" w:space="0" w:color="auto"/>
            <w:right w:val="none" w:sz="0" w:space="0" w:color="auto"/>
          </w:divBdr>
        </w:div>
        <w:div w:id="1877352078">
          <w:marLeft w:val="274"/>
          <w:marRight w:val="0"/>
          <w:marTop w:val="0"/>
          <w:marBottom w:val="0"/>
          <w:divBdr>
            <w:top w:val="none" w:sz="0" w:space="0" w:color="auto"/>
            <w:left w:val="none" w:sz="0" w:space="0" w:color="auto"/>
            <w:bottom w:val="none" w:sz="0" w:space="0" w:color="auto"/>
            <w:right w:val="none" w:sz="0" w:space="0" w:color="auto"/>
          </w:divBdr>
        </w:div>
        <w:div w:id="620264871">
          <w:marLeft w:val="274"/>
          <w:marRight w:val="0"/>
          <w:marTop w:val="0"/>
          <w:marBottom w:val="0"/>
          <w:divBdr>
            <w:top w:val="none" w:sz="0" w:space="0" w:color="auto"/>
            <w:left w:val="none" w:sz="0" w:space="0" w:color="auto"/>
            <w:bottom w:val="none" w:sz="0" w:space="0" w:color="auto"/>
            <w:right w:val="none" w:sz="0" w:space="0" w:color="auto"/>
          </w:divBdr>
        </w:div>
        <w:div w:id="501428839">
          <w:marLeft w:val="274"/>
          <w:marRight w:val="0"/>
          <w:marTop w:val="0"/>
          <w:marBottom w:val="0"/>
          <w:divBdr>
            <w:top w:val="none" w:sz="0" w:space="0" w:color="auto"/>
            <w:left w:val="none" w:sz="0" w:space="0" w:color="auto"/>
            <w:bottom w:val="none" w:sz="0" w:space="0" w:color="auto"/>
            <w:right w:val="none" w:sz="0" w:space="0" w:color="auto"/>
          </w:divBdr>
        </w:div>
      </w:divsChild>
    </w:div>
    <w:div w:id="1192383249">
      <w:bodyDiv w:val="1"/>
      <w:marLeft w:val="0"/>
      <w:marRight w:val="0"/>
      <w:marTop w:val="0"/>
      <w:marBottom w:val="0"/>
      <w:divBdr>
        <w:top w:val="none" w:sz="0" w:space="0" w:color="auto"/>
        <w:left w:val="none" w:sz="0" w:space="0" w:color="auto"/>
        <w:bottom w:val="none" w:sz="0" w:space="0" w:color="auto"/>
        <w:right w:val="none" w:sz="0" w:space="0" w:color="auto"/>
      </w:divBdr>
      <w:divsChild>
        <w:div w:id="1659846817">
          <w:marLeft w:val="821"/>
          <w:marRight w:val="0"/>
          <w:marTop w:val="0"/>
          <w:marBottom w:val="60"/>
          <w:divBdr>
            <w:top w:val="none" w:sz="0" w:space="0" w:color="auto"/>
            <w:left w:val="none" w:sz="0" w:space="0" w:color="auto"/>
            <w:bottom w:val="none" w:sz="0" w:space="0" w:color="auto"/>
            <w:right w:val="none" w:sz="0" w:space="0" w:color="auto"/>
          </w:divBdr>
        </w:div>
        <w:div w:id="1425372569">
          <w:marLeft w:val="821"/>
          <w:marRight w:val="0"/>
          <w:marTop w:val="0"/>
          <w:marBottom w:val="60"/>
          <w:divBdr>
            <w:top w:val="none" w:sz="0" w:space="0" w:color="auto"/>
            <w:left w:val="none" w:sz="0" w:space="0" w:color="auto"/>
            <w:bottom w:val="none" w:sz="0" w:space="0" w:color="auto"/>
            <w:right w:val="none" w:sz="0" w:space="0" w:color="auto"/>
          </w:divBdr>
        </w:div>
        <w:div w:id="1252739601">
          <w:marLeft w:val="821"/>
          <w:marRight w:val="0"/>
          <w:marTop w:val="0"/>
          <w:marBottom w:val="60"/>
          <w:divBdr>
            <w:top w:val="none" w:sz="0" w:space="0" w:color="auto"/>
            <w:left w:val="none" w:sz="0" w:space="0" w:color="auto"/>
            <w:bottom w:val="none" w:sz="0" w:space="0" w:color="auto"/>
            <w:right w:val="none" w:sz="0" w:space="0" w:color="auto"/>
          </w:divBdr>
        </w:div>
        <w:div w:id="726026015">
          <w:marLeft w:val="821"/>
          <w:marRight w:val="0"/>
          <w:marTop w:val="0"/>
          <w:marBottom w:val="60"/>
          <w:divBdr>
            <w:top w:val="none" w:sz="0" w:space="0" w:color="auto"/>
            <w:left w:val="none" w:sz="0" w:space="0" w:color="auto"/>
            <w:bottom w:val="none" w:sz="0" w:space="0" w:color="auto"/>
            <w:right w:val="none" w:sz="0" w:space="0" w:color="auto"/>
          </w:divBdr>
        </w:div>
        <w:div w:id="1615941831">
          <w:marLeft w:val="821"/>
          <w:marRight w:val="0"/>
          <w:marTop w:val="0"/>
          <w:marBottom w:val="60"/>
          <w:divBdr>
            <w:top w:val="none" w:sz="0" w:space="0" w:color="auto"/>
            <w:left w:val="none" w:sz="0" w:space="0" w:color="auto"/>
            <w:bottom w:val="none" w:sz="0" w:space="0" w:color="auto"/>
            <w:right w:val="none" w:sz="0" w:space="0" w:color="auto"/>
          </w:divBdr>
        </w:div>
      </w:divsChild>
    </w:div>
    <w:div w:id="1288009721">
      <w:bodyDiv w:val="1"/>
      <w:marLeft w:val="0"/>
      <w:marRight w:val="0"/>
      <w:marTop w:val="0"/>
      <w:marBottom w:val="0"/>
      <w:divBdr>
        <w:top w:val="none" w:sz="0" w:space="0" w:color="auto"/>
        <w:left w:val="none" w:sz="0" w:space="0" w:color="auto"/>
        <w:bottom w:val="none" w:sz="0" w:space="0" w:color="auto"/>
        <w:right w:val="none" w:sz="0" w:space="0" w:color="auto"/>
      </w:divBdr>
    </w:div>
    <w:div w:id="1376663196">
      <w:bodyDiv w:val="1"/>
      <w:marLeft w:val="0"/>
      <w:marRight w:val="0"/>
      <w:marTop w:val="0"/>
      <w:marBottom w:val="0"/>
      <w:divBdr>
        <w:top w:val="none" w:sz="0" w:space="0" w:color="auto"/>
        <w:left w:val="none" w:sz="0" w:space="0" w:color="auto"/>
        <w:bottom w:val="none" w:sz="0" w:space="0" w:color="auto"/>
        <w:right w:val="none" w:sz="0" w:space="0" w:color="auto"/>
      </w:divBdr>
    </w:div>
    <w:div w:id="1421877759">
      <w:bodyDiv w:val="1"/>
      <w:marLeft w:val="0"/>
      <w:marRight w:val="0"/>
      <w:marTop w:val="0"/>
      <w:marBottom w:val="0"/>
      <w:divBdr>
        <w:top w:val="none" w:sz="0" w:space="0" w:color="auto"/>
        <w:left w:val="none" w:sz="0" w:space="0" w:color="auto"/>
        <w:bottom w:val="none" w:sz="0" w:space="0" w:color="auto"/>
        <w:right w:val="none" w:sz="0" w:space="0" w:color="auto"/>
      </w:divBdr>
      <w:divsChild>
        <w:div w:id="1069885397">
          <w:marLeft w:val="274"/>
          <w:marRight w:val="0"/>
          <w:marTop w:val="0"/>
          <w:marBottom w:val="0"/>
          <w:divBdr>
            <w:top w:val="none" w:sz="0" w:space="0" w:color="auto"/>
            <w:left w:val="none" w:sz="0" w:space="0" w:color="auto"/>
            <w:bottom w:val="none" w:sz="0" w:space="0" w:color="auto"/>
            <w:right w:val="none" w:sz="0" w:space="0" w:color="auto"/>
          </w:divBdr>
        </w:div>
        <w:div w:id="740831039">
          <w:marLeft w:val="274"/>
          <w:marRight w:val="0"/>
          <w:marTop w:val="0"/>
          <w:marBottom w:val="0"/>
          <w:divBdr>
            <w:top w:val="none" w:sz="0" w:space="0" w:color="auto"/>
            <w:left w:val="none" w:sz="0" w:space="0" w:color="auto"/>
            <w:bottom w:val="none" w:sz="0" w:space="0" w:color="auto"/>
            <w:right w:val="none" w:sz="0" w:space="0" w:color="auto"/>
          </w:divBdr>
        </w:div>
        <w:div w:id="1084304916">
          <w:marLeft w:val="274"/>
          <w:marRight w:val="0"/>
          <w:marTop w:val="0"/>
          <w:marBottom w:val="0"/>
          <w:divBdr>
            <w:top w:val="none" w:sz="0" w:space="0" w:color="auto"/>
            <w:left w:val="none" w:sz="0" w:space="0" w:color="auto"/>
            <w:bottom w:val="none" w:sz="0" w:space="0" w:color="auto"/>
            <w:right w:val="none" w:sz="0" w:space="0" w:color="auto"/>
          </w:divBdr>
        </w:div>
        <w:div w:id="391390431">
          <w:marLeft w:val="274"/>
          <w:marRight w:val="0"/>
          <w:marTop w:val="0"/>
          <w:marBottom w:val="0"/>
          <w:divBdr>
            <w:top w:val="none" w:sz="0" w:space="0" w:color="auto"/>
            <w:left w:val="none" w:sz="0" w:space="0" w:color="auto"/>
            <w:bottom w:val="none" w:sz="0" w:space="0" w:color="auto"/>
            <w:right w:val="none" w:sz="0" w:space="0" w:color="auto"/>
          </w:divBdr>
        </w:div>
        <w:div w:id="502401866">
          <w:marLeft w:val="274"/>
          <w:marRight w:val="0"/>
          <w:marTop w:val="0"/>
          <w:marBottom w:val="120"/>
          <w:divBdr>
            <w:top w:val="none" w:sz="0" w:space="0" w:color="auto"/>
            <w:left w:val="none" w:sz="0" w:space="0" w:color="auto"/>
            <w:bottom w:val="none" w:sz="0" w:space="0" w:color="auto"/>
            <w:right w:val="none" w:sz="0" w:space="0" w:color="auto"/>
          </w:divBdr>
        </w:div>
        <w:div w:id="834421756">
          <w:marLeft w:val="274"/>
          <w:marRight w:val="0"/>
          <w:marTop w:val="0"/>
          <w:marBottom w:val="120"/>
          <w:divBdr>
            <w:top w:val="none" w:sz="0" w:space="0" w:color="auto"/>
            <w:left w:val="none" w:sz="0" w:space="0" w:color="auto"/>
            <w:bottom w:val="none" w:sz="0" w:space="0" w:color="auto"/>
            <w:right w:val="none" w:sz="0" w:space="0" w:color="auto"/>
          </w:divBdr>
        </w:div>
        <w:div w:id="261306296">
          <w:marLeft w:val="274"/>
          <w:marRight w:val="0"/>
          <w:marTop w:val="0"/>
          <w:marBottom w:val="120"/>
          <w:divBdr>
            <w:top w:val="none" w:sz="0" w:space="0" w:color="auto"/>
            <w:left w:val="none" w:sz="0" w:space="0" w:color="auto"/>
            <w:bottom w:val="none" w:sz="0" w:space="0" w:color="auto"/>
            <w:right w:val="none" w:sz="0" w:space="0" w:color="auto"/>
          </w:divBdr>
        </w:div>
        <w:div w:id="1333801791">
          <w:marLeft w:val="274"/>
          <w:marRight w:val="0"/>
          <w:marTop w:val="0"/>
          <w:marBottom w:val="120"/>
          <w:divBdr>
            <w:top w:val="none" w:sz="0" w:space="0" w:color="auto"/>
            <w:left w:val="none" w:sz="0" w:space="0" w:color="auto"/>
            <w:bottom w:val="none" w:sz="0" w:space="0" w:color="auto"/>
            <w:right w:val="none" w:sz="0" w:space="0" w:color="auto"/>
          </w:divBdr>
        </w:div>
        <w:div w:id="1716084335">
          <w:marLeft w:val="274"/>
          <w:marRight w:val="0"/>
          <w:marTop w:val="0"/>
          <w:marBottom w:val="240"/>
          <w:divBdr>
            <w:top w:val="none" w:sz="0" w:space="0" w:color="auto"/>
            <w:left w:val="none" w:sz="0" w:space="0" w:color="auto"/>
            <w:bottom w:val="none" w:sz="0" w:space="0" w:color="auto"/>
            <w:right w:val="none" w:sz="0" w:space="0" w:color="auto"/>
          </w:divBdr>
        </w:div>
        <w:div w:id="1894734005">
          <w:marLeft w:val="274"/>
          <w:marRight w:val="0"/>
          <w:marTop w:val="120"/>
          <w:marBottom w:val="120"/>
          <w:divBdr>
            <w:top w:val="none" w:sz="0" w:space="0" w:color="auto"/>
            <w:left w:val="none" w:sz="0" w:space="0" w:color="auto"/>
            <w:bottom w:val="none" w:sz="0" w:space="0" w:color="auto"/>
            <w:right w:val="none" w:sz="0" w:space="0" w:color="auto"/>
          </w:divBdr>
        </w:div>
        <w:div w:id="602036487">
          <w:marLeft w:val="274"/>
          <w:marRight w:val="0"/>
          <w:marTop w:val="0"/>
          <w:marBottom w:val="120"/>
          <w:divBdr>
            <w:top w:val="none" w:sz="0" w:space="0" w:color="auto"/>
            <w:left w:val="none" w:sz="0" w:space="0" w:color="auto"/>
            <w:bottom w:val="none" w:sz="0" w:space="0" w:color="auto"/>
            <w:right w:val="none" w:sz="0" w:space="0" w:color="auto"/>
          </w:divBdr>
        </w:div>
      </w:divsChild>
    </w:div>
    <w:div w:id="1423987996">
      <w:bodyDiv w:val="1"/>
      <w:marLeft w:val="0"/>
      <w:marRight w:val="0"/>
      <w:marTop w:val="0"/>
      <w:marBottom w:val="0"/>
      <w:divBdr>
        <w:top w:val="none" w:sz="0" w:space="0" w:color="auto"/>
        <w:left w:val="none" w:sz="0" w:space="0" w:color="auto"/>
        <w:bottom w:val="none" w:sz="0" w:space="0" w:color="auto"/>
        <w:right w:val="none" w:sz="0" w:space="0" w:color="auto"/>
      </w:divBdr>
      <w:divsChild>
        <w:div w:id="1865744588">
          <w:marLeft w:val="274"/>
          <w:marRight w:val="0"/>
          <w:marTop w:val="0"/>
          <w:marBottom w:val="0"/>
          <w:divBdr>
            <w:top w:val="none" w:sz="0" w:space="0" w:color="auto"/>
            <w:left w:val="none" w:sz="0" w:space="0" w:color="auto"/>
            <w:bottom w:val="none" w:sz="0" w:space="0" w:color="auto"/>
            <w:right w:val="none" w:sz="0" w:space="0" w:color="auto"/>
          </w:divBdr>
        </w:div>
        <w:div w:id="1058363992">
          <w:marLeft w:val="274"/>
          <w:marRight w:val="0"/>
          <w:marTop w:val="0"/>
          <w:marBottom w:val="0"/>
          <w:divBdr>
            <w:top w:val="none" w:sz="0" w:space="0" w:color="auto"/>
            <w:left w:val="none" w:sz="0" w:space="0" w:color="auto"/>
            <w:bottom w:val="none" w:sz="0" w:space="0" w:color="auto"/>
            <w:right w:val="none" w:sz="0" w:space="0" w:color="auto"/>
          </w:divBdr>
        </w:div>
        <w:div w:id="1163427783">
          <w:marLeft w:val="274"/>
          <w:marRight w:val="0"/>
          <w:marTop w:val="0"/>
          <w:marBottom w:val="160"/>
          <w:divBdr>
            <w:top w:val="none" w:sz="0" w:space="0" w:color="auto"/>
            <w:left w:val="none" w:sz="0" w:space="0" w:color="auto"/>
            <w:bottom w:val="none" w:sz="0" w:space="0" w:color="auto"/>
            <w:right w:val="none" w:sz="0" w:space="0" w:color="auto"/>
          </w:divBdr>
        </w:div>
      </w:divsChild>
    </w:div>
    <w:div w:id="1446534933">
      <w:bodyDiv w:val="1"/>
      <w:marLeft w:val="0"/>
      <w:marRight w:val="0"/>
      <w:marTop w:val="0"/>
      <w:marBottom w:val="0"/>
      <w:divBdr>
        <w:top w:val="none" w:sz="0" w:space="0" w:color="auto"/>
        <w:left w:val="none" w:sz="0" w:space="0" w:color="auto"/>
        <w:bottom w:val="none" w:sz="0" w:space="0" w:color="auto"/>
        <w:right w:val="none" w:sz="0" w:space="0" w:color="auto"/>
      </w:divBdr>
    </w:div>
    <w:div w:id="1504005082">
      <w:bodyDiv w:val="1"/>
      <w:marLeft w:val="0"/>
      <w:marRight w:val="0"/>
      <w:marTop w:val="0"/>
      <w:marBottom w:val="0"/>
      <w:divBdr>
        <w:top w:val="none" w:sz="0" w:space="0" w:color="auto"/>
        <w:left w:val="none" w:sz="0" w:space="0" w:color="auto"/>
        <w:bottom w:val="none" w:sz="0" w:space="0" w:color="auto"/>
        <w:right w:val="none" w:sz="0" w:space="0" w:color="auto"/>
      </w:divBdr>
      <w:divsChild>
        <w:div w:id="1047997898">
          <w:marLeft w:val="274"/>
          <w:marRight w:val="0"/>
          <w:marTop w:val="0"/>
          <w:marBottom w:val="0"/>
          <w:divBdr>
            <w:top w:val="none" w:sz="0" w:space="0" w:color="auto"/>
            <w:left w:val="none" w:sz="0" w:space="0" w:color="auto"/>
            <w:bottom w:val="none" w:sz="0" w:space="0" w:color="auto"/>
            <w:right w:val="none" w:sz="0" w:space="0" w:color="auto"/>
          </w:divBdr>
        </w:div>
        <w:div w:id="296303810">
          <w:marLeft w:val="274"/>
          <w:marRight w:val="0"/>
          <w:marTop w:val="0"/>
          <w:marBottom w:val="0"/>
          <w:divBdr>
            <w:top w:val="none" w:sz="0" w:space="0" w:color="auto"/>
            <w:left w:val="none" w:sz="0" w:space="0" w:color="auto"/>
            <w:bottom w:val="none" w:sz="0" w:space="0" w:color="auto"/>
            <w:right w:val="none" w:sz="0" w:space="0" w:color="auto"/>
          </w:divBdr>
        </w:div>
        <w:div w:id="2063214836">
          <w:marLeft w:val="274"/>
          <w:marRight w:val="0"/>
          <w:marTop w:val="0"/>
          <w:marBottom w:val="0"/>
          <w:divBdr>
            <w:top w:val="none" w:sz="0" w:space="0" w:color="auto"/>
            <w:left w:val="none" w:sz="0" w:space="0" w:color="auto"/>
            <w:bottom w:val="none" w:sz="0" w:space="0" w:color="auto"/>
            <w:right w:val="none" w:sz="0" w:space="0" w:color="auto"/>
          </w:divBdr>
        </w:div>
        <w:div w:id="651641566">
          <w:marLeft w:val="274"/>
          <w:marRight w:val="0"/>
          <w:marTop w:val="0"/>
          <w:marBottom w:val="0"/>
          <w:divBdr>
            <w:top w:val="none" w:sz="0" w:space="0" w:color="auto"/>
            <w:left w:val="none" w:sz="0" w:space="0" w:color="auto"/>
            <w:bottom w:val="none" w:sz="0" w:space="0" w:color="auto"/>
            <w:right w:val="none" w:sz="0" w:space="0" w:color="auto"/>
          </w:divBdr>
        </w:div>
      </w:divsChild>
    </w:div>
    <w:div w:id="1507938893">
      <w:bodyDiv w:val="1"/>
      <w:marLeft w:val="0"/>
      <w:marRight w:val="0"/>
      <w:marTop w:val="0"/>
      <w:marBottom w:val="0"/>
      <w:divBdr>
        <w:top w:val="none" w:sz="0" w:space="0" w:color="auto"/>
        <w:left w:val="none" w:sz="0" w:space="0" w:color="auto"/>
        <w:bottom w:val="none" w:sz="0" w:space="0" w:color="auto"/>
        <w:right w:val="none" w:sz="0" w:space="0" w:color="auto"/>
      </w:divBdr>
    </w:div>
    <w:div w:id="1541674393">
      <w:bodyDiv w:val="1"/>
      <w:marLeft w:val="0"/>
      <w:marRight w:val="0"/>
      <w:marTop w:val="0"/>
      <w:marBottom w:val="0"/>
      <w:divBdr>
        <w:top w:val="none" w:sz="0" w:space="0" w:color="auto"/>
        <w:left w:val="none" w:sz="0" w:space="0" w:color="auto"/>
        <w:bottom w:val="none" w:sz="0" w:space="0" w:color="auto"/>
        <w:right w:val="none" w:sz="0" w:space="0" w:color="auto"/>
      </w:divBdr>
    </w:div>
    <w:div w:id="1675381166">
      <w:bodyDiv w:val="1"/>
      <w:marLeft w:val="0"/>
      <w:marRight w:val="0"/>
      <w:marTop w:val="0"/>
      <w:marBottom w:val="0"/>
      <w:divBdr>
        <w:top w:val="none" w:sz="0" w:space="0" w:color="auto"/>
        <w:left w:val="none" w:sz="0" w:space="0" w:color="auto"/>
        <w:bottom w:val="none" w:sz="0" w:space="0" w:color="auto"/>
        <w:right w:val="none" w:sz="0" w:space="0" w:color="auto"/>
      </w:divBdr>
      <w:divsChild>
        <w:div w:id="1649482048">
          <w:marLeft w:val="446"/>
          <w:marRight w:val="0"/>
          <w:marTop w:val="0"/>
          <w:marBottom w:val="0"/>
          <w:divBdr>
            <w:top w:val="none" w:sz="0" w:space="0" w:color="auto"/>
            <w:left w:val="none" w:sz="0" w:space="0" w:color="auto"/>
            <w:bottom w:val="none" w:sz="0" w:space="0" w:color="auto"/>
            <w:right w:val="none" w:sz="0" w:space="0" w:color="auto"/>
          </w:divBdr>
        </w:div>
        <w:div w:id="814108755">
          <w:marLeft w:val="446"/>
          <w:marRight w:val="0"/>
          <w:marTop w:val="0"/>
          <w:marBottom w:val="0"/>
          <w:divBdr>
            <w:top w:val="none" w:sz="0" w:space="0" w:color="auto"/>
            <w:left w:val="none" w:sz="0" w:space="0" w:color="auto"/>
            <w:bottom w:val="none" w:sz="0" w:space="0" w:color="auto"/>
            <w:right w:val="none" w:sz="0" w:space="0" w:color="auto"/>
          </w:divBdr>
        </w:div>
        <w:div w:id="245000506">
          <w:marLeft w:val="446"/>
          <w:marRight w:val="0"/>
          <w:marTop w:val="0"/>
          <w:marBottom w:val="0"/>
          <w:divBdr>
            <w:top w:val="none" w:sz="0" w:space="0" w:color="auto"/>
            <w:left w:val="none" w:sz="0" w:space="0" w:color="auto"/>
            <w:bottom w:val="none" w:sz="0" w:space="0" w:color="auto"/>
            <w:right w:val="none" w:sz="0" w:space="0" w:color="auto"/>
          </w:divBdr>
        </w:div>
        <w:div w:id="294144855">
          <w:marLeft w:val="446"/>
          <w:marRight w:val="0"/>
          <w:marTop w:val="0"/>
          <w:marBottom w:val="0"/>
          <w:divBdr>
            <w:top w:val="none" w:sz="0" w:space="0" w:color="auto"/>
            <w:left w:val="none" w:sz="0" w:space="0" w:color="auto"/>
            <w:bottom w:val="none" w:sz="0" w:space="0" w:color="auto"/>
            <w:right w:val="none" w:sz="0" w:space="0" w:color="auto"/>
          </w:divBdr>
        </w:div>
        <w:div w:id="108865333">
          <w:marLeft w:val="446"/>
          <w:marRight w:val="0"/>
          <w:marTop w:val="0"/>
          <w:marBottom w:val="0"/>
          <w:divBdr>
            <w:top w:val="none" w:sz="0" w:space="0" w:color="auto"/>
            <w:left w:val="none" w:sz="0" w:space="0" w:color="auto"/>
            <w:bottom w:val="none" w:sz="0" w:space="0" w:color="auto"/>
            <w:right w:val="none" w:sz="0" w:space="0" w:color="auto"/>
          </w:divBdr>
        </w:div>
        <w:div w:id="728305785">
          <w:marLeft w:val="446"/>
          <w:marRight w:val="0"/>
          <w:marTop w:val="0"/>
          <w:marBottom w:val="0"/>
          <w:divBdr>
            <w:top w:val="none" w:sz="0" w:space="0" w:color="auto"/>
            <w:left w:val="none" w:sz="0" w:space="0" w:color="auto"/>
            <w:bottom w:val="none" w:sz="0" w:space="0" w:color="auto"/>
            <w:right w:val="none" w:sz="0" w:space="0" w:color="auto"/>
          </w:divBdr>
        </w:div>
      </w:divsChild>
    </w:div>
    <w:div w:id="1729068596">
      <w:bodyDiv w:val="1"/>
      <w:marLeft w:val="0"/>
      <w:marRight w:val="0"/>
      <w:marTop w:val="0"/>
      <w:marBottom w:val="0"/>
      <w:divBdr>
        <w:top w:val="none" w:sz="0" w:space="0" w:color="auto"/>
        <w:left w:val="none" w:sz="0" w:space="0" w:color="auto"/>
        <w:bottom w:val="none" w:sz="0" w:space="0" w:color="auto"/>
        <w:right w:val="none" w:sz="0" w:space="0" w:color="auto"/>
      </w:divBdr>
    </w:div>
    <w:div w:id="1780947848">
      <w:bodyDiv w:val="1"/>
      <w:marLeft w:val="0"/>
      <w:marRight w:val="0"/>
      <w:marTop w:val="0"/>
      <w:marBottom w:val="0"/>
      <w:divBdr>
        <w:top w:val="none" w:sz="0" w:space="0" w:color="auto"/>
        <w:left w:val="none" w:sz="0" w:space="0" w:color="auto"/>
        <w:bottom w:val="none" w:sz="0" w:space="0" w:color="auto"/>
        <w:right w:val="none" w:sz="0" w:space="0" w:color="auto"/>
      </w:divBdr>
      <w:divsChild>
        <w:div w:id="1127432041">
          <w:marLeft w:val="634"/>
          <w:marRight w:val="0"/>
          <w:marTop w:val="0"/>
          <w:marBottom w:val="60"/>
          <w:divBdr>
            <w:top w:val="none" w:sz="0" w:space="0" w:color="auto"/>
            <w:left w:val="none" w:sz="0" w:space="0" w:color="auto"/>
            <w:bottom w:val="none" w:sz="0" w:space="0" w:color="auto"/>
            <w:right w:val="none" w:sz="0" w:space="0" w:color="auto"/>
          </w:divBdr>
        </w:div>
      </w:divsChild>
    </w:div>
    <w:div w:id="1876650840">
      <w:bodyDiv w:val="1"/>
      <w:marLeft w:val="0"/>
      <w:marRight w:val="0"/>
      <w:marTop w:val="0"/>
      <w:marBottom w:val="0"/>
      <w:divBdr>
        <w:top w:val="none" w:sz="0" w:space="0" w:color="auto"/>
        <w:left w:val="none" w:sz="0" w:space="0" w:color="auto"/>
        <w:bottom w:val="none" w:sz="0" w:space="0" w:color="auto"/>
        <w:right w:val="none" w:sz="0" w:space="0" w:color="auto"/>
      </w:divBdr>
    </w:div>
    <w:div w:id="1906333942">
      <w:bodyDiv w:val="1"/>
      <w:marLeft w:val="0"/>
      <w:marRight w:val="0"/>
      <w:marTop w:val="0"/>
      <w:marBottom w:val="0"/>
      <w:divBdr>
        <w:top w:val="none" w:sz="0" w:space="0" w:color="auto"/>
        <w:left w:val="none" w:sz="0" w:space="0" w:color="auto"/>
        <w:bottom w:val="none" w:sz="0" w:space="0" w:color="auto"/>
        <w:right w:val="none" w:sz="0" w:space="0" w:color="auto"/>
      </w:divBdr>
    </w:div>
    <w:div w:id="1937983172">
      <w:bodyDiv w:val="1"/>
      <w:marLeft w:val="0"/>
      <w:marRight w:val="0"/>
      <w:marTop w:val="0"/>
      <w:marBottom w:val="0"/>
      <w:divBdr>
        <w:top w:val="none" w:sz="0" w:space="0" w:color="auto"/>
        <w:left w:val="none" w:sz="0" w:space="0" w:color="auto"/>
        <w:bottom w:val="none" w:sz="0" w:space="0" w:color="auto"/>
        <w:right w:val="none" w:sz="0" w:space="0" w:color="auto"/>
      </w:divBdr>
      <w:divsChild>
        <w:div w:id="1894659791">
          <w:marLeft w:val="274"/>
          <w:marRight w:val="0"/>
          <w:marTop w:val="0"/>
          <w:marBottom w:val="0"/>
          <w:divBdr>
            <w:top w:val="none" w:sz="0" w:space="0" w:color="auto"/>
            <w:left w:val="none" w:sz="0" w:space="0" w:color="auto"/>
            <w:bottom w:val="none" w:sz="0" w:space="0" w:color="auto"/>
            <w:right w:val="none" w:sz="0" w:space="0" w:color="auto"/>
          </w:divBdr>
        </w:div>
        <w:div w:id="1343777233">
          <w:marLeft w:val="274"/>
          <w:marRight w:val="0"/>
          <w:marTop w:val="0"/>
          <w:marBottom w:val="0"/>
          <w:divBdr>
            <w:top w:val="none" w:sz="0" w:space="0" w:color="auto"/>
            <w:left w:val="none" w:sz="0" w:space="0" w:color="auto"/>
            <w:bottom w:val="none" w:sz="0" w:space="0" w:color="auto"/>
            <w:right w:val="none" w:sz="0" w:space="0" w:color="auto"/>
          </w:divBdr>
        </w:div>
        <w:div w:id="1640375578">
          <w:marLeft w:val="274"/>
          <w:marRight w:val="0"/>
          <w:marTop w:val="0"/>
          <w:marBottom w:val="160"/>
          <w:divBdr>
            <w:top w:val="none" w:sz="0" w:space="0" w:color="auto"/>
            <w:left w:val="none" w:sz="0" w:space="0" w:color="auto"/>
            <w:bottom w:val="none" w:sz="0" w:space="0" w:color="auto"/>
            <w:right w:val="none" w:sz="0" w:space="0" w:color="auto"/>
          </w:divBdr>
        </w:div>
      </w:divsChild>
    </w:div>
    <w:div w:id="2010402465">
      <w:bodyDiv w:val="1"/>
      <w:marLeft w:val="0"/>
      <w:marRight w:val="0"/>
      <w:marTop w:val="0"/>
      <w:marBottom w:val="0"/>
      <w:divBdr>
        <w:top w:val="none" w:sz="0" w:space="0" w:color="auto"/>
        <w:left w:val="none" w:sz="0" w:space="0" w:color="auto"/>
        <w:bottom w:val="none" w:sz="0" w:space="0" w:color="auto"/>
        <w:right w:val="none" w:sz="0" w:space="0" w:color="auto"/>
      </w:divBdr>
    </w:div>
    <w:div w:id="2039767622">
      <w:bodyDiv w:val="1"/>
      <w:marLeft w:val="0"/>
      <w:marRight w:val="0"/>
      <w:marTop w:val="0"/>
      <w:marBottom w:val="0"/>
      <w:divBdr>
        <w:top w:val="none" w:sz="0" w:space="0" w:color="auto"/>
        <w:left w:val="none" w:sz="0" w:space="0" w:color="auto"/>
        <w:bottom w:val="none" w:sz="0" w:space="0" w:color="auto"/>
        <w:right w:val="none" w:sz="0" w:space="0" w:color="auto"/>
      </w:divBdr>
    </w:div>
    <w:div w:id="2131168518">
      <w:bodyDiv w:val="1"/>
      <w:marLeft w:val="0"/>
      <w:marRight w:val="0"/>
      <w:marTop w:val="0"/>
      <w:marBottom w:val="0"/>
      <w:divBdr>
        <w:top w:val="none" w:sz="0" w:space="0" w:color="auto"/>
        <w:left w:val="none" w:sz="0" w:space="0" w:color="auto"/>
        <w:bottom w:val="none" w:sz="0" w:space="0" w:color="auto"/>
        <w:right w:val="none" w:sz="0" w:space="0" w:color="auto"/>
      </w:divBdr>
      <w:divsChild>
        <w:div w:id="1981180626">
          <w:marLeft w:val="547"/>
          <w:marRight w:val="0"/>
          <w:marTop w:val="0"/>
          <w:marBottom w:val="40"/>
          <w:divBdr>
            <w:top w:val="none" w:sz="0" w:space="0" w:color="auto"/>
            <w:left w:val="none" w:sz="0" w:space="0" w:color="auto"/>
            <w:bottom w:val="none" w:sz="0" w:space="0" w:color="auto"/>
            <w:right w:val="none" w:sz="0" w:space="0" w:color="auto"/>
          </w:divBdr>
        </w:div>
        <w:div w:id="1298027829">
          <w:marLeft w:val="547"/>
          <w:marRight w:val="0"/>
          <w:marTop w:val="0"/>
          <w:marBottom w:val="40"/>
          <w:divBdr>
            <w:top w:val="none" w:sz="0" w:space="0" w:color="auto"/>
            <w:left w:val="none" w:sz="0" w:space="0" w:color="auto"/>
            <w:bottom w:val="none" w:sz="0" w:space="0" w:color="auto"/>
            <w:right w:val="none" w:sz="0" w:space="0" w:color="auto"/>
          </w:divBdr>
        </w:div>
        <w:div w:id="1858078356">
          <w:marLeft w:val="547"/>
          <w:marRight w:val="0"/>
          <w:marTop w:val="0"/>
          <w:marBottom w:val="40"/>
          <w:divBdr>
            <w:top w:val="none" w:sz="0" w:space="0" w:color="auto"/>
            <w:left w:val="none" w:sz="0" w:space="0" w:color="auto"/>
            <w:bottom w:val="none" w:sz="0" w:space="0" w:color="auto"/>
            <w:right w:val="none" w:sz="0" w:space="0" w:color="auto"/>
          </w:divBdr>
        </w:div>
        <w:div w:id="642537802">
          <w:marLeft w:val="547"/>
          <w:marRight w:val="0"/>
          <w:marTop w:val="0"/>
          <w:marBottom w:val="40"/>
          <w:divBdr>
            <w:top w:val="none" w:sz="0" w:space="0" w:color="auto"/>
            <w:left w:val="none" w:sz="0" w:space="0" w:color="auto"/>
            <w:bottom w:val="none" w:sz="0" w:space="0" w:color="auto"/>
            <w:right w:val="none" w:sz="0" w:space="0" w:color="auto"/>
          </w:divBdr>
        </w:div>
        <w:div w:id="1983844565">
          <w:marLeft w:val="547"/>
          <w:marRight w:val="0"/>
          <w:marTop w:val="0"/>
          <w:marBottom w:val="40"/>
          <w:divBdr>
            <w:top w:val="none" w:sz="0" w:space="0" w:color="auto"/>
            <w:left w:val="none" w:sz="0" w:space="0" w:color="auto"/>
            <w:bottom w:val="none" w:sz="0" w:space="0" w:color="auto"/>
            <w:right w:val="none" w:sz="0" w:space="0" w:color="auto"/>
          </w:divBdr>
        </w:div>
        <w:div w:id="1261792380">
          <w:marLeft w:val="547"/>
          <w:marRight w:val="0"/>
          <w:marTop w:val="0"/>
          <w:marBottom w:val="40"/>
          <w:divBdr>
            <w:top w:val="none" w:sz="0" w:space="0" w:color="auto"/>
            <w:left w:val="none" w:sz="0" w:space="0" w:color="auto"/>
            <w:bottom w:val="none" w:sz="0" w:space="0" w:color="auto"/>
            <w:right w:val="none" w:sz="0" w:space="0" w:color="auto"/>
          </w:divBdr>
        </w:div>
        <w:div w:id="1956599638">
          <w:marLeft w:val="547"/>
          <w:marRight w:val="0"/>
          <w:marTop w:val="0"/>
          <w:marBottom w:val="40"/>
          <w:divBdr>
            <w:top w:val="none" w:sz="0" w:space="0" w:color="auto"/>
            <w:left w:val="none" w:sz="0" w:space="0" w:color="auto"/>
            <w:bottom w:val="none" w:sz="0" w:space="0" w:color="auto"/>
            <w:right w:val="none" w:sz="0" w:space="0" w:color="auto"/>
          </w:divBdr>
        </w:div>
        <w:div w:id="314333717">
          <w:marLeft w:val="547"/>
          <w:marRight w:val="0"/>
          <w:marTop w:val="0"/>
          <w:marBottom w:val="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how-to/file-a-complaint-regarding-a-nursing-home-or-other-health-care-facility?_gl=1*lke0u4*_ga*MTc0NDExMDI2Ny4xNzI3NjI2NDY4*_ga_MCLPEGW7WM*MTczMzE1ODMxNC44Ni4xLjE3MzMxNTgzMzEuMC4wLjA." TargetMode="External"/><Relationship Id="rId18" Type="http://schemas.openxmlformats.org/officeDocument/2006/relationships/hyperlink" Target="https://www.mass.gov/doc/rest-home-task-force-bureau-of-health-care-safety-quality-data-summary-january-102025-0/download" TargetMode="External"/><Relationship Id="rId26" Type="http://schemas.openxmlformats.org/officeDocument/2006/relationships/hyperlink" Target="https://malegislature.gov/Laws/SessionLaws/Acts/2024/Chapter197" TargetMode="External"/><Relationship Id="rId39" Type="http://schemas.openxmlformats.org/officeDocument/2006/relationships/hyperlink" Target="https://www.mass.gov/doc/rest-home-task-force-approved-meeting-minutes-1102025-0/download" TargetMode="External"/><Relationship Id="rId21" Type="http://schemas.openxmlformats.org/officeDocument/2006/relationships/hyperlink" Target="https://www.mass.gov/doc/nursing-facility-task-force-final-report/download" TargetMode="External"/><Relationship Id="rId34" Type="http://schemas.openxmlformats.org/officeDocument/2006/relationships/hyperlink" Target="https://www.mass.gov/doc/condase-weekes-best-rhtf-presentation-0/download" TargetMode="External"/><Relationship Id="rId42" Type="http://schemas.openxmlformats.org/officeDocument/2006/relationships/hyperlink" Target="https://www.mass.gov/doc/rest-home-task-force-bureau-of-health-care-safety-quality-data-summary-january-102025-0/download" TargetMode="External"/><Relationship Id="rId47" Type="http://schemas.openxmlformats.org/officeDocument/2006/relationships/hyperlink" Target="https://www.mass.gov/doc/approved-meeting-minutes-february-7-2025-0/download" TargetMode="External"/><Relationship Id="rId50" Type="http://schemas.openxmlformats.org/officeDocument/2006/relationships/hyperlink" Target="https://www.mass.gov/doc/rhtf-nursing-facility-task-force-recommendations/download" TargetMode="External"/><Relationship Id="rId55" Type="http://schemas.openxmlformats.org/officeDocument/2006/relationships/theme" Target="theme/theme1.xml"/><Relationship Id="rId7" Type="http://schemas.openxmlformats.org/officeDocument/2006/relationships/hyperlink" Target="https://www.mass.gov/how-to/health-care-facility-initial-licensure-and-change-of-ownership" TargetMode="External"/><Relationship Id="rId2" Type="http://schemas.openxmlformats.org/officeDocument/2006/relationships/numbering" Target="numbering.xml"/><Relationship Id="rId16" Type="http://schemas.openxmlformats.org/officeDocument/2006/relationships/hyperlink" Target="https://www.mass.gov/doc/rest-home-task-force-bureau-of-health-care-safety-quality-data-summary-january-102025-0/download" TargetMode="External"/><Relationship Id="rId29" Type="http://schemas.openxmlformats.org/officeDocument/2006/relationships/hyperlink" Target="https://www.mass.gov/doc/rest-home-task-force-state-ethics-commission-primer-january-2025-0/download" TargetMode="External"/><Relationship Id="rId11" Type="http://schemas.openxmlformats.org/officeDocument/2006/relationships/hyperlink" Target="https://www.mass.gov/health-care-facility-reporting" TargetMode="External"/><Relationship Id="rId24" Type="http://schemas.openxmlformats.org/officeDocument/2006/relationships/hyperlink" Target="https://malegislature.gov/Laws/SessionLaws/Acts/2024/Chapter197" TargetMode="External"/><Relationship Id="rId32" Type="http://schemas.openxmlformats.org/officeDocument/2006/relationships/hyperlink" Target="https://www.mass.gov/doc/rest-home-payment-rate-overview-0/download" TargetMode="External"/><Relationship Id="rId37" Type="http://schemas.openxmlformats.org/officeDocument/2006/relationships/hyperlink" Target="https://www.mass.gov/doc/rhtf-proposed-recommendations-2-28-2025-0/download" TargetMode="External"/><Relationship Id="rId40" Type="http://schemas.openxmlformats.org/officeDocument/2006/relationships/hyperlink" Target="https://www.mass.gov/doc/rest-home-task-force-presentation-1-10-2025-0/download" TargetMode="External"/><Relationship Id="rId45" Type="http://schemas.openxmlformats.org/officeDocument/2006/relationships/hyperlink" Target="https://www.mass.gov/doc/rest-home-payment-rate-overview-0/download" TargetMode="External"/><Relationship Id="rId53" Type="http://schemas.openxmlformats.org/officeDocument/2006/relationships/hyperlink" Target="https://www.mass.gov/doc/rest-home-task-force-approved-meeting-minutes-3142025-0/download" TargetMode="External"/><Relationship Id="rId5" Type="http://schemas.openxmlformats.org/officeDocument/2006/relationships/webSettings" Target="webSettings.xml"/><Relationship Id="rId10" Type="http://schemas.openxmlformats.org/officeDocument/2006/relationships/hyperlink" Target="https://www.mass.gov/regulations/105-CMR-15500-patient-and-resident-abuse-prevention-reporting-investigation-penalties-and-registry?_gl=1*1tpqced*_ga*MTc0NDExMDI2Ny4xNzI3NjI2NDY4*_ga_MCLPEGW7WM*MTczMzE1MjMxOC44NS4xLjE3MzMxNTMwMzguMC4wLjA." TargetMode="External"/><Relationship Id="rId19" Type="http://schemas.openxmlformats.org/officeDocument/2006/relationships/hyperlink" Target="https://www.mass.gov/doc/rest-home-task-force-bureau-of-health-care-safety-quality-data-summary-january-102025-0/download" TargetMode="External"/><Relationship Id="rId31" Type="http://schemas.openxmlformats.org/officeDocument/2006/relationships/hyperlink" Target="https://www.mass.gov/doc/rest-home-task-force-march-statement-january-2025-0/download" TargetMode="External"/><Relationship Id="rId44" Type="http://schemas.openxmlformats.org/officeDocument/2006/relationships/hyperlink" Target="https://www.mass.gov/doc/rest-home-task-force-approved-meeting-minutes-1242025-0/download" TargetMode="External"/><Relationship Id="rId52" Type="http://schemas.openxmlformats.org/officeDocument/2006/relationships/hyperlink" Target="https://www.mass.gov/doc/rhtf-proposed-recommendations-2-28-2025-0/download" TargetMode="External"/><Relationship Id="rId4" Type="http://schemas.openxmlformats.org/officeDocument/2006/relationships/settings" Target="settings.xml"/><Relationship Id="rId9" Type="http://schemas.openxmlformats.org/officeDocument/2006/relationships/hyperlink" Target="https://www.mass.gov/regulations/105-CMR-15300-licensure-procedure-and-suitability-requirements-for-long-term-care-facilities?_gl=1*9fo3dm*_ga*MTc0NDExMDI2Ny4xNzI3NjI2NDY4*_ga_MCLPEGW7WM*MTczMzE1MjMxOC44NS4xLjE3MzMxNTMwMTkuMC4wLjA." TargetMode="External"/><Relationship Id="rId14" Type="http://schemas.openxmlformats.org/officeDocument/2006/relationships/hyperlink" Target="https://www.mass.gov/info-details/health-care-personnel-covid-influenza-vaccination-references-and-resources?_gl=1*14dgel5*_ga*MTc0NDExMDI2Ny4xNzI3NjI2NDY4*_ga_MCLPEGW7WM*MTczMzE2NzQ2Ni44Ny4xLjE3MzMxNjc3NTEuMC4wLjA." TargetMode="External"/><Relationship Id="rId22" Type="http://schemas.openxmlformats.org/officeDocument/2006/relationships/hyperlink" Target="https://www.mass.gov/doc/rest-home-payment-rate-overview-0/download" TargetMode="External"/><Relationship Id="rId27" Type="http://schemas.openxmlformats.org/officeDocument/2006/relationships/hyperlink" Target="https://www.mass.gov/doc/rest-home-task-force-presentation-1-10-2025-0/download" TargetMode="External"/><Relationship Id="rId30" Type="http://schemas.openxmlformats.org/officeDocument/2006/relationships/hyperlink" Target="https://www.mass.gov/doc/rest-home-task-force-bureau-of-health-care-safety-quality-data-summary-january-102025-0/download" TargetMode="External"/><Relationship Id="rId35" Type="http://schemas.openxmlformats.org/officeDocument/2006/relationships/hyperlink" Target="https://www.mass.gov/doc/rhtf-nursing-facility-task-force-recommendations/download" TargetMode="External"/><Relationship Id="rId43" Type="http://schemas.openxmlformats.org/officeDocument/2006/relationships/hyperlink" Target="https://www.mass.gov/doc/rest-home-task-force-march-statement-january-2025-0/download" TargetMode="External"/><Relationship Id="rId48" Type="http://schemas.openxmlformats.org/officeDocument/2006/relationships/hyperlink" Target="https://www.mass.gov/doc/march-rhtf-presentation/download" TargetMode="External"/><Relationship Id="rId8" Type="http://schemas.openxmlformats.org/officeDocument/2006/relationships/hyperlink" Target="https://www.mass.gov/regulations/105-CMR-15000-standards-for-long-term-care-facilities?_gl=1*13w1gi9*_ga*MTc0NDExMDI2Ny4xNzI3NjI2NDY4*_ga_MCLPEGW7WM*MTczMzE1MjMxOC44NS4xLjE3MzMxNTI5NjkuMC4wLjA." TargetMode="External"/><Relationship Id="rId51" Type="http://schemas.openxmlformats.org/officeDocument/2006/relationships/hyperlink" Target="https://www.mass.gov/doc/rest-home-task-force-approved-meeting-minutes-february-28-2025-0/download" TargetMode="External"/><Relationship Id="rId3" Type="http://schemas.openxmlformats.org/officeDocument/2006/relationships/styles" Target="styles.xml"/><Relationship Id="rId12" Type="http://schemas.openxmlformats.org/officeDocument/2006/relationships/hyperlink" Target="https://www.mass.gov/doc/consumerresidentpatient-complaint-form-0/download" TargetMode="External"/><Relationship Id="rId17" Type="http://schemas.openxmlformats.org/officeDocument/2006/relationships/hyperlink" Target="https://www.mass.gov/doc/rest-home-task-force-bureau-of-health-care-safety-quality-data-summary-january-102025-0/download" TargetMode="External"/><Relationship Id="rId25" Type="http://schemas.openxmlformats.org/officeDocument/2006/relationships/hyperlink" Target="https://malegislature.gov/Laws/SessionLaws/Acts/2024/Chapter238" TargetMode="External"/><Relationship Id="rId33" Type="http://schemas.openxmlformats.org/officeDocument/2006/relationships/hyperlink" Target="https://www.mass.gov/doc/march-rhtf-presentation/download" TargetMode="External"/><Relationship Id="rId38" Type="http://schemas.openxmlformats.org/officeDocument/2006/relationships/hyperlink" Target="https://www.mass.gov/info-details/rest-home-task-force-meeting-materials" TargetMode="External"/><Relationship Id="rId46" Type="http://schemas.openxmlformats.org/officeDocument/2006/relationships/hyperlink" Target="https://www.mass.gov/doc/rest-home-task-force-revised-calendar-0/download" TargetMode="External"/><Relationship Id="rId20" Type="http://schemas.openxmlformats.org/officeDocument/2006/relationships/hyperlink" Target="https://www.mass.gov/orgs/nursing-facility-task-force" TargetMode="External"/><Relationship Id="rId41" Type="http://schemas.openxmlformats.org/officeDocument/2006/relationships/hyperlink" Target="https://www.mass.gov/doc/rest-home-task-force-statute-january-2025-0/download"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mass.gov/guides/plan-review-for-health-care-facilities?_gl=1*984fr1*_ga*MTc0NDExMDI2Ny4xNzI3NjI2NDY4*_ga_MCLPEGW7WM*MTczMzE1MjMxOC44NS4wLjE3MzMxNTIzMTguMC4wLjA." TargetMode="External"/><Relationship Id="rId15" Type="http://schemas.openxmlformats.org/officeDocument/2006/relationships/hyperlink" Target="https://www.mass.gov/doc/105-cmr-150-standards-for-long-term-care-facilities/download" TargetMode="External"/><Relationship Id="rId23" Type="http://schemas.openxmlformats.org/officeDocument/2006/relationships/hyperlink" Target="https://malegislature.gov/Laws/SessionLaws/Acts/2024/Chapter238" TargetMode="External"/><Relationship Id="rId28" Type="http://schemas.openxmlformats.org/officeDocument/2006/relationships/hyperlink" Target="https://www.mass.gov/doc/open-meeting-law-guide-3/download" TargetMode="External"/><Relationship Id="rId36" Type="http://schemas.openxmlformats.org/officeDocument/2006/relationships/hyperlink" Target="https://www.mass.gov/doc/rest-home-task-force-micha-shalev-presentation-2282025-0/download" TargetMode="External"/><Relationship Id="rId49" Type="http://schemas.openxmlformats.org/officeDocument/2006/relationships/hyperlink" Target="https://www.mass.gov/doc/condase-weekes-best-rhtf-presentation-0/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10780</Words>
  <Characters>61449</Characters>
  <Application>Microsoft Office Word</Application>
  <DocSecurity>0</DocSecurity>
  <Lines>512</Lines>
  <Paragraphs>144</Paragraphs>
  <ScaleCrop>false</ScaleCrop>
  <HeadingPairs>
    <vt:vector size="4" baseType="variant">
      <vt:variant>
        <vt:lpstr>Title</vt:lpstr>
      </vt:variant>
      <vt:variant>
        <vt:i4>1</vt:i4>
      </vt:variant>
      <vt:variant>
        <vt:lpstr>Headings</vt:lpstr>
      </vt:variant>
      <vt:variant>
        <vt:i4>59</vt:i4>
      </vt:variant>
    </vt:vector>
  </HeadingPairs>
  <TitlesOfParts>
    <vt:vector size="60" baseType="lpstr">
      <vt:lpstr/>
      <vt:lpstr>Slide 1</vt:lpstr>
      <vt:lpstr>Slide 2</vt:lpstr>
      <vt:lpstr>Slide 3</vt:lpstr>
      <vt:lpstr>Slide 4</vt:lpstr>
      <vt:lpstr>Slide 5</vt:lpstr>
      <vt:lpstr>Slide 6</vt:lpstr>
      <vt:lpstr>Slide 7</vt:lpstr>
      <vt:lpstr>Slide 8</vt:lpstr>
      <vt:lpstr>Slide 9</vt:lpstr>
      <vt:lpstr>Slide 10</vt:lpstr>
      <vt:lpstr>Slide 11</vt:lpstr>
      <vt:lpstr>Slide 12</vt:lpstr>
      <vt:lpstr>Slide 13</vt:lpstr>
      <vt:lpstr>Slide 14</vt:lpstr>
      <vt:lpstr>Slide 15</vt:lpstr>
      <vt:lpstr>Slide 16</vt:lpstr>
      <vt:lpstr>Slide 17</vt:lpstr>
      <vt:lpstr>Slide 18</vt:lpstr>
      <vt:lpstr>Slide 19</vt:lpstr>
      <vt:lpstr>Slide 20</vt:lpstr>
      <vt:lpstr>Slide 21</vt:lpstr>
      <vt:lpstr>Slide 22</vt:lpstr>
      <vt:lpstr/>
      <vt:lpstr>Slide 23</vt:lpstr>
      <vt:lpstr/>
      <vt:lpstr>Slide 24</vt:lpstr>
      <vt:lpstr/>
      <vt:lpstr>Slide 25</vt:lpstr>
      <vt:lpstr>Slide 26</vt:lpstr>
      <vt:lpstr>Slide 27</vt:lpstr>
      <vt:lpstr>Slide 28</vt:lpstr>
      <vt:lpstr>Slide 29</vt:lpstr>
      <vt:lpstr>Slide 30</vt:lpstr>
      <vt:lpstr>Slide 31</vt:lpstr>
      <vt:lpstr>Slide 32</vt:lpstr>
      <vt:lpstr>Slide 33</vt:lpstr>
      <vt:lpstr>Slide 34</vt:lpstr>
      <vt:lpstr>Slide 35</vt:lpstr>
      <vt:lpstr>Slide 36</vt:lpstr>
      <vt:lpstr>Slide 37</vt:lpstr>
      <vt:lpstr>Slide 38</vt:lpstr>
      <vt:lpstr>Slide 39</vt:lpstr>
      <vt:lpstr>Slide 40</vt:lpstr>
      <vt:lpstr>Slide 41</vt:lpstr>
      <vt:lpstr>Slide 42</vt:lpstr>
      <vt:lpstr>Slide 43</vt:lpstr>
      <vt:lpstr>Slide 44</vt:lpstr>
      <vt:lpstr>Slide 45</vt:lpstr>
      <vt:lpstr>Slide 46</vt:lpstr>
      <vt:lpstr>Slide 47</vt:lpstr>
      <vt:lpstr>Slide 48</vt:lpstr>
      <vt:lpstr>Slide 49</vt:lpstr>
      <vt:lpstr>Slide 50</vt:lpstr>
      <vt:lpstr>Slide 51</vt:lpstr>
      <vt:lpstr>Slide 52</vt:lpstr>
      <vt:lpstr/>
      <vt:lpstr>Slide 53</vt:lpstr>
      <vt:lpstr/>
      <vt:lpstr>Slide 54</vt:lpstr>
    </vt:vector>
  </TitlesOfParts>
  <Manager/>
  <Company/>
  <LinksUpToDate>false</LinksUpToDate>
  <CharactersWithSpaces>72085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Leblanc, Donna M (EHS)</cp:lastModifiedBy>
  <cp:revision>3</cp:revision>
  <dcterms:created xsi:type="dcterms:W3CDTF">2025-04-07T16:41:00Z</dcterms:created>
  <dcterms:modified xsi:type="dcterms:W3CDTF">2025-04-07T16:41:00Z</dcterms:modified>
  <cp:category/>
</cp:coreProperties>
</file>