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75473240" w:rsidR="00C71B4C" w:rsidRDefault="008F39C0" w:rsidP="0031623E">
      <w:pPr>
        <w:rPr>
          <w:sz w:val="52"/>
          <w:szCs w:val="52"/>
        </w:rPr>
      </w:pPr>
      <w:r>
        <w:rPr>
          <w:sz w:val="52"/>
          <w:szCs w:val="52"/>
        </w:rPr>
        <w:t>Rest Home Task F</w:t>
      </w:r>
      <w:r w:rsidR="00C9008D" w:rsidRPr="00C9008D">
        <w:rPr>
          <w:sz w:val="52"/>
          <w:szCs w:val="52"/>
        </w:rPr>
        <w:t>o</w:t>
      </w:r>
      <w:r w:rsidR="00393C79">
        <w:rPr>
          <w:sz w:val="52"/>
          <w:szCs w:val="52"/>
        </w:rPr>
        <w:t>rce</w:t>
      </w:r>
    </w:p>
    <w:p w14:paraId="78F20935" w14:textId="77777777" w:rsidR="00C9008D" w:rsidRPr="005F0E38" w:rsidRDefault="00C9008D" w:rsidP="0031623E"/>
    <w:p w14:paraId="480DC519" w14:textId="205329F2" w:rsidR="008F39C0" w:rsidRPr="008F39C0" w:rsidRDefault="008F39C0" w:rsidP="008F39C0">
      <w:pPr>
        <w:rPr>
          <w:b/>
          <w:bCs/>
        </w:rPr>
      </w:pPr>
      <w:r>
        <w:rPr>
          <w:b/>
          <w:bCs/>
        </w:rPr>
        <w:t>K</w:t>
      </w:r>
      <w:r w:rsidRPr="008F39C0">
        <w:rPr>
          <w:b/>
          <w:bCs/>
        </w:rPr>
        <w:t>iame Mahaniah, MD, MBA</w:t>
      </w:r>
    </w:p>
    <w:p w14:paraId="534F2BA5" w14:textId="77777777" w:rsidR="008F39C0" w:rsidRPr="008F39C0" w:rsidRDefault="008F39C0" w:rsidP="008F39C0">
      <w:pPr>
        <w:rPr>
          <w:b/>
          <w:bCs/>
        </w:rPr>
      </w:pPr>
      <w:r w:rsidRPr="008F39C0">
        <w:rPr>
          <w:b/>
          <w:bCs/>
        </w:rPr>
        <w:t>Undersecretary for Health</w:t>
      </w:r>
    </w:p>
    <w:p w14:paraId="1F4A316F" w14:textId="0DBBDFC5" w:rsidR="008F39C0" w:rsidRPr="008F39C0" w:rsidRDefault="008F39C0" w:rsidP="008F39C0">
      <w:pPr>
        <w:rPr>
          <w:b/>
          <w:bCs/>
        </w:rPr>
      </w:pPr>
      <w:r w:rsidRPr="008F39C0">
        <w:rPr>
          <w:b/>
          <w:bCs/>
        </w:rPr>
        <w:t>Executive Office of Health and Human Services</w:t>
      </w:r>
    </w:p>
    <w:p w14:paraId="3E52E8DB" w14:textId="77777777" w:rsidR="008F39C0" w:rsidRDefault="008F39C0" w:rsidP="008F39C0">
      <w:pPr>
        <w:rPr>
          <w:b/>
          <w:bCs/>
        </w:rPr>
      </w:pPr>
    </w:p>
    <w:p w14:paraId="7C5736A7" w14:textId="3775D401" w:rsidR="008F39C0" w:rsidRPr="008F39C0" w:rsidRDefault="008F39C0" w:rsidP="008F39C0">
      <w:pPr>
        <w:rPr>
          <w:b/>
          <w:bCs/>
        </w:rPr>
      </w:pPr>
      <w:r w:rsidRPr="008F39C0">
        <w:rPr>
          <w:b/>
          <w:bCs/>
        </w:rPr>
        <w:t>January 10, 2025</w:t>
      </w:r>
    </w:p>
    <w:p w14:paraId="38D8A1E0" w14:textId="77777777" w:rsidR="008F39C0" w:rsidRPr="008F39C0" w:rsidRDefault="008F39C0" w:rsidP="008F39C0">
      <w:pPr>
        <w:rPr>
          <w:b/>
          <w:bCs/>
        </w:rPr>
      </w:pPr>
      <w:r w:rsidRPr="008F39C0">
        <w:rPr>
          <w:b/>
          <w:bCs/>
        </w:rPr>
        <w:t>10:30 am - 12:00 pm</w:t>
      </w:r>
    </w:p>
    <w:p w14:paraId="2366BD38" w14:textId="77777777" w:rsidR="008F39C0" w:rsidRDefault="008F39C0" w:rsidP="00C9008D">
      <w:pPr>
        <w:rPr>
          <w:b/>
          <w:bCs/>
        </w:rPr>
      </w:pPr>
    </w:p>
    <w:p w14:paraId="396DF5D2" w14:textId="317CFF9B" w:rsidR="00C9008D" w:rsidRPr="00B13739" w:rsidRDefault="00D77767" w:rsidP="00C9008D">
      <w:pPr>
        <w:rPr>
          <w:b/>
          <w:bCs/>
        </w:rPr>
      </w:pPr>
      <w:r w:rsidRPr="00B13739">
        <w:rPr>
          <w:b/>
          <w:bCs/>
        </w:rPr>
        <w:t xml:space="preserve">Virtual / </w:t>
      </w:r>
      <w:r w:rsidR="00C9008D" w:rsidRPr="00B13739">
        <w:rPr>
          <w:b/>
          <w:bCs/>
        </w:rPr>
        <w:t>Zoom</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2C29DD1A" w14:textId="77777777" w:rsidR="00995BBE" w:rsidRDefault="00C9008D" w:rsidP="00995BBE">
      <w:pPr>
        <w:numPr>
          <w:ilvl w:val="0"/>
          <w:numId w:val="1"/>
        </w:numPr>
      </w:pPr>
      <w:r w:rsidRPr="00C9008D">
        <w:t>Welcome</w:t>
      </w:r>
    </w:p>
    <w:p w14:paraId="60C6915F" w14:textId="77777777" w:rsidR="00995BBE" w:rsidRDefault="00995BBE" w:rsidP="00995BBE">
      <w:pPr>
        <w:numPr>
          <w:ilvl w:val="0"/>
          <w:numId w:val="1"/>
        </w:numPr>
      </w:pPr>
      <w:r w:rsidRPr="00995BBE">
        <w:t>Oath of Office</w:t>
      </w:r>
    </w:p>
    <w:p w14:paraId="393BFBEC" w14:textId="77777777" w:rsidR="00995BBE" w:rsidRDefault="00995BBE" w:rsidP="00995BBE">
      <w:pPr>
        <w:numPr>
          <w:ilvl w:val="0"/>
          <w:numId w:val="1"/>
        </w:numPr>
      </w:pPr>
      <w:r w:rsidRPr="00995BBE">
        <w:t>Open Meeting Law and Conflict of Interest Overview</w:t>
      </w:r>
    </w:p>
    <w:p w14:paraId="16B40A18" w14:textId="77777777" w:rsidR="00995BBE" w:rsidRDefault="00995BBE" w:rsidP="00995BBE">
      <w:pPr>
        <w:numPr>
          <w:ilvl w:val="0"/>
          <w:numId w:val="1"/>
        </w:numPr>
      </w:pPr>
      <w:r w:rsidRPr="00995BBE">
        <w:t>Member Introductions</w:t>
      </w:r>
    </w:p>
    <w:p w14:paraId="6C8BE32C" w14:textId="77777777" w:rsidR="00995BBE" w:rsidRDefault="00995BBE" w:rsidP="00995BBE">
      <w:pPr>
        <w:numPr>
          <w:ilvl w:val="0"/>
          <w:numId w:val="1"/>
        </w:numPr>
      </w:pPr>
      <w:r w:rsidRPr="00995BBE">
        <w:t>Task Force’s Charge</w:t>
      </w:r>
    </w:p>
    <w:p w14:paraId="2EF6F81F" w14:textId="77777777" w:rsidR="00995BBE" w:rsidRDefault="00995BBE" w:rsidP="00995BBE">
      <w:pPr>
        <w:numPr>
          <w:ilvl w:val="0"/>
          <w:numId w:val="1"/>
        </w:numPr>
      </w:pPr>
      <w:r w:rsidRPr="00995BBE">
        <w:t>Goals and Expectations</w:t>
      </w:r>
    </w:p>
    <w:p w14:paraId="0342F0F7" w14:textId="0B998550" w:rsidR="009D56F4" w:rsidRDefault="009D56F4" w:rsidP="00995BBE">
      <w:pPr>
        <w:numPr>
          <w:ilvl w:val="0"/>
          <w:numId w:val="1"/>
        </w:numPr>
      </w:pPr>
      <w:r>
        <w:t>Rest Home Licensing, Reporting Structure, and Existing Data</w:t>
      </w:r>
    </w:p>
    <w:p w14:paraId="5CAF527F" w14:textId="054A0232" w:rsidR="00995BBE" w:rsidRDefault="00995BBE" w:rsidP="00995BBE">
      <w:pPr>
        <w:numPr>
          <w:ilvl w:val="0"/>
          <w:numId w:val="1"/>
        </w:numPr>
      </w:pPr>
      <w:r w:rsidRPr="00995BBE">
        <w:t>Upcoming Meetings and Next Steps</w:t>
      </w:r>
    </w:p>
    <w:p w14:paraId="2F34A567" w14:textId="46C2380F" w:rsidR="00B92012" w:rsidRPr="00C9008D" w:rsidRDefault="00B92012" w:rsidP="00995BBE">
      <w:pPr>
        <w:ind w:left="360"/>
      </w:pP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2FDCA7C0" w:rsidR="005F0E38" w:rsidRPr="005F0E38" w:rsidRDefault="00710530" w:rsidP="005F0E38">
      <w:pPr>
        <w:pStyle w:val="Heading2"/>
      </w:pPr>
      <w:r>
        <w:t>Oath of Offic</w:t>
      </w:r>
      <w:r w:rsidR="00B92012" w:rsidRPr="00B92012">
        <w:t>e</w:t>
      </w:r>
    </w:p>
    <w:p w14:paraId="7867D836" w14:textId="77777777" w:rsidR="008E7424" w:rsidRDefault="008E7424" w:rsidP="00C71B4C">
      <w:pPr>
        <w:rPr>
          <w:b/>
          <w:bCs/>
        </w:rPr>
      </w:pPr>
    </w:p>
    <w:p w14:paraId="115E7738" w14:textId="77777777" w:rsidR="00710530" w:rsidRPr="00710530" w:rsidRDefault="00710530" w:rsidP="00710530"/>
    <w:p w14:paraId="7010633A" w14:textId="77777777" w:rsidR="00710530" w:rsidRPr="00710530" w:rsidRDefault="00710530" w:rsidP="00710530">
      <w:r w:rsidRPr="00710530">
        <w:t>I, (STATE YOUR NAME), do solemnly swear that I will bear true faith and allegiance to the Commonwealth of Massachusetts, and will support the Constitution thereof – So help me God.</w:t>
      </w:r>
    </w:p>
    <w:p w14:paraId="3FBB97A4" w14:textId="2A4A3EDC" w:rsidR="00710530" w:rsidRPr="00710530" w:rsidRDefault="00710530" w:rsidP="00710530">
      <w:r w:rsidRPr="00710530">
        <w:t xml:space="preserve">I, (STATE YOUR NAME), do solemnly swear and affirm that I will faithfully and impartially discharge and perform all the duties incumbent on me as a member of the </w:t>
      </w:r>
      <w:r w:rsidR="009D56F4">
        <w:t>Rest Home T</w:t>
      </w:r>
      <w:r w:rsidRPr="00710530">
        <w:t>ask Force, according to the best of my abilities and understanding, agreeably, to the rules and regulations of the Constitution, and the laws of this Commonwealth – So help me God.</w:t>
      </w:r>
    </w:p>
    <w:p w14:paraId="1AB533E4" w14:textId="77777777" w:rsidR="00710530" w:rsidRPr="00710530" w:rsidRDefault="00710530" w:rsidP="00710530"/>
    <w:p w14:paraId="7CC25DEE" w14:textId="349465FB" w:rsidR="00710530" w:rsidRDefault="00710530" w:rsidP="00710530">
      <w:r w:rsidRPr="00710530">
        <w:t>I, (STATE YOUR NAME), do solemnly swear that I will support the Constitution of the United States.</w:t>
      </w:r>
    </w:p>
    <w:p w14:paraId="65DF8E17" w14:textId="3A3A5EBC" w:rsidR="00B92012" w:rsidRPr="00B92012" w:rsidRDefault="00B92012" w:rsidP="00B92012"/>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755BE9E7" w:rsidR="00AF4867" w:rsidRPr="005F0E38" w:rsidRDefault="007B6CCA" w:rsidP="00AF4867">
      <w:pPr>
        <w:pStyle w:val="Heading2"/>
      </w:pPr>
      <w:r>
        <w:t>Open Meeting Law and Confl</w:t>
      </w:r>
      <w:r w:rsidR="00B92012">
        <w:t>i</w:t>
      </w:r>
      <w:r>
        <w:t>ct of Interest Overview</w:t>
      </w:r>
    </w:p>
    <w:p w14:paraId="2D3D3EAB" w14:textId="77777777" w:rsidR="00AF4867" w:rsidRDefault="00AF4867" w:rsidP="00AF4867">
      <w:pPr>
        <w:rPr>
          <w:b/>
          <w:bCs/>
        </w:rPr>
      </w:pPr>
    </w:p>
    <w:p w14:paraId="6FDB7CC8" w14:textId="77777777" w:rsidR="007B6CCA" w:rsidRPr="007B6CCA" w:rsidRDefault="007B6CCA" w:rsidP="007B6CCA"/>
    <w:p w14:paraId="524EEAB5" w14:textId="77777777" w:rsidR="007B6CCA" w:rsidRPr="007B6CCA" w:rsidRDefault="007B6CCA" w:rsidP="007B6CCA">
      <w:pPr>
        <w:rPr>
          <w:b/>
          <w:bCs/>
        </w:rPr>
      </w:pPr>
      <w:r w:rsidRPr="007B6CCA">
        <w:rPr>
          <w:b/>
          <w:bCs/>
        </w:rPr>
        <w:t>Lauren Cleary</w:t>
      </w:r>
    </w:p>
    <w:p w14:paraId="388F0AE1" w14:textId="77777777" w:rsidR="007B6CCA" w:rsidRPr="007B6CCA" w:rsidRDefault="007B6CCA" w:rsidP="007B6CCA">
      <w:r w:rsidRPr="007B6CCA">
        <w:t>Associate General Counsel</w:t>
      </w:r>
    </w:p>
    <w:p w14:paraId="62A12D82" w14:textId="77777777" w:rsidR="007B6CCA" w:rsidRPr="007B6CCA" w:rsidRDefault="007B6CCA" w:rsidP="007B6CCA">
      <w:r w:rsidRPr="007B6CCA">
        <w:t>Executive Office of Health and Human Services</w:t>
      </w:r>
    </w:p>
    <w:p w14:paraId="5C5BB0E9" w14:textId="77777777" w:rsidR="007B6CCA" w:rsidRPr="007B6CCA" w:rsidRDefault="007B6CCA" w:rsidP="007B6CCA"/>
    <w:p w14:paraId="449ECEEF" w14:textId="77777777" w:rsidR="007B6CCA" w:rsidRPr="007B6CCA" w:rsidRDefault="007B6CCA" w:rsidP="007B6CCA"/>
    <w:p w14:paraId="1B757D12" w14:textId="77777777" w:rsidR="007B6CCA" w:rsidRPr="007B6CCA" w:rsidRDefault="007B6CCA" w:rsidP="007B6CCA">
      <w:pPr>
        <w:rPr>
          <w:b/>
          <w:bCs/>
        </w:rPr>
      </w:pPr>
      <w:r w:rsidRPr="007B6CCA">
        <w:rPr>
          <w:b/>
          <w:bCs/>
        </w:rPr>
        <w:t>David Giannotti</w:t>
      </w:r>
    </w:p>
    <w:p w14:paraId="054BD1A4" w14:textId="77777777" w:rsidR="007B6CCA" w:rsidRPr="007B6CCA" w:rsidRDefault="007B6CCA" w:rsidP="007B6CCA">
      <w:r w:rsidRPr="007B6CCA">
        <w:t>Public Education and Communications Division Chief</w:t>
      </w:r>
    </w:p>
    <w:p w14:paraId="1D6014BB" w14:textId="48B63999" w:rsidR="007B6CCA" w:rsidRDefault="007B6CCA" w:rsidP="007B6CCA">
      <w:r w:rsidRPr="007B6CCA">
        <w:t>State Ethics Commission</w:t>
      </w:r>
    </w:p>
    <w:p w14:paraId="1D59B607" w14:textId="77777777" w:rsidR="007B6CCA" w:rsidRDefault="007B6CCA" w:rsidP="007B6CCA"/>
    <w:p w14:paraId="4559B924" w14:textId="00E19497" w:rsidR="00B92012" w:rsidRDefault="00B92012" w:rsidP="007B6CCA"/>
    <w:p w14:paraId="258EADBE" w14:textId="77777777" w:rsidR="007B6CCA" w:rsidRDefault="007B6CCA">
      <w:r>
        <w:br w:type="page"/>
      </w:r>
    </w:p>
    <w:p w14:paraId="7744BCE1" w14:textId="078F752B" w:rsidR="007B6CCA" w:rsidRDefault="007B6CCA" w:rsidP="007B6CCA">
      <w:r w:rsidRPr="00B93233">
        <w:t>Slid</w:t>
      </w:r>
      <w:r>
        <w:t>e 5</w:t>
      </w:r>
    </w:p>
    <w:p w14:paraId="230F09B6" w14:textId="65B87DC6" w:rsidR="007B6CCA" w:rsidRPr="005F0E38" w:rsidRDefault="007B6CCA" w:rsidP="007B6CCA">
      <w:pPr>
        <w:pStyle w:val="Heading2"/>
      </w:pPr>
      <w:r>
        <w:t>Task Force Members</w:t>
      </w:r>
    </w:p>
    <w:p w14:paraId="12F45C45" w14:textId="77777777" w:rsidR="007B6CCA" w:rsidRDefault="007B6CCA" w:rsidP="007B6CCA">
      <w:pPr>
        <w:rPr>
          <w:b/>
          <w:bCs/>
        </w:rPr>
      </w:pPr>
    </w:p>
    <w:p w14:paraId="770484D0" w14:textId="77777777" w:rsidR="009D56F4" w:rsidRPr="009D56F4" w:rsidRDefault="009D56F4" w:rsidP="009D56F4">
      <w:r w:rsidRPr="009D56F4">
        <w:rPr>
          <w:b/>
          <w:bCs/>
        </w:rPr>
        <w:t xml:space="preserve">Kiame Mahaniah </w:t>
      </w:r>
      <w:r w:rsidRPr="009D56F4">
        <w:rPr>
          <w:i/>
          <w:iCs/>
        </w:rPr>
        <w:t>(Chair)</w:t>
      </w:r>
    </w:p>
    <w:p w14:paraId="0368235E" w14:textId="77777777" w:rsidR="009D56F4" w:rsidRPr="009D56F4" w:rsidRDefault="009D56F4" w:rsidP="009D56F4">
      <w:r w:rsidRPr="009D56F4">
        <w:t>Executive Office of Health and Human Services</w:t>
      </w:r>
    </w:p>
    <w:p w14:paraId="41C1A5D8" w14:textId="77777777" w:rsidR="009D56F4" w:rsidRDefault="009D56F4" w:rsidP="009D56F4">
      <w:pPr>
        <w:rPr>
          <w:b/>
          <w:bCs/>
        </w:rPr>
      </w:pPr>
    </w:p>
    <w:p w14:paraId="4D216DBE" w14:textId="53FD9172" w:rsidR="009D56F4" w:rsidRPr="009D56F4" w:rsidRDefault="009D56F4" w:rsidP="009D56F4">
      <w:r w:rsidRPr="009D56F4">
        <w:rPr>
          <w:b/>
          <w:bCs/>
        </w:rPr>
        <w:t>Judy Bernice</w:t>
      </w:r>
    </w:p>
    <w:p w14:paraId="167BEC64" w14:textId="77777777" w:rsidR="009D56F4" w:rsidRPr="009D56F4" w:rsidRDefault="009D56F4" w:rsidP="009D56F4">
      <w:r w:rsidRPr="009D56F4">
        <w:t>Bureau of Health Care Safety and Quality, Department of Public Health</w:t>
      </w:r>
    </w:p>
    <w:p w14:paraId="63E82AE9" w14:textId="77777777" w:rsidR="009D56F4" w:rsidRDefault="009D56F4" w:rsidP="009D56F4">
      <w:pPr>
        <w:rPr>
          <w:b/>
          <w:bCs/>
        </w:rPr>
      </w:pPr>
    </w:p>
    <w:p w14:paraId="2B286E0E" w14:textId="3D042ABB" w:rsidR="009D56F4" w:rsidRPr="009D56F4" w:rsidRDefault="009D56F4" w:rsidP="009D56F4">
      <w:r w:rsidRPr="009D56F4">
        <w:rPr>
          <w:b/>
          <w:bCs/>
        </w:rPr>
        <w:t>Scune Carrington</w:t>
      </w:r>
    </w:p>
    <w:p w14:paraId="4912CBA1" w14:textId="77777777" w:rsidR="009D56F4" w:rsidRPr="009D56F4" w:rsidRDefault="009D56F4" w:rsidP="009D56F4">
      <w:proofErr w:type="spellStart"/>
      <w:r w:rsidRPr="009D56F4">
        <w:t>BennuCare</w:t>
      </w:r>
      <w:proofErr w:type="spellEnd"/>
      <w:r w:rsidRPr="009D56F4">
        <w:t>, Appointee of the Governor</w:t>
      </w:r>
    </w:p>
    <w:p w14:paraId="464EB5FF" w14:textId="77777777" w:rsidR="009D56F4" w:rsidRDefault="009D56F4" w:rsidP="009D56F4">
      <w:pPr>
        <w:rPr>
          <w:b/>
          <w:bCs/>
        </w:rPr>
      </w:pPr>
    </w:p>
    <w:p w14:paraId="711AB055" w14:textId="5CC32AD3" w:rsidR="009D56F4" w:rsidRPr="009D56F4" w:rsidRDefault="009D56F4" w:rsidP="009D56F4">
      <w:r w:rsidRPr="009D56F4">
        <w:rPr>
          <w:b/>
          <w:bCs/>
        </w:rPr>
        <w:t>Kim Clougherty</w:t>
      </w:r>
    </w:p>
    <w:p w14:paraId="27EBACB5" w14:textId="77777777" w:rsidR="009D56F4" w:rsidRPr="009D56F4" w:rsidRDefault="009D56F4" w:rsidP="009D56F4">
      <w:r w:rsidRPr="009D56F4">
        <w:t>Department of Mental Health</w:t>
      </w:r>
    </w:p>
    <w:p w14:paraId="04B0C76E" w14:textId="77777777" w:rsidR="009D56F4" w:rsidRDefault="009D56F4" w:rsidP="009D56F4">
      <w:pPr>
        <w:rPr>
          <w:b/>
          <w:bCs/>
        </w:rPr>
      </w:pPr>
    </w:p>
    <w:p w14:paraId="174D711A" w14:textId="0F6083E6" w:rsidR="009D56F4" w:rsidRPr="009D56F4" w:rsidRDefault="009D56F4" w:rsidP="009D56F4">
      <w:r w:rsidRPr="009D56F4">
        <w:rPr>
          <w:b/>
          <w:bCs/>
        </w:rPr>
        <w:t>Emily Cooper</w:t>
      </w:r>
    </w:p>
    <w:p w14:paraId="10F8A1A7" w14:textId="77777777" w:rsidR="009D56F4" w:rsidRPr="009D56F4" w:rsidRDefault="009D56F4" w:rsidP="009D56F4">
      <w:r w:rsidRPr="009D56F4">
        <w:t xml:space="preserve">MassHealth, Executive Office of Elder Affairs </w:t>
      </w:r>
    </w:p>
    <w:p w14:paraId="73A29548" w14:textId="77777777" w:rsidR="009D56F4" w:rsidRDefault="009D56F4" w:rsidP="009D56F4">
      <w:pPr>
        <w:rPr>
          <w:b/>
          <w:bCs/>
        </w:rPr>
      </w:pPr>
    </w:p>
    <w:p w14:paraId="2D5E47C7" w14:textId="0CDF7545" w:rsidR="009D56F4" w:rsidRPr="009D56F4" w:rsidRDefault="009D56F4" w:rsidP="009D56F4">
      <w:r w:rsidRPr="009D56F4">
        <w:rPr>
          <w:b/>
          <w:bCs/>
        </w:rPr>
        <w:t>Tracey Cravedi</w:t>
      </w:r>
    </w:p>
    <w:p w14:paraId="14F47B68" w14:textId="77777777" w:rsidR="009D56F4" w:rsidRPr="009D56F4" w:rsidRDefault="009D56F4" w:rsidP="009D56F4">
      <w:r w:rsidRPr="009D56F4">
        <w:t>Hale House, Appointee of the Governor</w:t>
      </w:r>
    </w:p>
    <w:p w14:paraId="74F081CB" w14:textId="77777777" w:rsidR="009D56F4" w:rsidRDefault="009D56F4" w:rsidP="009D56F4">
      <w:pPr>
        <w:rPr>
          <w:b/>
          <w:bCs/>
        </w:rPr>
      </w:pPr>
    </w:p>
    <w:p w14:paraId="022EFDA8" w14:textId="3F45D45B" w:rsidR="009D56F4" w:rsidRPr="009D56F4" w:rsidRDefault="009D56F4" w:rsidP="009D56F4">
      <w:r w:rsidRPr="009D56F4">
        <w:rPr>
          <w:b/>
          <w:bCs/>
        </w:rPr>
        <w:t>Moses Dixon</w:t>
      </w:r>
    </w:p>
    <w:p w14:paraId="5FC5C456" w14:textId="77777777" w:rsidR="009D56F4" w:rsidRPr="009D56F4" w:rsidRDefault="009D56F4" w:rsidP="009D56F4">
      <w:r w:rsidRPr="009D56F4">
        <w:t>Central Massachusetts Agency on Aging</w:t>
      </w:r>
    </w:p>
    <w:p w14:paraId="0ABA864D" w14:textId="77777777" w:rsidR="009D56F4" w:rsidRDefault="009D56F4" w:rsidP="009D56F4">
      <w:pPr>
        <w:rPr>
          <w:b/>
          <w:bCs/>
        </w:rPr>
      </w:pPr>
    </w:p>
    <w:p w14:paraId="4109FAD3" w14:textId="49B047AD" w:rsidR="009D56F4" w:rsidRPr="009D56F4" w:rsidRDefault="009D56F4" w:rsidP="009D56F4">
      <w:r w:rsidRPr="009D56F4">
        <w:rPr>
          <w:b/>
          <w:bCs/>
        </w:rPr>
        <w:t>Pam Edwards</w:t>
      </w:r>
    </w:p>
    <w:p w14:paraId="36E84A7E" w14:textId="77777777" w:rsidR="009D56F4" w:rsidRPr="009D56F4" w:rsidRDefault="009D56F4" w:rsidP="009D56F4">
      <w:r w:rsidRPr="009D56F4">
        <w:t>Mass Senior Action Council, Appointee of the Governor</w:t>
      </w:r>
    </w:p>
    <w:p w14:paraId="286100AF" w14:textId="77777777" w:rsidR="009D56F4" w:rsidRDefault="009D56F4" w:rsidP="009D56F4">
      <w:pPr>
        <w:rPr>
          <w:b/>
          <w:bCs/>
        </w:rPr>
      </w:pPr>
    </w:p>
    <w:p w14:paraId="087E9573" w14:textId="30BEF245" w:rsidR="009D56F4" w:rsidRPr="009D56F4" w:rsidRDefault="009D56F4" w:rsidP="009D56F4">
      <w:r w:rsidRPr="009D56F4">
        <w:rPr>
          <w:b/>
          <w:bCs/>
        </w:rPr>
        <w:t>Sen. Patricia Jehlen</w:t>
      </w:r>
    </w:p>
    <w:p w14:paraId="7B380FCD" w14:textId="77777777" w:rsidR="009D56F4" w:rsidRPr="009D56F4" w:rsidRDefault="009D56F4" w:rsidP="009D56F4">
      <w:r w:rsidRPr="009D56F4">
        <w:t>Joint Committee on Elder Affairs</w:t>
      </w:r>
    </w:p>
    <w:p w14:paraId="2A882AF5" w14:textId="77777777" w:rsidR="009D56F4" w:rsidRDefault="009D56F4" w:rsidP="009D56F4">
      <w:pPr>
        <w:rPr>
          <w:b/>
          <w:bCs/>
        </w:rPr>
      </w:pPr>
    </w:p>
    <w:p w14:paraId="30C32010" w14:textId="07FA5B2B" w:rsidR="009D56F4" w:rsidRPr="009D56F4" w:rsidRDefault="009D56F4" w:rsidP="009D56F4">
      <w:r w:rsidRPr="009D56F4">
        <w:rPr>
          <w:b/>
          <w:bCs/>
        </w:rPr>
        <w:t>Megan Nicholls</w:t>
      </w:r>
    </w:p>
    <w:p w14:paraId="48B1D191" w14:textId="77777777" w:rsidR="009D56F4" w:rsidRPr="009D56F4" w:rsidRDefault="009D56F4" w:rsidP="009D56F4">
      <w:r w:rsidRPr="009D56F4">
        <w:t>Department of Transitional Assistance</w:t>
      </w:r>
    </w:p>
    <w:p w14:paraId="11C32F4D" w14:textId="77777777" w:rsidR="009D56F4" w:rsidRDefault="009D56F4" w:rsidP="009D56F4">
      <w:pPr>
        <w:rPr>
          <w:b/>
          <w:bCs/>
        </w:rPr>
      </w:pPr>
    </w:p>
    <w:p w14:paraId="68C173A7" w14:textId="2C63F538" w:rsidR="009D56F4" w:rsidRPr="009D56F4" w:rsidRDefault="009D56F4" w:rsidP="009D56F4">
      <w:r w:rsidRPr="009D56F4">
        <w:rPr>
          <w:b/>
          <w:bCs/>
        </w:rPr>
        <w:t>Sen. Patrick O’Connor</w:t>
      </w:r>
    </w:p>
    <w:p w14:paraId="607EAE8C" w14:textId="77777777" w:rsidR="009D56F4" w:rsidRPr="009D56F4" w:rsidRDefault="009D56F4" w:rsidP="009D56F4">
      <w:r w:rsidRPr="009D56F4">
        <w:t>Massachusetts Senate</w:t>
      </w:r>
    </w:p>
    <w:p w14:paraId="175472D8" w14:textId="77777777" w:rsidR="009D56F4" w:rsidRDefault="009D56F4" w:rsidP="009D56F4">
      <w:pPr>
        <w:rPr>
          <w:b/>
          <w:bCs/>
        </w:rPr>
      </w:pPr>
    </w:p>
    <w:p w14:paraId="76FB2BBD" w14:textId="44E4C488" w:rsidR="009D56F4" w:rsidRPr="009D56F4" w:rsidRDefault="009D56F4" w:rsidP="009D56F4">
      <w:r w:rsidRPr="009D56F4">
        <w:rPr>
          <w:b/>
          <w:bCs/>
        </w:rPr>
        <w:t>Ron Pawelski</w:t>
      </w:r>
    </w:p>
    <w:p w14:paraId="1CC9EDAB" w14:textId="77777777" w:rsidR="009D56F4" w:rsidRPr="009D56F4" w:rsidRDefault="009D56F4" w:rsidP="009D56F4">
      <w:r w:rsidRPr="009D56F4">
        <w:t>Massachusetts Association of Residential Care Homes (MARCH), Appointee of the Governor</w:t>
      </w:r>
    </w:p>
    <w:p w14:paraId="65764317" w14:textId="77777777" w:rsidR="009D56F4" w:rsidRDefault="009D56F4" w:rsidP="009D56F4">
      <w:pPr>
        <w:rPr>
          <w:b/>
          <w:bCs/>
        </w:rPr>
      </w:pPr>
    </w:p>
    <w:p w14:paraId="09AF8447" w14:textId="1DC68F5A" w:rsidR="009D56F4" w:rsidRPr="009D56F4" w:rsidRDefault="009D56F4" w:rsidP="009D56F4">
      <w:r w:rsidRPr="009D56F4">
        <w:rPr>
          <w:b/>
          <w:bCs/>
        </w:rPr>
        <w:t>Rep. Thomas Stanley</w:t>
      </w:r>
    </w:p>
    <w:p w14:paraId="2D725263" w14:textId="77777777" w:rsidR="009D56F4" w:rsidRPr="009D56F4" w:rsidRDefault="009D56F4" w:rsidP="009D56F4">
      <w:r w:rsidRPr="009D56F4">
        <w:t>Joint Committee on Elder Affairs</w:t>
      </w:r>
    </w:p>
    <w:p w14:paraId="528DDBD8" w14:textId="77777777" w:rsidR="009D56F4" w:rsidRDefault="009D56F4" w:rsidP="009D56F4">
      <w:pPr>
        <w:rPr>
          <w:b/>
          <w:bCs/>
        </w:rPr>
      </w:pPr>
    </w:p>
    <w:p w14:paraId="15CF7B75" w14:textId="04F8A991" w:rsidR="009D56F4" w:rsidRPr="009D56F4" w:rsidRDefault="009D56F4" w:rsidP="009D56F4">
      <w:r w:rsidRPr="009D56F4">
        <w:rPr>
          <w:b/>
          <w:bCs/>
        </w:rPr>
        <w:t>Pavel Terpelets</w:t>
      </w:r>
    </w:p>
    <w:p w14:paraId="53BFE2A9" w14:textId="77777777" w:rsidR="009D56F4" w:rsidRPr="009D56F4" w:rsidRDefault="009D56F4" w:rsidP="009D56F4">
      <w:r w:rsidRPr="009D56F4">
        <w:t>Office of Long Term Services and Supports, MassHealth</w:t>
      </w:r>
    </w:p>
    <w:p w14:paraId="19254899" w14:textId="09C632AB" w:rsidR="007B6CCA" w:rsidRDefault="007B6CCA" w:rsidP="007B6CCA"/>
    <w:p w14:paraId="3F7BFD4A" w14:textId="77777777" w:rsidR="007B6CCA" w:rsidRDefault="007B6CCA" w:rsidP="007B6CCA"/>
    <w:p w14:paraId="65D7193B" w14:textId="77777777" w:rsidR="007B6CCA" w:rsidRDefault="007B6CCA" w:rsidP="00B92012">
      <w:pPr>
        <w:pStyle w:val="ListParagraph"/>
        <w:ind w:left="360"/>
      </w:pPr>
    </w:p>
    <w:p w14:paraId="3640C76D" w14:textId="77777777" w:rsidR="007B6CCA" w:rsidRDefault="007B6CCA">
      <w:r>
        <w:br w:type="page"/>
      </w:r>
    </w:p>
    <w:p w14:paraId="12679BDE" w14:textId="5C4AA24A" w:rsidR="007B6CCA" w:rsidRDefault="007B6CCA" w:rsidP="007B6CCA">
      <w:r w:rsidRPr="00B93233">
        <w:t>Slid</w:t>
      </w:r>
      <w:r>
        <w:t>e 6</w:t>
      </w:r>
    </w:p>
    <w:p w14:paraId="6478FB7E" w14:textId="5164E337" w:rsidR="007B6CCA" w:rsidRPr="002544B0" w:rsidRDefault="007B6CCA" w:rsidP="002544B0">
      <w:pPr>
        <w:pStyle w:val="Heading2"/>
      </w:pPr>
      <w:r>
        <w:t>Task Force’s Charge</w:t>
      </w:r>
    </w:p>
    <w:p w14:paraId="3D3CE87F" w14:textId="77777777" w:rsidR="007B6CCA" w:rsidRDefault="007B6CCA" w:rsidP="007B6CCA">
      <w:pPr>
        <w:rPr>
          <w:b/>
          <w:bCs/>
        </w:rPr>
      </w:pPr>
    </w:p>
    <w:p w14:paraId="2D24A85E" w14:textId="17F3CB8C" w:rsidR="009D56F4" w:rsidRPr="009D56F4" w:rsidRDefault="007B6CCA" w:rsidP="009D56F4">
      <w:r w:rsidRPr="007B6CCA">
        <w:rPr>
          <w:b/>
          <w:bCs/>
          <w:u w:val="single"/>
        </w:rPr>
        <w:t>L</w:t>
      </w:r>
      <w:r w:rsidR="009D56F4" w:rsidRPr="009D56F4">
        <w:rPr>
          <w:b/>
          <w:bCs/>
          <w:u w:val="single"/>
        </w:rPr>
        <w:t>egal Authority:</w:t>
      </w:r>
      <w:r w:rsidR="009D56F4" w:rsidRPr="009D56F4">
        <w:rPr>
          <w:b/>
          <w:bCs/>
        </w:rPr>
        <w:t xml:space="preserve"> </w:t>
      </w:r>
      <w:r w:rsidR="009D56F4" w:rsidRPr="009D56F4">
        <w:t>Section 27 of Chapter 197 of the Acts of 2024</w:t>
      </w:r>
    </w:p>
    <w:p w14:paraId="53A3EDBC" w14:textId="77777777" w:rsidR="005F33B6" w:rsidRDefault="005F33B6" w:rsidP="009D56F4">
      <w:pPr>
        <w:rPr>
          <w:b/>
          <w:bCs/>
          <w:u w:val="single"/>
        </w:rPr>
      </w:pPr>
    </w:p>
    <w:p w14:paraId="725BDA9D" w14:textId="3163904F" w:rsidR="009D56F4" w:rsidRPr="009D56F4" w:rsidRDefault="009D56F4" w:rsidP="009D56F4">
      <w:r w:rsidRPr="009D56F4">
        <w:rPr>
          <w:b/>
          <w:bCs/>
          <w:u w:val="single"/>
        </w:rPr>
        <w:t>Link:</w:t>
      </w:r>
      <w:r w:rsidRPr="009D56F4">
        <w:rPr>
          <w:b/>
          <w:bCs/>
        </w:rPr>
        <w:t xml:space="preserve"> </w:t>
      </w:r>
      <w:hyperlink r:id="rId6" w:history="1">
        <w:r w:rsidRPr="009D56F4">
          <w:rPr>
            <w:rStyle w:val="Hyperlink"/>
          </w:rPr>
          <w:t>https://malegislature.gov/Laws/SessionLaws/Acts/2024/</w:t>
        </w:r>
      </w:hyperlink>
      <w:hyperlink r:id="rId7" w:history="1">
        <w:r w:rsidRPr="009D56F4">
          <w:rPr>
            <w:rStyle w:val="Hyperlink"/>
          </w:rPr>
          <w:t>Chapter197</w:t>
        </w:r>
      </w:hyperlink>
    </w:p>
    <w:p w14:paraId="48DEA947" w14:textId="77777777" w:rsidR="009D56F4" w:rsidRPr="009D56F4" w:rsidRDefault="009D56F4" w:rsidP="009D56F4">
      <w:r w:rsidRPr="009D56F4">
        <w:t> </w:t>
      </w:r>
    </w:p>
    <w:p w14:paraId="2110E688" w14:textId="77777777" w:rsidR="009D56F4" w:rsidRPr="009D56F4" w:rsidRDefault="009D56F4" w:rsidP="009D56F4">
      <w:r w:rsidRPr="009D56F4">
        <w:rPr>
          <w:b/>
          <w:bCs/>
          <w:u w:val="single"/>
        </w:rPr>
        <w:t>Summary:</w:t>
      </w:r>
      <w:r w:rsidRPr="009D56F4">
        <w:rPr>
          <w:b/>
          <w:bCs/>
        </w:rPr>
        <w:t xml:space="preserve"> </w:t>
      </w:r>
      <w:r w:rsidRPr="009D56F4">
        <w:t>The Executive Office of Health and Human services shall establish a Task Force to evaluate the governance and regulatory structure of rest homes in the Commonwealth.</w:t>
      </w:r>
    </w:p>
    <w:p w14:paraId="2068ABCD" w14:textId="77777777" w:rsidR="009D56F4" w:rsidRDefault="009D56F4" w:rsidP="009D56F4">
      <w:r w:rsidRPr="009D56F4">
        <w:t>Specifically, the Task Force shall examine the following:</w:t>
      </w:r>
    </w:p>
    <w:p w14:paraId="02B6944A" w14:textId="77777777" w:rsidR="005F33B6" w:rsidRPr="009D56F4" w:rsidRDefault="005F33B6" w:rsidP="009D56F4"/>
    <w:p w14:paraId="6A939A62" w14:textId="77777777" w:rsidR="009D56F4" w:rsidRPr="009D56F4" w:rsidRDefault="009D56F4" w:rsidP="009D56F4">
      <w:pPr>
        <w:numPr>
          <w:ilvl w:val="1"/>
          <w:numId w:val="54"/>
        </w:numPr>
      </w:pPr>
      <w:r w:rsidRPr="009D56F4">
        <w:t xml:space="preserve">the licensing, regulatory and reporting structure for rest </w:t>
      </w:r>
      <w:proofErr w:type="gramStart"/>
      <w:r w:rsidRPr="009D56F4">
        <w:t>homes;</w:t>
      </w:r>
      <w:proofErr w:type="gramEnd"/>
    </w:p>
    <w:p w14:paraId="3B96834F" w14:textId="77777777" w:rsidR="009D56F4" w:rsidRPr="009D56F4" w:rsidRDefault="009D56F4" w:rsidP="009D56F4">
      <w:pPr>
        <w:numPr>
          <w:ilvl w:val="1"/>
          <w:numId w:val="54"/>
        </w:numPr>
      </w:pPr>
      <w:r w:rsidRPr="009D56F4">
        <w:t xml:space="preserve">an inventory of licensed rest homes and licensed rest home </w:t>
      </w:r>
      <w:proofErr w:type="gramStart"/>
      <w:r w:rsidRPr="009D56F4">
        <w:t>beds;</w:t>
      </w:r>
      <w:proofErr w:type="gramEnd"/>
    </w:p>
    <w:p w14:paraId="18384225" w14:textId="77777777" w:rsidR="009D56F4" w:rsidRPr="009D56F4" w:rsidRDefault="009D56F4" w:rsidP="009D56F4">
      <w:pPr>
        <w:numPr>
          <w:ilvl w:val="1"/>
          <w:numId w:val="54"/>
        </w:numPr>
      </w:pPr>
      <w:r w:rsidRPr="009D56F4">
        <w:t xml:space="preserve">the location and service areas of existing rest </w:t>
      </w:r>
      <w:proofErr w:type="gramStart"/>
      <w:r w:rsidRPr="009D56F4">
        <w:t>homes;</w:t>
      </w:r>
      <w:proofErr w:type="gramEnd"/>
    </w:p>
    <w:p w14:paraId="414E541E" w14:textId="77777777" w:rsidR="009D56F4" w:rsidRPr="009D56F4" w:rsidRDefault="009D56F4" w:rsidP="009D56F4">
      <w:pPr>
        <w:numPr>
          <w:ilvl w:val="1"/>
          <w:numId w:val="54"/>
        </w:numPr>
      </w:pPr>
      <w:proofErr w:type="gramStart"/>
      <w:r w:rsidRPr="009D56F4">
        <w:t>a review</w:t>
      </w:r>
      <w:proofErr w:type="gramEnd"/>
      <w:r w:rsidRPr="009D56F4">
        <w:t xml:space="preserve"> of rest home closures since </w:t>
      </w:r>
      <w:proofErr w:type="gramStart"/>
      <w:r w:rsidRPr="009D56F4">
        <w:t>2015;</w:t>
      </w:r>
      <w:proofErr w:type="gramEnd"/>
    </w:p>
    <w:p w14:paraId="74FDD218" w14:textId="77777777" w:rsidR="009D56F4" w:rsidRPr="009D56F4" w:rsidRDefault="009D56F4" w:rsidP="009D56F4">
      <w:pPr>
        <w:numPr>
          <w:ilvl w:val="1"/>
          <w:numId w:val="54"/>
        </w:numPr>
      </w:pPr>
      <w:proofErr w:type="gramStart"/>
      <w:r w:rsidRPr="009D56F4">
        <w:t>a review</w:t>
      </w:r>
      <w:proofErr w:type="gramEnd"/>
      <w:r w:rsidRPr="009D56F4">
        <w:t xml:space="preserve"> of the recommendations implemented from the nursing facility task force </w:t>
      </w:r>
      <w:proofErr w:type="gramStart"/>
      <w:r w:rsidRPr="009D56F4">
        <w:t>report;</w:t>
      </w:r>
      <w:proofErr w:type="gramEnd"/>
    </w:p>
    <w:p w14:paraId="4871E2B2" w14:textId="77777777" w:rsidR="009D56F4" w:rsidRPr="009D56F4" w:rsidRDefault="009D56F4" w:rsidP="009D56F4">
      <w:pPr>
        <w:numPr>
          <w:ilvl w:val="1"/>
          <w:numId w:val="54"/>
        </w:numPr>
      </w:pPr>
      <w:r w:rsidRPr="009D56F4">
        <w:t>the feasibility of receiving federal reimbursement for rest home expenses; and</w:t>
      </w:r>
    </w:p>
    <w:p w14:paraId="5412A9CB" w14:textId="77777777" w:rsidR="009D56F4" w:rsidRDefault="009D56F4" w:rsidP="009D56F4">
      <w:pPr>
        <w:numPr>
          <w:ilvl w:val="1"/>
          <w:numId w:val="54"/>
        </w:numPr>
      </w:pPr>
      <w:r w:rsidRPr="009D56F4">
        <w:t>a review of the current rate structure for rest homes compared to the actual cost of care to residents.</w:t>
      </w:r>
    </w:p>
    <w:p w14:paraId="135D80F8" w14:textId="77777777" w:rsidR="009D56F4" w:rsidRPr="009D56F4" w:rsidRDefault="009D56F4" w:rsidP="005F33B6">
      <w:pPr>
        <w:ind w:left="1440"/>
      </w:pPr>
    </w:p>
    <w:p w14:paraId="6B08B67F" w14:textId="77777777" w:rsidR="009D56F4" w:rsidRPr="009D56F4" w:rsidRDefault="009D56F4" w:rsidP="009D56F4">
      <w:r w:rsidRPr="009D56F4">
        <w:t xml:space="preserve">The task force shall submit a report of its findings, including any recommendations or proposed legislation necessary to carry out its recommendations, to the clerks of the house of representatives and the senate and to the house and senate committees on ways and means, not later than </w:t>
      </w:r>
      <w:r w:rsidRPr="009D56F4">
        <w:rPr>
          <w:u w:val="single"/>
        </w:rPr>
        <w:t>April 1, 2025</w:t>
      </w:r>
      <w:r w:rsidRPr="009D56F4">
        <w:t>.</w:t>
      </w:r>
    </w:p>
    <w:p w14:paraId="761C013C" w14:textId="485CDA04" w:rsidR="007B6CCA" w:rsidRPr="007B6CCA" w:rsidRDefault="007B6CCA" w:rsidP="007B6CCA"/>
    <w:p w14:paraId="0708B202" w14:textId="77777777" w:rsidR="007B6CCA" w:rsidRDefault="007B6CCA"/>
    <w:p w14:paraId="1EB49FEA" w14:textId="77777777" w:rsidR="007B6CCA" w:rsidRDefault="007B6CCA"/>
    <w:p w14:paraId="7922278A" w14:textId="77777777" w:rsidR="005F33B6" w:rsidRDefault="005F33B6">
      <w:r>
        <w:br w:type="page"/>
      </w:r>
    </w:p>
    <w:p w14:paraId="04D2F5E2" w14:textId="79A63A94" w:rsidR="005F33B6" w:rsidRDefault="005F33B6" w:rsidP="005F33B6">
      <w:r w:rsidRPr="00B93233">
        <w:t>Slid</w:t>
      </w:r>
      <w:r>
        <w:t xml:space="preserve">e </w:t>
      </w:r>
      <w:r>
        <w:t>7</w:t>
      </w:r>
    </w:p>
    <w:p w14:paraId="2C2F83F8" w14:textId="1481BDAB" w:rsidR="005F33B6" w:rsidRPr="002544B0" w:rsidRDefault="005F33B6" w:rsidP="005F33B6">
      <w:pPr>
        <w:pStyle w:val="Heading2"/>
      </w:pPr>
      <w:r>
        <w:t>Re</w:t>
      </w:r>
      <w:r>
        <w:t>s</w:t>
      </w:r>
      <w:r>
        <w:t>t Home Licensing, Reporting Structure, and Existing Data</w:t>
      </w:r>
    </w:p>
    <w:p w14:paraId="35E682A8" w14:textId="77777777" w:rsidR="005F33B6" w:rsidRDefault="005F33B6" w:rsidP="005F33B6">
      <w:pPr>
        <w:rPr>
          <w:b/>
          <w:bCs/>
        </w:rPr>
      </w:pPr>
    </w:p>
    <w:p w14:paraId="6A1C34A8" w14:textId="679DF1E1" w:rsidR="005F33B6" w:rsidRPr="005F33B6" w:rsidRDefault="005F33B6" w:rsidP="005F33B6">
      <w:pPr>
        <w:rPr>
          <w:b/>
          <w:bCs/>
        </w:rPr>
      </w:pPr>
      <w:r w:rsidRPr="005F33B6">
        <w:rPr>
          <w:b/>
          <w:bCs/>
        </w:rPr>
        <w:t>J</w:t>
      </w:r>
      <w:r w:rsidRPr="005F33B6">
        <w:rPr>
          <w:b/>
          <w:bCs/>
        </w:rPr>
        <w:t xml:space="preserve">udy Bernice MBA, </w:t>
      </w:r>
      <w:proofErr w:type="spellStart"/>
      <w:r w:rsidRPr="005F33B6">
        <w:rPr>
          <w:b/>
          <w:bCs/>
        </w:rPr>
        <w:t>FACHE</w:t>
      </w:r>
      <w:proofErr w:type="spellEnd"/>
    </w:p>
    <w:p w14:paraId="571D10EF" w14:textId="77777777" w:rsidR="005F33B6" w:rsidRPr="005F33B6" w:rsidRDefault="005F33B6" w:rsidP="005F33B6">
      <w:r w:rsidRPr="005F33B6">
        <w:t>Licensure Unit Manager</w:t>
      </w:r>
    </w:p>
    <w:p w14:paraId="111F7CFD" w14:textId="77777777" w:rsidR="005F33B6" w:rsidRPr="005F33B6" w:rsidRDefault="005F33B6" w:rsidP="005F33B6">
      <w:r w:rsidRPr="005F33B6">
        <w:t>Bureau of Health Care Safety &amp; Quality, DPH</w:t>
      </w:r>
    </w:p>
    <w:p w14:paraId="000AB96D" w14:textId="77777777" w:rsidR="005F33B6" w:rsidRPr="005F33B6" w:rsidRDefault="005F33B6" w:rsidP="005F33B6">
      <w:pPr>
        <w:rPr>
          <w:b/>
          <w:bCs/>
        </w:rPr>
      </w:pPr>
    </w:p>
    <w:p w14:paraId="367830F6" w14:textId="77777777" w:rsidR="005F33B6" w:rsidRPr="005F33B6" w:rsidRDefault="005F33B6" w:rsidP="005F33B6">
      <w:pPr>
        <w:rPr>
          <w:b/>
          <w:bCs/>
        </w:rPr>
      </w:pPr>
    </w:p>
    <w:p w14:paraId="3BFB2735" w14:textId="77777777" w:rsidR="005F33B6" w:rsidRPr="005F33B6" w:rsidRDefault="005F33B6" w:rsidP="005F33B6">
      <w:pPr>
        <w:rPr>
          <w:b/>
          <w:bCs/>
        </w:rPr>
      </w:pPr>
      <w:r w:rsidRPr="005F33B6">
        <w:rPr>
          <w:b/>
          <w:bCs/>
        </w:rPr>
        <w:t>Katherine C. Saunders, MS</w:t>
      </w:r>
    </w:p>
    <w:p w14:paraId="2D1BFB90" w14:textId="77777777" w:rsidR="005F33B6" w:rsidRPr="005F33B6" w:rsidRDefault="005F33B6" w:rsidP="005F33B6">
      <w:r w:rsidRPr="005F33B6">
        <w:t>Director, Division of Quality Improvement</w:t>
      </w:r>
    </w:p>
    <w:p w14:paraId="0E4C854F" w14:textId="258E9EF4" w:rsidR="005F33B6" w:rsidRPr="005F33B6" w:rsidRDefault="005F33B6" w:rsidP="005F33B6">
      <w:r w:rsidRPr="005F33B6">
        <w:t>Bureau of Health Care Safety &amp; Quality, DPH</w:t>
      </w:r>
    </w:p>
    <w:p w14:paraId="5380874A" w14:textId="77777777" w:rsidR="005F33B6" w:rsidRDefault="005F33B6"/>
    <w:p w14:paraId="63959755" w14:textId="77777777" w:rsidR="007B6CCA" w:rsidRDefault="007B6CCA">
      <w:r>
        <w:br w:type="page"/>
      </w:r>
    </w:p>
    <w:p w14:paraId="51DB5683" w14:textId="208149FF" w:rsidR="00CD22D3" w:rsidRDefault="00CD22D3" w:rsidP="00CD22D3">
      <w:r w:rsidRPr="00B93233">
        <w:t>Slid</w:t>
      </w:r>
      <w:r>
        <w:t xml:space="preserve">e </w:t>
      </w:r>
      <w:r w:rsidR="005F33B6">
        <w:t>8</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9890" w:type="dxa"/>
        <w:tblCellMar>
          <w:left w:w="0" w:type="dxa"/>
          <w:right w:w="0" w:type="dxa"/>
        </w:tblCellMar>
        <w:tblLook w:val="0420" w:firstRow="1" w:lastRow="0" w:firstColumn="0" w:lastColumn="0" w:noHBand="0" w:noVBand="1"/>
      </w:tblPr>
      <w:tblGrid>
        <w:gridCol w:w="5840"/>
        <w:gridCol w:w="1980"/>
        <w:gridCol w:w="2070"/>
      </w:tblGrid>
      <w:tr w:rsidR="006A7B0B" w:rsidRPr="006A7B0B" w14:paraId="75D0F272" w14:textId="77777777" w:rsidTr="00E02B32">
        <w:trPr>
          <w:trHeight w:val="144"/>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6A7B0B" w:rsidRPr="006A7B0B" w:rsidRDefault="006A7B0B" w:rsidP="006A7B0B">
            <w:r w:rsidRPr="006A7B0B">
              <w:rPr>
                <w:b/>
                <w:bCs/>
              </w:rPr>
              <w:t>Date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CFB748" w14:textId="77777777" w:rsidR="006A7B0B" w:rsidRPr="006A7B0B" w:rsidRDefault="006A7B0B" w:rsidP="00E02B32">
            <w:pPr>
              <w:jc w:val="center"/>
            </w:pPr>
            <w:r w:rsidRPr="006A7B0B">
              <w:rPr>
                <w:b/>
                <w:bCs/>
              </w:rPr>
              <w:t>Time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B71C98" w14:textId="77777777" w:rsidR="006A7B0B" w:rsidRPr="006A7B0B" w:rsidRDefault="006A7B0B" w:rsidP="00E02B32">
            <w:pPr>
              <w:jc w:val="center"/>
            </w:pPr>
            <w:r w:rsidRPr="006A7B0B">
              <w:rPr>
                <w:b/>
                <w:bCs/>
              </w:rPr>
              <w:t>Location</w:t>
            </w:r>
          </w:p>
        </w:tc>
      </w:tr>
      <w:tr w:rsidR="00E02B32" w:rsidRPr="00920C67" w14:paraId="02D999D8" w14:textId="77777777" w:rsidTr="00E02B32">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BF808B" w14:textId="5751F315" w:rsidR="00E02B32" w:rsidRPr="00E02B32" w:rsidRDefault="00E02B32" w:rsidP="00E02B32">
            <w:r w:rsidRPr="00E02B32">
              <w:rPr>
                <w:rFonts w:ascii="Calibri" w:eastAsiaTheme="minorEastAsia" w:hAnsi="Calibri" w:cs="Calibri"/>
                <w:color w:val="000000" w:themeColor="text1"/>
                <w:kern w:val="24"/>
              </w:rPr>
              <w:t>Friday, January 10</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B31B88" w14:textId="2FEB5436" w:rsidR="00E02B32" w:rsidRPr="00E02B32" w:rsidRDefault="00E02B32" w:rsidP="00E02B32">
            <w:pPr>
              <w:jc w:val="center"/>
            </w:pPr>
            <w:r w:rsidRPr="00E02B32">
              <w:rPr>
                <w:rFonts w:ascii="Calibri" w:eastAsiaTheme="minorEastAsia" w:hAnsi="Calibri" w:cs="Calibri"/>
                <w:color w:val="000000" w:themeColor="text1"/>
                <w:kern w:val="24"/>
              </w:rPr>
              <w:t>10:30 am – 12:00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33EB61" w14:textId="13ADF92F" w:rsidR="00E02B32" w:rsidRPr="00E02B32" w:rsidRDefault="00E02B32" w:rsidP="00E02B32">
            <w:pPr>
              <w:jc w:val="center"/>
            </w:pPr>
            <w:r w:rsidRPr="00E02B32">
              <w:rPr>
                <w:rFonts w:ascii="Calibri" w:hAnsi="Calibri" w:cs="Calibri"/>
                <w:color w:val="000000" w:themeColor="text1"/>
                <w:kern w:val="24"/>
              </w:rPr>
              <w:t>Virtual / Zoom</w:t>
            </w:r>
          </w:p>
        </w:tc>
      </w:tr>
      <w:tr w:rsidR="00E02B32" w:rsidRPr="00920C67" w14:paraId="59C3600B" w14:textId="77777777" w:rsidTr="00E02B32">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EFB062" w14:textId="0A70FF97" w:rsidR="00E02B32" w:rsidRPr="00E02B32" w:rsidRDefault="00E02B32" w:rsidP="00E02B32">
            <w:r w:rsidRPr="00E02B32">
              <w:rPr>
                <w:rFonts w:ascii="Calibri" w:eastAsiaTheme="minorEastAsia" w:hAnsi="Calibri" w:cs="Calibri"/>
                <w:color w:val="000000" w:themeColor="text1"/>
                <w:kern w:val="24"/>
              </w:rPr>
              <w:t>Friday, January 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4E934B" w14:textId="13BE9C6F" w:rsidR="00E02B32" w:rsidRPr="00E02B32" w:rsidRDefault="00E02B32" w:rsidP="00E02B32">
            <w:pPr>
              <w:jc w:val="center"/>
            </w:pPr>
            <w:r w:rsidRPr="00E02B32">
              <w:rPr>
                <w:rFonts w:ascii="Calibri" w:eastAsiaTheme="minorEastAsia" w:hAnsi="Calibri" w:cs="Calibri"/>
                <w:color w:val="000000" w:themeColor="text1"/>
                <w:kern w:val="24"/>
              </w:rPr>
              <w:t>10:30 am – 12:00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75802E" w14:textId="7122BAA7" w:rsidR="00E02B32" w:rsidRPr="00E02B32" w:rsidRDefault="00E02B32" w:rsidP="00E02B32">
            <w:pPr>
              <w:jc w:val="center"/>
            </w:pPr>
            <w:r w:rsidRPr="00E02B32">
              <w:rPr>
                <w:rFonts w:ascii="Calibri" w:hAnsi="Calibri" w:cs="Calibri"/>
                <w:color w:val="000000" w:themeColor="text1"/>
                <w:kern w:val="24"/>
              </w:rPr>
              <w:t>Virtual / Zoom</w:t>
            </w:r>
          </w:p>
        </w:tc>
      </w:tr>
      <w:tr w:rsidR="00E02B32" w:rsidRPr="00920C67" w14:paraId="6075C93B" w14:textId="77777777" w:rsidTr="00E02B32">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485F3D" w14:textId="5AAC326E" w:rsidR="00E02B32" w:rsidRPr="00E02B32" w:rsidRDefault="00E02B32" w:rsidP="00E02B32">
            <w:r w:rsidRPr="00E02B32">
              <w:rPr>
                <w:rFonts w:ascii="Calibri" w:eastAsiaTheme="minorEastAsia" w:hAnsi="Calibri" w:cs="Calibri"/>
                <w:color w:val="000000" w:themeColor="text1"/>
                <w:kern w:val="24"/>
              </w:rPr>
              <w:t>Friday, February 7</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E7A6772" w14:textId="70EA7D7E" w:rsidR="00E02B32" w:rsidRPr="00E02B32" w:rsidRDefault="00E02B32" w:rsidP="00E02B32">
            <w:pPr>
              <w:jc w:val="center"/>
            </w:pPr>
            <w:r w:rsidRPr="00E02B32">
              <w:rPr>
                <w:rFonts w:ascii="Calibri" w:eastAsiaTheme="minorEastAsia" w:hAnsi="Calibri" w:cs="Calibri"/>
                <w:color w:val="000000"/>
                <w:kern w:val="24"/>
              </w:rPr>
              <w:t>10:30 am – 12:00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DF7AC5" w14:textId="3A83CB4A" w:rsidR="00E02B32" w:rsidRPr="00E02B32" w:rsidRDefault="00E02B32" w:rsidP="00E02B32">
            <w:pPr>
              <w:jc w:val="center"/>
            </w:pPr>
            <w:r w:rsidRPr="00E02B32">
              <w:rPr>
                <w:rFonts w:ascii="Calibri" w:hAnsi="Calibri" w:cs="Calibri"/>
                <w:color w:val="000000" w:themeColor="text1"/>
                <w:kern w:val="24"/>
              </w:rPr>
              <w:t>Virtual / Zoom</w:t>
            </w:r>
          </w:p>
        </w:tc>
      </w:tr>
      <w:tr w:rsidR="00E02B32" w:rsidRPr="00920C67" w14:paraId="179683F3" w14:textId="77777777" w:rsidTr="00E02B32">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B5CB54" w14:textId="3333251F" w:rsidR="00E02B32" w:rsidRPr="00E02B32" w:rsidRDefault="00E02B32" w:rsidP="00E02B32">
            <w:r w:rsidRPr="00E02B32">
              <w:rPr>
                <w:rFonts w:ascii="Calibri" w:eastAsiaTheme="minorEastAsia" w:hAnsi="Calibri" w:cs="Calibri"/>
                <w:color w:val="000000" w:themeColor="text1"/>
                <w:kern w:val="24"/>
              </w:rPr>
              <w:t>Friday, February 28</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4628C3" w14:textId="19CA669A" w:rsidR="00E02B32" w:rsidRPr="00E02B32" w:rsidRDefault="00E02B32" w:rsidP="00E02B32">
            <w:pPr>
              <w:jc w:val="center"/>
            </w:pPr>
            <w:r w:rsidRPr="00E02B32">
              <w:rPr>
                <w:rFonts w:ascii="Calibri" w:eastAsiaTheme="minorEastAsia" w:hAnsi="Calibri" w:cs="Calibri"/>
                <w:color w:val="000000"/>
                <w:kern w:val="24"/>
              </w:rPr>
              <w:t>10:30 am – 12:00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6931C" w14:textId="11147CEC" w:rsidR="00E02B32" w:rsidRPr="00E02B32" w:rsidRDefault="00E02B32" w:rsidP="00E02B32">
            <w:pPr>
              <w:jc w:val="center"/>
            </w:pPr>
            <w:r w:rsidRPr="00E02B32">
              <w:rPr>
                <w:rFonts w:ascii="Calibri" w:hAnsi="Calibri" w:cs="Calibri"/>
                <w:color w:val="000000" w:themeColor="text1"/>
                <w:kern w:val="24"/>
              </w:rPr>
              <w:t>Virtual / Zoom</w:t>
            </w:r>
          </w:p>
        </w:tc>
      </w:tr>
      <w:tr w:rsidR="00E02B32" w:rsidRPr="00920C67" w14:paraId="6E4C8A8A" w14:textId="77777777" w:rsidTr="00E02B32">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50AE8A" w14:textId="2C3960B4" w:rsidR="00E02B32" w:rsidRPr="00E02B32" w:rsidRDefault="00E02B32" w:rsidP="00E02B32">
            <w:r w:rsidRPr="00E02B32">
              <w:rPr>
                <w:rFonts w:ascii="Calibri" w:eastAsiaTheme="minorEastAsia" w:hAnsi="Calibri" w:cs="Calibri"/>
                <w:color w:val="000000" w:themeColor="text1"/>
                <w:kern w:val="24"/>
              </w:rPr>
              <w:t>Friday, March 14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6448C85" w14:textId="1339993C" w:rsidR="00E02B32" w:rsidRPr="00E02B32" w:rsidRDefault="00E02B32" w:rsidP="00E02B32">
            <w:pPr>
              <w:jc w:val="center"/>
            </w:pPr>
            <w:r w:rsidRPr="00E02B32">
              <w:rPr>
                <w:rFonts w:ascii="Calibri" w:eastAsiaTheme="minorEastAsia" w:hAnsi="Calibri" w:cs="Calibri"/>
                <w:color w:val="000000"/>
                <w:kern w:val="24"/>
              </w:rPr>
              <w:t>10:30 am – 12:00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CFA07C" w14:textId="70473345" w:rsidR="00E02B32" w:rsidRPr="00E02B32" w:rsidRDefault="00E02B32" w:rsidP="00E02B32">
            <w:pPr>
              <w:jc w:val="center"/>
            </w:pPr>
            <w:r w:rsidRPr="00E02B32">
              <w:rPr>
                <w:rFonts w:ascii="Calibri" w:hAnsi="Calibri" w:cs="Calibri"/>
                <w:color w:val="000000" w:themeColor="text1"/>
                <w:kern w:val="24"/>
              </w:rPr>
              <w:t>Virtual / Zoom</w:t>
            </w:r>
          </w:p>
        </w:tc>
      </w:tr>
      <w:tr w:rsidR="008C7C83" w:rsidRPr="006A7B0B" w14:paraId="0ED33455"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9D635" w14:textId="459AF11A" w:rsidR="008C7C83" w:rsidRPr="00E02B32" w:rsidRDefault="00E02B32" w:rsidP="008C7C83">
            <w:r>
              <w:t>Tues</w:t>
            </w:r>
            <w:r w:rsidR="00920C67" w:rsidRPr="00E02B32">
              <w:t xml:space="preserve">day, </w:t>
            </w:r>
            <w:r>
              <w:t>April 1</w:t>
            </w:r>
            <w:r w:rsidR="008C7C83" w:rsidRPr="00E02B32">
              <w:t>, 202</w:t>
            </w:r>
            <w:r>
              <w:t>5</w:t>
            </w:r>
            <w:r w:rsidR="008C7C83" w:rsidRPr="00E02B32">
              <w:t xml:space="preserve"> – </w:t>
            </w:r>
            <w:r w:rsidR="008C7C83" w:rsidRPr="00E02B32">
              <w:rPr>
                <w:i/>
                <w:iCs/>
              </w:rPr>
              <w:t>Submission o</w:t>
            </w:r>
            <w:r w:rsidR="00920C67" w:rsidRPr="00E02B32">
              <w:rPr>
                <w:i/>
                <w:iCs/>
              </w:rPr>
              <w:t xml:space="preserve">f </w:t>
            </w:r>
            <w:r w:rsidR="008C7C83" w:rsidRPr="00E02B32">
              <w:rPr>
                <w:i/>
                <w:iCs/>
              </w:rPr>
              <w:t xml:space="preserve">Report to the </w:t>
            </w:r>
            <w:r w:rsidR="00920C67" w:rsidRPr="00E02B32">
              <w:rPr>
                <w:i/>
                <w:iCs/>
              </w:rPr>
              <w:t xml:space="preserve">Governor and </w:t>
            </w:r>
            <w:r w:rsidR="008C7C83" w:rsidRPr="00E02B32">
              <w:rPr>
                <w:i/>
                <w:iCs/>
              </w:rPr>
              <w:t>Legislature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B9037" w14:textId="77777777" w:rsidR="008C7C83" w:rsidRPr="00E02B32" w:rsidRDefault="008C7C83" w:rsidP="008C7C83"/>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18431C" w14:textId="77777777" w:rsidR="008C7C83" w:rsidRPr="00E02B32" w:rsidRDefault="008C7C83" w:rsidP="008C7C83"/>
        </w:tc>
      </w:tr>
    </w:tbl>
    <w:p w14:paraId="768F7216" w14:textId="77777777" w:rsidR="006A7B0B" w:rsidRDefault="006A7B0B" w:rsidP="006A7B0B"/>
    <w:p w14:paraId="4557DE6A" w14:textId="77777777" w:rsidR="00920C67" w:rsidRDefault="00920C67" w:rsidP="00920C67">
      <w:pPr>
        <w:rPr>
          <w:b/>
          <w:bCs/>
          <w:u w:val="single"/>
        </w:rPr>
      </w:pPr>
    </w:p>
    <w:p w14:paraId="26413AA7" w14:textId="0E3293AC" w:rsidR="00920C67" w:rsidRPr="00920C67" w:rsidRDefault="00920C67" w:rsidP="00920C67">
      <w:r w:rsidRPr="00920C67">
        <w:rPr>
          <w:b/>
          <w:bCs/>
          <w:u w:val="single"/>
        </w:rPr>
        <w:t>Webpage</w:t>
      </w:r>
    </w:p>
    <w:p w14:paraId="2F73D18B" w14:textId="77777777" w:rsidR="00920C67" w:rsidRDefault="00920C67" w:rsidP="00920C67">
      <w:r w:rsidRPr="00920C67">
        <w:t>Meeting notifications and copies of meeting materials, such as approved minutes, will be posted on the Task Force’s Mass.gov webpage:</w:t>
      </w:r>
    </w:p>
    <w:p w14:paraId="212471E8" w14:textId="77777777" w:rsidR="00920C67" w:rsidRPr="00920C67" w:rsidRDefault="00920C67" w:rsidP="00920C67"/>
    <w:p w14:paraId="093A7E31" w14:textId="5C44CAF9" w:rsidR="00920C67" w:rsidRPr="00920C67" w:rsidRDefault="00C213D0" w:rsidP="00920C67">
      <w:hyperlink r:id="rId8" w:history="1">
        <w:r w:rsidRPr="00824589">
          <w:rPr>
            <w:rStyle w:val="Hyperlink"/>
          </w:rPr>
          <w:t>https://www.mass.gov/rest-</w:t>
        </w:r>
        <w:r w:rsidRPr="00824589">
          <w:rPr>
            <w:rStyle w:val="Hyperlink"/>
          </w:rPr>
          <w:t>h</w:t>
        </w:r>
        <w:r w:rsidRPr="00824589">
          <w:rPr>
            <w:rStyle w:val="Hyperlink"/>
          </w:rPr>
          <w:t>ome-tas</w:t>
        </w:r>
        <w:r w:rsidRPr="00824589">
          <w:rPr>
            <w:rStyle w:val="Hyperlink"/>
          </w:rPr>
          <w:t>k</w:t>
        </w:r>
        <w:r w:rsidRPr="00824589">
          <w:rPr>
            <w:rStyle w:val="Hyperlink"/>
          </w:rPr>
          <w:t>-fo</w:t>
        </w:r>
        <w:r w:rsidRPr="00824589">
          <w:rPr>
            <w:rStyle w:val="Hyperlink"/>
          </w:rPr>
          <w:t>r</w:t>
        </w:r>
        <w:r w:rsidRPr="00824589">
          <w:rPr>
            <w:rStyle w:val="Hyperlink"/>
          </w:rPr>
          <w:t>ce</w:t>
        </w:r>
      </w:hyperlink>
    </w:p>
    <w:p w14:paraId="4DE299EB" w14:textId="77777777" w:rsidR="00920C67" w:rsidRDefault="00920C67" w:rsidP="006A7B0B"/>
    <w:sectPr w:rsidR="00920C67"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6"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7"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8"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9"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3"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8"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0"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3"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28"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4"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4"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6"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48"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3"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2"/>
  </w:num>
  <w:num w:numId="2" w16cid:durableId="137769343">
    <w:abstractNumId w:val="14"/>
  </w:num>
  <w:num w:numId="3" w16cid:durableId="1856646806">
    <w:abstractNumId w:val="23"/>
  </w:num>
  <w:num w:numId="4" w16cid:durableId="1912620646">
    <w:abstractNumId w:val="36"/>
  </w:num>
  <w:num w:numId="5" w16cid:durableId="193740200">
    <w:abstractNumId w:val="30"/>
  </w:num>
  <w:num w:numId="6" w16cid:durableId="1657416401">
    <w:abstractNumId w:val="42"/>
  </w:num>
  <w:num w:numId="7" w16cid:durableId="1739473480">
    <w:abstractNumId w:val="11"/>
  </w:num>
  <w:num w:numId="8" w16cid:durableId="1865745443">
    <w:abstractNumId w:val="15"/>
  </w:num>
  <w:num w:numId="9" w16cid:durableId="1927808265">
    <w:abstractNumId w:val="20"/>
  </w:num>
  <w:num w:numId="10" w16cid:durableId="798230040">
    <w:abstractNumId w:val="16"/>
  </w:num>
  <w:num w:numId="11" w16cid:durableId="616059253">
    <w:abstractNumId w:val="21"/>
  </w:num>
  <w:num w:numId="12" w16cid:durableId="1153133639">
    <w:abstractNumId w:val="31"/>
  </w:num>
  <w:num w:numId="13" w16cid:durableId="1023895284">
    <w:abstractNumId w:val="4"/>
  </w:num>
  <w:num w:numId="14" w16cid:durableId="1717118984">
    <w:abstractNumId w:val="26"/>
  </w:num>
  <w:num w:numId="15" w16cid:durableId="247156980">
    <w:abstractNumId w:val="6"/>
  </w:num>
  <w:num w:numId="16" w16cid:durableId="1851525081">
    <w:abstractNumId w:val="47"/>
  </w:num>
  <w:num w:numId="17" w16cid:durableId="1143547275">
    <w:abstractNumId w:val="10"/>
  </w:num>
  <w:num w:numId="18" w16cid:durableId="569272913">
    <w:abstractNumId w:val="17"/>
  </w:num>
  <w:num w:numId="19" w16cid:durableId="1049299354">
    <w:abstractNumId w:val="53"/>
  </w:num>
  <w:num w:numId="20" w16cid:durableId="2053648644">
    <w:abstractNumId w:val="28"/>
  </w:num>
  <w:num w:numId="21" w16cid:durableId="1412580554">
    <w:abstractNumId w:val="41"/>
  </w:num>
  <w:num w:numId="22" w16cid:durableId="1897278164">
    <w:abstractNumId w:val="24"/>
  </w:num>
  <w:num w:numId="23" w16cid:durableId="1149400780">
    <w:abstractNumId w:val="18"/>
  </w:num>
  <w:num w:numId="24" w16cid:durableId="1415393041">
    <w:abstractNumId w:val="50"/>
  </w:num>
  <w:num w:numId="25" w16cid:durableId="283393495">
    <w:abstractNumId w:val="52"/>
  </w:num>
  <w:num w:numId="26" w16cid:durableId="921793803">
    <w:abstractNumId w:val="29"/>
  </w:num>
  <w:num w:numId="27" w16cid:durableId="475411686">
    <w:abstractNumId w:val="32"/>
  </w:num>
  <w:num w:numId="28" w16cid:durableId="868953732">
    <w:abstractNumId w:val="40"/>
  </w:num>
  <w:num w:numId="29" w16cid:durableId="718019494">
    <w:abstractNumId w:val="0"/>
  </w:num>
  <w:num w:numId="30" w16cid:durableId="637614326">
    <w:abstractNumId w:val="2"/>
  </w:num>
  <w:num w:numId="31" w16cid:durableId="1572426260">
    <w:abstractNumId w:val="35"/>
  </w:num>
  <w:num w:numId="32" w16cid:durableId="77992166">
    <w:abstractNumId w:val="13"/>
  </w:num>
  <w:num w:numId="33" w16cid:durableId="114177750">
    <w:abstractNumId w:val="1"/>
  </w:num>
  <w:num w:numId="34" w16cid:durableId="1098060081">
    <w:abstractNumId w:val="33"/>
  </w:num>
  <w:num w:numId="35" w16cid:durableId="1703240681">
    <w:abstractNumId w:val="25"/>
  </w:num>
  <w:num w:numId="36" w16cid:durableId="1807161785">
    <w:abstractNumId w:val="5"/>
  </w:num>
  <w:num w:numId="37" w16cid:durableId="842938580">
    <w:abstractNumId w:val="37"/>
  </w:num>
  <w:num w:numId="38" w16cid:durableId="1546481650">
    <w:abstractNumId w:val="44"/>
  </w:num>
  <w:num w:numId="39" w16cid:durableId="1583373031">
    <w:abstractNumId w:val="46"/>
  </w:num>
  <w:num w:numId="40" w16cid:durableId="75131362">
    <w:abstractNumId w:val="34"/>
  </w:num>
  <w:num w:numId="41" w16cid:durableId="737364539">
    <w:abstractNumId w:val="39"/>
  </w:num>
  <w:num w:numId="42" w16cid:durableId="2038575247">
    <w:abstractNumId w:val="9"/>
  </w:num>
  <w:num w:numId="43" w16cid:durableId="463279068">
    <w:abstractNumId w:val="51"/>
  </w:num>
  <w:num w:numId="44" w16cid:durableId="31462249">
    <w:abstractNumId w:val="49"/>
  </w:num>
  <w:num w:numId="45" w16cid:durableId="1787919443">
    <w:abstractNumId w:val="48"/>
  </w:num>
  <w:num w:numId="46" w16cid:durableId="147020111">
    <w:abstractNumId w:val="38"/>
  </w:num>
  <w:num w:numId="47" w16cid:durableId="2135050976">
    <w:abstractNumId w:val="3"/>
  </w:num>
  <w:num w:numId="48" w16cid:durableId="1223254822">
    <w:abstractNumId w:val="19"/>
  </w:num>
  <w:num w:numId="49" w16cid:durableId="434130816">
    <w:abstractNumId w:val="45"/>
  </w:num>
  <w:num w:numId="50" w16cid:durableId="1900286568">
    <w:abstractNumId w:val="7"/>
  </w:num>
  <w:num w:numId="51" w16cid:durableId="2078046558">
    <w:abstractNumId w:val="22"/>
  </w:num>
  <w:num w:numId="52" w16cid:durableId="1190683833">
    <w:abstractNumId w:val="43"/>
  </w:num>
  <w:num w:numId="53" w16cid:durableId="1875649843">
    <w:abstractNumId w:val="8"/>
  </w:num>
  <w:num w:numId="54" w16cid:durableId="1239166888">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8485D"/>
    <w:rsid w:val="00520FA5"/>
    <w:rsid w:val="005257BF"/>
    <w:rsid w:val="005A0D34"/>
    <w:rsid w:val="005F0E38"/>
    <w:rsid w:val="005F33B6"/>
    <w:rsid w:val="00602E70"/>
    <w:rsid w:val="00611123"/>
    <w:rsid w:val="00647CF6"/>
    <w:rsid w:val="00676B78"/>
    <w:rsid w:val="006864D9"/>
    <w:rsid w:val="006A7B0B"/>
    <w:rsid w:val="006C25CE"/>
    <w:rsid w:val="006F374A"/>
    <w:rsid w:val="00704409"/>
    <w:rsid w:val="00707E22"/>
    <w:rsid w:val="00710530"/>
    <w:rsid w:val="007636A5"/>
    <w:rsid w:val="007B6CCA"/>
    <w:rsid w:val="00836B8C"/>
    <w:rsid w:val="00885CA1"/>
    <w:rsid w:val="00892C07"/>
    <w:rsid w:val="008938C6"/>
    <w:rsid w:val="008C7C83"/>
    <w:rsid w:val="008E7424"/>
    <w:rsid w:val="008F39C0"/>
    <w:rsid w:val="00920C67"/>
    <w:rsid w:val="009932A8"/>
    <w:rsid w:val="00995BBE"/>
    <w:rsid w:val="009C22EC"/>
    <w:rsid w:val="009D56F4"/>
    <w:rsid w:val="009E3485"/>
    <w:rsid w:val="00A14324"/>
    <w:rsid w:val="00AF40E0"/>
    <w:rsid w:val="00AF4867"/>
    <w:rsid w:val="00B13739"/>
    <w:rsid w:val="00B713F3"/>
    <w:rsid w:val="00B92012"/>
    <w:rsid w:val="00B93233"/>
    <w:rsid w:val="00BA6A2C"/>
    <w:rsid w:val="00BB1A20"/>
    <w:rsid w:val="00BB61CE"/>
    <w:rsid w:val="00BC3FC7"/>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E3863"/>
    <w:rsid w:val="00DF004E"/>
    <w:rsid w:val="00DF3247"/>
    <w:rsid w:val="00E02B32"/>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st-home-task-force" TargetMode="External"/><Relationship Id="rId3" Type="http://schemas.openxmlformats.org/officeDocument/2006/relationships/styles" Target="styles.xml"/><Relationship Id="rId7" Type="http://schemas.openxmlformats.org/officeDocument/2006/relationships/hyperlink" Target="https://malegislature.gov/Laws/SessionLaws/Acts/2024/Chapter1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egislature.gov/Laws/SessionLaws/Acts/2024/Chapter19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678</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6</cp:revision>
  <dcterms:created xsi:type="dcterms:W3CDTF">2025-02-05T20:45:00Z</dcterms:created>
  <dcterms:modified xsi:type="dcterms:W3CDTF">2025-02-05T20:53:00Z</dcterms:modified>
</cp:coreProperties>
</file>