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9BDE" w14:textId="0D0BB0DC" w:rsidR="007B6CCA" w:rsidRDefault="007B6CCA" w:rsidP="007B6CCA">
      <w:r w:rsidRPr="00B93233">
        <w:t>Slid</w:t>
      </w:r>
      <w:r>
        <w:t xml:space="preserve">e </w:t>
      </w:r>
      <w:r w:rsidR="001A5E37">
        <w:t>1</w:t>
      </w:r>
    </w:p>
    <w:p w14:paraId="6478FB7E" w14:textId="5164E337" w:rsidR="007B6CCA" w:rsidRPr="002544B0" w:rsidRDefault="007B6CCA" w:rsidP="002544B0">
      <w:pPr>
        <w:pStyle w:val="Heading2"/>
      </w:pPr>
      <w:r>
        <w:t>Task Force’s Charge</w:t>
      </w:r>
    </w:p>
    <w:p w14:paraId="3D3CE87F" w14:textId="77777777" w:rsidR="007B6CCA" w:rsidRDefault="007B6CCA" w:rsidP="007B6CCA">
      <w:pPr>
        <w:rPr>
          <w:b/>
          <w:bCs/>
        </w:rPr>
      </w:pPr>
    </w:p>
    <w:p w14:paraId="2D24A85E" w14:textId="17F3CB8C" w:rsidR="009D56F4" w:rsidRPr="009D56F4" w:rsidRDefault="007B6CCA" w:rsidP="009D56F4">
      <w:r w:rsidRPr="007B6CCA">
        <w:rPr>
          <w:b/>
          <w:bCs/>
          <w:u w:val="single"/>
        </w:rPr>
        <w:t>L</w:t>
      </w:r>
      <w:r w:rsidR="009D56F4" w:rsidRPr="009D56F4">
        <w:rPr>
          <w:b/>
          <w:bCs/>
          <w:u w:val="single"/>
        </w:rPr>
        <w:t>egal Authority:</w:t>
      </w:r>
      <w:r w:rsidR="009D56F4" w:rsidRPr="009D56F4">
        <w:rPr>
          <w:b/>
          <w:bCs/>
        </w:rPr>
        <w:t xml:space="preserve"> </w:t>
      </w:r>
      <w:r w:rsidR="009D56F4" w:rsidRPr="009D56F4">
        <w:t>Section 27 of Chapter 197 of the Acts of 2024</w:t>
      </w:r>
    </w:p>
    <w:p w14:paraId="53A3EDBC" w14:textId="77777777" w:rsidR="005F33B6" w:rsidRDefault="005F33B6" w:rsidP="009D56F4">
      <w:pPr>
        <w:rPr>
          <w:b/>
          <w:bCs/>
          <w:u w:val="single"/>
        </w:rPr>
      </w:pPr>
    </w:p>
    <w:p w14:paraId="725BDA9D" w14:textId="3163904F" w:rsidR="009D56F4" w:rsidRPr="009D56F4" w:rsidRDefault="009D56F4" w:rsidP="009D56F4">
      <w:r w:rsidRPr="009D56F4">
        <w:rPr>
          <w:b/>
          <w:bCs/>
          <w:u w:val="single"/>
        </w:rPr>
        <w:t>Link:</w:t>
      </w:r>
      <w:r w:rsidRPr="009D56F4">
        <w:rPr>
          <w:b/>
          <w:bCs/>
        </w:rPr>
        <w:t xml:space="preserve"> </w:t>
      </w:r>
      <w:hyperlink r:id="rId6" w:history="1">
        <w:r w:rsidRPr="009D56F4">
          <w:rPr>
            <w:rStyle w:val="Hyperlink"/>
          </w:rPr>
          <w:t>https://malegislature.gov/Laws/SessionLaws/Acts/2024/</w:t>
        </w:r>
      </w:hyperlink>
      <w:hyperlink r:id="rId7" w:history="1">
        <w:r w:rsidRPr="009D56F4">
          <w:rPr>
            <w:rStyle w:val="Hyperlink"/>
          </w:rPr>
          <w:t>Chapter197</w:t>
        </w:r>
      </w:hyperlink>
    </w:p>
    <w:p w14:paraId="48DEA947" w14:textId="77777777" w:rsidR="009D56F4" w:rsidRPr="009D56F4" w:rsidRDefault="009D56F4" w:rsidP="009D56F4">
      <w:r w:rsidRPr="009D56F4">
        <w:t> </w:t>
      </w:r>
    </w:p>
    <w:p w14:paraId="2110E688" w14:textId="77777777" w:rsidR="009D56F4" w:rsidRPr="009D56F4" w:rsidRDefault="009D56F4" w:rsidP="009D56F4">
      <w:r w:rsidRPr="009D56F4">
        <w:rPr>
          <w:b/>
          <w:bCs/>
          <w:u w:val="single"/>
        </w:rPr>
        <w:t>Summary:</w:t>
      </w:r>
      <w:r w:rsidRPr="009D56F4">
        <w:rPr>
          <w:b/>
          <w:bCs/>
        </w:rPr>
        <w:t xml:space="preserve"> </w:t>
      </w:r>
      <w:r w:rsidRPr="009D56F4">
        <w:t>The Executive Office of Health and Human services shall establish a Task Force to evaluate the governance and regulatory structure of rest homes in the Commonwealth.</w:t>
      </w:r>
    </w:p>
    <w:p w14:paraId="2068ABCD" w14:textId="77777777" w:rsidR="009D56F4" w:rsidRDefault="009D56F4" w:rsidP="009D56F4">
      <w:r w:rsidRPr="009D56F4">
        <w:t>Specifically, the Task Force shall examine the following:</w:t>
      </w:r>
    </w:p>
    <w:p w14:paraId="02B6944A" w14:textId="77777777" w:rsidR="005F33B6" w:rsidRPr="009D56F4" w:rsidRDefault="005F33B6" w:rsidP="009D56F4"/>
    <w:p w14:paraId="6A939A62" w14:textId="77777777" w:rsidR="009D56F4" w:rsidRPr="009D56F4" w:rsidRDefault="009D56F4" w:rsidP="009D56F4">
      <w:pPr>
        <w:numPr>
          <w:ilvl w:val="1"/>
          <w:numId w:val="54"/>
        </w:numPr>
      </w:pPr>
      <w:r w:rsidRPr="009D56F4">
        <w:t xml:space="preserve">the licensing, regulatory and reporting structure for rest </w:t>
      </w:r>
      <w:proofErr w:type="gramStart"/>
      <w:r w:rsidRPr="009D56F4">
        <w:t>homes;</w:t>
      </w:r>
      <w:proofErr w:type="gramEnd"/>
    </w:p>
    <w:p w14:paraId="3B96834F" w14:textId="77777777" w:rsidR="009D56F4" w:rsidRPr="009D56F4" w:rsidRDefault="009D56F4" w:rsidP="009D56F4">
      <w:pPr>
        <w:numPr>
          <w:ilvl w:val="1"/>
          <w:numId w:val="54"/>
        </w:numPr>
      </w:pPr>
      <w:r w:rsidRPr="009D56F4">
        <w:t xml:space="preserve">an inventory of licensed rest homes and licensed rest home </w:t>
      </w:r>
      <w:proofErr w:type="gramStart"/>
      <w:r w:rsidRPr="009D56F4">
        <w:t>beds;</w:t>
      </w:r>
      <w:proofErr w:type="gramEnd"/>
    </w:p>
    <w:p w14:paraId="18384225" w14:textId="77777777" w:rsidR="009D56F4" w:rsidRPr="009D56F4" w:rsidRDefault="009D56F4" w:rsidP="009D56F4">
      <w:pPr>
        <w:numPr>
          <w:ilvl w:val="1"/>
          <w:numId w:val="54"/>
        </w:numPr>
      </w:pPr>
      <w:r w:rsidRPr="009D56F4">
        <w:t xml:space="preserve">the location and service areas of existing rest </w:t>
      </w:r>
      <w:proofErr w:type="gramStart"/>
      <w:r w:rsidRPr="009D56F4">
        <w:t>homes;</w:t>
      </w:r>
      <w:proofErr w:type="gramEnd"/>
    </w:p>
    <w:p w14:paraId="414E541E" w14:textId="77777777" w:rsidR="009D56F4" w:rsidRPr="009D56F4" w:rsidRDefault="009D56F4" w:rsidP="009D56F4">
      <w:pPr>
        <w:numPr>
          <w:ilvl w:val="1"/>
          <w:numId w:val="54"/>
        </w:numPr>
      </w:pPr>
      <w:proofErr w:type="gramStart"/>
      <w:r w:rsidRPr="009D56F4">
        <w:t>a review</w:t>
      </w:r>
      <w:proofErr w:type="gramEnd"/>
      <w:r w:rsidRPr="009D56F4">
        <w:t xml:space="preserve"> of rest home closures since </w:t>
      </w:r>
      <w:proofErr w:type="gramStart"/>
      <w:r w:rsidRPr="009D56F4">
        <w:t>2015;</w:t>
      </w:r>
      <w:proofErr w:type="gramEnd"/>
    </w:p>
    <w:p w14:paraId="74FDD218" w14:textId="77777777" w:rsidR="009D56F4" w:rsidRPr="009D56F4" w:rsidRDefault="009D56F4" w:rsidP="009D56F4">
      <w:pPr>
        <w:numPr>
          <w:ilvl w:val="1"/>
          <w:numId w:val="54"/>
        </w:numPr>
      </w:pPr>
      <w:proofErr w:type="gramStart"/>
      <w:r w:rsidRPr="009D56F4">
        <w:t>a review</w:t>
      </w:r>
      <w:proofErr w:type="gramEnd"/>
      <w:r w:rsidRPr="009D56F4">
        <w:t xml:space="preserve"> of the recommendations implemented from the nursing facility task force </w:t>
      </w:r>
      <w:proofErr w:type="gramStart"/>
      <w:r w:rsidRPr="009D56F4">
        <w:t>report;</w:t>
      </w:r>
      <w:proofErr w:type="gramEnd"/>
    </w:p>
    <w:p w14:paraId="4871E2B2" w14:textId="77777777" w:rsidR="009D56F4" w:rsidRPr="009D56F4" w:rsidRDefault="009D56F4" w:rsidP="009D56F4">
      <w:pPr>
        <w:numPr>
          <w:ilvl w:val="1"/>
          <w:numId w:val="54"/>
        </w:numPr>
      </w:pPr>
      <w:r w:rsidRPr="009D56F4">
        <w:t>the feasibility of receiving federal reimbursement for rest home expenses; and</w:t>
      </w:r>
    </w:p>
    <w:p w14:paraId="5412A9CB" w14:textId="77777777" w:rsidR="009D56F4" w:rsidRDefault="009D56F4" w:rsidP="009D56F4">
      <w:pPr>
        <w:numPr>
          <w:ilvl w:val="1"/>
          <w:numId w:val="54"/>
        </w:numPr>
      </w:pPr>
      <w:r w:rsidRPr="009D56F4">
        <w:t>a review of the current rate structure for rest homes compared to the actual cost of care to residents.</w:t>
      </w:r>
    </w:p>
    <w:p w14:paraId="135D80F8" w14:textId="77777777" w:rsidR="009D56F4" w:rsidRPr="009D56F4" w:rsidRDefault="009D56F4" w:rsidP="005F33B6">
      <w:pPr>
        <w:ind w:left="1440"/>
      </w:pPr>
    </w:p>
    <w:p w14:paraId="6B08B67F" w14:textId="77777777" w:rsidR="009D56F4" w:rsidRPr="009D56F4" w:rsidRDefault="009D56F4" w:rsidP="009D56F4">
      <w:r w:rsidRPr="009D56F4">
        <w:t xml:space="preserve">The task force shall submit a report of its findings, including any recommendations or proposed legislation necessary to carry out its recommendations, to the clerks of the house of representatives and the senate and to the house and senate committees on ways and means, not later than </w:t>
      </w:r>
      <w:r w:rsidRPr="009D56F4">
        <w:rPr>
          <w:u w:val="single"/>
        </w:rPr>
        <w:t>April 1, 2025</w:t>
      </w:r>
      <w:r w:rsidRPr="009D56F4">
        <w:t>.</w:t>
      </w:r>
    </w:p>
    <w:p w14:paraId="761C013C" w14:textId="485CDA04" w:rsidR="007B6CCA" w:rsidRPr="007B6CCA" w:rsidRDefault="007B6CCA" w:rsidP="007B6CCA"/>
    <w:p w14:paraId="0708B202" w14:textId="77777777" w:rsidR="007B6CCA" w:rsidRDefault="007B6CCA"/>
    <w:p w14:paraId="1EB49FEA" w14:textId="77777777" w:rsidR="007B6CCA" w:rsidRDefault="007B6CCA"/>
    <w:p w14:paraId="7922278A" w14:textId="77777777" w:rsidR="005F33B6" w:rsidRDefault="005F33B6">
      <w:r>
        <w:br w:type="page"/>
      </w:r>
    </w:p>
    <w:p w14:paraId="04D2F5E2" w14:textId="73AACD46" w:rsidR="005F33B6" w:rsidRDefault="005F33B6" w:rsidP="005F33B6">
      <w:r w:rsidRPr="00B93233">
        <w:lastRenderedPageBreak/>
        <w:t>Slid</w:t>
      </w:r>
      <w:r>
        <w:t xml:space="preserve">e </w:t>
      </w:r>
      <w:r w:rsidR="001A5E37">
        <w:t>2</w:t>
      </w:r>
    </w:p>
    <w:p w14:paraId="07F46469" w14:textId="4633D091" w:rsidR="006A7B0B" w:rsidRPr="005F0E38" w:rsidRDefault="006A7B0B" w:rsidP="006A7B0B">
      <w:pPr>
        <w:pStyle w:val="Heading2"/>
      </w:pPr>
      <w:r>
        <w:t>Upcoming Mee</w:t>
      </w:r>
      <w:r w:rsidRPr="00AF4867">
        <w:t>t</w:t>
      </w:r>
      <w:r>
        <w:t>ings and Next Steps</w:t>
      </w:r>
    </w:p>
    <w:p w14:paraId="45BCC99D" w14:textId="77777777" w:rsidR="006A7B0B" w:rsidRDefault="006A7B0B" w:rsidP="006A7B0B">
      <w:pPr>
        <w:rPr>
          <w:b/>
          <w:bCs/>
        </w:rPr>
      </w:pPr>
    </w:p>
    <w:tbl>
      <w:tblPr>
        <w:tblW w:w="9890" w:type="dxa"/>
        <w:tblLayout w:type="fixed"/>
        <w:tblCellMar>
          <w:left w:w="43" w:type="dxa"/>
          <w:right w:w="43" w:type="dxa"/>
        </w:tblCellMar>
        <w:tblLook w:val="0420" w:firstRow="1" w:lastRow="0" w:firstColumn="0" w:lastColumn="0" w:noHBand="0" w:noVBand="1"/>
      </w:tblPr>
      <w:tblGrid>
        <w:gridCol w:w="5840"/>
        <w:gridCol w:w="4050"/>
      </w:tblGrid>
      <w:tr w:rsidR="001A5E37" w:rsidRPr="006A7B0B" w14:paraId="75D0F272" w14:textId="77777777" w:rsidTr="001A5E37">
        <w:trPr>
          <w:trHeight w:val="144"/>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96F206" w14:textId="77777777" w:rsidR="001A5E37" w:rsidRPr="006A7B0B" w:rsidRDefault="001A5E37" w:rsidP="006A7B0B">
            <w:r w:rsidRPr="006A7B0B">
              <w:rPr>
                <w:b/>
                <w:bCs/>
              </w:rPr>
              <w:t>Date</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CFB748" w14:textId="1D910FF0" w:rsidR="001A5E37" w:rsidRPr="001A5E37" w:rsidRDefault="001A5E37" w:rsidP="001A5E37">
            <w:pPr>
              <w:rPr>
                <w:b/>
                <w:bCs/>
              </w:rPr>
            </w:pPr>
            <w:r w:rsidRPr="001A5E37">
              <w:rPr>
                <w:b/>
                <w:bCs/>
              </w:rPr>
              <w:t>Meeting Focus / Topic</w:t>
            </w:r>
          </w:p>
        </w:tc>
      </w:tr>
      <w:tr w:rsidR="001A5E37" w:rsidRPr="00920C67" w14:paraId="02D999D8" w14:textId="77777777" w:rsidTr="001A5E37">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FDCE9E" w14:textId="77777777" w:rsidR="001A5E37" w:rsidRPr="001A5E37" w:rsidRDefault="001A5E37" w:rsidP="001A5E37">
            <w:pPr>
              <w:rPr>
                <w:rFonts w:ascii="Calibri" w:eastAsiaTheme="minorEastAsia" w:hAnsi="Calibri" w:cs="Calibri"/>
                <w:b/>
                <w:bCs/>
                <w:color w:val="000000" w:themeColor="text1"/>
                <w:kern w:val="24"/>
              </w:rPr>
            </w:pPr>
            <w:r w:rsidRPr="001A5E37">
              <w:rPr>
                <w:rFonts w:ascii="Calibri" w:eastAsiaTheme="minorEastAsia" w:hAnsi="Calibri" w:cs="Calibri"/>
                <w:b/>
                <w:bCs/>
                <w:color w:val="000000" w:themeColor="text1"/>
                <w:kern w:val="24"/>
              </w:rPr>
              <w:t>Friday, January 10</w:t>
            </w:r>
          </w:p>
          <w:p w14:paraId="0DBF808B" w14:textId="39EC2AA9" w:rsidR="001A5E37" w:rsidRPr="00E02B32" w:rsidRDefault="001A5E37" w:rsidP="001A5E37">
            <w:r w:rsidRPr="00E02B32">
              <w:rPr>
                <w:rFonts w:ascii="Calibri" w:eastAsiaTheme="minorEastAsia" w:hAnsi="Calibri" w:cs="Calibri"/>
                <w:color w:val="000000" w:themeColor="text1"/>
                <w:kern w:val="24"/>
              </w:rPr>
              <w:t>10:30 am – 12:00 pm</w:t>
            </w:r>
          </w:p>
        </w:tc>
        <w:tc>
          <w:tcPr>
            <w:tcW w:w="4050" w:type="dxa"/>
            <w:tcBorders>
              <w:top w:val="single" w:sz="8" w:space="0" w:color="000000"/>
              <w:left w:val="single" w:sz="8" w:space="0" w:color="000000"/>
              <w:bottom w:val="single" w:sz="8" w:space="0" w:color="000000"/>
              <w:right w:val="single" w:sz="8" w:space="0" w:color="000000"/>
            </w:tcBorders>
            <w:shd w:val="clear" w:color="auto" w:fill="auto"/>
          </w:tcPr>
          <w:p w14:paraId="640230CC" w14:textId="77777777" w:rsidR="001A5E37" w:rsidRPr="001A5E37" w:rsidRDefault="001A5E37" w:rsidP="001A5E37">
            <w:pPr>
              <w:pStyle w:val="ListParagraph"/>
              <w:numPr>
                <w:ilvl w:val="0"/>
                <w:numId w:val="58"/>
              </w:numPr>
              <w:rPr>
                <w:rFonts w:ascii="Calibri" w:eastAsiaTheme="minorEastAsia" w:hAnsi="Calibri" w:cs="Calibri"/>
                <w:color w:val="000000" w:themeColor="text1"/>
                <w:kern w:val="24"/>
              </w:rPr>
            </w:pPr>
            <w:r w:rsidRPr="001A5E37">
              <w:rPr>
                <w:rFonts w:ascii="Calibri" w:eastAsiaTheme="minorEastAsia" w:hAnsi="Calibri" w:cs="Calibri"/>
                <w:color w:val="000000" w:themeColor="text1"/>
                <w:kern w:val="24"/>
              </w:rPr>
              <w:t>Licensing and regulatory structures</w:t>
            </w:r>
          </w:p>
          <w:p w14:paraId="06B31B88" w14:textId="6A33E5C2" w:rsidR="001A5E37" w:rsidRPr="001A5E37" w:rsidRDefault="001A5E37" w:rsidP="001A5E37">
            <w:pPr>
              <w:pStyle w:val="ListParagraph"/>
              <w:numPr>
                <w:ilvl w:val="0"/>
                <w:numId w:val="58"/>
              </w:numPr>
              <w:rPr>
                <w:rFonts w:ascii="Calibri" w:eastAsiaTheme="minorEastAsia" w:hAnsi="Calibri" w:cs="Calibri"/>
                <w:color w:val="000000" w:themeColor="text1"/>
                <w:kern w:val="24"/>
              </w:rPr>
            </w:pPr>
            <w:r w:rsidRPr="001A5E37">
              <w:rPr>
                <w:rFonts w:ascii="Calibri" w:eastAsiaTheme="minorEastAsia" w:hAnsi="Calibri" w:cs="Calibri"/>
                <w:color w:val="000000" w:themeColor="text1"/>
                <w:kern w:val="24"/>
              </w:rPr>
              <w:t>DPH rest home data</w:t>
            </w:r>
          </w:p>
        </w:tc>
      </w:tr>
      <w:tr w:rsidR="001A5E37" w:rsidRPr="00920C67" w14:paraId="59C3600B" w14:textId="77777777" w:rsidTr="001A5E37">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199692" w14:textId="77777777" w:rsidR="001A5E37" w:rsidRPr="001A5E37" w:rsidRDefault="001A5E37" w:rsidP="001A5E37">
            <w:pPr>
              <w:rPr>
                <w:rFonts w:ascii="Calibri" w:eastAsiaTheme="minorEastAsia" w:hAnsi="Calibri" w:cs="Calibri"/>
                <w:b/>
                <w:bCs/>
                <w:color w:val="000000" w:themeColor="text1"/>
                <w:kern w:val="24"/>
              </w:rPr>
            </w:pPr>
            <w:r w:rsidRPr="001A5E37">
              <w:rPr>
                <w:rFonts w:ascii="Calibri" w:eastAsiaTheme="minorEastAsia" w:hAnsi="Calibri" w:cs="Calibri"/>
                <w:b/>
                <w:bCs/>
                <w:color w:val="000000" w:themeColor="text1"/>
                <w:kern w:val="24"/>
              </w:rPr>
              <w:t>Friday, January 24</w:t>
            </w:r>
          </w:p>
          <w:p w14:paraId="70EFB062" w14:textId="23B23CED" w:rsidR="001A5E37" w:rsidRPr="00E02B32" w:rsidRDefault="001A5E37" w:rsidP="001A5E37">
            <w:r w:rsidRPr="00E02B32">
              <w:rPr>
                <w:rFonts w:ascii="Calibri" w:eastAsiaTheme="minorEastAsia" w:hAnsi="Calibri" w:cs="Calibri"/>
                <w:color w:val="000000" w:themeColor="text1"/>
                <w:kern w:val="24"/>
              </w:rPr>
              <w:t>10:30 am – 12:00 pm</w:t>
            </w:r>
          </w:p>
        </w:tc>
        <w:tc>
          <w:tcPr>
            <w:tcW w:w="4050" w:type="dxa"/>
            <w:tcBorders>
              <w:top w:val="single" w:sz="8" w:space="0" w:color="000000"/>
              <w:left w:val="single" w:sz="8" w:space="0" w:color="000000"/>
              <w:bottom w:val="single" w:sz="8" w:space="0" w:color="000000"/>
              <w:right w:val="single" w:sz="8" w:space="0" w:color="000000"/>
            </w:tcBorders>
            <w:shd w:val="clear" w:color="auto" w:fill="auto"/>
          </w:tcPr>
          <w:p w14:paraId="364E934B" w14:textId="5129CD87" w:rsidR="001A5E37" w:rsidRPr="001A5E37" w:rsidRDefault="001A5E37" w:rsidP="001A5E37">
            <w:pPr>
              <w:pStyle w:val="NoSpacing"/>
              <w:numPr>
                <w:ilvl w:val="0"/>
                <w:numId w:val="58"/>
              </w:numPr>
            </w:pPr>
            <w:r w:rsidRPr="001A5E37">
              <w:rPr>
                <w:rFonts w:ascii="Calibri" w:eastAsiaTheme="minorEastAsia" w:hAnsi="Calibri" w:cs="Calibri"/>
                <w:color w:val="000000" w:themeColor="text1"/>
                <w:kern w:val="24"/>
              </w:rPr>
              <w:t>Rest home payment and rate overview</w:t>
            </w:r>
          </w:p>
        </w:tc>
      </w:tr>
      <w:tr w:rsidR="001A5E37" w:rsidRPr="00920C67" w14:paraId="6075C93B" w14:textId="77777777" w:rsidTr="001A5E37">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7AA8A2" w14:textId="77777777" w:rsidR="001A5E37" w:rsidRPr="001A5E37" w:rsidRDefault="001A5E37" w:rsidP="001A5E37">
            <w:pPr>
              <w:rPr>
                <w:rFonts w:ascii="Calibri" w:eastAsiaTheme="minorEastAsia" w:hAnsi="Calibri" w:cs="Calibri"/>
                <w:b/>
                <w:bCs/>
                <w:color w:val="000000" w:themeColor="text1"/>
                <w:kern w:val="24"/>
              </w:rPr>
            </w:pPr>
            <w:r w:rsidRPr="001A5E37">
              <w:rPr>
                <w:rFonts w:ascii="Calibri" w:eastAsiaTheme="minorEastAsia" w:hAnsi="Calibri" w:cs="Calibri"/>
                <w:b/>
                <w:bCs/>
                <w:color w:val="000000" w:themeColor="text1"/>
                <w:kern w:val="24"/>
              </w:rPr>
              <w:t>Friday, February 7</w:t>
            </w:r>
          </w:p>
          <w:p w14:paraId="37485F3D" w14:textId="64A40AF1" w:rsidR="001A5E37" w:rsidRPr="00E02B32" w:rsidRDefault="001A5E37" w:rsidP="001A5E37">
            <w:r w:rsidRPr="00E02B32">
              <w:rPr>
                <w:rFonts w:ascii="Calibri" w:eastAsiaTheme="minorEastAsia" w:hAnsi="Calibri" w:cs="Calibri"/>
                <w:color w:val="000000" w:themeColor="text1"/>
                <w:kern w:val="24"/>
              </w:rPr>
              <w:t>10:30 am – 12:00 pm</w:t>
            </w:r>
          </w:p>
        </w:tc>
        <w:tc>
          <w:tcPr>
            <w:tcW w:w="4050" w:type="dxa"/>
            <w:tcBorders>
              <w:top w:val="single" w:sz="8" w:space="0" w:color="000000"/>
              <w:left w:val="single" w:sz="8" w:space="0" w:color="000000"/>
              <w:bottom w:val="single" w:sz="8" w:space="0" w:color="000000"/>
              <w:right w:val="single" w:sz="8" w:space="0" w:color="000000"/>
            </w:tcBorders>
            <w:shd w:val="clear" w:color="auto" w:fill="auto"/>
          </w:tcPr>
          <w:p w14:paraId="4BBE9E97" w14:textId="77777777" w:rsidR="001A5E37" w:rsidRPr="001A5E37" w:rsidRDefault="001A5E37" w:rsidP="001A5E37">
            <w:pPr>
              <w:pStyle w:val="ListParagraph"/>
              <w:numPr>
                <w:ilvl w:val="0"/>
                <w:numId w:val="58"/>
              </w:numPr>
              <w:rPr>
                <w:rFonts w:ascii="Calibri" w:eastAsiaTheme="minorEastAsia" w:hAnsi="Calibri" w:cs="Calibri"/>
                <w:color w:val="000000" w:themeColor="text1"/>
                <w:kern w:val="24"/>
              </w:rPr>
            </w:pPr>
            <w:r w:rsidRPr="001A5E37">
              <w:rPr>
                <w:rFonts w:ascii="Calibri" w:eastAsiaTheme="minorEastAsia" w:hAnsi="Calibri" w:cs="Calibri"/>
                <w:color w:val="000000" w:themeColor="text1"/>
                <w:kern w:val="24"/>
              </w:rPr>
              <w:t>Review of Nursing Facility Task Force recommendations</w:t>
            </w:r>
          </w:p>
          <w:p w14:paraId="40638AE7" w14:textId="77777777" w:rsidR="001A5E37" w:rsidRPr="001A5E37" w:rsidRDefault="001A5E37" w:rsidP="001A5E37">
            <w:pPr>
              <w:pStyle w:val="ListParagraph"/>
              <w:numPr>
                <w:ilvl w:val="0"/>
                <w:numId w:val="58"/>
              </w:numPr>
              <w:rPr>
                <w:rFonts w:ascii="Calibri" w:eastAsiaTheme="minorEastAsia" w:hAnsi="Calibri" w:cs="Calibri"/>
                <w:color w:val="000000" w:themeColor="text1"/>
                <w:kern w:val="24"/>
              </w:rPr>
            </w:pPr>
            <w:r w:rsidRPr="001A5E37">
              <w:rPr>
                <w:rFonts w:ascii="Calibri" w:eastAsiaTheme="minorEastAsia" w:hAnsi="Calibri" w:cs="Calibri"/>
                <w:color w:val="000000" w:themeColor="text1"/>
                <w:kern w:val="24"/>
              </w:rPr>
              <w:t>MARCH presentation</w:t>
            </w:r>
          </w:p>
          <w:p w14:paraId="6E7A6772" w14:textId="5F14EA0B" w:rsidR="001A5E37" w:rsidRPr="001A5E37" w:rsidRDefault="001A5E37" w:rsidP="001A5E37">
            <w:pPr>
              <w:pStyle w:val="ListParagraph"/>
              <w:numPr>
                <w:ilvl w:val="0"/>
                <w:numId w:val="58"/>
              </w:numPr>
              <w:rPr>
                <w:rFonts w:ascii="Calibri" w:eastAsiaTheme="minorEastAsia" w:hAnsi="Calibri" w:cs="Calibri"/>
                <w:color w:val="000000" w:themeColor="text1"/>
                <w:kern w:val="24"/>
              </w:rPr>
            </w:pPr>
            <w:r w:rsidRPr="001A5E37">
              <w:rPr>
                <w:rFonts w:ascii="Calibri" w:eastAsiaTheme="minorEastAsia" w:hAnsi="Calibri" w:cs="Calibri"/>
                <w:color w:val="000000" w:themeColor="text1"/>
                <w:kern w:val="24"/>
              </w:rPr>
              <w:t>Rest home administrator panel</w:t>
            </w:r>
          </w:p>
        </w:tc>
      </w:tr>
      <w:tr w:rsidR="001A5E37" w:rsidRPr="00920C67" w14:paraId="179683F3" w14:textId="77777777" w:rsidTr="001A5E37">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9FF640" w14:textId="77777777" w:rsidR="001A5E37" w:rsidRPr="001A5E37" w:rsidRDefault="001A5E37" w:rsidP="001A5E37">
            <w:pPr>
              <w:rPr>
                <w:rFonts w:ascii="Calibri" w:eastAsiaTheme="minorEastAsia" w:hAnsi="Calibri" w:cs="Calibri"/>
                <w:b/>
                <w:bCs/>
                <w:color w:val="000000" w:themeColor="text1"/>
                <w:kern w:val="24"/>
              </w:rPr>
            </w:pPr>
            <w:r w:rsidRPr="001A5E37">
              <w:rPr>
                <w:rFonts w:ascii="Calibri" w:eastAsiaTheme="minorEastAsia" w:hAnsi="Calibri" w:cs="Calibri"/>
                <w:b/>
                <w:bCs/>
                <w:color w:val="000000" w:themeColor="text1"/>
                <w:kern w:val="24"/>
              </w:rPr>
              <w:t>Friday, February 28</w:t>
            </w:r>
          </w:p>
          <w:p w14:paraId="21B5CB54" w14:textId="45B6EE8F" w:rsidR="001A5E37" w:rsidRPr="00E02B32" w:rsidRDefault="001A5E37" w:rsidP="001A5E37">
            <w:r w:rsidRPr="00E02B32">
              <w:rPr>
                <w:rFonts w:ascii="Calibri" w:eastAsiaTheme="minorEastAsia" w:hAnsi="Calibri" w:cs="Calibri"/>
                <w:color w:val="000000" w:themeColor="text1"/>
                <w:kern w:val="24"/>
              </w:rPr>
              <w:t>10:30 am – 12:00 pm</w:t>
            </w:r>
          </w:p>
        </w:tc>
        <w:tc>
          <w:tcPr>
            <w:tcW w:w="4050" w:type="dxa"/>
            <w:tcBorders>
              <w:top w:val="single" w:sz="8" w:space="0" w:color="000000"/>
              <w:left w:val="single" w:sz="8" w:space="0" w:color="000000"/>
              <w:bottom w:val="single" w:sz="8" w:space="0" w:color="000000"/>
              <w:right w:val="single" w:sz="8" w:space="0" w:color="000000"/>
            </w:tcBorders>
            <w:shd w:val="clear" w:color="auto" w:fill="auto"/>
          </w:tcPr>
          <w:p w14:paraId="564628C3" w14:textId="187E6E3C" w:rsidR="001A5E37" w:rsidRPr="001A5E37" w:rsidRDefault="001A5E37" w:rsidP="001A5E37">
            <w:pPr>
              <w:pStyle w:val="NoSpacing"/>
              <w:numPr>
                <w:ilvl w:val="0"/>
                <w:numId w:val="58"/>
              </w:numPr>
            </w:pPr>
            <w:r w:rsidRPr="001A5E37">
              <w:rPr>
                <w:rFonts w:ascii="Calibri" w:eastAsiaTheme="minorEastAsia" w:hAnsi="Calibri" w:cs="Calibri"/>
                <w:color w:val="000000" w:themeColor="text1"/>
                <w:kern w:val="24"/>
              </w:rPr>
              <w:t>Discussion of recommendations for draft report</w:t>
            </w:r>
          </w:p>
        </w:tc>
      </w:tr>
      <w:tr w:rsidR="001A5E37" w:rsidRPr="00920C67" w14:paraId="6E4C8A8A" w14:textId="77777777" w:rsidTr="001A5E37">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EFDB02" w14:textId="77777777" w:rsidR="001A5E37" w:rsidRPr="001A5E37" w:rsidRDefault="001A5E37" w:rsidP="001A5E37">
            <w:pPr>
              <w:rPr>
                <w:rFonts w:ascii="Calibri" w:eastAsiaTheme="minorEastAsia" w:hAnsi="Calibri" w:cs="Calibri"/>
                <w:b/>
                <w:bCs/>
                <w:color w:val="000000" w:themeColor="text1"/>
                <w:kern w:val="24"/>
              </w:rPr>
            </w:pPr>
            <w:r w:rsidRPr="001A5E37">
              <w:rPr>
                <w:rFonts w:ascii="Calibri" w:eastAsiaTheme="minorEastAsia" w:hAnsi="Calibri" w:cs="Calibri"/>
                <w:b/>
                <w:bCs/>
                <w:color w:val="000000" w:themeColor="text1"/>
                <w:kern w:val="24"/>
              </w:rPr>
              <w:t>Friday, March 14</w:t>
            </w:r>
          </w:p>
          <w:p w14:paraId="0450AE8A" w14:textId="31B1D436" w:rsidR="001A5E37" w:rsidRPr="00E02B32" w:rsidRDefault="001A5E37" w:rsidP="001A5E37">
            <w:r w:rsidRPr="00E02B32">
              <w:rPr>
                <w:rFonts w:ascii="Calibri" w:eastAsiaTheme="minorEastAsia" w:hAnsi="Calibri" w:cs="Calibri"/>
                <w:color w:val="000000" w:themeColor="text1"/>
                <w:kern w:val="24"/>
              </w:rPr>
              <w:t>10:30 am – 12:00 pm</w:t>
            </w:r>
          </w:p>
        </w:tc>
        <w:tc>
          <w:tcPr>
            <w:tcW w:w="4050" w:type="dxa"/>
            <w:tcBorders>
              <w:top w:val="single" w:sz="8" w:space="0" w:color="000000"/>
              <w:left w:val="single" w:sz="8" w:space="0" w:color="000000"/>
              <w:bottom w:val="single" w:sz="8" w:space="0" w:color="000000"/>
              <w:right w:val="single" w:sz="8" w:space="0" w:color="000000"/>
            </w:tcBorders>
            <w:shd w:val="clear" w:color="auto" w:fill="auto"/>
          </w:tcPr>
          <w:p w14:paraId="26448C85" w14:textId="4557AD7E" w:rsidR="001A5E37" w:rsidRPr="001A5E37" w:rsidRDefault="001A5E37" w:rsidP="001A5E37">
            <w:pPr>
              <w:pStyle w:val="NoSpacing"/>
              <w:numPr>
                <w:ilvl w:val="0"/>
                <w:numId w:val="58"/>
              </w:numPr>
            </w:pPr>
            <w:r w:rsidRPr="001A5E37">
              <w:rPr>
                <w:rFonts w:ascii="Calibri" w:eastAsiaTheme="minorEastAsia" w:hAnsi="Calibri" w:cs="Calibri"/>
                <w:color w:val="000000" w:themeColor="text1"/>
                <w:kern w:val="24"/>
              </w:rPr>
              <w:t>Review of draft report</w:t>
            </w:r>
          </w:p>
        </w:tc>
      </w:tr>
      <w:tr w:rsidR="001A5E37" w:rsidRPr="006A7B0B" w14:paraId="0ED33455" w14:textId="77777777" w:rsidTr="001A5E37">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19D635" w14:textId="33DEFD99" w:rsidR="001A5E37" w:rsidRPr="00E02B32" w:rsidRDefault="001A5E37" w:rsidP="008C7C83">
            <w:r w:rsidRPr="001A5E37">
              <w:rPr>
                <w:b/>
                <w:bCs/>
              </w:rPr>
              <w:t>Tuesday, April 1, 2025</w:t>
            </w:r>
            <w:r w:rsidRPr="00E02B32">
              <w:t xml:space="preserve"> – </w:t>
            </w:r>
            <w:r w:rsidRPr="00E02B32">
              <w:rPr>
                <w:i/>
                <w:iCs/>
              </w:rPr>
              <w:t>Submission of Report to the</w:t>
            </w:r>
            <w:r>
              <w:rPr>
                <w:i/>
                <w:iCs/>
              </w:rPr>
              <w:t xml:space="preserve"> </w:t>
            </w:r>
            <w:r w:rsidRPr="00E02B32">
              <w:rPr>
                <w:i/>
                <w:iCs/>
              </w:rPr>
              <w:t>Legislature</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3B9037" w14:textId="77777777" w:rsidR="001A5E37" w:rsidRPr="00E02B32" w:rsidRDefault="001A5E37" w:rsidP="001A5E37">
            <w:pPr>
              <w:pStyle w:val="NoSpacing"/>
            </w:pPr>
          </w:p>
        </w:tc>
      </w:tr>
    </w:tbl>
    <w:p w14:paraId="4DE299EB" w14:textId="77777777" w:rsidR="00920C67" w:rsidRDefault="00920C67" w:rsidP="006A7B0B"/>
    <w:sectPr w:rsidR="00920C67"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4ED3A97"/>
    <w:multiLevelType w:val="hybridMultilevel"/>
    <w:tmpl w:val="F4645C56"/>
    <w:lvl w:ilvl="0" w:tplc="A34E9A6E">
      <w:start w:val="1"/>
      <w:numFmt w:val="bullet"/>
      <w:lvlText w:val="•"/>
      <w:lvlJc w:val="left"/>
      <w:pPr>
        <w:tabs>
          <w:tab w:val="num" w:pos="720"/>
        </w:tabs>
        <w:ind w:left="720" w:hanging="360"/>
      </w:pPr>
      <w:rPr>
        <w:rFonts w:ascii="Arial" w:hAnsi="Arial" w:hint="default"/>
      </w:rPr>
    </w:lvl>
    <w:lvl w:ilvl="1" w:tplc="0C52FDE6" w:tentative="1">
      <w:start w:val="1"/>
      <w:numFmt w:val="bullet"/>
      <w:lvlText w:val="•"/>
      <w:lvlJc w:val="left"/>
      <w:pPr>
        <w:tabs>
          <w:tab w:val="num" w:pos="1440"/>
        </w:tabs>
        <w:ind w:left="1440" w:hanging="360"/>
      </w:pPr>
      <w:rPr>
        <w:rFonts w:ascii="Arial" w:hAnsi="Arial" w:hint="default"/>
      </w:rPr>
    </w:lvl>
    <w:lvl w:ilvl="2" w:tplc="2B805A6E" w:tentative="1">
      <w:start w:val="1"/>
      <w:numFmt w:val="bullet"/>
      <w:lvlText w:val="•"/>
      <w:lvlJc w:val="left"/>
      <w:pPr>
        <w:tabs>
          <w:tab w:val="num" w:pos="2160"/>
        </w:tabs>
        <w:ind w:left="2160" w:hanging="360"/>
      </w:pPr>
      <w:rPr>
        <w:rFonts w:ascii="Arial" w:hAnsi="Arial" w:hint="default"/>
      </w:rPr>
    </w:lvl>
    <w:lvl w:ilvl="3" w:tplc="C3BA5FA8" w:tentative="1">
      <w:start w:val="1"/>
      <w:numFmt w:val="bullet"/>
      <w:lvlText w:val="•"/>
      <w:lvlJc w:val="left"/>
      <w:pPr>
        <w:tabs>
          <w:tab w:val="num" w:pos="2880"/>
        </w:tabs>
        <w:ind w:left="2880" w:hanging="360"/>
      </w:pPr>
      <w:rPr>
        <w:rFonts w:ascii="Arial" w:hAnsi="Arial" w:hint="default"/>
      </w:rPr>
    </w:lvl>
    <w:lvl w:ilvl="4" w:tplc="13482C28" w:tentative="1">
      <w:start w:val="1"/>
      <w:numFmt w:val="bullet"/>
      <w:lvlText w:val="•"/>
      <w:lvlJc w:val="left"/>
      <w:pPr>
        <w:tabs>
          <w:tab w:val="num" w:pos="3600"/>
        </w:tabs>
        <w:ind w:left="3600" w:hanging="360"/>
      </w:pPr>
      <w:rPr>
        <w:rFonts w:ascii="Arial" w:hAnsi="Arial" w:hint="default"/>
      </w:rPr>
    </w:lvl>
    <w:lvl w:ilvl="5" w:tplc="63566A10" w:tentative="1">
      <w:start w:val="1"/>
      <w:numFmt w:val="bullet"/>
      <w:lvlText w:val="•"/>
      <w:lvlJc w:val="left"/>
      <w:pPr>
        <w:tabs>
          <w:tab w:val="num" w:pos="4320"/>
        </w:tabs>
        <w:ind w:left="4320" w:hanging="360"/>
      </w:pPr>
      <w:rPr>
        <w:rFonts w:ascii="Arial" w:hAnsi="Arial" w:hint="default"/>
      </w:rPr>
    </w:lvl>
    <w:lvl w:ilvl="6" w:tplc="58369038" w:tentative="1">
      <w:start w:val="1"/>
      <w:numFmt w:val="bullet"/>
      <w:lvlText w:val="•"/>
      <w:lvlJc w:val="left"/>
      <w:pPr>
        <w:tabs>
          <w:tab w:val="num" w:pos="5040"/>
        </w:tabs>
        <w:ind w:left="5040" w:hanging="360"/>
      </w:pPr>
      <w:rPr>
        <w:rFonts w:ascii="Arial" w:hAnsi="Arial" w:hint="default"/>
      </w:rPr>
    </w:lvl>
    <w:lvl w:ilvl="7" w:tplc="45568876" w:tentative="1">
      <w:start w:val="1"/>
      <w:numFmt w:val="bullet"/>
      <w:lvlText w:val="•"/>
      <w:lvlJc w:val="left"/>
      <w:pPr>
        <w:tabs>
          <w:tab w:val="num" w:pos="5760"/>
        </w:tabs>
        <w:ind w:left="5760" w:hanging="360"/>
      </w:pPr>
      <w:rPr>
        <w:rFonts w:ascii="Arial" w:hAnsi="Arial" w:hint="default"/>
      </w:rPr>
    </w:lvl>
    <w:lvl w:ilvl="8" w:tplc="7E26F6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7"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8"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9" w15:restartNumberingAfterBreak="0">
    <w:nsid w:val="11F35077"/>
    <w:multiLevelType w:val="hybridMultilevel"/>
    <w:tmpl w:val="3EACBEF0"/>
    <w:lvl w:ilvl="0" w:tplc="9A44C0F0">
      <w:start w:val="1"/>
      <w:numFmt w:val="lowerRoman"/>
      <w:lvlText w:val="(%1)"/>
      <w:lvlJc w:val="right"/>
      <w:pPr>
        <w:tabs>
          <w:tab w:val="num" w:pos="720"/>
        </w:tabs>
        <w:ind w:left="720" w:hanging="360"/>
      </w:pPr>
    </w:lvl>
    <w:lvl w:ilvl="1" w:tplc="5AB06D44" w:tentative="1">
      <w:start w:val="1"/>
      <w:numFmt w:val="lowerRoman"/>
      <w:lvlText w:val="(%2)"/>
      <w:lvlJc w:val="right"/>
      <w:pPr>
        <w:tabs>
          <w:tab w:val="num" w:pos="1440"/>
        </w:tabs>
        <w:ind w:left="1440" w:hanging="360"/>
      </w:pPr>
    </w:lvl>
    <w:lvl w:ilvl="2" w:tplc="45D8CF58" w:tentative="1">
      <w:start w:val="1"/>
      <w:numFmt w:val="lowerRoman"/>
      <w:lvlText w:val="(%3)"/>
      <w:lvlJc w:val="right"/>
      <w:pPr>
        <w:tabs>
          <w:tab w:val="num" w:pos="2160"/>
        </w:tabs>
        <w:ind w:left="2160" w:hanging="360"/>
      </w:pPr>
    </w:lvl>
    <w:lvl w:ilvl="3" w:tplc="EF60D754" w:tentative="1">
      <w:start w:val="1"/>
      <w:numFmt w:val="lowerRoman"/>
      <w:lvlText w:val="(%4)"/>
      <w:lvlJc w:val="right"/>
      <w:pPr>
        <w:tabs>
          <w:tab w:val="num" w:pos="2880"/>
        </w:tabs>
        <w:ind w:left="2880" w:hanging="360"/>
      </w:pPr>
    </w:lvl>
    <w:lvl w:ilvl="4" w:tplc="2AF2E7DC" w:tentative="1">
      <w:start w:val="1"/>
      <w:numFmt w:val="lowerRoman"/>
      <w:lvlText w:val="(%5)"/>
      <w:lvlJc w:val="right"/>
      <w:pPr>
        <w:tabs>
          <w:tab w:val="num" w:pos="3600"/>
        </w:tabs>
        <w:ind w:left="3600" w:hanging="360"/>
      </w:pPr>
    </w:lvl>
    <w:lvl w:ilvl="5" w:tplc="8C087DC6" w:tentative="1">
      <w:start w:val="1"/>
      <w:numFmt w:val="lowerRoman"/>
      <w:lvlText w:val="(%6)"/>
      <w:lvlJc w:val="right"/>
      <w:pPr>
        <w:tabs>
          <w:tab w:val="num" w:pos="4320"/>
        </w:tabs>
        <w:ind w:left="4320" w:hanging="360"/>
      </w:pPr>
    </w:lvl>
    <w:lvl w:ilvl="6" w:tplc="77DCB774" w:tentative="1">
      <w:start w:val="1"/>
      <w:numFmt w:val="lowerRoman"/>
      <w:lvlText w:val="(%7)"/>
      <w:lvlJc w:val="right"/>
      <w:pPr>
        <w:tabs>
          <w:tab w:val="num" w:pos="5040"/>
        </w:tabs>
        <w:ind w:left="5040" w:hanging="360"/>
      </w:pPr>
    </w:lvl>
    <w:lvl w:ilvl="7" w:tplc="7040A3FC" w:tentative="1">
      <w:start w:val="1"/>
      <w:numFmt w:val="lowerRoman"/>
      <w:lvlText w:val="(%8)"/>
      <w:lvlJc w:val="right"/>
      <w:pPr>
        <w:tabs>
          <w:tab w:val="num" w:pos="5760"/>
        </w:tabs>
        <w:ind w:left="5760" w:hanging="360"/>
      </w:pPr>
    </w:lvl>
    <w:lvl w:ilvl="8" w:tplc="62188BA0" w:tentative="1">
      <w:start w:val="1"/>
      <w:numFmt w:val="lowerRoman"/>
      <w:lvlText w:val="(%9)"/>
      <w:lvlJc w:val="right"/>
      <w:pPr>
        <w:tabs>
          <w:tab w:val="num" w:pos="6480"/>
        </w:tabs>
        <w:ind w:left="6480" w:hanging="360"/>
      </w:pPr>
    </w:lvl>
  </w:abstractNum>
  <w:abstractNum w:abstractNumId="10"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4"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19C66766"/>
    <w:multiLevelType w:val="hybridMultilevel"/>
    <w:tmpl w:val="FBE2D696"/>
    <w:lvl w:ilvl="0" w:tplc="04090001">
      <w:start w:val="1"/>
      <w:numFmt w:val="bullet"/>
      <w:lvlText w:val=""/>
      <w:lvlJc w:val="left"/>
      <w:pPr>
        <w:ind w:left="322" w:hanging="360"/>
      </w:pPr>
      <w:rPr>
        <w:rFonts w:ascii="Symbol" w:hAnsi="Symbol" w:hint="default"/>
      </w:rPr>
    </w:lvl>
    <w:lvl w:ilvl="1" w:tplc="04090003" w:tentative="1">
      <w:start w:val="1"/>
      <w:numFmt w:val="bullet"/>
      <w:lvlText w:val="o"/>
      <w:lvlJc w:val="left"/>
      <w:pPr>
        <w:ind w:left="1042" w:hanging="360"/>
      </w:pPr>
      <w:rPr>
        <w:rFonts w:ascii="Courier New" w:hAnsi="Courier New" w:cs="Courier New" w:hint="default"/>
      </w:rPr>
    </w:lvl>
    <w:lvl w:ilvl="2" w:tplc="04090005" w:tentative="1">
      <w:start w:val="1"/>
      <w:numFmt w:val="bullet"/>
      <w:lvlText w:val=""/>
      <w:lvlJc w:val="left"/>
      <w:pPr>
        <w:ind w:left="1762" w:hanging="360"/>
      </w:pPr>
      <w:rPr>
        <w:rFonts w:ascii="Wingdings" w:hAnsi="Wingdings" w:hint="default"/>
      </w:rPr>
    </w:lvl>
    <w:lvl w:ilvl="3" w:tplc="04090001" w:tentative="1">
      <w:start w:val="1"/>
      <w:numFmt w:val="bullet"/>
      <w:lvlText w:val=""/>
      <w:lvlJc w:val="left"/>
      <w:pPr>
        <w:ind w:left="2482" w:hanging="360"/>
      </w:pPr>
      <w:rPr>
        <w:rFonts w:ascii="Symbol" w:hAnsi="Symbol" w:hint="default"/>
      </w:rPr>
    </w:lvl>
    <w:lvl w:ilvl="4" w:tplc="04090003" w:tentative="1">
      <w:start w:val="1"/>
      <w:numFmt w:val="bullet"/>
      <w:lvlText w:val="o"/>
      <w:lvlJc w:val="left"/>
      <w:pPr>
        <w:ind w:left="3202" w:hanging="360"/>
      </w:pPr>
      <w:rPr>
        <w:rFonts w:ascii="Courier New" w:hAnsi="Courier New" w:cs="Courier New" w:hint="default"/>
      </w:rPr>
    </w:lvl>
    <w:lvl w:ilvl="5" w:tplc="04090005" w:tentative="1">
      <w:start w:val="1"/>
      <w:numFmt w:val="bullet"/>
      <w:lvlText w:val=""/>
      <w:lvlJc w:val="left"/>
      <w:pPr>
        <w:ind w:left="3922" w:hanging="360"/>
      </w:pPr>
      <w:rPr>
        <w:rFonts w:ascii="Wingdings" w:hAnsi="Wingdings" w:hint="default"/>
      </w:rPr>
    </w:lvl>
    <w:lvl w:ilvl="6" w:tplc="04090001" w:tentative="1">
      <w:start w:val="1"/>
      <w:numFmt w:val="bullet"/>
      <w:lvlText w:val=""/>
      <w:lvlJc w:val="left"/>
      <w:pPr>
        <w:ind w:left="4642" w:hanging="360"/>
      </w:pPr>
      <w:rPr>
        <w:rFonts w:ascii="Symbol" w:hAnsi="Symbol" w:hint="default"/>
      </w:rPr>
    </w:lvl>
    <w:lvl w:ilvl="7" w:tplc="04090003" w:tentative="1">
      <w:start w:val="1"/>
      <w:numFmt w:val="bullet"/>
      <w:lvlText w:val="o"/>
      <w:lvlJc w:val="left"/>
      <w:pPr>
        <w:ind w:left="5362" w:hanging="360"/>
      </w:pPr>
      <w:rPr>
        <w:rFonts w:ascii="Courier New" w:hAnsi="Courier New" w:cs="Courier New" w:hint="default"/>
      </w:rPr>
    </w:lvl>
    <w:lvl w:ilvl="8" w:tplc="04090005" w:tentative="1">
      <w:start w:val="1"/>
      <w:numFmt w:val="bullet"/>
      <w:lvlText w:val=""/>
      <w:lvlJc w:val="left"/>
      <w:pPr>
        <w:ind w:left="6082" w:hanging="360"/>
      </w:pPr>
      <w:rPr>
        <w:rFonts w:ascii="Wingdings" w:hAnsi="Wingdings" w:hint="default"/>
      </w:rPr>
    </w:lvl>
  </w:abstractNum>
  <w:abstractNum w:abstractNumId="19"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20"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22"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25"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350F4DAB"/>
    <w:multiLevelType w:val="hybridMultilevel"/>
    <w:tmpl w:val="9A600050"/>
    <w:lvl w:ilvl="0" w:tplc="4C0AA48C">
      <w:start w:val="1"/>
      <w:numFmt w:val="lowerRoman"/>
      <w:lvlText w:val="(%1)"/>
      <w:lvlJc w:val="right"/>
      <w:pPr>
        <w:tabs>
          <w:tab w:val="num" w:pos="720"/>
        </w:tabs>
        <w:ind w:left="720" w:hanging="360"/>
      </w:pPr>
    </w:lvl>
    <w:lvl w:ilvl="1" w:tplc="3C5046CC">
      <w:start w:val="1"/>
      <w:numFmt w:val="lowerRoman"/>
      <w:lvlText w:val="(%2)"/>
      <w:lvlJc w:val="right"/>
      <w:pPr>
        <w:tabs>
          <w:tab w:val="num" w:pos="1440"/>
        </w:tabs>
        <w:ind w:left="1440" w:hanging="360"/>
      </w:pPr>
    </w:lvl>
    <w:lvl w:ilvl="2" w:tplc="8A488790" w:tentative="1">
      <w:start w:val="1"/>
      <w:numFmt w:val="lowerRoman"/>
      <w:lvlText w:val="(%3)"/>
      <w:lvlJc w:val="right"/>
      <w:pPr>
        <w:tabs>
          <w:tab w:val="num" w:pos="2160"/>
        </w:tabs>
        <w:ind w:left="2160" w:hanging="360"/>
      </w:pPr>
    </w:lvl>
    <w:lvl w:ilvl="3" w:tplc="10BE95E6" w:tentative="1">
      <w:start w:val="1"/>
      <w:numFmt w:val="lowerRoman"/>
      <w:lvlText w:val="(%4)"/>
      <w:lvlJc w:val="right"/>
      <w:pPr>
        <w:tabs>
          <w:tab w:val="num" w:pos="2880"/>
        </w:tabs>
        <w:ind w:left="2880" w:hanging="360"/>
      </w:pPr>
    </w:lvl>
    <w:lvl w:ilvl="4" w:tplc="430A30AA" w:tentative="1">
      <w:start w:val="1"/>
      <w:numFmt w:val="lowerRoman"/>
      <w:lvlText w:val="(%5)"/>
      <w:lvlJc w:val="right"/>
      <w:pPr>
        <w:tabs>
          <w:tab w:val="num" w:pos="3600"/>
        </w:tabs>
        <w:ind w:left="3600" w:hanging="360"/>
      </w:pPr>
    </w:lvl>
    <w:lvl w:ilvl="5" w:tplc="6EAC17FA" w:tentative="1">
      <w:start w:val="1"/>
      <w:numFmt w:val="lowerRoman"/>
      <w:lvlText w:val="(%6)"/>
      <w:lvlJc w:val="right"/>
      <w:pPr>
        <w:tabs>
          <w:tab w:val="num" w:pos="4320"/>
        </w:tabs>
        <w:ind w:left="4320" w:hanging="360"/>
      </w:pPr>
    </w:lvl>
    <w:lvl w:ilvl="6" w:tplc="58EEF94E" w:tentative="1">
      <w:start w:val="1"/>
      <w:numFmt w:val="lowerRoman"/>
      <w:lvlText w:val="(%7)"/>
      <w:lvlJc w:val="right"/>
      <w:pPr>
        <w:tabs>
          <w:tab w:val="num" w:pos="5040"/>
        </w:tabs>
        <w:ind w:left="5040" w:hanging="360"/>
      </w:pPr>
    </w:lvl>
    <w:lvl w:ilvl="7" w:tplc="EDA216A8" w:tentative="1">
      <w:start w:val="1"/>
      <w:numFmt w:val="lowerRoman"/>
      <w:lvlText w:val="(%8)"/>
      <w:lvlJc w:val="right"/>
      <w:pPr>
        <w:tabs>
          <w:tab w:val="num" w:pos="5760"/>
        </w:tabs>
        <w:ind w:left="5760" w:hanging="360"/>
      </w:pPr>
    </w:lvl>
    <w:lvl w:ilvl="8" w:tplc="9DF4054C" w:tentative="1">
      <w:start w:val="1"/>
      <w:numFmt w:val="lowerRoman"/>
      <w:lvlText w:val="(%9)"/>
      <w:lvlJc w:val="right"/>
      <w:pPr>
        <w:tabs>
          <w:tab w:val="num" w:pos="6480"/>
        </w:tabs>
        <w:ind w:left="6480" w:hanging="360"/>
      </w:pPr>
    </w:lvl>
  </w:abstractNum>
  <w:abstractNum w:abstractNumId="30"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36" w15:restartNumberingAfterBreak="0">
    <w:nsid w:val="42585B52"/>
    <w:multiLevelType w:val="hybridMultilevel"/>
    <w:tmpl w:val="4FA8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47"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49"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51"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56"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abstractNum w:abstractNumId="57" w15:restartNumberingAfterBreak="0">
    <w:nsid w:val="7BF3647E"/>
    <w:multiLevelType w:val="hybridMultilevel"/>
    <w:tmpl w:val="0EE83756"/>
    <w:lvl w:ilvl="0" w:tplc="496E957E">
      <w:start w:val="1"/>
      <w:numFmt w:val="bullet"/>
      <w:lvlText w:val="•"/>
      <w:lvlJc w:val="left"/>
      <w:pPr>
        <w:tabs>
          <w:tab w:val="num" w:pos="720"/>
        </w:tabs>
        <w:ind w:left="720" w:hanging="360"/>
      </w:pPr>
      <w:rPr>
        <w:rFonts w:ascii="Arial" w:hAnsi="Arial" w:hint="default"/>
      </w:rPr>
    </w:lvl>
    <w:lvl w:ilvl="1" w:tplc="8D4AD16E" w:tentative="1">
      <w:start w:val="1"/>
      <w:numFmt w:val="bullet"/>
      <w:lvlText w:val="•"/>
      <w:lvlJc w:val="left"/>
      <w:pPr>
        <w:tabs>
          <w:tab w:val="num" w:pos="1440"/>
        </w:tabs>
        <w:ind w:left="1440" w:hanging="360"/>
      </w:pPr>
      <w:rPr>
        <w:rFonts w:ascii="Arial" w:hAnsi="Arial" w:hint="default"/>
      </w:rPr>
    </w:lvl>
    <w:lvl w:ilvl="2" w:tplc="EE8E4162" w:tentative="1">
      <w:start w:val="1"/>
      <w:numFmt w:val="bullet"/>
      <w:lvlText w:val="•"/>
      <w:lvlJc w:val="left"/>
      <w:pPr>
        <w:tabs>
          <w:tab w:val="num" w:pos="2160"/>
        </w:tabs>
        <w:ind w:left="2160" w:hanging="360"/>
      </w:pPr>
      <w:rPr>
        <w:rFonts w:ascii="Arial" w:hAnsi="Arial" w:hint="default"/>
      </w:rPr>
    </w:lvl>
    <w:lvl w:ilvl="3" w:tplc="D80E3DAA" w:tentative="1">
      <w:start w:val="1"/>
      <w:numFmt w:val="bullet"/>
      <w:lvlText w:val="•"/>
      <w:lvlJc w:val="left"/>
      <w:pPr>
        <w:tabs>
          <w:tab w:val="num" w:pos="2880"/>
        </w:tabs>
        <w:ind w:left="2880" w:hanging="360"/>
      </w:pPr>
      <w:rPr>
        <w:rFonts w:ascii="Arial" w:hAnsi="Arial" w:hint="default"/>
      </w:rPr>
    </w:lvl>
    <w:lvl w:ilvl="4" w:tplc="FB48B520" w:tentative="1">
      <w:start w:val="1"/>
      <w:numFmt w:val="bullet"/>
      <w:lvlText w:val="•"/>
      <w:lvlJc w:val="left"/>
      <w:pPr>
        <w:tabs>
          <w:tab w:val="num" w:pos="3600"/>
        </w:tabs>
        <w:ind w:left="3600" w:hanging="360"/>
      </w:pPr>
      <w:rPr>
        <w:rFonts w:ascii="Arial" w:hAnsi="Arial" w:hint="default"/>
      </w:rPr>
    </w:lvl>
    <w:lvl w:ilvl="5" w:tplc="2B860C66" w:tentative="1">
      <w:start w:val="1"/>
      <w:numFmt w:val="bullet"/>
      <w:lvlText w:val="•"/>
      <w:lvlJc w:val="left"/>
      <w:pPr>
        <w:tabs>
          <w:tab w:val="num" w:pos="4320"/>
        </w:tabs>
        <w:ind w:left="4320" w:hanging="360"/>
      </w:pPr>
      <w:rPr>
        <w:rFonts w:ascii="Arial" w:hAnsi="Arial" w:hint="default"/>
      </w:rPr>
    </w:lvl>
    <w:lvl w:ilvl="6" w:tplc="F4B0C272" w:tentative="1">
      <w:start w:val="1"/>
      <w:numFmt w:val="bullet"/>
      <w:lvlText w:val="•"/>
      <w:lvlJc w:val="left"/>
      <w:pPr>
        <w:tabs>
          <w:tab w:val="num" w:pos="5040"/>
        </w:tabs>
        <w:ind w:left="5040" w:hanging="360"/>
      </w:pPr>
      <w:rPr>
        <w:rFonts w:ascii="Arial" w:hAnsi="Arial" w:hint="default"/>
      </w:rPr>
    </w:lvl>
    <w:lvl w:ilvl="7" w:tplc="4B1E48B4" w:tentative="1">
      <w:start w:val="1"/>
      <w:numFmt w:val="bullet"/>
      <w:lvlText w:val="•"/>
      <w:lvlJc w:val="left"/>
      <w:pPr>
        <w:tabs>
          <w:tab w:val="num" w:pos="5760"/>
        </w:tabs>
        <w:ind w:left="5760" w:hanging="360"/>
      </w:pPr>
      <w:rPr>
        <w:rFonts w:ascii="Arial" w:hAnsi="Arial" w:hint="default"/>
      </w:rPr>
    </w:lvl>
    <w:lvl w:ilvl="8" w:tplc="A1408A96" w:tentative="1">
      <w:start w:val="1"/>
      <w:numFmt w:val="bullet"/>
      <w:lvlText w:val="•"/>
      <w:lvlJc w:val="left"/>
      <w:pPr>
        <w:tabs>
          <w:tab w:val="num" w:pos="6480"/>
        </w:tabs>
        <w:ind w:left="6480" w:hanging="360"/>
      </w:pPr>
      <w:rPr>
        <w:rFonts w:ascii="Arial" w:hAnsi="Arial" w:hint="default"/>
      </w:rPr>
    </w:lvl>
  </w:abstractNum>
  <w:num w:numId="1" w16cid:durableId="954021774">
    <w:abstractNumId w:val="13"/>
  </w:num>
  <w:num w:numId="2" w16cid:durableId="137769343">
    <w:abstractNumId w:val="15"/>
  </w:num>
  <w:num w:numId="3" w16cid:durableId="1856646806">
    <w:abstractNumId w:val="25"/>
  </w:num>
  <w:num w:numId="4" w16cid:durableId="1912620646">
    <w:abstractNumId w:val="39"/>
  </w:num>
  <w:num w:numId="5" w16cid:durableId="193740200">
    <w:abstractNumId w:val="32"/>
  </w:num>
  <w:num w:numId="6" w16cid:durableId="1657416401">
    <w:abstractNumId w:val="45"/>
  </w:num>
  <w:num w:numId="7" w16cid:durableId="1739473480">
    <w:abstractNumId w:val="12"/>
  </w:num>
  <w:num w:numId="8" w16cid:durableId="1865745443">
    <w:abstractNumId w:val="16"/>
  </w:num>
  <w:num w:numId="9" w16cid:durableId="1927808265">
    <w:abstractNumId w:val="22"/>
  </w:num>
  <w:num w:numId="10" w16cid:durableId="798230040">
    <w:abstractNumId w:val="17"/>
  </w:num>
  <w:num w:numId="11" w16cid:durableId="616059253">
    <w:abstractNumId w:val="23"/>
  </w:num>
  <w:num w:numId="12" w16cid:durableId="1153133639">
    <w:abstractNumId w:val="33"/>
  </w:num>
  <w:num w:numId="13" w16cid:durableId="1023895284">
    <w:abstractNumId w:val="5"/>
  </w:num>
  <w:num w:numId="14" w16cid:durableId="1717118984">
    <w:abstractNumId w:val="28"/>
  </w:num>
  <w:num w:numId="15" w16cid:durableId="247156980">
    <w:abstractNumId w:val="7"/>
  </w:num>
  <w:num w:numId="16" w16cid:durableId="1851525081">
    <w:abstractNumId w:val="50"/>
  </w:num>
  <w:num w:numId="17" w16cid:durableId="1143547275">
    <w:abstractNumId w:val="11"/>
  </w:num>
  <w:num w:numId="18" w16cid:durableId="569272913">
    <w:abstractNumId w:val="19"/>
  </w:num>
  <w:num w:numId="19" w16cid:durableId="1049299354">
    <w:abstractNumId w:val="56"/>
  </w:num>
  <w:num w:numId="20" w16cid:durableId="2053648644">
    <w:abstractNumId w:val="30"/>
  </w:num>
  <w:num w:numId="21" w16cid:durableId="1412580554">
    <w:abstractNumId w:val="44"/>
  </w:num>
  <w:num w:numId="22" w16cid:durableId="1897278164">
    <w:abstractNumId w:val="26"/>
  </w:num>
  <w:num w:numId="23" w16cid:durableId="1149400780">
    <w:abstractNumId w:val="20"/>
  </w:num>
  <w:num w:numId="24" w16cid:durableId="1415393041">
    <w:abstractNumId w:val="53"/>
  </w:num>
  <w:num w:numId="25" w16cid:durableId="283393495">
    <w:abstractNumId w:val="55"/>
  </w:num>
  <w:num w:numId="26" w16cid:durableId="921793803">
    <w:abstractNumId w:val="31"/>
  </w:num>
  <w:num w:numId="27" w16cid:durableId="475411686">
    <w:abstractNumId w:val="34"/>
  </w:num>
  <w:num w:numId="28" w16cid:durableId="868953732">
    <w:abstractNumId w:val="43"/>
  </w:num>
  <w:num w:numId="29" w16cid:durableId="718019494">
    <w:abstractNumId w:val="0"/>
  </w:num>
  <w:num w:numId="30" w16cid:durableId="637614326">
    <w:abstractNumId w:val="2"/>
  </w:num>
  <w:num w:numId="31" w16cid:durableId="1572426260">
    <w:abstractNumId w:val="38"/>
  </w:num>
  <w:num w:numId="32" w16cid:durableId="77992166">
    <w:abstractNumId w:val="14"/>
  </w:num>
  <w:num w:numId="33" w16cid:durableId="114177750">
    <w:abstractNumId w:val="1"/>
  </w:num>
  <w:num w:numId="34" w16cid:durableId="1098060081">
    <w:abstractNumId w:val="35"/>
  </w:num>
  <w:num w:numId="35" w16cid:durableId="1703240681">
    <w:abstractNumId w:val="27"/>
  </w:num>
  <w:num w:numId="36" w16cid:durableId="1807161785">
    <w:abstractNumId w:val="6"/>
  </w:num>
  <w:num w:numId="37" w16cid:durableId="842938580">
    <w:abstractNumId w:val="40"/>
  </w:num>
  <w:num w:numId="38" w16cid:durableId="1546481650">
    <w:abstractNumId w:val="47"/>
  </w:num>
  <w:num w:numId="39" w16cid:durableId="1583373031">
    <w:abstractNumId w:val="49"/>
  </w:num>
  <w:num w:numId="40" w16cid:durableId="75131362">
    <w:abstractNumId w:val="37"/>
  </w:num>
  <w:num w:numId="41" w16cid:durableId="737364539">
    <w:abstractNumId w:val="42"/>
  </w:num>
  <w:num w:numId="42" w16cid:durableId="2038575247">
    <w:abstractNumId w:val="10"/>
  </w:num>
  <w:num w:numId="43" w16cid:durableId="463279068">
    <w:abstractNumId w:val="54"/>
  </w:num>
  <w:num w:numId="44" w16cid:durableId="31462249">
    <w:abstractNumId w:val="52"/>
  </w:num>
  <w:num w:numId="45" w16cid:durableId="1787919443">
    <w:abstractNumId w:val="51"/>
  </w:num>
  <w:num w:numId="46" w16cid:durableId="147020111">
    <w:abstractNumId w:val="41"/>
  </w:num>
  <w:num w:numId="47" w16cid:durableId="2135050976">
    <w:abstractNumId w:val="4"/>
  </w:num>
  <w:num w:numId="48" w16cid:durableId="1223254822">
    <w:abstractNumId w:val="21"/>
  </w:num>
  <w:num w:numId="49" w16cid:durableId="434130816">
    <w:abstractNumId w:val="48"/>
  </w:num>
  <w:num w:numId="50" w16cid:durableId="1900286568">
    <w:abstractNumId w:val="8"/>
  </w:num>
  <w:num w:numId="51" w16cid:durableId="2078046558">
    <w:abstractNumId w:val="24"/>
  </w:num>
  <w:num w:numId="52" w16cid:durableId="1190683833">
    <w:abstractNumId w:val="46"/>
  </w:num>
  <w:num w:numId="53" w16cid:durableId="1875649843">
    <w:abstractNumId w:val="9"/>
  </w:num>
  <w:num w:numId="54" w16cid:durableId="1239166888">
    <w:abstractNumId w:val="29"/>
  </w:num>
  <w:num w:numId="55" w16cid:durableId="453140902">
    <w:abstractNumId w:val="57"/>
  </w:num>
  <w:num w:numId="56" w16cid:durableId="358896560">
    <w:abstractNumId w:val="3"/>
  </w:num>
  <w:num w:numId="57" w16cid:durableId="517694657">
    <w:abstractNumId w:val="18"/>
  </w:num>
  <w:num w:numId="58" w16cid:durableId="811409297">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1264B3"/>
    <w:rsid w:val="00130192"/>
    <w:rsid w:val="00177D44"/>
    <w:rsid w:val="001A5E37"/>
    <w:rsid w:val="001D3E09"/>
    <w:rsid w:val="001F4144"/>
    <w:rsid w:val="002014F3"/>
    <w:rsid w:val="002207C7"/>
    <w:rsid w:val="00246547"/>
    <w:rsid w:val="002544B0"/>
    <w:rsid w:val="002604A4"/>
    <w:rsid w:val="002823E6"/>
    <w:rsid w:val="002B7D99"/>
    <w:rsid w:val="002C620C"/>
    <w:rsid w:val="0031623E"/>
    <w:rsid w:val="0032612A"/>
    <w:rsid w:val="00393C79"/>
    <w:rsid w:val="00394C71"/>
    <w:rsid w:val="00410A9F"/>
    <w:rsid w:val="0042258B"/>
    <w:rsid w:val="0048485D"/>
    <w:rsid w:val="00520FA5"/>
    <w:rsid w:val="005257BF"/>
    <w:rsid w:val="005A0D34"/>
    <w:rsid w:val="005F0E38"/>
    <w:rsid w:val="005F33B6"/>
    <w:rsid w:val="00602E70"/>
    <w:rsid w:val="00611123"/>
    <w:rsid w:val="00647CF6"/>
    <w:rsid w:val="00676B78"/>
    <w:rsid w:val="006864D9"/>
    <w:rsid w:val="006A7B0B"/>
    <w:rsid w:val="006C25CE"/>
    <w:rsid w:val="006F374A"/>
    <w:rsid w:val="00704409"/>
    <w:rsid w:val="00707E22"/>
    <w:rsid w:val="00710530"/>
    <w:rsid w:val="007636A5"/>
    <w:rsid w:val="007B6CCA"/>
    <w:rsid w:val="00836B8C"/>
    <w:rsid w:val="00885CA1"/>
    <w:rsid w:val="00892C07"/>
    <w:rsid w:val="008938C6"/>
    <w:rsid w:val="008C7C83"/>
    <w:rsid w:val="008E7424"/>
    <w:rsid w:val="008F39C0"/>
    <w:rsid w:val="00920C67"/>
    <w:rsid w:val="009932A8"/>
    <w:rsid w:val="00995BBE"/>
    <w:rsid w:val="009C22EC"/>
    <w:rsid w:val="009D56F4"/>
    <w:rsid w:val="009E3485"/>
    <w:rsid w:val="00A14324"/>
    <w:rsid w:val="00AF40E0"/>
    <w:rsid w:val="00AF4867"/>
    <w:rsid w:val="00B13739"/>
    <w:rsid w:val="00B713F3"/>
    <w:rsid w:val="00B92012"/>
    <w:rsid w:val="00B93233"/>
    <w:rsid w:val="00BA6A2C"/>
    <w:rsid w:val="00BB1A20"/>
    <w:rsid w:val="00BB61CE"/>
    <w:rsid w:val="00BC3FC7"/>
    <w:rsid w:val="00BF2FEF"/>
    <w:rsid w:val="00C213D0"/>
    <w:rsid w:val="00C33DED"/>
    <w:rsid w:val="00C54404"/>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57946"/>
    <w:rsid w:val="00D77767"/>
    <w:rsid w:val="00D861E5"/>
    <w:rsid w:val="00DE3863"/>
    <w:rsid w:val="00DF004E"/>
    <w:rsid w:val="00DF3247"/>
    <w:rsid w:val="00E02B32"/>
    <w:rsid w:val="00E60A77"/>
    <w:rsid w:val="00EB4EBA"/>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13D0"/>
    <w:rPr>
      <w:color w:val="954F72" w:themeColor="followedHyperlink"/>
      <w:u w:val="single"/>
    </w:rPr>
  </w:style>
  <w:style w:type="paragraph" w:styleId="NoSpacing">
    <w:name w:val="No Spacing"/>
    <w:uiPriority w:val="1"/>
    <w:qFormat/>
    <w:rsid w:val="001A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78403750">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84502493">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2420672">
      <w:bodyDiv w:val="1"/>
      <w:marLeft w:val="0"/>
      <w:marRight w:val="0"/>
      <w:marTop w:val="0"/>
      <w:marBottom w:val="0"/>
      <w:divBdr>
        <w:top w:val="none" w:sz="0" w:space="0" w:color="auto"/>
        <w:left w:val="none" w:sz="0" w:space="0" w:color="auto"/>
        <w:bottom w:val="none" w:sz="0" w:space="0" w:color="auto"/>
        <w:right w:val="none" w:sz="0" w:space="0" w:color="auto"/>
      </w:divBdr>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903757739">
      <w:bodyDiv w:val="1"/>
      <w:marLeft w:val="0"/>
      <w:marRight w:val="0"/>
      <w:marTop w:val="0"/>
      <w:marBottom w:val="0"/>
      <w:divBdr>
        <w:top w:val="none" w:sz="0" w:space="0" w:color="auto"/>
        <w:left w:val="none" w:sz="0" w:space="0" w:color="auto"/>
        <w:bottom w:val="none" w:sz="0" w:space="0" w:color="auto"/>
        <w:right w:val="none" w:sz="0" w:space="0" w:color="auto"/>
      </w:divBdr>
      <w:divsChild>
        <w:div w:id="1361318474">
          <w:marLeft w:val="446"/>
          <w:marRight w:val="0"/>
          <w:marTop w:val="0"/>
          <w:marBottom w:val="0"/>
          <w:divBdr>
            <w:top w:val="none" w:sz="0" w:space="0" w:color="auto"/>
            <w:left w:val="none" w:sz="0" w:space="0" w:color="auto"/>
            <w:bottom w:val="none" w:sz="0" w:space="0" w:color="auto"/>
            <w:right w:val="none" w:sz="0" w:space="0" w:color="auto"/>
          </w:divBdr>
        </w:div>
        <w:div w:id="1633248389">
          <w:marLeft w:val="446"/>
          <w:marRight w:val="0"/>
          <w:marTop w:val="0"/>
          <w:marBottom w:val="0"/>
          <w:divBdr>
            <w:top w:val="none" w:sz="0" w:space="0" w:color="auto"/>
            <w:left w:val="none" w:sz="0" w:space="0" w:color="auto"/>
            <w:bottom w:val="none" w:sz="0" w:space="0" w:color="auto"/>
            <w:right w:val="none" w:sz="0" w:space="0" w:color="auto"/>
          </w:divBdr>
        </w:div>
        <w:div w:id="1189294035">
          <w:marLeft w:val="446"/>
          <w:marRight w:val="0"/>
          <w:marTop w:val="0"/>
          <w:marBottom w:val="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59592642">
      <w:bodyDiv w:val="1"/>
      <w:marLeft w:val="0"/>
      <w:marRight w:val="0"/>
      <w:marTop w:val="0"/>
      <w:marBottom w:val="0"/>
      <w:divBdr>
        <w:top w:val="none" w:sz="0" w:space="0" w:color="auto"/>
        <w:left w:val="none" w:sz="0" w:space="0" w:color="auto"/>
        <w:bottom w:val="none" w:sz="0" w:space="0" w:color="auto"/>
        <w:right w:val="none" w:sz="0" w:space="0" w:color="auto"/>
      </w:divBdr>
      <w:divsChild>
        <w:div w:id="1449350938">
          <w:marLeft w:val="1354"/>
          <w:marRight w:val="0"/>
          <w:marTop w:val="0"/>
          <w:marBottom w:val="0"/>
          <w:divBdr>
            <w:top w:val="none" w:sz="0" w:space="0" w:color="auto"/>
            <w:left w:val="none" w:sz="0" w:space="0" w:color="auto"/>
            <w:bottom w:val="none" w:sz="0" w:space="0" w:color="auto"/>
            <w:right w:val="none" w:sz="0" w:space="0" w:color="auto"/>
          </w:divBdr>
        </w:div>
        <w:div w:id="913469970">
          <w:marLeft w:val="1354"/>
          <w:marRight w:val="0"/>
          <w:marTop w:val="0"/>
          <w:marBottom w:val="0"/>
          <w:divBdr>
            <w:top w:val="none" w:sz="0" w:space="0" w:color="auto"/>
            <w:left w:val="none" w:sz="0" w:space="0" w:color="auto"/>
            <w:bottom w:val="none" w:sz="0" w:space="0" w:color="auto"/>
            <w:right w:val="none" w:sz="0" w:space="0" w:color="auto"/>
          </w:divBdr>
        </w:div>
        <w:div w:id="1618760428">
          <w:marLeft w:val="1354"/>
          <w:marRight w:val="0"/>
          <w:marTop w:val="0"/>
          <w:marBottom w:val="0"/>
          <w:divBdr>
            <w:top w:val="none" w:sz="0" w:space="0" w:color="auto"/>
            <w:left w:val="none" w:sz="0" w:space="0" w:color="auto"/>
            <w:bottom w:val="none" w:sz="0" w:space="0" w:color="auto"/>
            <w:right w:val="none" w:sz="0" w:space="0" w:color="auto"/>
          </w:divBdr>
        </w:div>
        <w:div w:id="1063261451">
          <w:marLeft w:val="1354"/>
          <w:marRight w:val="0"/>
          <w:marTop w:val="0"/>
          <w:marBottom w:val="0"/>
          <w:divBdr>
            <w:top w:val="none" w:sz="0" w:space="0" w:color="auto"/>
            <w:left w:val="none" w:sz="0" w:space="0" w:color="auto"/>
            <w:bottom w:val="none" w:sz="0" w:space="0" w:color="auto"/>
            <w:right w:val="none" w:sz="0" w:space="0" w:color="auto"/>
          </w:divBdr>
        </w:div>
        <w:div w:id="1700468518">
          <w:marLeft w:val="1354"/>
          <w:marRight w:val="0"/>
          <w:marTop w:val="0"/>
          <w:marBottom w:val="0"/>
          <w:divBdr>
            <w:top w:val="none" w:sz="0" w:space="0" w:color="auto"/>
            <w:left w:val="none" w:sz="0" w:space="0" w:color="auto"/>
            <w:bottom w:val="none" w:sz="0" w:space="0" w:color="auto"/>
            <w:right w:val="none" w:sz="0" w:space="0" w:color="auto"/>
          </w:divBdr>
        </w:div>
        <w:div w:id="1403792909">
          <w:marLeft w:val="1354"/>
          <w:marRight w:val="0"/>
          <w:marTop w:val="0"/>
          <w:marBottom w:val="0"/>
          <w:divBdr>
            <w:top w:val="none" w:sz="0" w:space="0" w:color="auto"/>
            <w:left w:val="none" w:sz="0" w:space="0" w:color="auto"/>
            <w:bottom w:val="none" w:sz="0" w:space="0" w:color="auto"/>
            <w:right w:val="none" w:sz="0" w:space="0" w:color="auto"/>
          </w:divBdr>
        </w:div>
        <w:div w:id="1022056145">
          <w:marLeft w:val="1354"/>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02451540">
      <w:bodyDiv w:val="1"/>
      <w:marLeft w:val="0"/>
      <w:marRight w:val="0"/>
      <w:marTop w:val="0"/>
      <w:marBottom w:val="0"/>
      <w:divBdr>
        <w:top w:val="none" w:sz="0" w:space="0" w:color="auto"/>
        <w:left w:val="none" w:sz="0" w:space="0" w:color="auto"/>
        <w:bottom w:val="none" w:sz="0" w:space="0" w:color="auto"/>
        <w:right w:val="none" w:sz="0" w:space="0" w:color="auto"/>
      </w:divBdr>
      <w:divsChild>
        <w:div w:id="1442534017">
          <w:marLeft w:val="446"/>
          <w:marRight w:val="0"/>
          <w:marTop w:val="0"/>
          <w:marBottom w:val="0"/>
          <w:divBdr>
            <w:top w:val="none" w:sz="0" w:space="0" w:color="auto"/>
            <w:left w:val="none" w:sz="0" w:space="0" w:color="auto"/>
            <w:bottom w:val="none" w:sz="0" w:space="0" w:color="auto"/>
            <w:right w:val="none" w:sz="0" w:space="0" w:color="auto"/>
          </w:divBdr>
        </w:div>
        <w:div w:id="802189650">
          <w:marLeft w:val="446"/>
          <w:marRight w:val="0"/>
          <w:marTop w:val="0"/>
          <w:marBottom w:val="0"/>
          <w:divBdr>
            <w:top w:val="none" w:sz="0" w:space="0" w:color="auto"/>
            <w:left w:val="none" w:sz="0" w:space="0" w:color="auto"/>
            <w:bottom w:val="none" w:sz="0" w:space="0" w:color="auto"/>
            <w:right w:val="none" w:sz="0" w:space="0" w:color="auto"/>
          </w:divBdr>
        </w:div>
        <w:div w:id="1407000379">
          <w:marLeft w:val="446"/>
          <w:marRight w:val="0"/>
          <w:marTop w:val="0"/>
          <w:marBottom w:val="0"/>
          <w:divBdr>
            <w:top w:val="none" w:sz="0" w:space="0" w:color="auto"/>
            <w:left w:val="none" w:sz="0" w:space="0" w:color="auto"/>
            <w:bottom w:val="none" w:sz="0" w:space="0" w:color="auto"/>
            <w:right w:val="none" w:sz="0" w:space="0" w:color="auto"/>
          </w:divBdr>
        </w:div>
      </w:divsChild>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60501391">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20544390">
      <w:bodyDiv w:val="1"/>
      <w:marLeft w:val="0"/>
      <w:marRight w:val="0"/>
      <w:marTop w:val="0"/>
      <w:marBottom w:val="0"/>
      <w:divBdr>
        <w:top w:val="none" w:sz="0" w:space="0" w:color="auto"/>
        <w:left w:val="none" w:sz="0" w:space="0" w:color="auto"/>
        <w:bottom w:val="none" w:sz="0" w:space="0" w:color="auto"/>
        <w:right w:val="none" w:sz="0" w:space="0" w:color="auto"/>
      </w:divBdr>
      <w:divsChild>
        <w:div w:id="180365645">
          <w:marLeft w:val="446"/>
          <w:marRight w:val="0"/>
          <w:marTop w:val="0"/>
          <w:marBottom w:val="0"/>
          <w:divBdr>
            <w:top w:val="none" w:sz="0" w:space="0" w:color="auto"/>
            <w:left w:val="none" w:sz="0" w:space="0" w:color="auto"/>
            <w:bottom w:val="none" w:sz="0" w:space="0" w:color="auto"/>
            <w:right w:val="none" w:sz="0" w:space="0" w:color="auto"/>
          </w:divBdr>
        </w:div>
        <w:div w:id="1470975150">
          <w:marLeft w:val="446"/>
          <w:marRight w:val="0"/>
          <w:marTop w:val="0"/>
          <w:marBottom w:val="0"/>
          <w:divBdr>
            <w:top w:val="none" w:sz="0" w:space="0" w:color="auto"/>
            <w:left w:val="none" w:sz="0" w:space="0" w:color="auto"/>
            <w:bottom w:val="none" w:sz="0" w:space="0" w:color="auto"/>
            <w:right w:val="none" w:sz="0" w:space="0" w:color="auto"/>
          </w:divBdr>
        </w:div>
        <w:div w:id="140932211">
          <w:marLeft w:val="446"/>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4017884">
      <w:bodyDiv w:val="1"/>
      <w:marLeft w:val="0"/>
      <w:marRight w:val="0"/>
      <w:marTop w:val="0"/>
      <w:marBottom w:val="0"/>
      <w:divBdr>
        <w:top w:val="none" w:sz="0" w:space="0" w:color="auto"/>
        <w:left w:val="none" w:sz="0" w:space="0" w:color="auto"/>
        <w:bottom w:val="none" w:sz="0" w:space="0" w:color="auto"/>
        <w:right w:val="none" w:sz="0" w:space="0" w:color="auto"/>
      </w:divBdr>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legislature.gov/Laws/SessionLaws/Acts/2024/Chapter1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legislature.gov/Laws/SessionLaws/Acts/2024/Chapter19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293</Words>
  <Characters>1673</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Slide 1</vt:lpstr>
      <vt:lpstr>    Agenda </vt:lpstr>
      <vt:lpstr>    Draft Annual Report</vt:lpstr>
      <vt:lpstr>    Trust Fund &amp; Planned Expenditures</vt:lpstr>
      <vt:lpstr>    Review of Workgroup Proposals</vt:lpstr>
      <vt:lpstr>    Review of Workgroup Proposals (cont.)</vt:lpstr>
      <vt:lpstr>    Upcoming Meetings and Next Steps</vt:lpstr>
      <vt:lpstr>    Statutory Changes within Chapter 177 of the Acts of 2022 (cont.)</vt:lpstr>
      <vt:lpstr>    Upcoming Meetings and Next Steps</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3</cp:revision>
  <dcterms:created xsi:type="dcterms:W3CDTF">2025-02-06T00:31:00Z</dcterms:created>
  <dcterms:modified xsi:type="dcterms:W3CDTF">2025-02-06T00:40:00Z</dcterms:modified>
</cp:coreProperties>
</file>