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2FA6" w14:textId="78B0C02B" w:rsidR="00782AB5" w:rsidRPr="00BF6036" w:rsidRDefault="363B63E9" w:rsidP="00BF6036">
      <w:pPr>
        <w:pStyle w:val="Heading1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BF6036">
        <w:rPr>
          <w:rFonts w:asciiTheme="minorHAnsi" w:hAnsiTheme="minorHAnsi" w:cstheme="minorHAnsi"/>
          <w:color w:val="auto"/>
          <w:sz w:val="28"/>
          <w:szCs w:val="28"/>
        </w:rPr>
        <w:t xml:space="preserve">Results of </w:t>
      </w:r>
      <w:r w:rsidRPr="00BF6036">
        <w:rPr>
          <w:rFonts w:asciiTheme="minorHAnsi" w:hAnsiTheme="minorHAnsi" w:cstheme="minorHAnsi"/>
          <w:i/>
          <w:iCs/>
          <w:color w:val="auto"/>
          <w:sz w:val="28"/>
          <w:szCs w:val="28"/>
        </w:rPr>
        <w:t>Neisseria gonorrhoeae</w:t>
      </w:r>
      <w:r w:rsidRPr="00BF6036">
        <w:rPr>
          <w:rFonts w:asciiTheme="minorHAnsi" w:hAnsiTheme="minorHAnsi" w:cstheme="minorHAnsi"/>
          <w:color w:val="auto"/>
          <w:sz w:val="28"/>
          <w:szCs w:val="28"/>
        </w:rPr>
        <w:t xml:space="preserve"> antibiotic susceptibility testing in Massachusetts, January 1, 202</w:t>
      </w:r>
      <w:r w:rsidR="76156711" w:rsidRPr="00BF6036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BF6036">
        <w:rPr>
          <w:rFonts w:asciiTheme="minorHAnsi" w:hAnsiTheme="minorHAnsi" w:cstheme="minorHAnsi"/>
          <w:color w:val="auto"/>
          <w:sz w:val="28"/>
          <w:szCs w:val="28"/>
        </w:rPr>
        <w:t xml:space="preserve"> – </w:t>
      </w:r>
      <w:r w:rsidR="04DBFC25" w:rsidRPr="00BF6036">
        <w:rPr>
          <w:rFonts w:asciiTheme="minorHAnsi" w:hAnsiTheme="minorHAnsi" w:cstheme="minorHAnsi"/>
          <w:color w:val="auto"/>
          <w:sz w:val="28"/>
          <w:szCs w:val="28"/>
        </w:rPr>
        <w:t xml:space="preserve">December </w:t>
      </w:r>
      <w:r w:rsidR="14D1B74A" w:rsidRPr="00BF6036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4DBFC25" w:rsidRPr="00BF6036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14D1B74A" w:rsidRPr="00BF6036">
        <w:rPr>
          <w:rFonts w:asciiTheme="minorHAnsi" w:hAnsiTheme="minorHAnsi" w:cstheme="minorHAnsi"/>
          <w:color w:val="auto"/>
          <w:sz w:val="28"/>
          <w:szCs w:val="28"/>
        </w:rPr>
        <w:t>, 202</w:t>
      </w:r>
      <w:r w:rsidR="76156711" w:rsidRPr="00BF6036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5B4FC58F" w14:textId="77777777" w:rsidR="00782AB5" w:rsidRPr="000E3DF2" w:rsidRDefault="00782AB5" w:rsidP="003E7C6F">
      <w:pPr>
        <w:rPr>
          <w:b/>
          <w:bCs/>
          <w:sz w:val="22"/>
          <w:szCs w:val="22"/>
        </w:rPr>
      </w:pPr>
    </w:p>
    <w:p w14:paraId="2803EAEC" w14:textId="5519D6BC" w:rsidR="00910989" w:rsidRPr="000E3DF2" w:rsidRDefault="00782AB5" w:rsidP="003E7C6F">
      <w:pPr>
        <w:rPr>
          <w:sz w:val="22"/>
          <w:szCs w:val="22"/>
        </w:rPr>
      </w:pPr>
      <w:r w:rsidRPr="000E3DF2">
        <w:rPr>
          <w:b/>
          <w:bCs/>
          <w:sz w:val="22"/>
          <w:szCs w:val="22"/>
        </w:rPr>
        <w:t>Background</w:t>
      </w:r>
      <w:r w:rsidRPr="000E3DF2">
        <w:rPr>
          <w:sz w:val="22"/>
          <w:szCs w:val="22"/>
        </w:rPr>
        <w:t>:</w:t>
      </w:r>
    </w:p>
    <w:p w14:paraId="79DFDE37" w14:textId="41312AC5" w:rsidR="00782AB5" w:rsidRPr="00E8245E" w:rsidRDefault="00DE7820" w:rsidP="003E7C6F">
      <w:pPr>
        <w:rPr>
          <w:sz w:val="22"/>
          <w:szCs w:val="22"/>
        </w:rPr>
      </w:pPr>
      <w:r>
        <w:rPr>
          <w:sz w:val="22"/>
          <w:szCs w:val="22"/>
        </w:rPr>
        <w:t>In response to</w:t>
      </w:r>
      <w:r w:rsidR="00E60C7F">
        <w:rPr>
          <w:sz w:val="22"/>
          <w:szCs w:val="22"/>
        </w:rPr>
        <w:t xml:space="preserve"> </w:t>
      </w:r>
      <w:r w:rsidR="005C0ABF">
        <w:rPr>
          <w:sz w:val="22"/>
          <w:szCs w:val="22"/>
        </w:rPr>
        <w:t xml:space="preserve">identifying </w:t>
      </w:r>
      <w:r w:rsidR="00E60C7F">
        <w:rPr>
          <w:sz w:val="22"/>
          <w:szCs w:val="22"/>
        </w:rPr>
        <w:t xml:space="preserve">two cases of a </w:t>
      </w:r>
      <w:r w:rsidR="00E60C7F" w:rsidRPr="291EC12F">
        <w:rPr>
          <w:sz w:val="22"/>
          <w:szCs w:val="22"/>
        </w:rPr>
        <w:t xml:space="preserve">novel strain of multi-drug-non-susceptible </w:t>
      </w:r>
      <w:r w:rsidR="00E60C7F" w:rsidRPr="291EC12F">
        <w:rPr>
          <w:i/>
          <w:iCs/>
          <w:sz w:val="22"/>
          <w:szCs w:val="22"/>
        </w:rPr>
        <w:t>Neisseria gonorrhoeae</w:t>
      </w:r>
      <w:r w:rsidR="00E60C7F">
        <w:rPr>
          <w:i/>
          <w:iCs/>
          <w:sz w:val="22"/>
          <w:szCs w:val="22"/>
        </w:rPr>
        <w:t xml:space="preserve"> in 2022</w:t>
      </w:r>
      <w:r w:rsidR="363B63E9" w:rsidRPr="291EC12F">
        <w:rPr>
          <w:sz w:val="22"/>
          <w:szCs w:val="22"/>
        </w:rPr>
        <w:t xml:space="preserve">, MDPH released </w:t>
      </w:r>
      <w:hyperlink r:id="rId5">
        <w:r w:rsidR="363B63E9" w:rsidRPr="00CF7AAE">
          <w:rPr>
            <w:rStyle w:val="Hyperlink"/>
            <w:color w:val="auto"/>
            <w:sz w:val="22"/>
            <w:szCs w:val="22"/>
          </w:rPr>
          <w:t xml:space="preserve">a </w:t>
        </w:r>
        <w:r w:rsidR="68EF0536" w:rsidRPr="00CF7AAE">
          <w:rPr>
            <w:rStyle w:val="Hyperlink"/>
            <w:color w:val="auto"/>
            <w:sz w:val="22"/>
            <w:szCs w:val="22"/>
          </w:rPr>
          <w:t>C</w:t>
        </w:r>
        <w:r w:rsidR="363B63E9" w:rsidRPr="00CF7AAE">
          <w:rPr>
            <w:rStyle w:val="Hyperlink"/>
            <w:color w:val="auto"/>
            <w:sz w:val="22"/>
            <w:szCs w:val="22"/>
          </w:rPr>
          <w:t xml:space="preserve">linical </w:t>
        </w:r>
        <w:r w:rsidR="68EF0536" w:rsidRPr="00CF7AAE">
          <w:rPr>
            <w:rStyle w:val="Hyperlink"/>
            <w:color w:val="auto"/>
            <w:sz w:val="22"/>
            <w:szCs w:val="22"/>
          </w:rPr>
          <w:t>A</w:t>
        </w:r>
        <w:r w:rsidR="363B63E9" w:rsidRPr="00CF7AAE">
          <w:rPr>
            <w:rStyle w:val="Hyperlink"/>
            <w:color w:val="auto"/>
            <w:sz w:val="22"/>
            <w:szCs w:val="22"/>
          </w:rPr>
          <w:t>lert on January 19, 2023</w:t>
        </w:r>
      </w:hyperlink>
      <w:r w:rsidR="363B63E9" w:rsidRPr="291EC12F">
        <w:rPr>
          <w:sz w:val="22"/>
          <w:szCs w:val="22"/>
        </w:rPr>
        <w:t xml:space="preserve">, </w:t>
      </w:r>
      <w:r w:rsidR="005C0ABF">
        <w:rPr>
          <w:sz w:val="22"/>
          <w:szCs w:val="22"/>
        </w:rPr>
        <w:t xml:space="preserve">requesting </w:t>
      </w:r>
      <w:r w:rsidR="363B63E9" w:rsidRPr="291EC12F">
        <w:rPr>
          <w:sz w:val="22"/>
          <w:szCs w:val="22"/>
        </w:rPr>
        <w:t>clinicians to perform gonococcal culture from genital and extragenital sites for symptomatic patients</w:t>
      </w:r>
      <w:r w:rsidR="68EF0536" w:rsidRPr="291EC12F">
        <w:rPr>
          <w:sz w:val="22"/>
          <w:szCs w:val="22"/>
        </w:rPr>
        <w:t>,</w:t>
      </w:r>
      <w:r w:rsidR="363B63E9" w:rsidRPr="291EC12F">
        <w:rPr>
          <w:sz w:val="22"/>
          <w:szCs w:val="22"/>
        </w:rPr>
        <w:t xml:space="preserve"> in addition to routine NAAT testing</w:t>
      </w:r>
      <w:r w:rsidR="006B590C">
        <w:rPr>
          <w:sz w:val="22"/>
          <w:szCs w:val="22"/>
        </w:rPr>
        <w:t>, and started to publish routine antibiograms</w:t>
      </w:r>
      <w:r w:rsidR="363B63E9" w:rsidRPr="291EC12F">
        <w:rPr>
          <w:sz w:val="22"/>
          <w:szCs w:val="22"/>
        </w:rPr>
        <w:t xml:space="preserve">. </w:t>
      </w:r>
      <w:hyperlink r:id="rId6">
        <w:r w:rsidR="68EF0536" w:rsidRPr="291EC12F">
          <w:rPr>
            <w:rStyle w:val="Hyperlink"/>
            <w:color w:val="auto"/>
            <w:sz w:val="22"/>
            <w:szCs w:val="22"/>
          </w:rPr>
          <w:t>T</w:t>
        </w:r>
        <w:r w:rsidR="3A798060" w:rsidRPr="291EC12F">
          <w:rPr>
            <w:rStyle w:val="Hyperlink"/>
            <w:color w:val="auto"/>
            <w:sz w:val="22"/>
            <w:szCs w:val="22"/>
          </w:rPr>
          <w:t xml:space="preserve">wo additional multi-drug-non-susceptible </w:t>
        </w:r>
        <w:r w:rsidR="3A798060" w:rsidRPr="291EC12F">
          <w:rPr>
            <w:rStyle w:val="Hyperlink"/>
            <w:i/>
            <w:iCs/>
            <w:color w:val="auto"/>
            <w:sz w:val="22"/>
            <w:szCs w:val="22"/>
          </w:rPr>
          <w:t>Neisseria gonorrhoeae</w:t>
        </w:r>
        <w:r w:rsidR="3A798060" w:rsidRPr="291EC12F">
          <w:rPr>
            <w:rStyle w:val="Hyperlink"/>
            <w:color w:val="auto"/>
            <w:sz w:val="22"/>
            <w:szCs w:val="22"/>
          </w:rPr>
          <w:t xml:space="preserve"> cases </w:t>
        </w:r>
        <w:r w:rsidR="00F84D5B">
          <w:rPr>
            <w:rStyle w:val="Hyperlink"/>
            <w:color w:val="auto"/>
            <w:sz w:val="22"/>
            <w:szCs w:val="22"/>
          </w:rPr>
          <w:t xml:space="preserve">were identified </w:t>
        </w:r>
        <w:r w:rsidR="006F1C67">
          <w:rPr>
            <w:rStyle w:val="Hyperlink"/>
            <w:color w:val="auto"/>
            <w:sz w:val="22"/>
            <w:szCs w:val="22"/>
          </w:rPr>
          <w:t>in</w:t>
        </w:r>
        <w:r w:rsidR="00F84D5B">
          <w:rPr>
            <w:rStyle w:val="Hyperlink"/>
            <w:color w:val="auto"/>
            <w:sz w:val="22"/>
            <w:szCs w:val="22"/>
          </w:rPr>
          <w:t xml:space="preserve"> the first half of 2025</w:t>
        </w:r>
        <w:r w:rsidR="68EF0536" w:rsidRPr="291EC12F">
          <w:rPr>
            <w:rStyle w:val="Hyperlink"/>
            <w:color w:val="auto"/>
            <w:sz w:val="22"/>
            <w:szCs w:val="22"/>
          </w:rPr>
          <w:t>, and MDPH renewed its call to clinicians to continue culturing symptomatic patients</w:t>
        </w:r>
        <w:r w:rsidR="3A798060" w:rsidRPr="291EC12F">
          <w:rPr>
            <w:rStyle w:val="Hyperlink"/>
            <w:color w:val="auto"/>
            <w:sz w:val="22"/>
            <w:szCs w:val="22"/>
          </w:rPr>
          <w:t>.</w:t>
        </w:r>
      </w:hyperlink>
    </w:p>
    <w:p w14:paraId="4BA69EAE" w14:textId="77777777" w:rsidR="00782AB5" w:rsidRPr="000E3DF2" w:rsidRDefault="00782AB5" w:rsidP="003E7C6F">
      <w:pPr>
        <w:rPr>
          <w:sz w:val="22"/>
          <w:szCs w:val="22"/>
        </w:rPr>
      </w:pPr>
    </w:p>
    <w:p w14:paraId="0804607A" w14:textId="22214588" w:rsidR="00782AB5" w:rsidRPr="000E3DF2" w:rsidRDefault="00782AB5" w:rsidP="003E7C6F">
      <w:pPr>
        <w:rPr>
          <w:b/>
          <w:bCs/>
          <w:sz w:val="22"/>
          <w:szCs w:val="22"/>
        </w:rPr>
      </w:pPr>
      <w:r w:rsidRPr="000E3DF2">
        <w:rPr>
          <w:b/>
          <w:bCs/>
          <w:sz w:val="22"/>
          <w:szCs w:val="22"/>
        </w:rPr>
        <w:t>Testing performed:</w:t>
      </w:r>
    </w:p>
    <w:p w14:paraId="198E3177" w14:textId="77777777" w:rsidR="006346C3" w:rsidRPr="00CA24C1" w:rsidRDefault="006346C3" w:rsidP="006346C3">
      <w:pPr>
        <w:rPr>
          <w:sz w:val="22"/>
          <w:szCs w:val="22"/>
        </w:rPr>
      </w:pPr>
      <w:r w:rsidRPr="291EC12F">
        <w:rPr>
          <w:sz w:val="22"/>
          <w:szCs w:val="22"/>
        </w:rPr>
        <w:t>From January 1, 2024, through December 31, 2025</w:t>
      </w:r>
      <w:r>
        <w:rPr>
          <w:sz w:val="22"/>
          <w:szCs w:val="22"/>
        </w:rPr>
        <w:t xml:space="preserve">, </w:t>
      </w:r>
      <w:r w:rsidRPr="291EC12F">
        <w:rPr>
          <w:sz w:val="22"/>
          <w:szCs w:val="22"/>
        </w:rPr>
        <w:t>there were 459 unique isolates with AST results</w:t>
      </w:r>
      <w:r>
        <w:rPr>
          <w:sz w:val="22"/>
          <w:szCs w:val="22"/>
        </w:rPr>
        <w:t xml:space="preserve"> and</w:t>
      </w:r>
      <w:r w:rsidRPr="291EC12F">
        <w:rPr>
          <w:sz w:val="22"/>
          <w:szCs w:val="22"/>
        </w:rPr>
        <w:t xml:space="preserve"> specimen collection date</w:t>
      </w:r>
      <w:r>
        <w:rPr>
          <w:sz w:val="22"/>
          <w:szCs w:val="22"/>
        </w:rPr>
        <w:t>s reported to MDPH</w:t>
      </w:r>
      <w:r w:rsidRPr="291EC12F">
        <w:rPr>
          <w:sz w:val="22"/>
          <w:szCs w:val="22"/>
        </w:rPr>
        <w:t>. Cultures of</w:t>
      </w:r>
      <w:r w:rsidRPr="291EC12F">
        <w:rPr>
          <w:i/>
          <w:iCs/>
          <w:sz w:val="22"/>
          <w:szCs w:val="22"/>
        </w:rPr>
        <w:t xml:space="preserve"> N. gonorrhoeae</w:t>
      </w:r>
      <w:r w:rsidRPr="291EC12F">
        <w:rPr>
          <w:sz w:val="22"/>
          <w:szCs w:val="22"/>
        </w:rPr>
        <w:t xml:space="preserve"> grew from numerous anatomic sites including urethral, cervical, rectal, pharyngeal, blood, synovial fluid, and ocular. </w:t>
      </w:r>
    </w:p>
    <w:p w14:paraId="04F6F9CD" w14:textId="734418BD" w:rsidR="00782AB5" w:rsidRPr="00192F61" w:rsidRDefault="00782AB5" w:rsidP="003E7C6F">
      <w:pPr>
        <w:rPr>
          <w:color w:val="EE0000"/>
        </w:rPr>
      </w:pPr>
      <w:r w:rsidRPr="00192F61">
        <w:rPr>
          <w:color w:val="EE0000"/>
        </w:rPr>
        <w:t xml:space="preserve"> </w:t>
      </w:r>
    </w:p>
    <w:p w14:paraId="2F018990" w14:textId="1C8C4FEE" w:rsidR="00782AB5" w:rsidRPr="003C553F" w:rsidRDefault="16EF1D68" w:rsidP="003E7C6F">
      <w:pPr>
        <w:rPr>
          <w:sz w:val="22"/>
          <w:szCs w:val="22"/>
        </w:rPr>
      </w:pPr>
      <w:r w:rsidRPr="291EC12F">
        <w:rPr>
          <w:sz w:val="22"/>
          <w:szCs w:val="22"/>
        </w:rPr>
        <w:t>Table 1: Geographic distribution</w:t>
      </w:r>
      <w:r w:rsidR="22C44D32" w:rsidRPr="291EC12F">
        <w:rPr>
          <w:sz w:val="22"/>
          <w:szCs w:val="22"/>
        </w:rPr>
        <w:t>*</w:t>
      </w:r>
      <w:r w:rsidRPr="291EC12F">
        <w:rPr>
          <w:sz w:val="22"/>
          <w:szCs w:val="22"/>
        </w:rPr>
        <w:t xml:space="preserve"> of </w:t>
      </w:r>
      <w:r w:rsidRPr="291EC12F">
        <w:rPr>
          <w:i/>
          <w:iCs/>
          <w:sz w:val="22"/>
          <w:szCs w:val="22"/>
        </w:rPr>
        <w:t>N</w:t>
      </w:r>
      <w:r w:rsidR="5E3C4C72" w:rsidRPr="291EC12F">
        <w:rPr>
          <w:i/>
          <w:iCs/>
          <w:sz w:val="22"/>
          <w:szCs w:val="22"/>
        </w:rPr>
        <w:t>.</w:t>
      </w:r>
      <w:r w:rsidRPr="291EC12F">
        <w:rPr>
          <w:i/>
          <w:iCs/>
          <w:sz w:val="22"/>
          <w:szCs w:val="22"/>
        </w:rPr>
        <w:t xml:space="preserve"> gonorrhoeae</w:t>
      </w:r>
      <w:r w:rsidRPr="291EC12F">
        <w:rPr>
          <w:sz w:val="22"/>
          <w:szCs w:val="22"/>
        </w:rPr>
        <w:t xml:space="preserve"> isolates</w:t>
      </w:r>
      <w:r w:rsidR="003C553F" w:rsidRPr="291EC12F">
        <w:rPr>
          <w:sz w:val="22"/>
          <w:szCs w:val="22"/>
        </w:rPr>
        <w:t>**</w:t>
      </w:r>
      <w:r w:rsidRPr="291EC12F">
        <w:rPr>
          <w:sz w:val="22"/>
          <w:szCs w:val="22"/>
        </w:rPr>
        <w:t xml:space="preserve"> with AST collected </w:t>
      </w:r>
      <w:r w:rsidR="003648C0" w:rsidRPr="291EC12F">
        <w:rPr>
          <w:sz w:val="22"/>
          <w:szCs w:val="22"/>
        </w:rPr>
        <w:t>(</w:t>
      </w:r>
      <w:r w:rsidRPr="291EC12F">
        <w:rPr>
          <w:sz w:val="22"/>
          <w:szCs w:val="22"/>
        </w:rPr>
        <w:t>January 1, 202</w:t>
      </w:r>
      <w:r w:rsidR="003C553F" w:rsidRPr="291EC12F">
        <w:rPr>
          <w:sz w:val="22"/>
          <w:szCs w:val="22"/>
        </w:rPr>
        <w:t>4</w:t>
      </w:r>
      <w:r w:rsidRPr="291EC12F">
        <w:rPr>
          <w:sz w:val="22"/>
          <w:szCs w:val="22"/>
        </w:rPr>
        <w:t xml:space="preserve"> </w:t>
      </w:r>
      <w:r w:rsidR="00F31E9B" w:rsidRPr="291EC12F">
        <w:rPr>
          <w:sz w:val="22"/>
          <w:szCs w:val="22"/>
        </w:rPr>
        <w:t>–</w:t>
      </w:r>
      <w:r w:rsidR="00A3169E" w:rsidRPr="291EC12F">
        <w:rPr>
          <w:sz w:val="22"/>
          <w:szCs w:val="22"/>
        </w:rPr>
        <w:t xml:space="preserve"> </w:t>
      </w:r>
      <w:r w:rsidR="00F31E9B" w:rsidRPr="291EC12F">
        <w:rPr>
          <w:sz w:val="22"/>
          <w:szCs w:val="22"/>
        </w:rPr>
        <w:t>December 31</w:t>
      </w:r>
      <w:r w:rsidR="0044291B" w:rsidRPr="291EC12F">
        <w:rPr>
          <w:sz w:val="22"/>
          <w:szCs w:val="22"/>
        </w:rPr>
        <w:t>, 202</w:t>
      </w:r>
      <w:r w:rsidR="00FE3154" w:rsidRPr="291EC12F">
        <w:rPr>
          <w:sz w:val="22"/>
          <w:szCs w:val="22"/>
        </w:rPr>
        <w:t>5</w:t>
      </w:r>
      <w:r w:rsidR="003648C0" w:rsidRPr="291EC12F">
        <w:rPr>
          <w:sz w:val="22"/>
          <w:szCs w:val="22"/>
        </w:rPr>
        <w:t>)</w:t>
      </w:r>
      <w:r w:rsidR="0044291B" w:rsidRPr="291EC12F">
        <w:rPr>
          <w:sz w:val="22"/>
          <w:szCs w:val="22"/>
        </w:rPr>
        <w:t xml:space="preserve"> </w:t>
      </w:r>
      <w:r w:rsidRPr="291EC12F">
        <w:rPr>
          <w:sz w:val="22"/>
          <w:szCs w:val="22"/>
        </w:rPr>
        <w:t>by Health Service Region</w:t>
      </w:r>
      <w:r w:rsidR="009078F7" w:rsidRPr="291EC12F">
        <w:rPr>
          <w:sz w:val="22"/>
          <w:szCs w:val="22"/>
        </w:rPr>
        <w:t>***</w:t>
      </w:r>
      <w:r w:rsidR="003D55E3" w:rsidRPr="291EC12F">
        <w:rPr>
          <w:sz w:val="22"/>
          <w:szCs w:val="22"/>
        </w:rPr>
        <w:t xml:space="preserve"> and year</w:t>
      </w:r>
      <w:r w:rsidRPr="291EC12F">
        <w:rPr>
          <w:sz w:val="22"/>
          <w:szCs w:val="22"/>
        </w:rPr>
        <w:t xml:space="preserve"> (N=</w:t>
      </w:r>
      <w:r w:rsidR="00C4301E" w:rsidRPr="291EC12F">
        <w:rPr>
          <w:sz w:val="22"/>
          <w:szCs w:val="22"/>
        </w:rPr>
        <w:t>4</w:t>
      </w:r>
      <w:r w:rsidR="00747B1F" w:rsidRPr="291EC12F">
        <w:rPr>
          <w:sz w:val="22"/>
          <w:szCs w:val="22"/>
        </w:rPr>
        <w:t>59</w:t>
      </w:r>
      <w:r w:rsidRPr="291EC12F">
        <w:rPr>
          <w:sz w:val="22"/>
          <w:szCs w:val="22"/>
        </w:rPr>
        <w:t xml:space="preserve">) </w:t>
      </w:r>
    </w:p>
    <w:tbl>
      <w:tblPr>
        <w:tblW w:w="9792" w:type="dxa"/>
        <w:tblLook w:val="04A0" w:firstRow="1" w:lastRow="0" w:firstColumn="1" w:lastColumn="0" w:noHBand="0" w:noVBand="1"/>
      </w:tblPr>
      <w:tblGrid>
        <w:gridCol w:w="2304"/>
        <w:gridCol w:w="1872"/>
        <w:gridCol w:w="1872"/>
        <w:gridCol w:w="1872"/>
        <w:gridCol w:w="1872"/>
      </w:tblGrid>
      <w:tr w:rsidR="00EF4212" w:rsidRPr="000F4216" w14:paraId="5B502B38" w14:textId="77777777" w:rsidTr="00411D9A">
        <w:trPr>
          <w:trHeight w:val="25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D3D4FA" w14:textId="503F7AF6" w:rsidR="00EF4212" w:rsidRPr="003648C0" w:rsidRDefault="00EF4212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D9EF5" w14:textId="2A7EEC96" w:rsidR="00EF4212" w:rsidRPr="003648C0" w:rsidRDefault="00EF4212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</w:t>
            </w:r>
            <w:r w:rsidR="00A5491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12/31/2024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1567E311" w14:textId="599B31F3" w:rsidR="00EF4212" w:rsidRPr="003648C0" w:rsidRDefault="00EF4212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</w:t>
            </w:r>
            <w:r w:rsidR="00A5491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12/31/2024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D7EB048" w14:textId="0ADB9DE4" w:rsidR="00EF4212" w:rsidRPr="003648C0" w:rsidRDefault="00EF4212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</w:t>
            </w:r>
            <w:r w:rsidR="00A5491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/3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79480762" w14:textId="1B99C037" w:rsidR="00EF4212" w:rsidRPr="003648C0" w:rsidRDefault="00A5491E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1/1 – 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/3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/2025</w:t>
            </w:r>
          </w:p>
        </w:tc>
      </w:tr>
      <w:tr w:rsidR="00476529" w:rsidRPr="000F4216" w14:paraId="43004924" w14:textId="77777777" w:rsidTr="00411D9A">
        <w:trPr>
          <w:trHeight w:val="25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96DD7C" w14:textId="2E5D0EFA" w:rsidR="00476529" w:rsidRPr="003648C0" w:rsidRDefault="00411D9A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Service Regions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BBA53B" w14:textId="5160AC10" w:rsidR="00476529" w:rsidRPr="003648C0" w:rsidRDefault="00476529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BE9157" w14:textId="4FFB1CFE" w:rsidR="00476529" w:rsidRPr="003648C0" w:rsidRDefault="00192F61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Percentage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DA8655" w14:textId="77777777" w:rsidR="00476529" w:rsidRPr="003648C0" w:rsidRDefault="00476529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60288B" w14:textId="77777777" w:rsidR="00476529" w:rsidRPr="003648C0" w:rsidRDefault="00476529" w:rsidP="003E7C6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Percentage</w:t>
            </w:r>
          </w:p>
        </w:tc>
      </w:tr>
      <w:tr w:rsidR="00476529" w:rsidRPr="000F4216" w14:paraId="414B0774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273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Western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086F3" w14:textId="4E901D70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1E2C" w14:textId="0303E24F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6E99" w14:textId="77B2699C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FE402" w14:textId="128A856D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76529" w:rsidRPr="000F4216" w14:paraId="664DBB2C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81A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Central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E7AEA" w14:textId="138EDF90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E4B62" w14:textId="470DAAB2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C96A" w14:textId="672D74E5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1C70B" w14:textId="55EA6E46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76529" w:rsidRPr="000F4216" w14:paraId="4B76D6DD" w14:textId="77777777" w:rsidTr="00411D9A">
        <w:trPr>
          <w:trHeight w:val="49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071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Northeast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59C0" w14:textId="4358004C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DE767" w14:textId="0A40C0B3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32D49" w14:textId="67DDE0A3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="00747B1F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D45AD" w14:textId="002AE28D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47B1F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476529" w:rsidRPr="000F4216" w14:paraId="0C7F40A1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E09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Metro West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4943" w14:textId="641DB5EE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97FD0" w14:textId="72C27FD7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F468" w14:textId="1D4CF38B" w:rsidR="00476529" w:rsidRPr="003648C0" w:rsidRDefault="00747B1F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4E2D8" w14:textId="3875F40B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476529" w:rsidRPr="000F4216" w14:paraId="170C1D83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10E5" w14:textId="212E57E5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="00F569C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oston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7E1B4" w14:textId="477A87A8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A9F4B" w14:textId="232F4461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DBF1C" w14:textId="105B3FB1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="00747B1F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97E39" w14:textId="7F3904C8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="00747B1F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476529" w:rsidRPr="000F4216" w14:paraId="2DC328D3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509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Southeast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57D1" w14:textId="6C485818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ED0E" w14:textId="675F13B4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FCF1" w14:textId="45D09756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A6EA2" w14:textId="6E4AA6D7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76529" w:rsidRPr="000F4216" w14:paraId="326F88B1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F6AD" w14:textId="77777777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Unknown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2462" w14:textId="78FA689B" w:rsidR="00476529" w:rsidRPr="003648C0" w:rsidRDefault="00476529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C620" w14:textId="6D12D27F" w:rsidR="00476529" w:rsidRPr="003648C0" w:rsidRDefault="00192F61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&lt;1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A3A7" w14:textId="53E9C66F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0F1F8" w14:textId="4A6E7ED8" w:rsidR="00476529" w:rsidRPr="003648C0" w:rsidRDefault="00C4301E" w:rsidP="003E7C6F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476529" w:rsidRPr="000F4216" w14:paraId="1F071ECD" w14:textId="77777777" w:rsidTr="00411D9A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C0B8" w14:textId="77777777" w:rsidR="00476529" w:rsidRPr="003648C0" w:rsidRDefault="00476529" w:rsidP="003E7C6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B8E" w14:textId="476F399F" w:rsidR="00476529" w:rsidRPr="003648C0" w:rsidRDefault="00476529" w:rsidP="003E7C6F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520A" w14:textId="73086A74" w:rsidR="00476529" w:rsidRPr="003648C0" w:rsidRDefault="00476529" w:rsidP="003E7C6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2019" w14:textId="34B3D4A7" w:rsidR="00476529" w:rsidRPr="003648C0" w:rsidRDefault="00C4301E" w:rsidP="003E7C6F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47B1F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5074" w14:textId="16378FC9" w:rsidR="00476529" w:rsidRPr="003648C0" w:rsidRDefault="00476529" w:rsidP="003E7C6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17560E" w14:textId="0C74EB23" w:rsidR="00B61187" w:rsidRPr="00C8598C" w:rsidRDefault="00B61187" w:rsidP="003E7C6F">
      <w:pPr>
        <w:rPr>
          <w:rFonts w:cstheme="minorHAnsi"/>
          <w:sz w:val="20"/>
          <w:szCs w:val="20"/>
        </w:rPr>
      </w:pPr>
      <w:r w:rsidRPr="00C8598C">
        <w:rPr>
          <w:rFonts w:cstheme="minorHAnsi"/>
          <w:sz w:val="20"/>
          <w:szCs w:val="20"/>
        </w:rPr>
        <w:t xml:space="preserve">Data </w:t>
      </w:r>
      <w:r w:rsidR="00BB1385" w:rsidRPr="00C8598C">
        <w:rPr>
          <w:rFonts w:cstheme="minorHAnsi"/>
          <w:sz w:val="20"/>
          <w:szCs w:val="20"/>
        </w:rPr>
        <w:t>are</w:t>
      </w:r>
      <w:r w:rsidRPr="00C8598C">
        <w:rPr>
          <w:rFonts w:cstheme="minorHAnsi"/>
          <w:sz w:val="20"/>
          <w:szCs w:val="20"/>
        </w:rPr>
        <w:t xml:space="preserve"> current as of </w:t>
      </w:r>
      <w:r w:rsidR="00747B1F" w:rsidRPr="00C8598C">
        <w:rPr>
          <w:rFonts w:cstheme="minorHAnsi"/>
          <w:sz w:val="20"/>
          <w:szCs w:val="20"/>
        </w:rPr>
        <w:t>4</w:t>
      </w:r>
      <w:r w:rsidRPr="00C8598C">
        <w:rPr>
          <w:rFonts w:cstheme="minorHAnsi"/>
          <w:sz w:val="20"/>
          <w:szCs w:val="20"/>
        </w:rPr>
        <w:t>/</w:t>
      </w:r>
      <w:r w:rsidR="00747B1F" w:rsidRPr="00C8598C">
        <w:rPr>
          <w:rFonts w:cstheme="minorHAnsi"/>
          <w:sz w:val="20"/>
          <w:szCs w:val="20"/>
        </w:rPr>
        <w:t>28</w:t>
      </w:r>
      <w:r w:rsidRPr="00C8598C">
        <w:rPr>
          <w:rFonts w:cstheme="minorHAnsi"/>
          <w:sz w:val="20"/>
          <w:szCs w:val="20"/>
        </w:rPr>
        <w:t>/202</w:t>
      </w:r>
      <w:r w:rsidR="00F31E9B" w:rsidRPr="00C8598C">
        <w:rPr>
          <w:rFonts w:cstheme="minorHAnsi"/>
          <w:sz w:val="20"/>
          <w:szCs w:val="20"/>
        </w:rPr>
        <w:t>6</w:t>
      </w:r>
      <w:r w:rsidR="00BB1385" w:rsidRPr="00C8598C">
        <w:rPr>
          <w:rFonts w:cstheme="minorHAnsi"/>
          <w:sz w:val="20"/>
          <w:szCs w:val="20"/>
        </w:rPr>
        <w:t xml:space="preserve"> and subject to change</w:t>
      </w:r>
      <w:r w:rsidRPr="00C8598C">
        <w:rPr>
          <w:rFonts w:cstheme="minorHAnsi"/>
          <w:sz w:val="20"/>
          <w:szCs w:val="20"/>
        </w:rPr>
        <w:t>.</w:t>
      </w:r>
    </w:p>
    <w:p w14:paraId="1F90978A" w14:textId="26B63B8D" w:rsidR="21906D96" w:rsidRPr="00C8598C" w:rsidRDefault="5E0873C6" w:rsidP="003E7C6F">
      <w:pPr>
        <w:rPr>
          <w:rFonts w:cstheme="minorHAnsi"/>
          <w:sz w:val="20"/>
          <w:szCs w:val="20"/>
        </w:rPr>
      </w:pPr>
      <w:r w:rsidRPr="00C8598C">
        <w:rPr>
          <w:rFonts w:cstheme="minorHAnsi"/>
          <w:sz w:val="20"/>
          <w:szCs w:val="20"/>
          <w:vertAlign w:val="superscript"/>
        </w:rPr>
        <w:t xml:space="preserve">* </w:t>
      </w:r>
      <w:r w:rsidRPr="00C8598C">
        <w:rPr>
          <w:rFonts w:cstheme="minorHAnsi"/>
          <w:sz w:val="20"/>
          <w:szCs w:val="20"/>
        </w:rPr>
        <w:t>Based upon ca</w:t>
      </w:r>
      <w:r w:rsidR="7C0339F0" w:rsidRPr="00C8598C">
        <w:rPr>
          <w:rFonts w:cstheme="minorHAnsi"/>
          <w:sz w:val="20"/>
          <w:szCs w:val="20"/>
        </w:rPr>
        <w:t>se</w:t>
      </w:r>
      <w:r w:rsidRPr="00C8598C">
        <w:rPr>
          <w:rFonts w:cstheme="minorHAnsi"/>
          <w:sz w:val="20"/>
          <w:szCs w:val="20"/>
        </w:rPr>
        <w:t xml:space="preserve"> </w:t>
      </w:r>
      <w:r w:rsidR="3D6B60B6" w:rsidRPr="00C8598C">
        <w:rPr>
          <w:rFonts w:cstheme="minorHAnsi"/>
          <w:sz w:val="20"/>
          <w:szCs w:val="20"/>
        </w:rPr>
        <w:t>residence at time of diagnosi</w:t>
      </w:r>
      <w:r w:rsidRPr="00C8598C">
        <w:rPr>
          <w:rFonts w:cstheme="minorHAnsi"/>
          <w:sz w:val="20"/>
          <w:szCs w:val="20"/>
        </w:rPr>
        <w:t xml:space="preserve">s </w:t>
      </w:r>
    </w:p>
    <w:p w14:paraId="343B088C" w14:textId="1642B02B" w:rsidR="00782AB5" w:rsidRPr="00C8598C" w:rsidRDefault="01185392" w:rsidP="45EFA073">
      <w:pPr>
        <w:rPr>
          <w:sz w:val="20"/>
          <w:szCs w:val="20"/>
        </w:rPr>
      </w:pPr>
      <w:r w:rsidRPr="00C8598C">
        <w:rPr>
          <w:sz w:val="20"/>
          <w:szCs w:val="20"/>
          <w:vertAlign w:val="superscript"/>
        </w:rPr>
        <w:t>*</w:t>
      </w:r>
      <w:r w:rsidR="00782AB5" w:rsidRPr="00C8598C">
        <w:rPr>
          <w:sz w:val="20"/>
          <w:szCs w:val="20"/>
          <w:vertAlign w:val="superscript"/>
        </w:rPr>
        <w:t>*</w:t>
      </w:r>
      <w:r w:rsidR="00782AB5" w:rsidRPr="00C8598C">
        <w:rPr>
          <w:sz w:val="20"/>
          <w:szCs w:val="20"/>
        </w:rPr>
        <w:t xml:space="preserve"> </w:t>
      </w:r>
      <w:r w:rsidR="00A66228" w:rsidRPr="00BF6036">
        <w:rPr>
          <w:sz w:val="20"/>
          <w:szCs w:val="20"/>
        </w:rPr>
        <w:t xml:space="preserve">Only one </w:t>
      </w:r>
      <w:r w:rsidR="00340124" w:rsidRPr="00BF6036">
        <w:rPr>
          <w:sz w:val="20"/>
          <w:szCs w:val="20"/>
        </w:rPr>
        <w:t xml:space="preserve">culture was used </w:t>
      </w:r>
      <w:r w:rsidR="70238A41" w:rsidRPr="00BF6036">
        <w:rPr>
          <w:sz w:val="20"/>
          <w:szCs w:val="20"/>
        </w:rPr>
        <w:t xml:space="preserve">per </w:t>
      </w:r>
      <w:r w:rsidR="00340124" w:rsidRPr="00BF6036">
        <w:rPr>
          <w:sz w:val="20"/>
          <w:szCs w:val="20"/>
        </w:rPr>
        <w:t>person.</w:t>
      </w:r>
      <w:r w:rsidR="00FA026F" w:rsidRPr="00C8598C">
        <w:rPr>
          <w:sz w:val="20"/>
          <w:szCs w:val="20"/>
        </w:rPr>
        <w:t xml:space="preserve"> </w:t>
      </w:r>
    </w:p>
    <w:p w14:paraId="63998CE8" w14:textId="7DDE6813" w:rsidR="00782AB5" w:rsidRPr="00C8598C" w:rsidRDefault="6AF49A3C" w:rsidP="003E7C6F">
      <w:pPr>
        <w:rPr>
          <w:rFonts w:cstheme="minorHAnsi"/>
          <w:sz w:val="20"/>
          <w:szCs w:val="20"/>
        </w:rPr>
      </w:pPr>
      <w:r w:rsidRPr="00C8598C">
        <w:rPr>
          <w:rFonts w:cstheme="minorHAnsi"/>
          <w:sz w:val="20"/>
          <w:szCs w:val="20"/>
          <w:vertAlign w:val="superscript"/>
        </w:rPr>
        <w:t>*</w:t>
      </w:r>
      <w:r w:rsidR="16EF1D68" w:rsidRPr="00C8598C">
        <w:rPr>
          <w:rFonts w:cstheme="minorHAnsi"/>
          <w:sz w:val="20"/>
          <w:szCs w:val="20"/>
          <w:vertAlign w:val="superscript"/>
        </w:rPr>
        <w:t xml:space="preserve">** </w:t>
      </w:r>
      <w:r w:rsidR="16EF1D68" w:rsidRPr="00C8598C">
        <w:rPr>
          <w:rFonts w:cstheme="minorHAnsi"/>
          <w:sz w:val="20"/>
          <w:szCs w:val="20"/>
        </w:rPr>
        <w:t>Definitions of Health Service Regions can be found at:</w:t>
      </w:r>
      <w:r w:rsidR="1C3A55D0" w:rsidRPr="00C8598C">
        <w:rPr>
          <w:rFonts w:cstheme="minorHAnsi"/>
          <w:sz w:val="20"/>
          <w:szCs w:val="20"/>
        </w:rPr>
        <w:t xml:space="preserve"> </w:t>
      </w:r>
      <w:hyperlink r:id="rId7" w:anchor=":~:text=The%20regions%20%2D%20Western%2C%20Central%2C,and%20towns%20(see%20map)">
        <w:r w:rsidR="1C3A55D0" w:rsidRPr="00C8598C">
          <w:rPr>
            <w:rStyle w:val="Hyperlink"/>
            <w:rFonts w:cstheme="minorHAnsi"/>
            <w:color w:val="auto"/>
            <w:sz w:val="20"/>
            <w:szCs w:val="20"/>
          </w:rPr>
          <w:t>Health Services Regions</w:t>
        </w:r>
        <w:r w:rsidR="3EF84E48" w:rsidRPr="00C8598C">
          <w:rPr>
            <w:rStyle w:val="Hyperlink"/>
            <w:rFonts w:cstheme="minorHAnsi"/>
            <w:color w:val="auto"/>
            <w:sz w:val="20"/>
            <w:szCs w:val="20"/>
          </w:rPr>
          <w:t>.</w:t>
        </w:r>
      </w:hyperlink>
    </w:p>
    <w:p w14:paraId="57B1F5C2" w14:textId="77777777" w:rsidR="00BE401E" w:rsidRPr="000E3DF2" w:rsidRDefault="00BE401E" w:rsidP="003E7C6F">
      <w:pPr>
        <w:rPr>
          <w:rFonts w:cstheme="minorHAnsi"/>
          <w:sz w:val="22"/>
          <w:szCs w:val="22"/>
        </w:rPr>
      </w:pPr>
    </w:p>
    <w:p w14:paraId="39B06A35" w14:textId="536E94B0" w:rsidR="00782AB5" w:rsidRPr="000E3DF2" w:rsidRDefault="00782AB5" w:rsidP="003E7C6F">
      <w:pPr>
        <w:rPr>
          <w:b/>
          <w:bCs/>
          <w:sz w:val="22"/>
          <w:szCs w:val="22"/>
        </w:rPr>
      </w:pPr>
      <w:r w:rsidRPr="291EC12F">
        <w:rPr>
          <w:b/>
          <w:bCs/>
          <w:i/>
          <w:iCs/>
          <w:sz w:val="22"/>
          <w:szCs w:val="22"/>
        </w:rPr>
        <w:t>N</w:t>
      </w:r>
      <w:r w:rsidR="171022DF" w:rsidRPr="291EC12F">
        <w:rPr>
          <w:b/>
          <w:bCs/>
          <w:i/>
          <w:iCs/>
          <w:sz w:val="22"/>
          <w:szCs w:val="22"/>
        </w:rPr>
        <w:t>.</w:t>
      </w:r>
      <w:r w:rsidRPr="291EC12F">
        <w:rPr>
          <w:b/>
          <w:bCs/>
          <w:i/>
          <w:iCs/>
          <w:sz w:val="22"/>
          <w:szCs w:val="22"/>
        </w:rPr>
        <w:t xml:space="preserve"> gonorrhoeae</w:t>
      </w:r>
      <w:r w:rsidRPr="291EC12F">
        <w:rPr>
          <w:b/>
          <w:bCs/>
          <w:sz w:val="22"/>
          <w:szCs w:val="22"/>
        </w:rPr>
        <w:t xml:space="preserve"> susceptibility results:</w:t>
      </w:r>
    </w:p>
    <w:p w14:paraId="400B4DE6" w14:textId="14AC5746" w:rsidR="00782AB5" w:rsidRPr="0093145B" w:rsidRDefault="16EF1D68" w:rsidP="003E7C6F">
      <w:pPr>
        <w:rPr>
          <w:sz w:val="22"/>
          <w:szCs w:val="22"/>
        </w:rPr>
      </w:pPr>
      <w:r w:rsidRPr="291EC12F">
        <w:rPr>
          <w:sz w:val="22"/>
          <w:szCs w:val="22"/>
        </w:rPr>
        <w:t xml:space="preserve">Table 2: Antibiotic Susceptibility Results* for </w:t>
      </w:r>
      <w:r w:rsidRPr="291EC12F">
        <w:rPr>
          <w:i/>
          <w:iCs/>
          <w:sz w:val="22"/>
          <w:szCs w:val="22"/>
        </w:rPr>
        <w:t>N</w:t>
      </w:r>
      <w:r w:rsidR="5CC60576" w:rsidRPr="291EC12F">
        <w:rPr>
          <w:i/>
          <w:iCs/>
          <w:sz w:val="22"/>
          <w:szCs w:val="22"/>
        </w:rPr>
        <w:t>.</w:t>
      </w:r>
      <w:r w:rsidRPr="291EC12F">
        <w:rPr>
          <w:i/>
          <w:iCs/>
          <w:sz w:val="22"/>
          <w:szCs w:val="22"/>
        </w:rPr>
        <w:t xml:space="preserve"> gonorrhoeae</w:t>
      </w:r>
      <w:r w:rsidRPr="291EC12F">
        <w:rPr>
          <w:sz w:val="22"/>
          <w:szCs w:val="22"/>
        </w:rPr>
        <w:t xml:space="preserve"> isolates</w:t>
      </w:r>
      <w:r w:rsidR="0093145B" w:rsidRPr="291EC12F">
        <w:rPr>
          <w:sz w:val="22"/>
          <w:szCs w:val="22"/>
        </w:rPr>
        <w:t>**</w:t>
      </w:r>
      <w:r w:rsidR="003648C0" w:rsidRPr="291EC12F">
        <w:rPr>
          <w:sz w:val="22"/>
          <w:szCs w:val="22"/>
        </w:rPr>
        <w:t xml:space="preserve"> (</w:t>
      </w:r>
      <w:r w:rsidR="00F31E9B" w:rsidRPr="291EC12F">
        <w:rPr>
          <w:sz w:val="22"/>
          <w:szCs w:val="22"/>
        </w:rPr>
        <w:t>January 1, 2024 – December 31, 202</w:t>
      </w:r>
      <w:r w:rsidR="00FE3154" w:rsidRPr="291EC12F">
        <w:rPr>
          <w:sz w:val="22"/>
          <w:szCs w:val="22"/>
        </w:rPr>
        <w:t>5</w:t>
      </w:r>
      <w:r w:rsidR="003648C0" w:rsidRPr="291EC12F">
        <w:rPr>
          <w:sz w:val="22"/>
          <w:szCs w:val="22"/>
        </w:rPr>
        <w:t>)</w:t>
      </w:r>
      <w:r w:rsidRPr="291EC12F">
        <w:rPr>
          <w:sz w:val="22"/>
          <w:szCs w:val="22"/>
        </w:rPr>
        <w:t xml:space="preserve"> in Massachusetts</w:t>
      </w:r>
      <w:r w:rsidR="003D55E3" w:rsidRPr="291EC12F">
        <w:rPr>
          <w:sz w:val="22"/>
          <w:szCs w:val="22"/>
        </w:rPr>
        <w:t xml:space="preserve"> by year</w:t>
      </w:r>
      <w:r w:rsidR="004C2735" w:rsidRPr="291EC12F">
        <w:rPr>
          <w:sz w:val="22"/>
          <w:szCs w:val="22"/>
        </w:rPr>
        <w:t>(N=</w:t>
      </w:r>
      <w:r w:rsidR="00C4301E" w:rsidRPr="291EC12F">
        <w:rPr>
          <w:sz w:val="22"/>
          <w:szCs w:val="22"/>
        </w:rPr>
        <w:t>4</w:t>
      </w:r>
      <w:r w:rsidR="00B80029" w:rsidRPr="291EC12F">
        <w:rPr>
          <w:sz w:val="22"/>
          <w:szCs w:val="22"/>
        </w:rPr>
        <w:t>59</w:t>
      </w:r>
      <w:r w:rsidR="004C2735" w:rsidRPr="291EC12F">
        <w:rPr>
          <w:sz w:val="22"/>
          <w:szCs w:val="22"/>
        </w:rPr>
        <w:t>)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1872"/>
        <w:gridCol w:w="2016"/>
        <w:gridCol w:w="2016"/>
        <w:gridCol w:w="2016"/>
        <w:gridCol w:w="2016"/>
      </w:tblGrid>
      <w:tr w:rsidR="00F93B87" w:rsidRPr="00BF15D1" w14:paraId="5A396328" w14:textId="77777777" w:rsidTr="009F1EF7">
        <w:trPr>
          <w:trHeight w:val="2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FE9DB5" w14:textId="3B2983D3" w:rsidR="00F93B87" w:rsidRPr="003648C0" w:rsidRDefault="00F93B87" w:rsidP="003E7C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DAE1B28" w14:textId="1662F324" w:rsidR="00F93B87" w:rsidRPr="003648C0" w:rsidRDefault="00F93B87" w:rsidP="003E7C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12/31/2024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B54BA54" w14:textId="6D167821" w:rsidR="00F93B87" w:rsidRPr="003648C0" w:rsidRDefault="00F93B87" w:rsidP="003E7C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12/31/2024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C7CF878" w14:textId="2B0821E2" w:rsidR="00F93B87" w:rsidRPr="003648C0" w:rsidRDefault="00F93B87" w:rsidP="003E7C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1/1 – 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/3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4C1CF45" w14:textId="55085B57" w:rsidR="00F93B87" w:rsidRPr="003648C0" w:rsidRDefault="00F93B87" w:rsidP="003E7C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1/1 – 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/3</w:t>
            </w:r>
            <w:r w:rsidR="00F31E9B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/2025</w:t>
            </w:r>
          </w:p>
        </w:tc>
      </w:tr>
      <w:tr w:rsidR="00F93B87" w:rsidRPr="00BF15D1" w14:paraId="1552C85C" w14:textId="77777777" w:rsidTr="00411D9A">
        <w:trPr>
          <w:trHeight w:val="2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9DCE3F" w14:textId="42B301A1" w:rsidR="00F93B87" w:rsidRPr="003648C0" w:rsidRDefault="00411D9A" w:rsidP="003E7C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Antibiotic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FE231F" w14:textId="74178C17" w:rsidR="00F93B87" w:rsidRPr="003648C0" w:rsidRDefault="00F93B87" w:rsidP="003E7C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964D1C" w14:textId="4091B9FA" w:rsidR="00F93B87" w:rsidRPr="003648C0" w:rsidRDefault="00F93B87" w:rsidP="003E7C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18CD6A" w14:textId="73220A29" w:rsidR="00F93B87" w:rsidRPr="003648C0" w:rsidRDefault="00F93B87" w:rsidP="003E7C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8D35BA" w14:textId="5ECEA49E" w:rsidR="00F93B87" w:rsidRPr="003648C0" w:rsidRDefault="00F93B87" w:rsidP="003E7C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</w:tr>
      <w:tr w:rsidR="00F93B87" w:rsidRPr="00BF15D1" w14:paraId="46CA6579" w14:textId="77777777" w:rsidTr="00C4301E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635" w14:textId="77777777" w:rsidR="00F93B87" w:rsidRPr="003648C0" w:rsidRDefault="00F93B87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Cefoxitin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5F59" w14:textId="19D30554" w:rsidR="00F93B87" w:rsidRPr="003648C0" w:rsidRDefault="00F93B87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E034" w14:textId="02DFD9B2" w:rsidR="00F93B87" w:rsidRPr="003648C0" w:rsidRDefault="00F93B87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02EE" w14:textId="3A7FC3C0" w:rsidR="00F93B87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A4EB5" w14:textId="5A01B2A6" w:rsidR="00F93B87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99.4</w:t>
            </w:r>
          </w:p>
        </w:tc>
      </w:tr>
      <w:tr w:rsidR="00C4301E" w:rsidRPr="00BF15D1" w14:paraId="1C49BE1A" w14:textId="77777777" w:rsidTr="00C4301E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A633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Cefixime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EB29" w14:textId="3DA1CBBA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6EAB" w14:textId="4DF50075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69BD" w14:textId="76999FFE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6CC6" w14:textId="5B8A8545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98.9</w:t>
            </w:r>
          </w:p>
        </w:tc>
      </w:tr>
      <w:tr w:rsidR="00C4301E" w:rsidRPr="00BF15D1" w14:paraId="74D73CEA" w14:textId="77777777" w:rsidTr="00C4301E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9A93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Ceftriaxone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CE8" w14:textId="0EB92AE3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9283" w14:textId="057AAFEC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88A73" w14:textId="5A515ACB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5F9" w14:textId="7B700483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98.9</w:t>
            </w:r>
          </w:p>
        </w:tc>
      </w:tr>
      <w:tr w:rsidR="00C4301E" w:rsidRPr="00BF15D1" w14:paraId="79934BB0" w14:textId="77777777" w:rsidTr="00047C66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457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Ciprofloxacin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DD4E" w14:textId="104F7504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A671" w14:textId="2BB7ADA2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329A" w14:textId="6C87A6F9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17C8" w14:textId="0FEC41DB" w:rsidR="00C4301E" w:rsidRPr="008617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46.0</w:t>
            </w:r>
          </w:p>
        </w:tc>
      </w:tr>
      <w:tr w:rsidR="00C4301E" w:rsidRPr="00BF15D1" w14:paraId="2CC958DC" w14:textId="77777777" w:rsidTr="00C4301E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9ED8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Spectinomycin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7A57" w14:textId="79EF5D01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4C73" w14:textId="3BEC8AFD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A088" w14:textId="5D44E537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98F" w14:textId="3E89C98F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C4301E" w:rsidRPr="00BF15D1" w14:paraId="4D451EE3" w14:textId="77777777" w:rsidTr="00C4301E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B575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Azithromycin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128F" w14:textId="2B4BFB3B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D59C" w14:textId="0663AD09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95.8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9D75" w14:textId="6708D56C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7EE6" w14:textId="355B4596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93.8</w:t>
            </w:r>
          </w:p>
        </w:tc>
      </w:tr>
      <w:tr w:rsidR="00C4301E" w:rsidRPr="00BF15D1" w14:paraId="1574C0C3" w14:textId="77777777" w:rsidTr="00047C66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C26E" w14:textId="77777777" w:rsidR="00C4301E" w:rsidRPr="003648C0" w:rsidRDefault="00C4301E" w:rsidP="003E7C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Tetracycline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D93F" w14:textId="34945036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ECED" w14:textId="05F42C51" w:rsidR="00C4301E" w:rsidRPr="003648C0" w:rsidRDefault="00C4301E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60.9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0BED" w14:textId="547558D1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560B" w14:textId="253D1355" w:rsidR="00C4301E" w:rsidRPr="003648C0" w:rsidRDefault="00B80029" w:rsidP="003E7C6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33.3</w:t>
            </w:r>
          </w:p>
        </w:tc>
      </w:tr>
    </w:tbl>
    <w:p w14:paraId="1B7EEDBC" w14:textId="6F3A58CC" w:rsidR="00E8245E" w:rsidRPr="00C8598C" w:rsidRDefault="00E8245E" w:rsidP="003E7C6F">
      <w:pPr>
        <w:rPr>
          <w:rFonts w:cstheme="minorHAnsi"/>
          <w:sz w:val="20"/>
          <w:szCs w:val="20"/>
        </w:rPr>
      </w:pPr>
      <w:r w:rsidRPr="00C8598C">
        <w:rPr>
          <w:rFonts w:cstheme="minorHAnsi"/>
          <w:sz w:val="20"/>
          <w:szCs w:val="20"/>
        </w:rPr>
        <w:t xml:space="preserve">Data are current as of </w:t>
      </w:r>
      <w:r w:rsidR="00B80029" w:rsidRPr="00C8598C">
        <w:rPr>
          <w:rFonts w:cstheme="minorHAnsi"/>
          <w:sz w:val="20"/>
          <w:szCs w:val="20"/>
        </w:rPr>
        <w:t>4</w:t>
      </w:r>
      <w:r w:rsidRPr="00C8598C">
        <w:rPr>
          <w:rFonts w:cstheme="minorHAnsi"/>
          <w:sz w:val="20"/>
          <w:szCs w:val="20"/>
        </w:rPr>
        <w:t>/</w:t>
      </w:r>
      <w:r w:rsidR="00B80029" w:rsidRPr="00C8598C">
        <w:rPr>
          <w:rFonts w:cstheme="minorHAnsi"/>
          <w:sz w:val="20"/>
          <w:szCs w:val="20"/>
        </w:rPr>
        <w:t>28</w:t>
      </w:r>
      <w:r w:rsidRPr="00C8598C">
        <w:rPr>
          <w:rFonts w:cstheme="minorHAnsi"/>
          <w:sz w:val="20"/>
          <w:szCs w:val="20"/>
        </w:rPr>
        <w:t>/202</w:t>
      </w:r>
      <w:r w:rsidR="00F31E9B" w:rsidRPr="00C8598C">
        <w:rPr>
          <w:rFonts w:cstheme="minorHAnsi"/>
          <w:sz w:val="20"/>
          <w:szCs w:val="20"/>
        </w:rPr>
        <w:t>6</w:t>
      </w:r>
      <w:r w:rsidRPr="00C8598C">
        <w:rPr>
          <w:rFonts w:cstheme="minorHAnsi"/>
          <w:sz w:val="20"/>
          <w:szCs w:val="20"/>
        </w:rPr>
        <w:t xml:space="preserve"> and subject to change.</w:t>
      </w:r>
    </w:p>
    <w:p w14:paraId="48824052" w14:textId="2FC32953" w:rsidR="00782AB5" w:rsidRPr="00C8598C" w:rsidRDefault="16EF1D68" w:rsidP="003E7C6F">
      <w:pPr>
        <w:rPr>
          <w:rFonts w:cstheme="minorHAnsi"/>
          <w:sz w:val="20"/>
          <w:szCs w:val="20"/>
        </w:rPr>
      </w:pPr>
      <w:r w:rsidRPr="00C8598C">
        <w:rPr>
          <w:rFonts w:cstheme="minorHAnsi"/>
          <w:sz w:val="20"/>
          <w:szCs w:val="20"/>
          <w:vertAlign w:val="superscript"/>
        </w:rPr>
        <w:t xml:space="preserve">* </w:t>
      </w:r>
      <w:r w:rsidRPr="00C8598C">
        <w:rPr>
          <w:rFonts w:cstheme="minorHAnsi"/>
          <w:sz w:val="20"/>
          <w:szCs w:val="20"/>
        </w:rPr>
        <w:t xml:space="preserve">Antibiotic susceptibility testing was performed by </w:t>
      </w:r>
      <w:proofErr w:type="spellStart"/>
      <w:r w:rsidR="0064449C" w:rsidRPr="00C8598C">
        <w:rPr>
          <w:rFonts w:cstheme="minorHAnsi"/>
          <w:sz w:val="20"/>
          <w:szCs w:val="20"/>
        </w:rPr>
        <w:t>E</w:t>
      </w:r>
      <w:r w:rsidRPr="00C8598C">
        <w:rPr>
          <w:rFonts w:cstheme="minorHAnsi"/>
          <w:sz w:val="20"/>
          <w:szCs w:val="20"/>
        </w:rPr>
        <w:t>test</w:t>
      </w:r>
      <w:proofErr w:type="spellEnd"/>
      <w:r w:rsidRPr="00C8598C">
        <w:rPr>
          <w:rFonts w:cstheme="minorHAnsi"/>
          <w:sz w:val="20"/>
          <w:szCs w:val="20"/>
        </w:rPr>
        <w:t xml:space="preserve"> at the Massachusetts State Public Health Laboratory with additional testing performed at </w:t>
      </w:r>
      <w:r w:rsidR="00933866" w:rsidRPr="00C8598C">
        <w:rPr>
          <w:rFonts w:cstheme="minorHAnsi"/>
          <w:sz w:val="20"/>
          <w:szCs w:val="20"/>
        </w:rPr>
        <w:t xml:space="preserve">other laboratories including </w:t>
      </w:r>
      <w:r w:rsidR="5156D27D" w:rsidRPr="00C8598C">
        <w:rPr>
          <w:rFonts w:cstheme="minorHAnsi"/>
          <w:sz w:val="20"/>
          <w:szCs w:val="20"/>
        </w:rPr>
        <w:t>Massachusetts General Hospital</w:t>
      </w:r>
      <w:r w:rsidR="000E3DF2" w:rsidRPr="00C8598C">
        <w:rPr>
          <w:rFonts w:cstheme="minorHAnsi"/>
          <w:sz w:val="20"/>
          <w:szCs w:val="20"/>
        </w:rPr>
        <w:t>.</w:t>
      </w:r>
    </w:p>
    <w:p w14:paraId="05655FF2" w14:textId="176D2AFB" w:rsidR="00782AB5" w:rsidRPr="00C8598C" w:rsidRDefault="22839ABA" w:rsidP="003E7C6F">
      <w:pPr>
        <w:rPr>
          <w:sz w:val="20"/>
          <w:szCs w:val="20"/>
        </w:rPr>
      </w:pPr>
      <w:r w:rsidRPr="00C8598C">
        <w:rPr>
          <w:sz w:val="20"/>
          <w:szCs w:val="20"/>
          <w:vertAlign w:val="superscript"/>
        </w:rPr>
        <w:t>**</w:t>
      </w:r>
      <w:r w:rsidRPr="00C8598C">
        <w:rPr>
          <w:sz w:val="20"/>
          <w:szCs w:val="20"/>
        </w:rPr>
        <w:t xml:space="preserve"> </w:t>
      </w:r>
      <w:r w:rsidR="00574C45" w:rsidRPr="00BF6036">
        <w:rPr>
          <w:sz w:val="20"/>
          <w:szCs w:val="20"/>
        </w:rPr>
        <w:t xml:space="preserve">Only one culture was used </w:t>
      </w:r>
      <w:r w:rsidR="1D96B17F" w:rsidRPr="00BF6036">
        <w:rPr>
          <w:sz w:val="20"/>
          <w:szCs w:val="20"/>
        </w:rPr>
        <w:t xml:space="preserve">per </w:t>
      </w:r>
      <w:r w:rsidR="00574C45" w:rsidRPr="00BF6036">
        <w:rPr>
          <w:sz w:val="20"/>
          <w:szCs w:val="20"/>
        </w:rPr>
        <w:t>person</w:t>
      </w:r>
      <w:r w:rsidR="437BE767" w:rsidRPr="00C8598C">
        <w:rPr>
          <w:sz w:val="20"/>
          <w:szCs w:val="20"/>
        </w:rPr>
        <w:t>.</w:t>
      </w:r>
    </w:p>
    <w:p w14:paraId="22169029" w14:textId="77777777" w:rsidR="00944BDA" w:rsidRDefault="00944BDA" w:rsidP="003E7C6F">
      <w:pPr>
        <w:rPr>
          <w:sz w:val="20"/>
          <w:szCs w:val="20"/>
        </w:rPr>
      </w:pPr>
    </w:p>
    <w:p w14:paraId="7ED1B797" w14:textId="77777777" w:rsidR="00C8598C" w:rsidRDefault="00C8598C" w:rsidP="003E7C6F">
      <w:pPr>
        <w:rPr>
          <w:sz w:val="20"/>
          <w:szCs w:val="20"/>
        </w:rPr>
      </w:pPr>
    </w:p>
    <w:p w14:paraId="0312BD6C" w14:textId="7217AD79" w:rsidR="00944BDA" w:rsidRDefault="00915176" w:rsidP="003E7C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Summary</w:t>
      </w:r>
      <w:r w:rsidR="001A18FE" w:rsidRPr="00BF6036">
        <w:rPr>
          <w:b/>
          <w:bCs/>
          <w:sz w:val="22"/>
          <w:szCs w:val="22"/>
        </w:rPr>
        <w:t>:</w:t>
      </w:r>
    </w:p>
    <w:p w14:paraId="500DE05F" w14:textId="46055A94" w:rsidR="00574B1B" w:rsidRPr="00AF755F" w:rsidRDefault="0F46604C" w:rsidP="069F5CA9">
      <w:pPr>
        <w:rPr>
          <w:sz w:val="20"/>
          <w:szCs w:val="20"/>
        </w:rPr>
      </w:pPr>
      <w:r w:rsidRPr="069F5CA9">
        <w:rPr>
          <w:sz w:val="22"/>
          <w:szCs w:val="22"/>
        </w:rPr>
        <w:t>A</w:t>
      </w:r>
      <w:r w:rsidR="00A150EB">
        <w:rPr>
          <w:sz w:val="22"/>
          <w:szCs w:val="22"/>
        </w:rPr>
        <w:t xml:space="preserve">lthough there has been a reduction in the </w:t>
      </w:r>
      <w:r w:rsidRPr="069F5CA9">
        <w:rPr>
          <w:sz w:val="22"/>
          <w:szCs w:val="22"/>
        </w:rPr>
        <w:t>number of gonorrhea cultures</w:t>
      </w:r>
      <w:r w:rsidR="00BC5B23">
        <w:rPr>
          <w:sz w:val="22"/>
          <w:szCs w:val="22"/>
        </w:rPr>
        <w:t xml:space="preserve">, they </w:t>
      </w:r>
      <w:r w:rsidRPr="069F5CA9">
        <w:rPr>
          <w:sz w:val="22"/>
          <w:szCs w:val="22"/>
        </w:rPr>
        <w:t>are still being received from all regions of the state</w:t>
      </w:r>
      <w:r w:rsidR="53E3EB7F" w:rsidRPr="069F5CA9">
        <w:rPr>
          <w:sz w:val="22"/>
          <w:szCs w:val="22"/>
        </w:rPr>
        <w:t>, and it remains important to continue to culture for gonorrhea in our state</w:t>
      </w:r>
      <w:r w:rsidRPr="069F5CA9">
        <w:rPr>
          <w:sz w:val="22"/>
          <w:szCs w:val="22"/>
        </w:rPr>
        <w:t xml:space="preserve">. </w:t>
      </w:r>
    </w:p>
    <w:p w14:paraId="5E54EEA3" w14:textId="3E01F104" w:rsidR="00574B1B" w:rsidRPr="00AF755F" w:rsidRDefault="00574B1B" w:rsidP="069F5CA9">
      <w:pPr>
        <w:rPr>
          <w:sz w:val="22"/>
          <w:szCs w:val="22"/>
        </w:rPr>
      </w:pPr>
    </w:p>
    <w:p w14:paraId="7DABAD2A" w14:textId="38EA4EBC" w:rsidR="00574B1B" w:rsidRPr="00AF755F" w:rsidRDefault="48D91583" w:rsidP="45EFA073">
      <w:pPr>
        <w:rPr>
          <w:sz w:val="20"/>
          <w:szCs w:val="20"/>
        </w:rPr>
      </w:pPr>
      <w:r w:rsidRPr="069F5CA9">
        <w:rPr>
          <w:sz w:val="22"/>
          <w:szCs w:val="22"/>
        </w:rPr>
        <w:t>In 2025</w:t>
      </w:r>
      <w:r w:rsidR="7FF4CD83" w:rsidRPr="069F5CA9">
        <w:rPr>
          <w:sz w:val="22"/>
          <w:szCs w:val="22"/>
        </w:rPr>
        <w:t xml:space="preserve">, cephalosporin </w:t>
      </w:r>
      <w:r w:rsidR="7FF4CD83" w:rsidRPr="00277345">
        <w:rPr>
          <w:sz w:val="22"/>
          <w:szCs w:val="22"/>
        </w:rPr>
        <w:t xml:space="preserve">resistance </w:t>
      </w:r>
      <w:r w:rsidR="545CE478" w:rsidRPr="00277345">
        <w:rPr>
          <w:sz w:val="22"/>
          <w:szCs w:val="22"/>
        </w:rPr>
        <w:t>was</w:t>
      </w:r>
      <w:r w:rsidR="7FF4CD83" w:rsidRPr="00277345">
        <w:rPr>
          <w:sz w:val="22"/>
          <w:szCs w:val="22"/>
        </w:rPr>
        <w:t xml:space="preserve"> rare</w:t>
      </w:r>
      <w:r w:rsidR="1DEA17C3" w:rsidRPr="00277345">
        <w:rPr>
          <w:sz w:val="22"/>
          <w:szCs w:val="22"/>
        </w:rPr>
        <w:t xml:space="preserve">, thus </w:t>
      </w:r>
      <w:hyperlink r:id="rId8" w:history="1">
        <w:r w:rsidR="1DEA17C3" w:rsidRPr="00277345">
          <w:rPr>
            <w:rStyle w:val="Hyperlink"/>
            <w:color w:val="auto"/>
            <w:sz w:val="22"/>
            <w:szCs w:val="22"/>
          </w:rPr>
          <w:t>ceftriaxone remains our recommended first-line treatment</w:t>
        </w:r>
      </w:hyperlink>
      <w:r w:rsidR="282E3F95" w:rsidRPr="00277345">
        <w:rPr>
          <w:sz w:val="22"/>
          <w:szCs w:val="22"/>
        </w:rPr>
        <w:t xml:space="preserve">. </w:t>
      </w:r>
      <w:r w:rsidR="00BC2481" w:rsidRPr="00BC2481">
        <w:rPr>
          <w:sz w:val="22"/>
          <w:szCs w:val="22"/>
        </w:rPr>
        <w:t>Fluoroquinolones</w:t>
      </w:r>
      <w:r w:rsidR="163F0D9B" w:rsidRPr="00277345">
        <w:rPr>
          <w:sz w:val="22"/>
          <w:szCs w:val="22"/>
        </w:rPr>
        <w:t xml:space="preserve"> </w:t>
      </w:r>
      <w:r w:rsidR="543B3B97" w:rsidRPr="00277345">
        <w:rPr>
          <w:sz w:val="22"/>
          <w:szCs w:val="22"/>
        </w:rPr>
        <w:t xml:space="preserve">resistance was common. As a result, </w:t>
      </w:r>
      <w:r w:rsidR="34BA4C7C" w:rsidRPr="00277345">
        <w:rPr>
          <w:sz w:val="22"/>
          <w:szCs w:val="22"/>
        </w:rPr>
        <w:t xml:space="preserve">drugs in this class </w:t>
      </w:r>
      <w:r w:rsidR="163F0D9B" w:rsidRPr="00277345">
        <w:rPr>
          <w:sz w:val="22"/>
          <w:szCs w:val="22"/>
        </w:rPr>
        <w:t>such as ciprofloxacin should not be used for routine gonorrhea treatment, but exceptions can be made for specific patients with documented quinolone</w:t>
      </w:r>
      <w:r w:rsidR="71632930" w:rsidRPr="00277345">
        <w:rPr>
          <w:sz w:val="22"/>
          <w:szCs w:val="22"/>
        </w:rPr>
        <w:t>-</w:t>
      </w:r>
      <w:r w:rsidR="163F0D9B" w:rsidRPr="00277345">
        <w:rPr>
          <w:sz w:val="22"/>
          <w:szCs w:val="22"/>
        </w:rPr>
        <w:t>susceptib</w:t>
      </w:r>
      <w:r w:rsidR="5A441B08" w:rsidRPr="00277345">
        <w:rPr>
          <w:sz w:val="22"/>
          <w:szCs w:val="22"/>
        </w:rPr>
        <w:t>le</w:t>
      </w:r>
      <w:r w:rsidR="562DC082" w:rsidRPr="00277345">
        <w:rPr>
          <w:sz w:val="22"/>
          <w:szCs w:val="22"/>
        </w:rPr>
        <w:t xml:space="preserve"> </w:t>
      </w:r>
      <w:r w:rsidR="5A441B08" w:rsidRPr="00277345">
        <w:rPr>
          <w:sz w:val="22"/>
          <w:szCs w:val="22"/>
        </w:rPr>
        <w:t>strains</w:t>
      </w:r>
      <w:r w:rsidR="163F0D9B" w:rsidRPr="00277345">
        <w:rPr>
          <w:sz w:val="22"/>
          <w:szCs w:val="22"/>
        </w:rPr>
        <w:t xml:space="preserve"> and contraindication</w:t>
      </w:r>
      <w:r w:rsidR="089175AA" w:rsidRPr="00277345">
        <w:rPr>
          <w:sz w:val="22"/>
          <w:szCs w:val="22"/>
        </w:rPr>
        <w:t>s</w:t>
      </w:r>
      <w:r w:rsidR="163F0D9B" w:rsidRPr="00277345">
        <w:rPr>
          <w:sz w:val="22"/>
          <w:szCs w:val="22"/>
        </w:rPr>
        <w:t xml:space="preserve"> to ceftriaxone use. </w:t>
      </w:r>
      <w:r w:rsidR="6E150710" w:rsidRPr="00277345">
        <w:rPr>
          <w:sz w:val="22"/>
          <w:szCs w:val="22"/>
        </w:rPr>
        <w:t>D</w:t>
      </w:r>
      <w:r w:rsidR="282E3F95" w:rsidRPr="00277345">
        <w:rPr>
          <w:sz w:val="22"/>
          <w:szCs w:val="22"/>
        </w:rPr>
        <w:t xml:space="preserve">rugs </w:t>
      </w:r>
      <w:r w:rsidR="18C5E9CB" w:rsidRPr="00277345">
        <w:rPr>
          <w:sz w:val="22"/>
          <w:szCs w:val="22"/>
        </w:rPr>
        <w:t xml:space="preserve">such as azithromycin </w:t>
      </w:r>
      <w:r w:rsidR="650FBD07" w:rsidRPr="00277345">
        <w:rPr>
          <w:sz w:val="22"/>
          <w:szCs w:val="22"/>
        </w:rPr>
        <w:t>and</w:t>
      </w:r>
      <w:r w:rsidR="18C5E9CB" w:rsidRPr="00277345">
        <w:rPr>
          <w:sz w:val="22"/>
          <w:szCs w:val="22"/>
        </w:rPr>
        <w:t xml:space="preserve"> aminoglycosides </w:t>
      </w:r>
      <w:r w:rsidR="4A655D71" w:rsidRPr="00277345">
        <w:rPr>
          <w:sz w:val="22"/>
          <w:szCs w:val="22"/>
        </w:rPr>
        <w:t>(</w:t>
      </w:r>
      <w:r w:rsidR="166114C1" w:rsidRPr="00277345">
        <w:rPr>
          <w:sz w:val="22"/>
          <w:szCs w:val="22"/>
        </w:rPr>
        <w:t xml:space="preserve">e.g., </w:t>
      </w:r>
      <w:r w:rsidR="4A655D71" w:rsidRPr="00277345">
        <w:rPr>
          <w:sz w:val="22"/>
          <w:szCs w:val="22"/>
        </w:rPr>
        <w:t xml:space="preserve">spectinomycin) </w:t>
      </w:r>
      <w:r w:rsidR="24136A85" w:rsidRPr="00277345">
        <w:rPr>
          <w:sz w:val="22"/>
          <w:szCs w:val="22"/>
        </w:rPr>
        <w:t>have lower efficacy</w:t>
      </w:r>
      <w:r w:rsidR="0BA81902" w:rsidRPr="00277345">
        <w:rPr>
          <w:sz w:val="22"/>
          <w:szCs w:val="22"/>
        </w:rPr>
        <w:t xml:space="preserve"> for gonorrhea treatment</w:t>
      </w:r>
      <w:r w:rsidR="18C5E9CB" w:rsidRPr="00277345">
        <w:rPr>
          <w:sz w:val="22"/>
          <w:szCs w:val="22"/>
        </w:rPr>
        <w:t xml:space="preserve"> but </w:t>
      </w:r>
      <w:r w:rsidR="51698DEF" w:rsidRPr="00277345">
        <w:rPr>
          <w:sz w:val="22"/>
          <w:szCs w:val="22"/>
        </w:rPr>
        <w:t>are considered alternative agents</w:t>
      </w:r>
      <w:r w:rsidR="63555C5B" w:rsidRPr="00277345">
        <w:rPr>
          <w:sz w:val="22"/>
          <w:szCs w:val="22"/>
        </w:rPr>
        <w:t xml:space="preserve"> </w:t>
      </w:r>
      <w:r w:rsidR="189D2588" w:rsidRPr="00277345">
        <w:rPr>
          <w:sz w:val="22"/>
          <w:szCs w:val="22"/>
        </w:rPr>
        <w:t>rese</w:t>
      </w:r>
      <w:r w:rsidR="51698DEF" w:rsidRPr="00277345">
        <w:rPr>
          <w:sz w:val="22"/>
          <w:szCs w:val="22"/>
        </w:rPr>
        <w:t>rved for patients with contraindications to ceftriaxone use</w:t>
      </w:r>
      <w:r w:rsidR="13ACF62D" w:rsidRPr="00277345">
        <w:rPr>
          <w:sz w:val="22"/>
          <w:szCs w:val="22"/>
        </w:rPr>
        <w:t xml:space="preserve">. </w:t>
      </w:r>
      <w:r w:rsidR="7FF4CD83" w:rsidRPr="00277345">
        <w:rPr>
          <w:sz w:val="22"/>
          <w:szCs w:val="22"/>
        </w:rPr>
        <w:t xml:space="preserve"> </w:t>
      </w:r>
      <w:r w:rsidR="407C5E45" w:rsidRPr="00277345">
        <w:rPr>
          <w:sz w:val="22"/>
          <w:szCs w:val="22"/>
        </w:rPr>
        <w:t xml:space="preserve">A </w:t>
      </w:r>
      <w:r w:rsidR="7FF4CD83" w:rsidRPr="00277345">
        <w:rPr>
          <w:sz w:val="22"/>
          <w:szCs w:val="22"/>
        </w:rPr>
        <w:t xml:space="preserve">small proportion of isolates testing for tetracycline </w:t>
      </w:r>
      <w:r w:rsidR="23C29FBA" w:rsidRPr="00277345">
        <w:rPr>
          <w:sz w:val="22"/>
          <w:szCs w:val="22"/>
        </w:rPr>
        <w:t xml:space="preserve">imply </w:t>
      </w:r>
      <w:r w:rsidR="7FF4CD83" w:rsidRPr="00277345">
        <w:rPr>
          <w:sz w:val="22"/>
          <w:szCs w:val="22"/>
        </w:rPr>
        <w:t xml:space="preserve">circulating </w:t>
      </w:r>
      <w:r w:rsidR="7FF4CD83" w:rsidRPr="00277345">
        <w:rPr>
          <w:i/>
          <w:iCs/>
          <w:sz w:val="22"/>
          <w:szCs w:val="22"/>
        </w:rPr>
        <w:t>N</w:t>
      </w:r>
      <w:r w:rsidR="298E931B" w:rsidRPr="00277345">
        <w:rPr>
          <w:i/>
          <w:iCs/>
          <w:sz w:val="22"/>
          <w:szCs w:val="22"/>
        </w:rPr>
        <w:t>. gonorrhoeae</w:t>
      </w:r>
      <w:r w:rsidR="298E931B" w:rsidRPr="00277345">
        <w:rPr>
          <w:sz w:val="22"/>
          <w:szCs w:val="22"/>
        </w:rPr>
        <w:t xml:space="preserve"> strains may </w:t>
      </w:r>
      <w:r w:rsidR="3439B297" w:rsidRPr="00277345">
        <w:rPr>
          <w:sz w:val="22"/>
          <w:szCs w:val="22"/>
        </w:rPr>
        <w:t xml:space="preserve">be </w:t>
      </w:r>
      <w:r w:rsidR="298E931B" w:rsidRPr="00277345">
        <w:rPr>
          <w:sz w:val="22"/>
          <w:szCs w:val="22"/>
        </w:rPr>
        <w:t>becoming less susceptible to doxyc</w:t>
      </w:r>
      <w:r w:rsidR="0028D442" w:rsidRPr="00277345">
        <w:rPr>
          <w:sz w:val="22"/>
          <w:szCs w:val="22"/>
        </w:rPr>
        <w:t>y</w:t>
      </w:r>
      <w:r w:rsidR="5016168A" w:rsidRPr="00277345">
        <w:rPr>
          <w:sz w:val="22"/>
          <w:szCs w:val="22"/>
        </w:rPr>
        <w:t>c</w:t>
      </w:r>
      <w:r w:rsidR="298E931B" w:rsidRPr="00277345">
        <w:rPr>
          <w:sz w:val="22"/>
          <w:szCs w:val="22"/>
        </w:rPr>
        <w:t>line</w:t>
      </w:r>
      <w:r w:rsidR="00B88B93" w:rsidRPr="00277345">
        <w:rPr>
          <w:sz w:val="22"/>
          <w:szCs w:val="22"/>
        </w:rPr>
        <w:t xml:space="preserve">, which is </w:t>
      </w:r>
      <w:r w:rsidR="797022A8" w:rsidRPr="00277345">
        <w:rPr>
          <w:sz w:val="22"/>
          <w:szCs w:val="22"/>
        </w:rPr>
        <w:t xml:space="preserve">still </w:t>
      </w:r>
      <w:hyperlink r:id="rId9" w:history="1">
        <w:r w:rsidR="797022A8" w:rsidRPr="00277345">
          <w:rPr>
            <w:rStyle w:val="Hyperlink"/>
            <w:color w:val="auto"/>
            <w:sz w:val="22"/>
            <w:szCs w:val="22"/>
          </w:rPr>
          <w:t xml:space="preserve">recommended </w:t>
        </w:r>
        <w:r w:rsidR="00B88B93" w:rsidRPr="00277345">
          <w:rPr>
            <w:rStyle w:val="Hyperlink"/>
            <w:color w:val="auto"/>
            <w:sz w:val="22"/>
            <w:szCs w:val="22"/>
          </w:rPr>
          <w:t>for post-exposure</w:t>
        </w:r>
        <w:r w:rsidR="298E931B" w:rsidRPr="00277345">
          <w:rPr>
            <w:rStyle w:val="Hyperlink"/>
            <w:color w:val="auto"/>
            <w:sz w:val="22"/>
            <w:szCs w:val="22"/>
          </w:rPr>
          <w:t xml:space="preserve"> </w:t>
        </w:r>
        <w:r w:rsidR="5D31B39A" w:rsidRPr="00277345">
          <w:rPr>
            <w:rStyle w:val="Hyperlink"/>
            <w:color w:val="auto"/>
            <w:sz w:val="22"/>
            <w:szCs w:val="22"/>
          </w:rPr>
          <w:t>prophylaxis</w:t>
        </w:r>
        <w:r w:rsidR="298E931B" w:rsidRPr="00277345">
          <w:rPr>
            <w:rStyle w:val="Hyperlink"/>
            <w:color w:val="auto"/>
            <w:sz w:val="22"/>
            <w:szCs w:val="22"/>
          </w:rPr>
          <w:t xml:space="preserve"> </w:t>
        </w:r>
        <w:r w:rsidR="5D31B39A" w:rsidRPr="00277345">
          <w:rPr>
            <w:rStyle w:val="Hyperlink"/>
            <w:color w:val="auto"/>
            <w:sz w:val="22"/>
            <w:szCs w:val="22"/>
          </w:rPr>
          <w:t xml:space="preserve">against </w:t>
        </w:r>
        <w:r w:rsidR="15FBFBC5" w:rsidRPr="00277345">
          <w:rPr>
            <w:rStyle w:val="Hyperlink"/>
            <w:color w:val="auto"/>
            <w:sz w:val="22"/>
            <w:szCs w:val="22"/>
          </w:rPr>
          <w:t>bacterial STIs</w:t>
        </w:r>
      </w:hyperlink>
      <w:r w:rsidR="0EE41BBF" w:rsidRPr="00277345">
        <w:rPr>
          <w:sz w:val="22"/>
          <w:szCs w:val="22"/>
        </w:rPr>
        <w:t xml:space="preserve">, though </w:t>
      </w:r>
      <w:r w:rsidR="0EE41BBF" w:rsidRPr="069F5CA9">
        <w:rPr>
          <w:sz w:val="22"/>
          <w:szCs w:val="22"/>
        </w:rPr>
        <w:t>not recommended for gonorrhea treatment</w:t>
      </w:r>
      <w:r w:rsidR="15FBFBC5" w:rsidRPr="069F5CA9">
        <w:rPr>
          <w:sz w:val="22"/>
          <w:szCs w:val="22"/>
        </w:rPr>
        <w:t>.</w:t>
      </w:r>
      <w:r w:rsidR="2FBE2890" w:rsidRPr="069F5CA9">
        <w:rPr>
          <w:sz w:val="22"/>
          <w:szCs w:val="22"/>
        </w:rPr>
        <w:t xml:space="preserve"> </w:t>
      </w:r>
      <w:r w:rsidR="00AF755F" w:rsidRPr="00BF6036">
        <w:rPr>
          <w:sz w:val="22"/>
          <w:szCs w:val="22"/>
        </w:rPr>
        <w:t xml:space="preserve"> </w:t>
      </w:r>
    </w:p>
    <w:sectPr w:rsidR="00574B1B" w:rsidRPr="00AF755F" w:rsidSect="00C8598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BCB"/>
    <w:multiLevelType w:val="hybridMultilevel"/>
    <w:tmpl w:val="9478274A"/>
    <w:lvl w:ilvl="0" w:tplc="F484260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AC5"/>
    <w:multiLevelType w:val="hybridMultilevel"/>
    <w:tmpl w:val="278A37C4"/>
    <w:lvl w:ilvl="0" w:tplc="808CF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45D5"/>
    <w:multiLevelType w:val="hybridMultilevel"/>
    <w:tmpl w:val="E7B0E5B2"/>
    <w:lvl w:ilvl="0" w:tplc="0A92DE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82974">
    <w:abstractNumId w:val="1"/>
  </w:num>
  <w:num w:numId="2" w16cid:durableId="635987797">
    <w:abstractNumId w:val="0"/>
  </w:num>
  <w:num w:numId="3" w16cid:durableId="185041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5"/>
    <w:rsid w:val="00001139"/>
    <w:rsid w:val="00047C66"/>
    <w:rsid w:val="0009721A"/>
    <w:rsid w:val="000A0560"/>
    <w:rsid w:val="000B61A3"/>
    <w:rsid w:val="000B6A35"/>
    <w:rsid w:val="000C42C7"/>
    <w:rsid w:val="000E35F3"/>
    <w:rsid w:val="000E3DF2"/>
    <w:rsid w:val="000F4216"/>
    <w:rsid w:val="00150448"/>
    <w:rsid w:val="00180051"/>
    <w:rsid w:val="0018547D"/>
    <w:rsid w:val="00190121"/>
    <w:rsid w:val="00192F61"/>
    <w:rsid w:val="001A18FE"/>
    <w:rsid w:val="001E556A"/>
    <w:rsid w:val="001F3DF9"/>
    <w:rsid w:val="0022363D"/>
    <w:rsid w:val="0024048E"/>
    <w:rsid w:val="00256A71"/>
    <w:rsid w:val="00276187"/>
    <w:rsid w:val="00277345"/>
    <w:rsid w:val="0028D442"/>
    <w:rsid w:val="002940F3"/>
    <w:rsid w:val="002A36E7"/>
    <w:rsid w:val="002A4091"/>
    <w:rsid w:val="002B677A"/>
    <w:rsid w:val="002B7EBC"/>
    <w:rsid w:val="002F67F2"/>
    <w:rsid w:val="00313DEE"/>
    <w:rsid w:val="00335FF3"/>
    <w:rsid w:val="00340124"/>
    <w:rsid w:val="00343D85"/>
    <w:rsid w:val="003648C0"/>
    <w:rsid w:val="003667EA"/>
    <w:rsid w:val="00384936"/>
    <w:rsid w:val="00386AF9"/>
    <w:rsid w:val="003A7818"/>
    <w:rsid w:val="003C553F"/>
    <w:rsid w:val="003C72B7"/>
    <w:rsid w:val="003D456A"/>
    <w:rsid w:val="003D55E3"/>
    <w:rsid w:val="003E7C6F"/>
    <w:rsid w:val="00411D9A"/>
    <w:rsid w:val="00415578"/>
    <w:rsid w:val="0042643B"/>
    <w:rsid w:val="00434CFD"/>
    <w:rsid w:val="0044291B"/>
    <w:rsid w:val="0046329A"/>
    <w:rsid w:val="00476529"/>
    <w:rsid w:val="004A7D66"/>
    <w:rsid w:val="004C2735"/>
    <w:rsid w:val="004C54C5"/>
    <w:rsid w:val="004D0ECD"/>
    <w:rsid w:val="004F4FF9"/>
    <w:rsid w:val="005024AF"/>
    <w:rsid w:val="00541979"/>
    <w:rsid w:val="00552DBD"/>
    <w:rsid w:val="0055537C"/>
    <w:rsid w:val="00566085"/>
    <w:rsid w:val="00574B1B"/>
    <w:rsid w:val="00574C45"/>
    <w:rsid w:val="0058284C"/>
    <w:rsid w:val="005961B5"/>
    <w:rsid w:val="005A4981"/>
    <w:rsid w:val="005C0ABF"/>
    <w:rsid w:val="005C7DA7"/>
    <w:rsid w:val="00606524"/>
    <w:rsid w:val="00627786"/>
    <w:rsid w:val="006346C3"/>
    <w:rsid w:val="0064449C"/>
    <w:rsid w:val="006B590C"/>
    <w:rsid w:val="006C1768"/>
    <w:rsid w:val="006C2852"/>
    <w:rsid w:val="006F1C67"/>
    <w:rsid w:val="006F6C3F"/>
    <w:rsid w:val="0071251E"/>
    <w:rsid w:val="00747B1F"/>
    <w:rsid w:val="00756A67"/>
    <w:rsid w:val="00782AB5"/>
    <w:rsid w:val="007E3904"/>
    <w:rsid w:val="008227A2"/>
    <w:rsid w:val="00857253"/>
    <w:rsid w:val="008617C0"/>
    <w:rsid w:val="008623F4"/>
    <w:rsid w:val="00897F94"/>
    <w:rsid w:val="008B0C08"/>
    <w:rsid w:val="008B17DD"/>
    <w:rsid w:val="008C7E26"/>
    <w:rsid w:val="008D4137"/>
    <w:rsid w:val="008F1C72"/>
    <w:rsid w:val="009078F7"/>
    <w:rsid w:val="00907D80"/>
    <w:rsid w:val="00910989"/>
    <w:rsid w:val="00915176"/>
    <w:rsid w:val="00923F1A"/>
    <w:rsid w:val="0093145B"/>
    <w:rsid w:val="009321FB"/>
    <w:rsid w:val="00933866"/>
    <w:rsid w:val="00944BDA"/>
    <w:rsid w:val="00944EB1"/>
    <w:rsid w:val="0094703F"/>
    <w:rsid w:val="00951B3A"/>
    <w:rsid w:val="009724CE"/>
    <w:rsid w:val="009A0F46"/>
    <w:rsid w:val="009E042A"/>
    <w:rsid w:val="00A150EB"/>
    <w:rsid w:val="00A3169E"/>
    <w:rsid w:val="00A45B16"/>
    <w:rsid w:val="00A5491E"/>
    <w:rsid w:val="00A66228"/>
    <w:rsid w:val="00A72BCF"/>
    <w:rsid w:val="00A76E7B"/>
    <w:rsid w:val="00AB434F"/>
    <w:rsid w:val="00AD1359"/>
    <w:rsid w:val="00AF755F"/>
    <w:rsid w:val="00B61187"/>
    <w:rsid w:val="00B80029"/>
    <w:rsid w:val="00B88B93"/>
    <w:rsid w:val="00BA486F"/>
    <w:rsid w:val="00BB1385"/>
    <w:rsid w:val="00BC2481"/>
    <w:rsid w:val="00BC5B23"/>
    <w:rsid w:val="00BC6C9C"/>
    <w:rsid w:val="00BD7345"/>
    <w:rsid w:val="00BE401E"/>
    <w:rsid w:val="00BF15D1"/>
    <w:rsid w:val="00BF6036"/>
    <w:rsid w:val="00C06F35"/>
    <w:rsid w:val="00C4246A"/>
    <w:rsid w:val="00C4301E"/>
    <w:rsid w:val="00C52A74"/>
    <w:rsid w:val="00C733AB"/>
    <w:rsid w:val="00C8598C"/>
    <w:rsid w:val="00C87456"/>
    <w:rsid w:val="00C90B89"/>
    <w:rsid w:val="00C932DC"/>
    <w:rsid w:val="00CA24C1"/>
    <w:rsid w:val="00CC5715"/>
    <w:rsid w:val="00CF7AAE"/>
    <w:rsid w:val="00D30559"/>
    <w:rsid w:val="00D53160"/>
    <w:rsid w:val="00D86EF5"/>
    <w:rsid w:val="00D9298A"/>
    <w:rsid w:val="00DD0B8C"/>
    <w:rsid w:val="00DE257A"/>
    <w:rsid w:val="00DE7820"/>
    <w:rsid w:val="00E062A5"/>
    <w:rsid w:val="00E066D1"/>
    <w:rsid w:val="00E2E02F"/>
    <w:rsid w:val="00E504F1"/>
    <w:rsid w:val="00E60C7F"/>
    <w:rsid w:val="00E70C12"/>
    <w:rsid w:val="00E73924"/>
    <w:rsid w:val="00E73F6D"/>
    <w:rsid w:val="00E8245E"/>
    <w:rsid w:val="00EB3602"/>
    <w:rsid w:val="00EC2235"/>
    <w:rsid w:val="00EF1DA3"/>
    <w:rsid w:val="00EF4212"/>
    <w:rsid w:val="00F23458"/>
    <w:rsid w:val="00F278D6"/>
    <w:rsid w:val="00F31E9B"/>
    <w:rsid w:val="00F569C2"/>
    <w:rsid w:val="00F6102E"/>
    <w:rsid w:val="00F76238"/>
    <w:rsid w:val="00F84D5B"/>
    <w:rsid w:val="00F93B87"/>
    <w:rsid w:val="00FA026F"/>
    <w:rsid w:val="00FA1673"/>
    <w:rsid w:val="00FB57BD"/>
    <w:rsid w:val="00FC6218"/>
    <w:rsid w:val="00FD0193"/>
    <w:rsid w:val="00FE3154"/>
    <w:rsid w:val="00FE7D4B"/>
    <w:rsid w:val="01185392"/>
    <w:rsid w:val="0156E949"/>
    <w:rsid w:val="02D709E3"/>
    <w:rsid w:val="03BA6F93"/>
    <w:rsid w:val="03E36DAF"/>
    <w:rsid w:val="04DBFC25"/>
    <w:rsid w:val="06450A8A"/>
    <w:rsid w:val="069F5CA9"/>
    <w:rsid w:val="0723F0AA"/>
    <w:rsid w:val="089175AA"/>
    <w:rsid w:val="0ADC1E92"/>
    <w:rsid w:val="0B3F56AC"/>
    <w:rsid w:val="0B94FCC3"/>
    <w:rsid w:val="0BA81902"/>
    <w:rsid w:val="0D4B348E"/>
    <w:rsid w:val="0D6638D6"/>
    <w:rsid w:val="0E02FF67"/>
    <w:rsid w:val="0E1B7671"/>
    <w:rsid w:val="0E9D0376"/>
    <w:rsid w:val="0EE41BBF"/>
    <w:rsid w:val="0F46604C"/>
    <w:rsid w:val="10D50A89"/>
    <w:rsid w:val="113B6DD2"/>
    <w:rsid w:val="11760C8F"/>
    <w:rsid w:val="132455D5"/>
    <w:rsid w:val="133B5393"/>
    <w:rsid w:val="13477F75"/>
    <w:rsid w:val="13ACF62D"/>
    <w:rsid w:val="14743FAC"/>
    <w:rsid w:val="1494EF1C"/>
    <w:rsid w:val="149C3B12"/>
    <w:rsid w:val="14D1B74A"/>
    <w:rsid w:val="1586F08D"/>
    <w:rsid w:val="15F4E8EF"/>
    <w:rsid w:val="15FBFBC5"/>
    <w:rsid w:val="161B1E3C"/>
    <w:rsid w:val="163F0D9B"/>
    <w:rsid w:val="16428352"/>
    <w:rsid w:val="1660B4F7"/>
    <w:rsid w:val="166114C1"/>
    <w:rsid w:val="1663C840"/>
    <w:rsid w:val="16BB2B44"/>
    <w:rsid w:val="16CF8219"/>
    <w:rsid w:val="16EF1D68"/>
    <w:rsid w:val="171022DF"/>
    <w:rsid w:val="1855B3E7"/>
    <w:rsid w:val="189D2588"/>
    <w:rsid w:val="18C5E9CB"/>
    <w:rsid w:val="1B02D176"/>
    <w:rsid w:val="1B29D732"/>
    <w:rsid w:val="1C2B1661"/>
    <w:rsid w:val="1C3A55D0"/>
    <w:rsid w:val="1D7CEF22"/>
    <w:rsid w:val="1D96B17F"/>
    <w:rsid w:val="1DEA17C3"/>
    <w:rsid w:val="206C2AB9"/>
    <w:rsid w:val="20751713"/>
    <w:rsid w:val="21906D96"/>
    <w:rsid w:val="223C75B1"/>
    <w:rsid w:val="22839ABA"/>
    <w:rsid w:val="22C44D32"/>
    <w:rsid w:val="2395ECD3"/>
    <w:rsid w:val="23C29FBA"/>
    <w:rsid w:val="23F37E52"/>
    <w:rsid w:val="24136A85"/>
    <w:rsid w:val="24347476"/>
    <w:rsid w:val="25C4CA66"/>
    <w:rsid w:val="261C8F6E"/>
    <w:rsid w:val="26646E55"/>
    <w:rsid w:val="26665D7B"/>
    <w:rsid w:val="2711188B"/>
    <w:rsid w:val="279AFA32"/>
    <w:rsid w:val="27A6FF46"/>
    <w:rsid w:val="282E3F95"/>
    <w:rsid w:val="291EC12F"/>
    <w:rsid w:val="2936CA93"/>
    <w:rsid w:val="2942ED0E"/>
    <w:rsid w:val="298E931B"/>
    <w:rsid w:val="29F61F14"/>
    <w:rsid w:val="29FABDC6"/>
    <w:rsid w:val="2A31772D"/>
    <w:rsid w:val="2AD29AF4"/>
    <w:rsid w:val="2B243229"/>
    <w:rsid w:val="2C9DC3F2"/>
    <w:rsid w:val="2D209158"/>
    <w:rsid w:val="2DB013C2"/>
    <w:rsid w:val="2E3DF8D6"/>
    <w:rsid w:val="2F4BE423"/>
    <w:rsid w:val="2FBE2890"/>
    <w:rsid w:val="2FE29698"/>
    <w:rsid w:val="303361C3"/>
    <w:rsid w:val="31539529"/>
    <w:rsid w:val="3234A88E"/>
    <w:rsid w:val="32EADF3F"/>
    <w:rsid w:val="34107006"/>
    <w:rsid w:val="3439B297"/>
    <w:rsid w:val="344AC148"/>
    <w:rsid w:val="34BA4C7C"/>
    <w:rsid w:val="35E50136"/>
    <w:rsid w:val="36254E60"/>
    <w:rsid w:val="363B63E9"/>
    <w:rsid w:val="370CF6CE"/>
    <w:rsid w:val="385B9091"/>
    <w:rsid w:val="39B57D75"/>
    <w:rsid w:val="39E963DE"/>
    <w:rsid w:val="3A1DD078"/>
    <w:rsid w:val="3A798060"/>
    <w:rsid w:val="3B088EE7"/>
    <w:rsid w:val="3B335AC2"/>
    <w:rsid w:val="3BAD7456"/>
    <w:rsid w:val="3BD6AEF0"/>
    <w:rsid w:val="3C7DE3CC"/>
    <w:rsid w:val="3C9BE235"/>
    <w:rsid w:val="3D6B60B6"/>
    <w:rsid w:val="3D8C2280"/>
    <w:rsid w:val="3EF84E48"/>
    <w:rsid w:val="3F2488B2"/>
    <w:rsid w:val="407C5E45"/>
    <w:rsid w:val="417BEF14"/>
    <w:rsid w:val="42E4C0DB"/>
    <w:rsid w:val="437BE767"/>
    <w:rsid w:val="43C21249"/>
    <w:rsid w:val="4480913C"/>
    <w:rsid w:val="44ED7C32"/>
    <w:rsid w:val="458245E3"/>
    <w:rsid w:val="45B5D5E3"/>
    <w:rsid w:val="45EFA073"/>
    <w:rsid w:val="4679A43A"/>
    <w:rsid w:val="47EB95F9"/>
    <w:rsid w:val="480D0DFB"/>
    <w:rsid w:val="48D91583"/>
    <w:rsid w:val="4A655D71"/>
    <w:rsid w:val="4B2FAF29"/>
    <w:rsid w:val="4C29A69D"/>
    <w:rsid w:val="4D38BCB0"/>
    <w:rsid w:val="4D3F5C1C"/>
    <w:rsid w:val="4EB734B2"/>
    <w:rsid w:val="4EDB2C7D"/>
    <w:rsid w:val="4F9979B7"/>
    <w:rsid w:val="5016168A"/>
    <w:rsid w:val="5018B141"/>
    <w:rsid w:val="5053377D"/>
    <w:rsid w:val="50961F7A"/>
    <w:rsid w:val="51356727"/>
    <w:rsid w:val="5156D27D"/>
    <w:rsid w:val="51698DEF"/>
    <w:rsid w:val="5195E1BB"/>
    <w:rsid w:val="51E115C4"/>
    <w:rsid w:val="51E1447D"/>
    <w:rsid w:val="523092F4"/>
    <w:rsid w:val="52FF7DC4"/>
    <w:rsid w:val="534A5E05"/>
    <w:rsid w:val="5350D1B0"/>
    <w:rsid w:val="538CAB5E"/>
    <w:rsid w:val="53A54F73"/>
    <w:rsid w:val="53E3EB7F"/>
    <w:rsid w:val="53E8F65C"/>
    <w:rsid w:val="53EC7C89"/>
    <w:rsid w:val="542FD0D8"/>
    <w:rsid w:val="543B3B97"/>
    <w:rsid w:val="545CE478"/>
    <w:rsid w:val="54B7B325"/>
    <w:rsid w:val="56095F57"/>
    <w:rsid w:val="562DC082"/>
    <w:rsid w:val="56AA95BF"/>
    <w:rsid w:val="5790F620"/>
    <w:rsid w:val="59EE9265"/>
    <w:rsid w:val="59F0AEEB"/>
    <w:rsid w:val="5A441B08"/>
    <w:rsid w:val="5C57A207"/>
    <w:rsid w:val="5CC60576"/>
    <w:rsid w:val="5D31B39A"/>
    <w:rsid w:val="5D824C32"/>
    <w:rsid w:val="5E049F3B"/>
    <w:rsid w:val="5E0873C6"/>
    <w:rsid w:val="5E3C4C72"/>
    <w:rsid w:val="5E79DC4D"/>
    <w:rsid w:val="603552C7"/>
    <w:rsid w:val="60AF84E5"/>
    <w:rsid w:val="61F37FA1"/>
    <w:rsid w:val="63555C5B"/>
    <w:rsid w:val="6474E4AD"/>
    <w:rsid w:val="650FBD07"/>
    <w:rsid w:val="652B2063"/>
    <w:rsid w:val="67CDFCCF"/>
    <w:rsid w:val="68EF0536"/>
    <w:rsid w:val="69101B4B"/>
    <w:rsid w:val="699BD853"/>
    <w:rsid w:val="6A55EAF8"/>
    <w:rsid w:val="6AC6BCD0"/>
    <w:rsid w:val="6AF49A3C"/>
    <w:rsid w:val="6C0C09B1"/>
    <w:rsid w:val="6E150710"/>
    <w:rsid w:val="6E58C410"/>
    <w:rsid w:val="6EF2D4D8"/>
    <w:rsid w:val="6F312FE1"/>
    <w:rsid w:val="70238A41"/>
    <w:rsid w:val="70FD5C1C"/>
    <w:rsid w:val="71632930"/>
    <w:rsid w:val="72811225"/>
    <w:rsid w:val="735EE946"/>
    <w:rsid w:val="737D5E5B"/>
    <w:rsid w:val="76156711"/>
    <w:rsid w:val="764B3258"/>
    <w:rsid w:val="773CDEF7"/>
    <w:rsid w:val="797022A8"/>
    <w:rsid w:val="79BD2E52"/>
    <w:rsid w:val="79C79EF2"/>
    <w:rsid w:val="7A03791E"/>
    <w:rsid w:val="7C0339F0"/>
    <w:rsid w:val="7C03C89C"/>
    <w:rsid w:val="7C86D5FE"/>
    <w:rsid w:val="7CA4B9D4"/>
    <w:rsid w:val="7CA9D7C2"/>
    <w:rsid w:val="7D19BBA3"/>
    <w:rsid w:val="7FF4C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2664"/>
  <w15:chartTrackingRefBased/>
  <w15:docId w15:val="{A1619411-18A9-49E1-B482-901070E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2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AB5"/>
    <w:rPr>
      <w:b/>
      <w:bCs/>
      <w:sz w:val="20"/>
      <w:szCs w:val="20"/>
    </w:rPr>
  </w:style>
  <w:style w:type="paragraph" w:customStyle="1" w:styleId="paragraph">
    <w:name w:val="paragraph"/>
    <w:basedOn w:val="Normal"/>
    <w:rsid w:val="00782A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82AB5"/>
  </w:style>
  <w:style w:type="character" w:customStyle="1" w:styleId="eop">
    <w:name w:val="eop"/>
    <w:basedOn w:val="DefaultParagraphFont"/>
    <w:rsid w:val="00782AB5"/>
  </w:style>
  <w:style w:type="table" w:styleId="TableGrid">
    <w:name w:val="Table Grid"/>
    <w:basedOn w:val="TableNormal"/>
    <w:uiPriority w:val="39"/>
    <w:rsid w:val="0078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A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2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49C"/>
  </w:style>
  <w:style w:type="character" w:customStyle="1" w:styleId="Heading1Char">
    <w:name w:val="Heading 1 Char"/>
    <w:basedOn w:val="DefaultParagraphFont"/>
    <w:link w:val="Heading1"/>
    <w:uiPriority w:val="9"/>
    <w:rsid w:val="00411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5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additional-cases-of-ceftriaxone-non-susceptible-gonorrhea-in-massachusetts-september-25-2025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massgis-data-ma-executive-office-of-health-human-services-reg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additional-cases-of-ceftriaxone-non-susceptible-gonorrhea-in-massachusetts-september-25-2025/downlo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clinical-alert-on-non-susceptible-gonorrhea-january-19-2023/downlo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doxycycline-post-exposure-prophylaxis-pep-for-prevention-of-bacterial-sexually-transmitted-infections-stis-june-5-2024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Neisseria gonorrhoeae antibiotic susceptibility testing in Massachusetts, January 19, 2023 – January 18, 2024</dc:title>
  <dc:subject>Massachusetts;Gonorrhea;2023</dc:subject>
  <dc:creator>Platt, Laura R.,MD</dc:creator>
  <cp:keywords>Neisseria Gonorrhea;NG</cp:keywords>
  <dc:description/>
  <cp:lastModifiedBy>Yeaple, Jennifer (DPH)</cp:lastModifiedBy>
  <cp:revision>3</cp:revision>
  <cp:lastPrinted>2025-10-21T19:15:00Z</cp:lastPrinted>
  <dcterms:created xsi:type="dcterms:W3CDTF">2026-05-29T19:28:00Z</dcterms:created>
  <dcterms:modified xsi:type="dcterms:W3CDTF">2026-05-29T19:52:00Z</dcterms:modified>
</cp:coreProperties>
</file>