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886" w14:textId="77777777" w:rsidR="00061986" w:rsidRDefault="00061986">
      <w:pPr>
        <w:jc w:val="center"/>
        <w:rPr>
          <w:b/>
          <w:smallCaps/>
          <w:sz w:val="28"/>
          <w:szCs w:val="28"/>
        </w:rPr>
      </w:pPr>
      <w:bookmarkStart w:id="0" w:name="_Toc27879490"/>
      <w:r>
        <w:rPr>
          <w:b/>
          <w:smallCaps/>
          <w:sz w:val="28"/>
          <w:szCs w:val="28"/>
        </w:rPr>
        <w:t>RFR - Required Specifications</w:t>
      </w:r>
      <w:bookmarkEnd w:id="0"/>
      <w:r w:rsidR="00783A24">
        <w:rPr>
          <w:b/>
          <w:smallCaps/>
          <w:sz w:val="28"/>
          <w:szCs w:val="28"/>
        </w:rPr>
        <w:t xml:space="preserve"> for Purchase of Service (POS)</w:t>
      </w:r>
    </w:p>
    <w:p w14:paraId="7599F8CC" w14:textId="77777777" w:rsidR="009B1C42" w:rsidRDefault="009B1C42" w:rsidP="00796A8B">
      <w:pPr>
        <w:pStyle w:val="Heading8"/>
        <w:rPr>
          <w:sz w:val="20"/>
          <w:u w:val="none"/>
        </w:rPr>
      </w:pPr>
    </w:p>
    <w:p w14:paraId="2EEAAE82" w14:textId="7BEAC386" w:rsidR="00061986" w:rsidRPr="00495CE7" w:rsidRDefault="00C80076" w:rsidP="00796A8B">
      <w:pPr>
        <w:pStyle w:val="Heading8"/>
        <w:rPr>
          <w:sz w:val="20"/>
          <w:u w:val="none"/>
        </w:rPr>
      </w:pPr>
      <w:r w:rsidRPr="00495CE7">
        <w:rPr>
          <w:sz w:val="20"/>
          <w:u w:val="none"/>
        </w:rPr>
        <w:t>Published</w:t>
      </w:r>
      <w:r w:rsidR="00783A24" w:rsidRPr="00495CE7">
        <w:rPr>
          <w:sz w:val="20"/>
          <w:u w:val="none"/>
        </w:rPr>
        <w:t xml:space="preserve"> Date: </w:t>
      </w:r>
      <w:r w:rsidR="003426F9">
        <w:rPr>
          <w:sz w:val="20"/>
          <w:u w:val="none"/>
        </w:rPr>
        <w:t>September 1</w:t>
      </w:r>
      <w:r w:rsidR="00CF0BE5">
        <w:rPr>
          <w:sz w:val="20"/>
          <w:u w:val="none"/>
        </w:rPr>
        <w:t>, 2019</w:t>
      </w:r>
    </w:p>
    <w:p w14:paraId="7C358990" w14:textId="77777777" w:rsidR="00061986" w:rsidRPr="00550446" w:rsidRDefault="00061986">
      <w:pPr>
        <w:widowControl w:val="0"/>
        <w:jc w:val="both"/>
        <w:rPr>
          <w:u w:val="single"/>
        </w:rPr>
      </w:pPr>
    </w:p>
    <w:p w14:paraId="2CEB5F70" w14:textId="1478FDC8" w:rsidR="00061986" w:rsidRPr="00550446" w:rsidRDefault="00C4245E">
      <w:pPr>
        <w:widowControl w:val="0"/>
        <w:jc w:val="both"/>
        <w:rPr>
          <w:u w:val="single"/>
        </w:rPr>
      </w:pPr>
      <w:r>
        <w:t xml:space="preserve">The </w:t>
      </w:r>
      <w:r w:rsidRPr="00550446">
        <w:t>following RFR provisions must appear in all Commonwealth competitive procurements conducted under 801 CMR 21.00</w:t>
      </w:r>
      <w:r>
        <w:t xml:space="preserve">. </w:t>
      </w:r>
      <w:r w:rsidR="00061986" w:rsidRPr="00550446">
        <w:t xml:space="preserve">In general, most of the required contractual stipulations are referenced in the </w:t>
      </w:r>
      <w:r w:rsidR="00061986" w:rsidRPr="00550446">
        <w:rPr>
          <w:i/>
          <w:iCs/>
        </w:rPr>
        <w:t>Standard Contract Form</w:t>
      </w:r>
      <w:r w:rsidR="00061986" w:rsidRPr="00550446">
        <w:t xml:space="preserve"> </w:t>
      </w:r>
      <w:r w:rsidR="00061986" w:rsidRPr="00550446">
        <w:rPr>
          <w:i/>
          <w:iCs/>
        </w:rPr>
        <w:t>and Instructions</w:t>
      </w:r>
      <w:r w:rsidR="00061986" w:rsidRPr="00550446">
        <w:t xml:space="preserve"> and the </w:t>
      </w:r>
      <w:r w:rsidR="00061986" w:rsidRPr="00550446">
        <w:rPr>
          <w:i/>
          <w:iCs/>
        </w:rPr>
        <w:t>Commonwealth Terms and Conditions</w:t>
      </w:r>
      <w:r w:rsidR="00061986" w:rsidRPr="00550446">
        <w:t xml:space="preserve"> </w:t>
      </w:r>
      <w:r w:rsidR="00C848FC" w:rsidRPr="006718F6">
        <w:rPr>
          <w:i/>
        </w:rPr>
        <w:t>for Human and Soc</w:t>
      </w:r>
      <w:r w:rsidR="00783A24" w:rsidRPr="006718F6">
        <w:rPr>
          <w:i/>
        </w:rPr>
        <w:t>i</w:t>
      </w:r>
      <w:r w:rsidR="00C848FC" w:rsidRPr="006718F6">
        <w:rPr>
          <w:i/>
        </w:rPr>
        <w:t>a</w:t>
      </w:r>
      <w:r w:rsidR="00783A24" w:rsidRPr="006718F6">
        <w:rPr>
          <w:i/>
        </w:rPr>
        <w:t>l Services</w:t>
      </w:r>
      <w:r w:rsidR="00B6484D">
        <w:t xml:space="preserve"> (also referred to as </w:t>
      </w:r>
      <w:r w:rsidR="00841FCB">
        <w:t>Purchase of Service).</w:t>
      </w:r>
      <w:r w:rsidR="00783A24" w:rsidRPr="00550446">
        <w:t xml:space="preserve"> </w:t>
      </w:r>
    </w:p>
    <w:p w14:paraId="5CB9048F" w14:textId="77777777" w:rsidR="00061986" w:rsidRPr="00550446" w:rsidRDefault="00061986">
      <w:pPr>
        <w:widowControl w:val="0"/>
        <w:jc w:val="both"/>
        <w:rPr>
          <w:u w:val="single"/>
        </w:rPr>
      </w:pPr>
    </w:p>
    <w:p w14:paraId="40F0B69E" w14:textId="77777777" w:rsidR="00061986" w:rsidRPr="00550446" w:rsidRDefault="00061986">
      <w:pPr>
        <w:widowControl w:val="0"/>
        <w:jc w:val="both"/>
        <w:rPr>
          <w:u w:val="single"/>
        </w:rPr>
      </w:pPr>
      <w:r w:rsidRPr="00550446">
        <w:t xml:space="preserve">The terms of </w:t>
      </w:r>
      <w:r w:rsidRPr="00550446">
        <w:rPr>
          <w:i/>
          <w:iCs/>
        </w:rPr>
        <w:t xml:space="preserve">801 CMR 21.00: Procurement of Commodities and </w:t>
      </w:r>
      <w:r w:rsidR="00C80076" w:rsidRPr="00550446">
        <w:rPr>
          <w:i/>
          <w:iCs/>
        </w:rPr>
        <w:t>Services</w:t>
      </w:r>
      <w:r w:rsidR="00C80076" w:rsidRPr="00550446">
        <w:t xml:space="preserve"> and</w:t>
      </w:r>
      <w:r w:rsidRPr="00550446">
        <w:t xml:space="preserve"> </w:t>
      </w:r>
      <w:r w:rsidRPr="00550446">
        <w:rPr>
          <w:i/>
          <w:iCs/>
        </w:rPr>
        <w:t xml:space="preserve">808 CMR 1.00: Compliance, Reporting and Auditing for Human and Social </w:t>
      </w:r>
      <w:r w:rsidR="00C80076" w:rsidRPr="00550446">
        <w:rPr>
          <w:i/>
          <w:iCs/>
        </w:rPr>
        <w:t>Services</w:t>
      </w:r>
      <w:r w:rsidR="00C80076" w:rsidRPr="00550446">
        <w:t>,</w:t>
      </w:r>
      <w:r w:rsidRPr="00550446">
        <w:t xml:space="preserve"> are incorporated by reference into this RFR.  Words used in this RFR shall have the meanings defined in 801 CMR 21.00 and 808 CMR 1.00. Additional definitions may also be identified in this RFR.  </w:t>
      </w:r>
      <w:r w:rsidR="004007E0" w:rsidRPr="00550446">
        <w:t xml:space="preserve">Other terms not defined elsewhere in this document may be defined in </w:t>
      </w:r>
      <w:proofErr w:type="spellStart"/>
      <w:r w:rsidR="004007E0" w:rsidRPr="00550446">
        <w:t>OSD’s</w:t>
      </w:r>
      <w:proofErr w:type="spellEnd"/>
      <w:r w:rsidR="004007E0" w:rsidRPr="00550446">
        <w:t xml:space="preserve"> </w:t>
      </w:r>
      <w:hyperlink r:id="rId8" w:history="1">
        <w:r w:rsidR="004007E0" w:rsidRPr="00550446">
          <w:rPr>
            <w:rStyle w:val="Hyperlink"/>
          </w:rPr>
          <w:t>Glossary of Terms</w:t>
        </w:r>
      </w:hyperlink>
      <w:r w:rsidR="004007E0" w:rsidRPr="00550446">
        <w:t xml:space="preserve">. </w:t>
      </w:r>
      <w:r w:rsidRPr="00550446">
        <w:t>Unless otherwise specified in this RFR, all communications, responses, and documentation must be in English, and all cost proposals or figures in U.S. currency.  All responses must be submitted in accordance with the specific terms of this RFR.</w:t>
      </w:r>
    </w:p>
    <w:p w14:paraId="6D9AAEFA" w14:textId="77777777" w:rsidR="00061986" w:rsidRPr="00550446" w:rsidRDefault="00061986">
      <w:pPr>
        <w:widowControl w:val="0"/>
        <w:jc w:val="both"/>
        <w:rPr>
          <w:u w:val="single"/>
        </w:rPr>
      </w:pPr>
    </w:p>
    <w:p w14:paraId="62379605" w14:textId="05852BA0" w:rsidR="003A4907" w:rsidRPr="00550446" w:rsidRDefault="003A4907" w:rsidP="003A4907">
      <w:pPr>
        <w:pStyle w:val="Head3Text"/>
        <w:ind w:left="0"/>
        <w:rPr>
          <w:rFonts w:ascii="Times New Roman" w:hAnsi="Times New Roman"/>
        </w:rPr>
      </w:pPr>
      <w:r w:rsidRPr="00550446">
        <w:rPr>
          <w:rFonts w:ascii="Times New Roman" w:hAnsi="Times New Roman"/>
          <w:u w:val="single"/>
        </w:rPr>
        <w:t>COMMBUYS Market Center.</w:t>
      </w:r>
      <w:r w:rsidRPr="00550446">
        <w:rPr>
          <w:rFonts w:ascii="Times New Roman" w:hAnsi="Times New Roman"/>
        </w:rPr>
        <w:t xml:space="preserve">  COMMBUYS is the </w:t>
      </w:r>
      <w:r w:rsidR="00782A17" w:rsidRPr="00550446">
        <w:rPr>
          <w:rFonts w:ascii="Times New Roman" w:hAnsi="Times New Roman"/>
        </w:rPr>
        <w:t xml:space="preserve">official </w:t>
      </w:r>
      <w:r w:rsidR="00FE3A55" w:rsidRPr="00550446">
        <w:rPr>
          <w:rFonts w:ascii="Times New Roman" w:hAnsi="Times New Roman"/>
        </w:rPr>
        <w:t xml:space="preserve">source of information </w:t>
      </w:r>
      <w:r w:rsidR="00782A17" w:rsidRPr="00550446">
        <w:rPr>
          <w:rFonts w:ascii="Times New Roman" w:hAnsi="Times New Roman"/>
        </w:rPr>
        <w:t xml:space="preserve">for this Bid </w:t>
      </w:r>
      <w:r w:rsidR="00FE3A55" w:rsidRPr="00550446">
        <w:rPr>
          <w:rFonts w:ascii="Times New Roman" w:hAnsi="Times New Roman"/>
        </w:rPr>
        <w:t>and</w:t>
      </w:r>
      <w:r w:rsidRPr="00550446">
        <w:rPr>
          <w:rFonts w:ascii="Times New Roman" w:hAnsi="Times New Roman"/>
        </w:rPr>
        <w:t xml:space="preserve"> is publicly accessible at no charge at </w:t>
      </w:r>
      <w:hyperlink r:id="rId9" w:history="1">
        <w:r w:rsidRPr="00550446">
          <w:rPr>
            <w:rStyle w:val="Hyperlink"/>
            <w:rFonts w:ascii="Times New Roman" w:hAnsi="Times New Roman"/>
          </w:rPr>
          <w:t>www.commbuys.com</w:t>
        </w:r>
      </w:hyperlink>
      <w:r w:rsidRPr="00550446">
        <w:rPr>
          <w:rFonts w:ascii="Times New Roman" w:hAnsi="Times New Roman"/>
        </w:rPr>
        <w:t>.  Information contained in this document and in COMMBUYS, including file attachments and information contained in the related Bid Questions and Answers (Q&amp;A), are all components of the Bid, as referenced in COMMBUYS</w:t>
      </w:r>
      <w:r w:rsidR="00535C42" w:rsidRPr="00550446">
        <w:rPr>
          <w:rFonts w:ascii="Times New Roman" w:hAnsi="Times New Roman"/>
        </w:rPr>
        <w:t>, and are incorporated into the Bid and any resulting contract</w:t>
      </w:r>
      <w:r w:rsidRPr="00550446">
        <w:rPr>
          <w:rFonts w:ascii="Times New Roman" w:hAnsi="Times New Roman"/>
        </w:rPr>
        <w:t>.</w:t>
      </w:r>
    </w:p>
    <w:p w14:paraId="0983188F" w14:textId="77777777" w:rsidR="003A4907" w:rsidRPr="00550446" w:rsidRDefault="003A4907" w:rsidP="003A4907">
      <w:pPr>
        <w:pStyle w:val="Head3Text"/>
        <w:ind w:left="0"/>
        <w:rPr>
          <w:rFonts w:ascii="Times New Roman" w:hAnsi="Times New Roman"/>
        </w:rPr>
      </w:pPr>
    </w:p>
    <w:p w14:paraId="0551D828" w14:textId="77777777" w:rsidR="003A4907" w:rsidRPr="00550446" w:rsidRDefault="003A4907" w:rsidP="003A4907">
      <w:pPr>
        <w:pStyle w:val="Head3Text"/>
        <w:ind w:left="0"/>
        <w:rPr>
          <w:rFonts w:ascii="Times New Roman" w:hAnsi="Times New Roman"/>
        </w:rPr>
      </w:pPr>
      <w:r w:rsidRPr="00550446">
        <w:rPr>
          <w:rFonts w:ascii="Times New Roman" w:hAnsi="Times New Roman"/>
        </w:rPr>
        <w:t xml:space="preserve">Bidders are solely responsible for obtaining all information distributed for this Bid via COMMBUYS. Bid Q&amp;A supports Bidder submission of written questions associated with a Bid and publication of official answers. </w:t>
      </w:r>
    </w:p>
    <w:p w14:paraId="2FDE1E78" w14:textId="77777777" w:rsidR="003A4907" w:rsidRPr="00550446" w:rsidRDefault="003A4907" w:rsidP="003A4907">
      <w:pPr>
        <w:pStyle w:val="Head3Text"/>
        <w:ind w:left="0"/>
        <w:rPr>
          <w:rFonts w:ascii="Times New Roman" w:hAnsi="Times New Roman"/>
        </w:rPr>
      </w:pPr>
    </w:p>
    <w:p w14:paraId="7743B450" w14:textId="77777777" w:rsidR="003A4907" w:rsidRPr="00550446" w:rsidRDefault="003A4907" w:rsidP="003A4907">
      <w:pPr>
        <w:pStyle w:val="Head3Text"/>
        <w:ind w:left="0"/>
        <w:rPr>
          <w:rFonts w:ascii="Times New Roman" w:hAnsi="Times New Roman"/>
        </w:rPr>
      </w:pPr>
      <w:r w:rsidRPr="00550446">
        <w:rPr>
          <w:rFonts w:ascii="Times New Roman" w:hAnsi="Times New Roman"/>
        </w:rPr>
        <w:t>It is each Bidder’s responsibility to check COMMBUYS for:</w:t>
      </w:r>
    </w:p>
    <w:p w14:paraId="7B694F47" w14:textId="2A982520" w:rsidR="003A4907" w:rsidRPr="00550446" w:rsidRDefault="003A4907" w:rsidP="003A4907">
      <w:pPr>
        <w:pStyle w:val="PlainText"/>
        <w:widowControl/>
        <w:numPr>
          <w:ilvl w:val="0"/>
          <w:numId w:val="6"/>
        </w:numPr>
        <w:jc w:val="both"/>
        <w:rPr>
          <w:rFonts w:ascii="Times New Roman" w:hAnsi="Times New Roman"/>
        </w:rPr>
      </w:pPr>
      <w:r w:rsidRPr="00550446">
        <w:rPr>
          <w:rFonts w:ascii="Times New Roman" w:hAnsi="Times New Roman"/>
        </w:rPr>
        <w:t xml:space="preserve">Any </w:t>
      </w:r>
      <w:r w:rsidR="00D41501" w:rsidRPr="00550446">
        <w:rPr>
          <w:rFonts w:ascii="Times New Roman" w:hAnsi="Times New Roman"/>
        </w:rPr>
        <w:t xml:space="preserve">amendments, </w:t>
      </w:r>
      <w:r w:rsidRPr="00550446">
        <w:rPr>
          <w:rFonts w:ascii="Times New Roman" w:hAnsi="Times New Roman"/>
        </w:rPr>
        <w:t>addenda</w:t>
      </w:r>
      <w:r w:rsidR="004854B0">
        <w:rPr>
          <w:rFonts w:ascii="Times New Roman" w:hAnsi="Times New Roman"/>
        </w:rPr>
        <w:t>,</w:t>
      </w:r>
      <w:r w:rsidRPr="00550446">
        <w:rPr>
          <w:rFonts w:ascii="Times New Roman" w:hAnsi="Times New Roman"/>
        </w:rPr>
        <w:t xml:space="preserve"> or modifications to this Bid, and</w:t>
      </w:r>
    </w:p>
    <w:p w14:paraId="12135E7E" w14:textId="77777777" w:rsidR="003A4907" w:rsidRPr="00550446" w:rsidRDefault="003A4907" w:rsidP="003A4907">
      <w:pPr>
        <w:pStyle w:val="PlainText"/>
        <w:widowControl/>
        <w:numPr>
          <w:ilvl w:val="0"/>
          <w:numId w:val="6"/>
        </w:numPr>
        <w:jc w:val="both"/>
        <w:rPr>
          <w:rFonts w:ascii="Times New Roman" w:hAnsi="Times New Roman"/>
        </w:rPr>
      </w:pPr>
      <w:r w:rsidRPr="00550446">
        <w:rPr>
          <w:rFonts w:ascii="Times New Roman" w:hAnsi="Times New Roman"/>
        </w:rPr>
        <w:t>Any Bid Q&amp;A records related to this Bid.</w:t>
      </w:r>
    </w:p>
    <w:p w14:paraId="0C1CB974" w14:textId="77777777" w:rsidR="003A4907" w:rsidRPr="00550446" w:rsidRDefault="003A4907" w:rsidP="003A4907">
      <w:pPr>
        <w:pStyle w:val="Head3Text"/>
        <w:ind w:left="0"/>
        <w:rPr>
          <w:rFonts w:ascii="Times New Roman" w:hAnsi="Times New Roman"/>
        </w:rPr>
      </w:pPr>
    </w:p>
    <w:p w14:paraId="45035B07" w14:textId="77777777" w:rsidR="003A4907" w:rsidRPr="00550446" w:rsidRDefault="003A4907" w:rsidP="003A4907">
      <w:pPr>
        <w:pStyle w:val="Head3Text"/>
        <w:ind w:left="0"/>
        <w:rPr>
          <w:rFonts w:ascii="Times New Roman" w:hAnsi="Times New Roman"/>
        </w:rPr>
      </w:pPr>
      <w:r w:rsidRPr="00550446">
        <w:rPr>
          <w:rFonts w:ascii="Times New Roman" w:hAnsi="Times New Roman"/>
        </w:rPr>
        <w:t xml:space="preserve">The Commonwealth accepts no responsibility and will provide no accommodation to Bidders who submit a </w:t>
      </w:r>
      <w:r w:rsidR="00D41501" w:rsidRPr="00550446">
        <w:rPr>
          <w:rFonts w:ascii="Times New Roman" w:hAnsi="Times New Roman"/>
        </w:rPr>
        <w:t xml:space="preserve">Quote </w:t>
      </w:r>
      <w:r w:rsidRPr="00550446">
        <w:rPr>
          <w:rFonts w:ascii="Times New Roman" w:hAnsi="Times New Roman"/>
        </w:rPr>
        <w:t>based on an out-of-date Bid</w:t>
      </w:r>
      <w:r w:rsidR="00D41501" w:rsidRPr="00550446">
        <w:rPr>
          <w:rFonts w:ascii="Times New Roman" w:hAnsi="Times New Roman"/>
        </w:rPr>
        <w:t xml:space="preserve"> </w:t>
      </w:r>
      <w:r w:rsidRPr="00550446">
        <w:rPr>
          <w:rFonts w:ascii="Times New Roman" w:hAnsi="Times New Roman"/>
        </w:rPr>
        <w:t>or on information received from a source other than COMMBUYS.</w:t>
      </w:r>
    </w:p>
    <w:p w14:paraId="2CC7E4C0" w14:textId="77777777" w:rsidR="00551264" w:rsidRPr="00550446" w:rsidRDefault="00551264" w:rsidP="00551264">
      <w:pPr>
        <w:pStyle w:val="Head3Text"/>
        <w:ind w:left="0"/>
        <w:rPr>
          <w:rFonts w:ascii="Times New Roman" w:hAnsi="Times New Roman"/>
        </w:rPr>
      </w:pPr>
    </w:p>
    <w:p w14:paraId="0B9F5EFD" w14:textId="2D0353A0" w:rsidR="003523A0" w:rsidRDefault="003A4907" w:rsidP="003523A0">
      <w:pPr>
        <w:pStyle w:val="Head3Text"/>
        <w:ind w:left="0"/>
        <w:rPr>
          <w:rFonts w:ascii="Times New Roman" w:hAnsi="Times New Roman"/>
        </w:rPr>
      </w:pPr>
      <w:r w:rsidRPr="00550446">
        <w:rPr>
          <w:rFonts w:ascii="Times New Roman" w:hAnsi="Times New Roman"/>
          <w:u w:val="single"/>
        </w:rPr>
        <w:t xml:space="preserve">COMMBUYS </w:t>
      </w:r>
      <w:r w:rsidR="00AF01FA" w:rsidRPr="00550446">
        <w:rPr>
          <w:rFonts w:ascii="Times New Roman" w:hAnsi="Times New Roman"/>
          <w:u w:val="single"/>
        </w:rPr>
        <w:t>Registration</w:t>
      </w:r>
      <w:r w:rsidRPr="00550446">
        <w:rPr>
          <w:rFonts w:ascii="Times New Roman" w:hAnsi="Times New Roman"/>
          <w:u w:val="single"/>
        </w:rPr>
        <w:t>.</w:t>
      </w:r>
      <w:r w:rsidRPr="00550446">
        <w:rPr>
          <w:rFonts w:ascii="Times New Roman" w:hAnsi="Times New Roman"/>
        </w:rPr>
        <w:t xml:space="preserve">  </w:t>
      </w:r>
      <w:r w:rsidR="004854B0">
        <w:rPr>
          <w:rFonts w:ascii="Times New Roman" w:hAnsi="Times New Roman"/>
        </w:rPr>
        <w:t>To</w:t>
      </w:r>
      <w:r w:rsidR="00EB2CDF" w:rsidRPr="00550446">
        <w:rPr>
          <w:rFonts w:ascii="Times New Roman" w:hAnsi="Times New Roman"/>
        </w:rPr>
        <w:t xml:space="preserve"> respond to a Bid, Bidders must register and maintain an active COMMBUYS Seller </w:t>
      </w:r>
      <w:r w:rsidR="00E96660" w:rsidRPr="00550446">
        <w:rPr>
          <w:rFonts w:ascii="Times New Roman" w:hAnsi="Times New Roman"/>
        </w:rPr>
        <w:t>account. Bidders</w:t>
      </w:r>
      <w:r w:rsidRPr="00550446">
        <w:rPr>
          <w:rFonts w:ascii="Times New Roman" w:hAnsi="Times New Roman"/>
        </w:rPr>
        <w:t xml:space="preserve"> may elect to obtain a free COMMBUYS </w:t>
      </w:r>
      <w:r w:rsidR="00D41501" w:rsidRPr="00550446">
        <w:rPr>
          <w:rFonts w:ascii="Times New Roman" w:hAnsi="Times New Roman"/>
        </w:rPr>
        <w:t xml:space="preserve">Seller </w:t>
      </w:r>
      <w:r w:rsidR="00AF01FA" w:rsidRPr="00550446">
        <w:rPr>
          <w:rFonts w:ascii="Times New Roman" w:hAnsi="Times New Roman"/>
        </w:rPr>
        <w:t>registration</w:t>
      </w:r>
      <w:r w:rsidRPr="00550446">
        <w:rPr>
          <w:rFonts w:ascii="Times New Roman" w:hAnsi="Times New Roman"/>
        </w:rPr>
        <w:t xml:space="preserve"> which provides value-added features, including automated email notification associated with postings and modifications to COMMBUYS records.</w:t>
      </w:r>
    </w:p>
    <w:p w14:paraId="7C0BBD17" w14:textId="77777777" w:rsidR="003523A0" w:rsidRPr="00550446" w:rsidRDefault="003523A0" w:rsidP="003523A0">
      <w:pPr>
        <w:pStyle w:val="Head3Text"/>
        <w:ind w:left="0"/>
        <w:rPr>
          <w:u w:val="single"/>
        </w:rPr>
      </w:pPr>
    </w:p>
    <w:p w14:paraId="6962097F" w14:textId="77777777" w:rsidR="003A4907" w:rsidRPr="00550446" w:rsidRDefault="003A4907" w:rsidP="00535C42">
      <w:pPr>
        <w:widowControl w:val="0"/>
        <w:jc w:val="both"/>
      </w:pPr>
      <w:r w:rsidRPr="00550446">
        <w:t>All Bidders submitting a Quote</w:t>
      </w:r>
      <w:r w:rsidR="00551264" w:rsidRPr="00550446">
        <w:t xml:space="preserve"> (previously referred to as Response)</w:t>
      </w:r>
      <w:r w:rsidRPr="00550446">
        <w:t xml:space="preserve"> in response to this Bid </w:t>
      </w:r>
      <w:r w:rsidR="00551264" w:rsidRPr="00550446">
        <w:t xml:space="preserve">(previously referred to as Solicitation) </w:t>
      </w:r>
      <w:r w:rsidRPr="00550446">
        <w:t>agree that, if awarded a contract: (1) they will maintain an active seller account in COMMBUYS; and (</w:t>
      </w:r>
      <w:r w:rsidR="00783A24" w:rsidRPr="00550446">
        <w:t>2</w:t>
      </w:r>
      <w:r w:rsidRPr="00550446">
        <w:t xml:space="preserve">) in the event the Commonwealth adopts an alternate </w:t>
      </w:r>
      <w:r w:rsidR="00551264" w:rsidRPr="00550446">
        <w:t xml:space="preserve">market center </w:t>
      </w:r>
      <w:r w:rsidRPr="00550446">
        <w:t>system, successful Bidders will be required to utilize such system, as directed by the procuring entity.</w:t>
      </w:r>
      <w:r w:rsidR="00B05AAE" w:rsidRPr="00550446">
        <w:t xml:space="preserve">  Commonwealth Commodity Codes are based on the United Nations Standard Products and Services Code (</w:t>
      </w:r>
      <w:proofErr w:type="spellStart"/>
      <w:r w:rsidR="00B05AAE" w:rsidRPr="00550446">
        <w:t>UNSPSC</w:t>
      </w:r>
      <w:proofErr w:type="spellEnd"/>
      <w:r w:rsidR="00B05AAE" w:rsidRPr="00550446">
        <w:t>).</w:t>
      </w:r>
    </w:p>
    <w:p w14:paraId="71134DF0" w14:textId="77777777" w:rsidR="00535C42" w:rsidRPr="00550446" w:rsidRDefault="00535C42" w:rsidP="00535C42">
      <w:pPr>
        <w:pStyle w:val="Head3Text"/>
        <w:ind w:left="0"/>
        <w:rPr>
          <w:rFonts w:ascii="Times New Roman" w:hAnsi="Times New Roman"/>
        </w:rPr>
      </w:pPr>
    </w:p>
    <w:p w14:paraId="0CA1D33F" w14:textId="6A99E56C" w:rsidR="003A4907" w:rsidRPr="00550446" w:rsidRDefault="003A4907" w:rsidP="00551264">
      <w:pPr>
        <w:pStyle w:val="Head3Text"/>
        <w:ind w:left="0"/>
        <w:rPr>
          <w:rFonts w:ascii="Times New Roman" w:hAnsi="Times New Roman"/>
          <w:u w:val="single"/>
        </w:rPr>
      </w:pPr>
      <w:r w:rsidRPr="00550446">
        <w:rPr>
          <w:rFonts w:ascii="Times New Roman" w:hAnsi="Times New Roman"/>
        </w:rPr>
        <w:t xml:space="preserve">COMMBUYS introduces new terminology, </w:t>
      </w:r>
      <w:r w:rsidR="004854B0">
        <w:rPr>
          <w:rFonts w:ascii="Times New Roman" w:hAnsi="Times New Roman"/>
        </w:rPr>
        <w:t xml:space="preserve">with </w:t>
      </w:r>
      <w:r w:rsidRPr="00550446">
        <w:rPr>
          <w:rFonts w:ascii="Times New Roman" w:hAnsi="Times New Roman"/>
        </w:rPr>
        <w:t>which bidders must be familiar to conduct business with the Commonwealth.  To view this terminology and to learn more about COMMBUYS, please visit</w:t>
      </w:r>
      <w:r w:rsidR="00542AA3" w:rsidRPr="00550446">
        <w:rPr>
          <w:rFonts w:ascii="Times New Roman" w:hAnsi="Times New Roman"/>
        </w:rPr>
        <w:t xml:space="preserve"> th</w:t>
      </w:r>
      <w:r w:rsidR="004854B0">
        <w:rPr>
          <w:rFonts w:ascii="Times New Roman" w:hAnsi="Times New Roman"/>
        </w:rPr>
        <w:t xml:space="preserve">e </w:t>
      </w:r>
      <w:hyperlink r:id="rId10" w:history="1">
        <w:r w:rsidR="004854B0" w:rsidRPr="004854B0">
          <w:rPr>
            <w:rStyle w:val="Hyperlink"/>
            <w:rFonts w:ascii="Times New Roman" w:hAnsi="Times New Roman"/>
          </w:rPr>
          <w:t>Learn about COMMBUYS</w:t>
        </w:r>
      </w:hyperlink>
      <w:r w:rsidR="004854B0">
        <w:rPr>
          <w:rFonts w:ascii="Times New Roman" w:hAnsi="Times New Roman"/>
        </w:rPr>
        <w:t xml:space="preserve"> page on www.mass.gov.</w:t>
      </w:r>
    </w:p>
    <w:p w14:paraId="3731D075" w14:textId="77777777" w:rsidR="00551264" w:rsidRPr="00550446" w:rsidRDefault="00551264" w:rsidP="00551264">
      <w:pPr>
        <w:pStyle w:val="Head3Text"/>
        <w:ind w:left="0"/>
        <w:rPr>
          <w:rFonts w:ascii="Times New Roman" w:hAnsi="Times New Roman"/>
          <w:u w:val="single"/>
        </w:rPr>
      </w:pPr>
    </w:p>
    <w:p w14:paraId="0D16F7AB" w14:textId="77777777" w:rsidR="00551264" w:rsidRPr="00550446" w:rsidRDefault="00551264" w:rsidP="00551264">
      <w:pPr>
        <w:pStyle w:val="Head3Text"/>
        <w:ind w:left="0"/>
        <w:rPr>
          <w:rFonts w:ascii="Times New Roman" w:hAnsi="Times New Roman"/>
          <w:u w:val="single"/>
        </w:rPr>
      </w:pPr>
      <w:r w:rsidRPr="00550446">
        <w:rPr>
          <w:rFonts w:ascii="Times New Roman" w:hAnsi="Times New Roman"/>
          <w:u w:val="single"/>
        </w:rPr>
        <w:t>Multiple Quotes.</w:t>
      </w:r>
      <w:r w:rsidRPr="00550446">
        <w:rPr>
          <w:rFonts w:ascii="Times New Roman" w:hAnsi="Times New Roman"/>
        </w:rPr>
        <w:t xml:space="preserve">  Bidders may not submit </w:t>
      </w:r>
      <w:r w:rsidR="009429C2" w:rsidRPr="00550446">
        <w:rPr>
          <w:rFonts w:ascii="Times New Roman" w:hAnsi="Times New Roman"/>
        </w:rPr>
        <w:t>M</w:t>
      </w:r>
      <w:r w:rsidRPr="00550446">
        <w:rPr>
          <w:rFonts w:ascii="Times New Roman" w:hAnsi="Times New Roman"/>
        </w:rPr>
        <w:t xml:space="preserve">ultiple Quotes in response to a Bid unless the </w:t>
      </w:r>
      <w:r w:rsidR="005E2B4E" w:rsidRPr="00550446">
        <w:rPr>
          <w:rFonts w:ascii="Times New Roman" w:hAnsi="Times New Roman"/>
        </w:rPr>
        <w:t>RFR</w:t>
      </w:r>
      <w:r w:rsidRPr="00550446">
        <w:rPr>
          <w:rFonts w:ascii="Times New Roman" w:hAnsi="Times New Roman"/>
        </w:rPr>
        <w:t xml:space="preserve"> authorizes </w:t>
      </w:r>
      <w:r w:rsidR="005E2B4E" w:rsidRPr="00550446">
        <w:rPr>
          <w:rFonts w:ascii="Times New Roman" w:hAnsi="Times New Roman"/>
        </w:rPr>
        <w:t>them to do so</w:t>
      </w:r>
      <w:r w:rsidRPr="00550446">
        <w:rPr>
          <w:rFonts w:ascii="Times New Roman" w:hAnsi="Times New Roman"/>
        </w:rPr>
        <w:t>.</w:t>
      </w:r>
      <w:r w:rsidR="00A26211" w:rsidRPr="00550446">
        <w:rPr>
          <w:rFonts w:ascii="Times New Roman" w:hAnsi="Times New Roman"/>
        </w:rPr>
        <w:t xml:space="preserve">  If a Bidder submits multiple quotes in response to an RFR that does not authorize multiple responses, only the latest dated quote submitted prior to the bid opening date will be evaluated.</w:t>
      </w:r>
    </w:p>
    <w:p w14:paraId="45280275" w14:textId="77777777" w:rsidR="00551264" w:rsidRPr="00550446" w:rsidRDefault="00551264" w:rsidP="00551264">
      <w:pPr>
        <w:pStyle w:val="Head3Text"/>
        <w:ind w:left="0"/>
        <w:rPr>
          <w:rFonts w:ascii="Times New Roman" w:hAnsi="Times New Roman"/>
          <w:u w:val="single"/>
        </w:rPr>
      </w:pPr>
    </w:p>
    <w:p w14:paraId="2AF32A35" w14:textId="77777777" w:rsidR="00551264" w:rsidRPr="00550446" w:rsidRDefault="00551264" w:rsidP="00551264">
      <w:pPr>
        <w:pStyle w:val="Head3Text"/>
        <w:ind w:left="0"/>
        <w:rPr>
          <w:rFonts w:ascii="Times New Roman" w:hAnsi="Times New Roman"/>
        </w:rPr>
      </w:pPr>
      <w:r w:rsidRPr="00550446">
        <w:rPr>
          <w:rFonts w:ascii="Times New Roman" w:hAnsi="Times New Roman"/>
          <w:u w:val="single"/>
        </w:rPr>
        <w:t>Quote Content.</w:t>
      </w:r>
      <w:r w:rsidRPr="00550446">
        <w:rPr>
          <w:rFonts w:ascii="Times New Roman" w:hAnsi="Times New Roman"/>
        </w:rPr>
        <w:t xml:space="preserve">  Bid specifications will prevail over any proposed Bidder terms entered as part of the Quote, unless otherwise specified in the Bid.</w:t>
      </w:r>
    </w:p>
    <w:p w14:paraId="192D4BBE" w14:textId="77777777" w:rsidR="00061986" w:rsidRPr="00550446" w:rsidRDefault="00061986">
      <w:pPr>
        <w:widowControl w:val="0"/>
        <w:jc w:val="both"/>
        <w:rPr>
          <w:u w:val="single"/>
        </w:rPr>
      </w:pPr>
      <w:bookmarkStart w:id="1" w:name="IPart5"/>
      <w:bookmarkEnd w:id="1"/>
    </w:p>
    <w:p w14:paraId="0BAE9E76" w14:textId="77777777" w:rsidR="00146C5D" w:rsidRDefault="00783A24" w:rsidP="00146C5D">
      <w:pPr>
        <w:jc w:val="both"/>
      </w:pPr>
      <w:r w:rsidRPr="00F165C8">
        <w:rPr>
          <w:u w:val="single"/>
        </w:rPr>
        <w:t>Supplier Diversity Program (SDP)</w:t>
      </w:r>
      <w:r w:rsidR="00F165C8" w:rsidRPr="00F165C8">
        <w:rPr>
          <w:u w:val="single"/>
        </w:rPr>
        <w:t>.</w:t>
      </w:r>
      <w:r w:rsidRPr="00495CE7">
        <w:t xml:space="preserve">  </w:t>
      </w:r>
      <w:r w:rsidR="00146C5D">
        <w:t xml:space="preserve">Massachusetts </w:t>
      </w:r>
      <w:hyperlink r:id="rId11" w:history="1">
        <w:r w:rsidR="00146C5D">
          <w:rPr>
            <w:rStyle w:val="Hyperlink"/>
          </w:rPr>
          <w:t>Executive Order 565</w:t>
        </w:r>
      </w:hyperlink>
      <w:r w:rsidR="00146C5D">
        <w:t xml:space="preserve"> reaffirmed and expanded the Commonwealth’s policy to promote the award of state contracts in a manner that develops and strengthens </w:t>
      </w:r>
      <w:r w:rsidR="00146C5D">
        <w:lastRenderedPageBreak/>
        <w:t>certified Minority Business Enterprises (MBEs), Women Business Enterprises (</w:t>
      </w:r>
      <w:proofErr w:type="spellStart"/>
      <w:r w:rsidR="00146C5D">
        <w:t>WBEs</w:t>
      </w:r>
      <w:proofErr w:type="spellEnd"/>
      <w:r w:rsidR="00146C5D">
        <w:t>), Minority and Women Nonprofit Organizations (M/</w:t>
      </w:r>
      <w:proofErr w:type="spellStart"/>
      <w:r w:rsidR="00146C5D">
        <w:t>WNPOs</w:t>
      </w:r>
      <w:proofErr w:type="spellEnd"/>
      <w:r w:rsidR="00146C5D">
        <w:t>), Veteran Business Enterprises (</w:t>
      </w:r>
      <w:proofErr w:type="spellStart"/>
      <w:r w:rsidR="00146C5D">
        <w:t>VBEs</w:t>
      </w:r>
      <w:proofErr w:type="spellEnd"/>
      <w:r w:rsidR="00146C5D">
        <w:t>), Service-Disabled Veteran-Owned Business Enterprises (</w:t>
      </w:r>
      <w:proofErr w:type="spellStart"/>
      <w:r w:rsidR="00146C5D">
        <w:t>SDVOBEs</w:t>
      </w:r>
      <w:proofErr w:type="spellEnd"/>
      <w:r w:rsidR="00146C5D">
        <w:t>), Disability-Owned Business Enterprises (DOBEs), and Lesbian, Gay, Bisexual and Transgender Business Enterprises (LGBTBEs).</w:t>
      </w:r>
    </w:p>
    <w:p w14:paraId="42717DCE" w14:textId="77777777" w:rsidR="009B1C42" w:rsidRDefault="009B1C42" w:rsidP="00D76730">
      <w:pPr>
        <w:jc w:val="both"/>
        <w:rPr>
          <w:color w:val="000000"/>
        </w:rPr>
      </w:pPr>
    </w:p>
    <w:p w14:paraId="16F42C2B" w14:textId="61871A5A" w:rsidR="00783A24" w:rsidRPr="00495CE7" w:rsidRDefault="00783A24" w:rsidP="00D76730">
      <w:pPr>
        <w:jc w:val="both"/>
        <w:rPr>
          <w:color w:val="000000"/>
        </w:rPr>
      </w:pPr>
      <w:r w:rsidRPr="00495CE7">
        <w:rPr>
          <w:color w:val="000000"/>
        </w:rPr>
        <w:t xml:space="preserve">In support of </w:t>
      </w:r>
      <w:r w:rsidR="00146C5D">
        <w:rPr>
          <w:color w:val="000000"/>
        </w:rPr>
        <w:t xml:space="preserve">this </w:t>
      </w:r>
      <w:r w:rsidRPr="00495CE7">
        <w:rPr>
          <w:color w:val="000000"/>
        </w:rPr>
        <w:t xml:space="preserve">Executive Order, the </w:t>
      </w:r>
      <w:r w:rsidR="00146C5D">
        <w:rPr>
          <w:color w:val="000000"/>
        </w:rPr>
        <w:t>Commonwealth</w:t>
      </w:r>
      <w:r w:rsidRPr="00495CE7">
        <w:rPr>
          <w:color w:val="000000"/>
        </w:rPr>
        <w:t xml:space="preserve"> tracks SDP spending through POS contracts. As a result, providers that are issued a contract from this procurement </w:t>
      </w:r>
      <w:r w:rsidR="008030B4">
        <w:rPr>
          <w:color w:val="000000"/>
        </w:rPr>
        <w:t>(</w:t>
      </w:r>
      <w:r w:rsidR="00B810B4">
        <w:rPr>
          <w:color w:val="000000"/>
        </w:rPr>
        <w:t>B</w:t>
      </w:r>
      <w:r w:rsidR="008030B4">
        <w:rPr>
          <w:color w:val="000000"/>
        </w:rPr>
        <w:t xml:space="preserve">id) </w:t>
      </w:r>
      <w:r w:rsidRPr="00495CE7">
        <w:rPr>
          <w:color w:val="000000"/>
        </w:rPr>
        <w:t>will be required to submit a “Supplier Diversity Program (SDP) Plan Form for Purchase of Service (POS)”</w:t>
      </w:r>
      <w:r w:rsidRPr="00495CE7">
        <w:rPr>
          <w:i/>
          <w:color w:val="000000"/>
        </w:rPr>
        <w:t xml:space="preserve"> </w:t>
      </w:r>
      <w:r w:rsidRPr="00495CE7">
        <w:rPr>
          <w:color w:val="000000"/>
        </w:rPr>
        <w:t>with their Uniform Financial Report (</w:t>
      </w:r>
      <w:proofErr w:type="spellStart"/>
      <w:r w:rsidRPr="00495CE7">
        <w:rPr>
          <w:color w:val="000000"/>
        </w:rPr>
        <w:t>UFR</w:t>
      </w:r>
      <w:proofErr w:type="spellEnd"/>
      <w:r w:rsidRPr="00495CE7">
        <w:rPr>
          <w:color w:val="000000"/>
        </w:rPr>
        <w:t>) through the Operational Services Division</w:t>
      </w:r>
      <w:r w:rsidR="004854B0">
        <w:rPr>
          <w:color w:val="000000"/>
        </w:rPr>
        <w:t>’s</w:t>
      </w:r>
      <w:r w:rsidRPr="00495CE7">
        <w:rPr>
          <w:color w:val="000000"/>
        </w:rPr>
        <w:t xml:space="preserve"> (OSD) </w:t>
      </w:r>
      <w:proofErr w:type="spellStart"/>
      <w:r w:rsidRPr="00495CE7">
        <w:rPr>
          <w:color w:val="000000"/>
        </w:rPr>
        <w:t>eFiling</w:t>
      </w:r>
      <w:proofErr w:type="spellEnd"/>
      <w:r w:rsidRPr="00495CE7">
        <w:rPr>
          <w:color w:val="000000"/>
        </w:rPr>
        <w:t xml:space="preserve"> site. Providers that file a </w:t>
      </w:r>
      <w:proofErr w:type="spellStart"/>
      <w:r w:rsidRPr="00495CE7">
        <w:rPr>
          <w:color w:val="000000"/>
        </w:rPr>
        <w:t>UFR</w:t>
      </w:r>
      <w:proofErr w:type="spellEnd"/>
      <w:r w:rsidRPr="00495CE7">
        <w:rPr>
          <w:color w:val="000000"/>
        </w:rPr>
        <w:t xml:space="preserve"> exemption request are to submit the SDP Plan Form for POS with their exemption request. The plan will be evaluated yearly by the Commonwealth Department with the most Purchase of Service funding to a provider during the previous fiscal year. This Department </w:t>
      </w:r>
      <w:r w:rsidR="004854B0" w:rsidRPr="00495CE7">
        <w:rPr>
          <w:color w:val="000000"/>
        </w:rPr>
        <w:t xml:space="preserve">commonly </w:t>
      </w:r>
      <w:r w:rsidRPr="00495CE7">
        <w:rPr>
          <w:color w:val="000000"/>
        </w:rPr>
        <w:t>is referred to as the Principal Purchasing Agency (PPA).</w:t>
      </w:r>
    </w:p>
    <w:p w14:paraId="304F296A" w14:textId="77777777" w:rsidR="00A342D7" w:rsidRPr="00550446" w:rsidRDefault="00A342D7" w:rsidP="00D76730">
      <w:pPr>
        <w:jc w:val="both"/>
        <w:rPr>
          <w:color w:val="000000"/>
        </w:rPr>
      </w:pPr>
    </w:p>
    <w:p w14:paraId="67F49F66" w14:textId="53A575F1" w:rsidR="00783A24" w:rsidRPr="00495CE7" w:rsidRDefault="00783A24" w:rsidP="00D76730">
      <w:pPr>
        <w:jc w:val="both"/>
        <w:rPr>
          <w:i/>
          <w:color w:val="000000"/>
        </w:rPr>
      </w:pPr>
      <w:r w:rsidRPr="00495CE7">
        <w:rPr>
          <w:color w:val="000000"/>
        </w:rPr>
        <w:t>Bidders are to submit a copy of their most recently submitted “SDP Plan Form for POS”</w:t>
      </w:r>
      <w:r w:rsidRPr="00495CE7">
        <w:rPr>
          <w:i/>
          <w:color w:val="000000"/>
        </w:rPr>
        <w:t xml:space="preserve"> </w:t>
      </w:r>
      <w:r w:rsidRPr="00495CE7">
        <w:rPr>
          <w:color w:val="000000"/>
        </w:rPr>
        <w:t>with their proposal</w:t>
      </w:r>
      <w:r w:rsidR="00B6484D">
        <w:rPr>
          <w:color w:val="000000"/>
        </w:rPr>
        <w:t xml:space="preserve"> </w:t>
      </w:r>
      <w:r w:rsidR="008030B4">
        <w:rPr>
          <w:color w:val="000000"/>
        </w:rPr>
        <w:t>(</w:t>
      </w:r>
      <w:r w:rsidR="00146C5D">
        <w:rPr>
          <w:color w:val="000000"/>
        </w:rPr>
        <w:t>Q</w:t>
      </w:r>
      <w:r w:rsidR="008030B4">
        <w:rPr>
          <w:color w:val="000000"/>
        </w:rPr>
        <w:t xml:space="preserve">uote) </w:t>
      </w:r>
      <w:r w:rsidR="00B6484D">
        <w:rPr>
          <w:color w:val="000000"/>
        </w:rPr>
        <w:t>for procurement</w:t>
      </w:r>
      <w:r w:rsidR="008030B4">
        <w:rPr>
          <w:color w:val="000000"/>
        </w:rPr>
        <w:t>s (</w:t>
      </w:r>
      <w:r w:rsidR="00146C5D">
        <w:rPr>
          <w:color w:val="000000"/>
        </w:rPr>
        <w:t>B</w:t>
      </w:r>
      <w:r w:rsidR="008030B4">
        <w:rPr>
          <w:color w:val="000000"/>
        </w:rPr>
        <w:t>ids)</w:t>
      </w:r>
      <w:r w:rsidR="00B6484D">
        <w:rPr>
          <w:color w:val="000000"/>
        </w:rPr>
        <w:t xml:space="preserve"> in excess of $150,000</w:t>
      </w:r>
      <w:r w:rsidRPr="00495CE7">
        <w:rPr>
          <w:color w:val="000000"/>
        </w:rPr>
        <w:t xml:space="preserve"> to signify to the Procurement Management Team t</w:t>
      </w:r>
      <w:r w:rsidR="008030B4">
        <w:rPr>
          <w:color w:val="000000"/>
        </w:rPr>
        <w:t xml:space="preserve">hat a form has been submitted. </w:t>
      </w:r>
      <w:r w:rsidRPr="00495CE7">
        <w:rPr>
          <w:color w:val="000000"/>
        </w:rPr>
        <w:t>Bidders that do not currently hold POS contracts with Commonwealth Departments are to c</w:t>
      </w:r>
      <w:r w:rsidR="00550446" w:rsidRPr="00550446">
        <w:rPr>
          <w:color w:val="000000"/>
        </w:rPr>
        <w:t xml:space="preserve">omplete the Form and include </w:t>
      </w:r>
      <w:r w:rsidR="004854B0">
        <w:rPr>
          <w:color w:val="000000"/>
        </w:rPr>
        <w:t xml:space="preserve">it </w:t>
      </w:r>
      <w:r w:rsidRPr="00495CE7">
        <w:rPr>
          <w:color w:val="000000"/>
        </w:rPr>
        <w:t xml:space="preserve">with their proposal. </w:t>
      </w:r>
      <w:r w:rsidRPr="00495CE7">
        <w:t>The “SDP Plan</w:t>
      </w:r>
      <w:r w:rsidR="00D76730">
        <w:t xml:space="preserve"> Form</w:t>
      </w:r>
      <w:r w:rsidRPr="00495CE7">
        <w:t xml:space="preserve"> for POS” </w:t>
      </w:r>
      <w:r w:rsidR="004854B0">
        <w:t>may</w:t>
      </w:r>
      <w:r w:rsidR="004854B0" w:rsidRPr="00495CE7">
        <w:t xml:space="preserve"> </w:t>
      </w:r>
      <w:r w:rsidRPr="00495CE7">
        <w:t>be found at the COMMBUYS Bid Solicitation; File Attachments Section.</w:t>
      </w:r>
      <w:r w:rsidR="008030B4">
        <w:rPr>
          <w:color w:val="000000"/>
        </w:rPr>
        <w:t xml:space="preserve"> </w:t>
      </w:r>
      <w:r w:rsidR="00550446">
        <w:rPr>
          <w:color w:val="000000"/>
        </w:rPr>
        <w:t xml:space="preserve">While the </w:t>
      </w:r>
      <w:r w:rsidR="00550446" w:rsidRPr="00550446">
        <w:rPr>
          <w:color w:val="000000"/>
        </w:rPr>
        <w:t>Plan</w:t>
      </w:r>
      <w:r w:rsidR="00550446">
        <w:rPr>
          <w:color w:val="000000"/>
        </w:rPr>
        <w:t xml:space="preserve"> will</w:t>
      </w:r>
      <w:r w:rsidRPr="00495CE7">
        <w:rPr>
          <w:color w:val="000000"/>
        </w:rPr>
        <w:t xml:space="preserve"> not</w:t>
      </w:r>
      <w:r w:rsidR="00550446">
        <w:rPr>
          <w:color w:val="000000"/>
        </w:rPr>
        <w:t xml:space="preserve"> be</w:t>
      </w:r>
      <w:r w:rsidRPr="00495CE7">
        <w:rPr>
          <w:color w:val="000000"/>
        </w:rPr>
        <w:t xml:space="preserve"> assigned any points in the evaluation process, </w:t>
      </w:r>
      <w:r w:rsidR="00B6484D">
        <w:rPr>
          <w:color w:val="000000"/>
        </w:rPr>
        <w:t>a Department</w:t>
      </w:r>
      <w:r w:rsidRPr="00495CE7">
        <w:rPr>
          <w:color w:val="000000"/>
        </w:rPr>
        <w:t xml:space="preserve"> </w:t>
      </w:r>
      <w:r w:rsidR="00550446">
        <w:rPr>
          <w:color w:val="000000"/>
        </w:rPr>
        <w:t>will not be able t</w:t>
      </w:r>
      <w:r w:rsidRPr="00495CE7">
        <w:rPr>
          <w:color w:val="000000"/>
        </w:rPr>
        <w:t xml:space="preserve">o issue a contract to an organization that has not submitted a Plan that demonstrates a strong commitment to working with </w:t>
      </w:r>
      <w:r w:rsidR="00146C5D" w:rsidRPr="00146C5D">
        <w:rPr>
          <w:color w:val="000000"/>
        </w:rPr>
        <w:t xml:space="preserve">MBEs, </w:t>
      </w:r>
      <w:proofErr w:type="spellStart"/>
      <w:r w:rsidR="00146C5D" w:rsidRPr="00146C5D">
        <w:rPr>
          <w:color w:val="000000"/>
        </w:rPr>
        <w:t>WBEs</w:t>
      </w:r>
      <w:proofErr w:type="spellEnd"/>
      <w:r w:rsidR="00146C5D" w:rsidRPr="00146C5D">
        <w:rPr>
          <w:color w:val="000000"/>
        </w:rPr>
        <w:t>, M/</w:t>
      </w:r>
      <w:proofErr w:type="spellStart"/>
      <w:r w:rsidR="00146C5D" w:rsidRPr="00146C5D">
        <w:rPr>
          <w:color w:val="000000"/>
        </w:rPr>
        <w:t>WNPOs</w:t>
      </w:r>
      <w:proofErr w:type="spellEnd"/>
      <w:r w:rsidR="00146C5D" w:rsidRPr="00146C5D">
        <w:rPr>
          <w:color w:val="000000"/>
        </w:rPr>
        <w:t xml:space="preserve">, </w:t>
      </w:r>
      <w:proofErr w:type="spellStart"/>
      <w:r w:rsidR="00146C5D" w:rsidRPr="00146C5D">
        <w:rPr>
          <w:color w:val="000000"/>
        </w:rPr>
        <w:t>VBEs</w:t>
      </w:r>
      <w:proofErr w:type="spellEnd"/>
      <w:r w:rsidR="00146C5D" w:rsidRPr="00146C5D">
        <w:rPr>
          <w:color w:val="000000"/>
        </w:rPr>
        <w:t xml:space="preserve">, </w:t>
      </w:r>
      <w:proofErr w:type="spellStart"/>
      <w:r w:rsidR="00146C5D" w:rsidRPr="00146C5D">
        <w:rPr>
          <w:color w:val="000000"/>
        </w:rPr>
        <w:t>SDVOBEs</w:t>
      </w:r>
      <w:proofErr w:type="spellEnd"/>
      <w:r w:rsidR="00146C5D" w:rsidRPr="00146C5D">
        <w:rPr>
          <w:color w:val="000000"/>
        </w:rPr>
        <w:t>, DOBEs, and</w:t>
      </w:r>
      <w:r w:rsidR="00146C5D">
        <w:rPr>
          <w:color w:val="000000"/>
        </w:rPr>
        <w:t xml:space="preserve">/or </w:t>
      </w:r>
      <w:r w:rsidR="00146C5D" w:rsidRPr="00146C5D">
        <w:rPr>
          <w:color w:val="000000"/>
        </w:rPr>
        <w:t>LGBTBEs.</w:t>
      </w:r>
    </w:p>
    <w:p w14:paraId="2E93E85E" w14:textId="77777777" w:rsidR="009B1C42" w:rsidRDefault="009B1C42" w:rsidP="00D76730">
      <w:pPr>
        <w:jc w:val="both"/>
      </w:pPr>
    </w:p>
    <w:p w14:paraId="03C74D1E" w14:textId="1DED20A3" w:rsidR="004605C1" w:rsidRPr="00495CE7" w:rsidRDefault="00783A24" w:rsidP="008418E9">
      <w:pPr>
        <w:jc w:val="both"/>
      </w:pPr>
      <w:r w:rsidRPr="00495CE7">
        <w:t xml:space="preserve">Resources available to assist providers in identifying SDP Certified Partners </w:t>
      </w:r>
      <w:r w:rsidR="004605C1">
        <w:t xml:space="preserve">are located on the </w:t>
      </w:r>
      <w:hyperlink r:id="rId12" w:history="1">
        <w:r w:rsidRPr="00495CE7">
          <w:rPr>
            <w:color w:val="0000FF"/>
            <w:u w:val="single"/>
          </w:rPr>
          <w:t>Supplier Diversity Program webpage</w:t>
        </w:r>
      </w:hyperlink>
      <w:r w:rsidRPr="00495CE7">
        <w:t xml:space="preserve"> </w:t>
      </w:r>
      <w:r w:rsidR="00146C5D">
        <w:t xml:space="preserve">at </w:t>
      </w:r>
      <w:hyperlink r:id="rId13" w:history="1">
        <w:r w:rsidR="004605C1" w:rsidRPr="00787763">
          <w:rPr>
            <w:rStyle w:val="Hyperlink"/>
          </w:rPr>
          <w:t>www.mass.gov/sdp</w:t>
        </w:r>
      </w:hyperlink>
      <w:r w:rsidR="004605C1">
        <w:t>. See “Which businesses are eligible to serve as SDP partners?” for</w:t>
      </w:r>
      <w:r w:rsidR="00477E1F">
        <w:t xml:space="preserve"> resources to identify </w:t>
      </w:r>
      <w:r w:rsidR="004605C1">
        <w:t>potential SDP partners.</w:t>
      </w:r>
    </w:p>
    <w:p w14:paraId="317D69DA" w14:textId="77777777" w:rsidR="00816B5D" w:rsidRPr="00495CE7" w:rsidRDefault="00816B5D" w:rsidP="00B810B4">
      <w:pPr>
        <w:rPr>
          <w:u w:val="single"/>
        </w:rPr>
      </w:pPr>
    </w:p>
    <w:p w14:paraId="3352B0DB" w14:textId="4F4E2124" w:rsidR="00061986" w:rsidRPr="00550446" w:rsidRDefault="00061986">
      <w:pPr>
        <w:widowControl w:val="0"/>
        <w:jc w:val="both"/>
        <w:rPr>
          <w:u w:val="single"/>
        </w:rPr>
      </w:pPr>
      <w:r w:rsidRPr="00550446">
        <w:rPr>
          <w:u w:val="single"/>
        </w:rPr>
        <w:t>Best Value Selection and Negotiation.</w:t>
      </w:r>
      <w:r w:rsidRPr="00550446">
        <w:t xml:space="preserve"> The Procurement Management Team </w:t>
      </w:r>
      <w:r w:rsidR="005E2B4E" w:rsidRPr="00550446">
        <w:t xml:space="preserve">or </w:t>
      </w:r>
      <w:r w:rsidRPr="00550446">
        <w:t>PMT</w:t>
      </w:r>
      <w:r w:rsidR="00841FCB">
        <w:t xml:space="preserve"> (also known as Strategic Sourcing </w:t>
      </w:r>
      <w:r w:rsidR="004854B0">
        <w:t xml:space="preserve">Services </w:t>
      </w:r>
      <w:r w:rsidR="00841FCB">
        <w:t>Team</w:t>
      </w:r>
      <w:r w:rsidR="00B6484D">
        <w:t xml:space="preserve"> or </w:t>
      </w:r>
      <w:proofErr w:type="spellStart"/>
      <w:r w:rsidR="004854B0">
        <w:t>S</w:t>
      </w:r>
      <w:r w:rsidR="00B6484D">
        <w:t>SST</w:t>
      </w:r>
      <w:proofErr w:type="spellEnd"/>
      <w:r w:rsidR="00841FCB">
        <w:t>)</w:t>
      </w:r>
      <w:r w:rsidRPr="00550446">
        <w:t xml:space="preserve"> may select the response(s) which demonstrates the best value overall, including proposed alternatives that will achieve the procurement goals of the department. </w:t>
      </w:r>
      <w:r w:rsidR="00783A24" w:rsidRPr="00550446">
        <w:t>If services are not rate regulated, t</w:t>
      </w:r>
      <w:r w:rsidRPr="00550446">
        <w:t xml:space="preserve">he </w:t>
      </w:r>
      <w:r w:rsidR="00783A24" w:rsidRPr="00550446">
        <w:t xml:space="preserve">PMT </w:t>
      </w:r>
      <w:r w:rsidRPr="00550446">
        <w:t>and a selected bidder, or a contractor, may negotiate a change in any element of contract performance or cost identified in the original RFR or the selected bidder’s or contractor’s response</w:t>
      </w:r>
      <w:r w:rsidR="008030B4">
        <w:t>,</w:t>
      </w:r>
      <w:r w:rsidRPr="00550446">
        <w:t xml:space="preserve"> which results in </w:t>
      </w:r>
      <w:r w:rsidR="00550446">
        <w:t xml:space="preserve">a </w:t>
      </w:r>
      <w:r w:rsidRPr="00550446">
        <w:t>more cost effective or better value</w:t>
      </w:r>
      <w:r w:rsidR="00550446">
        <w:t>.</w:t>
      </w:r>
    </w:p>
    <w:p w14:paraId="0657812D" w14:textId="77777777" w:rsidR="00240B64" w:rsidRDefault="00240B64">
      <w:pPr>
        <w:widowControl w:val="0"/>
        <w:jc w:val="both"/>
        <w:rPr>
          <w:u w:val="single"/>
        </w:rPr>
      </w:pPr>
    </w:p>
    <w:p w14:paraId="660356FD" w14:textId="77777777" w:rsidR="000E45FE" w:rsidRPr="00550446" w:rsidRDefault="00061986">
      <w:pPr>
        <w:widowControl w:val="0"/>
        <w:jc w:val="both"/>
      </w:pPr>
      <w:r w:rsidRPr="00550446">
        <w:rPr>
          <w:u w:val="single"/>
        </w:rPr>
        <w:t>Bidder Communication.</w:t>
      </w:r>
      <w:r w:rsidRPr="00550446">
        <w:t xml:space="preserve"> Bidders are prohibited from communicating directly with any employee of the procuring department or any member of the </w:t>
      </w:r>
      <w:r w:rsidR="00783A24" w:rsidRPr="00550446">
        <w:t xml:space="preserve">PMT </w:t>
      </w:r>
      <w:r w:rsidRPr="00550446">
        <w:t xml:space="preserve">regarding this RFR except as specified in this RFR, and no other individual Commonwealth employee or representative is authorized to provide any information or respond to any question or inquiry concerning this RFR. Bidders may contact the contact person for this RFR in the event this RFR is incomplete or the bidder is having trouble obtaining any required attachments electronically through </w:t>
      </w:r>
      <w:r w:rsidR="00DD69C1" w:rsidRPr="00550446">
        <w:t>COMMBUYS</w:t>
      </w:r>
      <w:r w:rsidRPr="00550446">
        <w:t>.</w:t>
      </w:r>
    </w:p>
    <w:p w14:paraId="292D183B" w14:textId="77777777" w:rsidR="00A23CBA" w:rsidRPr="00550446" w:rsidRDefault="00A23CBA">
      <w:pPr>
        <w:widowControl w:val="0"/>
        <w:jc w:val="both"/>
        <w:rPr>
          <w:u w:val="single"/>
        </w:rPr>
      </w:pPr>
      <w:bookmarkStart w:id="2" w:name="a"/>
      <w:bookmarkEnd w:id="2"/>
    </w:p>
    <w:p w14:paraId="42074DA0" w14:textId="035A39E6" w:rsidR="00061986" w:rsidRPr="00495CE7" w:rsidRDefault="00061986">
      <w:pPr>
        <w:widowControl w:val="0"/>
        <w:jc w:val="both"/>
        <w:rPr>
          <w:u w:val="single"/>
        </w:rPr>
      </w:pPr>
      <w:r w:rsidRPr="00550446">
        <w:rPr>
          <w:u w:val="single"/>
        </w:rPr>
        <w:t>Contract Expansion.</w:t>
      </w:r>
      <w:r w:rsidRPr="00550446">
        <w:t xml:space="preserve"> If additional funds become available during the contract duration period, the department reserves the right to increase the maximum obligation </w:t>
      </w:r>
      <w:r w:rsidR="00783A24" w:rsidRPr="00550446">
        <w:t>or the number of unit</w:t>
      </w:r>
      <w:r w:rsidR="008710C8">
        <w:t>s</w:t>
      </w:r>
      <w:r w:rsidR="00783A24" w:rsidRPr="00550446">
        <w:t xml:space="preserve"> purchased </w:t>
      </w:r>
      <w:r w:rsidRPr="00550446">
        <w:t>to some or all contracts executed as a result of this RFR or to execute contracts with contractors not funded in the initial selection process, subject to available funding, satisfactory contract performance</w:t>
      </w:r>
      <w:r w:rsidR="004854B0">
        <w:t>,</w:t>
      </w:r>
      <w:r w:rsidRPr="00550446">
        <w:t xml:space="preserve"> and service need.</w:t>
      </w:r>
    </w:p>
    <w:p w14:paraId="2D39C3D3" w14:textId="77777777" w:rsidR="00061986" w:rsidRPr="00550446" w:rsidRDefault="00061986">
      <w:pPr>
        <w:widowControl w:val="0"/>
        <w:jc w:val="both"/>
        <w:rPr>
          <w:u w:val="single"/>
        </w:rPr>
      </w:pPr>
    </w:p>
    <w:p w14:paraId="1C1A412F" w14:textId="77777777" w:rsidR="00061986" w:rsidRPr="00550446" w:rsidRDefault="00061986">
      <w:pPr>
        <w:widowControl w:val="0"/>
        <w:jc w:val="both"/>
        <w:rPr>
          <w:u w:val="single"/>
        </w:rPr>
      </w:pPr>
      <w:r w:rsidRPr="00550446">
        <w:rPr>
          <w:u w:val="single"/>
        </w:rPr>
        <w:t>Costs.</w:t>
      </w:r>
      <w:r w:rsidRPr="00550446">
        <w:t xml:space="preserve"> Costs which are not specifically identified in the bidder’s response, and accepted by a department as part of a contract, will not be compensated under any contract awarded pursuant to this RFR. The Commonwealth will not be responsible for any costs or expenses incurred by bidders responding to this </w:t>
      </w:r>
      <w:r w:rsidRPr="00550446">
        <w:rPr>
          <w:spacing w:val="-2"/>
        </w:rPr>
        <w:t>RFR.</w:t>
      </w:r>
    </w:p>
    <w:p w14:paraId="36435F26" w14:textId="77777777" w:rsidR="00A23CBA" w:rsidRPr="007363F9" w:rsidRDefault="00A23CBA" w:rsidP="007363F9">
      <w:pPr>
        <w:spacing w:line="240" w:lineRule="exact"/>
        <w:jc w:val="both"/>
      </w:pPr>
    </w:p>
    <w:p w14:paraId="51A5FBB0" w14:textId="77777777" w:rsidR="00061986" w:rsidRPr="00550446" w:rsidRDefault="00061986">
      <w:pPr>
        <w:widowControl w:val="0"/>
        <w:jc w:val="both"/>
      </w:pPr>
      <w:r w:rsidRPr="00550446">
        <w:rPr>
          <w:u w:val="single"/>
        </w:rPr>
        <w:t>Debriefing.</w:t>
      </w:r>
      <w:r w:rsidR="00841FCB" w:rsidRPr="006718F6">
        <w:t xml:space="preserve"> </w:t>
      </w:r>
      <w:r w:rsidR="006718F6" w:rsidRPr="006718F6">
        <w:t xml:space="preserve"> </w:t>
      </w:r>
      <w:r w:rsidR="006718F6" w:rsidRPr="006718F6">
        <w:rPr>
          <w:i/>
        </w:rPr>
        <w:t>POS requirement only</w:t>
      </w:r>
      <w:r w:rsidR="006718F6">
        <w:rPr>
          <w:i/>
        </w:rPr>
        <w:t xml:space="preserve">.  </w:t>
      </w:r>
      <w:r w:rsidRPr="00550446">
        <w:t>Non-successful bidders may request a debriefing from the department</w:t>
      </w:r>
      <w:r w:rsidR="009429C2" w:rsidRPr="00550446">
        <w:t xml:space="preserve"> that issued the RFR</w:t>
      </w:r>
      <w:r w:rsidRPr="00550446">
        <w:t>. Department debriefing procedures may be found in the RFR. Non-successful POS bidders aggrieved by the decision of a department must participate in a debriefing as a prerequisite to an administrative appeal.</w:t>
      </w:r>
    </w:p>
    <w:p w14:paraId="67B56255" w14:textId="77777777" w:rsidR="00061986" w:rsidRPr="00550446" w:rsidRDefault="00061986">
      <w:pPr>
        <w:widowControl w:val="0"/>
        <w:jc w:val="both"/>
      </w:pPr>
    </w:p>
    <w:p w14:paraId="348A3716" w14:textId="77777777" w:rsidR="00061986" w:rsidRPr="00550446" w:rsidRDefault="00061986">
      <w:pPr>
        <w:widowControl w:val="0"/>
        <w:jc w:val="both"/>
      </w:pPr>
      <w:r w:rsidRPr="00550446">
        <w:rPr>
          <w:u w:val="single"/>
        </w:rPr>
        <w:t>Debriefing/Appeals: Administrative Appeals to Departments.</w:t>
      </w:r>
      <w:r w:rsidRPr="00550446">
        <w:t xml:space="preserve"> </w:t>
      </w:r>
      <w:r w:rsidR="00841FCB">
        <w:t xml:space="preserve"> </w:t>
      </w:r>
      <w:r w:rsidR="006718F6" w:rsidRPr="006718F6">
        <w:rPr>
          <w:i/>
        </w:rPr>
        <w:t>POS requirement only</w:t>
      </w:r>
      <w:r w:rsidR="006718F6">
        <w:rPr>
          <w:i/>
        </w:rPr>
        <w:t xml:space="preserve">.  </w:t>
      </w:r>
      <w:r w:rsidRPr="00550446">
        <w:t>Non-successful bidders who participate in the debriefing process and remain aggrieved with the decision of the department may appeal that decision to the department head. Department appeal pro</w:t>
      </w:r>
      <w:r w:rsidR="00B6484D">
        <w:t>cedures may be found in the RFR.</w:t>
      </w:r>
    </w:p>
    <w:p w14:paraId="35702986" w14:textId="77777777" w:rsidR="00061986" w:rsidRPr="00550446" w:rsidRDefault="00061986">
      <w:pPr>
        <w:widowControl w:val="0"/>
        <w:jc w:val="both"/>
        <w:rPr>
          <w:u w:val="single"/>
        </w:rPr>
      </w:pPr>
    </w:p>
    <w:p w14:paraId="2AF5CE0D" w14:textId="77777777" w:rsidR="00061986" w:rsidRPr="00550446" w:rsidRDefault="00061986">
      <w:pPr>
        <w:widowControl w:val="0"/>
        <w:jc w:val="both"/>
      </w:pPr>
      <w:r w:rsidRPr="00550446">
        <w:rPr>
          <w:u w:val="single"/>
        </w:rPr>
        <w:t>Debriefing/Appeals: Administrative Appeals to OSD.</w:t>
      </w:r>
      <w:r w:rsidR="00841FCB">
        <w:t xml:space="preserve">  </w:t>
      </w:r>
      <w:r w:rsidR="006718F6" w:rsidRPr="006718F6">
        <w:rPr>
          <w:i/>
        </w:rPr>
        <w:t>POS requirement only</w:t>
      </w:r>
      <w:r w:rsidR="006718F6">
        <w:rPr>
          <w:i/>
        </w:rPr>
        <w:t xml:space="preserve">.  </w:t>
      </w:r>
      <w:r w:rsidRPr="00550446">
        <w:t xml:space="preserve">Non-successful bidders who </w:t>
      </w:r>
      <w:r w:rsidRPr="00550446">
        <w:lastRenderedPageBreak/>
        <w:t>participate in the department appeal process and remain aggrieved by the selection decision of the department may appeal the department decision to the Operational Services Division. The basis for an appeal to OSD is limited to the following grounds:</w:t>
      </w:r>
    </w:p>
    <w:p w14:paraId="32EE906E" w14:textId="547E6F02" w:rsidR="00061986" w:rsidRPr="00550446" w:rsidRDefault="00061986">
      <w:pPr>
        <w:widowControl w:val="0"/>
        <w:numPr>
          <w:ilvl w:val="0"/>
          <w:numId w:val="1"/>
        </w:numPr>
        <w:jc w:val="both"/>
        <w:rPr>
          <w:i/>
        </w:rPr>
      </w:pPr>
      <w:r w:rsidRPr="00550446">
        <w:t xml:space="preserve">The competitive procurement conducted by the department failed to comply with applicable regulations and guidelines. These would be limited to the requirements of 801 CMR 21.00 or any successor regulations, the policies in the OSD </w:t>
      </w:r>
      <w:r w:rsidRPr="00550446">
        <w:rPr>
          <w:iCs/>
        </w:rPr>
        <w:t>Procurement Information Center</w:t>
      </w:r>
      <w:r w:rsidRPr="00550446">
        <w:t>, subsequent policies and procedures issued by OSD</w:t>
      </w:r>
      <w:r w:rsidR="00C44F77">
        <w:t>,</w:t>
      </w:r>
      <w:r w:rsidRPr="00550446">
        <w:t xml:space="preserve"> and the specifications of the RFR; or </w:t>
      </w:r>
    </w:p>
    <w:p w14:paraId="05279F49" w14:textId="77777777" w:rsidR="00061986" w:rsidRPr="00550446" w:rsidRDefault="00061986">
      <w:pPr>
        <w:widowControl w:val="0"/>
        <w:numPr>
          <w:ilvl w:val="0"/>
          <w:numId w:val="2"/>
        </w:numPr>
        <w:jc w:val="both"/>
      </w:pPr>
      <w:r w:rsidRPr="00550446">
        <w:t>There was a fundamental unfairness in the procurement process. The allegation of unfairness or bias is one that is easier to allege than prove, consequently, the burden of proof rests with the bidder to provide sufficient and specific evidence in support of its claim. OSD will presume that departments conducted a fair procurement absent documentation to the contrary.</w:t>
      </w:r>
    </w:p>
    <w:p w14:paraId="5C166665" w14:textId="77777777" w:rsidR="00061986" w:rsidRPr="00550446" w:rsidRDefault="00061986">
      <w:pPr>
        <w:widowControl w:val="0"/>
        <w:jc w:val="both"/>
      </w:pPr>
    </w:p>
    <w:p w14:paraId="62631757" w14:textId="77777777" w:rsidR="00061986" w:rsidRPr="00550446" w:rsidRDefault="00061986">
      <w:pPr>
        <w:widowControl w:val="0"/>
        <w:jc w:val="both"/>
      </w:pPr>
      <w:r w:rsidRPr="00550446">
        <w:t xml:space="preserve">Requests for an appeal must be sent to the attention of the </w:t>
      </w:r>
      <w:r w:rsidR="001C4DA6" w:rsidRPr="00550446">
        <w:t>Operational Services Division, Legal, Policy and Compliance Office,</w:t>
      </w:r>
      <w:r w:rsidRPr="00550446">
        <w:t xml:space="preserve"> Room 1017, One Ashburton Place, Boston, MA 02108 and be received within fourteen (14) calendar days of the postmark of the notice of the department head’s decision on appeal. Appeal requests must specify in sufficient detail the basis for the appeal.  Sufficient detail requires a description of the published policy or procedure which was applied and forms the basis for the appeal and presentation of </w:t>
      </w:r>
      <w:r w:rsidRPr="00550446">
        <w:rPr>
          <w:u w:val="single"/>
        </w:rPr>
        <w:t>all</w:t>
      </w:r>
      <w:r w:rsidRPr="00550446">
        <w:t xml:space="preserve"> information that supports the claim under paragraphs 1 or 2 above. OSD reserves the right to reject appeal requests based on grounds other than those stated above or those submitted without sufficient detail on the basis for the appeal.</w:t>
      </w:r>
    </w:p>
    <w:p w14:paraId="0E835EF7" w14:textId="77777777" w:rsidR="00061986" w:rsidRPr="00550446" w:rsidRDefault="00061986">
      <w:pPr>
        <w:widowControl w:val="0"/>
        <w:jc w:val="both"/>
      </w:pPr>
    </w:p>
    <w:p w14:paraId="60DEF4F5" w14:textId="77777777" w:rsidR="00061986" w:rsidRPr="00550446" w:rsidRDefault="00061986">
      <w:pPr>
        <w:widowControl w:val="0"/>
        <w:jc w:val="both"/>
        <w:rPr>
          <w:u w:val="single"/>
        </w:rPr>
      </w:pPr>
      <w:r w:rsidRPr="00550446">
        <w:t xml:space="preserve">The decision of the </w:t>
      </w:r>
      <w:r w:rsidR="001C4DA6" w:rsidRPr="00550446">
        <w:t>Operational Services Division</w:t>
      </w:r>
      <w:r w:rsidRPr="00550446">
        <w:t xml:space="preserve"> shall be rendered, in writing, setting forth the grounds for the decision within sixty (60) calendar days of receipt of the appeal request. Pending appeals to the </w:t>
      </w:r>
      <w:r w:rsidR="001C4DA6" w:rsidRPr="00550446">
        <w:t>Operational Services Division</w:t>
      </w:r>
      <w:r w:rsidRPr="00550446">
        <w:t xml:space="preserve"> shall not prohibit the department from proceeding with executing contracts.</w:t>
      </w:r>
    </w:p>
    <w:p w14:paraId="646842ED" w14:textId="77777777" w:rsidR="00061986" w:rsidRPr="00550446" w:rsidRDefault="00061986">
      <w:pPr>
        <w:widowControl w:val="0"/>
        <w:jc w:val="both"/>
        <w:rPr>
          <w:spacing w:val="-2"/>
          <w:u w:val="single"/>
        </w:rPr>
      </w:pPr>
    </w:p>
    <w:p w14:paraId="0EDC7BD5" w14:textId="11758688" w:rsidR="00061986" w:rsidRDefault="00061986">
      <w:pPr>
        <w:widowControl w:val="0"/>
        <w:jc w:val="both"/>
      </w:pPr>
      <w:r w:rsidRPr="00550446">
        <w:rPr>
          <w:u w:val="single"/>
        </w:rPr>
        <w:t>Electronic Communication/Update of Bidder’s/Contractor’s Contact Information.</w:t>
      </w:r>
      <w:r w:rsidRPr="00550446">
        <w:t xml:space="preserve"> It is the responsibility of the prospective bidder and awarded contractor to keep current </w:t>
      </w:r>
      <w:r w:rsidR="009705B3" w:rsidRPr="00550446">
        <w:t xml:space="preserve">on COMMBUYS </w:t>
      </w:r>
      <w:r w:rsidRPr="00550446">
        <w:t xml:space="preserve">the email address of the bidder’s contact person and prospective contract manager, if awarded a contract, and to monitor that email inbox for communications from the </w:t>
      </w:r>
      <w:r w:rsidR="00783A24" w:rsidRPr="00550446">
        <w:t>PMT,</w:t>
      </w:r>
      <w:r w:rsidR="00AA50FE">
        <w:t xml:space="preserve"> </w:t>
      </w:r>
      <w:r w:rsidRPr="00550446">
        <w:t xml:space="preserve">including requests for clarification. The </w:t>
      </w:r>
      <w:r w:rsidR="00783A24" w:rsidRPr="00550446">
        <w:t>PMT</w:t>
      </w:r>
      <w:r w:rsidR="00B652BB">
        <w:t xml:space="preserve"> </w:t>
      </w:r>
      <w:r w:rsidRPr="00550446">
        <w:t>and the Commonwealth assume no responsibility if a prospective bidder’s/awarded contractor’s designated email address is not current, or if technical problems, including those with the prospective bidder’s/awarded contractor’s computer, network</w:t>
      </w:r>
      <w:r w:rsidR="00C44F77">
        <w:t>,</w:t>
      </w:r>
      <w:r w:rsidRPr="00550446">
        <w:t xml:space="preserve"> or internet service provider (ISP) cause email communications sent to/from the prospective bidder/awarded contractor and the </w:t>
      </w:r>
      <w:r w:rsidR="00C2695D" w:rsidRPr="00550446">
        <w:t>PM</w:t>
      </w:r>
      <w:r w:rsidR="005E2B4E" w:rsidRPr="00550446">
        <w:t>T</w:t>
      </w:r>
      <w:r w:rsidRPr="00550446">
        <w:t xml:space="preserve"> to be lost or rejected by any means including email or spam filtering.</w:t>
      </w:r>
    </w:p>
    <w:p w14:paraId="3B8745EA" w14:textId="77777777" w:rsidR="007363F9" w:rsidRDefault="007363F9">
      <w:pPr>
        <w:widowControl w:val="0"/>
        <w:jc w:val="both"/>
      </w:pPr>
    </w:p>
    <w:p w14:paraId="6D7C93F7" w14:textId="2A3AD5B3" w:rsidR="00B810B4" w:rsidRPr="00B810B4" w:rsidRDefault="00841FCB" w:rsidP="00B810B4">
      <w:pPr>
        <w:widowControl w:val="0"/>
        <w:jc w:val="both"/>
      </w:pPr>
      <w:r w:rsidRPr="00B810B4">
        <w:rPr>
          <w:u w:val="single"/>
        </w:rPr>
        <w:t>Electronic Funds Transfer (EFT).</w:t>
      </w:r>
      <w:r w:rsidRPr="00B810B4">
        <w:t xml:space="preserve">  </w:t>
      </w:r>
      <w:r w:rsidR="00B810B4" w:rsidRPr="00B810B4">
        <w:t xml:space="preserve">All Bidders must agree to participate in the Commonwealth Electronic Funds Transfer (EFT) program for receiving payments.  Additional information about EFT is available on the Comptroller’s </w:t>
      </w:r>
      <w:proofErr w:type="spellStart"/>
      <w:r w:rsidR="00B810B4" w:rsidRPr="00B810B4">
        <w:t>VendorWeb</w:t>
      </w:r>
      <w:proofErr w:type="spellEnd"/>
      <w:r w:rsidR="00B810B4" w:rsidRPr="00B810B4">
        <w:t xml:space="preserve"> site located at:  </w:t>
      </w:r>
      <w:hyperlink r:id="rId14" w:history="1">
        <w:r w:rsidR="00B810B4" w:rsidRPr="00B810B4">
          <w:rPr>
            <w:rStyle w:val="Hyperlink"/>
          </w:rPr>
          <w:t>https://massfinance.state.ma.us/VendorWeb/vendor.asp</w:t>
        </w:r>
      </w:hyperlink>
      <w:r w:rsidR="00B54681">
        <w:rPr>
          <w:rStyle w:val="Hyperlink"/>
        </w:rPr>
        <w:t>.</w:t>
      </w:r>
    </w:p>
    <w:p w14:paraId="188C52C7" w14:textId="77777777" w:rsidR="00B810B4" w:rsidRPr="00B810B4" w:rsidRDefault="00B810B4" w:rsidP="00B810B4">
      <w:pPr>
        <w:widowControl w:val="0"/>
        <w:jc w:val="both"/>
      </w:pPr>
    </w:p>
    <w:p w14:paraId="4F91E9F0" w14:textId="6310E0E6" w:rsidR="00061986" w:rsidRDefault="00B810B4" w:rsidP="00B810B4">
      <w:pPr>
        <w:widowControl w:val="0"/>
        <w:jc w:val="both"/>
      </w:pPr>
      <w:r w:rsidRPr="00B810B4">
        <w:t xml:space="preserve">Upon notification of award, Contractors are required to enroll in EFT by completing and submitting the “Authorization for Electronic Funds Payment Form” to the </w:t>
      </w:r>
      <w:proofErr w:type="spellStart"/>
      <w:r w:rsidRPr="00B810B4">
        <w:t>SSST</w:t>
      </w:r>
      <w:proofErr w:type="spellEnd"/>
      <w:r w:rsidRPr="00B810B4">
        <w:t xml:space="preserve"> for review, approval</w:t>
      </w:r>
      <w:r w:rsidR="00B54681">
        <w:t>,</w:t>
      </w:r>
      <w:r w:rsidRPr="00B810B4">
        <w:t xml:space="preserve"> and forwarding to the Office of the Comptroller, unless already enrolled in EFT. A copy of the form will be supplied to the successful bidder upon award. This form, and all information contained on this form, shall not be considered a public record and shall not be subject to public disclosure through a public records request.</w:t>
      </w:r>
      <w:r w:rsidR="003523A0">
        <w:t xml:space="preserve"> </w:t>
      </w:r>
    </w:p>
    <w:p w14:paraId="2BC8846A" w14:textId="77777777" w:rsidR="00B6484D" w:rsidRPr="00550446" w:rsidRDefault="00B6484D">
      <w:pPr>
        <w:widowControl w:val="0"/>
        <w:jc w:val="both"/>
        <w:rPr>
          <w:u w:val="single"/>
        </w:rPr>
      </w:pPr>
    </w:p>
    <w:p w14:paraId="468CA362" w14:textId="170AD6B3" w:rsidR="00196077" w:rsidRPr="00550446" w:rsidRDefault="00196077">
      <w:pPr>
        <w:widowControl w:val="0"/>
        <w:jc w:val="both"/>
        <w:rPr>
          <w:u w:val="single"/>
        </w:rPr>
      </w:pPr>
      <w:r w:rsidRPr="00550446">
        <w:rPr>
          <w:color w:val="000000"/>
          <w:u w:val="single"/>
        </w:rPr>
        <w:t xml:space="preserve">Executive Order 509, </w:t>
      </w:r>
      <w:r w:rsidRPr="00550446">
        <w:rPr>
          <w:i/>
          <w:iCs/>
          <w:color w:val="000000"/>
          <w:u w:val="single"/>
        </w:rPr>
        <w:t>Establishing Nutrition Standards for Food Purchased and Served by State Agencies</w:t>
      </w:r>
      <w:r w:rsidRPr="00550446">
        <w:rPr>
          <w:i/>
          <w:iCs/>
          <w:color w:val="000000"/>
        </w:rPr>
        <w:t>.</w:t>
      </w:r>
      <w:r w:rsidRPr="00550446">
        <w:rPr>
          <w:color w:val="000000"/>
        </w:rPr>
        <w:t xml:space="preserve"> Food purchased and served by state agencies must </w:t>
      </w:r>
      <w:r w:rsidR="00C44F77">
        <w:rPr>
          <w:color w:val="000000"/>
        </w:rPr>
        <w:t>comply</w:t>
      </w:r>
      <w:r w:rsidRPr="00550446">
        <w:rPr>
          <w:color w:val="000000"/>
        </w:rPr>
        <w:t xml:space="preserve"> with Executive Order 509, issued in January 2009.  Under this Executive Order, all contracts resulting from procurements posted after July 1, 2009</w:t>
      </w:r>
      <w:r w:rsidR="00C44F77">
        <w:rPr>
          <w:color w:val="000000"/>
        </w:rPr>
        <w:t>,</w:t>
      </w:r>
      <w:r w:rsidRPr="00550446">
        <w:rPr>
          <w:color w:val="000000"/>
        </w:rPr>
        <w:t xml:space="preserve"> that involve the purchase and provision of food must comply with nutrition guidelines established by the </w:t>
      </w:r>
      <w:r w:rsidR="00C44F77">
        <w:rPr>
          <w:color w:val="000000"/>
        </w:rPr>
        <w:t xml:space="preserve">Massachusetts </w:t>
      </w:r>
      <w:r w:rsidRPr="00550446">
        <w:rPr>
          <w:color w:val="000000"/>
        </w:rPr>
        <w:t>Department of Public Health (DPH).  The nutrition guidelines are available at the Department’s website:</w:t>
      </w:r>
      <w:r w:rsidRPr="00495CE7">
        <w:rPr>
          <w:color w:val="0000FF"/>
        </w:rPr>
        <w:t xml:space="preserve"> </w:t>
      </w:r>
      <w:hyperlink r:id="rId15" w:history="1">
        <w:r w:rsidRPr="00550446">
          <w:rPr>
            <w:rStyle w:val="Hyperlink"/>
          </w:rPr>
          <w:t>Executive Order # 509 Guidance</w:t>
        </w:r>
      </w:hyperlink>
      <w:r w:rsidRPr="00550446">
        <w:rPr>
          <w:color w:val="0000FF"/>
        </w:rPr>
        <w:t>.</w:t>
      </w:r>
    </w:p>
    <w:p w14:paraId="1C64CE61" w14:textId="77777777" w:rsidR="00196077" w:rsidRPr="00550446" w:rsidRDefault="00196077">
      <w:pPr>
        <w:widowControl w:val="0"/>
        <w:jc w:val="both"/>
        <w:rPr>
          <w:u w:val="single"/>
        </w:rPr>
      </w:pPr>
    </w:p>
    <w:p w14:paraId="624E28AB" w14:textId="05994C1C" w:rsidR="00061986" w:rsidRPr="00550446" w:rsidRDefault="00061986">
      <w:pPr>
        <w:widowControl w:val="0"/>
        <w:jc w:val="both"/>
        <w:rPr>
          <w:u w:val="single"/>
        </w:rPr>
      </w:pPr>
      <w:r w:rsidRPr="00550446">
        <w:rPr>
          <w:u w:val="single"/>
        </w:rPr>
        <w:t>Filing Requirements</w:t>
      </w:r>
      <w:r w:rsidR="00B6484D" w:rsidRPr="00550446">
        <w:rPr>
          <w:u w:val="single"/>
        </w:rPr>
        <w:t>.</w:t>
      </w:r>
      <w:r w:rsidRPr="00550446">
        <w:rPr>
          <w:i/>
        </w:rPr>
        <w:t xml:space="preserve"> </w:t>
      </w:r>
      <w:r w:rsidRPr="00550446">
        <w:t>Successful bidders must have filed their Uniform Financial Statements and Independent Auditor's Report (</w:t>
      </w:r>
      <w:proofErr w:type="spellStart"/>
      <w:r w:rsidRPr="00550446">
        <w:t>UFR</w:t>
      </w:r>
      <w:proofErr w:type="spellEnd"/>
      <w:r w:rsidRPr="00550446">
        <w:t xml:space="preserve">), as required for current contractors, with the Operational Services Division via the Internet using the </w:t>
      </w:r>
      <w:proofErr w:type="spellStart"/>
      <w:r w:rsidRPr="00550446">
        <w:t>UFR</w:t>
      </w:r>
      <w:proofErr w:type="spellEnd"/>
      <w:r w:rsidRPr="00550446">
        <w:t xml:space="preserve"> </w:t>
      </w:r>
      <w:proofErr w:type="spellStart"/>
      <w:r w:rsidRPr="00550446">
        <w:t>eFiling</w:t>
      </w:r>
      <w:proofErr w:type="spellEnd"/>
      <w:r w:rsidRPr="00550446">
        <w:t xml:space="preserve"> application for the most recently completed fiscal year before a contract </w:t>
      </w:r>
      <w:r w:rsidR="00C44F77">
        <w:t>may</w:t>
      </w:r>
      <w:r w:rsidR="00C44F77" w:rsidRPr="00550446">
        <w:t xml:space="preserve"> </w:t>
      </w:r>
      <w:r w:rsidRPr="00550446">
        <w:t xml:space="preserve">be executed and services begin. Other contractor qualification/risk management reporting requirements and non-filing consequences promulgated by secretariats or departments pursuant to 808 CMR 1.04(3) </w:t>
      </w:r>
      <w:r w:rsidR="00C44F77">
        <w:t xml:space="preserve">also </w:t>
      </w:r>
      <w:r w:rsidRPr="00550446">
        <w:t xml:space="preserve">may apply.  In the event immediate services are required by a department, a contract may be executed and services may begin with the approval of OSD </w:t>
      </w:r>
      <w:r w:rsidR="00546249" w:rsidRPr="00550446">
        <w:t xml:space="preserve">or </w:t>
      </w:r>
      <w:r w:rsidR="00C01F13" w:rsidRPr="00550446">
        <w:t>the appropriate</w:t>
      </w:r>
      <w:r w:rsidRPr="00550446">
        <w:t xml:space="preserve"> secretariat. However, unless authorized by OSD </w:t>
      </w:r>
      <w:r w:rsidR="00546249" w:rsidRPr="00550446">
        <w:t xml:space="preserve">or </w:t>
      </w:r>
      <w:r w:rsidR="00546249" w:rsidRPr="00550446">
        <w:lastRenderedPageBreak/>
        <w:t>the</w:t>
      </w:r>
      <w:r w:rsidRPr="00550446">
        <w:t xml:space="preserve"> appropriate secretariat, the contractor will not be paid for any such services rendered until the </w:t>
      </w:r>
      <w:proofErr w:type="spellStart"/>
      <w:r w:rsidRPr="00550446">
        <w:t>UFR</w:t>
      </w:r>
      <w:proofErr w:type="spellEnd"/>
      <w:r w:rsidRPr="00550446">
        <w:t xml:space="preserve"> has been filed.</w:t>
      </w:r>
    </w:p>
    <w:p w14:paraId="6B7B0242" w14:textId="77777777" w:rsidR="00BB4ED5" w:rsidRPr="00550446" w:rsidRDefault="00BB4ED5" w:rsidP="00BB4ED5">
      <w:pPr>
        <w:rPr>
          <w:color w:val="1F497D"/>
        </w:rPr>
      </w:pPr>
    </w:p>
    <w:p w14:paraId="69128B85" w14:textId="2D941853" w:rsidR="00061986" w:rsidRPr="00550446" w:rsidRDefault="00061986">
      <w:pPr>
        <w:jc w:val="both"/>
      </w:pPr>
      <w:r w:rsidRPr="00550446">
        <w:rPr>
          <w:u w:val="single"/>
        </w:rPr>
        <w:t>HIPAA: Business Associate Contractual Obligations.</w:t>
      </w:r>
      <w:r w:rsidRPr="00550446">
        <w:t xml:space="preserve"> Bidders are notified that any department meeting the definition of a Covered Entity under the Health Insurance Portability and Accountability Act of 1996 (HIPAA) will include in the RFR and resulting contract sufficient language establishing the successful bidder’s contractual obligations, if any, that the department will require to comply with HIPAA and the privacy and security regulations promulgated thereunder (45 CFR Parts 160, 162, and 164) (the Privacy and Security Rules). For example, if the department determines that the successful bidder is a business associate performing functions or activities involving protected health information, as such terms are used in the Privacy and Security Rules, then the department will include in the RFR and resulting contract a sufficient description of business associate’s contractual obligations regarding the privacy and security of the protected health information, as listed in 45 CFR 164.314 and 164.504 (e), including, but not limited to, the bidder's obligation to: implement administrative, physical, and technical safeguards that reasonably and appropriately protect the confidentiality, integrity, and availability of the protected health information (in whatever form it is maintained or used, including verbal communications); provide individuals access to their records; and strictly limit use and disclosure of the protected health information for only those purposes approved by the department. Further, the department reserves the right to add any requirement during the course of the contract that it determines must </w:t>
      </w:r>
      <w:r w:rsidR="004141DF">
        <w:t xml:space="preserve">be </w:t>
      </w:r>
      <w:r w:rsidRPr="00550446">
        <w:t>include</w:t>
      </w:r>
      <w:r w:rsidR="004141DF">
        <w:t>d</w:t>
      </w:r>
      <w:r w:rsidRPr="00550446">
        <w:t xml:space="preserve"> in the contract to comply with the Privacy and Security Rules. Please see other sections of the RFR for further HIPAA details, if applicable.</w:t>
      </w:r>
    </w:p>
    <w:p w14:paraId="077F5CBD" w14:textId="77777777" w:rsidR="00061986" w:rsidRPr="00550446" w:rsidRDefault="00061986">
      <w:pPr>
        <w:widowControl w:val="0"/>
        <w:jc w:val="both"/>
        <w:rPr>
          <w:b/>
          <w:i/>
          <w:spacing w:val="-2"/>
          <w:highlight w:val="green"/>
          <w:u w:val="single"/>
        </w:rPr>
      </w:pPr>
    </w:p>
    <w:p w14:paraId="3C1575F5" w14:textId="0F02639C" w:rsidR="00061986" w:rsidRPr="00C9405A" w:rsidRDefault="00061986" w:rsidP="00C9405A">
      <w:pPr>
        <w:widowControl w:val="0"/>
        <w:jc w:val="both"/>
        <w:rPr>
          <w:b/>
          <w:spacing w:val="-2"/>
          <w:u w:val="single"/>
        </w:rPr>
      </w:pPr>
      <w:r w:rsidRPr="00550446">
        <w:rPr>
          <w:u w:val="single"/>
        </w:rPr>
        <w:t xml:space="preserve">Minimum </w:t>
      </w:r>
      <w:r w:rsidR="00652700" w:rsidRPr="00550446">
        <w:rPr>
          <w:u w:val="single"/>
        </w:rPr>
        <w:t>Quote (</w:t>
      </w:r>
      <w:r w:rsidRPr="00550446">
        <w:rPr>
          <w:u w:val="single"/>
        </w:rPr>
        <w:t xml:space="preserve">Bid </w:t>
      </w:r>
      <w:r w:rsidR="00652700" w:rsidRPr="00550446">
        <w:rPr>
          <w:u w:val="single"/>
        </w:rPr>
        <w:t xml:space="preserve">Response) </w:t>
      </w:r>
      <w:r w:rsidRPr="00550446">
        <w:rPr>
          <w:u w:val="single"/>
        </w:rPr>
        <w:t>Duration.</w:t>
      </w:r>
      <w:r w:rsidRPr="00550446">
        <w:t xml:space="preserve"> </w:t>
      </w:r>
      <w:r w:rsidR="00100854" w:rsidRPr="00550446">
        <w:t>B</w:t>
      </w:r>
      <w:r w:rsidRPr="00550446">
        <w:t>idders</w:t>
      </w:r>
      <w:r w:rsidR="004141DF">
        <w:t>’</w:t>
      </w:r>
      <w:r w:rsidRPr="00550446">
        <w:t xml:space="preserve"> </w:t>
      </w:r>
      <w:r w:rsidR="00535C42" w:rsidRPr="00550446">
        <w:t xml:space="preserve">Quotes </w:t>
      </w:r>
      <w:r w:rsidRPr="00550446">
        <w:t xml:space="preserve">made in response to this </w:t>
      </w:r>
      <w:r w:rsidR="00535C42" w:rsidRPr="00550446">
        <w:t>Bid</w:t>
      </w:r>
      <w:r w:rsidRPr="00550446">
        <w:t xml:space="preserve"> must remain in effect for </w:t>
      </w:r>
      <w:r w:rsidR="00100854" w:rsidRPr="00550446">
        <w:t xml:space="preserve">at least </w:t>
      </w:r>
      <w:r w:rsidRPr="00550446">
        <w:t xml:space="preserve">90 days from the date of </w:t>
      </w:r>
      <w:r w:rsidR="00652700" w:rsidRPr="00550446">
        <w:t>quote</w:t>
      </w:r>
      <w:r w:rsidRPr="00550446">
        <w:t xml:space="preserve"> submission.</w:t>
      </w:r>
    </w:p>
    <w:p w14:paraId="1E5B13CB" w14:textId="77777777" w:rsidR="00061986" w:rsidRPr="00550446" w:rsidRDefault="00061986">
      <w:pPr>
        <w:widowControl w:val="0"/>
        <w:jc w:val="both"/>
        <w:rPr>
          <w:spacing w:val="-2"/>
          <w:u w:val="single"/>
        </w:rPr>
      </w:pPr>
    </w:p>
    <w:p w14:paraId="271319C8" w14:textId="77777777" w:rsidR="00061986" w:rsidRPr="00550446" w:rsidRDefault="00061986">
      <w:pPr>
        <w:widowControl w:val="0"/>
        <w:jc w:val="both"/>
      </w:pPr>
      <w:r w:rsidRPr="00550446">
        <w:rPr>
          <w:u w:val="single"/>
        </w:rPr>
        <w:t>Public Records.</w:t>
      </w:r>
      <w:r w:rsidRPr="00550446">
        <w:t xml:space="preserve"> All responses and information submitted in response to this RFR are subject to the Massachusetts Public Records Law, M.G.L., c. 66, s. 10, and to c. 4, s. 7, ss. 26. Any statements in submitted responses that are inconsistent with these statutes shall be disregarded.</w:t>
      </w:r>
    </w:p>
    <w:p w14:paraId="22D0C8A0" w14:textId="77777777" w:rsidR="00061986" w:rsidRPr="00550446" w:rsidRDefault="00061986">
      <w:pPr>
        <w:widowControl w:val="0"/>
        <w:jc w:val="both"/>
        <w:rPr>
          <w:u w:val="single"/>
        </w:rPr>
      </w:pPr>
    </w:p>
    <w:p w14:paraId="3EAD7A17" w14:textId="77777777" w:rsidR="00061986" w:rsidRPr="00550446" w:rsidRDefault="00061986">
      <w:pPr>
        <w:jc w:val="both"/>
      </w:pPr>
      <w:r w:rsidRPr="00550446">
        <w:rPr>
          <w:u w:val="single"/>
        </w:rPr>
        <w:t>Reasonable Accommodation.</w:t>
      </w:r>
      <w:r w:rsidRPr="00550446">
        <w:t xml:space="preserve"> </w:t>
      </w:r>
      <w:r w:rsidR="00834716" w:rsidRPr="00550446">
        <w:t xml:space="preserve">Bidders with disabilities or hardships that seek reasonable accommodation, which may include the receipt of RFR information in an alternative format, must communicate such requests in writing to the contact person.  Requests for accommodation will be addressed on a case by case basis. A bidder requesting accommodation must submit a written statement which describes the bidder’s disability and the requested accommodation to the contact person for the RFR. The </w:t>
      </w:r>
      <w:r w:rsidR="00C2695D" w:rsidRPr="00550446">
        <w:t>PMT</w:t>
      </w:r>
      <w:r w:rsidR="00834716" w:rsidRPr="00550446">
        <w:t xml:space="preserve"> reserves the right to reject unreasonable requests. </w:t>
      </w:r>
    </w:p>
    <w:p w14:paraId="2031A7A3" w14:textId="77777777" w:rsidR="00061986" w:rsidRPr="00550446" w:rsidRDefault="00061986">
      <w:pPr>
        <w:widowControl w:val="0"/>
        <w:jc w:val="both"/>
        <w:rPr>
          <w:u w:val="single"/>
        </w:rPr>
      </w:pPr>
    </w:p>
    <w:p w14:paraId="2BF8E58B" w14:textId="69B41A22" w:rsidR="00061986" w:rsidRPr="00550446" w:rsidRDefault="00061986">
      <w:pPr>
        <w:widowControl w:val="0"/>
        <w:jc w:val="both"/>
        <w:rPr>
          <w:u w:val="single"/>
        </w:rPr>
      </w:pPr>
      <w:r w:rsidRPr="00550446">
        <w:rPr>
          <w:u w:val="single"/>
        </w:rPr>
        <w:t>Restriction on the Use of the Commonwealth Seal.</w:t>
      </w:r>
      <w:r w:rsidRPr="00550446">
        <w:t xml:space="preserve"> Bidders and contractors are not allowed to display the Commonwealth of Massachusetts Seal in their bid package or subsequent marketing materials if they are awarded a contract</w:t>
      </w:r>
      <w:r w:rsidR="004141DF">
        <w:t>,</w:t>
      </w:r>
      <w:r w:rsidRPr="00550446">
        <w:t xml:space="preserve"> because use of the coat of arms and the Great Seal of the Commonwealth for advertising or commercial purposes</w:t>
      </w:r>
      <w:r w:rsidRPr="00550446">
        <w:rPr>
          <w:b/>
        </w:rPr>
        <w:t xml:space="preserve"> </w:t>
      </w:r>
      <w:r w:rsidRPr="00550446">
        <w:t>is prohibited by law.</w:t>
      </w:r>
    </w:p>
    <w:p w14:paraId="068ACA5C" w14:textId="77777777" w:rsidR="00061986" w:rsidRPr="00550446" w:rsidRDefault="00061986">
      <w:pPr>
        <w:widowControl w:val="0"/>
        <w:jc w:val="both"/>
        <w:rPr>
          <w:u w:val="single"/>
        </w:rPr>
      </w:pPr>
    </w:p>
    <w:p w14:paraId="1581DC21" w14:textId="4561022D" w:rsidR="00061986" w:rsidRDefault="00061986">
      <w:pPr>
        <w:widowControl w:val="0"/>
        <w:jc w:val="both"/>
      </w:pPr>
      <w:r w:rsidRPr="00550446">
        <w:rPr>
          <w:u w:val="single"/>
        </w:rPr>
        <w:t>Subcontracting Policies.</w:t>
      </w:r>
      <w:r w:rsidRPr="00550446">
        <w:t xml:space="preserve"> Prior approval of the department is required for any subcontracted service of the contract. Contractors are responsible for the satisfactory performance and adequate oversight of its subcontractors. Human and social service subcontractors </w:t>
      </w:r>
      <w:r w:rsidR="004141DF">
        <w:t xml:space="preserve">also </w:t>
      </w:r>
      <w:r w:rsidRPr="00550446">
        <w:t>are required to meet the same state and federal financial and program reporting requirements and are held to the same reimbursable cost standards as contractors.</w:t>
      </w:r>
      <w:r w:rsidR="00C80076" w:rsidRPr="00550446">
        <w:t xml:space="preserve"> </w:t>
      </w:r>
    </w:p>
    <w:p w14:paraId="31E69403" w14:textId="77777777" w:rsidR="00EE5E68" w:rsidRDefault="00EE5E68">
      <w:pPr>
        <w:widowControl w:val="0"/>
        <w:jc w:val="both"/>
      </w:pPr>
    </w:p>
    <w:p w14:paraId="75C90F81" w14:textId="04468FBF" w:rsidR="00EE5E68" w:rsidRPr="00550446" w:rsidRDefault="00EE5E68">
      <w:pPr>
        <w:widowControl w:val="0"/>
        <w:jc w:val="both"/>
      </w:pPr>
      <w:r w:rsidRPr="00EE5E68">
        <w:rPr>
          <w:u w:val="single"/>
        </w:rPr>
        <w:t>Workplace Violence and Prevention and Crisis Response Plan.</w:t>
      </w:r>
      <w:r w:rsidRPr="00EE5E68">
        <w:t xml:space="preserve"> 101 CMR 19.00, Workplace Violence and Prevention and Crisis Response Plan, governs the procedures and criteria for workplace violence prevention and response plans for programs that provide direct services to clients that are operated, licensed, certified</w:t>
      </w:r>
      <w:r w:rsidR="004141DF">
        <w:t>,</w:t>
      </w:r>
      <w:r w:rsidRPr="00EE5E68">
        <w:t xml:space="preserve"> or funded by a department, commission, office, board, division, institution</w:t>
      </w:r>
      <w:r w:rsidR="004141DF">
        <w:t>,</w:t>
      </w:r>
      <w:r w:rsidRPr="00EE5E68">
        <w:t xml:space="preserve"> or other entity within the Executive Office of Health and Human Services under M.G.L. c. </w:t>
      </w:r>
      <w:proofErr w:type="spellStart"/>
      <w:r w:rsidRPr="00EE5E68">
        <w:t>6A</w:t>
      </w:r>
      <w:proofErr w:type="spellEnd"/>
      <w:r w:rsidRPr="00EE5E68">
        <w:t xml:space="preserve"> § 16. Any direct service program that contracts with the Executive Office of Health and Human Services (EOHHS) or the constituent agencies of EOHHS must comply with 101 CMR 19.00, including having a plan that meets the criteria set forth in 101 CMR 19.04, which is updated annually, available electronically</w:t>
      </w:r>
      <w:r w:rsidR="004141DF">
        <w:t>,</w:t>
      </w:r>
      <w:r w:rsidRPr="00EE5E68">
        <w:t xml:space="preserve"> and provided to any human service worker upon request. The regulations and response plan guidelines are available at the following web site: </w:t>
      </w:r>
      <w:hyperlink r:id="rId16" w:history="1">
        <w:r w:rsidRPr="00C53987">
          <w:rPr>
            <w:rStyle w:val="Hyperlink"/>
          </w:rPr>
          <w:t>www.mass.gov/hhs/HSW-safety-regs</w:t>
        </w:r>
      </w:hyperlink>
      <w:r>
        <w:t xml:space="preserve">. </w:t>
      </w:r>
    </w:p>
    <w:sectPr w:rsidR="00EE5E68" w:rsidRPr="00550446" w:rsidSect="009C67AF">
      <w:headerReference w:type="default" r:id="rId17"/>
      <w:footerReference w:type="even" r:id="rId18"/>
      <w:footerReference w:type="default" r:id="rId19"/>
      <w:pgSz w:w="12240" w:h="15840"/>
      <w:pgMar w:top="1080" w:right="162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C253" w14:textId="77777777" w:rsidR="00EC0857" w:rsidRDefault="00EC0857">
      <w:r>
        <w:separator/>
      </w:r>
    </w:p>
  </w:endnote>
  <w:endnote w:type="continuationSeparator" w:id="0">
    <w:p w14:paraId="5AE4704C" w14:textId="77777777" w:rsidR="00EC0857" w:rsidRDefault="00EC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1332" w14:textId="77777777" w:rsidR="00EF6CC5" w:rsidRDefault="00EF6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449F1" w14:textId="77777777" w:rsidR="00EF6CC5" w:rsidRDefault="00EF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25B2" w14:textId="77777777" w:rsidR="00EF6CC5" w:rsidRDefault="00EF6CC5">
    <w:pPr>
      <w:pStyle w:val="Footer"/>
      <w:jc w:val="center"/>
      <w:rPr>
        <w:rStyle w:val="PageNumber"/>
      </w:rPr>
    </w:pPr>
    <w:r>
      <w:rPr>
        <w:rStyle w:val="PageNumber"/>
      </w:rPr>
      <w:fldChar w:fldCharType="begin"/>
    </w:r>
    <w:r>
      <w:rPr>
        <w:rStyle w:val="PageNumber"/>
      </w:rPr>
      <w:instrText xml:space="preserve"> </w:instrText>
    </w:r>
    <w:r>
      <w:rPr>
        <w:rStyle w:val="PageNumber"/>
        <w:sz w:val="20"/>
      </w:rPr>
      <w:instrText>PAGE</w:instrText>
    </w:r>
    <w:r>
      <w:rPr>
        <w:rStyle w:val="PageNumber"/>
      </w:rPr>
      <w:instrText xml:space="preserve"> </w:instrText>
    </w:r>
    <w:r>
      <w:rPr>
        <w:rStyle w:val="PageNumber"/>
      </w:rPr>
      <w:fldChar w:fldCharType="separate"/>
    </w:r>
    <w:r w:rsidR="00E14398">
      <w:rPr>
        <w:rStyle w:val="PageNumber"/>
        <w:noProof/>
        <w:sz w:val="20"/>
      </w:rPr>
      <w:t>1</w:t>
    </w:r>
    <w:r>
      <w:rPr>
        <w:rStyle w:val="PageNumber"/>
      </w:rPr>
      <w:fldChar w:fldCharType="end"/>
    </w:r>
  </w:p>
  <w:p w14:paraId="4373FC39" w14:textId="77777777" w:rsidR="00EF6CC5" w:rsidRPr="002825A7" w:rsidRDefault="00EF6CC5" w:rsidP="002825A7">
    <w:pPr>
      <w:pStyle w:val="Footer"/>
      <w:rPr>
        <w:sz w:val="18"/>
        <w:szCs w:val="18"/>
      </w:rPr>
    </w:pPr>
    <w:r w:rsidRPr="002825A7">
      <w:rPr>
        <w:rStyle w:val="PageNumber"/>
        <w:sz w:val="18"/>
        <w:szCs w:val="18"/>
      </w:rPr>
      <w:t>Sen</w:t>
    </w:r>
    <w:r>
      <w:rPr>
        <w:rStyle w:val="PageNumber"/>
        <w:sz w:val="18"/>
        <w:szCs w:val="18"/>
      </w:rPr>
      <w:t>sitivity</w:t>
    </w:r>
    <w:r w:rsidRPr="002825A7">
      <w:rPr>
        <w:rStyle w:val="PageNumber"/>
        <w:sz w:val="18"/>
        <w:szCs w:val="18"/>
      </w:rPr>
      <w:t xml:space="preserve"> level - 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AE97" w14:textId="77777777" w:rsidR="00EC0857" w:rsidRDefault="00EC0857">
      <w:r>
        <w:separator/>
      </w:r>
    </w:p>
  </w:footnote>
  <w:footnote w:type="continuationSeparator" w:id="0">
    <w:p w14:paraId="15D76C45" w14:textId="77777777" w:rsidR="00EC0857" w:rsidRDefault="00EC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68C8" w14:textId="77777777" w:rsidR="00EF6CC5" w:rsidRDefault="00EF6CC5">
    <w:pPr>
      <w:pStyle w:val="Header"/>
      <w:jc w:val="center"/>
      <w:rPr>
        <w:b/>
        <w:smallCaps/>
        <w:sz w:val="28"/>
        <w:szCs w:val="28"/>
      </w:rPr>
    </w:pPr>
    <w:r>
      <w:rPr>
        <w:b/>
        <w:smallCaps/>
        <w:sz w:val="28"/>
        <w:szCs w:val="28"/>
      </w:rPr>
      <w:t>Operational Services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DC6"/>
    <w:multiLevelType w:val="hybridMultilevel"/>
    <w:tmpl w:val="996E79B6"/>
    <w:lvl w:ilvl="0" w:tplc="CFD6C626">
      <w:start w:val="1"/>
      <w:numFmt w:val="lowerRoman"/>
      <w:lvlText w:val="%1."/>
      <w:lvlJc w:val="left"/>
      <w:pPr>
        <w:ind w:left="2160" w:hanging="360"/>
      </w:pPr>
      <w:rPr>
        <w:rFonts w:asciiTheme="majorHAnsi" w:eastAsiaTheme="minorHAnsi" w:hAnsiTheme="majorHAns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310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D0021"/>
    <w:multiLevelType w:val="hybridMultilevel"/>
    <w:tmpl w:val="3A764016"/>
    <w:lvl w:ilvl="0" w:tplc="05D646A0">
      <w:start w:val="2"/>
      <w:numFmt w:val="decimal"/>
      <w:lvlText w:val="%1."/>
      <w:lvlJc w:val="left"/>
      <w:pPr>
        <w:tabs>
          <w:tab w:val="num" w:pos="360"/>
        </w:tabs>
        <w:ind w:left="360" w:hanging="360"/>
      </w:pPr>
      <w:rPr>
        <w:rFonts w:hint="default"/>
      </w:rPr>
    </w:lvl>
    <w:lvl w:ilvl="1" w:tplc="BEFECC58">
      <w:start w:val="1"/>
      <w:numFmt w:val="lowerLetter"/>
      <w:lvlText w:val="%2."/>
      <w:lvlJc w:val="left"/>
      <w:pPr>
        <w:tabs>
          <w:tab w:val="num" w:pos="1440"/>
        </w:tabs>
        <w:ind w:left="1440" w:hanging="360"/>
      </w:pPr>
    </w:lvl>
    <w:lvl w:ilvl="2" w:tplc="E1EEF604" w:tentative="1">
      <w:start w:val="1"/>
      <w:numFmt w:val="lowerRoman"/>
      <w:lvlText w:val="%3."/>
      <w:lvlJc w:val="right"/>
      <w:pPr>
        <w:tabs>
          <w:tab w:val="num" w:pos="2160"/>
        </w:tabs>
        <w:ind w:left="2160" w:hanging="180"/>
      </w:pPr>
    </w:lvl>
    <w:lvl w:ilvl="3" w:tplc="B686BA52" w:tentative="1">
      <w:start w:val="1"/>
      <w:numFmt w:val="decimal"/>
      <w:lvlText w:val="%4."/>
      <w:lvlJc w:val="left"/>
      <w:pPr>
        <w:tabs>
          <w:tab w:val="num" w:pos="2880"/>
        </w:tabs>
        <w:ind w:left="2880" w:hanging="360"/>
      </w:pPr>
    </w:lvl>
    <w:lvl w:ilvl="4" w:tplc="7BAC0D06" w:tentative="1">
      <w:start w:val="1"/>
      <w:numFmt w:val="lowerLetter"/>
      <w:lvlText w:val="%5."/>
      <w:lvlJc w:val="left"/>
      <w:pPr>
        <w:tabs>
          <w:tab w:val="num" w:pos="3600"/>
        </w:tabs>
        <w:ind w:left="3600" w:hanging="360"/>
      </w:pPr>
    </w:lvl>
    <w:lvl w:ilvl="5" w:tplc="EDC66A22" w:tentative="1">
      <w:start w:val="1"/>
      <w:numFmt w:val="lowerRoman"/>
      <w:lvlText w:val="%6."/>
      <w:lvlJc w:val="right"/>
      <w:pPr>
        <w:tabs>
          <w:tab w:val="num" w:pos="4320"/>
        </w:tabs>
        <w:ind w:left="4320" w:hanging="180"/>
      </w:pPr>
    </w:lvl>
    <w:lvl w:ilvl="6" w:tplc="0978AC7A" w:tentative="1">
      <w:start w:val="1"/>
      <w:numFmt w:val="decimal"/>
      <w:lvlText w:val="%7."/>
      <w:lvlJc w:val="left"/>
      <w:pPr>
        <w:tabs>
          <w:tab w:val="num" w:pos="5040"/>
        </w:tabs>
        <w:ind w:left="5040" w:hanging="360"/>
      </w:pPr>
    </w:lvl>
    <w:lvl w:ilvl="7" w:tplc="6128923C" w:tentative="1">
      <w:start w:val="1"/>
      <w:numFmt w:val="lowerLetter"/>
      <w:lvlText w:val="%8."/>
      <w:lvlJc w:val="left"/>
      <w:pPr>
        <w:tabs>
          <w:tab w:val="num" w:pos="5760"/>
        </w:tabs>
        <w:ind w:left="5760" w:hanging="360"/>
      </w:pPr>
    </w:lvl>
    <w:lvl w:ilvl="8" w:tplc="8DC2C3C4" w:tentative="1">
      <w:start w:val="1"/>
      <w:numFmt w:val="lowerRoman"/>
      <w:lvlText w:val="%9."/>
      <w:lvlJc w:val="right"/>
      <w:pPr>
        <w:tabs>
          <w:tab w:val="num" w:pos="6480"/>
        </w:tabs>
        <w:ind w:left="6480" w:hanging="180"/>
      </w:pPr>
    </w:lvl>
  </w:abstractNum>
  <w:abstractNum w:abstractNumId="4" w15:restartNumberingAfterBreak="0">
    <w:nsid w:val="10CE72D2"/>
    <w:multiLevelType w:val="hybridMultilevel"/>
    <w:tmpl w:val="F8244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A2538B"/>
    <w:multiLevelType w:val="hybridMultilevel"/>
    <w:tmpl w:val="1CC86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B6388C"/>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 w15:restartNumberingAfterBreak="0">
    <w:nsid w:val="395074CB"/>
    <w:multiLevelType w:val="hybridMultilevel"/>
    <w:tmpl w:val="B616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161DC"/>
    <w:multiLevelType w:val="hybridMultilevel"/>
    <w:tmpl w:val="AD0A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3E7751"/>
    <w:multiLevelType w:val="singleLevel"/>
    <w:tmpl w:val="8644793C"/>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4EA71F75"/>
    <w:multiLevelType w:val="hybridMultilevel"/>
    <w:tmpl w:val="F94EAA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CA6457"/>
    <w:multiLevelType w:val="hybridMultilevel"/>
    <w:tmpl w:val="66B81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5378A"/>
    <w:multiLevelType w:val="hybridMultilevel"/>
    <w:tmpl w:val="E368B2E2"/>
    <w:lvl w:ilvl="0" w:tplc="B2B433D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2355110">
    <w:abstractNumId w:val="9"/>
  </w:num>
  <w:num w:numId="2" w16cid:durableId="1304040546">
    <w:abstractNumId w:val="3"/>
  </w:num>
  <w:num w:numId="3" w16cid:durableId="805469259">
    <w:abstractNumId w:val="1"/>
  </w:num>
  <w:num w:numId="4" w16cid:durableId="145555998">
    <w:abstractNumId w:val="6"/>
  </w:num>
  <w:num w:numId="5" w16cid:durableId="237446037">
    <w:abstractNumId w:val="4"/>
  </w:num>
  <w:num w:numId="6" w16cid:durableId="499394415">
    <w:abstractNumId w:val="2"/>
  </w:num>
  <w:num w:numId="7" w16cid:durableId="1844776500">
    <w:abstractNumId w:val="10"/>
  </w:num>
  <w:num w:numId="8" w16cid:durableId="899482612">
    <w:abstractNumId w:val="11"/>
  </w:num>
  <w:num w:numId="9" w16cid:durableId="1063211135">
    <w:abstractNumId w:val="8"/>
  </w:num>
  <w:num w:numId="10" w16cid:durableId="60834082">
    <w:abstractNumId w:val="12"/>
  </w:num>
  <w:num w:numId="11" w16cid:durableId="1054543610">
    <w:abstractNumId w:val="7"/>
  </w:num>
  <w:num w:numId="12" w16cid:durableId="2088187208">
    <w:abstractNumId w:val="5"/>
  </w:num>
  <w:num w:numId="13" w16cid:durableId="143320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B71"/>
    <w:rsid w:val="000130FC"/>
    <w:rsid w:val="00021851"/>
    <w:rsid w:val="00025B14"/>
    <w:rsid w:val="0004088F"/>
    <w:rsid w:val="00047C75"/>
    <w:rsid w:val="00052EB3"/>
    <w:rsid w:val="00061986"/>
    <w:rsid w:val="000A3EDA"/>
    <w:rsid w:val="000B0443"/>
    <w:rsid w:val="000B5957"/>
    <w:rsid w:val="000C6141"/>
    <w:rsid w:val="000C7358"/>
    <w:rsid w:val="000D353C"/>
    <w:rsid w:val="000E45FE"/>
    <w:rsid w:val="000F51DD"/>
    <w:rsid w:val="00100854"/>
    <w:rsid w:val="00112C6B"/>
    <w:rsid w:val="00112D07"/>
    <w:rsid w:val="00146C5D"/>
    <w:rsid w:val="00163CDB"/>
    <w:rsid w:val="001644E2"/>
    <w:rsid w:val="00184B31"/>
    <w:rsid w:val="00191721"/>
    <w:rsid w:val="00195238"/>
    <w:rsid w:val="00196077"/>
    <w:rsid w:val="001C4DA6"/>
    <w:rsid w:val="001E22ED"/>
    <w:rsid w:val="00205AEE"/>
    <w:rsid w:val="00237035"/>
    <w:rsid w:val="00240B64"/>
    <w:rsid w:val="00241755"/>
    <w:rsid w:val="002825A7"/>
    <w:rsid w:val="002948A2"/>
    <w:rsid w:val="002A45C7"/>
    <w:rsid w:val="002A6C9E"/>
    <w:rsid w:val="002F16B5"/>
    <w:rsid w:val="002F5C88"/>
    <w:rsid w:val="00322C49"/>
    <w:rsid w:val="00333CF5"/>
    <w:rsid w:val="003364C1"/>
    <w:rsid w:val="003426F9"/>
    <w:rsid w:val="00346E1E"/>
    <w:rsid w:val="00347AB2"/>
    <w:rsid w:val="003523A0"/>
    <w:rsid w:val="00381BDF"/>
    <w:rsid w:val="0039112B"/>
    <w:rsid w:val="003A37EA"/>
    <w:rsid w:val="003A4907"/>
    <w:rsid w:val="003A5408"/>
    <w:rsid w:val="003B0BEE"/>
    <w:rsid w:val="003C4BE1"/>
    <w:rsid w:val="003C625E"/>
    <w:rsid w:val="003C7AE9"/>
    <w:rsid w:val="004007E0"/>
    <w:rsid w:val="00413CF7"/>
    <w:rsid w:val="004141DF"/>
    <w:rsid w:val="00427348"/>
    <w:rsid w:val="00442975"/>
    <w:rsid w:val="00445794"/>
    <w:rsid w:val="0045607F"/>
    <w:rsid w:val="004577A1"/>
    <w:rsid w:val="004605C1"/>
    <w:rsid w:val="0047488F"/>
    <w:rsid w:val="00477E1F"/>
    <w:rsid w:val="0048141C"/>
    <w:rsid w:val="0048517F"/>
    <w:rsid w:val="004854B0"/>
    <w:rsid w:val="0049028A"/>
    <w:rsid w:val="00495CE7"/>
    <w:rsid w:val="004A1261"/>
    <w:rsid w:val="004D3F58"/>
    <w:rsid w:val="00501A01"/>
    <w:rsid w:val="00516E78"/>
    <w:rsid w:val="005205D8"/>
    <w:rsid w:val="00525B95"/>
    <w:rsid w:val="00535C42"/>
    <w:rsid w:val="00542878"/>
    <w:rsid w:val="00542AA3"/>
    <w:rsid w:val="00546249"/>
    <w:rsid w:val="00550446"/>
    <w:rsid w:val="00551264"/>
    <w:rsid w:val="005572C4"/>
    <w:rsid w:val="00564679"/>
    <w:rsid w:val="005939B6"/>
    <w:rsid w:val="005B4D9C"/>
    <w:rsid w:val="005D7882"/>
    <w:rsid w:val="005E2B4E"/>
    <w:rsid w:val="0062239F"/>
    <w:rsid w:val="00636628"/>
    <w:rsid w:val="006436A6"/>
    <w:rsid w:val="00652700"/>
    <w:rsid w:val="00653D85"/>
    <w:rsid w:val="00664EEC"/>
    <w:rsid w:val="006718F6"/>
    <w:rsid w:val="00673A41"/>
    <w:rsid w:val="006762E0"/>
    <w:rsid w:val="006A5FED"/>
    <w:rsid w:val="006D2E21"/>
    <w:rsid w:val="00712ABD"/>
    <w:rsid w:val="00713673"/>
    <w:rsid w:val="00713CB6"/>
    <w:rsid w:val="00720837"/>
    <w:rsid w:val="00721409"/>
    <w:rsid w:val="00723403"/>
    <w:rsid w:val="00726320"/>
    <w:rsid w:val="00731352"/>
    <w:rsid w:val="007363F9"/>
    <w:rsid w:val="00736DF2"/>
    <w:rsid w:val="0078044E"/>
    <w:rsid w:val="00782A17"/>
    <w:rsid w:val="00783A24"/>
    <w:rsid w:val="00796A8B"/>
    <w:rsid w:val="007A0163"/>
    <w:rsid w:val="007B051D"/>
    <w:rsid w:val="007B265E"/>
    <w:rsid w:val="007D1250"/>
    <w:rsid w:val="008030B4"/>
    <w:rsid w:val="0080426D"/>
    <w:rsid w:val="00812B35"/>
    <w:rsid w:val="00813B71"/>
    <w:rsid w:val="00816B5D"/>
    <w:rsid w:val="00834716"/>
    <w:rsid w:val="008418E9"/>
    <w:rsid w:val="00841FCB"/>
    <w:rsid w:val="00844A7D"/>
    <w:rsid w:val="00856381"/>
    <w:rsid w:val="00860924"/>
    <w:rsid w:val="0087094A"/>
    <w:rsid w:val="008710C8"/>
    <w:rsid w:val="00882FF0"/>
    <w:rsid w:val="008C77C8"/>
    <w:rsid w:val="008D432A"/>
    <w:rsid w:val="00907420"/>
    <w:rsid w:val="009429C2"/>
    <w:rsid w:val="00945134"/>
    <w:rsid w:val="009705B3"/>
    <w:rsid w:val="0098354D"/>
    <w:rsid w:val="009939E7"/>
    <w:rsid w:val="009B1C42"/>
    <w:rsid w:val="009C67AF"/>
    <w:rsid w:val="009C687C"/>
    <w:rsid w:val="009D49D2"/>
    <w:rsid w:val="009D67AD"/>
    <w:rsid w:val="009E063A"/>
    <w:rsid w:val="009E16EE"/>
    <w:rsid w:val="009E7A33"/>
    <w:rsid w:val="00A23CBA"/>
    <w:rsid w:val="00A253D5"/>
    <w:rsid w:val="00A26211"/>
    <w:rsid w:val="00A265AC"/>
    <w:rsid w:val="00A342D7"/>
    <w:rsid w:val="00A62B91"/>
    <w:rsid w:val="00AA42DB"/>
    <w:rsid w:val="00AA50FE"/>
    <w:rsid w:val="00AA628F"/>
    <w:rsid w:val="00AD3F96"/>
    <w:rsid w:val="00AF01FA"/>
    <w:rsid w:val="00AF281E"/>
    <w:rsid w:val="00B05AAE"/>
    <w:rsid w:val="00B225D9"/>
    <w:rsid w:val="00B44F57"/>
    <w:rsid w:val="00B54681"/>
    <w:rsid w:val="00B6484D"/>
    <w:rsid w:val="00B651D7"/>
    <w:rsid w:val="00B652BB"/>
    <w:rsid w:val="00B810B4"/>
    <w:rsid w:val="00B95B14"/>
    <w:rsid w:val="00BB4ED5"/>
    <w:rsid w:val="00BF30D9"/>
    <w:rsid w:val="00C01F13"/>
    <w:rsid w:val="00C127D4"/>
    <w:rsid w:val="00C1559F"/>
    <w:rsid w:val="00C2695D"/>
    <w:rsid w:val="00C4245E"/>
    <w:rsid w:val="00C44F77"/>
    <w:rsid w:val="00C546B8"/>
    <w:rsid w:val="00C5482D"/>
    <w:rsid w:val="00C6175B"/>
    <w:rsid w:val="00C64D22"/>
    <w:rsid w:val="00C67D9E"/>
    <w:rsid w:val="00C778E9"/>
    <w:rsid w:val="00C77A17"/>
    <w:rsid w:val="00C80076"/>
    <w:rsid w:val="00C848FC"/>
    <w:rsid w:val="00C92253"/>
    <w:rsid w:val="00C9405A"/>
    <w:rsid w:val="00C97B6A"/>
    <w:rsid w:val="00CE60CC"/>
    <w:rsid w:val="00CF0BE5"/>
    <w:rsid w:val="00D41501"/>
    <w:rsid w:val="00D76730"/>
    <w:rsid w:val="00D97F78"/>
    <w:rsid w:val="00DD69C1"/>
    <w:rsid w:val="00DE082E"/>
    <w:rsid w:val="00E11294"/>
    <w:rsid w:val="00E1421E"/>
    <w:rsid w:val="00E14398"/>
    <w:rsid w:val="00E85A67"/>
    <w:rsid w:val="00E95DC8"/>
    <w:rsid w:val="00E96660"/>
    <w:rsid w:val="00EB0EA2"/>
    <w:rsid w:val="00EB2CDF"/>
    <w:rsid w:val="00EB59C3"/>
    <w:rsid w:val="00EB74A3"/>
    <w:rsid w:val="00EC0857"/>
    <w:rsid w:val="00EC1A66"/>
    <w:rsid w:val="00EC4D64"/>
    <w:rsid w:val="00ED245E"/>
    <w:rsid w:val="00EE5E68"/>
    <w:rsid w:val="00EF69BA"/>
    <w:rsid w:val="00EF6CC5"/>
    <w:rsid w:val="00F00A6E"/>
    <w:rsid w:val="00F14E0C"/>
    <w:rsid w:val="00F165C8"/>
    <w:rsid w:val="00F2519C"/>
    <w:rsid w:val="00F311D7"/>
    <w:rsid w:val="00F43176"/>
    <w:rsid w:val="00F44565"/>
    <w:rsid w:val="00F52FBA"/>
    <w:rsid w:val="00F805AC"/>
    <w:rsid w:val="00FA34ED"/>
    <w:rsid w:val="00FA367C"/>
    <w:rsid w:val="00FE104B"/>
    <w:rsid w:val="00FE3A55"/>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4CB4643"/>
  <w15:docId w15:val="{EFEBB2AE-3280-4F12-B95C-D6E42844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spacing w:before="300" w:after="180"/>
      <w:outlineLvl w:val="1"/>
    </w:pPr>
    <w:rPr>
      <w:b/>
      <w:smallCaps/>
      <w:sz w:val="28"/>
    </w:rPr>
  </w:style>
  <w:style w:type="paragraph" w:styleId="Heading3">
    <w:name w:val="heading 3"/>
    <w:basedOn w:val="Normal"/>
    <w:next w:val="Normal"/>
    <w:qFormat/>
    <w:pPr>
      <w:keepNext/>
      <w:spacing w:before="300" w:after="180"/>
      <w:outlineLvl w:val="2"/>
    </w:pPr>
    <w:rPr>
      <w:b/>
      <w:sz w:val="26"/>
    </w:rPr>
  </w:style>
  <w:style w:type="paragraph" w:styleId="Heading4">
    <w:name w:val="heading 4"/>
    <w:basedOn w:val="Normal"/>
    <w:next w:val="Normal"/>
    <w:qFormat/>
    <w:pPr>
      <w:keepNext/>
      <w:spacing w:before="40" w:after="40"/>
      <w:jc w:val="both"/>
      <w:outlineLvl w:val="3"/>
    </w:pPr>
    <w:rPr>
      <w:rFonts w:ascii="Times" w:hAnsi="Times"/>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jc w:val="both"/>
      <w:outlineLvl w:val="6"/>
    </w:pPr>
    <w:rPr>
      <w:b/>
      <w:sz w:val="28"/>
      <w:u w:val="single"/>
    </w:rPr>
  </w:style>
  <w:style w:type="paragraph" w:styleId="Heading8">
    <w:name w:val="heading 8"/>
    <w:basedOn w:val="Normal"/>
    <w:next w:val="Normal"/>
    <w:qFormat/>
    <w:pPr>
      <w:keepNext/>
      <w:jc w:val="both"/>
      <w:outlineLvl w:val="7"/>
    </w:pPr>
    <w:rPr>
      <w:b/>
      <w:sz w:val="24"/>
      <w:u w:val="single"/>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both"/>
    </w:pPr>
  </w:style>
  <w:style w:type="paragraph" w:styleId="BodyText">
    <w:name w:val="Body Text"/>
    <w:basedOn w:val="Normal"/>
    <w:pPr>
      <w:tabs>
        <w:tab w:val="left" w:pos="5400"/>
      </w:tabs>
      <w:spacing w:line="240" w:lineRule="exact"/>
      <w:jc w:val="both"/>
    </w:pPr>
    <w:rPr>
      <w:b/>
      <w:sz w:val="24"/>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2">
    <w:name w:val="Body Text 2"/>
    <w:basedOn w:val="Normal"/>
    <w:pPr>
      <w:spacing w:before="40" w:after="40"/>
      <w:jc w:val="both"/>
    </w:pPr>
  </w:style>
  <w:style w:type="paragraph" w:styleId="CommentText">
    <w:name w:val="annotation text"/>
    <w:basedOn w:val="Normal"/>
    <w:link w:val="CommentTextChar"/>
    <w:semiHidden/>
  </w:style>
  <w:style w:type="paragraph" w:styleId="Title">
    <w:name w:val="Title"/>
    <w:basedOn w:val="Normal"/>
    <w:qFormat/>
    <w:pPr>
      <w:jc w:val="center"/>
    </w:pPr>
    <w:rPr>
      <w:b/>
      <w:sz w:val="28"/>
      <w:u w:val="single"/>
    </w:rPr>
  </w:style>
  <w:style w:type="paragraph" w:styleId="BodyText3">
    <w:name w:val="Body Text 3"/>
    <w:basedOn w:val="Normal"/>
    <w:pPr>
      <w:spacing w:after="120"/>
      <w:jc w:val="both"/>
    </w:pPr>
    <w:rPr>
      <w:b/>
    </w:rPr>
  </w:style>
  <w:style w:type="character" w:styleId="CommentReference">
    <w:name w:val="annotation reference"/>
    <w:semiHidden/>
    <w:rPr>
      <w:sz w:val="16"/>
    </w:rPr>
  </w:style>
  <w:style w:type="paragraph" w:styleId="Index1">
    <w:name w:val="index 1"/>
    <w:basedOn w:val="Normal"/>
    <w:next w:val="Normal"/>
    <w:autoRedefine/>
    <w:semiHidden/>
    <w:pPr>
      <w:ind w:left="200" w:hanging="200"/>
    </w:pPr>
  </w:style>
  <w:style w:type="paragraph" w:styleId="PlainText">
    <w:name w:val="Plain Text"/>
    <w:basedOn w:val="Normal"/>
    <w:pPr>
      <w:widowControl w:val="0"/>
    </w:pPr>
    <w:rPr>
      <w:rFonts w:ascii="Courier New" w:hAnsi="Courier New"/>
    </w:rPr>
  </w:style>
  <w:style w:type="character" w:styleId="FollowedHyperlink">
    <w:name w:val="FollowedHyperlink"/>
    <w:rPr>
      <w:color w:val="800080"/>
      <w:u w:val="single"/>
    </w:rPr>
  </w:style>
  <w:style w:type="character" w:customStyle="1" w:styleId="MDeegler">
    <w:name w:val="MDeegler"/>
    <w:semiHidden/>
    <w:rPr>
      <w:color w:val="000000"/>
    </w:rPr>
  </w:style>
  <w:style w:type="paragraph" w:customStyle="1" w:styleId="Head3Text">
    <w:name w:val="Head 3 Text"/>
    <w:basedOn w:val="Normal"/>
    <w:link w:val="Head3TextChar"/>
    <w:rsid w:val="00100854"/>
    <w:pPr>
      <w:ind w:left="907"/>
      <w:jc w:val="both"/>
    </w:pPr>
    <w:rPr>
      <w:rFonts w:ascii="Arial" w:hAnsi="Arial"/>
    </w:rPr>
  </w:style>
  <w:style w:type="character" w:customStyle="1" w:styleId="Head3TextChar">
    <w:name w:val="Head 3 Text Char"/>
    <w:link w:val="Head3Text"/>
    <w:rsid w:val="00100854"/>
    <w:rPr>
      <w:rFonts w:ascii="Arial" w:hAnsi="Arial"/>
      <w:lang w:val="en-US" w:eastAsia="en-US" w:bidi="ar-SA"/>
    </w:rPr>
  </w:style>
  <w:style w:type="paragraph" w:styleId="BalloonText">
    <w:name w:val="Balloon Text"/>
    <w:basedOn w:val="Normal"/>
    <w:semiHidden/>
    <w:rsid w:val="00241755"/>
    <w:rPr>
      <w:rFonts w:ascii="Tahoma" w:hAnsi="Tahoma" w:cs="Tahoma"/>
      <w:sz w:val="16"/>
      <w:szCs w:val="16"/>
    </w:rPr>
  </w:style>
  <w:style w:type="paragraph" w:styleId="CommentSubject">
    <w:name w:val="annotation subject"/>
    <w:basedOn w:val="CommentText"/>
    <w:next w:val="CommentText"/>
    <w:link w:val="CommentSubjectChar"/>
    <w:rsid w:val="00322C49"/>
    <w:rPr>
      <w:b/>
      <w:bCs/>
    </w:rPr>
  </w:style>
  <w:style w:type="character" w:customStyle="1" w:styleId="CommentTextChar">
    <w:name w:val="Comment Text Char"/>
    <w:basedOn w:val="DefaultParagraphFont"/>
    <w:link w:val="CommentText"/>
    <w:semiHidden/>
    <w:rsid w:val="00322C49"/>
  </w:style>
  <w:style w:type="character" w:customStyle="1" w:styleId="CommentSubjectChar">
    <w:name w:val="Comment Subject Char"/>
    <w:link w:val="CommentSubject"/>
    <w:rsid w:val="00322C49"/>
    <w:rPr>
      <w:b/>
      <w:bCs/>
    </w:rPr>
  </w:style>
  <w:style w:type="table" w:styleId="TableGrid">
    <w:name w:val="Table Grid"/>
    <w:basedOn w:val="TableNormal"/>
    <w:rsid w:val="00B2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2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50446"/>
  </w:style>
  <w:style w:type="character" w:customStyle="1" w:styleId="UnresolvedMention1">
    <w:name w:val="Unresolved Mention1"/>
    <w:basedOn w:val="DefaultParagraphFont"/>
    <w:uiPriority w:val="99"/>
    <w:semiHidden/>
    <w:unhideWhenUsed/>
    <w:rsid w:val="0014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20278">
      <w:bodyDiv w:val="1"/>
      <w:marLeft w:val="0"/>
      <w:marRight w:val="0"/>
      <w:marTop w:val="0"/>
      <w:marBottom w:val="0"/>
      <w:divBdr>
        <w:top w:val="none" w:sz="0" w:space="0" w:color="auto"/>
        <w:left w:val="none" w:sz="0" w:space="0" w:color="auto"/>
        <w:bottom w:val="none" w:sz="0" w:space="0" w:color="auto"/>
        <w:right w:val="none" w:sz="0" w:space="0" w:color="auto"/>
      </w:divBdr>
    </w:div>
    <w:div w:id="1020819433">
      <w:bodyDiv w:val="1"/>
      <w:marLeft w:val="0"/>
      <w:marRight w:val="0"/>
      <w:marTop w:val="0"/>
      <w:marBottom w:val="0"/>
      <w:divBdr>
        <w:top w:val="none" w:sz="0" w:space="0" w:color="auto"/>
        <w:left w:val="none" w:sz="0" w:space="0" w:color="auto"/>
        <w:bottom w:val="none" w:sz="0" w:space="0" w:color="auto"/>
        <w:right w:val="none" w:sz="0" w:space="0" w:color="auto"/>
      </w:divBdr>
    </w:div>
    <w:div w:id="1213033785">
      <w:bodyDiv w:val="1"/>
      <w:marLeft w:val="0"/>
      <w:marRight w:val="0"/>
      <w:marTop w:val="0"/>
      <w:marBottom w:val="0"/>
      <w:divBdr>
        <w:top w:val="none" w:sz="0" w:space="0" w:color="auto"/>
        <w:left w:val="none" w:sz="0" w:space="0" w:color="auto"/>
        <w:bottom w:val="none" w:sz="0" w:space="0" w:color="auto"/>
        <w:right w:val="none" w:sz="0" w:space="0" w:color="auto"/>
      </w:divBdr>
    </w:div>
    <w:div w:id="16650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anf/budget-taxes-and-procurement/oversight-agencies/osd/glossary-of-terms.html" TargetMode="External"/><Relationship Id="rId13" Type="http://schemas.openxmlformats.org/officeDocument/2006/relationships/hyperlink" Target="http://www.mass.gov/sd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sd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gov/hhs/HSW-safety-re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governor/legislationexecorder/execorders/executive-order-no-565.html" TargetMode="External"/><Relationship Id="rId5" Type="http://schemas.openxmlformats.org/officeDocument/2006/relationships/webSettings" Target="webSettings.xml"/><Relationship Id="rId15" Type="http://schemas.openxmlformats.org/officeDocument/2006/relationships/hyperlink" Target="http://www.mass.gov/eohhs/docs/dph/com-health/nutrition-phys-activity/eo509-state-agency-food-standards.pdf" TargetMode="External"/><Relationship Id="rId10" Type="http://schemas.openxmlformats.org/officeDocument/2006/relationships/hyperlink" Target="http://www.mass.gov/anf/budget-taxes-and-procurement/procurement-info-and-res/conduct-a-procurement/commbuys/quick-click-resource-center.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mbuys.com" TargetMode="External"/><Relationship Id="rId14" Type="http://schemas.openxmlformats.org/officeDocument/2006/relationships/hyperlink" Target="https://massfinance.state.ma.us/VendorWeb/vend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E6B7-6A8C-462A-B28D-115FB32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USE OF A PROCUREMENT BY A SINGLE OR MULTIPLE DEPARTMENTS</vt:lpstr>
    </vt:vector>
  </TitlesOfParts>
  <Company>OSD</Company>
  <LinksUpToDate>false</LinksUpToDate>
  <CharactersWithSpaces>19036</CharactersWithSpaces>
  <SharedDoc>false</SharedDoc>
  <HLinks>
    <vt:vector size="78" baseType="variant">
      <vt:variant>
        <vt:i4>5242970</vt:i4>
      </vt:variant>
      <vt:variant>
        <vt:i4>36</vt:i4>
      </vt:variant>
      <vt:variant>
        <vt:i4>0</vt:i4>
      </vt:variant>
      <vt:variant>
        <vt:i4>5</vt:i4>
      </vt:variant>
      <vt:variant>
        <vt:lpwstr>http://www.commbuys.com/</vt:lpwstr>
      </vt:variant>
      <vt:variant>
        <vt:lpwstr/>
      </vt:variant>
      <vt:variant>
        <vt:i4>6750328</vt:i4>
      </vt:variant>
      <vt:variant>
        <vt:i4>33</vt:i4>
      </vt:variant>
      <vt:variant>
        <vt:i4>0</vt:i4>
      </vt:variant>
      <vt:variant>
        <vt:i4>5</vt:i4>
      </vt:variant>
      <vt:variant>
        <vt:lpwstr>http://www.mass.gov/eohhs/consumer/wellness/wellness/policies-wellness/executive-order-509.html</vt:lpwstr>
      </vt:variant>
      <vt:variant>
        <vt:lpwstr/>
      </vt:variant>
      <vt:variant>
        <vt:i4>2621500</vt:i4>
      </vt:variant>
      <vt:variant>
        <vt:i4>30</vt:i4>
      </vt:variant>
      <vt:variant>
        <vt:i4>0</vt:i4>
      </vt:variant>
      <vt:variant>
        <vt:i4>5</vt:i4>
      </vt:variant>
      <vt:variant>
        <vt:lpwstr>http://www.mass.gov/osc</vt:lpwstr>
      </vt:variant>
      <vt:variant>
        <vt:lpwstr/>
      </vt:variant>
      <vt:variant>
        <vt:i4>524370</vt:i4>
      </vt:variant>
      <vt:variant>
        <vt:i4>27</vt:i4>
      </vt:variant>
      <vt:variant>
        <vt:i4>0</vt:i4>
      </vt:variant>
      <vt:variant>
        <vt:i4>5</vt:i4>
      </vt:variant>
      <vt:variant>
        <vt:lpwstr>https://massfinance.state.ma.us/VendorWeb/vendor.asp</vt:lpwstr>
      </vt:variant>
      <vt:variant>
        <vt:lpwstr/>
      </vt:variant>
      <vt:variant>
        <vt:i4>2621500</vt:i4>
      </vt:variant>
      <vt:variant>
        <vt:i4>24</vt:i4>
      </vt:variant>
      <vt:variant>
        <vt:i4>0</vt:i4>
      </vt:variant>
      <vt:variant>
        <vt:i4>5</vt:i4>
      </vt:variant>
      <vt:variant>
        <vt:lpwstr>http://www.mass.gov/osd</vt:lpwstr>
      </vt:variant>
      <vt:variant>
        <vt:lpwstr/>
      </vt:variant>
      <vt:variant>
        <vt:i4>6881382</vt:i4>
      </vt:variant>
      <vt:variant>
        <vt:i4>21</vt:i4>
      </vt:variant>
      <vt:variant>
        <vt:i4>0</vt:i4>
      </vt:variant>
      <vt:variant>
        <vt:i4>5</vt:i4>
      </vt:variant>
      <vt:variant>
        <vt:lpwstr>http://www.mass.gov/anf/budget-taxes-and-procurement/oversight-agencies/osd/osd-forms.html</vt:lpwstr>
      </vt:variant>
      <vt:variant>
        <vt:lpwstr/>
      </vt:variant>
      <vt:variant>
        <vt:i4>4128800</vt:i4>
      </vt:variant>
      <vt:variant>
        <vt:i4>18</vt:i4>
      </vt:variant>
      <vt:variant>
        <vt:i4>0</vt:i4>
      </vt:variant>
      <vt:variant>
        <vt:i4>5</vt:i4>
      </vt:variant>
      <vt:variant>
        <vt:lpwstr>http://www.mass.gov/SDP</vt:lpwstr>
      </vt:variant>
      <vt:variant>
        <vt:lpwstr/>
      </vt:variant>
      <vt:variant>
        <vt:i4>4325384</vt:i4>
      </vt:variant>
      <vt:variant>
        <vt:i4>15</vt:i4>
      </vt:variant>
      <vt:variant>
        <vt:i4>0</vt:i4>
      </vt:variant>
      <vt:variant>
        <vt:i4>5</vt:i4>
      </vt:variant>
      <vt:variant>
        <vt:lpwstr>http://www.mass.gov/anf/budget-taxes-and-procurement/procurement-info-and-res/osd-events-and-training/osd-training-and-outreach.html</vt:lpwstr>
      </vt:variant>
      <vt:variant>
        <vt:lpwstr/>
      </vt:variant>
      <vt:variant>
        <vt:i4>4128800</vt:i4>
      </vt:variant>
      <vt:variant>
        <vt:i4>12</vt:i4>
      </vt:variant>
      <vt:variant>
        <vt:i4>0</vt:i4>
      </vt:variant>
      <vt:variant>
        <vt:i4>5</vt:i4>
      </vt:variant>
      <vt:variant>
        <vt:lpwstr>http://www.mass.gov/sdo</vt:lpwstr>
      </vt:variant>
      <vt:variant>
        <vt:lpwstr/>
      </vt:variant>
      <vt:variant>
        <vt:i4>4128800</vt:i4>
      </vt:variant>
      <vt:variant>
        <vt:i4>9</vt:i4>
      </vt:variant>
      <vt:variant>
        <vt:i4>0</vt:i4>
      </vt:variant>
      <vt:variant>
        <vt:i4>5</vt:i4>
      </vt:variant>
      <vt:variant>
        <vt:lpwstr>http://www.mass.gov/sdp</vt:lpwstr>
      </vt:variant>
      <vt:variant>
        <vt:lpwstr/>
      </vt:variant>
      <vt:variant>
        <vt:i4>4194312</vt:i4>
      </vt:variant>
      <vt:variant>
        <vt:i4>6</vt:i4>
      </vt:variant>
      <vt:variant>
        <vt:i4>0</vt:i4>
      </vt:variant>
      <vt:variant>
        <vt:i4>5</vt:i4>
      </vt:variant>
      <vt:variant>
        <vt:lpwstr>http://www.mass.gov/anf/budget-taxes-and-procurement/procurement-info-and-res/conduct-a-procurement/commbuys/quick-click-resource-center.html</vt:lpwstr>
      </vt:variant>
      <vt:variant>
        <vt:lpwstr/>
      </vt:variant>
      <vt:variant>
        <vt:i4>5242970</vt:i4>
      </vt:variant>
      <vt:variant>
        <vt:i4>3</vt:i4>
      </vt:variant>
      <vt:variant>
        <vt:i4>0</vt:i4>
      </vt:variant>
      <vt:variant>
        <vt:i4>5</vt:i4>
      </vt:variant>
      <vt:variant>
        <vt:lpwstr>http://www.commbuys.com/</vt:lpwstr>
      </vt:variant>
      <vt:variant>
        <vt:lpwstr/>
      </vt:variant>
      <vt:variant>
        <vt:i4>7864381</vt:i4>
      </vt:variant>
      <vt:variant>
        <vt:i4>0</vt:i4>
      </vt:variant>
      <vt:variant>
        <vt:i4>0</vt:i4>
      </vt:variant>
      <vt:variant>
        <vt:i4>5</vt:i4>
      </vt:variant>
      <vt:variant>
        <vt:lpwstr>http://www.mass.gov/anf/budget-taxes-and-procurement/oversight-agencies/osd/glossary-of-terms.html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 PROCUREMENT BY A SINGLE OR MULTIPLE DEPARTMENTS</dc:title>
  <dc:creator>Commonwealth of Mass</dc:creator>
  <cp:lastModifiedBy>Greeno, Marianne (DMH)</cp:lastModifiedBy>
  <cp:revision>2</cp:revision>
  <cp:lastPrinted>2019-08-28T14:44:00Z</cp:lastPrinted>
  <dcterms:created xsi:type="dcterms:W3CDTF">2024-02-16T19:37:00Z</dcterms:created>
  <dcterms:modified xsi:type="dcterms:W3CDTF">2024-02-16T19:37:00Z</dcterms:modified>
</cp:coreProperties>
</file>