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38" w:rsidRPr="00F5548C" w:rsidRDefault="00841938" w:rsidP="00841938">
      <w:pPr>
        <w:jc w:val="center"/>
        <w:outlineLvl w:val="0"/>
        <w:rPr>
          <w:rFonts w:ascii="Courier New" w:hAnsi="Courier New" w:cs="Courier New"/>
          <w:b/>
          <w:sz w:val="22"/>
        </w:rPr>
      </w:pPr>
      <w:bookmarkStart w:id="0" w:name="_GoBack"/>
      <w:bookmarkEnd w:id="0"/>
      <w:r w:rsidRPr="00F5548C">
        <w:rPr>
          <w:rFonts w:ascii="Courier New" w:hAnsi="Courier New" w:cs="Courier New"/>
          <w:b/>
          <w:sz w:val="22"/>
        </w:rPr>
        <w:t>COMMONWEALTH OF MASSACHUSETTS</w:t>
      </w:r>
    </w:p>
    <w:p w:rsidR="00841938" w:rsidRPr="00F5548C" w:rsidRDefault="00841938" w:rsidP="00841938">
      <w:pPr>
        <w:jc w:val="center"/>
        <w:outlineLvl w:val="0"/>
        <w:rPr>
          <w:rFonts w:ascii="Courier New" w:hAnsi="Courier New" w:cs="Courier New"/>
          <w:b/>
          <w:sz w:val="22"/>
        </w:rPr>
      </w:pPr>
    </w:p>
    <w:p w:rsidR="00841938" w:rsidRPr="00F5548C" w:rsidRDefault="00841938" w:rsidP="00841938">
      <w:pPr>
        <w:jc w:val="center"/>
        <w:outlineLvl w:val="0"/>
        <w:rPr>
          <w:rFonts w:ascii="Courier New" w:hAnsi="Courier New" w:cs="Courier New"/>
          <w:b/>
          <w:sz w:val="22"/>
        </w:rPr>
      </w:pPr>
      <w:r w:rsidRPr="00F5548C">
        <w:rPr>
          <w:rFonts w:ascii="Courier New" w:hAnsi="Courier New" w:cs="Courier New"/>
          <w:b/>
          <w:sz w:val="22"/>
        </w:rPr>
        <w:t>APPELLATE TAX BOARD</w:t>
      </w:r>
    </w:p>
    <w:p w:rsidR="00841938" w:rsidRPr="00966943" w:rsidRDefault="00841938" w:rsidP="00841938">
      <w:pPr>
        <w:jc w:val="center"/>
        <w:outlineLvl w:val="0"/>
        <w:rPr>
          <w:rFonts w:ascii="Courier New" w:hAnsi="Courier New" w:cs="Courier New"/>
          <w:b/>
        </w:rPr>
      </w:pPr>
    </w:p>
    <w:p w:rsidR="00841938" w:rsidRPr="00966943" w:rsidRDefault="00841938" w:rsidP="00841938">
      <w:pPr>
        <w:rPr>
          <w:rFonts w:ascii="Courier New" w:hAnsi="Courier New" w:cs="Courier New"/>
          <w:b/>
        </w:rPr>
      </w:pPr>
    </w:p>
    <w:p w:rsidR="00841938" w:rsidRPr="00F5548C" w:rsidRDefault="00841938" w:rsidP="00841938">
      <w:pPr>
        <w:jc w:val="both"/>
        <w:rPr>
          <w:rFonts w:ascii="Courier New" w:hAnsi="Courier New" w:cs="Courier New"/>
          <w:b/>
          <w:sz w:val="22"/>
        </w:rPr>
      </w:pPr>
      <w:r w:rsidRPr="00F5548C">
        <w:rPr>
          <w:rFonts w:ascii="Courier New" w:hAnsi="Courier New" w:cs="Courier New"/>
          <w:b/>
          <w:sz w:val="22"/>
        </w:rPr>
        <w:t xml:space="preserve">RICHARD J. MCDONALD, TRUSTEE,  </w:t>
      </w:r>
      <w:r w:rsidR="00F5548C" w:rsidRPr="00F5548C">
        <w:rPr>
          <w:rFonts w:ascii="Courier New" w:hAnsi="Courier New" w:cs="Courier New"/>
          <w:b/>
          <w:sz w:val="22"/>
        </w:rPr>
        <w:t> </w:t>
      </w:r>
      <w:r w:rsidR="00D647BB">
        <w:rPr>
          <w:rFonts w:ascii="Courier New" w:hAnsi="Courier New" w:cs="Courier New"/>
          <w:b/>
          <w:sz w:val="22"/>
        </w:rPr>
        <w:t> </w:t>
      </w:r>
      <w:r w:rsidR="00F5548C">
        <w:rPr>
          <w:rFonts w:ascii="Courier New" w:hAnsi="Courier New" w:cs="Courier New"/>
          <w:b/>
          <w:sz w:val="22"/>
        </w:rPr>
        <w:t> </w:t>
      </w:r>
      <w:r w:rsidRPr="00F5548C">
        <w:rPr>
          <w:rFonts w:ascii="Courier New" w:hAnsi="Courier New" w:cs="Courier New"/>
          <w:b/>
          <w:sz w:val="22"/>
        </w:rPr>
        <w:t>v.</w:t>
      </w:r>
      <w:r w:rsidRPr="00F5548C">
        <w:rPr>
          <w:rFonts w:ascii="Courier New" w:hAnsi="Courier New" w:cs="Courier New"/>
          <w:b/>
          <w:sz w:val="22"/>
        </w:rPr>
        <w:tab/>
      </w:r>
      <w:r w:rsidR="00191C6A" w:rsidRPr="00F5548C">
        <w:rPr>
          <w:rFonts w:ascii="Courier New" w:hAnsi="Courier New" w:cs="Courier New"/>
          <w:b/>
          <w:sz w:val="22"/>
        </w:rPr>
        <w:t xml:space="preserve"> </w:t>
      </w:r>
      <w:r w:rsidR="00F5548C" w:rsidRPr="00F5548C">
        <w:rPr>
          <w:rFonts w:ascii="Courier New" w:hAnsi="Courier New" w:cs="Courier New"/>
          <w:b/>
          <w:sz w:val="22"/>
        </w:rPr>
        <w:t> </w:t>
      </w:r>
      <w:r w:rsidR="00D647BB">
        <w:rPr>
          <w:rFonts w:ascii="Courier New" w:hAnsi="Courier New" w:cs="Courier New"/>
          <w:b/>
          <w:sz w:val="22"/>
        </w:rPr>
        <w:t>  </w:t>
      </w:r>
      <w:r w:rsidRPr="00F5548C">
        <w:rPr>
          <w:rFonts w:ascii="Courier New" w:hAnsi="Courier New" w:cs="Courier New"/>
          <w:b/>
          <w:sz w:val="22"/>
        </w:rPr>
        <w:t xml:space="preserve">BOARD OF ASSESSORS OF   </w:t>
      </w:r>
    </w:p>
    <w:p w:rsidR="00841938" w:rsidRPr="00F5548C" w:rsidRDefault="00161E53" w:rsidP="00841938">
      <w:pPr>
        <w:jc w:val="both"/>
        <w:rPr>
          <w:rFonts w:ascii="Courier New" w:hAnsi="Courier New" w:cs="Courier New"/>
          <w:b/>
          <w:sz w:val="22"/>
        </w:rPr>
      </w:pPr>
      <w:r w:rsidRPr="00F5548C">
        <w:rPr>
          <w:rFonts w:ascii="Courier New" w:hAnsi="Courier New" w:cs="Courier New"/>
          <w:b/>
          <w:sz w:val="22"/>
        </w:rPr>
        <w:t xml:space="preserve">RICHARD J. MCDONALD    </w:t>
      </w:r>
      <w:r w:rsidR="00841938" w:rsidRPr="00F5548C">
        <w:rPr>
          <w:rFonts w:ascii="Courier New" w:hAnsi="Courier New" w:cs="Courier New"/>
          <w:b/>
          <w:sz w:val="22"/>
        </w:rPr>
        <w:tab/>
        <w:t xml:space="preserve">     </w:t>
      </w:r>
      <w:r w:rsidRPr="00F5548C">
        <w:rPr>
          <w:rFonts w:ascii="Courier New" w:hAnsi="Courier New" w:cs="Courier New"/>
          <w:b/>
          <w:sz w:val="22"/>
        </w:rPr>
        <w:t xml:space="preserve">     </w:t>
      </w:r>
      <w:r w:rsidR="00191C6A" w:rsidRPr="00F5548C">
        <w:rPr>
          <w:rFonts w:ascii="Courier New" w:hAnsi="Courier New" w:cs="Courier New"/>
          <w:b/>
          <w:sz w:val="22"/>
        </w:rPr>
        <w:t xml:space="preserve"> </w:t>
      </w:r>
      <w:r w:rsidR="00F5548C" w:rsidRPr="00F5548C">
        <w:rPr>
          <w:rFonts w:ascii="Courier New" w:hAnsi="Courier New" w:cs="Courier New"/>
          <w:b/>
          <w:sz w:val="22"/>
        </w:rPr>
        <w:t>  </w:t>
      </w:r>
      <w:r w:rsidR="00F5548C">
        <w:rPr>
          <w:rFonts w:ascii="Courier New" w:hAnsi="Courier New" w:cs="Courier New"/>
          <w:b/>
          <w:sz w:val="22"/>
        </w:rPr>
        <w:t> </w:t>
      </w:r>
      <w:r w:rsidR="00D647BB">
        <w:rPr>
          <w:rFonts w:ascii="Courier New" w:hAnsi="Courier New" w:cs="Courier New"/>
          <w:b/>
          <w:sz w:val="22"/>
        </w:rPr>
        <w:t> </w:t>
      </w:r>
      <w:r w:rsidR="00841938" w:rsidRPr="00F5548C">
        <w:rPr>
          <w:rFonts w:ascii="Courier New" w:hAnsi="Courier New" w:cs="Courier New"/>
          <w:b/>
          <w:sz w:val="22"/>
        </w:rPr>
        <w:t>THE</w:t>
      </w:r>
      <w:r w:rsidR="00F5548C">
        <w:rPr>
          <w:rFonts w:ascii="Courier New" w:hAnsi="Courier New" w:cs="Courier New"/>
          <w:b/>
          <w:sz w:val="22"/>
        </w:rPr>
        <w:t> </w:t>
      </w:r>
      <w:r w:rsidR="00841938" w:rsidRPr="00F5548C">
        <w:rPr>
          <w:rFonts w:ascii="Courier New" w:hAnsi="Courier New" w:cs="Courier New"/>
          <w:b/>
          <w:sz w:val="22"/>
        </w:rPr>
        <w:t>TOWN</w:t>
      </w:r>
      <w:r w:rsidR="00F5548C">
        <w:rPr>
          <w:rFonts w:ascii="Courier New" w:hAnsi="Courier New" w:cs="Courier New"/>
          <w:b/>
          <w:sz w:val="22"/>
        </w:rPr>
        <w:t> </w:t>
      </w:r>
      <w:r w:rsidR="00841938" w:rsidRPr="00F5548C">
        <w:rPr>
          <w:rFonts w:ascii="Courier New" w:hAnsi="Courier New" w:cs="Courier New"/>
          <w:b/>
          <w:sz w:val="22"/>
        </w:rPr>
        <w:t>OF PHILLIPSTON</w:t>
      </w:r>
    </w:p>
    <w:p w:rsidR="00841938" w:rsidRPr="00F5548C" w:rsidRDefault="00161E53" w:rsidP="00841938">
      <w:pPr>
        <w:jc w:val="both"/>
        <w:rPr>
          <w:rFonts w:ascii="Courier New" w:hAnsi="Courier New" w:cs="Courier New"/>
          <w:b/>
          <w:sz w:val="22"/>
        </w:rPr>
      </w:pPr>
      <w:r w:rsidRPr="00F5548C">
        <w:rPr>
          <w:rFonts w:ascii="Courier New" w:hAnsi="Courier New" w:cs="Courier New"/>
          <w:b/>
          <w:sz w:val="22"/>
        </w:rPr>
        <w:t>REVOCABLE LIVING TRUST, and</w:t>
      </w:r>
    </w:p>
    <w:p w:rsidR="00841938" w:rsidRPr="00F5548C" w:rsidRDefault="00161E53" w:rsidP="00841938">
      <w:pPr>
        <w:jc w:val="both"/>
        <w:rPr>
          <w:rFonts w:ascii="Courier New" w:hAnsi="Courier New" w:cs="Courier New"/>
          <w:b/>
          <w:sz w:val="22"/>
        </w:rPr>
      </w:pPr>
      <w:r w:rsidRPr="00F5548C">
        <w:rPr>
          <w:rFonts w:ascii="Courier New" w:hAnsi="Courier New" w:cs="Courier New"/>
          <w:b/>
          <w:sz w:val="22"/>
        </w:rPr>
        <w:t xml:space="preserve">ELIZABETH </w:t>
      </w:r>
      <w:r w:rsidR="00841938" w:rsidRPr="00F5548C">
        <w:rPr>
          <w:rFonts w:ascii="Courier New" w:hAnsi="Courier New" w:cs="Courier New"/>
          <w:b/>
          <w:sz w:val="22"/>
        </w:rPr>
        <w:t>A. MCDONALD, TRUSTEE,</w:t>
      </w:r>
    </w:p>
    <w:p w:rsidR="00841938" w:rsidRPr="00F5548C" w:rsidRDefault="00161E53" w:rsidP="00841938">
      <w:pPr>
        <w:jc w:val="both"/>
        <w:rPr>
          <w:rFonts w:ascii="Courier New" w:hAnsi="Courier New" w:cs="Courier New"/>
          <w:b/>
          <w:sz w:val="22"/>
        </w:rPr>
      </w:pPr>
      <w:r w:rsidRPr="00F5548C">
        <w:rPr>
          <w:rFonts w:ascii="Courier New" w:hAnsi="Courier New" w:cs="Courier New"/>
          <w:b/>
          <w:sz w:val="22"/>
        </w:rPr>
        <w:t>ELIZABETH A. MCDONALD</w:t>
      </w:r>
    </w:p>
    <w:p w:rsidR="00841938" w:rsidRPr="00F5548C" w:rsidRDefault="00161E53" w:rsidP="00841938">
      <w:pPr>
        <w:jc w:val="both"/>
        <w:rPr>
          <w:rFonts w:ascii="Courier New" w:hAnsi="Courier New" w:cs="Courier New"/>
          <w:b/>
          <w:sz w:val="22"/>
        </w:rPr>
      </w:pPr>
      <w:r w:rsidRPr="00F5548C">
        <w:rPr>
          <w:rFonts w:ascii="Courier New" w:hAnsi="Courier New" w:cs="Courier New"/>
          <w:b/>
          <w:sz w:val="22"/>
        </w:rPr>
        <w:t xml:space="preserve">REVOCABLE </w:t>
      </w:r>
      <w:r w:rsidR="00841938" w:rsidRPr="00F5548C">
        <w:rPr>
          <w:rFonts w:ascii="Courier New" w:hAnsi="Courier New" w:cs="Courier New"/>
          <w:b/>
          <w:sz w:val="22"/>
        </w:rPr>
        <w:t>LIVING TRUST</w:t>
      </w:r>
    </w:p>
    <w:p w:rsidR="00841938" w:rsidRDefault="00841938" w:rsidP="00841938">
      <w:pPr>
        <w:jc w:val="both"/>
        <w:rPr>
          <w:rFonts w:ascii="Courier New" w:hAnsi="Courier New" w:cs="Courier New"/>
          <w:b/>
        </w:rPr>
      </w:pP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r>
      <w:r w:rsidRPr="00966943">
        <w:rPr>
          <w:rFonts w:ascii="Courier New" w:hAnsi="Courier New" w:cs="Courier New"/>
          <w:b/>
        </w:rPr>
        <w:tab/>
        <w:t xml:space="preserve">         </w:t>
      </w:r>
    </w:p>
    <w:p w:rsidR="00841938" w:rsidRPr="00F5548C" w:rsidRDefault="001A5E24" w:rsidP="00841938">
      <w:pPr>
        <w:ind w:right="-180"/>
        <w:jc w:val="both"/>
        <w:rPr>
          <w:rFonts w:ascii="Courier New" w:hAnsi="Courier New" w:cs="Courier New"/>
          <w:sz w:val="22"/>
        </w:rPr>
      </w:pPr>
      <w:r w:rsidRPr="00F5548C">
        <w:rPr>
          <w:rFonts w:ascii="Courier New" w:hAnsi="Courier New" w:cs="Courier New"/>
          <w:sz w:val="22"/>
        </w:rPr>
        <w:t xml:space="preserve">Docket </w:t>
      </w:r>
      <w:r w:rsidR="005E1C86" w:rsidRPr="00F5548C">
        <w:rPr>
          <w:rFonts w:ascii="Courier New" w:hAnsi="Courier New" w:cs="Courier New"/>
          <w:sz w:val="22"/>
        </w:rPr>
        <w:t>No. F320148</w:t>
      </w:r>
      <w:r w:rsidR="005E1C86" w:rsidRPr="00F5548C">
        <w:rPr>
          <w:rFonts w:ascii="Courier New" w:hAnsi="Courier New" w:cs="Courier New"/>
          <w:sz w:val="22"/>
        </w:rPr>
        <w:tab/>
      </w:r>
      <w:r w:rsidR="005E1C86" w:rsidRPr="00F5548C">
        <w:rPr>
          <w:rFonts w:ascii="Courier New" w:hAnsi="Courier New" w:cs="Courier New"/>
          <w:sz w:val="22"/>
        </w:rPr>
        <w:tab/>
      </w:r>
      <w:r w:rsidR="00841938" w:rsidRPr="00F5548C">
        <w:rPr>
          <w:rFonts w:ascii="Courier New" w:hAnsi="Courier New" w:cs="Courier New"/>
          <w:sz w:val="22"/>
        </w:rPr>
        <w:tab/>
      </w:r>
      <w:r w:rsidR="00F5548C">
        <w:rPr>
          <w:rFonts w:ascii="Courier New" w:hAnsi="Courier New" w:cs="Courier New"/>
          <w:sz w:val="22"/>
        </w:rPr>
        <w:t xml:space="preserve">   </w:t>
      </w:r>
      <w:r w:rsidR="00F5548C">
        <w:rPr>
          <w:rFonts w:ascii="Courier New" w:hAnsi="Courier New" w:cs="Courier New"/>
          <w:sz w:val="22"/>
        </w:rPr>
        <w:tab/>
        <w:t>   </w:t>
      </w:r>
      <w:r w:rsidR="00D647BB">
        <w:rPr>
          <w:rFonts w:ascii="Courier New" w:hAnsi="Courier New" w:cs="Courier New"/>
          <w:sz w:val="22"/>
        </w:rPr>
        <w:t> </w:t>
      </w:r>
      <w:r w:rsidR="00841938" w:rsidRPr="00F5548C">
        <w:rPr>
          <w:rFonts w:ascii="Courier New" w:hAnsi="Courier New" w:cs="Courier New"/>
          <w:sz w:val="22"/>
        </w:rPr>
        <w:t>Promulgated:</w:t>
      </w:r>
    </w:p>
    <w:p w:rsidR="00F5548C" w:rsidRDefault="00841938" w:rsidP="00841938">
      <w:pPr>
        <w:ind w:right="-180"/>
        <w:jc w:val="both"/>
        <w:rPr>
          <w:rFonts w:ascii="Courier New" w:hAnsi="Courier New" w:cs="Courier New"/>
          <w:sz w:val="22"/>
        </w:rPr>
      </w:pPr>
      <w:r w:rsidRPr="00F5548C">
        <w:rPr>
          <w:rFonts w:ascii="Courier New" w:hAnsi="Courier New" w:cs="Courier New"/>
          <w:sz w:val="22"/>
        </w:rPr>
        <w:tab/>
      </w:r>
      <w:r w:rsidRPr="00F5548C">
        <w:rPr>
          <w:rFonts w:ascii="Courier New" w:hAnsi="Courier New" w:cs="Courier New"/>
          <w:sz w:val="22"/>
        </w:rPr>
        <w:tab/>
      </w:r>
      <w:r w:rsidRPr="00F5548C">
        <w:rPr>
          <w:rFonts w:ascii="Courier New" w:hAnsi="Courier New" w:cs="Courier New"/>
          <w:sz w:val="22"/>
        </w:rPr>
        <w:tab/>
      </w:r>
      <w:r w:rsidRPr="00F5548C">
        <w:rPr>
          <w:rFonts w:ascii="Courier New" w:hAnsi="Courier New" w:cs="Courier New"/>
          <w:sz w:val="22"/>
        </w:rPr>
        <w:tab/>
        <w:t>          </w:t>
      </w:r>
      <w:r w:rsidR="00F5548C">
        <w:rPr>
          <w:rFonts w:ascii="Courier New" w:hAnsi="Courier New" w:cs="Courier New"/>
          <w:sz w:val="22"/>
        </w:rPr>
        <w:t xml:space="preserve">   </w:t>
      </w:r>
      <w:r w:rsidR="00F5548C">
        <w:rPr>
          <w:rFonts w:ascii="Courier New" w:hAnsi="Courier New" w:cs="Courier New"/>
          <w:sz w:val="22"/>
        </w:rPr>
        <w:tab/>
        <w:t>   </w:t>
      </w:r>
      <w:r w:rsidR="00D647BB">
        <w:rPr>
          <w:rFonts w:ascii="Courier New" w:hAnsi="Courier New" w:cs="Courier New"/>
          <w:sz w:val="22"/>
        </w:rPr>
        <w:t> </w:t>
      </w:r>
      <w:r w:rsidR="001B2D3F">
        <w:rPr>
          <w:rFonts w:ascii="Courier New" w:hAnsi="Courier New" w:cs="Courier New"/>
          <w:sz w:val="22"/>
        </w:rPr>
        <w:t>December 2, 2014</w:t>
      </w:r>
    </w:p>
    <w:p w:rsidR="00841938" w:rsidRPr="00F5548C" w:rsidRDefault="00841938" w:rsidP="00841938">
      <w:pPr>
        <w:ind w:right="-180"/>
        <w:jc w:val="both"/>
        <w:rPr>
          <w:rFonts w:ascii="Courier New" w:hAnsi="Courier New" w:cs="Courier New"/>
          <w:sz w:val="22"/>
        </w:rPr>
      </w:pPr>
      <w:r w:rsidRPr="00F5548C">
        <w:rPr>
          <w:rFonts w:ascii="Courier New" w:hAnsi="Courier New" w:cs="Courier New"/>
          <w:sz w:val="22"/>
        </w:rPr>
        <w:tab/>
        <w:t>  </w:t>
      </w:r>
    </w:p>
    <w:p w:rsidR="00841938" w:rsidRPr="00966943" w:rsidRDefault="00841938" w:rsidP="00841938">
      <w:pPr>
        <w:ind w:right="-180"/>
        <w:jc w:val="both"/>
        <w:rPr>
          <w:rFonts w:ascii="Courier New" w:hAnsi="Courier New" w:cs="Courier New"/>
        </w:rPr>
      </w:pPr>
    </w:p>
    <w:p w:rsidR="00841938" w:rsidRPr="00966943" w:rsidRDefault="00841938" w:rsidP="00841938">
      <w:pPr>
        <w:spacing w:line="480" w:lineRule="auto"/>
        <w:jc w:val="both"/>
        <w:rPr>
          <w:rFonts w:ascii="Courier New" w:hAnsi="Courier New" w:cs="Courier New"/>
        </w:rPr>
      </w:pPr>
      <w:r w:rsidRPr="00966943">
        <w:rPr>
          <w:rFonts w:ascii="Courier New" w:hAnsi="Courier New" w:cs="Courier New"/>
        </w:rPr>
        <w:tab/>
      </w:r>
      <w:r>
        <w:rPr>
          <w:rFonts w:ascii="Courier New" w:hAnsi="Courier New" w:cs="Courier New"/>
        </w:rPr>
        <w:t>This is an</w:t>
      </w:r>
      <w:r w:rsidRPr="00966943">
        <w:rPr>
          <w:rFonts w:ascii="Courier New" w:hAnsi="Courier New" w:cs="Courier New"/>
        </w:rPr>
        <w:t xml:space="preserve"> appeal filed under the formal procedure, pursuant to G.L. c. 58A, § 7 and G.L. c. 59, §§ 64 and 65, from the refusal of the Board of Assessors of the </w:t>
      </w:r>
      <w:r>
        <w:rPr>
          <w:rFonts w:ascii="Courier New" w:hAnsi="Courier New" w:cs="Courier New"/>
        </w:rPr>
        <w:t>Town of Phillipston</w:t>
      </w:r>
      <w:r w:rsidRPr="00966943">
        <w:rPr>
          <w:rFonts w:ascii="Courier New" w:hAnsi="Courier New" w:cs="Courier New"/>
        </w:rPr>
        <w:t xml:space="preserve"> (“appellee” or “assessors”) to abate taxes on certain real estate in </w:t>
      </w:r>
      <w:r w:rsidR="003578F9">
        <w:rPr>
          <w:rFonts w:ascii="Courier New" w:hAnsi="Courier New" w:cs="Courier New"/>
        </w:rPr>
        <w:t>Phillipston</w:t>
      </w:r>
      <w:r>
        <w:rPr>
          <w:rFonts w:ascii="Courier New" w:hAnsi="Courier New" w:cs="Courier New"/>
        </w:rPr>
        <w:t>,</w:t>
      </w:r>
      <w:r w:rsidRPr="00966943">
        <w:rPr>
          <w:rFonts w:ascii="Courier New" w:hAnsi="Courier New" w:cs="Courier New"/>
        </w:rPr>
        <w:t xml:space="preserve"> owned by and assessed to </w:t>
      </w:r>
      <w:r w:rsidR="003578F9">
        <w:rPr>
          <w:rFonts w:ascii="Courier New" w:hAnsi="Courier New" w:cs="Courier New"/>
        </w:rPr>
        <w:t>Richard J. McDonald, Trustee of the Richard J. McDonald Revocable Living Trust and Elizabeth A. McDonald, Trustee of the</w:t>
      </w:r>
      <w:r>
        <w:rPr>
          <w:rFonts w:ascii="Courier New" w:hAnsi="Courier New" w:cs="Courier New"/>
        </w:rPr>
        <w:t xml:space="preserve"> </w:t>
      </w:r>
      <w:r w:rsidR="003578F9">
        <w:rPr>
          <w:rFonts w:ascii="Courier New" w:hAnsi="Courier New" w:cs="Courier New"/>
        </w:rPr>
        <w:t xml:space="preserve">Elizabeth A. McDonald Revocable Living Trust </w:t>
      </w:r>
      <w:r>
        <w:rPr>
          <w:rFonts w:ascii="Courier New" w:hAnsi="Courier New" w:cs="Courier New"/>
        </w:rPr>
        <w:t>(</w:t>
      </w:r>
      <w:r w:rsidRPr="00966943">
        <w:rPr>
          <w:rFonts w:ascii="Courier New" w:hAnsi="Courier New" w:cs="Courier New"/>
        </w:rPr>
        <w:t>“appellant</w:t>
      </w:r>
      <w:r w:rsidR="003578F9">
        <w:rPr>
          <w:rFonts w:ascii="Courier New" w:hAnsi="Courier New" w:cs="Courier New"/>
        </w:rPr>
        <w:t>s</w:t>
      </w:r>
      <w:r w:rsidRPr="00966943">
        <w:rPr>
          <w:rFonts w:ascii="Courier New" w:hAnsi="Courier New" w:cs="Courier New"/>
        </w:rPr>
        <w:t>”) under G.L. c. 59, §§</w:t>
      </w:r>
      <w:r>
        <w:rPr>
          <w:rFonts w:ascii="Courier New" w:hAnsi="Courier New" w:cs="Courier New"/>
        </w:rPr>
        <w:t> </w:t>
      </w:r>
      <w:r w:rsidR="003578F9">
        <w:rPr>
          <w:rFonts w:ascii="Courier New" w:hAnsi="Courier New" w:cs="Courier New"/>
        </w:rPr>
        <w:t>11 and 38, for fiscal year 2013</w:t>
      </w:r>
      <w:r w:rsidRPr="00966943">
        <w:rPr>
          <w:rFonts w:ascii="Courier New" w:hAnsi="Courier New" w:cs="Courier New"/>
        </w:rPr>
        <w:t xml:space="preserve"> (“fiscal year at issue”).  </w:t>
      </w:r>
    </w:p>
    <w:p w:rsidR="00841938" w:rsidRPr="00966943" w:rsidRDefault="00841938" w:rsidP="00841938">
      <w:pPr>
        <w:spacing w:line="480" w:lineRule="auto"/>
        <w:jc w:val="both"/>
        <w:rPr>
          <w:rFonts w:ascii="Courier New" w:hAnsi="Courier New" w:cs="Courier New"/>
        </w:rPr>
      </w:pPr>
      <w:r w:rsidRPr="00966943">
        <w:rPr>
          <w:rFonts w:ascii="Courier New" w:hAnsi="Courier New" w:cs="Courier New"/>
        </w:rPr>
        <w:tab/>
        <w:t>Commissi</w:t>
      </w:r>
      <w:r w:rsidR="003578F9">
        <w:rPr>
          <w:rFonts w:ascii="Courier New" w:hAnsi="Courier New" w:cs="Courier New"/>
        </w:rPr>
        <w:t>oner Rose</w:t>
      </w:r>
      <w:r w:rsidRPr="00966943">
        <w:rPr>
          <w:rFonts w:ascii="Courier New" w:hAnsi="Courier New" w:cs="Courier New"/>
        </w:rPr>
        <w:t xml:space="preserve"> </w:t>
      </w:r>
      <w:r w:rsidR="005F2445">
        <w:rPr>
          <w:rFonts w:ascii="Courier New" w:hAnsi="Courier New" w:cs="Courier New"/>
        </w:rPr>
        <w:t xml:space="preserve">(“Presiding Commissioner”) </w:t>
      </w:r>
      <w:r w:rsidRPr="00966943">
        <w:rPr>
          <w:rFonts w:ascii="Courier New" w:hAnsi="Courier New" w:cs="Courier New"/>
        </w:rPr>
        <w:t>heard this appeal</w:t>
      </w:r>
      <w:r w:rsidR="00D1774E">
        <w:rPr>
          <w:rFonts w:ascii="Courier New" w:hAnsi="Courier New" w:cs="Courier New"/>
        </w:rPr>
        <w:t xml:space="preserve"> and, in accordance with G.L. c. 58A, § 1A and 831 CMR 1.20, </w:t>
      </w:r>
      <w:r w:rsidR="003578F9">
        <w:rPr>
          <w:rFonts w:ascii="Courier New" w:hAnsi="Courier New" w:cs="Courier New"/>
        </w:rPr>
        <w:t xml:space="preserve">issued a single-member decision for the appellee. </w:t>
      </w:r>
    </w:p>
    <w:p w:rsidR="00841938" w:rsidRPr="00966943" w:rsidRDefault="00841938" w:rsidP="00841938">
      <w:pPr>
        <w:spacing w:line="480" w:lineRule="auto"/>
        <w:jc w:val="both"/>
        <w:rPr>
          <w:rFonts w:ascii="Courier New" w:hAnsi="Courier New" w:cs="Courier New"/>
        </w:rPr>
      </w:pPr>
      <w:r w:rsidRPr="00966943">
        <w:rPr>
          <w:rFonts w:ascii="Courier New" w:hAnsi="Courier New" w:cs="Courier New"/>
        </w:rPr>
        <w:lastRenderedPageBreak/>
        <w:tab/>
        <w:t>These findings of fact and report are made pursuant to the appellant</w:t>
      </w:r>
      <w:r>
        <w:rPr>
          <w:rFonts w:ascii="Courier New" w:hAnsi="Courier New" w:cs="Courier New"/>
        </w:rPr>
        <w:t>s</w:t>
      </w:r>
      <w:r w:rsidR="00C35B50">
        <w:rPr>
          <w:rFonts w:ascii="Courier New" w:hAnsi="Courier New" w:cs="Courier New"/>
        </w:rPr>
        <w:t>’</w:t>
      </w:r>
      <w:r>
        <w:rPr>
          <w:rFonts w:ascii="Courier New" w:hAnsi="Courier New" w:cs="Courier New"/>
        </w:rPr>
        <w:t xml:space="preserve"> request </w:t>
      </w:r>
      <w:r w:rsidRPr="00966943">
        <w:rPr>
          <w:rFonts w:ascii="Courier New" w:hAnsi="Courier New" w:cs="Courier New"/>
        </w:rPr>
        <w:t xml:space="preserve">under G.L. c. 58A, § 13 and 831 CMR 1.32.  </w:t>
      </w:r>
    </w:p>
    <w:p w:rsidR="00841938" w:rsidRDefault="00841938" w:rsidP="00841938">
      <w:pPr>
        <w:jc w:val="both"/>
        <w:rPr>
          <w:rFonts w:ascii="Courier New" w:hAnsi="Courier New" w:cs="Courier New"/>
        </w:rPr>
      </w:pPr>
    </w:p>
    <w:p w:rsidR="00841938" w:rsidRPr="00966943" w:rsidRDefault="00841938" w:rsidP="00841938">
      <w:pPr>
        <w:jc w:val="both"/>
        <w:rPr>
          <w:rFonts w:ascii="Courier New" w:hAnsi="Courier New" w:cs="Courier New"/>
        </w:rPr>
      </w:pPr>
      <w:r w:rsidRPr="00966943">
        <w:rPr>
          <w:rFonts w:ascii="Courier New" w:hAnsi="Courier New" w:cs="Courier New"/>
        </w:rPr>
        <w:tab/>
      </w:r>
      <w:r w:rsidR="00C35B50">
        <w:rPr>
          <w:rFonts w:ascii="Courier New" w:hAnsi="Courier New" w:cs="Courier New"/>
          <w:i/>
        </w:rPr>
        <w:t>Ann E. Meilus</w:t>
      </w:r>
      <w:r w:rsidRPr="00966943">
        <w:rPr>
          <w:rFonts w:ascii="Courier New" w:hAnsi="Courier New" w:cs="Courier New"/>
          <w:i/>
        </w:rPr>
        <w:t xml:space="preserve">, </w:t>
      </w:r>
      <w:r w:rsidRPr="00966943">
        <w:rPr>
          <w:rFonts w:ascii="Courier New" w:hAnsi="Courier New" w:cs="Courier New"/>
        </w:rPr>
        <w:t>Esq. for the appellant</w:t>
      </w:r>
      <w:r w:rsidR="00C35B50">
        <w:rPr>
          <w:rFonts w:ascii="Courier New" w:hAnsi="Courier New" w:cs="Courier New"/>
        </w:rPr>
        <w:t>s</w:t>
      </w:r>
      <w:r w:rsidRPr="00966943">
        <w:rPr>
          <w:rFonts w:ascii="Courier New" w:hAnsi="Courier New" w:cs="Courier New"/>
        </w:rPr>
        <w:t>.</w:t>
      </w:r>
    </w:p>
    <w:p w:rsidR="00841938" w:rsidRPr="00966943" w:rsidRDefault="00841938" w:rsidP="00841938">
      <w:pPr>
        <w:jc w:val="both"/>
        <w:outlineLvl w:val="0"/>
        <w:rPr>
          <w:rFonts w:ascii="Courier New" w:hAnsi="Courier New" w:cs="Courier New"/>
        </w:rPr>
      </w:pPr>
      <w:r w:rsidRPr="00966943">
        <w:rPr>
          <w:rFonts w:ascii="Courier New" w:hAnsi="Courier New" w:cs="Courier New"/>
        </w:rPr>
        <w:tab/>
      </w:r>
    </w:p>
    <w:p w:rsidR="00841938" w:rsidRDefault="00C35B50" w:rsidP="00841938">
      <w:pPr>
        <w:ind w:firstLine="720"/>
        <w:jc w:val="both"/>
        <w:outlineLvl w:val="0"/>
        <w:rPr>
          <w:rFonts w:ascii="Courier New" w:hAnsi="Courier New" w:cs="Courier New"/>
          <w:b/>
        </w:rPr>
      </w:pPr>
      <w:r>
        <w:rPr>
          <w:rFonts w:ascii="Courier New" w:hAnsi="Courier New" w:cs="Courier New"/>
          <w:i/>
        </w:rPr>
        <w:t>Reginald Haughton</w:t>
      </w:r>
      <w:r w:rsidR="00841938" w:rsidRPr="00966943">
        <w:rPr>
          <w:rFonts w:ascii="Courier New" w:hAnsi="Courier New" w:cs="Courier New"/>
          <w:i/>
        </w:rPr>
        <w:t>,</w:t>
      </w:r>
      <w:r w:rsidR="00841938">
        <w:rPr>
          <w:rFonts w:ascii="Courier New" w:hAnsi="Courier New" w:cs="Courier New"/>
        </w:rPr>
        <w:t xml:space="preserve"> </w:t>
      </w:r>
      <w:r>
        <w:rPr>
          <w:rFonts w:ascii="Courier New" w:hAnsi="Courier New" w:cs="Courier New"/>
        </w:rPr>
        <w:t>Chairman</w:t>
      </w:r>
      <w:r w:rsidR="006C64CB">
        <w:rPr>
          <w:rFonts w:ascii="Courier New" w:hAnsi="Courier New" w:cs="Courier New"/>
        </w:rPr>
        <w:t xml:space="preserve"> of the Board of Assessors</w:t>
      </w:r>
      <w:r>
        <w:rPr>
          <w:rFonts w:ascii="Courier New" w:hAnsi="Courier New" w:cs="Courier New"/>
        </w:rPr>
        <w:t xml:space="preserve">, </w:t>
      </w:r>
      <w:r w:rsidR="00841938" w:rsidRPr="00966943">
        <w:rPr>
          <w:rFonts w:ascii="Courier New" w:hAnsi="Courier New" w:cs="Courier New"/>
        </w:rPr>
        <w:t>for the appellee.</w:t>
      </w:r>
      <w:r w:rsidR="00841938" w:rsidRPr="00966943">
        <w:rPr>
          <w:rFonts w:ascii="Courier New" w:hAnsi="Courier New" w:cs="Courier New"/>
          <w:b/>
        </w:rPr>
        <w:t xml:space="preserve"> </w:t>
      </w:r>
    </w:p>
    <w:p w:rsidR="00841938" w:rsidRDefault="00841938" w:rsidP="00841938">
      <w:pPr>
        <w:ind w:firstLine="720"/>
        <w:jc w:val="both"/>
        <w:outlineLvl w:val="0"/>
        <w:rPr>
          <w:rFonts w:ascii="Courier New" w:hAnsi="Courier New" w:cs="Courier New"/>
          <w:b/>
        </w:rPr>
      </w:pPr>
    </w:p>
    <w:p w:rsidR="00841938" w:rsidRDefault="00841938" w:rsidP="00841938">
      <w:pPr>
        <w:ind w:firstLine="720"/>
        <w:jc w:val="both"/>
        <w:outlineLvl w:val="0"/>
        <w:rPr>
          <w:rFonts w:ascii="Courier New" w:hAnsi="Courier New" w:cs="Courier New"/>
          <w:b/>
        </w:rPr>
      </w:pPr>
    </w:p>
    <w:p w:rsidR="00841938" w:rsidRPr="00A11F4B" w:rsidRDefault="00841938" w:rsidP="00841938">
      <w:pPr>
        <w:jc w:val="center"/>
        <w:outlineLvl w:val="0"/>
        <w:rPr>
          <w:rFonts w:ascii="Courier New" w:hAnsi="Courier New" w:cs="Courier New"/>
        </w:rPr>
      </w:pPr>
      <w:r w:rsidRPr="00966943">
        <w:rPr>
          <w:rFonts w:ascii="Courier New" w:hAnsi="Courier New" w:cs="Courier New"/>
          <w:b/>
          <w:caps/>
        </w:rPr>
        <w:t>Findings of Fact and Report</w:t>
      </w:r>
    </w:p>
    <w:p w:rsidR="00841938" w:rsidRDefault="00841938" w:rsidP="00841938">
      <w:pPr>
        <w:rPr>
          <w:rFonts w:ascii="Courier New" w:hAnsi="Courier New" w:cs="Courier New"/>
          <w:b/>
          <w:caps/>
        </w:rPr>
      </w:pPr>
    </w:p>
    <w:p w:rsidR="00841938" w:rsidRPr="00966943" w:rsidRDefault="00841938" w:rsidP="00841938">
      <w:pPr>
        <w:rPr>
          <w:rFonts w:ascii="Courier New" w:hAnsi="Courier New" w:cs="Courier New"/>
          <w:b/>
        </w:rPr>
      </w:pPr>
    </w:p>
    <w:p w:rsidR="00841938" w:rsidRDefault="00841938" w:rsidP="00841938">
      <w:pPr>
        <w:pStyle w:val="ListParagraph"/>
        <w:numPr>
          <w:ilvl w:val="0"/>
          <w:numId w:val="1"/>
        </w:numPr>
        <w:spacing w:line="480" w:lineRule="auto"/>
        <w:jc w:val="both"/>
        <w:rPr>
          <w:rFonts w:ascii="Courier New" w:hAnsi="Courier New" w:cs="Courier New"/>
          <w:b/>
        </w:rPr>
      </w:pPr>
      <w:r>
        <w:rPr>
          <w:rFonts w:ascii="Courier New" w:hAnsi="Courier New" w:cs="Courier New"/>
          <w:b/>
        </w:rPr>
        <w:t>Introduction and Jurisdiction</w:t>
      </w:r>
    </w:p>
    <w:p w:rsidR="004736A6" w:rsidRDefault="00841938" w:rsidP="00841938">
      <w:pPr>
        <w:spacing w:line="480" w:lineRule="auto"/>
        <w:ind w:firstLine="720"/>
        <w:jc w:val="both"/>
        <w:rPr>
          <w:rFonts w:ascii="Courier New" w:hAnsi="Courier New" w:cs="Courier New"/>
        </w:rPr>
      </w:pPr>
      <w:r w:rsidRPr="001C4252">
        <w:rPr>
          <w:rFonts w:ascii="Courier New" w:hAnsi="Courier New" w:cs="Courier New"/>
        </w:rPr>
        <w:t xml:space="preserve">On the basis of all of the evidence, including the testimony and documentary exhibits </w:t>
      </w:r>
      <w:r>
        <w:rPr>
          <w:rFonts w:ascii="Courier New" w:hAnsi="Courier New" w:cs="Courier New"/>
        </w:rPr>
        <w:t xml:space="preserve">entered into the record, </w:t>
      </w:r>
      <w:r w:rsidR="005F2445">
        <w:rPr>
          <w:rFonts w:ascii="Courier New" w:hAnsi="Courier New" w:cs="Courier New"/>
        </w:rPr>
        <w:t>the Presiding Commissioner</w:t>
      </w:r>
      <w:r w:rsidR="004736A6">
        <w:rPr>
          <w:rFonts w:ascii="Courier New" w:hAnsi="Courier New" w:cs="Courier New"/>
        </w:rPr>
        <w:t xml:space="preserve"> found the following</w:t>
      </w:r>
      <w:r w:rsidR="00C35B50">
        <w:rPr>
          <w:rFonts w:ascii="Courier New" w:hAnsi="Courier New" w:cs="Courier New"/>
        </w:rPr>
        <w:t xml:space="preserve">.  </w:t>
      </w:r>
    </w:p>
    <w:p w:rsidR="00841938" w:rsidRDefault="00C35B50" w:rsidP="00841938">
      <w:pPr>
        <w:spacing w:line="480" w:lineRule="auto"/>
        <w:ind w:firstLine="720"/>
        <w:jc w:val="both"/>
        <w:rPr>
          <w:rFonts w:ascii="Courier New" w:hAnsi="Courier New" w:cs="Courier New"/>
        </w:rPr>
      </w:pPr>
      <w:r>
        <w:rPr>
          <w:rFonts w:ascii="Courier New" w:hAnsi="Courier New" w:cs="Courier New"/>
        </w:rPr>
        <w:t>On January 1, 2012</w:t>
      </w:r>
      <w:r w:rsidR="00841938" w:rsidRPr="001C4252">
        <w:rPr>
          <w:rFonts w:ascii="Courier New" w:hAnsi="Courier New" w:cs="Courier New"/>
        </w:rPr>
        <w:t xml:space="preserve">, </w:t>
      </w:r>
      <w:r w:rsidR="00841938">
        <w:rPr>
          <w:rFonts w:ascii="Courier New" w:hAnsi="Courier New" w:cs="Courier New"/>
        </w:rPr>
        <w:t>the appellant</w:t>
      </w:r>
      <w:r>
        <w:rPr>
          <w:rFonts w:ascii="Courier New" w:hAnsi="Courier New" w:cs="Courier New"/>
        </w:rPr>
        <w:t>s were</w:t>
      </w:r>
      <w:r w:rsidR="00841938" w:rsidRPr="001C4252">
        <w:rPr>
          <w:rFonts w:ascii="Courier New" w:hAnsi="Courier New" w:cs="Courier New"/>
        </w:rPr>
        <w:t xml:space="preserve"> the assessed owner</w:t>
      </w:r>
      <w:r>
        <w:rPr>
          <w:rFonts w:ascii="Courier New" w:hAnsi="Courier New" w:cs="Courier New"/>
        </w:rPr>
        <w:t>s</w:t>
      </w:r>
      <w:r w:rsidR="00841938" w:rsidRPr="001C4252">
        <w:rPr>
          <w:rFonts w:ascii="Courier New" w:hAnsi="Courier New" w:cs="Courier New"/>
        </w:rPr>
        <w:t xml:space="preserve"> of a </w:t>
      </w:r>
      <w:r>
        <w:rPr>
          <w:rFonts w:ascii="Courier New" w:hAnsi="Courier New" w:cs="Courier New"/>
        </w:rPr>
        <w:t>3.20</w:t>
      </w:r>
      <w:r w:rsidR="00841938">
        <w:rPr>
          <w:rFonts w:ascii="Courier New" w:hAnsi="Courier New" w:cs="Courier New"/>
        </w:rPr>
        <w:t>-acre parcel of land ide</w:t>
      </w:r>
      <w:r w:rsidR="00BD2D48">
        <w:rPr>
          <w:rFonts w:ascii="Courier New" w:hAnsi="Courier New" w:cs="Courier New"/>
        </w:rPr>
        <w:t>ntified on the appellee’s Map 55 as Block 0, Parcel 18 with an address of 28 Lakeside Drive in the Town of Phillipston</w:t>
      </w:r>
      <w:r w:rsidR="000C0937">
        <w:rPr>
          <w:rFonts w:ascii="Courier New" w:hAnsi="Courier New" w:cs="Courier New"/>
        </w:rPr>
        <w:t xml:space="preserve"> (</w:t>
      </w:r>
      <w:r w:rsidR="00841938">
        <w:rPr>
          <w:rFonts w:ascii="Courier New" w:hAnsi="Courier New" w:cs="Courier New"/>
        </w:rPr>
        <w:t>“subject property”)</w:t>
      </w:r>
      <w:r w:rsidR="00841938" w:rsidRPr="00966943">
        <w:rPr>
          <w:rFonts w:ascii="Courier New" w:hAnsi="Courier New" w:cs="Courier New"/>
        </w:rPr>
        <w:t xml:space="preserve">.  </w:t>
      </w:r>
      <w:r w:rsidR="00BD2D48">
        <w:rPr>
          <w:rFonts w:ascii="Courier New" w:hAnsi="Courier New" w:cs="Courier New"/>
        </w:rPr>
        <w:t>For the fiscal year at issue</w:t>
      </w:r>
      <w:r w:rsidR="00841938" w:rsidRPr="00966943">
        <w:rPr>
          <w:rFonts w:ascii="Courier New" w:hAnsi="Courier New" w:cs="Courier New"/>
        </w:rPr>
        <w:t>, the assessors valued the s</w:t>
      </w:r>
      <w:r w:rsidR="00841938">
        <w:rPr>
          <w:rFonts w:ascii="Courier New" w:hAnsi="Courier New" w:cs="Courier New"/>
        </w:rPr>
        <w:t>ubject property a</w:t>
      </w:r>
      <w:r w:rsidR="00821BB6">
        <w:rPr>
          <w:rFonts w:ascii="Courier New" w:hAnsi="Courier New" w:cs="Courier New"/>
        </w:rPr>
        <w:t xml:space="preserve">t </w:t>
      </w:r>
      <w:r w:rsidR="00821BB6" w:rsidRPr="006C76D3">
        <w:rPr>
          <w:rFonts w:ascii="Courier New" w:hAnsi="Courier New" w:cs="Courier New"/>
        </w:rPr>
        <w:t>$287,900</w:t>
      </w:r>
      <w:r w:rsidR="00841938" w:rsidRPr="00966943">
        <w:rPr>
          <w:rFonts w:ascii="Courier New" w:hAnsi="Courier New" w:cs="Courier New"/>
        </w:rPr>
        <w:t xml:space="preserve"> and assessed a tax thereon, at the rate of $</w:t>
      </w:r>
      <w:r w:rsidR="00821BB6">
        <w:rPr>
          <w:rFonts w:ascii="Courier New" w:hAnsi="Courier New" w:cs="Courier New"/>
        </w:rPr>
        <w:t>15.56</w:t>
      </w:r>
      <w:r w:rsidR="00841938" w:rsidRPr="00966943">
        <w:rPr>
          <w:rFonts w:ascii="Courier New" w:hAnsi="Courier New" w:cs="Courier New"/>
        </w:rPr>
        <w:t xml:space="preserve"> per thousand, in the total amount of $</w:t>
      </w:r>
      <w:r w:rsidR="00821BB6">
        <w:rPr>
          <w:rFonts w:ascii="Courier New" w:hAnsi="Courier New" w:cs="Courier New"/>
        </w:rPr>
        <w:t>4,567</w:t>
      </w:r>
      <w:r w:rsidR="00841938">
        <w:rPr>
          <w:rFonts w:ascii="Courier New" w:hAnsi="Courier New" w:cs="Courier New"/>
        </w:rPr>
        <w:t>.</w:t>
      </w:r>
      <w:r w:rsidR="00821BB6">
        <w:rPr>
          <w:rFonts w:ascii="Courier New" w:hAnsi="Courier New" w:cs="Courier New"/>
        </w:rPr>
        <w:t>43</w:t>
      </w:r>
      <w:r w:rsidR="005F2445">
        <w:rPr>
          <w:rFonts w:ascii="Courier New" w:hAnsi="Courier New" w:cs="Courier New"/>
        </w:rPr>
        <w:t>.</w:t>
      </w:r>
      <w:r w:rsidR="00841938">
        <w:rPr>
          <w:rStyle w:val="FootnoteReference"/>
          <w:rFonts w:ascii="Courier New" w:hAnsi="Courier New" w:cs="Courier New"/>
        </w:rPr>
        <w:footnoteReference w:id="1"/>
      </w:r>
      <w:r w:rsidR="005F2445">
        <w:rPr>
          <w:rFonts w:ascii="Courier New" w:hAnsi="Courier New" w:cs="Courier New"/>
        </w:rPr>
        <w:t xml:space="preserve"> </w:t>
      </w:r>
      <w:r w:rsidR="00821BB6">
        <w:rPr>
          <w:rFonts w:ascii="Courier New" w:hAnsi="Courier New" w:cs="Courier New"/>
        </w:rPr>
        <w:t>T</w:t>
      </w:r>
      <w:r w:rsidR="00841938" w:rsidRPr="00966943">
        <w:rPr>
          <w:rFonts w:ascii="Courier New" w:hAnsi="Courier New" w:cs="Courier New"/>
        </w:rPr>
        <w:t>he appellant</w:t>
      </w:r>
      <w:r w:rsidR="005F2445">
        <w:rPr>
          <w:rFonts w:ascii="Courier New" w:hAnsi="Courier New" w:cs="Courier New"/>
        </w:rPr>
        <w:t>s</w:t>
      </w:r>
      <w:r w:rsidR="00841938" w:rsidRPr="00966943">
        <w:rPr>
          <w:rFonts w:ascii="Courier New" w:hAnsi="Courier New" w:cs="Courier New"/>
        </w:rPr>
        <w:t xml:space="preserve"> paid the tax due without incurring interest.  On January 2</w:t>
      </w:r>
      <w:r w:rsidR="005F2445">
        <w:rPr>
          <w:rFonts w:ascii="Courier New" w:hAnsi="Courier New" w:cs="Courier New"/>
        </w:rPr>
        <w:t>2</w:t>
      </w:r>
      <w:r w:rsidR="00841938" w:rsidRPr="00966943">
        <w:rPr>
          <w:rFonts w:ascii="Courier New" w:hAnsi="Courier New" w:cs="Courier New"/>
        </w:rPr>
        <w:t>, 201</w:t>
      </w:r>
      <w:r w:rsidR="005F2445">
        <w:rPr>
          <w:rFonts w:ascii="Courier New" w:hAnsi="Courier New" w:cs="Courier New"/>
        </w:rPr>
        <w:t>3</w:t>
      </w:r>
      <w:r w:rsidR="00841938" w:rsidRPr="00966943">
        <w:rPr>
          <w:rFonts w:ascii="Courier New" w:hAnsi="Courier New" w:cs="Courier New"/>
        </w:rPr>
        <w:t xml:space="preserve">, </w:t>
      </w:r>
      <w:r w:rsidR="00841938">
        <w:rPr>
          <w:rFonts w:ascii="Courier New" w:hAnsi="Courier New" w:cs="Courier New"/>
        </w:rPr>
        <w:t xml:space="preserve">in accordance with G.L. c. 59, § 59, </w:t>
      </w:r>
      <w:r w:rsidR="00841938" w:rsidRPr="00966943">
        <w:rPr>
          <w:rFonts w:ascii="Courier New" w:hAnsi="Courier New" w:cs="Courier New"/>
        </w:rPr>
        <w:t>the appellant</w:t>
      </w:r>
      <w:r w:rsidR="005F2445">
        <w:rPr>
          <w:rFonts w:ascii="Courier New" w:hAnsi="Courier New" w:cs="Courier New"/>
        </w:rPr>
        <w:t>s</w:t>
      </w:r>
      <w:r w:rsidR="00841938" w:rsidRPr="00966943">
        <w:rPr>
          <w:rFonts w:ascii="Courier New" w:hAnsi="Courier New" w:cs="Courier New"/>
        </w:rPr>
        <w:t xml:space="preserve"> timely filed an Application for Abatement wit</w:t>
      </w:r>
      <w:r w:rsidR="00DF5555">
        <w:rPr>
          <w:rFonts w:ascii="Courier New" w:hAnsi="Courier New" w:cs="Courier New"/>
        </w:rPr>
        <w:t>h the assessors</w:t>
      </w:r>
      <w:r w:rsidR="00841938" w:rsidRPr="00966943">
        <w:rPr>
          <w:rFonts w:ascii="Courier New" w:hAnsi="Courier New" w:cs="Courier New"/>
        </w:rPr>
        <w:t>,</w:t>
      </w:r>
      <w:r w:rsidR="00DF5555">
        <w:rPr>
          <w:rFonts w:ascii="Courier New" w:hAnsi="Courier New" w:cs="Courier New"/>
        </w:rPr>
        <w:t xml:space="preserve"> </w:t>
      </w:r>
      <w:r w:rsidR="00DF5555">
        <w:rPr>
          <w:rFonts w:ascii="Courier New" w:hAnsi="Courier New" w:cs="Courier New"/>
        </w:rPr>
        <w:lastRenderedPageBreak/>
        <w:t>which was deemed denied on April 22, 2013</w:t>
      </w:r>
      <w:r w:rsidR="00841938">
        <w:rPr>
          <w:rFonts w:ascii="Courier New" w:hAnsi="Courier New" w:cs="Courier New"/>
        </w:rPr>
        <w:t>.  In accordance with G.L. c. 59, §§ 64 and 65, t</w:t>
      </w:r>
      <w:r w:rsidR="00841938" w:rsidRPr="00966943">
        <w:rPr>
          <w:rFonts w:ascii="Courier New" w:hAnsi="Courier New" w:cs="Courier New"/>
        </w:rPr>
        <w:t>he appellant</w:t>
      </w:r>
      <w:r w:rsidR="005F2445">
        <w:rPr>
          <w:rFonts w:ascii="Courier New" w:hAnsi="Courier New" w:cs="Courier New"/>
        </w:rPr>
        <w:t>s seasonably filed their</w:t>
      </w:r>
      <w:r w:rsidR="00841938" w:rsidRPr="00966943">
        <w:rPr>
          <w:rFonts w:ascii="Courier New" w:hAnsi="Courier New" w:cs="Courier New"/>
        </w:rPr>
        <w:t xml:space="preserve"> </w:t>
      </w:r>
      <w:r w:rsidR="00841938">
        <w:rPr>
          <w:rFonts w:ascii="Courier New" w:hAnsi="Courier New" w:cs="Courier New"/>
        </w:rPr>
        <w:t>pe</w:t>
      </w:r>
      <w:r w:rsidR="005F2445">
        <w:rPr>
          <w:rFonts w:ascii="Courier New" w:hAnsi="Courier New" w:cs="Courier New"/>
        </w:rPr>
        <w:t xml:space="preserve">tition with the </w:t>
      </w:r>
      <w:r w:rsidR="00892CDF">
        <w:rPr>
          <w:rFonts w:ascii="Courier New" w:hAnsi="Courier New" w:cs="Courier New"/>
        </w:rPr>
        <w:t xml:space="preserve">Appellate Tax </w:t>
      </w:r>
      <w:r w:rsidR="005F2445">
        <w:rPr>
          <w:rFonts w:ascii="Courier New" w:hAnsi="Courier New" w:cs="Courier New"/>
        </w:rPr>
        <w:t xml:space="preserve">Board </w:t>
      </w:r>
      <w:r w:rsidR="00892CDF">
        <w:rPr>
          <w:rFonts w:ascii="Courier New" w:hAnsi="Courier New" w:cs="Courier New"/>
        </w:rPr>
        <w:t xml:space="preserve">(“Board”) </w:t>
      </w:r>
      <w:r w:rsidR="005F2445">
        <w:rPr>
          <w:rFonts w:ascii="Courier New" w:hAnsi="Courier New" w:cs="Courier New"/>
        </w:rPr>
        <w:t>on June 14</w:t>
      </w:r>
      <w:r w:rsidR="00841938" w:rsidRPr="00966943">
        <w:rPr>
          <w:rFonts w:ascii="Courier New" w:hAnsi="Courier New" w:cs="Courier New"/>
        </w:rPr>
        <w:t>, 20</w:t>
      </w:r>
      <w:r w:rsidR="005F2445">
        <w:rPr>
          <w:rFonts w:ascii="Courier New" w:hAnsi="Courier New" w:cs="Courier New"/>
        </w:rPr>
        <w:t>13</w:t>
      </w:r>
      <w:r w:rsidR="00841938" w:rsidRPr="00966943">
        <w:rPr>
          <w:rFonts w:ascii="Courier New" w:hAnsi="Courier New" w:cs="Courier New"/>
        </w:rPr>
        <w:t>.  On the</w:t>
      </w:r>
      <w:r w:rsidR="005F2445">
        <w:rPr>
          <w:rFonts w:ascii="Courier New" w:hAnsi="Courier New" w:cs="Courier New"/>
        </w:rPr>
        <w:t xml:space="preserve"> basis of these facts, the Presiding Commissioner</w:t>
      </w:r>
      <w:r w:rsidR="00841938" w:rsidRPr="00966943">
        <w:rPr>
          <w:rFonts w:ascii="Courier New" w:hAnsi="Courier New" w:cs="Courier New"/>
        </w:rPr>
        <w:t xml:space="preserve"> f</w:t>
      </w:r>
      <w:r w:rsidR="005F2445">
        <w:rPr>
          <w:rFonts w:ascii="Courier New" w:hAnsi="Courier New" w:cs="Courier New"/>
        </w:rPr>
        <w:t>ound and ruled that the Board</w:t>
      </w:r>
      <w:r w:rsidR="00841938" w:rsidRPr="00966943">
        <w:rPr>
          <w:rFonts w:ascii="Courier New" w:hAnsi="Courier New" w:cs="Courier New"/>
        </w:rPr>
        <w:t xml:space="preserve"> had jurisdiction to hear and de</w:t>
      </w:r>
      <w:r w:rsidR="00841938">
        <w:rPr>
          <w:rFonts w:ascii="Courier New" w:hAnsi="Courier New" w:cs="Courier New"/>
        </w:rPr>
        <w:t>cide the</w:t>
      </w:r>
      <w:r w:rsidR="005F2445">
        <w:rPr>
          <w:rFonts w:ascii="Courier New" w:hAnsi="Courier New" w:cs="Courier New"/>
        </w:rPr>
        <w:t xml:space="preserve"> instant appeal</w:t>
      </w:r>
      <w:r w:rsidR="00841938" w:rsidRPr="00966943">
        <w:rPr>
          <w:rFonts w:ascii="Courier New" w:hAnsi="Courier New" w:cs="Courier New"/>
        </w:rPr>
        <w:t>.</w:t>
      </w:r>
    </w:p>
    <w:p w:rsidR="00062F09" w:rsidRDefault="00C83721" w:rsidP="00841938">
      <w:pPr>
        <w:spacing w:line="480" w:lineRule="auto"/>
        <w:ind w:firstLine="720"/>
        <w:jc w:val="both"/>
        <w:rPr>
          <w:rFonts w:ascii="Courier New" w:hAnsi="Courier New" w:cs="Courier New"/>
        </w:rPr>
      </w:pPr>
      <w:r>
        <w:rPr>
          <w:rFonts w:ascii="Courier New" w:hAnsi="Courier New" w:cs="Courier New"/>
        </w:rPr>
        <w:t xml:space="preserve">The subject property </w:t>
      </w:r>
      <w:r w:rsidR="00E13D7C">
        <w:rPr>
          <w:rFonts w:ascii="Courier New" w:hAnsi="Courier New" w:cs="Courier New"/>
        </w:rPr>
        <w:t>is a</w:t>
      </w:r>
      <w:r w:rsidR="00710F6A">
        <w:rPr>
          <w:rFonts w:ascii="Courier New" w:hAnsi="Courier New" w:cs="Courier New"/>
        </w:rPr>
        <w:t xml:space="preserve"> 3.2-acre</w:t>
      </w:r>
      <w:r w:rsidR="00E13D7C">
        <w:rPr>
          <w:rFonts w:ascii="Courier New" w:hAnsi="Courier New" w:cs="Courier New"/>
        </w:rPr>
        <w:t xml:space="preserve"> waterfront property,</w:t>
      </w:r>
      <w:r w:rsidR="00072071">
        <w:rPr>
          <w:rFonts w:ascii="Courier New" w:hAnsi="Courier New" w:cs="Courier New"/>
        </w:rPr>
        <w:t xml:space="preserve"> </w:t>
      </w:r>
      <w:r w:rsidR="00710F6A">
        <w:rPr>
          <w:rFonts w:ascii="Courier New" w:hAnsi="Courier New" w:cs="Courier New"/>
        </w:rPr>
        <w:t xml:space="preserve">situated on </w:t>
      </w:r>
      <w:r w:rsidR="00710F6A" w:rsidRPr="000A3C10">
        <w:rPr>
          <w:rFonts w:ascii="Courier New" w:hAnsi="Courier New" w:cs="Courier New"/>
        </w:rPr>
        <w:t>Queen Lake</w:t>
      </w:r>
      <w:r w:rsidR="00710F6A">
        <w:rPr>
          <w:rFonts w:ascii="Courier New" w:hAnsi="Courier New" w:cs="Courier New"/>
        </w:rPr>
        <w:t xml:space="preserve">, </w:t>
      </w:r>
      <w:r w:rsidR="00072071">
        <w:rPr>
          <w:rFonts w:ascii="Courier New" w:hAnsi="Courier New" w:cs="Courier New"/>
        </w:rPr>
        <w:t>which is improved with a</w:t>
      </w:r>
      <w:r w:rsidR="00E13D7C">
        <w:rPr>
          <w:rFonts w:ascii="Courier New" w:hAnsi="Courier New" w:cs="Courier New"/>
        </w:rPr>
        <w:t xml:space="preserve"> bungalow-style</w:t>
      </w:r>
      <w:r w:rsidR="00514433">
        <w:rPr>
          <w:rFonts w:ascii="Courier New" w:hAnsi="Courier New" w:cs="Courier New"/>
        </w:rPr>
        <w:t xml:space="preserve"> </w:t>
      </w:r>
      <w:r w:rsidR="00E13D7C">
        <w:rPr>
          <w:rFonts w:ascii="Courier New" w:hAnsi="Courier New" w:cs="Courier New"/>
        </w:rPr>
        <w:t xml:space="preserve">residence (“subject home”).  The subject home contains </w:t>
      </w:r>
      <w:r w:rsidR="008024EB">
        <w:rPr>
          <w:rFonts w:ascii="Courier New" w:hAnsi="Courier New" w:cs="Courier New"/>
        </w:rPr>
        <w:t>739 square feet of living area, 528 feet on the first floor and an additional 21</w:t>
      </w:r>
      <w:r w:rsidR="00B331A1">
        <w:rPr>
          <w:rFonts w:ascii="Courier New" w:hAnsi="Courier New" w:cs="Courier New"/>
        </w:rPr>
        <w:t>1</w:t>
      </w:r>
      <w:r w:rsidR="008024EB">
        <w:rPr>
          <w:rFonts w:ascii="Courier New" w:hAnsi="Courier New" w:cs="Courier New"/>
        </w:rPr>
        <w:t xml:space="preserve"> square feet in the finished attic expansion, and is comprised of six rooms, including two bedrooms, as well as one full bathroom. </w:t>
      </w:r>
      <w:r w:rsidR="004736A6">
        <w:rPr>
          <w:rFonts w:ascii="Courier New" w:hAnsi="Courier New" w:cs="Courier New"/>
        </w:rPr>
        <w:t xml:space="preserve"> </w:t>
      </w:r>
      <w:r w:rsidR="00DB436F">
        <w:rPr>
          <w:rFonts w:ascii="Courier New" w:hAnsi="Courier New" w:cs="Courier New"/>
        </w:rPr>
        <w:t xml:space="preserve">The subject home </w:t>
      </w:r>
      <w:r w:rsidR="000140E6">
        <w:rPr>
          <w:rFonts w:ascii="Courier New" w:hAnsi="Courier New" w:cs="Courier New"/>
        </w:rPr>
        <w:t>is a seasonal dwelling and lacks a central heating system.</w:t>
      </w:r>
      <w:r w:rsidR="004736A6">
        <w:rPr>
          <w:rFonts w:ascii="Courier New" w:hAnsi="Courier New" w:cs="Courier New"/>
        </w:rPr>
        <w:t xml:space="preserve"> </w:t>
      </w:r>
      <w:r w:rsidR="00DB436F">
        <w:rPr>
          <w:rFonts w:ascii="Courier New" w:hAnsi="Courier New" w:cs="Courier New"/>
        </w:rPr>
        <w:t xml:space="preserve"> </w:t>
      </w:r>
      <w:r w:rsidR="006D49CD">
        <w:rPr>
          <w:rFonts w:ascii="Courier New" w:hAnsi="Courier New" w:cs="Courier New"/>
        </w:rPr>
        <w:t>The assessors classified the subject home’s bathroom and kitchen as being “old style,” and they rate</w:t>
      </w:r>
      <w:r w:rsidR="006C64CB">
        <w:rPr>
          <w:rFonts w:ascii="Courier New" w:hAnsi="Courier New" w:cs="Courier New"/>
        </w:rPr>
        <w:t>d</w:t>
      </w:r>
      <w:r w:rsidR="006D49CD">
        <w:rPr>
          <w:rFonts w:ascii="Courier New" w:hAnsi="Courier New" w:cs="Courier New"/>
        </w:rPr>
        <w:t xml:space="preserve"> the subject home</w:t>
      </w:r>
      <w:r w:rsidR="004D5EB0">
        <w:rPr>
          <w:rFonts w:ascii="Courier New" w:hAnsi="Courier New" w:cs="Courier New"/>
        </w:rPr>
        <w:t xml:space="preserve"> as being in overall “average +</w:t>
      </w:r>
      <w:r w:rsidR="006D49CD">
        <w:rPr>
          <w:rFonts w:ascii="Courier New" w:hAnsi="Courier New" w:cs="Courier New"/>
        </w:rPr>
        <w:t>10” cond</w:t>
      </w:r>
      <w:r w:rsidR="005E04C9">
        <w:rPr>
          <w:rFonts w:ascii="Courier New" w:hAnsi="Courier New" w:cs="Courier New"/>
        </w:rPr>
        <w:t>i</w:t>
      </w:r>
      <w:r w:rsidR="006D49CD">
        <w:rPr>
          <w:rFonts w:ascii="Courier New" w:hAnsi="Courier New" w:cs="Courier New"/>
        </w:rPr>
        <w:t>tion.</w:t>
      </w:r>
      <w:r w:rsidR="005E04C9">
        <w:rPr>
          <w:rFonts w:ascii="Courier New" w:hAnsi="Courier New" w:cs="Courier New"/>
        </w:rPr>
        <w:t xml:space="preserve">  </w:t>
      </w:r>
      <w:r w:rsidR="006979D8">
        <w:rPr>
          <w:rFonts w:ascii="Courier New" w:hAnsi="Courier New" w:cs="Courier New"/>
        </w:rPr>
        <w:t>Amenities include skylig</w:t>
      </w:r>
      <w:r w:rsidR="00B60DD3">
        <w:rPr>
          <w:rFonts w:ascii="Courier New" w:hAnsi="Courier New" w:cs="Courier New"/>
        </w:rPr>
        <w:t>hts, a 120-square-foot screened-</w:t>
      </w:r>
      <w:r w:rsidR="006979D8">
        <w:rPr>
          <w:rFonts w:ascii="Courier New" w:hAnsi="Courier New" w:cs="Courier New"/>
        </w:rPr>
        <w:t>in finished porch, a 326-square-foot deck</w:t>
      </w:r>
      <w:r w:rsidR="00B677CD">
        <w:rPr>
          <w:rFonts w:ascii="Courier New" w:hAnsi="Courier New" w:cs="Courier New"/>
        </w:rPr>
        <w:t xml:space="preserve"> off of the first floor</w:t>
      </w:r>
      <w:r w:rsidR="006979D8">
        <w:rPr>
          <w:rFonts w:ascii="Courier New" w:hAnsi="Courier New" w:cs="Courier New"/>
        </w:rPr>
        <w:t>,</w:t>
      </w:r>
      <w:r w:rsidR="00737401">
        <w:rPr>
          <w:rFonts w:ascii="Courier New" w:hAnsi="Courier New" w:cs="Courier New"/>
        </w:rPr>
        <w:t xml:space="preserve"> a</w:t>
      </w:r>
      <w:r w:rsidR="00B677CD">
        <w:rPr>
          <w:rFonts w:ascii="Courier New" w:hAnsi="Courier New" w:cs="Courier New"/>
        </w:rPr>
        <w:t xml:space="preserve"> 240-square-foot detached wooden deck,</w:t>
      </w:r>
      <w:r w:rsidR="00514433">
        <w:rPr>
          <w:rFonts w:ascii="Courier New" w:hAnsi="Courier New" w:cs="Courier New"/>
        </w:rPr>
        <w:t xml:space="preserve"> a 64-</w:t>
      </w:r>
      <w:r w:rsidR="006979D8">
        <w:rPr>
          <w:rFonts w:ascii="Courier New" w:hAnsi="Courier New" w:cs="Courier New"/>
        </w:rPr>
        <w:t>square-foot storage shed, and a</w:t>
      </w:r>
      <w:r w:rsidR="00B677CD">
        <w:rPr>
          <w:rFonts w:ascii="Courier New" w:hAnsi="Courier New" w:cs="Courier New"/>
        </w:rPr>
        <w:t>n outside fireplace</w:t>
      </w:r>
      <w:r w:rsidR="006979D8">
        <w:rPr>
          <w:rFonts w:ascii="Courier New" w:hAnsi="Courier New" w:cs="Courier New"/>
        </w:rPr>
        <w:t>.</w:t>
      </w:r>
    </w:p>
    <w:p w:rsidR="00460625" w:rsidRDefault="00460625" w:rsidP="00841938">
      <w:pPr>
        <w:spacing w:line="480" w:lineRule="auto"/>
        <w:ind w:firstLine="720"/>
        <w:jc w:val="both"/>
        <w:rPr>
          <w:rFonts w:ascii="Courier New" w:hAnsi="Courier New" w:cs="Courier New"/>
        </w:rPr>
      </w:pPr>
      <w:r>
        <w:rPr>
          <w:rFonts w:ascii="Courier New" w:hAnsi="Courier New" w:cs="Courier New"/>
        </w:rPr>
        <w:t>The appellant</w:t>
      </w:r>
      <w:r w:rsidR="00062F09">
        <w:rPr>
          <w:rFonts w:ascii="Courier New" w:hAnsi="Courier New" w:cs="Courier New"/>
        </w:rPr>
        <w:t>s presented their</w:t>
      </w:r>
      <w:r>
        <w:rPr>
          <w:rFonts w:ascii="Courier New" w:hAnsi="Courier New" w:cs="Courier New"/>
        </w:rPr>
        <w:t xml:space="preserve"> case-in-chief through the testimony and appraisal report of Philip R. Pineo, whom the Presiding Commissioner qualified as an expert in the </w:t>
      </w:r>
      <w:r>
        <w:rPr>
          <w:rFonts w:ascii="Courier New" w:hAnsi="Courier New" w:cs="Courier New"/>
        </w:rPr>
        <w:lastRenderedPageBreak/>
        <w:t xml:space="preserve">area of residential real estate valuation, and the testimony of appellant, Richard J. McDonald.  </w:t>
      </w:r>
    </w:p>
    <w:p w:rsidR="00A10A00" w:rsidRDefault="004D17F7" w:rsidP="00372A21">
      <w:pPr>
        <w:spacing w:line="480" w:lineRule="auto"/>
        <w:ind w:firstLine="720"/>
        <w:jc w:val="both"/>
        <w:rPr>
          <w:rFonts w:ascii="Courier New" w:hAnsi="Courier New" w:cs="Courier New"/>
        </w:rPr>
      </w:pPr>
      <w:r>
        <w:rPr>
          <w:rFonts w:ascii="Courier New" w:hAnsi="Courier New" w:cs="Courier New"/>
        </w:rPr>
        <w:t xml:space="preserve">Mr. Pineo </w:t>
      </w:r>
      <w:r w:rsidR="003B4EE9">
        <w:rPr>
          <w:rFonts w:ascii="Courier New" w:hAnsi="Courier New" w:cs="Courier New"/>
        </w:rPr>
        <w:t>presented his appraisal report, in which he developed a sales-comparison approach to value the subject pro</w:t>
      </w:r>
      <w:r w:rsidR="007D3E00">
        <w:rPr>
          <w:rFonts w:ascii="Courier New" w:hAnsi="Courier New" w:cs="Courier New"/>
        </w:rPr>
        <w:t>perty.  Mr. Pineo selected four</w:t>
      </w:r>
      <w:r w:rsidR="003B4EE9">
        <w:rPr>
          <w:rFonts w:ascii="Courier New" w:hAnsi="Courier New" w:cs="Courier New"/>
        </w:rPr>
        <w:t xml:space="preserve"> p</w:t>
      </w:r>
      <w:r w:rsidR="007D3E00">
        <w:rPr>
          <w:rFonts w:ascii="Courier New" w:hAnsi="Courier New" w:cs="Courier New"/>
        </w:rPr>
        <w:t>urportedly comparable sales,</w:t>
      </w:r>
      <w:r w:rsidR="00C260D7">
        <w:rPr>
          <w:rFonts w:ascii="Courier New" w:hAnsi="Courier New" w:cs="Courier New"/>
        </w:rPr>
        <w:t xml:space="preserve"> </w:t>
      </w:r>
      <w:r w:rsidR="0000546F">
        <w:rPr>
          <w:rFonts w:ascii="Courier New" w:hAnsi="Courier New" w:cs="Courier New"/>
        </w:rPr>
        <w:t xml:space="preserve">which he claimed were </w:t>
      </w:r>
      <w:r w:rsidR="00C260D7">
        <w:rPr>
          <w:rFonts w:ascii="Courier New" w:hAnsi="Courier New" w:cs="Courier New"/>
        </w:rPr>
        <w:t>all waterfront properties.  Mr. Pineo’s analysis is summarized in the table below:</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1620"/>
        <w:gridCol w:w="2160"/>
        <w:gridCol w:w="1980"/>
      </w:tblGrid>
      <w:tr w:rsidR="002300DA" w:rsidRPr="000254B8" w:rsidTr="000254B8">
        <w:tc>
          <w:tcPr>
            <w:tcW w:w="2340" w:type="dxa"/>
            <w:shd w:val="clear" w:color="auto" w:fill="auto"/>
          </w:tcPr>
          <w:p w:rsidR="005E796D" w:rsidRPr="000254B8" w:rsidRDefault="005E796D" w:rsidP="00C8341F">
            <w:pPr>
              <w:rPr>
                <w:rFonts w:ascii="Courier New" w:hAnsi="Courier New" w:cs="Courier New"/>
                <w:b/>
                <w:sz w:val="20"/>
                <w:szCs w:val="20"/>
              </w:rPr>
            </w:pPr>
          </w:p>
          <w:p w:rsidR="00C8341F" w:rsidRPr="000254B8" w:rsidRDefault="00C8341F" w:rsidP="00C8341F">
            <w:pPr>
              <w:rPr>
                <w:rFonts w:ascii="Courier New" w:hAnsi="Courier New" w:cs="Courier New"/>
                <w:b/>
                <w:sz w:val="20"/>
                <w:szCs w:val="20"/>
              </w:rPr>
            </w:pPr>
          </w:p>
        </w:tc>
        <w:tc>
          <w:tcPr>
            <w:tcW w:w="2340" w:type="dxa"/>
            <w:shd w:val="clear" w:color="auto" w:fill="auto"/>
          </w:tcPr>
          <w:p w:rsidR="005E796D" w:rsidRPr="000254B8" w:rsidRDefault="002300DA" w:rsidP="000254B8">
            <w:pPr>
              <w:jc w:val="both"/>
              <w:rPr>
                <w:rFonts w:ascii="Courier New" w:hAnsi="Courier New" w:cs="Courier New"/>
                <w:b/>
                <w:sz w:val="20"/>
                <w:szCs w:val="20"/>
              </w:rPr>
            </w:pPr>
            <w:r w:rsidRPr="000254B8">
              <w:rPr>
                <w:rFonts w:ascii="Courier New" w:hAnsi="Courier New" w:cs="Courier New"/>
                <w:b/>
                <w:sz w:val="20"/>
                <w:szCs w:val="20"/>
              </w:rPr>
              <w:t>Comparable 1</w:t>
            </w:r>
          </w:p>
          <w:p w:rsidR="002300DA"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4 Pine Point, Phillipston</w:t>
            </w:r>
          </w:p>
        </w:tc>
        <w:tc>
          <w:tcPr>
            <w:tcW w:w="1620" w:type="dxa"/>
            <w:shd w:val="clear" w:color="auto" w:fill="auto"/>
          </w:tcPr>
          <w:p w:rsidR="005E796D" w:rsidRPr="000254B8" w:rsidRDefault="002300DA" w:rsidP="000254B8">
            <w:pPr>
              <w:jc w:val="both"/>
              <w:rPr>
                <w:rFonts w:ascii="Courier New" w:hAnsi="Courier New" w:cs="Courier New"/>
                <w:b/>
                <w:sz w:val="20"/>
                <w:szCs w:val="20"/>
              </w:rPr>
            </w:pPr>
            <w:r w:rsidRPr="000254B8">
              <w:rPr>
                <w:rFonts w:ascii="Courier New" w:hAnsi="Courier New" w:cs="Courier New"/>
                <w:b/>
                <w:sz w:val="20"/>
                <w:szCs w:val="20"/>
              </w:rPr>
              <w:t>Adjustments</w:t>
            </w:r>
          </w:p>
          <w:p w:rsidR="00F6480C" w:rsidRPr="000254B8" w:rsidRDefault="00F6480C" w:rsidP="000254B8">
            <w:pPr>
              <w:jc w:val="both"/>
              <w:rPr>
                <w:rFonts w:ascii="Courier New" w:hAnsi="Courier New" w:cs="Courier New"/>
                <w:b/>
                <w:sz w:val="20"/>
                <w:szCs w:val="20"/>
              </w:rPr>
            </w:pPr>
          </w:p>
        </w:tc>
        <w:tc>
          <w:tcPr>
            <w:tcW w:w="2160" w:type="dxa"/>
            <w:shd w:val="clear" w:color="auto" w:fill="auto"/>
          </w:tcPr>
          <w:p w:rsidR="005E796D" w:rsidRPr="000254B8" w:rsidRDefault="002300DA" w:rsidP="000254B8">
            <w:pPr>
              <w:tabs>
                <w:tab w:val="left" w:pos="0"/>
              </w:tabs>
              <w:rPr>
                <w:rFonts w:ascii="Courier New" w:hAnsi="Courier New" w:cs="Courier New"/>
                <w:b/>
                <w:sz w:val="20"/>
                <w:szCs w:val="20"/>
              </w:rPr>
            </w:pPr>
            <w:r w:rsidRPr="000254B8">
              <w:rPr>
                <w:rFonts w:ascii="Courier New" w:hAnsi="Courier New" w:cs="Courier New"/>
                <w:b/>
                <w:sz w:val="20"/>
                <w:szCs w:val="20"/>
              </w:rPr>
              <w:t>Comparable 2</w:t>
            </w:r>
          </w:p>
          <w:p w:rsidR="00605E71" w:rsidRPr="000254B8" w:rsidRDefault="00605E71" w:rsidP="000254B8">
            <w:pPr>
              <w:tabs>
                <w:tab w:val="left" w:pos="0"/>
              </w:tabs>
              <w:rPr>
                <w:rFonts w:ascii="Courier New" w:hAnsi="Courier New" w:cs="Courier New"/>
                <w:sz w:val="20"/>
                <w:szCs w:val="20"/>
              </w:rPr>
            </w:pPr>
            <w:r w:rsidRPr="000254B8">
              <w:rPr>
                <w:rFonts w:ascii="Courier New" w:hAnsi="Courier New" w:cs="Courier New"/>
                <w:sz w:val="20"/>
                <w:szCs w:val="20"/>
              </w:rPr>
              <w:t>115 Secret Lake Rd</w:t>
            </w:r>
          </w:p>
          <w:p w:rsidR="00605E71" w:rsidRPr="000254B8" w:rsidRDefault="00605E71" w:rsidP="000254B8">
            <w:pPr>
              <w:tabs>
                <w:tab w:val="left" w:pos="0"/>
              </w:tabs>
              <w:rPr>
                <w:rFonts w:ascii="Courier New" w:hAnsi="Courier New" w:cs="Courier New"/>
                <w:sz w:val="20"/>
                <w:szCs w:val="20"/>
              </w:rPr>
            </w:pPr>
            <w:r w:rsidRPr="000254B8">
              <w:rPr>
                <w:rFonts w:ascii="Courier New" w:hAnsi="Courier New" w:cs="Courier New"/>
                <w:sz w:val="20"/>
                <w:szCs w:val="20"/>
              </w:rPr>
              <w:t>Phillipston</w:t>
            </w:r>
          </w:p>
        </w:tc>
        <w:tc>
          <w:tcPr>
            <w:tcW w:w="1980" w:type="dxa"/>
            <w:shd w:val="clear" w:color="auto" w:fill="auto"/>
          </w:tcPr>
          <w:p w:rsidR="005E796D" w:rsidRPr="000254B8" w:rsidRDefault="00B83AE9" w:rsidP="000254B8">
            <w:pPr>
              <w:jc w:val="both"/>
              <w:rPr>
                <w:rFonts w:ascii="Courier New" w:hAnsi="Courier New" w:cs="Courier New"/>
                <w:b/>
                <w:sz w:val="20"/>
                <w:szCs w:val="20"/>
              </w:rPr>
            </w:pPr>
            <w:r w:rsidRPr="000254B8">
              <w:rPr>
                <w:rFonts w:ascii="Courier New" w:hAnsi="Courier New" w:cs="Courier New"/>
                <w:b/>
                <w:sz w:val="20"/>
                <w:szCs w:val="20"/>
              </w:rPr>
              <w:t>A</w:t>
            </w:r>
            <w:r w:rsidR="002300DA" w:rsidRPr="000254B8">
              <w:rPr>
                <w:rFonts w:ascii="Courier New" w:hAnsi="Courier New" w:cs="Courier New"/>
                <w:b/>
                <w:sz w:val="20"/>
                <w:szCs w:val="20"/>
              </w:rPr>
              <w:t>djustments</w:t>
            </w:r>
          </w:p>
        </w:tc>
      </w:tr>
      <w:tr w:rsidR="002300DA" w:rsidRPr="000254B8" w:rsidTr="000254B8">
        <w:tc>
          <w:tcPr>
            <w:tcW w:w="2340" w:type="dxa"/>
            <w:shd w:val="clear" w:color="auto" w:fill="auto"/>
          </w:tcPr>
          <w:p w:rsidR="002300DA" w:rsidRPr="000254B8" w:rsidRDefault="002300DA" w:rsidP="00C8341F">
            <w:pPr>
              <w:rPr>
                <w:rFonts w:ascii="Courier New" w:hAnsi="Courier New" w:cs="Courier New"/>
                <w:b/>
                <w:sz w:val="20"/>
                <w:szCs w:val="20"/>
              </w:rPr>
            </w:pPr>
            <w:r w:rsidRPr="000254B8">
              <w:rPr>
                <w:rFonts w:ascii="Courier New" w:hAnsi="Courier New" w:cs="Courier New"/>
                <w:b/>
                <w:sz w:val="20"/>
                <w:szCs w:val="20"/>
              </w:rPr>
              <w:t>Sale date</w:t>
            </w:r>
          </w:p>
          <w:p w:rsidR="002300DA" w:rsidRPr="000254B8" w:rsidRDefault="002300DA" w:rsidP="00C8341F">
            <w:pPr>
              <w:rPr>
                <w:rFonts w:ascii="Courier New" w:hAnsi="Courier New" w:cs="Courier New"/>
                <w:b/>
                <w:sz w:val="20"/>
                <w:szCs w:val="20"/>
              </w:rPr>
            </w:pPr>
            <w:r w:rsidRPr="000254B8">
              <w:rPr>
                <w:rFonts w:ascii="Courier New" w:hAnsi="Courier New" w:cs="Courier New"/>
                <w:b/>
                <w:sz w:val="20"/>
                <w:szCs w:val="20"/>
              </w:rPr>
              <w:t>Sale price</w:t>
            </w:r>
          </w:p>
        </w:tc>
        <w:tc>
          <w:tcPr>
            <w:tcW w:w="2340" w:type="dxa"/>
            <w:shd w:val="clear" w:color="auto" w:fill="auto"/>
          </w:tcPr>
          <w:p w:rsidR="002300DA"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08/26/2011</w:t>
            </w:r>
          </w:p>
          <w:p w:rsidR="002300DA"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$200,000</w:t>
            </w:r>
          </w:p>
        </w:tc>
        <w:tc>
          <w:tcPr>
            <w:tcW w:w="1620" w:type="dxa"/>
            <w:shd w:val="clear" w:color="auto" w:fill="auto"/>
          </w:tcPr>
          <w:p w:rsidR="002300DA" w:rsidRPr="000254B8" w:rsidRDefault="002300DA" w:rsidP="000254B8">
            <w:pPr>
              <w:jc w:val="both"/>
              <w:rPr>
                <w:rFonts w:ascii="Courier New" w:hAnsi="Courier New" w:cs="Courier New"/>
                <w:sz w:val="20"/>
                <w:szCs w:val="20"/>
              </w:rPr>
            </w:pPr>
          </w:p>
        </w:tc>
        <w:tc>
          <w:tcPr>
            <w:tcW w:w="2160" w:type="dxa"/>
            <w:shd w:val="clear" w:color="auto" w:fill="auto"/>
          </w:tcPr>
          <w:p w:rsidR="002300DA" w:rsidRPr="000254B8" w:rsidRDefault="00605E71" w:rsidP="000254B8">
            <w:pPr>
              <w:tabs>
                <w:tab w:val="left" w:pos="0"/>
              </w:tabs>
              <w:jc w:val="both"/>
              <w:rPr>
                <w:rFonts w:ascii="Courier New" w:hAnsi="Courier New" w:cs="Courier New"/>
                <w:sz w:val="20"/>
                <w:szCs w:val="20"/>
              </w:rPr>
            </w:pPr>
            <w:r w:rsidRPr="000254B8">
              <w:rPr>
                <w:rFonts w:ascii="Courier New" w:hAnsi="Courier New" w:cs="Courier New"/>
                <w:sz w:val="20"/>
                <w:szCs w:val="20"/>
              </w:rPr>
              <w:t>10/14/2011</w:t>
            </w:r>
          </w:p>
          <w:p w:rsidR="00605E71" w:rsidRPr="000254B8" w:rsidRDefault="00605E71" w:rsidP="000254B8">
            <w:pPr>
              <w:tabs>
                <w:tab w:val="left" w:pos="0"/>
              </w:tabs>
              <w:jc w:val="both"/>
              <w:rPr>
                <w:rFonts w:ascii="Courier New" w:hAnsi="Courier New" w:cs="Courier New"/>
                <w:sz w:val="20"/>
                <w:szCs w:val="20"/>
              </w:rPr>
            </w:pPr>
            <w:r w:rsidRPr="000254B8">
              <w:rPr>
                <w:rFonts w:ascii="Courier New" w:hAnsi="Courier New" w:cs="Courier New"/>
                <w:sz w:val="20"/>
                <w:szCs w:val="20"/>
              </w:rPr>
              <w:t>$275,000</w:t>
            </w:r>
          </w:p>
        </w:tc>
        <w:tc>
          <w:tcPr>
            <w:tcW w:w="1980" w:type="dxa"/>
            <w:shd w:val="clear" w:color="auto" w:fill="auto"/>
          </w:tcPr>
          <w:p w:rsidR="002300DA" w:rsidRPr="000254B8" w:rsidRDefault="002300DA" w:rsidP="000254B8">
            <w:pPr>
              <w:jc w:val="both"/>
              <w:rPr>
                <w:rFonts w:ascii="Courier New" w:hAnsi="Courier New" w:cs="Courier New"/>
                <w:sz w:val="20"/>
                <w:szCs w:val="20"/>
              </w:rPr>
            </w:pPr>
          </w:p>
        </w:tc>
      </w:tr>
      <w:tr w:rsidR="002300DA" w:rsidRPr="000254B8" w:rsidTr="000254B8">
        <w:tc>
          <w:tcPr>
            <w:tcW w:w="2340" w:type="dxa"/>
            <w:shd w:val="clear" w:color="auto" w:fill="auto"/>
          </w:tcPr>
          <w:p w:rsidR="000858C2" w:rsidRPr="000254B8" w:rsidRDefault="000858C2" w:rsidP="00C8341F">
            <w:pPr>
              <w:rPr>
                <w:rFonts w:ascii="Courier New" w:hAnsi="Courier New" w:cs="Courier New"/>
                <w:b/>
                <w:sz w:val="20"/>
                <w:szCs w:val="20"/>
              </w:rPr>
            </w:pPr>
            <w:r w:rsidRPr="000254B8">
              <w:rPr>
                <w:rFonts w:ascii="Courier New" w:hAnsi="Courier New" w:cs="Courier New"/>
                <w:b/>
                <w:sz w:val="20"/>
                <w:szCs w:val="20"/>
              </w:rPr>
              <w:t>Location</w:t>
            </w:r>
          </w:p>
          <w:p w:rsidR="00C8341F" w:rsidRPr="000254B8" w:rsidRDefault="00C8341F" w:rsidP="00C8341F">
            <w:pPr>
              <w:rPr>
                <w:rFonts w:ascii="Courier New" w:hAnsi="Courier New" w:cs="Courier New"/>
                <w:b/>
                <w:sz w:val="20"/>
                <w:szCs w:val="20"/>
              </w:rPr>
            </w:pPr>
          </w:p>
        </w:tc>
        <w:tc>
          <w:tcPr>
            <w:tcW w:w="2340" w:type="dxa"/>
            <w:shd w:val="clear" w:color="auto" w:fill="auto"/>
          </w:tcPr>
          <w:p w:rsidR="005E796D"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0.51 miles</w:t>
            </w:r>
          </w:p>
          <w:p w:rsidR="002300DA"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waterfront/</w:t>
            </w:r>
            <w:r w:rsidR="00DF4F83" w:rsidRPr="000254B8">
              <w:rPr>
                <w:rFonts w:ascii="Courier New" w:hAnsi="Courier New" w:cs="Courier New"/>
                <w:sz w:val="20"/>
                <w:szCs w:val="20"/>
              </w:rPr>
              <w:t xml:space="preserve">above </w:t>
            </w:r>
            <w:r w:rsidRPr="000254B8">
              <w:rPr>
                <w:rFonts w:ascii="Courier New" w:hAnsi="Courier New" w:cs="Courier New"/>
                <w:sz w:val="20"/>
                <w:szCs w:val="20"/>
              </w:rPr>
              <w:t>avg.</w:t>
            </w:r>
          </w:p>
        </w:tc>
        <w:tc>
          <w:tcPr>
            <w:tcW w:w="1620" w:type="dxa"/>
            <w:shd w:val="clear" w:color="auto" w:fill="auto"/>
          </w:tcPr>
          <w:p w:rsidR="005E796D" w:rsidRPr="000254B8" w:rsidRDefault="005E796D" w:rsidP="000254B8">
            <w:pPr>
              <w:jc w:val="both"/>
              <w:rPr>
                <w:rFonts w:ascii="Courier New" w:hAnsi="Courier New" w:cs="Courier New"/>
                <w:sz w:val="20"/>
                <w:szCs w:val="20"/>
              </w:rPr>
            </w:pPr>
          </w:p>
        </w:tc>
        <w:tc>
          <w:tcPr>
            <w:tcW w:w="2160" w:type="dxa"/>
            <w:shd w:val="clear" w:color="auto" w:fill="auto"/>
          </w:tcPr>
          <w:p w:rsidR="005E796D" w:rsidRPr="000254B8" w:rsidRDefault="00605E71" w:rsidP="000254B8">
            <w:pPr>
              <w:jc w:val="both"/>
              <w:rPr>
                <w:rFonts w:ascii="Courier New" w:hAnsi="Courier New" w:cs="Courier New"/>
                <w:sz w:val="20"/>
                <w:szCs w:val="20"/>
              </w:rPr>
            </w:pPr>
            <w:r w:rsidRPr="000254B8">
              <w:rPr>
                <w:rFonts w:ascii="Courier New" w:hAnsi="Courier New" w:cs="Courier New"/>
                <w:sz w:val="20"/>
                <w:szCs w:val="20"/>
              </w:rPr>
              <w:t>3.78 miles</w:t>
            </w:r>
          </w:p>
          <w:p w:rsidR="00605E71" w:rsidRPr="000254B8" w:rsidRDefault="00605E71" w:rsidP="000254B8">
            <w:pPr>
              <w:jc w:val="both"/>
              <w:rPr>
                <w:rFonts w:ascii="Courier New" w:hAnsi="Courier New" w:cs="Courier New"/>
                <w:sz w:val="20"/>
                <w:szCs w:val="20"/>
              </w:rPr>
            </w:pPr>
            <w:r w:rsidRPr="000254B8">
              <w:rPr>
                <w:rFonts w:ascii="Courier New" w:hAnsi="Courier New" w:cs="Courier New"/>
                <w:sz w:val="20"/>
                <w:szCs w:val="20"/>
              </w:rPr>
              <w:t>waterfront/avg.</w:t>
            </w:r>
          </w:p>
        </w:tc>
        <w:tc>
          <w:tcPr>
            <w:tcW w:w="1980" w:type="dxa"/>
            <w:shd w:val="clear" w:color="auto" w:fill="auto"/>
          </w:tcPr>
          <w:p w:rsidR="005E796D" w:rsidRPr="000254B8" w:rsidRDefault="005E796D" w:rsidP="000254B8">
            <w:pPr>
              <w:jc w:val="both"/>
              <w:rPr>
                <w:rFonts w:ascii="Courier New" w:hAnsi="Courier New" w:cs="Courier New"/>
                <w:sz w:val="20"/>
                <w:szCs w:val="20"/>
              </w:rPr>
            </w:pPr>
          </w:p>
          <w:p w:rsidR="00DF4F83" w:rsidRPr="000254B8" w:rsidRDefault="001C5797" w:rsidP="000254B8">
            <w:pPr>
              <w:jc w:val="both"/>
              <w:rPr>
                <w:rFonts w:ascii="Courier New" w:hAnsi="Courier New" w:cs="Courier New"/>
                <w:sz w:val="20"/>
                <w:szCs w:val="20"/>
              </w:rPr>
            </w:pPr>
            <w:r w:rsidRPr="000254B8">
              <w:rPr>
                <w:rFonts w:ascii="Courier New" w:hAnsi="Courier New" w:cs="Courier New"/>
                <w:sz w:val="20"/>
                <w:szCs w:val="20"/>
              </w:rPr>
              <w:t xml:space="preserve"> </w:t>
            </w:r>
            <w:r w:rsidR="00DF4F83" w:rsidRPr="000254B8">
              <w:rPr>
                <w:rFonts w:ascii="Courier New" w:hAnsi="Courier New" w:cs="Courier New"/>
                <w:sz w:val="20"/>
                <w:szCs w:val="20"/>
              </w:rPr>
              <w:t>$13,750</w:t>
            </w:r>
          </w:p>
        </w:tc>
      </w:tr>
      <w:tr w:rsidR="002300DA" w:rsidRPr="000254B8" w:rsidTr="000254B8">
        <w:tc>
          <w:tcPr>
            <w:tcW w:w="2340" w:type="dxa"/>
            <w:shd w:val="clear" w:color="auto" w:fill="auto"/>
          </w:tcPr>
          <w:p w:rsidR="005E796D" w:rsidRPr="000254B8" w:rsidRDefault="000858C2" w:rsidP="00C8341F">
            <w:pPr>
              <w:rPr>
                <w:rFonts w:ascii="Courier New" w:hAnsi="Courier New" w:cs="Courier New"/>
                <w:b/>
                <w:sz w:val="20"/>
                <w:szCs w:val="20"/>
              </w:rPr>
            </w:pPr>
            <w:r w:rsidRPr="000254B8">
              <w:rPr>
                <w:rFonts w:ascii="Courier New" w:hAnsi="Courier New" w:cs="Courier New"/>
                <w:b/>
                <w:sz w:val="20"/>
                <w:szCs w:val="20"/>
              </w:rPr>
              <w:t>Land Size</w:t>
            </w:r>
          </w:p>
          <w:p w:rsidR="00C8341F" w:rsidRPr="000254B8" w:rsidRDefault="00C8341F" w:rsidP="00C8341F">
            <w:pPr>
              <w:rPr>
                <w:rFonts w:ascii="Courier New" w:hAnsi="Courier New" w:cs="Courier New"/>
                <w:b/>
                <w:sz w:val="20"/>
                <w:szCs w:val="20"/>
              </w:rPr>
            </w:pPr>
          </w:p>
        </w:tc>
        <w:tc>
          <w:tcPr>
            <w:tcW w:w="2340" w:type="dxa"/>
            <w:shd w:val="clear" w:color="auto" w:fill="auto"/>
          </w:tcPr>
          <w:p w:rsidR="005E796D"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0.26 acres</w:t>
            </w:r>
          </w:p>
        </w:tc>
        <w:tc>
          <w:tcPr>
            <w:tcW w:w="1620" w:type="dxa"/>
            <w:shd w:val="clear" w:color="auto" w:fill="auto"/>
          </w:tcPr>
          <w:p w:rsidR="005E796D" w:rsidRPr="000254B8" w:rsidRDefault="001C5797" w:rsidP="000254B8">
            <w:pPr>
              <w:jc w:val="both"/>
              <w:rPr>
                <w:rFonts w:ascii="Courier New" w:hAnsi="Courier New" w:cs="Courier New"/>
                <w:sz w:val="20"/>
                <w:szCs w:val="20"/>
              </w:rPr>
            </w:pPr>
            <w:r w:rsidRPr="000254B8">
              <w:rPr>
                <w:rFonts w:ascii="Courier New" w:hAnsi="Courier New" w:cs="Courier New"/>
                <w:sz w:val="20"/>
                <w:szCs w:val="20"/>
              </w:rPr>
              <w:t xml:space="preserve"> </w:t>
            </w:r>
            <w:r w:rsidR="00F6480C" w:rsidRPr="000254B8">
              <w:rPr>
                <w:rFonts w:ascii="Courier New" w:hAnsi="Courier New" w:cs="Courier New"/>
                <w:sz w:val="20"/>
                <w:szCs w:val="20"/>
              </w:rPr>
              <w:t>$</w:t>
            </w:r>
            <w:r w:rsidRPr="000254B8">
              <w:rPr>
                <w:rFonts w:ascii="Courier New" w:hAnsi="Courier New" w:cs="Courier New"/>
                <w:sz w:val="20"/>
                <w:szCs w:val="20"/>
              </w:rPr>
              <w:t xml:space="preserve"> </w:t>
            </w:r>
            <w:r w:rsidR="00F6480C" w:rsidRPr="000254B8">
              <w:rPr>
                <w:rFonts w:ascii="Courier New" w:hAnsi="Courier New" w:cs="Courier New"/>
                <w:sz w:val="20"/>
                <w:szCs w:val="20"/>
              </w:rPr>
              <w:t>7,350</w:t>
            </w:r>
          </w:p>
        </w:tc>
        <w:tc>
          <w:tcPr>
            <w:tcW w:w="2160" w:type="dxa"/>
            <w:shd w:val="clear" w:color="auto" w:fill="auto"/>
          </w:tcPr>
          <w:p w:rsidR="005E796D" w:rsidRPr="000254B8" w:rsidRDefault="00605E71" w:rsidP="000254B8">
            <w:pPr>
              <w:jc w:val="both"/>
              <w:rPr>
                <w:rFonts w:ascii="Courier New" w:hAnsi="Courier New" w:cs="Courier New"/>
                <w:sz w:val="20"/>
                <w:szCs w:val="20"/>
              </w:rPr>
            </w:pPr>
            <w:r w:rsidRPr="000254B8">
              <w:rPr>
                <w:rFonts w:ascii="Courier New" w:hAnsi="Courier New" w:cs="Courier New"/>
                <w:sz w:val="20"/>
                <w:szCs w:val="20"/>
              </w:rPr>
              <w:t>0.77 acres</w:t>
            </w:r>
          </w:p>
        </w:tc>
        <w:tc>
          <w:tcPr>
            <w:tcW w:w="1980" w:type="dxa"/>
            <w:shd w:val="clear" w:color="auto" w:fill="auto"/>
          </w:tcPr>
          <w:p w:rsidR="005E796D" w:rsidRPr="000254B8" w:rsidRDefault="001C5797" w:rsidP="000254B8">
            <w:pPr>
              <w:jc w:val="both"/>
              <w:rPr>
                <w:rFonts w:ascii="Courier New" w:hAnsi="Courier New" w:cs="Courier New"/>
                <w:sz w:val="20"/>
                <w:szCs w:val="20"/>
              </w:rPr>
            </w:pPr>
            <w:r w:rsidRPr="000254B8">
              <w:rPr>
                <w:rFonts w:ascii="Courier New" w:hAnsi="Courier New" w:cs="Courier New"/>
                <w:sz w:val="20"/>
                <w:szCs w:val="20"/>
              </w:rPr>
              <w:t xml:space="preserve"> </w:t>
            </w:r>
            <w:r w:rsidR="00DF4F83" w:rsidRPr="000254B8">
              <w:rPr>
                <w:rFonts w:ascii="Courier New" w:hAnsi="Courier New" w:cs="Courier New"/>
                <w:sz w:val="20"/>
                <w:szCs w:val="20"/>
              </w:rPr>
              <w:t>$</w:t>
            </w:r>
            <w:r w:rsidRPr="000254B8">
              <w:rPr>
                <w:rFonts w:ascii="Courier New" w:hAnsi="Courier New" w:cs="Courier New"/>
                <w:sz w:val="20"/>
                <w:szCs w:val="20"/>
              </w:rPr>
              <w:t xml:space="preserve"> </w:t>
            </w:r>
            <w:r w:rsidR="00DF4F83" w:rsidRPr="000254B8">
              <w:rPr>
                <w:rFonts w:ascii="Courier New" w:hAnsi="Courier New" w:cs="Courier New"/>
                <w:sz w:val="20"/>
                <w:szCs w:val="20"/>
              </w:rPr>
              <w:t>6,075</w:t>
            </w:r>
          </w:p>
        </w:tc>
      </w:tr>
      <w:tr w:rsidR="002300DA" w:rsidRPr="000254B8" w:rsidTr="000254B8">
        <w:tc>
          <w:tcPr>
            <w:tcW w:w="2340" w:type="dxa"/>
            <w:shd w:val="clear" w:color="auto" w:fill="auto"/>
          </w:tcPr>
          <w:p w:rsidR="005E796D" w:rsidRPr="000254B8" w:rsidRDefault="000858C2" w:rsidP="00C8341F">
            <w:pPr>
              <w:rPr>
                <w:rFonts w:ascii="Courier New" w:hAnsi="Courier New" w:cs="Courier New"/>
                <w:b/>
                <w:sz w:val="20"/>
                <w:szCs w:val="20"/>
              </w:rPr>
            </w:pPr>
            <w:r w:rsidRPr="000254B8">
              <w:rPr>
                <w:rFonts w:ascii="Courier New" w:hAnsi="Courier New" w:cs="Courier New"/>
                <w:b/>
                <w:sz w:val="20"/>
                <w:szCs w:val="20"/>
              </w:rPr>
              <w:t>Style of home</w:t>
            </w:r>
            <w:r w:rsidR="00C8341F" w:rsidRPr="000254B8">
              <w:rPr>
                <w:rFonts w:ascii="Courier New" w:hAnsi="Courier New" w:cs="Courier New"/>
                <w:b/>
                <w:sz w:val="20"/>
                <w:szCs w:val="20"/>
              </w:rPr>
              <w:t>/</w:t>
            </w:r>
          </w:p>
          <w:p w:rsidR="000858C2" w:rsidRPr="000254B8" w:rsidRDefault="000858C2" w:rsidP="00C8341F">
            <w:pPr>
              <w:rPr>
                <w:rFonts w:ascii="Courier New" w:hAnsi="Courier New" w:cs="Courier New"/>
                <w:b/>
                <w:sz w:val="20"/>
                <w:szCs w:val="20"/>
              </w:rPr>
            </w:pPr>
            <w:r w:rsidRPr="000254B8">
              <w:rPr>
                <w:rFonts w:ascii="Courier New" w:hAnsi="Courier New" w:cs="Courier New"/>
                <w:b/>
                <w:sz w:val="20"/>
                <w:szCs w:val="20"/>
              </w:rPr>
              <w:t>Condition</w:t>
            </w:r>
          </w:p>
        </w:tc>
        <w:tc>
          <w:tcPr>
            <w:tcW w:w="2340" w:type="dxa"/>
            <w:shd w:val="clear" w:color="auto" w:fill="auto"/>
          </w:tcPr>
          <w:p w:rsidR="005E796D"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Bungalow</w:t>
            </w:r>
            <w:r w:rsidR="00A96415" w:rsidRPr="000254B8">
              <w:rPr>
                <w:rFonts w:ascii="Courier New" w:hAnsi="Courier New" w:cs="Courier New"/>
                <w:sz w:val="20"/>
                <w:szCs w:val="20"/>
              </w:rPr>
              <w:t>/</w:t>
            </w:r>
          </w:p>
          <w:p w:rsidR="002300DA"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Avg.</w:t>
            </w:r>
          </w:p>
        </w:tc>
        <w:tc>
          <w:tcPr>
            <w:tcW w:w="1620" w:type="dxa"/>
            <w:shd w:val="clear" w:color="auto" w:fill="auto"/>
          </w:tcPr>
          <w:p w:rsidR="005E796D" w:rsidRPr="000254B8" w:rsidRDefault="005E796D" w:rsidP="000254B8">
            <w:pPr>
              <w:jc w:val="both"/>
              <w:rPr>
                <w:rFonts w:ascii="Courier New" w:hAnsi="Courier New" w:cs="Courier New"/>
                <w:sz w:val="20"/>
                <w:szCs w:val="20"/>
              </w:rPr>
            </w:pPr>
          </w:p>
          <w:p w:rsidR="00F6480C" w:rsidRPr="000254B8" w:rsidRDefault="001C5797" w:rsidP="000254B8">
            <w:pPr>
              <w:jc w:val="both"/>
              <w:rPr>
                <w:rFonts w:ascii="Courier New" w:hAnsi="Courier New" w:cs="Courier New"/>
                <w:sz w:val="20"/>
                <w:szCs w:val="20"/>
              </w:rPr>
            </w:pPr>
            <w:r w:rsidRPr="000254B8">
              <w:rPr>
                <w:rFonts w:ascii="Courier New" w:hAnsi="Courier New" w:cs="Courier New"/>
                <w:sz w:val="20"/>
                <w:szCs w:val="20"/>
              </w:rPr>
              <w:t xml:space="preserve"> </w:t>
            </w:r>
            <w:r w:rsidR="00F6480C" w:rsidRPr="000254B8">
              <w:rPr>
                <w:rFonts w:ascii="Courier New" w:hAnsi="Courier New" w:cs="Courier New"/>
                <w:sz w:val="20"/>
                <w:szCs w:val="20"/>
              </w:rPr>
              <w:t>$10,000</w:t>
            </w:r>
          </w:p>
        </w:tc>
        <w:tc>
          <w:tcPr>
            <w:tcW w:w="2160" w:type="dxa"/>
            <w:shd w:val="clear" w:color="auto" w:fill="auto"/>
          </w:tcPr>
          <w:p w:rsidR="005E796D" w:rsidRPr="000254B8" w:rsidRDefault="00945133" w:rsidP="000254B8">
            <w:pPr>
              <w:jc w:val="both"/>
              <w:rPr>
                <w:rFonts w:ascii="Courier New" w:hAnsi="Courier New" w:cs="Courier New"/>
                <w:sz w:val="20"/>
                <w:szCs w:val="20"/>
              </w:rPr>
            </w:pPr>
            <w:r w:rsidRPr="000254B8">
              <w:rPr>
                <w:rFonts w:ascii="Courier New" w:hAnsi="Courier New" w:cs="Courier New"/>
                <w:sz w:val="20"/>
                <w:szCs w:val="20"/>
              </w:rPr>
              <w:t>Cape</w:t>
            </w:r>
            <w:r w:rsidR="00A96415" w:rsidRPr="000254B8">
              <w:rPr>
                <w:rFonts w:ascii="Courier New" w:hAnsi="Courier New" w:cs="Courier New"/>
                <w:sz w:val="20"/>
                <w:szCs w:val="20"/>
              </w:rPr>
              <w:t>/</w:t>
            </w:r>
          </w:p>
          <w:p w:rsidR="00945133" w:rsidRPr="000254B8" w:rsidRDefault="00945133" w:rsidP="000254B8">
            <w:pPr>
              <w:jc w:val="both"/>
              <w:rPr>
                <w:rFonts w:ascii="Courier New" w:hAnsi="Courier New" w:cs="Courier New"/>
                <w:sz w:val="20"/>
                <w:szCs w:val="20"/>
              </w:rPr>
            </w:pPr>
            <w:r w:rsidRPr="000254B8">
              <w:rPr>
                <w:rFonts w:ascii="Courier New" w:hAnsi="Courier New" w:cs="Courier New"/>
                <w:sz w:val="20"/>
                <w:szCs w:val="20"/>
              </w:rPr>
              <w:t>Avg.</w:t>
            </w:r>
          </w:p>
        </w:tc>
        <w:tc>
          <w:tcPr>
            <w:tcW w:w="1980" w:type="dxa"/>
            <w:shd w:val="clear" w:color="auto" w:fill="auto"/>
          </w:tcPr>
          <w:p w:rsidR="005E796D" w:rsidRPr="000254B8" w:rsidRDefault="005E796D" w:rsidP="000254B8">
            <w:pPr>
              <w:jc w:val="both"/>
              <w:rPr>
                <w:rFonts w:ascii="Courier New" w:hAnsi="Courier New" w:cs="Courier New"/>
                <w:sz w:val="20"/>
                <w:szCs w:val="20"/>
              </w:rPr>
            </w:pPr>
          </w:p>
        </w:tc>
      </w:tr>
      <w:tr w:rsidR="002300DA" w:rsidRPr="000254B8" w:rsidTr="000254B8">
        <w:tc>
          <w:tcPr>
            <w:tcW w:w="2340" w:type="dxa"/>
            <w:shd w:val="clear" w:color="auto" w:fill="auto"/>
          </w:tcPr>
          <w:p w:rsidR="005E796D" w:rsidRPr="000254B8" w:rsidRDefault="000858C2" w:rsidP="00C8341F">
            <w:pPr>
              <w:rPr>
                <w:rFonts w:ascii="Courier New" w:hAnsi="Courier New" w:cs="Courier New"/>
                <w:b/>
                <w:sz w:val="20"/>
                <w:szCs w:val="20"/>
              </w:rPr>
            </w:pPr>
            <w:r w:rsidRPr="000254B8">
              <w:rPr>
                <w:rFonts w:ascii="Courier New" w:hAnsi="Courier New" w:cs="Courier New"/>
                <w:b/>
                <w:sz w:val="20"/>
                <w:szCs w:val="20"/>
              </w:rPr>
              <w:t>Gross l</w:t>
            </w:r>
            <w:r w:rsidR="00C8341F" w:rsidRPr="000254B8">
              <w:rPr>
                <w:rFonts w:ascii="Courier New" w:hAnsi="Courier New" w:cs="Courier New"/>
                <w:b/>
                <w:sz w:val="20"/>
                <w:szCs w:val="20"/>
              </w:rPr>
              <w:t xml:space="preserve">iving </w:t>
            </w:r>
            <w:r w:rsidRPr="000254B8">
              <w:rPr>
                <w:rFonts w:ascii="Courier New" w:hAnsi="Courier New" w:cs="Courier New"/>
                <w:b/>
                <w:sz w:val="20"/>
                <w:szCs w:val="20"/>
              </w:rPr>
              <w:t>are</w:t>
            </w:r>
            <w:r w:rsidR="00C8341F" w:rsidRPr="000254B8">
              <w:rPr>
                <w:rFonts w:ascii="Courier New" w:hAnsi="Courier New" w:cs="Courier New"/>
                <w:b/>
                <w:sz w:val="20"/>
                <w:szCs w:val="20"/>
              </w:rPr>
              <w:t>a</w:t>
            </w:r>
          </w:p>
          <w:p w:rsidR="000858C2" w:rsidRPr="000254B8" w:rsidRDefault="000858C2" w:rsidP="00C8341F">
            <w:pPr>
              <w:rPr>
                <w:rFonts w:ascii="Courier New" w:hAnsi="Courier New" w:cs="Courier New"/>
                <w:b/>
                <w:sz w:val="20"/>
                <w:szCs w:val="20"/>
              </w:rPr>
            </w:pPr>
            <w:r w:rsidRPr="000254B8">
              <w:rPr>
                <w:rFonts w:ascii="Courier New" w:hAnsi="Courier New" w:cs="Courier New"/>
                <w:b/>
                <w:sz w:val="20"/>
                <w:szCs w:val="20"/>
              </w:rPr>
              <w:t>Rooms/bed/bath</w:t>
            </w:r>
          </w:p>
        </w:tc>
        <w:tc>
          <w:tcPr>
            <w:tcW w:w="2340" w:type="dxa"/>
            <w:shd w:val="clear" w:color="auto" w:fill="auto"/>
          </w:tcPr>
          <w:p w:rsidR="005E796D"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850 sf</w:t>
            </w:r>
          </w:p>
          <w:p w:rsidR="002300DA" w:rsidRPr="000254B8" w:rsidRDefault="002300DA" w:rsidP="000254B8">
            <w:pPr>
              <w:jc w:val="both"/>
              <w:rPr>
                <w:rFonts w:ascii="Courier New" w:hAnsi="Courier New" w:cs="Courier New"/>
                <w:sz w:val="20"/>
                <w:szCs w:val="20"/>
              </w:rPr>
            </w:pPr>
            <w:r w:rsidRPr="000254B8">
              <w:rPr>
                <w:rFonts w:ascii="Courier New" w:hAnsi="Courier New" w:cs="Courier New"/>
                <w:sz w:val="20"/>
                <w:szCs w:val="20"/>
              </w:rPr>
              <w:t>5/3/1.0</w:t>
            </w:r>
          </w:p>
        </w:tc>
        <w:tc>
          <w:tcPr>
            <w:tcW w:w="1620" w:type="dxa"/>
            <w:shd w:val="clear" w:color="auto" w:fill="auto"/>
          </w:tcPr>
          <w:p w:rsidR="005E796D" w:rsidRPr="000254B8" w:rsidRDefault="00F6480C" w:rsidP="000254B8">
            <w:pPr>
              <w:jc w:val="both"/>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1,450)</w:t>
            </w:r>
          </w:p>
          <w:p w:rsidR="00F6480C" w:rsidRPr="000254B8" w:rsidRDefault="00F6480C" w:rsidP="000254B8">
            <w:pPr>
              <w:jc w:val="both"/>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2,500)</w:t>
            </w:r>
          </w:p>
        </w:tc>
        <w:tc>
          <w:tcPr>
            <w:tcW w:w="2160" w:type="dxa"/>
            <w:shd w:val="clear" w:color="auto" w:fill="auto"/>
          </w:tcPr>
          <w:p w:rsidR="005E796D" w:rsidRPr="000254B8" w:rsidRDefault="00945133" w:rsidP="000254B8">
            <w:pPr>
              <w:jc w:val="both"/>
              <w:rPr>
                <w:rFonts w:ascii="Courier New" w:hAnsi="Courier New" w:cs="Courier New"/>
                <w:sz w:val="20"/>
                <w:szCs w:val="20"/>
              </w:rPr>
            </w:pPr>
            <w:r w:rsidRPr="000254B8">
              <w:rPr>
                <w:rFonts w:ascii="Courier New" w:hAnsi="Courier New" w:cs="Courier New"/>
                <w:sz w:val="20"/>
                <w:szCs w:val="20"/>
              </w:rPr>
              <w:t>1,594 sf</w:t>
            </w:r>
          </w:p>
          <w:p w:rsidR="00945133" w:rsidRPr="000254B8" w:rsidRDefault="00945133" w:rsidP="000254B8">
            <w:pPr>
              <w:jc w:val="both"/>
              <w:rPr>
                <w:rFonts w:ascii="Courier New" w:hAnsi="Courier New" w:cs="Courier New"/>
                <w:sz w:val="20"/>
                <w:szCs w:val="20"/>
              </w:rPr>
            </w:pPr>
            <w:r w:rsidRPr="000254B8">
              <w:rPr>
                <w:rFonts w:ascii="Courier New" w:hAnsi="Courier New" w:cs="Courier New"/>
                <w:sz w:val="20"/>
                <w:szCs w:val="20"/>
              </w:rPr>
              <w:t>5/2/1.1</w:t>
            </w:r>
          </w:p>
        </w:tc>
        <w:tc>
          <w:tcPr>
            <w:tcW w:w="1980" w:type="dxa"/>
            <w:shd w:val="clear" w:color="auto" w:fill="auto"/>
          </w:tcPr>
          <w:p w:rsidR="005E796D" w:rsidRPr="000254B8" w:rsidRDefault="00DF4F83" w:rsidP="000254B8">
            <w:pPr>
              <w:jc w:val="both"/>
              <w:rPr>
                <w:rFonts w:ascii="Courier New" w:hAnsi="Courier New" w:cs="Courier New"/>
                <w:sz w:val="20"/>
                <w:szCs w:val="20"/>
              </w:rPr>
            </w:pPr>
            <w:r w:rsidRPr="000254B8">
              <w:rPr>
                <w:rFonts w:ascii="Courier New" w:hAnsi="Courier New" w:cs="Courier New"/>
                <w:sz w:val="20"/>
                <w:szCs w:val="20"/>
              </w:rPr>
              <w:t>($20,050)</w:t>
            </w:r>
          </w:p>
          <w:p w:rsidR="00DF4F83" w:rsidRPr="000254B8" w:rsidRDefault="00DF4F83" w:rsidP="000254B8">
            <w:pPr>
              <w:jc w:val="both"/>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3,500)</w:t>
            </w:r>
          </w:p>
        </w:tc>
      </w:tr>
      <w:tr w:rsidR="002300DA" w:rsidRPr="000254B8" w:rsidTr="000254B8">
        <w:tc>
          <w:tcPr>
            <w:tcW w:w="2340" w:type="dxa"/>
            <w:shd w:val="clear" w:color="auto" w:fill="auto"/>
          </w:tcPr>
          <w:p w:rsidR="005E796D" w:rsidRPr="000254B8" w:rsidRDefault="000858C2" w:rsidP="00C8341F">
            <w:pPr>
              <w:rPr>
                <w:rFonts w:ascii="Courier New" w:hAnsi="Courier New" w:cs="Courier New"/>
                <w:b/>
                <w:sz w:val="20"/>
                <w:szCs w:val="20"/>
              </w:rPr>
            </w:pPr>
            <w:r w:rsidRPr="000254B8">
              <w:rPr>
                <w:rFonts w:ascii="Courier New" w:hAnsi="Courier New" w:cs="Courier New"/>
                <w:b/>
                <w:sz w:val="20"/>
                <w:szCs w:val="20"/>
              </w:rPr>
              <w:t>Basement</w:t>
            </w:r>
          </w:p>
          <w:p w:rsidR="000858C2" w:rsidRPr="000254B8" w:rsidRDefault="000858C2" w:rsidP="00C8341F">
            <w:pPr>
              <w:rPr>
                <w:rFonts w:ascii="Courier New" w:hAnsi="Courier New" w:cs="Courier New"/>
                <w:b/>
                <w:sz w:val="20"/>
                <w:szCs w:val="20"/>
              </w:rPr>
            </w:pPr>
          </w:p>
        </w:tc>
        <w:tc>
          <w:tcPr>
            <w:tcW w:w="2340" w:type="dxa"/>
            <w:shd w:val="clear" w:color="auto" w:fill="auto"/>
          </w:tcPr>
          <w:p w:rsidR="005E796D" w:rsidRPr="000254B8" w:rsidRDefault="00062F09" w:rsidP="000254B8">
            <w:pPr>
              <w:jc w:val="both"/>
              <w:rPr>
                <w:rFonts w:ascii="Courier New" w:hAnsi="Courier New" w:cs="Courier New"/>
                <w:sz w:val="20"/>
                <w:szCs w:val="20"/>
              </w:rPr>
            </w:pPr>
            <w:r w:rsidRPr="000254B8">
              <w:rPr>
                <w:rFonts w:ascii="Courier New" w:hAnsi="Courier New" w:cs="Courier New"/>
                <w:sz w:val="20"/>
                <w:szCs w:val="20"/>
              </w:rPr>
              <w:t>C</w:t>
            </w:r>
            <w:r w:rsidR="002300DA" w:rsidRPr="000254B8">
              <w:rPr>
                <w:rFonts w:ascii="Courier New" w:hAnsi="Courier New" w:cs="Courier New"/>
                <w:sz w:val="20"/>
                <w:szCs w:val="20"/>
              </w:rPr>
              <w:t>rawlspace</w:t>
            </w:r>
          </w:p>
        </w:tc>
        <w:tc>
          <w:tcPr>
            <w:tcW w:w="1620" w:type="dxa"/>
            <w:shd w:val="clear" w:color="auto" w:fill="auto"/>
          </w:tcPr>
          <w:p w:rsidR="005E796D" w:rsidRPr="000254B8" w:rsidRDefault="005E796D" w:rsidP="000254B8">
            <w:pPr>
              <w:jc w:val="both"/>
              <w:rPr>
                <w:rFonts w:ascii="Courier New" w:hAnsi="Courier New" w:cs="Courier New"/>
                <w:sz w:val="20"/>
                <w:szCs w:val="20"/>
              </w:rPr>
            </w:pPr>
          </w:p>
        </w:tc>
        <w:tc>
          <w:tcPr>
            <w:tcW w:w="2160" w:type="dxa"/>
            <w:shd w:val="clear" w:color="auto" w:fill="auto"/>
          </w:tcPr>
          <w:p w:rsidR="005E796D" w:rsidRPr="000254B8" w:rsidRDefault="00945133" w:rsidP="000254B8">
            <w:pPr>
              <w:jc w:val="both"/>
              <w:rPr>
                <w:rFonts w:ascii="Courier New" w:hAnsi="Courier New" w:cs="Courier New"/>
                <w:sz w:val="20"/>
                <w:szCs w:val="20"/>
              </w:rPr>
            </w:pPr>
            <w:r w:rsidRPr="000254B8">
              <w:rPr>
                <w:rFonts w:ascii="Courier New" w:hAnsi="Courier New" w:cs="Courier New"/>
                <w:sz w:val="20"/>
                <w:szCs w:val="20"/>
              </w:rPr>
              <w:t>Full</w:t>
            </w:r>
          </w:p>
        </w:tc>
        <w:tc>
          <w:tcPr>
            <w:tcW w:w="1980" w:type="dxa"/>
            <w:shd w:val="clear" w:color="auto" w:fill="auto"/>
          </w:tcPr>
          <w:p w:rsidR="005E796D" w:rsidRPr="000254B8" w:rsidRDefault="00DF4F83" w:rsidP="000254B8">
            <w:pPr>
              <w:jc w:val="both"/>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5,000)</w:t>
            </w:r>
          </w:p>
        </w:tc>
      </w:tr>
      <w:tr w:rsidR="002300DA" w:rsidRPr="000254B8" w:rsidTr="000254B8">
        <w:tc>
          <w:tcPr>
            <w:tcW w:w="2340" w:type="dxa"/>
            <w:shd w:val="clear" w:color="auto" w:fill="auto"/>
          </w:tcPr>
          <w:p w:rsidR="005E796D" w:rsidRPr="000254B8" w:rsidRDefault="000858C2" w:rsidP="00C8341F">
            <w:pPr>
              <w:rPr>
                <w:rFonts w:ascii="Courier New" w:hAnsi="Courier New" w:cs="Courier New"/>
                <w:b/>
                <w:sz w:val="20"/>
                <w:szCs w:val="20"/>
              </w:rPr>
            </w:pPr>
            <w:r w:rsidRPr="000254B8">
              <w:rPr>
                <w:rFonts w:ascii="Courier New" w:hAnsi="Courier New" w:cs="Courier New"/>
                <w:b/>
                <w:sz w:val="20"/>
                <w:szCs w:val="20"/>
              </w:rPr>
              <w:t>Rooms below grade</w:t>
            </w:r>
          </w:p>
          <w:p w:rsidR="00C8341F" w:rsidRPr="000254B8" w:rsidRDefault="00C8341F" w:rsidP="00C8341F">
            <w:pPr>
              <w:rPr>
                <w:rFonts w:ascii="Courier New" w:hAnsi="Courier New" w:cs="Courier New"/>
                <w:b/>
                <w:sz w:val="20"/>
                <w:szCs w:val="20"/>
              </w:rPr>
            </w:pPr>
          </w:p>
        </w:tc>
        <w:tc>
          <w:tcPr>
            <w:tcW w:w="2340" w:type="dxa"/>
            <w:shd w:val="clear" w:color="auto" w:fill="auto"/>
          </w:tcPr>
          <w:p w:rsidR="005E796D" w:rsidRPr="000254B8" w:rsidRDefault="002300DA" w:rsidP="000858C2">
            <w:pPr>
              <w:rPr>
                <w:rFonts w:ascii="Courier New" w:hAnsi="Courier New" w:cs="Courier New"/>
                <w:sz w:val="20"/>
                <w:szCs w:val="20"/>
              </w:rPr>
            </w:pPr>
            <w:r w:rsidRPr="000254B8">
              <w:rPr>
                <w:rFonts w:ascii="Courier New" w:hAnsi="Courier New" w:cs="Courier New"/>
                <w:sz w:val="20"/>
                <w:szCs w:val="20"/>
              </w:rPr>
              <w:t>None</w:t>
            </w:r>
          </w:p>
        </w:tc>
        <w:tc>
          <w:tcPr>
            <w:tcW w:w="1620" w:type="dxa"/>
            <w:shd w:val="clear" w:color="auto" w:fill="auto"/>
          </w:tcPr>
          <w:p w:rsidR="005E796D" w:rsidRPr="000254B8" w:rsidRDefault="005E796D" w:rsidP="000858C2">
            <w:pPr>
              <w:rPr>
                <w:rFonts w:ascii="Courier New" w:hAnsi="Courier New" w:cs="Courier New"/>
                <w:sz w:val="20"/>
                <w:szCs w:val="20"/>
              </w:rPr>
            </w:pPr>
          </w:p>
        </w:tc>
        <w:tc>
          <w:tcPr>
            <w:tcW w:w="2160" w:type="dxa"/>
            <w:shd w:val="clear" w:color="auto" w:fill="auto"/>
          </w:tcPr>
          <w:p w:rsidR="005E796D" w:rsidRPr="000254B8" w:rsidRDefault="00945133" w:rsidP="000858C2">
            <w:pPr>
              <w:rPr>
                <w:rFonts w:ascii="Courier New" w:hAnsi="Courier New" w:cs="Courier New"/>
                <w:sz w:val="20"/>
                <w:szCs w:val="20"/>
              </w:rPr>
            </w:pPr>
            <w:r w:rsidRPr="000254B8">
              <w:rPr>
                <w:rFonts w:ascii="Courier New" w:hAnsi="Courier New" w:cs="Courier New"/>
                <w:sz w:val="20"/>
                <w:szCs w:val="20"/>
              </w:rPr>
              <w:t>2 finished rooms</w:t>
            </w:r>
          </w:p>
        </w:tc>
        <w:tc>
          <w:tcPr>
            <w:tcW w:w="1980" w:type="dxa"/>
            <w:shd w:val="clear" w:color="auto" w:fill="auto"/>
          </w:tcPr>
          <w:p w:rsidR="005E796D" w:rsidRPr="000254B8" w:rsidRDefault="00DF4F83" w:rsidP="000858C2">
            <w:pPr>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5,000)</w:t>
            </w:r>
          </w:p>
        </w:tc>
      </w:tr>
      <w:tr w:rsidR="002300DA" w:rsidRPr="000254B8" w:rsidTr="000254B8">
        <w:tc>
          <w:tcPr>
            <w:tcW w:w="2340" w:type="dxa"/>
            <w:shd w:val="clear" w:color="auto" w:fill="auto"/>
          </w:tcPr>
          <w:p w:rsidR="005E796D" w:rsidRPr="000254B8" w:rsidRDefault="00472F1B" w:rsidP="00C8341F">
            <w:pPr>
              <w:rPr>
                <w:rFonts w:ascii="Courier New" w:hAnsi="Courier New" w:cs="Courier New"/>
                <w:b/>
                <w:sz w:val="20"/>
                <w:szCs w:val="20"/>
              </w:rPr>
            </w:pPr>
            <w:r w:rsidRPr="000254B8">
              <w:rPr>
                <w:rFonts w:ascii="Courier New" w:hAnsi="Courier New" w:cs="Courier New"/>
                <w:b/>
                <w:sz w:val="20"/>
                <w:szCs w:val="20"/>
              </w:rPr>
              <w:t>Functional utility</w:t>
            </w:r>
          </w:p>
        </w:tc>
        <w:tc>
          <w:tcPr>
            <w:tcW w:w="2340" w:type="dxa"/>
            <w:shd w:val="clear" w:color="auto" w:fill="auto"/>
          </w:tcPr>
          <w:p w:rsidR="005E796D" w:rsidRPr="000254B8" w:rsidRDefault="00062F09" w:rsidP="000858C2">
            <w:pPr>
              <w:rPr>
                <w:rFonts w:ascii="Courier New" w:hAnsi="Courier New" w:cs="Courier New"/>
                <w:sz w:val="20"/>
                <w:szCs w:val="20"/>
              </w:rPr>
            </w:pPr>
            <w:r w:rsidRPr="000254B8">
              <w:rPr>
                <w:rFonts w:ascii="Courier New" w:hAnsi="Courier New" w:cs="Courier New"/>
                <w:sz w:val="20"/>
                <w:szCs w:val="20"/>
              </w:rPr>
              <w:t>S</w:t>
            </w:r>
            <w:r w:rsidR="002300DA" w:rsidRPr="000254B8">
              <w:rPr>
                <w:rFonts w:ascii="Courier New" w:hAnsi="Courier New" w:cs="Courier New"/>
                <w:sz w:val="20"/>
                <w:szCs w:val="20"/>
              </w:rPr>
              <w:t>easonal</w:t>
            </w:r>
          </w:p>
        </w:tc>
        <w:tc>
          <w:tcPr>
            <w:tcW w:w="1620" w:type="dxa"/>
            <w:shd w:val="clear" w:color="auto" w:fill="auto"/>
          </w:tcPr>
          <w:p w:rsidR="005E796D" w:rsidRPr="000254B8" w:rsidRDefault="005E796D" w:rsidP="000858C2">
            <w:pPr>
              <w:rPr>
                <w:rFonts w:ascii="Courier New" w:hAnsi="Courier New" w:cs="Courier New"/>
                <w:sz w:val="20"/>
                <w:szCs w:val="20"/>
              </w:rPr>
            </w:pPr>
          </w:p>
        </w:tc>
        <w:tc>
          <w:tcPr>
            <w:tcW w:w="2160" w:type="dxa"/>
            <w:shd w:val="clear" w:color="auto" w:fill="auto"/>
          </w:tcPr>
          <w:p w:rsidR="005E796D" w:rsidRPr="000254B8" w:rsidRDefault="00945133" w:rsidP="000858C2">
            <w:pPr>
              <w:rPr>
                <w:rFonts w:ascii="Courier New" w:hAnsi="Courier New" w:cs="Courier New"/>
                <w:sz w:val="20"/>
                <w:szCs w:val="20"/>
              </w:rPr>
            </w:pPr>
            <w:r w:rsidRPr="000254B8">
              <w:rPr>
                <w:rFonts w:ascii="Courier New" w:hAnsi="Courier New" w:cs="Courier New"/>
                <w:sz w:val="20"/>
                <w:szCs w:val="20"/>
              </w:rPr>
              <w:t>Year-round</w:t>
            </w:r>
          </w:p>
        </w:tc>
        <w:tc>
          <w:tcPr>
            <w:tcW w:w="1980" w:type="dxa"/>
            <w:shd w:val="clear" w:color="auto" w:fill="auto"/>
          </w:tcPr>
          <w:p w:rsidR="005E796D" w:rsidRPr="000254B8" w:rsidRDefault="00DF4F83" w:rsidP="000858C2">
            <w:pPr>
              <w:rPr>
                <w:rFonts w:ascii="Courier New" w:hAnsi="Courier New" w:cs="Courier New"/>
                <w:sz w:val="20"/>
                <w:szCs w:val="20"/>
              </w:rPr>
            </w:pPr>
            <w:r w:rsidRPr="000254B8">
              <w:rPr>
                <w:rFonts w:ascii="Courier New" w:hAnsi="Courier New" w:cs="Courier New"/>
                <w:sz w:val="20"/>
                <w:szCs w:val="20"/>
              </w:rPr>
              <w:t>($13,750)</w:t>
            </w:r>
          </w:p>
        </w:tc>
      </w:tr>
      <w:tr w:rsidR="002300DA" w:rsidRPr="000254B8" w:rsidTr="000254B8">
        <w:tc>
          <w:tcPr>
            <w:tcW w:w="2340" w:type="dxa"/>
            <w:shd w:val="clear" w:color="auto" w:fill="auto"/>
          </w:tcPr>
          <w:p w:rsidR="00472F1B" w:rsidRPr="000254B8" w:rsidRDefault="00472F1B" w:rsidP="00C8341F">
            <w:pPr>
              <w:rPr>
                <w:rFonts w:ascii="Courier New" w:hAnsi="Courier New" w:cs="Courier New"/>
                <w:b/>
                <w:sz w:val="20"/>
                <w:szCs w:val="20"/>
              </w:rPr>
            </w:pPr>
            <w:r w:rsidRPr="000254B8">
              <w:rPr>
                <w:rFonts w:ascii="Courier New" w:hAnsi="Courier New" w:cs="Courier New"/>
                <w:b/>
                <w:sz w:val="20"/>
                <w:szCs w:val="20"/>
              </w:rPr>
              <w:t>Heating/cooling</w:t>
            </w:r>
          </w:p>
          <w:p w:rsidR="00472F1B" w:rsidRPr="000254B8" w:rsidRDefault="00472F1B" w:rsidP="00C8341F">
            <w:pPr>
              <w:rPr>
                <w:rFonts w:ascii="Courier New" w:hAnsi="Courier New" w:cs="Courier New"/>
                <w:b/>
                <w:sz w:val="20"/>
                <w:szCs w:val="20"/>
              </w:rPr>
            </w:pPr>
          </w:p>
        </w:tc>
        <w:tc>
          <w:tcPr>
            <w:tcW w:w="2340" w:type="dxa"/>
            <w:shd w:val="clear" w:color="auto" w:fill="auto"/>
          </w:tcPr>
          <w:p w:rsidR="00472F1B" w:rsidRPr="000254B8" w:rsidRDefault="002300DA" w:rsidP="000858C2">
            <w:pPr>
              <w:rPr>
                <w:rFonts w:ascii="Courier New" w:hAnsi="Courier New" w:cs="Courier New"/>
                <w:sz w:val="20"/>
                <w:szCs w:val="20"/>
              </w:rPr>
            </w:pPr>
            <w:r w:rsidRPr="000254B8">
              <w:rPr>
                <w:rFonts w:ascii="Courier New" w:hAnsi="Courier New" w:cs="Courier New"/>
                <w:sz w:val="20"/>
                <w:szCs w:val="20"/>
              </w:rPr>
              <w:t>No central heating or cooling</w:t>
            </w:r>
          </w:p>
        </w:tc>
        <w:tc>
          <w:tcPr>
            <w:tcW w:w="1620" w:type="dxa"/>
            <w:shd w:val="clear" w:color="auto" w:fill="auto"/>
          </w:tcPr>
          <w:p w:rsidR="00472F1B" w:rsidRPr="000254B8" w:rsidRDefault="00472F1B" w:rsidP="000858C2">
            <w:pPr>
              <w:rPr>
                <w:rFonts w:ascii="Courier New" w:hAnsi="Courier New" w:cs="Courier New"/>
                <w:sz w:val="20"/>
                <w:szCs w:val="20"/>
              </w:rPr>
            </w:pPr>
          </w:p>
        </w:tc>
        <w:tc>
          <w:tcPr>
            <w:tcW w:w="2160" w:type="dxa"/>
            <w:shd w:val="clear" w:color="auto" w:fill="auto"/>
          </w:tcPr>
          <w:p w:rsidR="00472F1B" w:rsidRPr="000254B8" w:rsidRDefault="00945133" w:rsidP="000858C2">
            <w:pPr>
              <w:rPr>
                <w:rFonts w:ascii="Courier New" w:hAnsi="Courier New" w:cs="Courier New"/>
                <w:sz w:val="20"/>
                <w:szCs w:val="20"/>
              </w:rPr>
            </w:pPr>
            <w:r w:rsidRPr="000254B8">
              <w:rPr>
                <w:rFonts w:ascii="Courier New" w:hAnsi="Courier New" w:cs="Courier New"/>
                <w:sz w:val="20"/>
                <w:szCs w:val="20"/>
              </w:rPr>
              <w:t xml:space="preserve">Forced hot water/ </w:t>
            </w:r>
          </w:p>
          <w:p w:rsidR="00945133" w:rsidRPr="000254B8" w:rsidRDefault="00945133" w:rsidP="000858C2">
            <w:pPr>
              <w:rPr>
                <w:rFonts w:ascii="Courier New" w:hAnsi="Courier New" w:cs="Courier New"/>
                <w:sz w:val="20"/>
                <w:szCs w:val="20"/>
              </w:rPr>
            </w:pPr>
            <w:r w:rsidRPr="000254B8">
              <w:rPr>
                <w:rFonts w:ascii="Courier New" w:hAnsi="Courier New" w:cs="Courier New"/>
                <w:sz w:val="20"/>
                <w:szCs w:val="20"/>
              </w:rPr>
              <w:t>No central air</w:t>
            </w:r>
          </w:p>
        </w:tc>
        <w:tc>
          <w:tcPr>
            <w:tcW w:w="1980" w:type="dxa"/>
            <w:shd w:val="clear" w:color="auto" w:fill="auto"/>
          </w:tcPr>
          <w:p w:rsidR="00472F1B" w:rsidRPr="000254B8" w:rsidRDefault="00DF4F83" w:rsidP="000858C2">
            <w:pPr>
              <w:rPr>
                <w:rFonts w:ascii="Courier New" w:hAnsi="Courier New" w:cs="Courier New"/>
                <w:sz w:val="20"/>
                <w:szCs w:val="20"/>
              </w:rPr>
            </w:pPr>
            <w:r w:rsidRPr="000254B8">
              <w:rPr>
                <w:rFonts w:ascii="Courier New" w:hAnsi="Courier New" w:cs="Courier New"/>
                <w:sz w:val="20"/>
                <w:szCs w:val="20"/>
              </w:rPr>
              <w:t>($10,000)</w:t>
            </w:r>
          </w:p>
        </w:tc>
      </w:tr>
      <w:tr w:rsidR="002300DA" w:rsidRPr="000254B8" w:rsidTr="000254B8">
        <w:tc>
          <w:tcPr>
            <w:tcW w:w="2340" w:type="dxa"/>
            <w:shd w:val="clear" w:color="auto" w:fill="auto"/>
          </w:tcPr>
          <w:p w:rsidR="00472F1B" w:rsidRPr="000254B8" w:rsidRDefault="00472F1B" w:rsidP="000858C2">
            <w:pPr>
              <w:rPr>
                <w:rFonts w:ascii="Courier New" w:hAnsi="Courier New" w:cs="Courier New"/>
                <w:b/>
                <w:sz w:val="20"/>
                <w:szCs w:val="20"/>
              </w:rPr>
            </w:pPr>
            <w:r w:rsidRPr="000254B8">
              <w:rPr>
                <w:rFonts w:ascii="Courier New" w:hAnsi="Courier New" w:cs="Courier New"/>
                <w:b/>
                <w:sz w:val="20"/>
                <w:szCs w:val="20"/>
              </w:rPr>
              <w:t>Garage/carport</w:t>
            </w:r>
          </w:p>
          <w:p w:rsidR="00472F1B" w:rsidRPr="000254B8" w:rsidRDefault="00472F1B" w:rsidP="000858C2">
            <w:pPr>
              <w:rPr>
                <w:rFonts w:ascii="Courier New" w:hAnsi="Courier New" w:cs="Courier New"/>
                <w:b/>
                <w:sz w:val="20"/>
                <w:szCs w:val="20"/>
              </w:rPr>
            </w:pPr>
          </w:p>
        </w:tc>
        <w:tc>
          <w:tcPr>
            <w:tcW w:w="2340" w:type="dxa"/>
            <w:shd w:val="clear" w:color="auto" w:fill="auto"/>
          </w:tcPr>
          <w:p w:rsidR="00472F1B" w:rsidRPr="000254B8" w:rsidRDefault="002300DA" w:rsidP="000858C2">
            <w:pPr>
              <w:rPr>
                <w:rFonts w:ascii="Courier New" w:hAnsi="Courier New" w:cs="Courier New"/>
                <w:sz w:val="20"/>
                <w:szCs w:val="20"/>
              </w:rPr>
            </w:pPr>
            <w:r w:rsidRPr="000254B8">
              <w:rPr>
                <w:rFonts w:ascii="Courier New" w:hAnsi="Courier New" w:cs="Courier New"/>
                <w:sz w:val="20"/>
                <w:szCs w:val="20"/>
              </w:rPr>
              <w:t>None</w:t>
            </w:r>
          </w:p>
        </w:tc>
        <w:tc>
          <w:tcPr>
            <w:tcW w:w="1620" w:type="dxa"/>
            <w:shd w:val="clear" w:color="auto" w:fill="auto"/>
          </w:tcPr>
          <w:p w:rsidR="00472F1B" w:rsidRPr="000254B8" w:rsidRDefault="00472F1B" w:rsidP="000858C2">
            <w:pPr>
              <w:rPr>
                <w:rFonts w:ascii="Courier New" w:hAnsi="Courier New" w:cs="Courier New"/>
                <w:sz w:val="20"/>
                <w:szCs w:val="20"/>
              </w:rPr>
            </w:pPr>
          </w:p>
        </w:tc>
        <w:tc>
          <w:tcPr>
            <w:tcW w:w="2160" w:type="dxa"/>
            <w:shd w:val="clear" w:color="auto" w:fill="auto"/>
          </w:tcPr>
          <w:p w:rsidR="00472F1B" w:rsidRPr="000254B8" w:rsidRDefault="00945133" w:rsidP="000858C2">
            <w:pPr>
              <w:rPr>
                <w:rFonts w:ascii="Courier New" w:hAnsi="Courier New" w:cs="Courier New"/>
                <w:sz w:val="20"/>
                <w:szCs w:val="20"/>
              </w:rPr>
            </w:pPr>
            <w:r w:rsidRPr="000254B8">
              <w:rPr>
                <w:rFonts w:ascii="Courier New" w:hAnsi="Courier New" w:cs="Courier New"/>
                <w:sz w:val="20"/>
                <w:szCs w:val="20"/>
              </w:rPr>
              <w:t>2-car detached garage</w:t>
            </w:r>
          </w:p>
        </w:tc>
        <w:tc>
          <w:tcPr>
            <w:tcW w:w="1980" w:type="dxa"/>
            <w:shd w:val="clear" w:color="auto" w:fill="auto"/>
          </w:tcPr>
          <w:p w:rsidR="00472F1B" w:rsidRPr="000254B8" w:rsidRDefault="00DF4F83" w:rsidP="000858C2">
            <w:pPr>
              <w:rPr>
                <w:rFonts w:ascii="Courier New" w:hAnsi="Courier New" w:cs="Courier New"/>
                <w:sz w:val="20"/>
                <w:szCs w:val="20"/>
              </w:rPr>
            </w:pPr>
            <w:r w:rsidRPr="000254B8">
              <w:rPr>
                <w:rFonts w:ascii="Courier New" w:hAnsi="Courier New" w:cs="Courier New"/>
                <w:sz w:val="20"/>
                <w:szCs w:val="20"/>
              </w:rPr>
              <w:t>($10,000)</w:t>
            </w:r>
          </w:p>
        </w:tc>
      </w:tr>
      <w:tr w:rsidR="002300DA" w:rsidRPr="000254B8" w:rsidTr="000254B8">
        <w:trPr>
          <w:trHeight w:val="575"/>
        </w:trPr>
        <w:tc>
          <w:tcPr>
            <w:tcW w:w="2340" w:type="dxa"/>
            <w:shd w:val="clear" w:color="auto" w:fill="auto"/>
          </w:tcPr>
          <w:p w:rsidR="00472F1B" w:rsidRPr="000254B8" w:rsidRDefault="00472F1B" w:rsidP="000858C2">
            <w:pPr>
              <w:rPr>
                <w:rFonts w:ascii="Courier New" w:hAnsi="Courier New" w:cs="Courier New"/>
                <w:b/>
                <w:sz w:val="20"/>
                <w:szCs w:val="20"/>
              </w:rPr>
            </w:pPr>
            <w:r w:rsidRPr="000254B8">
              <w:rPr>
                <w:rFonts w:ascii="Courier New" w:hAnsi="Courier New" w:cs="Courier New"/>
                <w:b/>
                <w:sz w:val="20"/>
                <w:szCs w:val="20"/>
              </w:rPr>
              <w:t>Porch/patio/deck</w:t>
            </w:r>
          </w:p>
          <w:p w:rsidR="00472F1B" w:rsidRPr="000254B8" w:rsidRDefault="007D3E00" w:rsidP="000858C2">
            <w:pPr>
              <w:rPr>
                <w:rFonts w:ascii="Courier New" w:hAnsi="Courier New" w:cs="Courier New"/>
                <w:b/>
                <w:sz w:val="20"/>
                <w:szCs w:val="20"/>
              </w:rPr>
            </w:pPr>
            <w:r w:rsidRPr="000254B8">
              <w:rPr>
                <w:rFonts w:ascii="Courier New" w:hAnsi="Courier New" w:cs="Courier New"/>
                <w:b/>
                <w:sz w:val="20"/>
                <w:szCs w:val="20"/>
              </w:rPr>
              <w:t>F</w:t>
            </w:r>
            <w:r w:rsidR="00472F1B" w:rsidRPr="000254B8">
              <w:rPr>
                <w:rFonts w:ascii="Courier New" w:hAnsi="Courier New" w:cs="Courier New"/>
                <w:b/>
                <w:sz w:val="20"/>
                <w:szCs w:val="20"/>
              </w:rPr>
              <w:t>ireplaces</w:t>
            </w:r>
          </w:p>
        </w:tc>
        <w:tc>
          <w:tcPr>
            <w:tcW w:w="2340" w:type="dxa"/>
            <w:shd w:val="clear" w:color="auto" w:fill="auto"/>
          </w:tcPr>
          <w:p w:rsidR="00472F1B" w:rsidRPr="000254B8" w:rsidRDefault="00E7602D" w:rsidP="000858C2">
            <w:pPr>
              <w:rPr>
                <w:rFonts w:ascii="Courier New" w:hAnsi="Courier New" w:cs="Courier New"/>
                <w:sz w:val="20"/>
                <w:szCs w:val="20"/>
              </w:rPr>
            </w:pPr>
            <w:r w:rsidRPr="000254B8">
              <w:rPr>
                <w:rFonts w:ascii="Courier New" w:hAnsi="Courier New" w:cs="Courier New"/>
                <w:sz w:val="20"/>
                <w:szCs w:val="20"/>
              </w:rPr>
              <w:t>Deck</w:t>
            </w:r>
            <w:r w:rsidR="00A96415" w:rsidRPr="000254B8">
              <w:rPr>
                <w:rFonts w:ascii="Courier New" w:hAnsi="Courier New" w:cs="Courier New"/>
                <w:sz w:val="20"/>
                <w:szCs w:val="20"/>
              </w:rPr>
              <w:t>/</w:t>
            </w:r>
          </w:p>
          <w:p w:rsidR="00E7602D" w:rsidRPr="000254B8" w:rsidRDefault="00E7602D" w:rsidP="000858C2">
            <w:pPr>
              <w:rPr>
                <w:rFonts w:ascii="Courier New" w:hAnsi="Courier New" w:cs="Courier New"/>
                <w:sz w:val="20"/>
                <w:szCs w:val="20"/>
              </w:rPr>
            </w:pPr>
            <w:r w:rsidRPr="000254B8">
              <w:rPr>
                <w:rFonts w:ascii="Courier New" w:hAnsi="Courier New" w:cs="Courier New"/>
                <w:sz w:val="20"/>
                <w:szCs w:val="20"/>
              </w:rPr>
              <w:t>Woodstove on hearth</w:t>
            </w:r>
          </w:p>
        </w:tc>
        <w:tc>
          <w:tcPr>
            <w:tcW w:w="1620" w:type="dxa"/>
            <w:shd w:val="clear" w:color="auto" w:fill="auto"/>
          </w:tcPr>
          <w:p w:rsidR="00472F1B" w:rsidRPr="000254B8" w:rsidRDefault="001C5797" w:rsidP="000858C2">
            <w:pPr>
              <w:rPr>
                <w:rFonts w:ascii="Courier New" w:hAnsi="Courier New" w:cs="Courier New"/>
                <w:sz w:val="20"/>
                <w:szCs w:val="20"/>
              </w:rPr>
            </w:pPr>
            <w:r w:rsidRPr="000254B8">
              <w:rPr>
                <w:rFonts w:ascii="Courier New" w:hAnsi="Courier New" w:cs="Courier New"/>
                <w:sz w:val="20"/>
                <w:szCs w:val="20"/>
              </w:rPr>
              <w:t xml:space="preserve"> </w:t>
            </w:r>
            <w:r w:rsidR="00F6480C" w:rsidRPr="000254B8">
              <w:rPr>
                <w:rFonts w:ascii="Courier New" w:hAnsi="Courier New" w:cs="Courier New"/>
                <w:sz w:val="20"/>
                <w:szCs w:val="20"/>
              </w:rPr>
              <w:t>$</w:t>
            </w:r>
            <w:r w:rsidRPr="000254B8">
              <w:rPr>
                <w:rFonts w:ascii="Courier New" w:hAnsi="Courier New" w:cs="Courier New"/>
                <w:sz w:val="20"/>
                <w:szCs w:val="20"/>
              </w:rPr>
              <w:t xml:space="preserve"> </w:t>
            </w:r>
            <w:r w:rsidR="00F6480C" w:rsidRPr="000254B8">
              <w:rPr>
                <w:rFonts w:ascii="Courier New" w:hAnsi="Courier New" w:cs="Courier New"/>
                <w:sz w:val="20"/>
                <w:szCs w:val="20"/>
              </w:rPr>
              <w:t>5,000</w:t>
            </w:r>
          </w:p>
        </w:tc>
        <w:tc>
          <w:tcPr>
            <w:tcW w:w="2160" w:type="dxa"/>
            <w:shd w:val="clear" w:color="auto" w:fill="auto"/>
          </w:tcPr>
          <w:p w:rsidR="00472F1B" w:rsidRPr="000254B8" w:rsidRDefault="00945133" w:rsidP="000858C2">
            <w:pPr>
              <w:rPr>
                <w:rFonts w:ascii="Courier New" w:hAnsi="Courier New" w:cs="Courier New"/>
                <w:sz w:val="20"/>
                <w:szCs w:val="20"/>
              </w:rPr>
            </w:pPr>
            <w:r w:rsidRPr="000254B8">
              <w:rPr>
                <w:rFonts w:ascii="Courier New" w:hAnsi="Courier New" w:cs="Courier New"/>
                <w:sz w:val="20"/>
                <w:szCs w:val="20"/>
              </w:rPr>
              <w:t>Porch/patio/deck</w:t>
            </w:r>
          </w:p>
          <w:p w:rsidR="00945133" w:rsidRPr="000254B8" w:rsidRDefault="00945133" w:rsidP="000858C2">
            <w:pPr>
              <w:rPr>
                <w:rFonts w:ascii="Courier New" w:hAnsi="Courier New" w:cs="Courier New"/>
                <w:sz w:val="20"/>
                <w:szCs w:val="20"/>
              </w:rPr>
            </w:pPr>
            <w:r w:rsidRPr="000254B8">
              <w:rPr>
                <w:rFonts w:ascii="Courier New" w:hAnsi="Courier New" w:cs="Courier New"/>
                <w:sz w:val="20"/>
                <w:szCs w:val="20"/>
              </w:rPr>
              <w:t>2 fireplaces</w:t>
            </w:r>
          </w:p>
        </w:tc>
        <w:tc>
          <w:tcPr>
            <w:tcW w:w="1980" w:type="dxa"/>
            <w:shd w:val="clear" w:color="auto" w:fill="auto"/>
          </w:tcPr>
          <w:p w:rsidR="00472F1B" w:rsidRPr="000254B8" w:rsidRDefault="001C5797" w:rsidP="000858C2">
            <w:pPr>
              <w:rPr>
                <w:rFonts w:ascii="Courier New" w:hAnsi="Courier New" w:cs="Courier New"/>
                <w:sz w:val="20"/>
                <w:szCs w:val="20"/>
              </w:rPr>
            </w:pPr>
            <w:r w:rsidRPr="000254B8">
              <w:rPr>
                <w:rFonts w:ascii="Courier New" w:hAnsi="Courier New" w:cs="Courier New"/>
                <w:sz w:val="20"/>
                <w:szCs w:val="20"/>
              </w:rPr>
              <w:t xml:space="preserve"> </w:t>
            </w:r>
            <w:r w:rsidR="00DF4F83" w:rsidRPr="000254B8">
              <w:rPr>
                <w:rFonts w:ascii="Courier New" w:hAnsi="Courier New" w:cs="Courier New"/>
                <w:sz w:val="20"/>
                <w:szCs w:val="20"/>
              </w:rPr>
              <w:t>$</w:t>
            </w:r>
            <w:r w:rsidRPr="000254B8">
              <w:rPr>
                <w:rFonts w:ascii="Courier New" w:hAnsi="Courier New" w:cs="Courier New"/>
                <w:sz w:val="20"/>
                <w:szCs w:val="20"/>
              </w:rPr>
              <w:t xml:space="preserve"> </w:t>
            </w:r>
            <w:r w:rsidR="00DF4F83" w:rsidRPr="000254B8">
              <w:rPr>
                <w:rFonts w:ascii="Courier New" w:hAnsi="Courier New" w:cs="Courier New"/>
                <w:sz w:val="20"/>
                <w:szCs w:val="20"/>
              </w:rPr>
              <w:t>2,000</w:t>
            </w:r>
          </w:p>
          <w:p w:rsidR="00DF4F83" w:rsidRPr="000254B8" w:rsidRDefault="00DF4F83" w:rsidP="000858C2">
            <w:pPr>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4,000)</w:t>
            </w:r>
          </w:p>
        </w:tc>
      </w:tr>
      <w:tr w:rsidR="002300DA" w:rsidRPr="000254B8" w:rsidTr="000254B8">
        <w:tc>
          <w:tcPr>
            <w:tcW w:w="2340" w:type="dxa"/>
            <w:shd w:val="clear" w:color="auto" w:fill="auto"/>
          </w:tcPr>
          <w:p w:rsidR="00472F1B" w:rsidRPr="000254B8" w:rsidRDefault="00472F1B" w:rsidP="000858C2">
            <w:pPr>
              <w:rPr>
                <w:rFonts w:ascii="Courier New" w:hAnsi="Courier New" w:cs="Courier New"/>
                <w:b/>
                <w:sz w:val="20"/>
                <w:szCs w:val="20"/>
              </w:rPr>
            </w:pPr>
            <w:r w:rsidRPr="000254B8">
              <w:rPr>
                <w:rFonts w:ascii="Courier New" w:hAnsi="Courier New" w:cs="Courier New"/>
                <w:b/>
                <w:sz w:val="20"/>
                <w:szCs w:val="20"/>
              </w:rPr>
              <w:t>Outdoor amenities</w:t>
            </w:r>
          </w:p>
          <w:p w:rsidR="002300DA" w:rsidRPr="000254B8" w:rsidRDefault="002300DA" w:rsidP="000858C2">
            <w:pPr>
              <w:rPr>
                <w:rFonts w:ascii="Courier New" w:hAnsi="Courier New" w:cs="Courier New"/>
                <w:b/>
                <w:sz w:val="20"/>
                <w:szCs w:val="20"/>
              </w:rPr>
            </w:pPr>
          </w:p>
        </w:tc>
        <w:tc>
          <w:tcPr>
            <w:tcW w:w="2340" w:type="dxa"/>
            <w:shd w:val="clear" w:color="auto" w:fill="auto"/>
          </w:tcPr>
          <w:p w:rsidR="00472F1B" w:rsidRPr="000254B8" w:rsidRDefault="00E7602D" w:rsidP="000858C2">
            <w:pPr>
              <w:rPr>
                <w:rFonts w:ascii="Courier New" w:hAnsi="Courier New" w:cs="Courier New"/>
                <w:sz w:val="20"/>
                <w:szCs w:val="20"/>
              </w:rPr>
            </w:pPr>
            <w:r w:rsidRPr="000254B8">
              <w:rPr>
                <w:rFonts w:ascii="Courier New" w:hAnsi="Courier New" w:cs="Courier New"/>
                <w:sz w:val="20"/>
                <w:szCs w:val="20"/>
              </w:rPr>
              <w:t>Shed</w:t>
            </w:r>
          </w:p>
        </w:tc>
        <w:tc>
          <w:tcPr>
            <w:tcW w:w="1620" w:type="dxa"/>
            <w:shd w:val="clear" w:color="auto" w:fill="auto"/>
          </w:tcPr>
          <w:p w:rsidR="00472F1B" w:rsidRPr="000254B8" w:rsidRDefault="001C5797" w:rsidP="000858C2">
            <w:pPr>
              <w:rPr>
                <w:rFonts w:ascii="Courier New" w:hAnsi="Courier New" w:cs="Courier New"/>
                <w:sz w:val="20"/>
                <w:szCs w:val="20"/>
              </w:rPr>
            </w:pPr>
            <w:r w:rsidRPr="000254B8">
              <w:rPr>
                <w:rFonts w:ascii="Courier New" w:hAnsi="Courier New" w:cs="Courier New"/>
                <w:sz w:val="20"/>
                <w:szCs w:val="20"/>
              </w:rPr>
              <w:t xml:space="preserve"> </w:t>
            </w:r>
            <w:r w:rsidR="00F6480C" w:rsidRPr="000254B8">
              <w:rPr>
                <w:rFonts w:ascii="Courier New" w:hAnsi="Courier New" w:cs="Courier New"/>
                <w:sz w:val="20"/>
                <w:szCs w:val="20"/>
              </w:rPr>
              <w:t>$</w:t>
            </w:r>
            <w:r w:rsidRPr="000254B8">
              <w:rPr>
                <w:rFonts w:ascii="Courier New" w:hAnsi="Courier New" w:cs="Courier New"/>
                <w:sz w:val="20"/>
                <w:szCs w:val="20"/>
              </w:rPr>
              <w:t xml:space="preserve"> </w:t>
            </w:r>
            <w:r w:rsidR="00F6480C" w:rsidRPr="000254B8">
              <w:rPr>
                <w:rFonts w:ascii="Courier New" w:hAnsi="Courier New" w:cs="Courier New"/>
                <w:sz w:val="20"/>
                <w:szCs w:val="20"/>
              </w:rPr>
              <w:t>1,000</w:t>
            </w:r>
          </w:p>
        </w:tc>
        <w:tc>
          <w:tcPr>
            <w:tcW w:w="2160" w:type="dxa"/>
            <w:shd w:val="clear" w:color="auto" w:fill="auto"/>
          </w:tcPr>
          <w:p w:rsidR="00472F1B" w:rsidRPr="000254B8" w:rsidRDefault="00945133" w:rsidP="000858C2">
            <w:pPr>
              <w:rPr>
                <w:rFonts w:ascii="Courier New" w:hAnsi="Courier New" w:cs="Courier New"/>
                <w:sz w:val="20"/>
                <w:szCs w:val="20"/>
              </w:rPr>
            </w:pPr>
            <w:r w:rsidRPr="000254B8">
              <w:rPr>
                <w:rFonts w:ascii="Courier New" w:hAnsi="Courier New" w:cs="Courier New"/>
                <w:sz w:val="20"/>
                <w:szCs w:val="20"/>
              </w:rPr>
              <w:t>Shed</w:t>
            </w:r>
          </w:p>
        </w:tc>
        <w:tc>
          <w:tcPr>
            <w:tcW w:w="1980" w:type="dxa"/>
            <w:shd w:val="clear" w:color="auto" w:fill="auto"/>
          </w:tcPr>
          <w:p w:rsidR="00472F1B" w:rsidRPr="000254B8" w:rsidRDefault="001C5797" w:rsidP="000858C2">
            <w:pPr>
              <w:rPr>
                <w:rFonts w:ascii="Courier New" w:hAnsi="Courier New" w:cs="Courier New"/>
                <w:sz w:val="20"/>
                <w:szCs w:val="20"/>
              </w:rPr>
            </w:pPr>
            <w:r w:rsidRPr="000254B8">
              <w:rPr>
                <w:rFonts w:ascii="Courier New" w:hAnsi="Courier New" w:cs="Courier New"/>
                <w:sz w:val="20"/>
                <w:szCs w:val="20"/>
              </w:rPr>
              <w:t xml:space="preserve"> </w:t>
            </w:r>
            <w:r w:rsidR="00DF4F83" w:rsidRPr="000254B8">
              <w:rPr>
                <w:rFonts w:ascii="Courier New" w:hAnsi="Courier New" w:cs="Courier New"/>
                <w:sz w:val="20"/>
                <w:szCs w:val="20"/>
              </w:rPr>
              <w:t>$</w:t>
            </w:r>
            <w:r w:rsidRPr="000254B8">
              <w:rPr>
                <w:rFonts w:ascii="Courier New" w:hAnsi="Courier New" w:cs="Courier New"/>
                <w:sz w:val="20"/>
                <w:szCs w:val="20"/>
              </w:rPr>
              <w:t xml:space="preserve"> </w:t>
            </w:r>
            <w:r w:rsidR="00DF4F83" w:rsidRPr="000254B8">
              <w:rPr>
                <w:rFonts w:ascii="Courier New" w:hAnsi="Courier New" w:cs="Courier New"/>
                <w:sz w:val="20"/>
                <w:szCs w:val="20"/>
              </w:rPr>
              <w:t>1,000</w:t>
            </w:r>
          </w:p>
        </w:tc>
      </w:tr>
      <w:tr w:rsidR="002300DA" w:rsidRPr="000254B8" w:rsidTr="000254B8">
        <w:tc>
          <w:tcPr>
            <w:tcW w:w="2340" w:type="dxa"/>
            <w:shd w:val="clear" w:color="auto" w:fill="auto"/>
          </w:tcPr>
          <w:p w:rsidR="00472F1B" w:rsidRPr="000254B8" w:rsidRDefault="00472F1B" w:rsidP="000858C2">
            <w:pPr>
              <w:rPr>
                <w:rFonts w:ascii="Courier New" w:hAnsi="Courier New" w:cs="Courier New"/>
                <w:b/>
                <w:sz w:val="20"/>
                <w:szCs w:val="20"/>
              </w:rPr>
            </w:pPr>
            <w:r w:rsidRPr="000254B8">
              <w:rPr>
                <w:rFonts w:ascii="Courier New" w:hAnsi="Courier New" w:cs="Courier New"/>
                <w:b/>
                <w:sz w:val="20"/>
                <w:szCs w:val="20"/>
              </w:rPr>
              <w:t>Net adjustments</w:t>
            </w:r>
          </w:p>
          <w:p w:rsidR="00472F1B" w:rsidRPr="000254B8" w:rsidRDefault="00472F1B" w:rsidP="000858C2">
            <w:pPr>
              <w:rPr>
                <w:rFonts w:ascii="Courier New" w:hAnsi="Courier New" w:cs="Courier New"/>
                <w:b/>
                <w:sz w:val="20"/>
                <w:szCs w:val="20"/>
              </w:rPr>
            </w:pPr>
          </w:p>
        </w:tc>
        <w:tc>
          <w:tcPr>
            <w:tcW w:w="2340" w:type="dxa"/>
            <w:shd w:val="clear" w:color="auto" w:fill="auto"/>
          </w:tcPr>
          <w:p w:rsidR="00472F1B" w:rsidRPr="000254B8" w:rsidRDefault="00472F1B" w:rsidP="000858C2">
            <w:pPr>
              <w:rPr>
                <w:rFonts w:ascii="Courier New" w:hAnsi="Courier New" w:cs="Courier New"/>
                <w:sz w:val="20"/>
                <w:szCs w:val="20"/>
              </w:rPr>
            </w:pPr>
          </w:p>
        </w:tc>
        <w:tc>
          <w:tcPr>
            <w:tcW w:w="1620" w:type="dxa"/>
            <w:shd w:val="clear" w:color="auto" w:fill="auto"/>
          </w:tcPr>
          <w:p w:rsidR="00472F1B" w:rsidRPr="000254B8" w:rsidRDefault="001C5797" w:rsidP="000858C2">
            <w:pPr>
              <w:rPr>
                <w:rFonts w:ascii="Courier New" w:hAnsi="Courier New" w:cs="Courier New"/>
                <w:sz w:val="20"/>
                <w:szCs w:val="20"/>
              </w:rPr>
            </w:pPr>
            <w:r w:rsidRPr="000254B8">
              <w:rPr>
                <w:rFonts w:ascii="Courier New" w:hAnsi="Courier New" w:cs="Courier New"/>
                <w:sz w:val="20"/>
                <w:szCs w:val="20"/>
              </w:rPr>
              <w:t xml:space="preserve"> </w:t>
            </w:r>
            <w:r w:rsidR="00F6480C" w:rsidRPr="000254B8">
              <w:rPr>
                <w:rFonts w:ascii="Courier New" w:hAnsi="Courier New" w:cs="Courier New"/>
                <w:sz w:val="20"/>
                <w:szCs w:val="20"/>
              </w:rPr>
              <w:t>$19,400</w:t>
            </w:r>
          </w:p>
        </w:tc>
        <w:tc>
          <w:tcPr>
            <w:tcW w:w="2160" w:type="dxa"/>
            <w:shd w:val="clear" w:color="auto" w:fill="auto"/>
          </w:tcPr>
          <w:p w:rsidR="00472F1B" w:rsidRPr="000254B8" w:rsidRDefault="00472F1B" w:rsidP="000858C2">
            <w:pPr>
              <w:rPr>
                <w:rFonts w:ascii="Courier New" w:hAnsi="Courier New" w:cs="Courier New"/>
                <w:sz w:val="20"/>
                <w:szCs w:val="20"/>
              </w:rPr>
            </w:pPr>
          </w:p>
        </w:tc>
        <w:tc>
          <w:tcPr>
            <w:tcW w:w="1980" w:type="dxa"/>
            <w:shd w:val="clear" w:color="auto" w:fill="auto"/>
          </w:tcPr>
          <w:p w:rsidR="00472F1B" w:rsidRPr="000254B8" w:rsidRDefault="00DF4F83" w:rsidP="000858C2">
            <w:pPr>
              <w:rPr>
                <w:rFonts w:ascii="Courier New" w:hAnsi="Courier New" w:cs="Courier New"/>
                <w:sz w:val="20"/>
                <w:szCs w:val="20"/>
              </w:rPr>
            </w:pPr>
            <w:r w:rsidRPr="000254B8">
              <w:rPr>
                <w:rFonts w:ascii="Courier New" w:hAnsi="Courier New" w:cs="Courier New"/>
                <w:sz w:val="20"/>
                <w:szCs w:val="20"/>
              </w:rPr>
              <w:t>($48,475)</w:t>
            </w:r>
          </w:p>
        </w:tc>
      </w:tr>
      <w:tr w:rsidR="002300DA" w:rsidRPr="000254B8" w:rsidTr="000254B8">
        <w:tc>
          <w:tcPr>
            <w:tcW w:w="2340" w:type="dxa"/>
            <w:shd w:val="clear" w:color="auto" w:fill="auto"/>
          </w:tcPr>
          <w:p w:rsidR="00472F1B" w:rsidRPr="000254B8" w:rsidRDefault="00472F1B" w:rsidP="000858C2">
            <w:pPr>
              <w:rPr>
                <w:rFonts w:ascii="Courier New" w:hAnsi="Courier New" w:cs="Courier New"/>
                <w:b/>
                <w:sz w:val="20"/>
                <w:szCs w:val="20"/>
              </w:rPr>
            </w:pPr>
            <w:r w:rsidRPr="000254B8">
              <w:rPr>
                <w:rFonts w:ascii="Courier New" w:hAnsi="Courier New" w:cs="Courier New"/>
                <w:b/>
                <w:sz w:val="20"/>
                <w:szCs w:val="20"/>
              </w:rPr>
              <w:t>Adjusted sale price</w:t>
            </w:r>
          </w:p>
        </w:tc>
        <w:tc>
          <w:tcPr>
            <w:tcW w:w="2340" w:type="dxa"/>
            <w:shd w:val="clear" w:color="auto" w:fill="auto"/>
          </w:tcPr>
          <w:p w:rsidR="00472F1B" w:rsidRPr="000254B8" w:rsidRDefault="00472F1B" w:rsidP="000858C2">
            <w:pPr>
              <w:rPr>
                <w:rFonts w:ascii="Courier New" w:hAnsi="Courier New" w:cs="Courier New"/>
                <w:sz w:val="20"/>
                <w:szCs w:val="20"/>
              </w:rPr>
            </w:pPr>
          </w:p>
        </w:tc>
        <w:tc>
          <w:tcPr>
            <w:tcW w:w="1620" w:type="dxa"/>
            <w:shd w:val="clear" w:color="auto" w:fill="auto"/>
          </w:tcPr>
          <w:p w:rsidR="00472F1B" w:rsidRPr="000254B8" w:rsidRDefault="00F6480C" w:rsidP="000858C2">
            <w:pPr>
              <w:rPr>
                <w:rFonts w:ascii="Courier New" w:hAnsi="Courier New" w:cs="Courier New"/>
                <w:sz w:val="20"/>
                <w:szCs w:val="20"/>
              </w:rPr>
            </w:pPr>
            <w:r w:rsidRPr="000254B8">
              <w:rPr>
                <w:rFonts w:ascii="Courier New" w:hAnsi="Courier New" w:cs="Courier New"/>
                <w:sz w:val="20"/>
                <w:szCs w:val="20"/>
              </w:rPr>
              <w:t>$219,400</w:t>
            </w:r>
          </w:p>
        </w:tc>
        <w:tc>
          <w:tcPr>
            <w:tcW w:w="2160" w:type="dxa"/>
            <w:shd w:val="clear" w:color="auto" w:fill="auto"/>
          </w:tcPr>
          <w:p w:rsidR="00472F1B" w:rsidRPr="000254B8" w:rsidRDefault="00472F1B" w:rsidP="000858C2">
            <w:pPr>
              <w:rPr>
                <w:rFonts w:ascii="Courier New" w:hAnsi="Courier New" w:cs="Courier New"/>
                <w:sz w:val="20"/>
                <w:szCs w:val="20"/>
              </w:rPr>
            </w:pPr>
          </w:p>
        </w:tc>
        <w:tc>
          <w:tcPr>
            <w:tcW w:w="1980" w:type="dxa"/>
            <w:shd w:val="clear" w:color="auto" w:fill="auto"/>
          </w:tcPr>
          <w:p w:rsidR="00472F1B" w:rsidRPr="000254B8" w:rsidRDefault="00DF4F83" w:rsidP="000858C2">
            <w:pPr>
              <w:rPr>
                <w:rFonts w:ascii="Courier New" w:hAnsi="Courier New" w:cs="Courier New"/>
                <w:sz w:val="20"/>
                <w:szCs w:val="20"/>
              </w:rPr>
            </w:pPr>
            <w:r w:rsidRPr="000254B8">
              <w:rPr>
                <w:rFonts w:ascii="Courier New" w:hAnsi="Courier New" w:cs="Courier New"/>
                <w:sz w:val="20"/>
                <w:szCs w:val="20"/>
              </w:rPr>
              <w:t>$226,525</w:t>
            </w:r>
          </w:p>
        </w:tc>
      </w:tr>
    </w:tbl>
    <w:p w:rsidR="00C260D7" w:rsidRDefault="00C260D7" w:rsidP="00C260D7">
      <w:pPr>
        <w:spacing w:line="480" w:lineRule="auto"/>
        <w:jc w:val="both"/>
        <w:rPr>
          <w:rFonts w:ascii="Courier New" w:hAnsi="Courier New" w:cs="Courier New"/>
        </w:rPr>
      </w:pP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1620"/>
        <w:gridCol w:w="2160"/>
        <w:gridCol w:w="2070"/>
      </w:tblGrid>
      <w:tr w:rsidR="00DE2A14" w:rsidRPr="000254B8" w:rsidTr="000254B8">
        <w:trPr>
          <w:trHeight w:val="710"/>
        </w:trPr>
        <w:tc>
          <w:tcPr>
            <w:tcW w:w="2340" w:type="dxa"/>
            <w:shd w:val="clear" w:color="auto" w:fill="auto"/>
          </w:tcPr>
          <w:p w:rsidR="00DE2A14" w:rsidRPr="000254B8" w:rsidRDefault="00DE2A14" w:rsidP="00B977F3">
            <w:pPr>
              <w:rPr>
                <w:rFonts w:ascii="Courier New" w:hAnsi="Courier New" w:cs="Courier New"/>
                <w:b/>
                <w:sz w:val="20"/>
                <w:szCs w:val="20"/>
              </w:rPr>
            </w:pP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DE2A14" w:rsidP="000254B8">
            <w:pPr>
              <w:jc w:val="both"/>
              <w:rPr>
                <w:rFonts w:ascii="Courier New" w:hAnsi="Courier New" w:cs="Courier New"/>
                <w:b/>
                <w:sz w:val="20"/>
                <w:szCs w:val="20"/>
              </w:rPr>
            </w:pPr>
            <w:r w:rsidRPr="000254B8">
              <w:rPr>
                <w:rFonts w:ascii="Courier New" w:hAnsi="Courier New" w:cs="Courier New"/>
                <w:b/>
                <w:sz w:val="20"/>
                <w:szCs w:val="20"/>
              </w:rPr>
              <w:t>Comparable 3</w:t>
            </w:r>
          </w:p>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34 Shore Dr., Templeton</w:t>
            </w:r>
          </w:p>
        </w:tc>
        <w:tc>
          <w:tcPr>
            <w:tcW w:w="1620" w:type="dxa"/>
            <w:shd w:val="clear" w:color="auto" w:fill="auto"/>
          </w:tcPr>
          <w:p w:rsidR="00DE2A14" w:rsidRPr="000254B8" w:rsidRDefault="00DE2A14" w:rsidP="000254B8">
            <w:pPr>
              <w:jc w:val="both"/>
              <w:rPr>
                <w:rFonts w:ascii="Courier New" w:hAnsi="Courier New" w:cs="Courier New"/>
                <w:b/>
                <w:sz w:val="20"/>
                <w:szCs w:val="20"/>
              </w:rPr>
            </w:pPr>
            <w:r w:rsidRPr="000254B8">
              <w:rPr>
                <w:rFonts w:ascii="Courier New" w:hAnsi="Courier New" w:cs="Courier New"/>
                <w:b/>
                <w:sz w:val="20"/>
                <w:szCs w:val="20"/>
              </w:rPr>
              <w:t>Adjustments</w:t>
            </w:r>
          </w:p>
          <w:p w:rsidR="00DE2A14" w:rsidRPr="000254B8" w:rsidRDefault="00DE2A14" w:rsidP="000254B8">
            <w:pPr>
              <w:jc w:val="both"/>
              <w:rPr>
                <w:rFonts w:ascii="Courier New" w:hAnsi="Courier New" w:cs="Courier New"/>
                <w:b/>
                <w:sz w:val="20"/>
                <w:szCs w:val="20"/>
              </w:rPr>
            </w:pPr>
          </w:p>
        </w:tc>
        <w:tc>
          <w:tcPr>
            <w:tcW w:w="2160" w:type="dxa"/>
            <w:shd w:val="clear" w:color="auto" w:fill="auto"/>
          </w:tcPr>
          <w:p w:rsidR="00DE2A14" w:rsidRPr="000254B8" w:rsidRDefault="00DE2A14" w:rsidP="000254B8">
            <w:pPr>
              <w:tabs>
                <w:tab w:val="left" w:pos="0"/>
              </w:tabs>
              <w:rPr>
                <w:rFonts w:ascii="Courier New" w:hAnsi="Courier New" w:cs="Courier New"/>
                <w:b/>
                <w:sz w:val="20"/>
                <w:szCs w:val="20"/>
              </w:rPr>
            </w:pPr>
            <w:r w:rsidRPr="000254B8">
              <w:rPr>
                <w:rFonts w:ascii="Courier New" w:hAnsi="Courier New" w:cs="Courier New"/>
                <w:b/>
                <w:sz w:val="20"/>
                <w:szCs w:val="20"/>
              </w:rPr>
              <w:t>Comparable 4</w:t>
            </w:r>
          </w:p>
          <w:p w:rsidR="00DE2A14" w:rsidRPr="000254B8" w:rsidRDefault="00475A6B" w:rsidP="000254B8">
            <w:pPr>
              <w:tabs>
                <w:tab w:val="left" w:pos="0"/>
              </w:tabs>
              <w:rPr>
                <w:rFonts w:ascii="Courier New" w:hAnsi="Courier New" w:cs="Courier New"/>
                <w:sz w:val="20"/>
                <w:szCs w:val="20"/>
              </w:rPr>
            </w:pPr>
            <w:r w:rsidRPr="000254B8">
              <w:rPr>
                <w:rFonts w:ascii="Courier New" w:hAnsi="Courier New" w:cs="Courier New"/>
                <w:sz w:val="20"/>
                <w:szCs w:val="20"/>
              </w:rPr>
              <w:t>36 Spa Road, Phillipston</w:t>
            </w:r>
          </w:p>
        </w:tc>
        <w:tc>
          <w:tcPr>
            <w:tcW w:w="2070" w:type="dxa"/>
            <w:shd w:val="clear" w:color="auto" w:fill="auto"/>
          </w:tcPr>
          <w:p w:rsidR="00DE2A14" w:rsidRPr="000254B8" w:rsidRDefault="00DE2A14" w:rsidP="000254B8">
            <w:pPr>
              <w:jc w:val="both"/>
              <w:rPr>
                <w:rFonts w:ascii="Courier New" w:hAnsi="Courier New" w:cs="Courier New"/>
                <w:b/>
                <w:sz w:val="20"/>
                <w:szCs w:val="20"/>
              </w:rPr>
            </w:pPr>
            <w:r w:rsidRPr="000254B8">
              <w:rPr>
                <w:rFonts w:ascii="Courier New" w:hAnsi="Courier New" w:cs="Courier New"/>
                <w:b/>
                <w:sz w:val="20"/>
                <w:szCs w:val="20"/>
              </w:rPr>
              <w:t>Adjustments</w:t>
            </w: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Sale date</w:t>
            </w:r>
          </w:p>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Sale price</w:t>
            </w:r>
          </w:p>
        </w:tc>
        <w:tc>
          <w:tcPr>
            <w:tcW w:w="234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10/14/</w:t>
            </w:r>
            <w:r w:rsidR="00DE2A14" w:rsidRPr="000254B8">
              <w:rPr>
                <w:rFonts w:ascii="Courier New" w:hAnsi="Courier New" w:cs="Courier New"/>
                <w:sz w:val="20"/>
                <w:szCs w:val="20"/>
              </w:rPr>
              <w:t>2011</w:t>
            </w:r>
          </w:p>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$234,9</w:t>
            </w:r>
            <w:r w:rsidR="00DE2A14" w:rsidRPr="000254B8">
              <w:rPr>
                <w:rFonts w:ascii="Courier New" w:hAnsi="Courier New" w:cs="Courier New"/>
                <w:sz w:val="20"/>
                <w:szCs w:val="20"/>
              </w:rPr>
              <w:t>00</w:t>
            </w:r>
          </w:p>
        </w:tc>
        <w:tc>
          <w:tcPr>
            <w:tcW w:w="1620" w:type="dxa"/>
            <w:shd w:val="clear" w:color="auto" w:fill="auto"/>
          </w:tcPr>
          <w:p w:rsidR="00DE2A14" w:rsidRPr="000254B8" w:rsidRDefault="00DE2A14" w:rsidP="000254B8">
            <w:pPr>
              <w:jc w:val="both"/>
              <w:rPr>
                <w:rFonts w:ascii="Courier New" w:hAnsi="Courier New" w:cs="Courier New"/>
                <w:sz w:val="20"/>
                <w:szCs w:val="20"/>
              </w:rPr>
            </w:pPr>
          </w:p>
        </w:tc>
        <w:tc>
          <w:tcPr>
            <w:tcW w:w="2160" w:type="dxa"/>
            <w:shd w:val="clear" w:color="auto" w:fill="auto"/>
          </w:tcPr>
          <w:p w:rsidR="00DE2A14" w:rsidRPr="000254B8" w:rsidRDefault="00475A6B" w:rsidP="000254B8">
            <w:pPr>
              <w:tabs>
                <w:tab w:val="left" w:pos="0"/>
              </w:tabs>
              <w:jc w:val="both"/>
              <w:rPr>
                <w:rFonts w:ascii="Courier New" w:hAnsi="Courier New" w:cs="Courier New"/>
                <w:sz w:val="20"/>
                <w:szCs w:val="20"/>
              </w:rPr>
            </w:pPr>
            <w:r w:rsidRPr="000254B8">
              <w:rPr>
                <w:rFonts w:ascii="Courier New" w:hAnsi="Courier New" w:cs="Courier New"/>
                <w:sz w:val="20"/>
                <w:szCs w:val="20"/>
              </w:rPr>
              <w:t>06/22/2009</w:t>
            </w:r>
          </w:p>
          <w:p w:rsidR="00DE2A14" w:rsidRPr="000254B8" w:rsidRDefault="00475A6B" w:rsidP="000254B8">
            <w:pPr>
              <w:tabs>
                <w:tab w:val="left" w:pos="0"/>
              </w:tabs>
              <w:jc w:val="both"/>
              <w:rPr>
                <w:rFonts w:ascii="Courier New" w:hAnsi="Courier New" w:cs="Courier New"/>
                <w:sz w:val="20"/>
                <w:szCs w:val="20"/>
              </w:rPr>
            </w:pPr>
            <w:r w:rsidRPr="000254B8">
              <w:rPr>
                <w:rFonts w:ascii="Courier New" w:hAnsi="Courier New" w:cs="Courier New"/>
                <w:sz w:val="20"/>
                <w:szCs w:val="20"/>
              </w:rPr>
              <w:t>$250</w:t>
            </w:r>
            <w:r w:rsidR="00DE2A14" w:rsidRPr="000254B8">
              <w:rPr>
                <w:rFonts w:ascii="Courier New" w:hAnsi="Courier New" w:cs="Courier New"/>
                <w:sz w:val="20"/>
                <w:szCs w:val="20"/>
              </w:rPr>
              <w:t>,000</w:t>
            </w:r>
          </w:p>
        </w:tc>
        <w:tc>
          <w:tcPr>
            <w:tcW w:w="2070" w:type="dxa"/>
            <w:shd w:val="clear" w:color="auto" w:fill="auto"/>
          </w:tcPr>
          <w:p w:rsidR="00DE2A14" w:rsidRPr="000254B8" w:rsidRDefault="00DE2A14" w:rsidP="000254B8">
            <w:pPr>
              <w:jc w:val="both"/>
              <w:rPr>
                <w:rFonts w:ascii="Courier New" w:hAnsi="Courier New" w:cs="Courier New"/>
                <w:sz w:val="20"/>
                <w:szCs w:val="20"/>
              </w:rPr>
            </w:pP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Location</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3.55</w:t>
            </w:r>
            <w:r w:rsidR="00DE2A14" w:rsidRPr="000254B8">
              <w:rPr>
                <w:rFonts w:ascii="Courier New" w:hAnsi="Courier New" w:cs="Courier New"/>
                <w:sz w:val="20"/>
                <w:szCs w:val="20"/>
              </w:rPr>
              <w:t xml:space="preserve"> miles</w:t>
            </w:r>
          </w:p>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waterfront/</w:t>
            </w:r>
            <w:r w:rsidR="00DE2A14" w:rsidRPr="000254B8">
              <w:rPr>
                <w:rFonts w:ascii="Courier New" w:hAnsi="Courier New" w:cs="Courier New"/>
                <w:sz w:val="20"/>
                <w:szCs w:val="20"/>
              </w:rPr>
              <w:t>avg.</w:t>
            </w:r>
          </w:p>
        </w:tc>
        <w:tc>
          <w:tcPr>
            <w:tcW w:w="1620" w:type="dxa"/>
            <w:shd w:val="clear" w:color="auto" w:fill="auto"/>
          </w:tcPr>
          <w:p w:rsidR="00DE2A14" w:rsidRPr="000254B8" w:rsidRDefault="00DE2A14" w:rsidP="000254B8">
            <w:pPr>
              <w:jc w:val="both"/>
              <w:rPr>
                <w:rFonts w:ascii="Courier New" w:hAnsi="Courier New" w:cs="Courier New"/>
                <w:sz w:val="20"/>
                <w:szCs w:val="20"/>
              </w:rPr>
            </w:pPr>
          </w:p>
        </w:tc>
        <w:tc>
          <w:tcPr>
            <w:tcW w:w="2160" w:type="dxa"/>
            <w:shd w:val="clear" w:color="auto" w:fill="auto"/>
          </w:tcPr>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0.86</w:t>
            </w:r>
            <w:r w:rsidR="00DE2A14" w:rsidRPr="000254B8">
              <w:rPr>
                <w:rFonts w:ascii="Courier New" w:hAnsi="Courier New" w:cs="Courier New"/>
                <w:sz w:val="20"/>
                <w:szCs w:val="20"/>
              </w:rPr>
              <w:t xml:space="preserve"> miles</w:t>
            </w:r>
          </w:p>
          <w:p w:rsidR="00DE2A14" w:rsidRPr="000254B8" w:rsidRDefault="00DE2A14" w:rsidP="000254B8">
            <w:pPr>
              <w:jc w:val="both"/>
              <w:rPr>
                <w:rFonts w:ascii="Courier New" w:hAnsi="Courier New" w:cs="Courier New"/>
                <w:sz w:val="20"/>
                <w:szCs w:val="20"/>
              </w:rPr>
            </w:pPr>
            <w:r w:rsidRPr="000254B8">
              <w:rPr>
                <w:rFonts w:ascii="Courier New" w:hAnsi="Courier New" w:cs="Courier New"/>
                <w:sz w:val="20"/>
                <w:szCs w:val="20"/>
              </w:rPr>
              <w:t>waterfront/</w:t>
            </w:r>
            <w:r w:rsidR="00475A6B" w:rsidRPr="000254B8">
              <w:rPr>
                <w:rFonts w:ascii="Courier New" w:hAnsi="Courier New" w:cs="Courier New"/>
                <w:sz w:val="20"/>
                <w:szCs w:val="20"/>
              </w:rPr>
              <w:t xml:space="preserve">above </w:t>
            </w:r>
            <w:r w:rsidRPr="000254B8">
              <w:rPr>
                <w:rFonts w:ascii="Courier New" w:hAnsi="Courier New" w:cs="Courier New"/>
                <w:sz w:val="20"/>
                <w:szCs w:val="20"/>
              </w:rPr>
              <w:t>avg.</w:t>
            </w:r>
          </w:p>
        </w:tc>
        <w:tc>
          <w:tcPr>
            <w:tcW w:w="2070" w:type="dxa"/>
            <w:shd w:val="clear" w:color="auto" w:fill="auto"/>
          </w:tcPr>
          <w:p w:rsidR="00DE2A14" w:rsidRPr="000254B8" w:rsidRDefault="00DE2A14" w:rsidP="000254B8">
            <w:pPr>
              <w:jc w:val="both"/>
              <w:rPr>
                <w:rFonts w:ascii="Courier New" w:hAnsi="Courier New" w:cs="Courier New"/>
                <w:sz w:val="20"/>
                <w:szCs w:val="20"/>
              </w:rPr>
            </w:pPr>
          </w:p>
          <w:p w:rsidR="00DE2A14" w:rsidRPr="000254B8" w:rsidRDefault="00DE2A14" w:rsidP="000254B8">
            <w:pPr>
              <w:jc w:val="both"/>
              <w:rPr>
                <w:rFonts w:ascii="Courier New" w:hAnsi="Courier New" w:cs="Courier New"/>
                <w:sz w:val="20"/>
                <w:szCs w:val="20"/>
              </w:rPr>
            </w:pP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Land Size</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0.25</w:t>
            </w:r>
            <w:r w:rsidR="00DE2A14" w:rsidRPr="000254B8">
              <w:rPr>
                <w:rFonts w:ascii="Courier New" w:hAnsi="Courier New" w:cs="Courier New"/>
                <w:sz w:val="20"/>
                <w:szCs w:val="20"/>
              </w:rPr>
              <w:t xml:space="preserve"> acres</w:t>
            </w:r>
          </w:p>
        </w:tc>
        <w:tc>
          <w:tcPr>
            <w:tcW w:w="162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$7,375</w:t>
            </w:r>
          </w:p>
        </w:tc>
        <w:tc>
          <w:tcPr>
            <w:tcW w:w="2160" w:type="dxa"/>
            <w:shd w:val="clear" w:color="auto" w:fill="auto"/>
          </w:tcPr>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0.34</w:t>
            </w:r>
            <w:r w:rsidR="00DE2A14" w:rsidRPr="000254B8">
              <w:rPr>
                <w:rFonts w:ascii="Courier New" w:hAnsi="Courier New" w:cs="Courier New"/>
                <w:sz w:val="20"/>
                <w:szCs w:val="20"/>
              </w:rPr>
              <w:t xml:space="preserve"> acres</w:t>
            </w:r>
          </w:p>
        </w:tc>
        <w:tc>
          <w:tcPr>
            <w:tcW w:w="2070" w:type="dxa"/>
            <w:shd w:val="clear" w:color="auto" w:fill="auto"/>
          </w:tcPr>
          <w:p w:rsidR="00DE2A14" w:rsidRPr="000254B8" w:rsidRDefault="001C5797" w:rsidP="000254B8">
            <w:pPr>
              <w:jc w:val="both"/>
              <w:rPr>
                <w:rFonts w:ascii="Courier New" w:hAnsi="Courier New" w:cs="Courier New"/>
                <w:sz w:val="20"/>
                <w:szCs w:val="20"/>
              </w:rPr>
            </w:pPr>
            <w:r w:rsidRPr="000254B8">
              <w:rPr>
                <w:rFonts w:ascii="Courier New" w:hAnsi="Courier New" w:cs="Courier New"/>
                <w:sz w:val="20"/>
                <w:szCs w:val="20"/>
              </w:rPr>
              <w:t xml:space="preserve"> </w:t>
            </w:r>
            <w:r w:rsidR="00475A6B" w:rsidRPr="000254B8">
              <w:rPr>
                <w:rFonts w:ascii="Courier New" w:hAnsi="Courier New" w:cs="Courier New"/>
                <w:sz w:val="20"/>
                <w:szCs w:val="20"/>
              </w:rPr>
              <w:t>$</w:t>
            </w:r>
            <w:r w:rsidRPr="000254B8">
              <w:rPr>
                <w:rFonts w:ascii="Courier New" w:hAnsi="Courier New" w:cs="Courier New"/>
                <w:sz w:val="20"/>
                <w:szCs w:val="20"/>
              </w:rPr>
              <w:t xml:space="preserve"> </w:t>
            </w:r>
            <w:r w:rsidR="007A6162" w:rsidRPr="000254B8">
              <w:rPr>
                <w:rFonts w:ascii="Courier New" w:hAnsi="Courier New" w:cs="Courier New"/>
                <w:sz w:val="20"/>
                <w:szCs w:val="20"/>
              </w:rPr>
              <w:t>7,150</w:t>
            </w: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Style of home/</w:t>
            </w:r>
          </w:p>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Condition</w:t>
            </w:r>
          </w:p>
        </w:tc>
        <w:tc>
          <w:tcPr>
            <w:tcW w:w="234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Contemporary</w:t>
            </w:r>
            <w:r w:rsidR="00A96415" w:rsidRPr="000254B8">
              <w:rPr>
                <w:rFonts w:ascii="Courier New" w:hAnsi="Courier New" w:cs="Courier New"/>
                <w:sz w:val="20"/>
                <w:szCs w:val="20"/>
              </w:rPr>
              <w:t>/</w:t>
            </w:r>
          </w:p>
          <w:p w:rsidR="00DE2A14" w:rsidRPr="000254B8" w:rsidRDefault="00DE2A14" w:rsidP="000254B8">
            <w:pPr>
              <w:jc w:val="both"/>
              <w:rPr>
                <w:rFonts w:ascii="Courier New" w:hAnsi="Courier New" w:cs="Courier New"/>
                <w:sz w:val="20"/>
                <w:szCs w:val="20"/>
              </w:rPr>
            </w:pPr>
            <w:r w:rsidRPr="000254B8">
              <w:rPr>
                <w:rFonts w:ascii="Courier New" w:hAnsi="Courier New" w:cs="Courier New"/>
                <w:sz w:val="20"/>
                <w:szCs w:val="20"/>
              </w:rPr>
              <w:t>Avg.</w:t>
            </w:r>
          </w:p>
        </w:tc>
        <w:tc>
          <w:tcPr>
            <w:tcW w:w="1620" w:type="dxa"/>
            <w:shd w:val="clear" w:color="auto" w:fill="auto"/>
          </w:tcPr>
          <w:p w:rsidR="00DE2A14" w:rsidRPr="000254B8" w:rsidRDefault="00DE2A14" w:rsidP="000254B8">
            <w:pPr>
              <w:jc w:val="both"/>
              <w:rPr>
                <w:rFonts w:ascii="Courier New" w:hAnsi="Courier New" w:cs="Courier New"/>
                <w:sz w:val="20"/>
                <w:szCs w:val="20"/>
              </w:rPr>
            </w:pPr>
          </w:p>
          <w:p w:rsidR="00DE2A14" w:rsidRPr="000254B8" w:rsidRDefault="001C5797" w:rsidP="000254B8">
            <w:pPr>
              <w:jc w:val="both"/>
              <w:rPr>
                <w:rFonts w:ascii="Courier New" w:hAnsi="Courier New" w:cs="Courier New"/>
                <w:sz w:val="20"/>
                <w:szCs w:val="20"/>
              </w:rPr>
            </w:pPr>
            <w:r w:rsidRPr="000254B8">
              <w:rPr>
                <w:rFonts w:ascii="Courier New" w:hAnsi="Courier New" w:cs="Courier New"/>
                <w:sz w:val="20"/>
                <w:szCs w:val="20"/>
              </w:rPr>
              <w:t xml:space="preserve"> </w:t>
            </w:r>
            <w:r w:rsidR="00DE2A14" w:rsidRPr="000254B8">
              <w:rPr>
                <w:rFonts w:ascii="Courier New" w:hAnsi="Courier New" w:cs="Courier New"/>
                <w:sz w:val="20"/>
                <w:szCs w:val="20"/>
              </w:rPr>
              <w:t>$</w:t>
            </w:r>
            <w:r w:rsidR="00B977F3" w:rsidRPr="000254B8">
              <w:rPr>
                <w:rFonts w:ascii="Courier New" w:hAnsi="Courier New" w:cs="Courier New"/>
                <w:sz w:val="20"/>
                <w:szCs w:val="20"/>
              </w:rPr>
              <w:t>11,745</w:t>
            </w:r>
          </w:p>
        </w:tc>
        <w:tc>
          <w:tcPr>
            <w:tcW w:w="2160" w:type="dxa"/>
            <w:shd w:val="clear" w:color="auto" w:fill="auto"/>
          </w:tcPr>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Cottage</w:t>
            </w:r>
            <w:r w:rsidR="00A96415" w:rsidRPr="000254B8">
              <w:rPr>
                <w:rFonts w:ascii="Courier New" w:hAnsi="Courier New" w:cs="Courier New"/>
                <w:sz w:val="20"/>
                <w:szCs w:val="20"/>
              </w:rPr>
              <w:t>/</w:t>
            </w:r>
          </w:p>
          <w:p w:rsidR="00DE2A14" w:rsidRPr="000254B8" w:rsidRDefault="007A6162" w:rsidP="000254B8">
            <w:pPr>
              <w:jc w:val="both"/>
              <w:rPr>
                <w:rFonts w:ascii="Courier New" w:hAnsi="Courier New" w:cs="Courier New"/>
                <w:sz w:val="20"/>
                <w:szCs w:val="20"/>
              </w:rPr>
            </w:pPr>
            <w:r w:rsidRPr="000254B8">
              <w:rPr>
                <w:rFonts w:ascii="Courier New" w:hAnsi="Courier New" w:cs="Courier New"/>
                <w:sz w:val="20"/>
                <w:szCs w:val="20"/>
              </w:rPr>
              <w:t>Good</w:t>
            </w:r>
          </w:p>
        </w:tc>
        <w:tc>
          <w:tcPr>
            <w:tcW w:w="2070" w:type="dxa"/>
            <w:shd w:val="clear" w:color="auto" w:fill="auto"/>
          </w:tcPr>
          <w:p w:rsidR="00DE2A14" w:rsidRPr="000254B8" w:rsidRDefault="00DE2A14" w:rsidP="000254B8">
            <w:pPr>
              <w:jc w:val="both"/>
              <w:rPr>
                <w:rFonts w:ascii="Courier New" w:hAnsi="Courier New" w:cs="Courier New"/>
                <w:sz w:val="20"/>
                <w:szCs w:val="20"/>
              </w:rPr>
            </w:pPr>
          </w:p>
          <w:p w:rsidR="007A6162" w:rsidRPr="000254B8" w:rsidRDefault="007A6162" w:rsidP="000254B8">
            <w:pPr>
              <w:jc w:val="both"/>
              <w:rPr>
                <w:rFonts w:ascii="Courier New" w:hAnsi="Courier New" w:cs="Courier New"/>
                <w:sz w:val="20"/>
                <w:szCs w:val="20"/>
              </w:rPr>
            </w:pPr>
            <w:r w:rsidRPr="000254B8">
              <w:rPr>
                <w:rFonts w:ascii="Courier New" w:hAnsi="Courier New" w:cs="Courier New"/>
                <w:sz w:val="20"/>
                <w:szCs w:val="20"/>
              </w:rPr>
              <w:t>($12,500)</w:t>
            </w: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Gross living area</w:t>
            </w:r>
          </w:p>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Rooms/bed/bath</w:t>
            </w:r>
          </w:p>
        </w:tc>
        <w:tc>
          <w:tcPr>
            <w:tcW w:w="234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1,212</w:t>
            </w:r>
            <w:r w:rsidR="00DE2A14" w:rsidRPr="000254B8">
              <w:rPr>
                <w:rFonts w:ascii="Courier New" w:hAnsi="Courier New" w:cs="Courier New"/>
                <w:sz w:val="20"/>
                <w:szCs w:val="20"/>
              </w:rPr>
              <w:t xml:space="preserve"> sf</w:t>
            </w:r>
          </w:p>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5/2/2</w:t>
            </w:r>
            <w:r w:rsidR="00DE2A14" w:rsidRPr="000254B8">
              <w:rPr>
                <w:rFonts w:ascii="Courier New" w:hAnsi="Courier New" w:cs="Courier New"/>
                <w:sz w:val="20"/>
                <w:szCs w:val="20"/>
              </w:rPr>
              <w:t>.0</w:t>
            </w:r>
          </w:p>
        </w:tc>
        <w:tc>
          <w:tcPr>
            <w:tcW w:w="162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($10,500)</w:t>
            </w:r>
          </w:p>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5,0</w:t>
            </w:r>
            <w:r w:rsidR="00DE2A14" w:rsidRPr="000254B8">
              <w:rPr>
                <w:rFonts w:ascii="Courier New" w:hAnsi="Courier New" w:cs="Courier New"/>
                <w:sz w:val="20"/>
                <w:szCs w:val="20"/>
              </w:rPr>
              <w:t>00)</w:t>
            </w:r>
          </w:p>
        </w:tc>
        <w:tc>
          <w:tcPr>
            <w:tcW w:w="2160" w:type="dxa"/>
            <w:shd w:val="clear" w:color="auto" w:fill="auto"/>
          </w:tcPr>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1,416</w:t>
            </w:r>
            <w:r w:rsidR="00DE2A14" w:rsidRPr="000254B8">
              <w:rPr>
                <w:rFonts w:ascii="Courier New" w:hAnsi="Courier New" w:cs="Courier New"/>
                <w:sz w:val="20"/>
                <w:szCs w:val="20"/>
              </w:rPr>
              <w:t xml:space="preserve"> sf</w:t>
            </w:r>
          </w:p>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7/4</w:t>
            </w:r>
            <w:r w:rsidR="00DE2A14" w:rsidRPr="000254B8">
              <w:rPr>
                <w:rFonts w:ascii="Courier New" w:hAnsi="Courier New" w:cs="Courier New"/>
                <w:sz w:val="20"/>
                <w:szCs w:val="20"/>
              </w:rPr>
              <w:t>/1.</w:t>
            </w:r>
            <w:r w:rsidRPr="000254B8">
              <w:rPr>
                <w:rFonts w:ascii="Courier New" w:hAnsi="Courier New" w:cs="Courier New"/>
                <w:sz w:val="20"/>
                <w:szCs w:val="20"/>
              </w:rPr>
              <w:t>0</w:t>
            </w:r>
          </w:p>
        </w:tc>
        <w:tc>
          <w:tcPr>
            <w:tcW w:w="2070" w:type="dxa"/>
            <w:shd w:val="clear" w:color="auto" w:fill="auto"/>
          </w:tcPr>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w:t>
            </w:r>
            <w:r w:rsidR="004C1D1A" w:rsidRPr="000254B8">
              <w:rPr>
                <w:rFonts w:ascii="Courier New" w:hAnsi="Courier New" w:cs="Courier New"/>
                <w:sz w:val="20"/>
                <w:szCs w:val="20"/>
              </w:rPr>
              <w:t>15,600)</w:t>
            </w:r>
          </w:p>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004C1D1A" w:rsidRPr="000254B8">
              <w:rPr>
                <w:rFonts w:ascii="Courier New" w:hAnsi="Courier New" w:cs="Courier New"/>
                <w:sz w:val="20"/>
                <w:szCs w:val="20"/>
              </w:rPr>
              <w:t>5,000</w:t>
            </w:r>
            <w:r w:rsidR="00DE2A14" w:rsidRPr="000254B8">
              <w:rPr>
                <w:rFonts w:ascii="Courier New" w:hAnsi="Courier New" w:cs="Courier New"/>
                <w:sz w:val="20"/>
                <w:szCs w:val="20"/>
              </w:rPr>
              <w:t>)</w:t>
            </w: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Basement</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Full</w:t>
            </w:r>
          </w:p>
        </w:tc>
        <w:tc>
          <w:tcPr>
            <w:tcW w:w="1620" w:type="dxa"/>
            <w:shd w:val="clear" w:color="auto" w:fill="auto"/>
          </w:tcPr>
          <w:p w:rsidR="00DE2A14" w:rsidRPr="000254B8" w:rsidRDefault="00B977F3" w:rsidP="000254B8">
            <w:pPr>
              <w:jc w:val="both"/>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5,000)</w:t>
            </w:r>
          </w:p>
        </w:tc>
        <w:tc>
          <w:tcPr>
            <w:tcW w:w="2160" w:type="dxa"/>
            <w:shd w:val="clear" w:color="auto" w:fill="auto"/>
          </w:tcPr>
          <w:p w:rsidR="00DE2A14" w:rsidRPr="000254B8" w:rsidRDefault="00475A6B" w:rsidP="000254B8">
            <w:pPr>
              <w:jc w:val="both"/>
              <w:rPr>
                <w:rFonts w:ascii="Courier New" w:hAnsi="Courier New" w:cs="Courier New"/>
                <w:sz w:val="20"/>
                <w:szCs w:val="20"/>
              </w:rPr>
            </w:pPr>
            <w:r w:rsidRPr="000254B8">
              <w:rPr>
                <w:rFonts w:ascii="Courier New" w:hAnsi="Courier New" w:cs="Courier New"/>
                <w:sz w:val="20"/>
                <w:szCs w:val="20"/>
              </w:rPr>
              <w:t>Crawlspace</w:t>
            </w:r>
          </w:p>
        </w:tc>
        <w:tc>
          <w:tcPr>
            <w:tcW w:w="2070" w:type="dxa"/>
            <w:shd w:val="clear" w:color="auto" w:fill="auto"/>
          </w:tcPr>
          <w:p w:rsidR="00DE2A14" w:rsidRPr="000254B8" w:rsidRDefault="00DE2A14" w:rsidP="000254B8">
            <w:pPr>
              <w:jc w:val="both"/>
              <w:rPr>
                <w:rFonts w:ascii="Courier New" w:hAnsi="Courier New" w:cs="Courier New"/>
                <w:sz w:val="20"/>
                <w:szCs w:val="20"/>
              </w:rPr>
            </w:pP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Rooms below grade</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DE2A14" w:rsidP="00B977F3">
            <w:pPr>
              <w:rPr>
                <w:rFonts w:ascii="Courier New" w:hAnsi="Courier New" w:cs="Courier New"/>
                <w:sz w:val="20"/>
                <w:szCs w:val="20"/>
              </w:rPr>
            </w:pPr>
            <w:r w:rsidRPr="000254B8">
              <w:rPr>
                <w:rFonts w:ascii="Courier New" w:hAnsi="Courier New" w:cs="Courier New"/>
                <w:sz w:val="20"/>
                <w:szCs w:val="20"/>
              </w:rPr>
              <w:t>None</w:t>
            </w:r>
          </w:p>
        </w:tc>
        <w:tc>
          <w:tcPr>
            <w:tcW w:w="1620" w:type="dxa"/>
            <w:shd w:val="clear" w:color="auto" w:fill="auto"/>
          </w:tcPr>
          <w:p w:rsidR="00DE2A14" w:rsidRPr="000254B8" w:rsidRDefault="00DE2A14" w:rsidP="00B977F3">
            <w:pPr>
              <w:rPr>
                <w:rFonts w:ascii="Courier New" w:hAnsi="Courier New" w:cs="Courier New"/>
                <w:sz w:val="20"/>
                <w:szCs w:val="20"/>
              </w:rPr>
            </w:pPr>
          </w:p>
        </w:tc>
        <w:tc>
          <w:tcPr>
            <w:tcW w:w="2160" w:type="dxa"/>
            <w:shd w:val="clear" w:color="auto" w:fill="auto"/>
          </w:tcPr>
          <w:p w:rsidR="00DE2A14" w:rsidRPr="000254B8" w:rsidRDefault="00475A6B" w:rsidP="00B977F3">
            <w:pPr>
              <w:rPr>
                <w:rFonts w:ascii="Courier New" w:hAnsi="Courier New" w:cs="Courier New"/>
                <w:sz w:val="20"/>
                <w:szCs w:val="20"/>
              </w:rPr>
            </w:pPr>
            <w:r w:rsidRPr="000254B8">
              <w:rPr>
                <w:rFonts w:ascii="Courier New" w:hAnsi="Courier New" w:cs="Courier New"/>
                <w:sz w:val="20"/>
                <w:szCs w:val="20"/>
              </w:rPr>
              <w:t>none</w:t>
            </w:r>
          </w:p>
        </w:tc>
        <w:tc>
          <w:tcPr>
            <w:tcW w:w="2070" w:type="dxa"/>
            <w:shd w:val="clear" w:color="auto" w:fill="auto"/>
          </w:tcPr>
          <w:p w:rsidR="00DE2A14" w:rsidRPr="000254B8" w:rsidRDefault="00DE2A14" w:rsidP="00B977F3">
            <w:pPr>
              <w:rPr>
                <w:rFonts w:ascii="Courier New" w:hAnsi="Courier New" w:cs="Courier New"/>
                <w:sz w:val="20"/>
                <w:szCs w:val="20"/>
              </w:rPr>
            </w:pP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Functional utility</w:t>
            </w:r>
          </w:p>
        </w:tc>
        <w:tc>
          <w:tcPr>
            <w:tcW w:w="2340" w:type="dxa"/>
            <w:shd w:val="clear" w:color="auto" w:fill="auto"/>
          </w:tcPr>
          <w:p w:rsidR="00DE2A14" w:rsidRPr="000254B8" w:rsidRDefault="00B977F3" w:rsidP="00B977F3">
            <w:pPr>
              <w:rPr>
                <w:rFonts w:ascii="Courier New" w:hAnsi="Courier New" w:cs="Courier New"/>
                <w:sz w:val="20"/>
                <w:szCs w:val="20"/>
              </w:rPr>
            </w:pPr>
            <w:r w:rsidRPr="000254B8">
              <w:rPr>
                <w:rFonts w:ascii="Courier New" w:hAnsi="Courier New" w:cs="Courier New"/>
                <w:sz w:val="20"/>
                <w:szCs w:val="20"/>
              </w:rPr>
              <w:t>Year-round</w:t>
            </w:r>
          </w:p>
        </w:tc>
        <w:tc>
          <w:tcPr>
            <w:tcW w:w="1620" w:type="dxa"/>
            <w:shd w:val="clear" w:color="auto" w:fill="auto"/>
          </w:tcPr>
          <w:p w:rsidR="00DE2A14" w:rsidRPr="000254B8" w:rsidRDefault="00B977F3" w:rsidP="00B977F3">
            <w:pPr>
              <w:rPr>
                <w:rFonts w:ascii="Courier New" w:hAnsi="Courier New" w:cs="Courier New"/>
                <w:sz w:val="20"/>
                <w:szCs w:val="20"/>
              </w:rPr>
            </w:pPr>
            <w:r w:rsidRPr="000254B8">
              <w:rPr>
                <w:rFonts w:ascii="Courier New" w:hAnsi="Courier New" w:cs="Courier New"/>
                <w:sz w:val="20"/>
                <w:szCs w:val="20"/>
              </w:rPr>
              <w:t>($11,745)</w:t>
            </w:r>
          </w:p>
        </w:tc>
        <w:tc>
          <w:tcPr>
            <w:tcW w:w="2160" w:type="dxa"/>
            <w:shd w:val="clear" w:color="auto" w:fill="auto"/>
          </w:tcPr>
          <w:p w:rsidR="00DE2A14" w:rsidRPr="000254B8" w:rsidRDefault="007A6162" w:rsidP="00B977F3">
            <w:pPr>
              <w:rPr>
                <w:rFonts w:ascii="Courier New" w:hAnsi="Courier New" w:cs="Courier New"/>
                <w:sz w:val="20"/>
                <w:szCs w:val="20"/>
              </w:rPr>
            </w:pPr>
            <w:r w:rsidRPr="000254B8">
              <w:rPr>
                <w:rFonts w:ascii="Courier New" w:hAnsi="Courier New" w:cs="Courier New"/>
                <w:sz w:val="20"/>
                <w:szCs w:val="20"/>
              </w:rPr>
              <w:t>Seasonal</w:t>
            </w:r>
          </w:p>
        </w:tc>
        <w:tc>
          <w:tcPr>
            <w:tcW w:w="2070" w:type="dxa"/>
            <w:shd w:val="clear" w:color="auto" w:fill="auto"/>
          </w:tcPr>
          <w:p w:rsidR="00DE2A14" w:rsidRPr="000254B8" w:rsidRDefault="00DE2A14" w:rsidP="00B977F3">
            <w:pPr>
              <w:rPr>
                <w:rFonts w:ascii="Courier New" w:hAnsi="Courier New" w:cs="Courier New"/>
                <w:sz w:val="20"/>
                <w:szCs w:val="20"/>
              </w:rPr>
            </w:pP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Heating/cooling</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A96415" w:rsidP="00B977F3">
            <w:pPr>
              <w:rPr>
                <w:rFonts w:ascii="Courier New" w:hAnsi="Courier New" w:cs="Courier New"/>
                <w:sz w:val="20"/>
                <w:szCs w:val="20"/>
              </w:rPr>
            </w:pPr>
            <w:r w:rsidRPr="000254B8">
              <w:rPr>
                <w:rFonts w:ascii="Courier New" w:hAnsi="Courier New" w:cs="Courier New"/>
                <w:sz w:val="20"/>
                <w:szCs w:val="20"/>
              </w:rPr>
              <w:t>Forced hot-water heating/</w:t>
            </w:r>
            <w:r w:rsidR="00B977F3" w:rsidRPr="000254B8">
              <w:rPr>
                <w:rFonts w:ascii="Courier New" w:hAnsi="Courier New" w:cs="Courier New"/>
                <w:sz w:val="20"/>
                <w:szCs w:val="20"/>
              </w:rPr>
              <w:t xml:space="preserve"> no central</w:t>
            </w:r>
            <w:r w:rsidR="00DE2A14" w:rsidRPr="000254B8">
              <w:rPr>
                <w:rFonts w:ascii="Courier New" w:hAnsi="Courier New" w:cs="Courier New"/>
                <w:sz w:val="20"/>
                <w:szCs w:val="20"/>
              </w:rPr>
              <w:t xml:space="preserve"> cooling</w:t>
            </w:r>
          </w:p>
        </w:tc>
        <w:tc>
          <w:tcPr>
            <w:tcW w:w="1620" w:type="dxa"/>
            <w:shd w:val="clear" w:color="auto" w:fill="auto"/>
          </w:tcPr>
          <w:p w:rsidR="00DE2A14" w:rsidRPr="000254B8" w:rsidRDefault="00B977F3" w:rsidP="00B977F3">
            <w:pPr>
              <w:rPr>
                <w:rFonts w:ascii="Courier New" w:hAnsi="Courier New" w:cs="Courier New"/>
                <w:sz w:val="20"/>
                <w:szCs w:val="20"/>
              </w:rPr>
            </w:pPr>
            <w:r w:rsidRPr="000254B8">
              <w:rPr>
                <w:rFonts w:ascii="Courier New" w:hAnsi="Courier New" w:cs="Courier New"/>
                <w:sz w:val="20"/>
                <w:szCs w:val="20"/>
              </w:rPr>
              <w:t>($10,000)</w:t>
            </w:r>
          </w:p>
        </w:tc>
        <w:tc>
          <w:tcPr>
            <w:tcW w:w="2160" w:type="dxa"/>
            <w:shd w:val="clear" w:color="auto" w:fill="auto"/>
          </w:tcPr>
          <w:p w:rsidR="00DE2A14" w:rsidRPr="000254B8" w:rsidRDefault="007A6162" w:rsidP="00B977F3">
            <w:pPr>
              <w:rPr>
                <w:rFonts w:ascii="Courier New" w:hAnsi="Courier New" w:cs="Courier New"/>
                <w:sz w:val="20"/>
                <w:szCs w:val="20"/>
              </w:rPr>
            </w:pPr>
            <w:r w:rsidRPr="000254B8">
              <w:rPr>
                <w:rFonts w:ascii="Courier New" w:hAnsi="Courier New" w:cs="Courier New"/>
                <w:sz w:val="20"/>
                <w:szCs w:val="20"/>
              </w:rPr>
              <w:t>No central heating or cooling</w:t>
            </w:r>
          </w:p>
        </w:tc>
        <w:tc>
          <w:tcPr>
            <w:tcW w:w="2070" w:type="dxa"/>
            <w:shd w:val="clear" w:color="auto" w:fill="auto"/>
          </w:tcPr>
          <w:p w:rsidR="00DE2A14" w:rsidRPr="000254B8" w:rsidRDefault="00DE2A14" w:rsidP="00B977F3">
            <w:pPr>
              <w:rPr>
                <w:rFonts w:ascii="Courier New" w:hAnsi="Courier New" w:cs="Courier New"/>
                <w:sz w:val="20"/>
                <w:szCs w:val="20"/>
              </w:rPr>
            </w:pP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Garage/carport</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B977F3" w:rsidP="00B977F3">
            <w:pPr>
              <w:rPr>
                <w:rFonts w:ascii="Courier New" w:hAnsi="Courier New" w:cs="Courier New"/>
                <w:sz w:val="20"/>
                <w:szCs w:val="20"/>
              </w:rPr>
            </w:pPr>
            <w:r w:rsidRPr="000254B8">
              <w:rPr>
                <w:rFonts w:ascii="Courier New" w:hAnsi="Courier New" w:cs="Courier New"/>
                <w:sz w:val="20"/>
                <w:szCs w:val="20"/>
              </w:rPr>
              <w:t>1-car garage under</w:t>
            </w:r>
          </w:p>
        </w:tc>
        <w:tc>
          <w:tcPr>
            <w:tcW w:w="1620" w:type="dxa"/>
            <w:shd w:val="clear" w:color="auto" w:fill="auto"/>
          </w:tcPr>
          <w:p w:rsidR="00DE2A14" w:rsidRPr="000254B8" w:rsidRDefault="00B977F3" w:rsidP="00B977F3">
            <w:pPr>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1,500)</w:t>
            </w:r>
          </w:p>
        </w:tc>
        <w:tc>
          <w:tcPr>
            <w:tcW w:w="2160" w:type="dxa"/>
            <w:shd w:val="clear" w:color="auto" w:fill="auto"/>
          </w:tcPr>
          <w:p w:rsidR="00DE2A14" w:rsidRPr="000254B8" w:rsidRDefault="007A6162" w:rsidP="00B977F3">
            <w:pPr>
              <w:rPr>
                <w:rFonts w:ascii="Courier New" w:hAnsi="Courier New" w:cs="Courier New"/>
                <w:sz w:val="20"/>
                <w:szCs w:val="20"/>
              </w:rPr>
            </w:pPr>
            <w:r w:rsidRPr="000254B8">
              <w:rPr>
                <w:rFonts w:ascii="Courier New" w:hAnsi="Courier New" w:cs="Courier New"/>
                <w:sz w:val="20"/>
                <w:szCs w:val="20"/>
              </w:rPr>
              <w:t>None</w:t>
            </w:r>
          </w:p>
        </w:tc>
        <w:tc>
          <w:tcPr>
            <w:tcW w:w="2070" w:type="dxa"/>
            <w:shd w:val="clear" w:color="auto" w:fill="auto"/>
          </w:tcPr>
          <w:p w:rsidR="00DE2A14" w:rsidRPr="000254B8" w:rsidRDefault="00DE2A14" w:rsidP="00B977F3">
            <w:pPr>
              <w:rPr>
                <w:rFonts w:ascii="Courier New" w:hAnsi="Courier New" w:cs="Courier New"/>
                <w:sz w:val="20"/>
                <w:szCs w:val="20"/>
              </w:rPr>
            </w:pPr>
          </w:p>
        </w:tc>
      </w:tr>
      <w:tr w:rsidR="00DE2A14" w:rsidRPr="000254B8" w:rsidTr="000254B8">
        <w:trPr>
          <w:trHeight w:val="575"/>
        </w:trPr>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Porch/patio/deck</w:t>
            </w:r>
          </w:p>
          <w:p w:rsidR="00DE2A14" w:rsidRPr="000254B8" w:rsidRDefault="007D3E00" w:rsidP="00B977F3">
            <w:pPr>
              <w:rPr>
                <w:rFonts w:ascii="Courier New" w:hAnsi="Courier New" w:cs="Courier New"/>
                <w:b/>
                <w:sz w:val="20"/>
                <w:szCs w:val="20"/>
              </w:rPr>
            </w:pPr>
            <w:r w:rsidRPr="000254B8">
              <w:rPr>
                <w:rFonts w:ascii="Courier New" w:hAnsi="Courier New" w:cs="Courier New"/>
                <w:b/>
                <w:sz w:val="20"/>
                <w:szCs w:val="20"/>
              </w:rPr>
              <w:t>F</w:t>
            </w:r>
            <w:r w:rsidR="00DE2A14" w:rsidRPr="000254B8">
              <w:rPr>
                <w:rFonts w:ascii="Courier New" w:hAnsi="Courier New" w:cs="Courier New"/>
                <w:b/>
                <w:sz w:val="20"/>
                <w:szCs w:val="20"/>
              </w:rPr>
              <w:t>ireplaces</w:t>
            </w:r>
          </w:p>
        </w:tc>
        <w:tc>
          <w:tcPr>
            <w:tcW w:w="2340" w:type="dxa"/>
            <w:shd w:val="clear" w:color="auto" w:fill="auto"/>
          </w:tcPr>
          <w:p w:rsidR="00DE2A14" w:rsidRPr="000254B8" w:rsidRDefault="00DE2A14" w:rsidP="00B977F3">
            <w:pPr>
              <w:rPr>
                <w:rFonts w:ascii="Courier New" w:hAnsi="Courier New" w:cs="Courier New"/>
                <w:sz w:val="20"/>
                <w:szCs w:val="20"/>
              </w:rPr>
            </w:pPr>
            <w:r w:rsidRPr="000254B8">
              <w:rPr>
                <w:rFonts w:ascii="Courier New" w:hAnsi="Courier New" w:cs="Courier New"/>
                <w:sz w:val="20"/>
                <w:szCs w:val="20"/>
              </w:rPr>
              <w:t>Deck</w:t>
            </w:r>
            <w:r w:rsidR="00A96415" w:rsidRPr="000254B8">
              <w:rPr>
                <w:rFonts w:ascii="Courier New" w:hAnsi="Courier New" w:cs="Courier New"/>
                <w:sz w:val="20"/>
                <w:szCs w:val="20"/>
              </w:rPr>
              <w:t>/</w:t>
            </w:r>
          </w:p>
          <w:p w:rsidR="00DE2A14" w:rsidRPr="000254B8" w:rsidRDefault="00B977F3" w:rsidP="00B977F3">
            <w:pPr>
              <w:rPr>
                <w:rFonts w:ascii="Courier New" w:hAnsi="Courier New" w:cs="Courier New"/>
                <w:sz w:val="20"/>
                <w:szCs w:val="20"/>
              </w:rPr>
            </w:pPr>
            <w:r w:rsidRPr="000254B8">
              <w:rPr>
                <w:rFonts w:ascii="Courier New" w:hAnsi="Courier New" w:cs="Courier New"/>
                <w:sz w:val="20"/>
                <w:szCs w:val="20"/>
              </w:rPr>
              <w:t>1 fireplace</w:t>
            </w:r>
          </w:p>
        </w:tc>
        <w:tc>
          <w:tcPr>
            <w:tcW w:w="1620" w:type="dxa"/>
            <w:shd w:val="clear" w:color="auto" w:fill="auto"/>
          </w:tcPr>
          <w:p w:rsidR="00DE2A14" w:rsidRPr="000254B8" w:rsidRDefault="001C5797" w:rsidP="00B977F3">
            <w:pPr>
              <w:rPr>
                <w:rFonts w:ascii="Courier New" w:hAnsi="Courier New" w:cs="Courier New"/>
                <w:sz w:val="20"/>
                <w:szCs w:val="20"/>
              </w:rPr>
            </w:pPr>
            <w:r w:rsidRPr="000254B8">
              <w:rPr>
                <w:rFonts w:ascii="Courier New" w:hAnsi="Courier New" w:cs="Courier New"/>
                <w:sz w:val="20"/>
                <w:szCs w:val="20"/>
              </w:rPr>
              <w:t xml:space="preserve"> </w:t>
            </w:r>
            <w:r w:rsidR="00DE2A14" w:rsidRPr="000254B8">
              <w:rPr>
                <w:rFonts w:ascii="Courier New" w:hAnsi="Courier New" w:cs="Courier New"/>
                <w:sz w:val="20"/>
                <w:szCs w:val="20"/>
              </w:rPr>
              <w:t>$</w:t>
            </w:r>
            <w:r w:rsidRPr="000254B8">
              <w:rPr>
                <w:rFonts w:ascii="Courier New" w:hAnsi="Courier New" w:cs="Courier New"/>
                <w:sz w:val="20"/>
                <w:szCs w:val="20"/>
              </w:rPr>
              <w:t xml:space="preserve"> </w:t>
            </w:r>
            <w:r w:rsidR="00DE2A14" w:rsidRPr="000254B8">
              <w:rPr>
                <w:rFonts w:ascii="Courier New" w:hAnsi="Courier New" w:cs="Courier New"/>
                <w:sz w:val="20"/>
                <w:szCs w:val="20"/>
              </w:rPr>
              <w:t>5,000</w:t>
            </w:r>
          </w:p>
          <w:p w:rsidR="00B977F3" w:rsidRPr="000254B8" w:rsidRDefault="00B977F3" w:rsidP="00B977F3">
            <w:pPr>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Pr="000254B8">
              <w:rPr>
                <w:rFonts w:ascii="Courier New" w:hAnsi="Courier New" w:cs="Courier New"/>
                <w:sz w:val="20"/>
                <w:szCs w:val="20"/>
              </w:rPr>
              <w:t>1,000)</w:t>
            </w:r>
          </w:p>
        </w:tc>
        <w:tc>
          <w:tcPr>
            <w:tcW w:w="2160" w:type="dxa"/>
            <w:shd w:val="clear" w:color="auto" w:fill="auto"/>
          </w:tcPr>
          <w:p w:rsidR="00DE2A14" w:rsidRPr="000254B8" w:rsidRDefault="007A6162" w:rsidP="00B977F3">
            <w:pPr>
              <w:rPr>
                <w:rFonts w:ascii="Courier New" w:hAnsi="Courier New" w:cs="Courier New"/>
                <w:sz w:val="20"/>
                <w:szCs w:val="20"/>
              </w:rPr>
            </w:pPr>
            <w:r w:rsidRPr="000254B8">
              <w:rPr>
                <w:rFonts w:ascii="Courier New" w:hAnsi="Courier New" w:cs="Courier New"/>
                <w:sz w:val="20"/>
                <w:szCs w:val="20"/>
              </w:rPr>
              <w:t>Screened</w:t>
            </w:r>
            <w:r w:rsidR="004C1D1A" w:rsidRPr="000254B8">
              <w:rPr>
                <w:rFonts w:ascii="Courier New" w:hAnsi="Courier New" w:cs="Courier New"/>
                <w:sz w:val="20"/>
                <w:szCs w:val="20"/>
              </w:rPr>
              <w:t xml:space="preserve"> </w:t>
            </w:r>
            <w:r w:rsidRPr="000254B8">
              <w:rPr>
                <w:rFonts w:ascii="Courier New" w:hAnsi="Courier New" w:cs="Courier New"/>
                <w:sz w:val="20"/>
                <w:szCs w:val="20"/>
              </w:rPr>
              <w:t>porch</w:t>
            </w:r>
            <w:r w:rsidR="00A96415" w:rsidRPr="000254B8">
              <w:rPr>
                <w:rFonts w:ascii="Courier New" w:hAnsi="Courier New" w:cs="Courier New"/>
                <w:sz w:val="20"/>
                <w:szCs w:val="20"/>
              </w:rPr>
              <w:t>/</w:t>
            </w:r>
          </w:p>
          <w:p w:rsidR="00DE2A14" w:rsidRPr="000254B8" w:rsidRDefault="007A6162" w:rsidP="00B977F3">
            <w:pPr>
              <w:rPr>
                <w:rFonts w:ascii="Courier New" w:hAnsi="Courier New" w:cs="Courier New"/>
                <w:sz w:val="20"/>
                <w:szCs w:val="20"/>
              </w:rPr>
            </w:pPr>
            <w:r w:rsidRPr="000254B8">
              <w:rPr>
                <w:rFonts w:ascii="Courier New" w:hAnsi="Courier New" w:cs="Courier New"/>
                <w:sz w:val="20"/>
                <w:szCs w:val="20"/>
              </w:rPr>
              <w:t>1</w:t>
            </w:r>
            <w:r w:rsidR="00DE2A14" w:rsidRPr="000254B8">
              <w:rPr>
                <w:rFonts w:ascii="Courier New" w:hAnsi="Courier New" w:cs="Courier New"/>
                <w:sz w:val="20"/>
                <w:szCs w:val="20"/>
              </w:rPr>
              <w:t xml:space="preserve"> fireplace</w:t>
            </w:r>
          </w:p>
        </w:tc>
        <w:tc>
          <w:tcPr>
            <w:tcW w:w="2070" w:type="dxa"/>
            <w:shd w:val="clear" w:color="auto" w:fill="auto"/>
          </w:tcPr>
          <w:p w:rsidR="00DE2A14" w:rsidRPr="000254B8" w:rsidRDefault="001C5797" w:rsidP="00B977F3">
            <w:pPr>
              <w:rPr>
                <w:rFonts w:ascii="Courier New" w:hAnsi="Courier New" w:cs="Courier New"/>
                <w:sz w:val="20"/>
                <w:szCs w:val="20"/>
              </w:rPr>
            </w:pPr>
            <w:r w:rsidRPr="000254B8">
              <w:rPr>
                <w:rFonts w:ascii="Courier New" w:hAnsi="Courier New" w:cs="Courier New"/>
                <w:sz w:val="20"/>
                <w:szCs w:val="20"/>
              </w:rPr>
              <w:t xml:space="preserve"> </w:t>
            </w:r>
            <w:r w:rsidR="00475A6B" w:rsidRPr="000254B8">
              <w:rPr>
                <w:rFonts w:ascii="Courier New" w:hAnsi="Courier New" w:cs="Courier New"/>
                <w:sz w:val="20"/>
                <w:szCs w:val="20"/>
              </w:rPr>
              <w:t>$</w:t>
            </w:r>
            <w:r w:rsidRPr="000254B8">
              <w:rPr>
                <w:rFonts w:ascii="Courier New" w:hAnsi="Courier New" w:cs="Courier New"/>
                <w:sz w:val="20"/>
                <w:szCs w:val="20"/>
              </w:rPr>
              <w:t xml:space="preserve"> </w:t>
            </w:r>
            <w:r w:rsidR="004C1D1A" w:rsidRPr="000254B8">
              <w:rPr>
                <w:rFonts w:ascii="Courier New" w:hAnsi="Courier New" w:cs="Courier New"/>
                <w:sz w:val="20"/>
                <w:szCs w:val="20"/>
              </w:rPr>
              <w:t>4,000</w:t>
            </w:r>
          </w:p>
          <w:p w:rsidR="00DE2A14" w:rsidRPr="000254B8" w:rsidRDefault="00475A6B" w:rsidP="00B977F3">
            <w:pPr>
              <w:rPr>
                <w:rFonts w:ascii="Courier New" w:hAnsi="Courier New" w:cs="Courier New"/>
                <w:sz w:val="20"/>
                <w:szCs w:val="20"/>
              </w:rPr>
            </w:pPr>
            <w:r w:rsidRPr="000254B8">
              <w:rPr>
                <w:rFonts w:ascii="Courier New" w:hAnsi="Courier New" w:cs="Courier New"/>
                <w:sz w:val="20"/>
                <w:szCs w:val="20"/>
              </w:rPr>
              <w:t>($</w:t>
            </w:r>
            <w:r w:rsidR="001C5797" w:rsidRPr="000254B8">
              <w:rPr>
                <w:rFonts w:ascii="Courier New" w:hAnsi="Courier New" w:cs="Courier New"/>
                <w:sz w:val="20"/>
                <w:szCs w:val="20"/>
              </w:rPr>
              <w:t xml:space="preserve"> </w:t>
            </w:r>
            <w:r w:rsidR="004C1D1A" w:rsidRPr="000254B8">
              <w:rPr>
                <w:rFonts w:ascii="Courier New" w:hAnsi="Courier New" w:cs="Courier New"/>
                <w:sz w:val="20"/>
                <w:szCs w:val="20"/>
              </w:rPr>
              <w:t>1,000</w:t>
            </w:r>
            <w:r w:rsidR="00DE2A14" w:rsidRPr="000254B8">
              <w:rPr>
                <w:rFonts w:ascii="Courier New" w:hAnsi="Courier New" w:cs="Courier New"/>
                <w:sz w:val="20"/>
                <w:szCs w:val="20"/>
              </w:rPr>
              <w:t>)</w:t>
            </w: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Outdoor amenities</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DE2A14" w:rsidP="00B977F3">
            <w:pPr>
              <w:rPr>
                <w:rFonts w:ascii="Courier New" w:hAnsi="Courier New" w:cs="Courier New"/>
                <w:sz w:val="20"/>
                <w:szCs w:val="20"/>
              </w:rPr>
            </w:pPr>
            <w:r w:rsidRPr="000254B8">
              <w:rPr>
                <w:rFonts w:ascii="Courier New" w:hAnsi="Courier New" w:cs="Courier New"/>
                <w:sz w:val="20"/>
                <w:szCs w:val="20"/>
              </w:rPr>
              <w:t>Shed</w:t>
            </w:r>
          </w:p>
        </w:tc>
        <w:tc>
          <w:tcPr>
            <w:tcW w:w="1620" w:type="dxa"/>
            <w:shd w:val="clear" w:color="auto" w:fill="auto"/>
          </w:tcPr>
          <w:p w:rsidR="00DE2A14" w:rsidRPr="000254B8" w:rsidRDefault="001C5797" w:rsidP="00B977F3">
            <w:pPr>
              <w:rPr>
                <w:rFonts w:ascii="Courier New" w:hAnsi="Courier New" w:cs="Courier New"/>
                <w:sz w:val="20"/>
                <w:szCs w:val="20"/>
              </w:rPr>
            </w:pPr>
            <w:r w:rsidRPr="000254B8">
              <w:rPr>
                <w:rFonts w:ascii="Courier New" w:hAnsi="Courier New" w:cs="Courier New"/>
                <w:sz w:val="20"/>
                <w:szCs w:val="20"/>
              </w:rPr>
              <w:t xml:space="preserve"> </w:t>
            </w:r>
            <w:r w:rsidR="00DE2A14" w:rsidRPr="000254B8">
              <w:rPr>
                <w:rFonts w:ascii="Courier New" w:hAnsi="Courier New" w:cs="Courier New"/>
                <w:sz w:val="20"/>
                <w:szCs w:val="20"/>
              </w:rPr>
              <w:t>$</w:t>
            </w:r>
            <w:r w:rsidRPr="000254B8">
              <w:rPr>
                <w:rFonts w:ascii="Courier New" w:hAnsi="Courier New" w:cs="Courier New"/>
                <w:sz w:val="20"/>
                <w:szCs w:val="20"/>
              </w:rPr>
              <w:t xml:space="preserve"> </w:t>
            </w:r>
            <w:r w:rsidR="00DE2A14" w:rsidRPr="000254B8">
              <w:rPr>
                <w:rFonts w:ascii="Courier New" w:hAnsi="Courier New" w:cs="Courier New"/>
                <w:sz w:val="20"/>
                <w:szCs w:val="20"/>
              </w:rPr>
              <w:t>1,000</w:t>
            </w:r>
          </w:p>
        </w:tc>
        <w:tc>
          <w:tcPr>
            <w:tcW w:w="2160" w:type="dxa"/>
            <w:shd w:val="clear" w:color="auto" w:fill="auto"/>
          </w:tcPr>
          <w:p w:rsidR="00DE2A14" w:rsidRPr="000254B8" w:rsidRDefault="007A6162" w:rsidP="00B977F3">
            <w:pPr>
              <w:rPr>
                <w:rFonts w:ascii="Courier New" w:hAnsi="Courier New" w:cs="Courier New"/>
                <w:sz w:val="20"/>
                <w:szCs w:val="20"/>
              </w:rPr>
            </w:pPr>
            <w:r w:rsidRPr="000254B8">
              <w:rPr>
                <w:rFonts w:ascii="Courier New" w:hAnsi="Courier New" w:cs="Courier New"/>
                <w:sz w:val="20"/>
                <w:szCs w:val="20"/>
              </w:rPr>
              <w:t>Boathouse, s</w:t>
            </w:r>
            <w:r w:rsidR="00DE2A14" w:rsidRPr="000254B8">
              <w:rPr>
                <w:rFonts w:ascii="Courier New" w:hAnsi="Courier New" w:cs="Courier New"/>
                <w:sz w:val="20"/>
                <w:szCs w:val="20"/>
              </w:rPr>
              <w:t>hed</w:t>
            </w:r>
          </w:p>
        </w:tc>
        <w:tc>
          <w:tcPr>
            <w:tcW w:w="2070" w:type="dxa"/>
            <w:shd w:val="clear" w:color="auto" w:fill="auto"/>
          </w:tcPr>
          <w:p w:rsidR="00DE2A14" w:rsidRPr="000254B8" w:rsidRDefault="00DE2A14" w:rsidP="00B977F3">
            <w:pPr>
              <w:rPr>
                <w:rFonts w:ascii="Courier New" w:hAnsi="Courier New" w:cs="Courier New"/>
                <w:sz w:val="20"/>
                <w:szCs w:val="20"/>
              </w:rPr>
            </w:pP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Net adjustments</w:t>
            </w:r>
          </w:p>
          <w:p w:rsidR="00DE2A14" w:rsidRPr="000254B8" w:rsidRDefault="00DE2A14" w:rsidP="00B977F3">
            <w:pPr>
              <w:rPr>
                <w:rFonts w:ascii="Courier New" w:hAnsi="Courier New" w:cs="Courier New"/>
                <w:b/>
                <w:sz w:val="20"/>
                <w:szCs w:val="20"/>
              </w:rPr>
            </w:pPr>
          </w:p>
        </w:tc>
        <w:tc>
          <w:tcPr>
            <w:tcW w:w="2340" w:type="dxa"/>
            <w:shd w:val="clear" w:color="auto" w:fill="auto"/>
          </w:tcPr>
          <w:p w:rsidR="00DE2A14" w:rsidRPr="000254B8" w:rsidRDefault="00DE2A14" w:rsidP="00B977F3">
            <w:pPr>
              <w:rPr>
                <w:rFonts w:ascii="Courier New" w:hAnsi="Courier New" w:cs="Courier New"/>
                <w:sz w:val="20"/>
                <w:szCs w:val="20"/>
              </w:rPr>
            </w:pPr>
          </w:p>
        </w:tc>
        <w:tc>
          <w:tcPr>
            <w:tcW w:w="1620" w:type="dxa"/>
            <w:shd w:val="clear" w:color="auto" w:fill="auto"/>
          </w:tcPr>
          <w:p w:rsidR="00DE2A14" w:rsidRPr="000254B8" w:rsidRDefault="00475A6B" w:rsidP="00B977F3">
            <w:pPr>
              <w:rPr>
                <w:rFonts w:ascii="Courier New" w:hAnsi="Courier New" w:cs="Courier New"/>
                <w:sz w:val="20"/>
                <w:szCs w:val="20"/>
              </w:rPr>
            </w:pPr>
            <w:r w:rsidRPr="000254B8">
              <w:rPr>
                <w:rFonts w:ascii="Courier New" w:hAnsi="Courier New" w:cs="Courier New"/>
                <w:sz w:val="20"/>
                <w:szCs w:val="20"/>
              </w:rPr>
              <w:t>($19,625)</w:t>
            </w:r>
          </w:p>
        </w:tc>
        <w:tc>
          <w:tcPr>
            <w:tcW w:w="2160" w:type="dxa"/>
            <w:shd w:val="clear" w:color="auto" w:fill="auto"/>
          </w:tcPr>
          <w:p w:rsidR="00DE2A14" w:rsidRPr="000254B8" w:rsidRDefault="00DE2A14" w:rsidP="00B977F3">
            <w:pPr>
              <w:rPr>
                <w:rFonts w:ascii="Courier New" w:hAnsi="Courier New" w:cs="Courier New"/>
                <w:sz w:val="20"/>
                <w:szCs w:val="20"/>
              </w:rPr>
            </w:pPr>
          </w:p>
        </w:tc>
        <w:tc>
          <w:tcPr>
            <w:tcW w:w="2070" w:type="dxa"/>
            <w:shd w:val="clear" w:color="auto" w:fill="auto"/>
          </w:tcPr>
          <w:p w:rsidR="00DE2A14" w:rsidRPr="000254B8" w:rsidRDefault="00475A6B" w:rsidP="00B977F3">
            <w:pPr>
              <w:rPr>
                <w:rFonts w:ascii="Courier New" w:hAnsi="Courier New" w:cs="Courier New"/>
                <w:sz w:val="20"/>
                <w:szCs w:val="20"/>
              </w:rPr>
            </w:pPr>
            <w:r w:rsidRPr="000254B8">
              <w:rPr>
                <w:rFonts w:ascii="Courier New" w:hAnsi="Courier New" w:cs="Courier New"/>
                <w:sz w:val="20"/>
                <w:szCs w:val="20"/>
              </w:rPr>
              <w:t>($</w:t>
            </w:r>
            <w:r w:rsidR="004C1D1A" w:rsidRPr="000254B8">
              <w:rPr>
                <w:rFonts w:ascii="Courier New" w:hAnsi="Courier New" w:cs="Courier New"/>
                <w:sz w:val="20"/>
                <w:szCs w:val="20"/>
              </w:rPr>
              <w:t>22,950</w:t>
            </w:r>
            <w:r w:rsidR="00DE2A14" w:rsidRPr="000254B8">
              <w:rPr>
                <w:rFonts w:ascii="Courier New" w:hAnsi="Courier New" w:cs="Courier New"/>
                <w:sz w:val="20"/>
                <w:szCs w:val="20"/>
              </w:rPr>
              <w:t>)</w:t>
            </w:r>
          </w:p>
        </w:tc>
      </w:tr>
      <w:tr w:rsidR="00DE2A14" w:rsidRPr="000254B8" w:rsidTr="000254B8">
        <w:tc>
          <w:tcPr>
            <w:tcW w:w="2340" w:type="dxa"/>
            <w:shd w:val="clear" w:color="auto" w:fill="auto"/>
          </w:tcPr>
          <w:p w:rsidR="00DE2A14" w:rsidRPr="000254B8" w:rsidRDefault="00DE2A14" w:rsidP="00B977F3">
            <w:pPr>
              <w:rPr>
                <w:rFonts w:ascii="Courier New" w:hAnsi="Courier New" w:cs="Courier New"/>
                <w:b/>
                <w:sz w:val="20"/>
                <w:szCs w:val="20"/>
              </w:rPr>
            </w:pPr>
            <w:r w:rsidRPr="000254B8">
              <w:rPr>
                <w:rFonts w:ascii="Courier New" w:hAnsi="Courier New" w:cs="Courier New"/>
                <w:b/>
                <w:sz w:val="20"/>
                <w:szCs w:val="20"/>
              </w:rPr>
              <w:t>Adjusted sale price</w:t>
            </w:r>
          </w:p>
        </w:tc>
        <w:tc>
          <w:tcPr>
            <w:tcW w:w="2340" w:type="dxa"/>
            <w:shd w:val="clear" w:color="auto" w:fill="auto"/>
          </w:tcPr>
          <w:p w:rsidR="00DE2A14" w:rsidRPr="000254B8" w:rsidRDefault="00DE2A14" w:rsidP="00B977F3">
            <w:pPr>
              <w:rPr>
                <w:rFonts w:ascii="Courier New" w:hAnsi="Courier New" w:cs="Courier New"/>
                <w:sz w:val="20"/>
                <w:szCs w:val="20"/>
              </w:rPr>
            </w:pPr>
          </w:p>
        </w:tc>
        <w:tc>
          <w:tcPr>
            <w:tcW w:w="1620" w:type="dxa"/>
            <w:shd w:val="clear" w:color="auto" w:fill="auto"/>
          </w:tcPr>
          <w:p w:rsidR="00DE2A14" w:rsidRPr="000254B8" w:rsidRDefault="00475A6B" w:rsidP="00B977F3">
            <w:pPr>
              <w:rPr>
                <w:rFonts w:ascii="Courier New" w:hAnsi="Courier New" w:cs="Courier New"/>
                <w:sz w:val="20"/>
                <w:szCs w:val="20"/>
              </w:rPr>
            </w:pPr>
            <w:r w:rsidRPr="000254B8">
              <w:rPr>
                <w:rFonts w:ascii="Courier New" w:hAnsi="Courier New" w:cs="Courier New"/>
                <w:sz w:val="20"/>
                <w:szCs w:val="20"/>
              </w:rPr>
              <w:t>$215,275</w:t>
            </w:r>
          </w:p>
        </w:tc>
        <w:tc>
          <w:tcPr>
            <w:tcW w:w="2160" w:type="dxa"/>
            <w:shd w:val="clear" w:color="auto" w:fill="auto"/>
          </w:tcPr>
          <w:p w:rsidR="00DE2A14" w:rsidRPr="000254B8" w:rsidRDefault="00DE2A14" w:rsidP="00B977F3">
            <w:pPr>
              <w:rPr>
                <w:rFonts w:ascii="Courier New" w:hAnsi="Courier New" w:cs="Courier New"/>
                <w:sz w:val="20"/>
                <w:szCs w:val="20"/>
              </w:rPr>
            </w:pPr>
          </w:p>
        </w:tc>
        <w:tc>
          <w:tcPr>
            <w:tcW w:w="2070" w:type="dxa"/>
            <w:shd w:val="clear" w:color="auto" w:fill="auto"/>
          </w:tcPr>
          <w:p w:rsidR="00DE2A14" w:rsidRPr="000254B8" w:rsidRDefault="00475A6B" w:rsidP="00B977F3">
            <w:pPr>
              <w:rPr>
                <w:rFonts w:ascii="Courier New" w:hAnsi="Courier New" w:cs="Courier New"/>
                <w:sz w:val="20"/>
                <w:szCs w:val="20"/>
              </w:rPr>
            </w:pPr>
            <w:r w:rsidRPr="000254B8">
              <w:rPr>
                <w:rFonts w:ascii="Courier New" w:hAnsi="Courier New" w:cs="Courier New"/>
                <w:sz w:val="20"/>
                <w:szCs w:val="20"/>
              </w:rPr>
              <w:t>$</w:t>
            </w:r>
            <w:r w:rsidR="004C1D1A" w:rsidRPr="000254B8">
              <w:rPr>
                <w:rFonts w:ascii="Courier New" w:hAnsi="Courier New" w:cs="Courier New"/>
                <w:sz w:val="20"/>
                <w:szCs w:val="20"/>
              </w:rPr>
              <w:t>227,050</w:t>
            </w:r>
          </w:p>
        </w:tc>
      </w:tr>
    </w:tbl>
    <w:p w:rsidR="00B6750D" w:rsidRDefault="00B6750D" w:rsidP="00DE2A14">
      <w:pPr>
        <w:spacing w:line="480" w:lineRule="auto"/>
        <w:jc w:val="both"/>
        <w:rPr>
          <w:rFonts w:ascii="Courier New" w:hAnsi="Courier New" w:cs="Courier New"/>
        </w:rPr>
      </w:pPr>
    </w:p>
    <w:p w:rsidR="00180E6A" w:rsidRDefault="006514FA" w:rsidP="003F5E75">
      <w:pPr>
        <w:spacing w:line="480" w:lineRule="auto"/>
        <w:jc w:val="both"/>
        <w:rPr>
          <w:rFonts w:ascii="Courier New" w:hAnsi="Courier New" w:cs="Courier New"/>
        </w:rPr>
      </w:pPr>
      <w:r>
        <w:rPr>
          <w:rFonts w:ascii="Courier New" w:hAnsi="Courier New" w:cs="Courier New"/>
        </w:rPr>
        <w:t>Mr. Pineo’s</w:t>
      </w:r>
      <w:r w:rsidR="00062F09">
        <w:rPr>
          <w:rFonts w:ascii="Courier New" w:hAnsi="Courier New" w:cs="Courier New"/>
        </w:rPr>
        <w:t xml:space="preserve"> </w:t>
      </w:r>
      <w:r>
        <w:rPr>
          <w:rFonts w:ascii="Courier New" w:hAnsi="Courier New" w:cs="Courier New"/>
        </w:rPr>
        <w:t xml:space="preserve">total </w:t>
      </w:r>
      <w:r w:rsidR="000C0937">
        <w:rPr>
          <w:rFonts w:ascii="Courier New" w:hAnsi="Courier New" w:cs="Courier New"/>
        </w:rPr>
        <w:t xml:space="preserve">net </w:t>
      </w:r>
      <w:r w:rsidR="00062F09">
        <w:rPr>
          <w:rFonts w:ascii="Courier New" w:hAnsi="Courier New" w:cs="Courier New"/>
        </w:rPr>
        <w:t>adjustments to his</w:t>
      </w:r>
      <w:r w:rsidR="004736A6">
        <w:rPr>
          <w:rFonts w:ascii="Courier New" w:hAnsi="Courier New" w:cs="Courier New"/>
        </w:rPr>
        <w:t xml:space="preserve"> comparable-sale</w:t>
      </w:r>
      <w:r w:rsidR="00B977F3">
        <w:rPr>
          <w:rFonts w:ascii="Courier New" w:hAnsi="Courier New" w:cs="Courier New"/>
        </w:rPr>
        <w:t xml:space="preserve"> properties</w:t>
      </w:r>
      <w:r>
        <w:rPr>
          <w:rFonts w:ascii="Courier New" w:hAnsi="Courier New" w:cs="Courier New"/>
        </w:rPr>
        <w:t xml:space="preserve"> ranged</w:t>
      </w:r>
      <w:r w:rsidR="00062F09">
        <w:rPr>
          <w:rFonts w:ascii="Courier New" w:hAnsi="Courier New" w:cs="Courier New"/>
        </w:rPr>
        <w:t xml:space="preserve"> from $19,400 to $48,475 and they</w:t>
      </w:r>
      <w:r w:rsidR="00B977F3">
        <w:rPr>
          <w:rFonts w:ascii="Courier New" w:hAnsi="Courier New" w:cs="Courier New"/>
        </w:rPr>
        <w:t xml:space="preserve"> yielded adjusted sale prices ranging from </w:t>
      </w:r>
      <w:r w:rsidR="004C1D1A">
        <w:rPr>
          <w:rFonts w:ascii="Courier New" w:hAnsi="Courier New" w:cs="Courier New"/>
        </w:rPr>
        <w:t>$215,275 to $227,050</w:t>
      </w:r>
      <w:r w:rsidR="004578AD">
        <w:rPr>
          <w:rFonts w:ascii="Courier New" w:hAnsi="Courier New" w:cs="Courier New"/>
        </w:rPr>
        <w:t xml:space="preserve">.  </w:t>
      </w:r>
      <w:r w:rsidR="00180E6A">
        <w:rPr>
          <w:rFonts w:ascii="Courier New" w:hAnsi="Courier New" w:cs="Courier New"/>
        </w:rPr>
        <w:t xml:space="preserve">Mr. Pineo arrived at a fair market value of </w:t>
      </w:r>
      <w:r w:rsidR="00180E6A" w:rsidRPr="00710F6A">
        <w:rPr>
          <w:rFonts w:ascii="Courier New" w:hAnsi="Courier New" w:cs="Courier New"/>
        </w:rPr>
        <w:t>$222,000</w:t>
      </w:r>
      <w:r w:rsidR="00180E6A">
        <w:rPr>
          <w:rFonts w:ascii="Courier New" w:hAnsi="Courier New" w:cs="Courier New"/>
        </w:rPr>
        <w:t xml:space="preserve"> for the subject property.</w:t>
      </w:r>
    </w:p>
    <w:p w:rsidR="008A4492" w:rsidRDefault="008A4492" w:rsidP="006056E9">
      <w:pPr>
        <w:spacing w:line="480" w:lineRule="auto"/>
        <w:ind w:firstLine="720"/>
        <w:jc w:val="both"/>
        <w:rPr>
          <w:rFonts w:ascii="Courier New" w:hAnsi="Courier New" w:cs="Courier New"/>
        </w:rPr>
      </w:pPr>
      <w:r>
        <w:rPr>
          <w:rFonts w:ascii="Courier New" w:hAnsi="Courier New" w:cs="Courier New"/>
        </w:rPr>
        <w:t>Next, Mr. McDonald testified.  He contended that the s</w:t>
      </w:r>
      <w:r w:rsidR="00E87F8F">
        <w:rPr>
          <w:rFonts w:ascii="Courier New" w:hAnsi="Courier New" w:cs="Courier New"/>
        </w:rPr>
        <w:t>ubject property was overvalued</w:t>
      </w:r>
      <w:r w:rsidRPr="000A3C10">
        <w:rPr>
          <w:rFonts w:ascii="Courier New" w:hAnsi="Courier New" w:cs="Courier New"/>
        </w:rPr>
        <w:t xml:space="preserve"> </w:t>
      </w:r>
      <w:r w:rsidR="004427DB">
        <w:rPr>
          <w:rFonts w:ascii="Courier New" w:hAnsi="Courier New" w:cs="Courier New"/>
        </w:rPr>
        <w:t>because the land contains</w:t>
      </w:r>
      <w:r w:rsidRPr="000A3C10">
        <w:rPr>
          <w:rFonts w:ascii="Courier New" w:hAnsi="Courier New" w:cs="Courier New"/>
        </w:rPr>
        <w:t xml:space="preserve"> </w:t>
      </w:r>
      <w:r w:rsidR="00E87F8F">
        <w:rPr>
          <w:rFonts w:ascii="Courier New" w:hAnsi="Courier New" w:cs="Courier New"/>
        </w:rPr>
        <w:t xml:space="preserve">utility easements for poles, electric cables and telephone wires, as well as rights of way, which provide access to </w:t>
      </w:r>
      <w:r w:rsidR="00E87F8F">
        <w:rPr>
          <w:rFonts w:ascii="Courier New" w:hAnsi="Courier New" w:cs="Courier New"/>
        </w:rPr>
        <w:lastRenderedPageBreak/>
        <w:t xml:space="preserve">nearby cottages, along two sides of the property.  He claimed that, because of these restrictions, </w:t>
      </w:r>
      <w:r w:rsidR="006056E9">
        <w:rPr>
          <w:rFonts w:ascii="Courier New" w:hAnsi="Courier New" w:cs="Courier New"/>
        </w:rPr>
        <w:t xml:space="preserve">the subject property cannot be </w:t>
      </w:r>
      <w:r w:rsidR="00D94F79">
        <w:rPr>
          <w:rFonts w:ascii="Courier New" w:hAnsi="Courier New" w:cs="Courier New"/>
        </w:rPr>
        <w:t xml:space="preserve">further </w:t>
      </w:r>
      <w:r w:rsidR="006056E9">
        <w:rPr>
          <w:rFonts w:ascii="Courier New" w:hAnsi="Courier New" w:cs="Courier New"/>
        </w:rPr>
        <w:t>built upon, as setback requirements</w:t>
      </w:r>
      <w:r w:rsidR="00D94F79">
        <w:rPr>
          <w:rFonts w:ascii="Courier New" w:hAnsi="Courier New" w:cs="Courier New"/>
        </w:rPr>
        <w:t xml:space="preserve"> cannot be satisfied for future</w:t>
      </w:r>
      <w:r w:rsidR="006056E9">
        <w:rPr>
          <w:rFonts w:ascii="Courier New" w:hAnsi="Courier New" w:cs="Courier New"/>
        </w:rPr>
        <w:t xml:space="preserve"> improvements.</w:t>
      </w:r>
      <w:r w:rsidR="00E87F8F">
        <w:rPr>
          <w:rFonts w:ascii="Courier New" w:hAnsi="Courier New" w:cs="Courier New"/>
        </w:rPr>
        <w:t xml:space="preserve"> </w:t>
      </w:r>
    </w:p>
    <w:p w:rsidR="00447603" w:rsidRDefault="00C56565" w:rsidP="00180E6A">
      <w:pPr>
        <w:spacing w:line="480" w:lineRule="auto"/>
        <w:ind w:firstLine="720"/>
        <w:jc w:val="both"/>
        <w:rPr>
          <w:rFonts w:ascii="Courier New" w:hAnsi="Courier New" w:cs="Courier New"/>
        </w:rPr>
      </w:pPr>
      <w:r>
        <w:rPr>
          <w:rFonts w:ascii="Courier New" w:hAnsi="Courier New" w:cs="Courier New"/>
        </w:rPr>
        <w:t xml:space="preserve">The appellee presented its case-in-chief through the testimony of Reginald Haughton, the Chairman of the appellee.  </w:t>
      </w:r>
      <w:r w:rsidR="003A2F8A">
        <w:rPr>
          <w:rFonts w:ascii="Courier New" w:hAnsi="Courier New" w:cs="Courier New"/>
        </w:rPr>
        <w:t xml:space="preserve">Mr. Haughton contended that the comparable-sale properties selected by Mr. Pineo for his analysis were not sufficiently comparable to the subject property, because they were located at least a half a mile away from the lake and were thus not waterfront properties like the subject property, and because they contained less land than the subject property.  </w:t>
      </w:r>
      <w:r>
        <w:rPr>
          <w:rFonts w:ascii="Courier New" w:hAnsi="Courier New" w:cs="Courier New"/>
        </w:rPr>
        <w:t xml:space="preserve">Mr. Haughton </w:t>
      </w:r>
      <w:r w:rsidR="003A2F8A">
        <w:rPr>
          <w:rFonts w:ascii="Courier New" w:hAnsi="Courier New" w:cs="Courier New"/>
        </w:rPr>
        <w:t>also presented</w:t>
      </w:r>
      <w:r w:rsidR="00AE798B">
        <w:rPr>
          <w:rFonts w:ascii="Courier New" w:hAnsi="Courier New" w:cs="Courier New"/>
        </w:rPr>
        <w:t xml:space="preserve"> a comparable-sales analysis and a comparable-assessment analysis, both supported with the property record cards </w:t>
      </w:r>
      <w:r w:rsidR="00257356">
        <w:rPr>
          <w:rFonts w:ascii="Courier New" w:hAnsi="Courier New" w:cs="Courier New"/>
        </w:rPr>
        <w:t>for</w:t>
      </w:r>
      <w:r>
        <w:rPr>
          <w:rFonts w:ascii="Courier New" w:hAnsi="Courier New" w:cs="Courier New"/>
        </w:rPr>
        <w:t xml:space="preserve"> purportedly </w:t>
      </w:r>
      <w:r w:rsidR="00AE798B">
        <w:rPr>
          <w:rFonts w:ascii="Courier New" w:hAnsi="Courier New" w:cs="Courier New"/>
        </w:rPr>
        <w:t>comparable properties</w:t>
      </w:r>
      <w:r>
        <w:rPr>
          <w:rFonts w:ascii="Courier New" w:hAnsi="Courier New" w:cs="Courier New"/>
        </w:rPr>
        <w:t xml:space="preserve"> from Phillipston.</w:t>
      </w:r>
      <w:r w:rsidR="00710F6A">
        <w:rPr>
          <w:rFonts w:ascii="Courier New" w:hAnsi="Courier New" w:cs="Courier New"/>
        </w:rPr>
        <w:t xml:space="preserve">  </w:t>
      </w:r>
    </w:p>
    <w:p w:rsidR="00A04BC9" w:rsidRDefault="00975A36" w:rsidP="00180E6A">
      <w:pPr>
        <w:spacing w:line="480" w:lineRule="auto"/>
        <w:ind w:firstLine="720"/>
        <w:jc w:val="both"/>
        <w:rPr>
          <w:rFonts w:ascii="Courier New" w:hAnsi="Courier New" w:cs="Courier New"/>
        </w:rPr>
      </w:pPr>
      <w:r>
        <w:rPr>
          <w:rFonts w:ascii="Courier New" w:hAnsi="Courier New" w:cs="Courier New"/>
        </w:rPr>
        <w:t xml:space="preserve">The Presiding Commissioner </w:t>
      </w:r>
      <w:r w:rsidR="001A1E6B">
        <w:rPr>
          <w:rFonts w:ascii="Courier New" w:hAnsi="Courier New" w:cs="Courier New"/>
        </w:rPr>
        <w:t xml:space="preserve">found </w:t>
      </w:r>
      <w:r w:rsidR="006603E7">
        <w:rPr>
          <w:rFonts w:ascii="Courier New" w:hAnsi="Courier New" w:cs="Courier New"/>
        </w:rPr>
        <w:t xml:space="preserve">that the purportedly comparable properties used by Mr. Pineo in his comparable-sales assessment were not sufficiently similar to the subject property to provide for a meaningful comparison, primarily because they were situated far from the subject property and not in as desirable a location, directly on the lakefront.  </w:t>
      </w:r>
      <w:r w:rsidR="001A1E6B">
        <w:rPr>
          <w:rFonts w:ascii="Courier New" w:hAnsi="Courier New" w:cs="Courier New"/>
        </w:rPr>
        <w:t>T</w:t>
      </w:r>
      <w:r w:rsidR="00082DEC">
        <w:rPr>
          <w:rFonts w:ascii="Courier New" w:hAnsi="Courier New" w:cs="Courier New"/>
        </w:rPr>
        <w:t>he Presiding Commissioner</w:t>
      </w:r>
      <w:r w:rsidR="001A1E6B">
        <w:rPr>
          <w:rFonts w:ascii="Courier New" w:hAnsi="Courier New" w:cs="Courier New"/>
        </w:rPr>
        <w:t xml:space="preserve"> also</w:t>
      </w:r>
      <w:r w:rsidR="00082DEC">
        <w:rPr>
          <w:rFonts w:ascii="Courier New" w:hAnsi="Courier New" w:cs="Courier New"/>
        </w:rPr>
        <w:t xml:space="preserve"> r</w:t>
      </w:r>
      <w:r w:rsidR="00AF35B0">
        <w:rPr>
          <w:rFonts w:ascii="Courier New" w:hAnsi="Courier New" w:cs="Courier New"/>
        </w:rPr>
        <w:t xml:space="preserve">eviewed the property record cards for the comparable-sale </w:t>
      </w:r>
      <w:r w:rsidR="00AF35B0">
        <w:rPr>
          <w:rFonts w:ascii="Courier New" w:hAnsi="Courier New" w:cs="Courier New"/>
        </w:rPr>
        <w:lastRenderedPageBreak/>
        <w:t>properties submitted by the appellee</w:t>
      </w:r>
      <w:r w:rsidR="00990BD9">
        <w:rPr>
          <w:rFonts w:ascii="Courier New" w:hAnsi="Courier New" w:cs="Courier New"/>
        </w:rPr>
        <w:t xml:space="preserve"> and </w:t>
      </w:r>
      <w:r w:rsidR="00082DEC">
        <w:rPr>
          <w:rFonts w:ascii="Courier New" w:hAnsi="Courier New" w:cs="Courier New"/>
        </w:rPr>
        <w:t xml:space="preserve">found that </w:t>
      </w:r>
      <w:r w:rsidR="00990BD9">
        <w:rPr>
          <w:rFonts w:ascii="Courier New" w:hAnsi="Courier New" w:cs="Courier New"/>
        </w:rPr>
        <w:t>properties located directly on a lake had sold for prices that were comparable with the subject assessment</w:t>
      </w:r>
      <w:r w:rsidR="009B1482">
        <w:rPr>
          <w:rFonts w:ascii="Courier New" w:hAnsi="Courier New" w:cs="Courier New"/>
        </w:rPr>
        <w:t>, after appropriate adjustments</w:t>
      </w:r>
      <w:r w:rsidR="00990BD9">
        <w:rPr>
          <w:rFonts w:ascii="Courier New" w:hAnsi="Courier New" w:cs="Courier New"/>
        </w:rPr>
        <w:t>.  For example, 3 Scout Rock Road</w:t>
      </w:r>
      <w:r w:rsidR="00C804A4">
        <w:rPr>
          <w:rFonts w:ascii="Courier New" w:hAnsi="Courier New" w:cs="Courier New"/>
        </w:rPr>
        <w:t xml:space="preserve">, </w:t>
      </w:r>
      <w:r w:rsidR="00674D4F">
        <w:rPr>
          <w:rFonts w:ascii="Courier New" w:hAnsi="Courier New" w:cs="Courier New"/>
        </w:rPr>
        <w:t xml:space="preserve">a 0.58-acre waterfront property </w:t>
      </w:r>
      <w:r w:rsidR="00D94F79">
        <w:rPr>
          <w:rFonts w:ascii="Courier New" w:hAnsi="Courier New" w:cs="Courier New"/>
        </w:rPr>
        <w:t xml:space="preserve">located on Queen Lake </w:t>
      </w:r>
      <w:r w:rsidR="00674D4F">
        <w:rPr>
          <w:rFonts w:ascii="Courier New" w:hAnsi="Courier New" w:cs="Courier New"/>
        </w:rPr>
        <w:t xml:space="preserve">improved with a </w:t>
      </w:r>
      <w:r w:rsidR="004A69F4">
        <w:rPr>
          <w:rFonts w:ascii="Courier New" w:hAnsi="Courier New" w:cs="Courier New"/>
        </w:rPr>
        <w:t xml:space="preserve">1,299-square-foot </w:t>
      </w:r>
      <w:r w:rsidR="00674D4F">
        <w:rPr>
          <w:rFonts w:ascii="Courier New" w:hAnsi="Courier New" w:cs="Courier New"/>
        </w:rPr>
        <w:t>seasonal residence with a wood-stove heating system</w:t>
      </w:r>
      <w:r w:rsidR="003A2F8A">
        <w:rPr>
          <w:rFonts w:ascii="Courier New" w:hAnsi="Courier New" w:cs="Courier New"/>
        </w:rPr>
        <w:t xml:space="preserve">, </w:t>
      </w:r>
      <w:r w:rsidR="00674D4F">
        <w:rPr>
          <w:rFonts w:ascii="Courier New" w:hAnsi="Courier New" w:cs="Courier New"/>
        </w:rPr>
        <w:t>sold in August of 2008 for $250</w:t>
      </w:r>
      <w:r w:rsidR="00C804A4">
        <w:rPr>
          <w:rFonts w:ascii="Courier New" w:hAnsi="Courier New" w:cs="Courier New"/>
        </w:rPr>
        <w:t>,000</w:t>
      </w:r>
      <w:r w:rsidR="00674D4F">
        <w:rPr>
          <w:rFonts w:ascii="Courier New" w:hAnsi="Courier New" w:cs="Courier New"/>
        </w:rPr>
        <w:t>, while 58 Spa Road</w:t>
      </w:r>
      <w:r w:rsidR="009C6565">
        <w:rPr>
          <w:rFonts w:ascii="Courier New" w:hAnsi="Courier New" w:cs="Courier New"/>
        </w:rPr>
        <w:t>,</w:t>
      </w:r>
      <w:r w:rsidR="00674D4F">
        <w:rPr>
          <w:rFonts w:ascii="Courier New" w:hAnsi="Courier New" w:cs="Courier New"/>
        </w:rPr>
        <w:t xml:space="preserve"> </w:t>
      </w:r>
      <w:r w:rsidR="009C6565">
        <w:rPr>
          <w:rFonts w:ascii="Courier New" w:hAnsi="Courier New" w:cs="Courier New"/>
        </w:rPr>
        <w:t xml:space="preserve">also on Queen </w:t>
      </w:r>
      <w:r w:rsidR="003A2F8A">
        <w:rPr>
          <w:rFonts w:ascii="Courier New" w:hAnsi="Courier New" w:cs="Courier New"/>
        </w:rPr>
        <w:t>Lake,</w:t>
      </w:r>
      <w:r w:rsidR="008E4DAA">
        <w:rPr>
          <w:rFonts w:ascii="Courier New" w:hAnsi="Courier New" w:cs="Courier New"/>
        </w:rPr>
        <w:t xml:space="preserve"> a </w:t>
      </w:r>
      <w:r w:rsidR="004A69F4">
        <w:rPr>
          <w:rFonts w:ascii="Courier New" w:hAnsi="Courier New" w:cs="Courier New"/>
        </w:rPr>
        <w:t xml:space="preserve">1.44-acre </w:t>
      </w:r>
      <w:r w:rsidR="008E4DAA">
        <w:rPr>
          <w:rFonts w:ascii="Courier New" w:hAnsi="Courier New" w:cs="Courier New"/>
        </w:rPr>
        <w:t xml:space="preserve">waterfront property improved with a </w:t>
      </w:r>
      <w:r w:rsidR="004A69F4">
        <w:rPr>
          <w:rFonts w:ascii="Courier New" w:hAnsi="Courier New" w:cs="Courier New"/>
        </w:rPr>
        <w:t xml:space="preserve">2,086-square-foot </w:t>
      </w:r>
      <w:r w:rsidR="008E4DAA">
        <w:rPr>
          <w:rFonts w:ascii="Courier New" w:hAnsi="Courier New" w:cs="Courier New"/>
        </w:rPr>
        <w:t>seasonal residence</w:t>
      </w:r>
      <w:r w:rsidR="004A69F4">
        <w:rPr>
          <w:rFonts w:ascii="Courier New" w:hAnsi="Courier New" w:cs="Courier New"/>
        </w:rPr>
        <w:t xml:space="preserve"> wit</w:t>
      </w:r>
      <w:r w:rsidR="003A2F8A">
        <w:rPr>
          <w:rFonts w:ascii="Courier New" w:hAnsi="Courier New" w:cs="Courier New"/>
        </w:rPr>
        <w:t>h forced-air duct heating,</w:t>
      </w:r>
      <w:r w:rsidR="004A69F4">
        <w:rPr>
          <w:rFonts w:ascii="Courier New" w:hAnsi="Courier New" w:cs="Courier New"/>
        </w:rPr>
        <w:t xml:space="preserve"> sold in June of 2009 for $330,000.</w:t>
      </w:r>
      <w:r w:rsidR="008E4DAA">
        <w:rPr>
          <w:rFonts w:ascii="Courier New" w:hAnsi="Courier New" w:cs="Courier New"/>
        </w:rPr>
        <w:t xml:space="preserve"> </w:t>
      </w:r>
      <w:r w:rsidR="004A69F4">
        <w:rPr>
          <w:rFonts w:ascii="Courier New" w:hAnsi="Courier New" w:cs="Courier New"/>
        </w:rPr>
        <w:t xml:space="preserve"> The Presiding Commissioner found that these sales</w:t>
      </w:r>
      <w:r w:rsidR="003A2F8A">
        <w:rPr>
          <w:rFonts w:ascii="Courier New" w:hAnsi="Courier New" w:cs="Courier New"/>
        </w:rPr>
        <w:t>, with appropriate adjustments</w:t>
      </w:r>
      <w:r w:rsidR="006603E7">
        <w:rPr>
          <w:rFonts w:ascii="Courier New" w:hAnsi="Courier New" w:cs="Courier New"/>
        </w:rPr>
        <w:t xml:space="preserve"> for differences with the subject property, including but not limited to size and central heating</w:t>
      </w:r>
      <w:r w:rsidR="003A2F8A">
        <w:rPr>
          <w:rFonts w:ascii="Courier New" w:hAnsi="Courier New" w:cs="Courier New"/>
        </w:rPr>
        <w:t>,</w:t>
      </w:r>
      <w:r w:rsidR="004A69F4">
        <w:rPr>
          <w:rFonts w:ascii="Courier New" w:hAnsi="Courier New" w:cs="Courier New"/>
        </w:rPr>
        <w:t xml:space="preserve"> supported </w:t>
      </w:r>
      <w:r w:rsidR="003F28FE">
        <w:rPr>
          <w:rFonts w:ascii="Courier New" w:hAnsi="Courier New" w:cs="Courier New"/>
        </w:rPr>
        <w:t>the subject assessment</w:t>
      </w:r>
      <w:r w:rsidR="003A2F8A">
        <w:rPr>
          <w:rFonts w:ascii="Courier New" w:hAnsi="Courier New" w:cs="Courier New"/>
        </w:rPr>
        <w:t>.</w:t>
      </w:r>
      <w:r w:rsidR="006603E7">
        <w:rPr>
          <w:rFonts w:ascii="Courier New" w:hAnsi="Courier New" w:cs="Courier New"/>
        </w:rPr>
        <w:t xml:space="preserve">  </w:t>
      </w:r>
    </w:p>
    <w:p w:rsidR="00975A36" w:rsidRDefault="00975A36" w:rsidP="00975A36">
      <w:pPr>
        <w:spacing w:line="480" w:lineRule="auto"/>
        <w:ind w:firstLine="720"/>
        <w:jc w:val="both"/>
        <w:rPr>
          <w:rFonts w:ascii="Courier New" w:hAnsi="Courier New" w:cs="Courier New"/>
        </w:rPr>
      </w:pPr>
      <w:r>
        <w:rPr>
          <w:rFonts w:ascii="Courier New" w:hAnsi="Courier New" w:cs="Courier New"/>
        </w:rPr>
        <w:t xml:space="preserve">The Presiding Commissioner further found that the appellants’ contentions concerning the value of the subject property’s land – that it contained large amount of ledge and easements - failed to establish conclusively whether the subject property was unbuildable, and moreover, failed to address the issue of whether the subject property’s overall assessment was excessive.  </w:t>
      </w:r>
    </w:p>
    <w:p w:rsidR="00975A36" w:rsidRDefault="00975A36" w:rsidP="00180E6A">
      <w:pPr>
        <w:spacing w:line="480" w:lineRule="auto"/>
        <w:ind w:firstLine="720"/>
        <w:jc w:val="both"/>
        <w:rPr>
          <w:rFonts w:ascii="Courier New" w:hAnsi="Courier New" w:cs="Courier New"/>
        </w:rPr>
      </w:pPr>
    </w:p>
    <w:p w:rsidR="006603E7" w:rsidRDefault="006603E7" w:rsidP="00180E6A">
      <w:pPr>
        <w:spacing w:line="480" w:lineRule="auto"/>
        <w:ind w:firstLine="720"/>
        <w:jc w:val="both"/>
        <w:rPr>
          <w:rFonts w:ascii="Courier New" w:hAnsi="Courier New" w:cs="Courier New"/>
        </w:rPr>
      </w:pPr>
      <w:r>
        <w:rPr>
          <w:rFonts w:ascii="Courier New" w:hAnsi="Courier New" w:cs="Courier New"/>
        </w:rPr>
        <w:lastRenderedPageBreak/>
        <w:t>The Presiding Commissioner thus found and ruled that the appellant</w:t>
      </w:r>
      <w:r w:rsidR="00CF5F92">
        <w:rPr>
          <w:rFonts w:ascii="Courier New" w:hAnsi="Courier New" w:cs="Courier New"/>
        </w:rPr>
        <w:t>s</w:t>
      </w:r>
      <w:r w:rsidR="009B1482">
        <w:rPr>
          <w:rFonts w:ascii="Courier New" w:hAnsi="Courier New" w:cs="Courier New"/>
        </w:rPr>
        <w:t xml:space="preserve"> failed to meet their</w:t>
      </w:r>
      <w:r>
        <w:rPr>
          <w:rFonts w:ascii="Courier New" w:hAnsi="Courier New" w:cs="Courier New"/>
        </w:rPr>
        <w:t xml:space="preserve"> burden of proving that the subject assessment did not reflect the fair market value of the subject property.  Accordingly, the Presiding Commissioner issued a decision for the appellee in this appeal.</w:t>
      </w:r>
    </w:p>
    <w:p w:rsidR="00447603" w:rsidRDefault="00447603" w:rsidP="00180E6A">
      <w:pPr>
        <w:spacing w:line="480" w:lineRule="auto"/>
        <w:ind w:firstLine="720"/>
        <w:jc w:val="both"/>
        <w:rPr>
          <w:rFonts w:ascii="Courier New" w:hAnsi="Courier New" w:cs="Courier New"/>
        </w:rPr>
      </w:pPr>
    </w:p>
    <w:p w:rsidR="00A10A00" w:rsidRDefault="00C56565" w:rsidP="00A10A00">
      <w:pPr>
        <w:spacing w:line="480" w:lineRule="auto"/>
        <w:jc w:val="center"/>
        <w:rPr>
          <w:rFonts w:ascii="Courier New" w:hAnsi="Courier New" w:cs="Courier New"/>
          <w:b/>
        </w:rPr>
      </w:pPr>
      <w:r>
        <w:rPr>
          <w:rFonts w:ascii="Courier New" w:hAnsi="Courier New" w:cs="Courier New"/>
        </w:rPr>
        <w:t xml:space="preserve">  </w:t>
      </w:r>
      <w:r w:rsidR="00A10A00" w:rsidRPr="004C0CC4">
        <w:rPr>
          <w:rFonts w:ascii="Courier New" w:hAnsi="Courier New" w:cs="Courier New"/>
          <w:b/>
        </w:rPr>
        <w:t>OPINION</w:t>
      </w:r>
    </w:p>
    <w:p w:rsidR="00A10A00" w:rsidRDefault="00A10A00" w:rsidP="00A10A00">
      <w:pPr>
        <w:autoSpaceDE w:val="0"/>
        <w:autoSpaceDN w:val="0"/>
        <w:spacing w:line="480" w:lineRule="auto"/>
        <w:ind w:firstLine="720"/>
        <w:jc w:val="both"/>
        <w:rPr>
          <w:rFonts w:ascii="Courier New" w:hAnsi="Courier New" w:cs="Courier New"/>
        </w:rPr>
      </w:pPr>
      <w:r>
        <w:rPr>
          <w:rFonts w:ascii="Courier New" w:hAnsi="Courier New" w:cs="Courier New"/>
        </w:rPr>
        <w:t xml:space="preserve">Assessors are required to assess real estate at its fair cash value.  G.L. c. 59, § 38.  Fair cash value is defined as the price on which a willing seller and a willing buyer in a free and open market will agree if both of them are fully informed and under no compulsion.  </w:t>
      </w:r>
      <w:r>
        <w:rPr>
          <w:rFonts w:ascii="Courier New" w:hAnsi="Courier New" w:cs="Courier New"/>
          <w:b/>
          <w:bCs/>
          <w:i/>
          <w:iCs/>
        </w:rPr>
        <w:t>Boston Gas Co. v. Assessors of Boston</w:t>
      </w:r>
      <w:r>
        <w:rPr>
          <w:rFonts w:ascii="Courier New" w:hAnsi="Courier New" w:cs="Courier New"/>
        </w:rPr>
        <w:t>, 334 Mass. 549, 566 (1956).</w:t>
      </w:r>
    </w:p>
    <w:p w:rsidR="009B3FF2" w:rsidRDefault="00A10A00" w:rsidP="009B3FF2">
      <w:pPr>
        <w:autoSpaceDE w:val="0"/>
        <w:autoSpaceDN w:val="0"/>
        <w:spacing w:line="480" w:lineRule="auto"/>
        <w:jc w:val="both"/>
        <w:rPr>
          <w:rFonts w:ascii="Courier New" w:hAnsi="Courier New" w:cs="Courier New"/>
        </w:rPr>
      </w:pPr>
      <w:r>
        <w:rPr>
          <w:rFonts w:ascii="Courier New" w:hAnsi="Courier New" w:cs="Courier New"/>
        </w:rPr>
        <w:tab/>
        <w:t>The appellant</w:t>
      </w:r>
      <w:r w:rsidR="00CF5F92">
        <w:rPr>
          <w:rFonts w:ascii="Courier New" w:hAnsi="Courier New" w:cs="Courier New"/>
        </w:rPr>
        <w:t>s have</w:t>
      </w:r>
      <w:r>
        <w:rPr>
          <w:rFonts w:ascii="Courier New" w:hAnsi="Courier New" w:cs="Courier New"/>
        </w:rPr>
        <w:t xml:space="preserve"> the burden of proving that property has a lower value than that assessed. “‘The burden of proof is upon the petitioner to make out its right as [a] matter of law to [an] abatement of the tax.’” </w:t>
      </w:r>
      <w:r>
        <w:rPr>
          <w:rFonts w:ascii="Courier New" w:hAnsi="Courier New" w:cs="Courier New"/>
          <w:b/>
          <w:bCs/>
          <w:i/>
          <w:iCs/>
        </w:rPr>
        <w:t>Schlaiker v. Assessors of Great Barrington</w:t>
      </w:r>
      <w:r>
        <w:rPr>
          <w:rFonts w:ascii="Courier New" w:hAnsi="Courier New" w:cs="Courier New"/>
        </w:rPr>
        <w:t xml:space="preserve">, 365 Mass. 243, 245 (1974) (quoting </w:t>
      </w:r>
      <w:r>
        <w:rPr>
          <w:rFonts w:ascii="Courier New" w:hAnsi="Courier New" w:cs="Courier New"/>
          <w:b/>
          <w:bCs/>
          <w:i/>
          <w:iCs/>
        </w:rPr>
        <w:t>Judson Freight Forwarding Co. v. Commonwealth</w:t>
      </w:r>
      <w:r>
        <w:rPr>
          <w:rFonts w:ascii="Courier New" w:hAnsi="Courier New" w:cs="Courier New"/>
        </w:rPr>
        <w:t>, 242 Mass. 47, 55 (1922)).</w:t>
      </w:r>
      <w:r w:rsidR="009B3FF2">
        <w:rPr>
          <w:rFonts w:ascii="Courier New" w:hAnsi="Courier New" w:cs="Courier New"/>
        </w:rPr>
        <w:t xml:space="preserve"> </w:t>
      </w:r>
      <w:r>
        <w:rPr>
          <w:rFonts w:ascii="Courier New" w:hAnsi="Courier New" w:cs="Courier New"/>
        </w:rPr>
        <w:t xml:space="preserve"> </w:t>
      </w:r>
      <w:r w:rsidR="009B3FF2">
        <w:rPr>
          <w:rFonts w:ascii="Courier New" w:hAnsi="Courier New" w:cs="Courier New"/>
        </w:rPr>
        <w:t xml:space="preserve">The taxpayer may sustain this burden by introducing evidence of fair cash value, or by proving that the assessors erred in their method of valuation.  </w:t>
      </w:r>
      <w:r w:rsidR="00421020">
        <w:rPr>
          <w:rFonts w:ascii="Courier New" w:hAnsi="Courier New" w:cs="Courier New"/>
          <w:b/>
          <w:i/>
        </w:rPr>
        <w:t>General Electric Co. v. Assessors of Lynn,</w:t>
      </w:r>
      <w:r w:rsidR="00421020">
        <w:rPr>
          <w:rFonts w:ascii="Courier New" w:hAnsi="Courier New" w:cs="Courier New"/>
        </w:rPr>
        <w:t xml:space="preserve"> </w:t>
      </w:r>
      <w:r w:rsidR="00A80346">
        <w:rPr>
          <w:rFonts w:ascii="Courier New" w:hAnsi="Courier New" w:cs="Courier New"/>
        </w:rPr>
        <w:t xml:space="preserve">  </w:t>
      </w:r>
      <w:r w:rsidR="00421020">
        <w:rPr>
          <w:rFonts w:ascii="Courier New" w:hAnsi="Courier New" w:cs="Courier New"/>
        </w:rPr>
        <w:lastRenderedPageBreak/>
        <w:t xml:space="preserve">393 Mass. 591, 600 (1984) </w:t>
      </w:r>
      <w:r w:rsidR="009B3FF2">
        <w:rPr>
          <w:rFonts w:ascii="Courier New" w:hAnsi="Courier New" w:cs="Courier New"/>
        </w:rPr>
        <w:t xml:space="preserve">(citing </w:t>
      </w:r>
      <w:r w:rsidR="009B3FF2">
        <w:rPr>
          <w:rFonts w:ascii="Courier New" w:hAnsi="Courier New" w:cs="Courier New"/>
          <w:b/>
          <w:i/>
        </w:rPr>
        <w:t>Donlon v. Assessors of Holliston</w:t>
      </w:r>
      <w:r w:rsidR="009B3FF2">
        <w:rPr>
          <w:rFonts w:ascii="Courier New" w:hAnsi="Courier New" w:cs="Courier New"/>
        </w:rPr>
        <w:t xml:space="preserve">, 389 Mass. </w:t>
      </w:r>
      <w:r w:rsidR="009B3FF2" w:rsidRPr="00517BEF">
        <w:rPr>
          <w:rFonts w:ascii="Courier New" w:hAnsi="Courier New" w:cs="Courier New"/>
        </w:rPr>
        <w:t xml:space="preserve">848, 855 (1983)).  </w:t>
      </w:r>
      <w:r w:rsidR="009B3FF2">
        <w:rPr>
          <w:rFonts w:ascii="Courier New" w:hAnsi="Courier New" w:cs="Courier New"/>
        </w:rPr>
        <w:t xml:space="preserve"> </w:t>
      </w:r>
    </w:p>
    <w:p w:rsidR="009B3FF2" w:rsidRDefault="009B3FF2" w:rsidP="001937AE">
      <w:pPr>
        <w:spacing w:line="480" w:lineRule="auto"/>
        <w:ind w:firstLine="720"/>
        <w:jc w:val="both"/>
        <w:rPr>
          <w:rFonts w:ascii="Courier New" w:hAnsi="Courier New" w:cs="Courier New"/>
        </w:rPr>
      </w:pPr>
      <w:r w:rsidRPr="00517BEF">
        <w:rPr>
          <w:rFonts w:ascii="Courier New" w:hAnsi="Courier New" w:cs="Courier New"/>
        </w:rPr>
        <w:t xml:space="preserve">Generally, real estate valuation experts, Massachusetts courts, and this Board rely upon three approaches to determine the fair cash value of property: income capitalization; sales comparison; and cost reproduction.  </w:t>
      </w:r>
      <w:r w:rsidRPr="00517BEF">
        <w:rPr>
          <w:rFonts w:ascii="Courier New" w:hAnsi="Courier New" w:cs="Courier New"/>
          <w:b/>
          <w:i/>
        </w:rPr>
        <w:t xml:space="preserve">Correia v. New Bedford Redevelopment Authority, </w:t>
      </w:r>
      <w:r w:rsidRPr="00517BEF">
        <w:rPr>
          <w:rFonts w:ascii="Courier New" w:hAnsi="Courier New" w:cs="Courier New"/>
        </w:rPr>
        <w:t xml:space="preserve">375 Mass. 360, 362 (1978).  </w:t>
      </w:r>
      <w:r>
        <w:rPr>
          <w:rFonts w:ascii="Courier New" w:hAnsi="Courier New" w:cs="Courier New"/>
        </w:rPr>
        <w:t>“</w:t>
      </w:r>
      <w:r w:rsidRPr="00517BEF">
        <w:rPr>
          <w:rFonts w:ascii="Courier New" w:hAnsi="Courier New" w:cs="Courier New"/>
        </w:rPr>
        <w:t>[S]ales of property usually furnish strong evidence of mark</w:t>
      </w:r>
      <w:r>
        <w:rPr>
          <w:rFonts w:ascii="Courier New" w:hAnsi="Courier New" w:cs="Courier New"/>
        </w:rPr>
        <w:t>et value, provided they are arm’</w:t>
      </w:r>
      <w:r w:rsidRPr="00517BEF">
        <w:rPr>
          <w:rFonts w:ascii="Courier New" w:hAnsi="Courier New" w:cs="Courier New"/>
        </w:rPr>
        <w:t>s-length transactions and thus fairly represent what a buyer has been willing to pay for th</w:t>
      </w:r>
      <w:r>
        <w:rPr>
          <w:rFonts w:ascii="Courier New" w:hAnsi="Courier New" w:cs="Courier New"/>
        </w:rPr>
        <w:t>e property to a willing seller.”</w:t>
      </w:r>
      <w:r w:rsidRPr="00517BEF">
        <w:rPr>
          <w:rFonts w:ascii="Courier New" w:hAnsi="Courier New" w:cs="Courier New"/>
        </w:rPr>
        <w:t xml:space="preserve">  </w:t>
      </w:r>
      <w:r w:rsidR="00252018">
        <w:rPr>
          <w:rFonts w:ascii="Courier New" w:hAnsi="Courier New" w:cs="Courier New"/>
          <w:b/>
          <w:i/>
        </w:rPr>
        <w:t xml:space="preserve">Foxboro Associates v. </w:t>
      </w:r>
      <w:r w:rsidRPr="00517BEF">
        <w:rPr>
          <w:rFonts w:ascii="Courier New" w:hAnsi="Courier New" w:cs="Courier New"/>
          <w:b/>
          <w:i/>
        </w:rPr>
        <w:t xml:space="preserve">Assessors of Foxborough, </w:t>
      </w:r>
      <w:r w:rsidRPr="00517BEF">
        <w:rPr>
          <w:rFonts w:ascii="Courier New" w:hAnsi="Courier New" w:cs="Courier New"/>
        </w:rPr>
        <w:t xml:space="preserve">385 Mass. 679, 682 (1982). </w:t>
      </w:r>
      <w:r>
        <w:rPr>
          <w:rFonts w:ascii="Courier New" w:hAnsi="Courier New" w:cs="Courier New"/>
        </w:rPr>
        <w:t xml:space="preserve"> In addition, “[</w:t>
      </w:r>
      <w:r w:rsidRPr="00EA508B">
        <w:rPr>
          <w:rFonts w:ascii="Courier New" w:hAnsi="Courier New" w:cs="Courier New"/>
        </w:rPr>
        <w:t>r</w:t>
      </w:r>
      <w:r>
        <w:rPr>
          <w:rFonts w:ascii="Courier New" w:hAnsi="Courier New" w:cs="Courier New"/>
        </w:rPr>
        <w:t>]</w:t>
      </w:r>
      <w:r w:rsidRPr="00EA508B">
        <w:rPr>
          <w:rFonts w:ascii="Courier New" w:hAnsi="Courier New" w:cs="Courier New"/>
        </w:rPr>
        <w:t xml:space="preserve">eliable comparable sales data will ordinarily trump comparable assessment information for purposes of finding a property’s fair cash value.”  </w:t>
      </w:r>
      <w:r w:rsidRPr="00EA508B">
        <w:rPr>
          <w:rFonts w:ascii="Courier New" w:hAnsi="Courier New" w:cs="Courier New"/>
          <w:b/>
          <w:i/>
        </w:rPr>
        <w:t xml:space="preserve">Graham v. Assessors of West Tisbury, </w:t>
      </w:r>
      <w:r w:rsidRPr="00EA508B">
        <w:rPr>
          <w:rFonts w:ascii="Courier New" w:hAnsi="Courier New" w:cs="Courier New"/>
        </w:rPr>
        <w:t>Mass. ATB Findings of Fact and Reports 2007-32</w:t>
      </w:r>
      <w:r>
        <w:rPr>
          <w:rFonts w:ascii="Courier New" w:hAnsi="Courier New" w:cs="Courier New"/>
        </w:rPr>
        <w:t xml:space="preserve">1, 403, </w:t>
      </w:r>
      <w:r w:rsidRPr="0068236D">
        <w:rPr>
          <w:rFonts w:ascii="Courier New" w:hAnsi="Courier New" w:cs="Courier New"/>
          <w:i/>
        </w:rPr>
        <w:t>aff’d</w:t>
      </w:r>
      <w:r>
        <w:rPr>
          <w:rFonts w:ascii="Courier New" w:hAnsi="Courier New" w:cs="Courier New"/>
        </w:rPr>
        <w:t xml:space="preserve">, 73 Mass. App. Ct. 1107 (2008).  </w:t>
      </w:r>
    </w:p>
    <w:p w:rsidR="00D31C99" w:rsidRDefault="001A1E6B" w:rsidP="00D31C99">
      <w:pPr>
        <w:autoSpaceDE w:val="0"/>
        <w:autoSpaceDN w:val="0"/>
        <w:spacing w:line="480" w:lineRule="auto"/>
        <w:ind w:firstLine="720"/>
        <w:jc w:val="both"/>
        <w:rPr>
          <w:rFonts w:ascii="Courier New" w:hAnsi="Courier New" w:cs="Courier New"/>
        </w:rPr>
      </w:pPr>
      <w:r>
        <w:rPr>
          <w:rFonts w:ascii="Courier New" w:hAnsi="Courier New" w:cs="Courier New"/>
        </w:rPr>
        <w:t>The Presiding Commissioner found that the purportedly comparable properties used by Mr. Pineo in his comparable-sales assessment were not sufficiently similar to the subject property to provide for a meaningful comparison, primarily because they were not lakefron</w:t>
      </w:r>
      <w:r w:rsidR="00D94F79">
        <w:rPr>
          <w:rFonts w:ascii="Courier New" w:hAnsi="Courier New" w:cs="Courier New"/>
        </w:rPr>
        <w:t xml:space="preserve">t properties </w:t>
      </w:r>
      <w:r>
        <w:rPr>
          <w:rFonts w:ascii="Courier New" w:hAnsi="Courier New" w:cs="Courier New"/>
        </w:rPr>
        <w:t xml:space="preserve">in as desirable a location as the subject property.  The </w:t>
      </w:r>
      <w:r>
        <w:rPr>
          <w:rFonts w:ascii="Courier New" w:hAnsi="Courier New" w:cs="Courier New"/>
        </w:rPr>
        <w:lastRenderedPageBreak/>
        <w:t xml:space="preserve">Presiding Commissioner recognized the </w:t>
      </w:r>
      <w:r w:rsidR="006C76D3">
        <w:rPr>
          <w:rFonts w:ascii="Courier New" w:hAnsi="Courier New" w:cs="Courier New"/>
        </w:rPr>
        <w:t xml:space="preserve">important </w:t>
      </w:r>
      <w:r>
        <w:rPr>
          <w:rFonts w:ascii="Courier New" w:hAnsi="Courier New" w:cs="Courier New"/>
        </w:rPr>
        <w:t>distinction for valuation purposes between waterfront properties and t</w:t>
      </w:r>
      <w:r w:rsidR="006C76D3">
        <w:rPr>
          <w:rFonts w:ascii="Courier New" w:hAnsi="Courier New" w:cs="Courier New"/>
        </w:rPr>
        <w:t>hose that were merely waterview</w:t>
      </w:r>
      <w:r>
        <w:rPr>
          <w:rFonts w:ascii="Courier New" w:hAnsi="Courier New" w:cs="Courier New"/>
        </w:rPr>
        <w:t xml:space="preserve">.  </w:t>
      </w:r>
      <w:r w:rsidRPr="00F3650A">
        <w:rPr>
          <w:rFonts w:ascii="Courier New" w:hAnsi="Courier New" w:cs="Courier New"/>
          <w:i/>
        </w:rPr>
        <w:t>See, e.g.</w:t>
      </w:r>
      <w:r>
        <w:rPr>
          <w:rFonts w:ascii="Courier New" w:hAnsi="Courier New" w:cs="Courier New"/>
        </w:rPr>
        <w:t xml:space="preserve">, </w:t>
      </w:r>
      <w:r w:rsidRPr="00F3650A">
        <w:rPr>
          <w:rFonts w:ascii="Courier New" w:hAnsi="Courier New" w:cs="Courier New"/>
          <w:b/>
          <w:i/>
        </w:rPr>
        <w:t>Ward Brothers Realty Trust v. Assessors of Hingham</w:t>
      </w:r>
      <w:r>
        <w:rPr>
          <w:rFonts w:ascii="Courier New" w:hAnsi="Courier New" w:cs="Courier New"/>
        </w:rPr>
        <w:t xml:space="preserve">, Mass. ATB Findings of Fact and Reports, 2012-515, </w:t>
      </w:r>
      <w:r w:rsidR="00F3650A">
        <w:rPr>
          <w:rFonts w:ascii="Courier New" w:hAnsi="Courier New" w:cs="Courier New"/>
        </w:rPr>
        <w:t>523.</w:t>
      </w:r>
      <w:r>
        <w:rPr>
          <w:rFonts w:ascii="Courier New" w:hAnsi="Courier New" w:cs="Courier New"/>
        </w:rPr>
        <w:t xml:space="preserve">  </w:t>
      </w:r>
      <w:r w:rsidR="006C76D3">
        <w:rPr>
          <w:rFonts w:ascii="Courier New" w:hAnsi="Courier New" w:cs="Courier New"/>
        </w:rPr>
        <w:t xml:space="preserve">The </w:t>
      </w:r>
      <w:r w:rsidR="007B78CB">
        <w:rPr>
          <w:rFonts w:ascii="Courier New" w:hAnsi="Courier New" w:cs="Courier New"/>
        </w:rPr>
        <w:t>Presiding Commissioner thus found and ruled that the appellants had</w:t>
      </w:r>
      <w:r w:rsidR="006C76D3">
        <w:rPr>
          <w:rFonts w:ascii="Courier New" w:hAnsi="Courier New" w:cs="Courier New"/>
        </w:rPr>
        <w:t xml:space="preserve"> failed to introduce evidence of of sufficiently comp</w:t>
      </w:r>
      <w:r w:rsidR="00951307">
        <w:rPr>
          <w:rFonts w:ascii="Courier New" w:hAnsi="Courier New" w:cs="Courier New"/>
        </w:rPr>
        <w:t xml:space="preserve">arable properties </w:t>
      </w:r>
      <w:r w:rsidR="006C76D3">
        <w:rPr>
          <w:rFonts w:ascii="Courier New" w:hAnsi="Courier New" w:cs="Courier New"/>
        </w:rPr>
        <w:t>for their comparable-sales analysis.</w:t>
      </w:r>
    </w:p>
    <w:p w:rsidR="001937AE" w:rsidRDefault="001937AE" w:rsidP="001937AE">
      <w:pPr>
        <w:spacing w:line="480" w:lineRule="auto"/>
        <w:ind w:firstLine="720"/>
        <w:jc w:val="both"/>
        <w:rPr>
          <w:rFonts w:ascii="Courier New" w:hAnsi="Courier New" w:cs="Courier New"/>
        </w:rPr>
      </w:pPr>
      <w:r>
        <w:rPr>
          <w:rFonts w:ascii="Courier New" w:hAnsi="Courier New" w:cs="Courier New"/>
        </w:rPr>
        <w:t>Furthermore, a</w:t>
      </w:r>
      <w:r w:rsidRPr="00302F9A">
        <w:rPr>
          <w:rFonts w:ascii="Courier New" w:hAnsi="Courier New" w:cs="Courier New"/>
        </w:rPr>
        <w:t xml:space="preserve"> taxpayer </w:t>
      </w:r>
      <w:r>
        <w:rPr>
          <w:rFonts w:ascii="Courier New" w:hAnsi="Courier New" w:cs="Courier New"/>
        </w:rPr>
        <w:t>“</w:t>
      </w:r>
      <w:r w:rsidRPr="00302F9A">
        <w:rPr>
          <w:rFonts w:ascii="Courier New" w:hAnsi="Courier New" w:cs="Courier New"/>
        </w:rPr>
        <w:t xml:space="preserve">does not conclusively establish a right to an abatement merely by showing that his land or </w:t>
      </w:r>
      <w:r w:rsidRPr="00676C94">
        <w:rPr>
          <w:rStyle w:val="term1"/>
          <w:rFonts w:ascii="Courier New" w:hAnsi="Courier New" w:cs="Courier New"/>
          <w:b w:val="0"/>
        </w:rPr>
        <w:t>building</w:t>
      </w:r>
      <w:r w:rsidRPr="00302F9A">
        <w:rPr>
          <w:rStyle w:val="term1"/>
          <w:rFonts w:ascii="Courier New" w:hAnsi="Courier New" w:cs="Courier New"/>
        </w:rPr>
        <w:t xml:space="preserve"> </w:t>
      </w:r>
      <w:r w:rsidRPr="00676C94">
        <w:rPr>
          <w:rStyle w:val="term1"/>
          <w:rFonts w:ascii="Courier New" w:hAnsi="Courier New" w:cs="Courier New"/>
          <w:b w:val="0"/>
        </w:rPr>
        <w:t>is</w:t>
      </w:r>
      <w:r w:rsidRPr="00302F9A">
        <w:rPr>
          <w:rStyle w:val="term1"/>
          <w:rFonts w:ascii="Courier New" w:hAnsi="Courier New" w:cs="Courier New"/>
        </w:rPr>
        <w:t xml:space="preserve"> </w:t>
      </w:r>
      <w:r w:rsidRPr="00676C94">
        <w:rPr>
          <w:rStyle w:val="term1"/>
          <w:rFonts w:ascii="Courier New" w:hAnsi="Courier New" w:cs="Courier New"/>
          <w:b w:val="0"/>
        </w:rPr>
        <w:t>overvalued</w:t>
      </w:r>
      <w:r w:rsidRPr="00302F9A">
        <w:rPr>
          <w:rStyle w:val="term1"/>
          <w:rFonts w:ascii="Courier New" w:hAnsi="Courier New" w:cs="Courier New"/>
        </w:rPr>
        <w:t>.</w:t>
      </w:r>
      <w:r w:rsidRPr="00302F9A">
        <w:rPr>
          <w:rFonts w:ascii="Courier New" w:hAnsi="Courier New" w:cs="Courier New"/>
        </w:rPr>
        <w:t xml:space="preserve"> </w:t>
      </w:r>
      <w:r>
        <w:rPr>
          <w:rFonts w:ascii="Courier New" w:hAnsi="Courier New" w:cs="Courier New"/>
        </w:rPr>
        <w:t xml:space="preserve"> ‘</w:t>
      </w:r>
      <w:r w:rsidRPr="00302F9A">
        <w:rPr>
          <w:rFonts w:ascii="Courier New" w:hAnsi="Courier New" w:cs="Courier New"/>
        </w:rPr>
        <w:t>The tax on a parcel of land and the building thereon is one tax . . . although for statistical purposes they may be valued separately.</w:t>
      </w:r>
      <w:r>
        <w:rPr>
          <w:rFonts w:ascii="Courier New" w:hAnsi="Courier New" w:cs="Courier New"/>
        </w:rPr>
        <w:t>’”</w:t>
      </w:r>
      <w:r w:rsidRPr="00302F9A">
        <w:rPr>
          <w:rFonts w:ascii="Courier New" w:hAnsi="Courier New" w:cs="Courier New"/>
        </w:rPr>
        <w:t xml:space="preserve"> </w:t>
      </w:r>
      <w:r w:rsidRPr="00302F9A">
        <w:rPr>
          <w:rFonts w:ascii="Courier New" w:hAnsi="Courier New" w:cs="Courier New"/>
          <w:b/>
          <w:bCs/>
          <w:i/>
          <w:iCs/>
        </w:rPr>
        <w:t>Hinds v. Assessors of Manchester-by-the-Sea</w:t>
      </w:r>
      <w:r w:rsidRPr="00302F9A">
        <w:rPr>
          <w:rFonts w:ascii="Courier New" w:hAnsi="Courier New" w:cs="Courier New"/>
        </w:rPr>
        <w:t>, Mass. ATB Findings of Fact and Reports 2006-771, 778 (quoting</w:t>
      </w:r>
      <w:r>
        <w:rPr>
          <w:rFonts w:ascii="Courier New" w:hAnsi="Courier New" w:cs="Courier New"/>
        </w:rPr>
        <w:t xml:space="preserve"> </w:t>
      </w:r>
      <w:r>
        <w:rPr>
          <w:rFonts w:ascii="Courier New" w:hAnsi="Courier New" w:cs="Courier New"/>
          <w:b/>
          <w:i/>
        </w:rPr>
        <w:t>Assessors of Brookline v. Prudential Insurance, Co.</w:t>
      </w:r>
      <w:r>
        <w:rPr>
          <w:rFonts w:ascii="Courier New" w:hAnsi="Courier New" w:cs="Courier New"/>
        </w:rPr>
        <w:t xml:space="preserve">, </w:t>
      </w:r>
      <w:r w:rsidR="00A80346">
        <w:rPr>
          <w:rFonts w:ascii="Courier New" w:hAnsi="Courier New" w:cs="Courier New"/>
        </w:rPr>
        <w:t xml:space="preserve">    </w:t>
      </w:r>
      <w:r>
        <w:rPr>
          <w:rFonts w:ascii="Courier New" w:hAnsi="Courier New" w:cs="Courier New"/>
        </w:rPr>
        <w:t>310 Mass. 300, 317 (1941)).</w:t>
      </w:r>
      <w:r w:rsidRPr="00302F9A">
        <w:rPr>
          <w:rFonts w:ascii="Courier New" w:hAnsi="Courier New" w:cs="Courier New"/>
        </w:rPr>
        <w:t xml:space="preserve"> </w:t>
      </w:r>
      <w:r>
        <w:rPr>
          <w:rFonts w:ascii="Courier New" w:hAnsi="Courier New" w:cs="Courier New"/>
        </w:rPr>
        <w:t xml:space="preserve"> </w:t>
      </w:r>
      <w:r w:rsidRPr="00302F9A">
        <w:rPr>
          <w:rFonts w:ascii="Courier New" w:hAnsi="Courier New" w:cs="Courier New"/>
        </w:rPr>
        <w:t xml:space="preserve">In abatement proceedings, </w:t>
      </w:r>
      <w:r>
        <w:rPr>
          <w:rFonts w:ascii="Courier New" w:hAnsi="Courier New" w:cs="Courier New"/>
        </w:rPr>
        <w:t>“</w:t>
      </w:r>
      <w:r w:rsidRPr="00302F9A">
        <w:rPr>
          <w:rFonts w:ascii="Courier New" w:hAnsi="Courier New" w:cs="Courier New"/>
        </w:rPr>
        <w:t xml:space="preserve">the question is whether the assessment for the parcel of real estate, including both the land and the structures thereon, is excessive. </w:t>
      </w:r>
      <w:r>
        <w:rPr>
          <w:rFonts w:ascii="Courier New" w:hAnsi="Courier New" w:cs="Courier New"/>
        </w:rPr>
        <w:t xml:space="preserve"> </w:t>
      </w:r>
      <w:r w:rsidRPr="00302F9A">
        <w:rPr>
          <w:rFonts w:ascii="Courier New" w:hAnsi="Courier New" w:cs="Courier New"/>
        </w:rPr>
        <w:t>The component parts, on which that single assessment is laid, are each open to inquiry and revision by the appellate tribunal in reaching the conclusion whether that single assessment is excessive.</w:t>
      </w:r>
      <w:r>
        <w:rPr>
          <w:rFonts w:ascii="Courier New" w:hAnsi="Courier New" w:cs="Courier New"/>
        </w:rPr>
        <w:t xml:space="preserve">”  </w:t>
      </w:r>
      <w:r>
        <w:rPr>
          <w:rFonts w:ascii="Courier New" w:hAnsi="Courier New" w:cs="Courier New"/>
          <w:b/>
          <w:i/>
        </w:rPr>
        <w:t>Massachusetts General Hospital v. Belmont</w:t>
      </w:r>
      <w:r>
        <w:rPr>
          <w:rFonts w:ascii="Courier New" w:hAnsi="Courier New" w:cs="Courier New"/>
        </w:rPr>
        <w:t xml:space="preserve">, 238 Mass. 396, </w:t>
      </w:r>
      <w:r>
        <w:rPr>
          <w:rFonts w:ascii="Courier New" w:hAnsi="Courier New" w:cs="Courier New"/>
        </w:rPr>
        <w:lastRenderedPageBreak/>
        <w:t>403 (1921);</w:t>
      </w:r>
      <w:r w:rsidRPr="00302F9A">
        <w:rPr>
          <w:rFonts w:ascii="Courier New" w:hAnsi="Courier New" w:cs="Courier New"/>
        </w:rPr>
        <w:t xml:space="preserve"> </w:t>
      </w:r>
      <w:r w:rsidRPr="00302F9A">
        <w:rPr>
          <w:rFonts w:ascii="Courier New" w:hAnsi="Courier New" w:cs="Courier New"/>
          <w:i/>
          <w:iCs/>
        </w:rPr>
        <w:t xml:space="preserve">see also </w:t>
      </w:r>
      <w:r w:rsidRPr="00302F9A">
        <w:rPr>
          <w:rFonts w:ascii="Courier New" w:hAnsi="Courier New" w:cs="Courier New"/>
          <w:b/>
          <w:bCs/>
          <w:i/>
          <w:iCs/>
        </w:rPr>
        <w:t>Buckley v. Assessors of Duxbury</w:t>
      </w:r>
      <w:r w:rsidRPr="00302F9A">
        <w:rPr>
          <w:rFonts w:ascii="Courier New" w:hAnsi="Courier New" w:cs="Courier New"/>
        </w:rPr>
        <w:t xml:space="preserve">, Mass. ATB Findings of Fact and Reports 1990-110, 119; </w:t>
      </w:r>
      <w:r w:rsidRPr="00302F9A">
        <w:rPr>
          <w:rFonts w:ascii="Courier New" w:hAnsi="Courier New" w:cs="Courier New"/>
          <w:b/>
          <w:bCs/>
          <w:i/>
          <w:iCs/>
        </w:rPr>
        <w:t>Jernegan v. Assessors of Duxbury</w:t>
      </w:r>
      <w:r w:rsidRPr="00302F9A">
        <w:rPr>
          <w:rFonts w:ascii="Courier New" w:hAnsi="Courier New" w:cs="Courier New"/>
        </w:rPr>
        <w:t>, Mass. ATB Findings of Fact and Reports 1990-39, 49.</w:t>
      </w:r>
    </w:p>
    <w:p w:rsidR="001937AE" w:rsidRDefault="001937AE" w:rsidP="001937AE">
      <w:pPr>
        <w:autoSpaceDE w:val="0"/>
        <w:autoSpaceDN w:val="0"/>
        <w:spacing w:line="480" w:lineRule="auto"/>
        <w:ind w:firstLine="720"/>
        <w:jc w:val="both"/>
        <w:rPr>
          <w:rFonts w:ascii="Courier New" w:hAnsi="Courier New" w:cs="Courier New"/>
        </w:rPr>
      </w:pPr>
      <w:r w:rsidRPr="00302F9A">
        <w:rPr>
          <w:rFonts w:ascii="Courier New" w:hAnsi="Courier New" w:cs="Courier New"/>
        </w:rPr>
        <w:t>In t</w:t>
      </w:r>
      <w:r>
        <w:rPr>
          <w:rFonts w:ascii="Courier New" w:hAnsi="Courier New" w:cs="Courier New"/>
        </w:rPr>
        <w:t>he present appeal, the appellants’ contention related to the supposed impact of the ledge and easements on the value of the subject property’s land was not</w:t>
      </w:r>
      <w:r w:rsidRPr="00302F9A">
        <w:rPr>
          <w:rFonts w:ascii="Courier New" w:hAnsi="Courier New" w:cs="Courier New"/>
        </w:rPr>
        <w:t xml:space="preserve"> sufficient</w:t>
      </w:r>
      <w:r w:rsidR="007B78CB">
        <w:rPr>
          <w:rFonts w:ascii="Courier New" w:hAnsi="Courier New" w:cs="Courier New"/>
        </w:rPr>
        <w:t>,</w:t>
      </w:r>
      <w:r w:rsidRPr="00302F9A">
        <w:rPr>
          <w:rFonts w:ascii="Courier New" w:hAnsi="Courier New" w:cs="Courier New"/>
        </w:rPr>
        <w:t xml:space="preserve"> credible evidence showing that the overall assessment of the subject property exceeded its fair cash value as of the relevant assessment date.</w:t>
      </w:r>
    </w:p>
    <w:p w:rsidR="006F5262" w:rsidRDefault="006F5262" w:rsidP="006F5262">
      <w:pPr>
        <w:spacing w:line="480" w:lineRule="auto"/>
        <w:ind w:firstLine="720"/>
        <w:jc w:val="both"/>
        <w:rPr>
          <w:rFonts w:ascii="Courier New" w:hAnsi="Courier New" w:cs="Courier New"/>
        </w:rPr>
      </w:pPr>
      <w:r>
        <w:rPr>
          <w:rFonts w:ascii="Courier New" w:hAnsi="Courier New" w:cs="Courier New"/>
        </w:rPr>
        <w:t>B</w:t>
      </w:r>
      <w:r w:rsidRPr="00302F9A">
        <w:rPr>
          <w:rFonts w:ascii="Courier New" w:hAnsi="Courier New" w:cs="Courier New"/>
        </w:rPr>
        <w:t xml:space="preserve">ased on the evidence presented, the </w:t>
      </w:r>
      <w:r>
        <w:rPr>
          <w:rFonts w:ascii="Courier New" w:hAnsi="Courier New" w:cs="Courier New"/>
        </w:rPr>
        <w:t>Board fou</w:t>
      </w:r>
      <w:r w:rsidRPr="00302F9A">
        <w:rPr>
          <w:rFonts w:ascii="Courier New" w:hAnsi="Courier New" w:cs="Courier New"/>
        </w:rPr>
        <w:t>nd and ruled that the appellant</w:t>
      </w:r>
      <w:r>
        <w:rPr>
          <w:rFonts w:ascii="Courier New" w:hAnsi="Courier New" w:cs="Courier New"/>
        </w:rPr>
        <w:t>s</w:t>
      </w:r>
      <w:r w:rsidRPr="00302F9A">
        <w:rPr>
          <w:rFonts w:ascii="Courier New" w:hAnsi="Courier New" w:cs="Courier New"/>
        </w:rPr>
        <w:t xml:space="preserve"> did not meet </w:t>
      </w:r>
      <w:r>
        <w:rPr>
          <w:rFonts w:ascii="Courier New" w:hAnsi="Courier New" w:cs="Courier New"/>
        </w:rPr>
        <w:t>their</w:t>
      </w:r>
      <w:r w:rsidRPr="00302F9A">
        <w:rPr>
          <w:rFonts w:ascii="Courier New" w:hAnsi="Courier New" w:cs="Courier New"/>
        </w:rPr>
        <w:t xml:space="preserve"> burden of proving that the subject property</w:t>
      </w:r>
      <w:r>
        <w:rPr>
          <w:rFonts w:ascii="Courier New" w:hAnsi="Courier New" w:cs="Courier New"/>
        </w:rPr>
        <w:t>’</w:t>
      </w:r>
      <w:r w:rsidRPr="00302F9A">
        <w:rPr>
          <w:rFonts w:ascii="Courier New" w:hAnsi="Courier New" w:cs="Courier New"/>
        </w:rPr>
        <w:t>s overall assessm</w:t>
      </w:r>
      <w:r>
        <w:rPr>
          <w:rFonts w:ascii="Courier New" w:hAnsi="Courier New" w:cs="Courier New"/>
        </w:rPr>
        <w:t>ent was excessive.  Accordingly</w:t>
      </w:r>
      <w:r w:rsidRPr="00302F9A">
        <w:rPr>
          <w:rFonts w:ascii="Courier New" w:hAnsi="Courier New" w:cs="Courier New"/>
        </w:rPr>
        <w:t xml:space="preserve">, the </w:t>
      </w:r>
      <w:r>
        <w:rPr>
          <w:rFonts w:ascii="Courier New" w:hAnsi="Courier New" w:cs="Courier New"/>
        </w:rPr>
        <w:t>Board</w:t>
      </w:r>
      <w:r w:rsidRPr="00302F9A">
        <w:rPr>
          <w:rFonts w:ascii="Courier New" w:hAnsi="Courier New" w:cs="Courier New"/>
        </w:rPr>
        <w:t xml:space="preserve"> issued a decision for the appellee in this appeal.</w:t>
      </w:r>
    </w:p>
    <w:p w:rsidR="006F5262" w:rsidRPr="00D146B2" w:rsidRDefault="006F5262" w:rsidP="006F5262">
      <w:pPr>
        <w:spacing w:line="480" w:lineRule="atLeast"/>
        <w:ind w:left="2880" w:firstLine="720"/>
        <w:jc w:val="both"/>
        <w:rPr>
          <w:rFonts w:ascii="Courier New" w:hAnsi="Courier New" w:cs="Courier New"/>
        </w:rPr>
      </w:pPr>
      <w:r>
        <w:rPr>
          <w:rFonts w:ascii="Courier New" w:hAnsi="Courier New" w:cs="Courier New"/>
          <w:b/>
        </w:rPr>
        <w:t xml:space="preserve">    </w:t>
      </w:r>
      <w:r w:rsidRPr="00D146B2">
        <w:rPr>
          <w:rFonts w:ascii="Courier New" w:hAnsi="Courier New" w:cs="Courier New"/>
          <w:b/>
        </w:rPr>
        <w:t>APPELLATE TAX BOARD</w:t>
      </w:r>
    </w:p>
    <w:p w:rsidR="006F5262" w:rsidRPr="00D146B2" w:rsidRDefault="006F5262" w:rsidP="006F5262">
      <w:pPr>
        <w:spacing w:line="480" w:lineRule="atLeast"/>
        <w:jc w:val="both"/>
        <w:rPr>
          <w:rFonts w:ascii="Courier New" w:hAnsi="Courier New" w:cs="Courier New"/>
        </w:rPr>
      </w:pPr>
    </w:p>
    <w:p w:rsidR="006F5262" w:rsidRPr="00D146B2" w:rsidRDefault="006F5262" w:rsidP="006F5262">
      <w:pPr>
        <w:jc w:val="both"/>
        <w:rPr>
          <w:rFonts w:ascii="Courier New" w:hAnsi="Courier New" w:cs="Courier New"/>
          <w:b/>
        </w:rPr>
      </w:pPr>
      <w:r w:rsidRPr="00D146B2">
        <w:rPr>
          <w:rFonts w:ascii="Courier New" w:hAnsi="Courier New" w:cs="Courier New"/>
        </w:rPr>
        <w:tab/>
      </w:r>
      <w:r w:rsidRPr="00D146B2">
        <w:rPr>
          <w:rFonts w:ascii="Courier New" w:hAnsi="Courier New" w:cs="Courier New"/>
        </w:rPr>
        <w:tab/>
      </w:r>
      <w:r w:rsidRPr="00D146B2">
        <w:rPr>
          <w:rFonts w:ascii="Courier New" w:hAnsi="Courier New" w:cs="Courier New"/>
        </w:rPr>
        <w:tab/>
      </w:r>
      <w:r w:rsidRPr="00D146B2">
        <w:rPr>
          <w:rFonts w:ascii="Courier New" w:hAnsi="Courier New" w:cs="Courier New"/>
        </w:rPr>
        <w:tab/>
      </w:r>
      <w:r w:rsidRPr="00D146B2">
        <w:rPr>
          <w:rFonts w:ascii="Courier New" w:hAnsi="Courier New" w:cs="Courier New"/>
        </w:rPr>
        <w:tab/>
        <w:t xml:space="preserve">     </w:t>
      </w:r>
      <w:r w:rsidRPr="00D146B2">
        <w:rPr>
          <w:rFonts w:ascii="Courier New" w:hAnsi="Courier New" w:cs="Courier New"/>
        </w:rPr>
        <w:tab/>
      </w:r>
      <w:r w:rsidRPr="00D146B2">
        <w:rPr>
          <w:rFonts w:ascii="Courier New" w:hAnsi="Courier New" w:cs="Courier New"/>
        </w:rPr>
        <w:tab/>
      </w:r>
      <w:r w:rsidRPr="00D146B2">
        <w:rPr>
          <w:rFonts w:ascii="Courier New" w:hAnsi="Courier New" w:cs="Courier New"/>
        </w:rPr>
        <w:tab/>
      </w:r>
      <w:r w:rsidRPr="00D146B2">
        <w:rPr>
          <w:rFonts w:ascii="Courier New" w:hAnsi="Courier New" w:cs="Courier New"/>
        </w:rPr>
        <w:tab/>
      </w:r>
      <w:r w:rsidRPr="00D146B2">
        <w:rPr>
          <w:rFonts w:ascii="Courier New" w:hAnsi="Courier New" w:cs="Courier New"/>
        </w:rPr>
        <w:tab/>
      </w:r>
      <w:r w:rsidRPr="00D146B2">
        <w:rPr>
          <w:rFonts w:ascii="Courier New" w:hAnsi="Courier New" w:cs="Courier New"/>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Pr>
          <w:rFonts w:ascii="Courier New" w:hAnsi="Courier New" w:cs="Courier New"/>
          <w:b/>
        </w:rPr>
        <w:tab/>
        <w:t xml:space="preserve">  </w:t>
      </w:r>
      <w:r w:rsidRPr="00D146B2">
        <w:rPr>
          <w:rFonts w:ascii="Courier New" w:hAnsi="Courier New" w:cs="Courier New"/>
          <w:b/>
        </w:rPr>
        <w:t>By: ___________</w:t>
      </w:r>
      <w:r>
        <w:rPr>
          <w:rFonts w:ascii="Courier New" w:hAnsi="Courier New" w:cs="Courier New"/>
          <w:b/>
        </w:rPr>
        <w:t>_</w:t>
      </w:r>
      <w:r w:rsidRPr="00D146B2">
        <w:rPr>
          <w:rFonts w:ascii="Courier New" w:hAnsi="Courier New" w:cs="Courier New"/>
          <w:b/>
        </w:rPr>
        <w:t>_______________</w:t>
      </w:r>
      <w:r>
        <w:rPr>
          <w:rFonts w:ascii="Courier New" w:hAnsi="Courier New" w:cs="Courier New"/>
          <w:b/>
        </w:rPr>
        <w:t>______</w:t>
      </w:r>
    </w:p>
    <w:p w:rsidR="006F5262" w:rsidRDefault="006F5262" w:rsidP="006F5262">
      <w:pPr>
        <w:jc w:val="both"/>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Pr>
          <w:rFonts w:ascii="Courier New" w:hAnsi="Courier New" w:cs="Courier New"/>
          <w:b/>
        </w:rPr>
        <w:tab/>
      </w:r>
      <w:r w:rsidR="00C37C47">
        <w:rPr>
          <w:rFonts w:ascii="Courier New" w:hAnsi="Courier New" w:cs="Courier New"/>
          <w:b/>
        </w:rPr>
        <w:t xml:space="preserve">  James D. Rose, Commissioner</w:t>
      </w:r>
    </w:p>
    <w:p w:rsidR="006F5262" w:rsidRDefault="006F5262" w:rsidP="006F5262">
      <w:pPr>
        <w:jc w:val="both"/>
        <w:rPr>
          <w:rFonts w:ascii="Courier New" w:hAnsi="Courier New" w:cs="Courier New"/>
          <w:b/>
        </w:rPr>
      </w:pPr>
    </w:p>
    <w:p w:rsidR="00A76ADE" w:rsidRPr="00D146B2" w:rsidRDefault="00A76ADE" w:rsidP="00A76ADE">
      <w:pPr>
        <w:jc w:val="both"/>
        <w:rPr>
          <w:rFonts w:ascii="Courier New" w:hAnsi="Courier New" w:cs="Courier New"/>
          <w:b/>
        </w:rPr>
      </w:pPr>
      <w:r>
        <w:rPr>
          <w:rFonts w:ascii="Courier New" w:hAnsi="Courier New" w:cs="Courier New"/>
          <w:b/>
        </w:rPr>
        <w:t>A t</w:t>
      </w:r>
      <w:r w:rsidRPr="00D146B2">
        <w:rPr>
          <w:rFonts w:ascii="Courier New" w:hAnsi="Courier New" w:cs="Courier New"/>
          <w:b/>
        </w:rPr>
        <w:t>rue copy,</w:t>
      </w:r>
    </w:p>
    <w:p w:rsidR="00A76ADE" w:rsidRPr="00D146B2" w:rsidRDefault="00A76ADE" w:rsidP="00A76ADE">
      <w:pPr>
        <w:jc w:val="both"/>
        <w:rPr>
          <w:rFonts w:ascii="Courier New" w:hAnsi="Courier New" w:cs="Courier New"/>
          <w:b/>
        </w:rPr>
      </w:pPr>
    </w:p>
    <w:p w:rsidR="00A76ADE" w:rsidRPr="00D146B2" w:rsidRDefault="00A76ADE" w:rsidP="00A76ADE">
      <w:pPr>
        <w:jc w:val="both"/>
        <w:rPr>
          <w:rFonts w:ascii="Courier New" w:hAnsi="Courier New" w:cs="Courier New"/>
          <w:b/>
        </w:rPr>
      </w:pPr>
      <w:r w:rsidRPr="00D146B2">
        <w:rPr>
          <w:rFonts w:ascii="Courier New" w:hAnsi="Courier New" w:cs="Courier New"/>
          <w:b/>
        </w:rPr>
        <w:t>Attest: _________</w:t>
      </w:r>
      <w:r>
        <w:rPr>
          <w:rFonts w:ascii="Courier New" w:hAnsi="Courier New" w:cs="Courier New"/>
          <w:b/>
        </w:rPr>
        <w:t>_</w:t>
      </w:r>
      <w:r w:rsidRPr="00D146B2">
        <w:rPr>
          <w:rFonts w:ascii="Courier New" w:hAnsi="Courier New" w:cs="Courier New"/>
          <w:b/>
        </w:rPr>
        <w:t>________</w:t>
      </w:r>
      <w:r>
        <w:rPr>
          <w:rFonts w:ascii="Courier New" w:hAnsi="Courier New" w:cs="Courier New"/>
          <w:b/>
        </w:rPr>
        <w:t>___</w:t>
      </w:r>
      <w:r w:rsidRPr="00D146B2">
        <w:rPr>
          <w:rFonts w:ascii="Courier New" w:hAnsi="Courier New" w:cs="Courier New"/>
          <w:b/>
        </w:rPr>
        <w:t>______</w:t>
      </w:r>
    </w:p>
    <w:p w:rsidR="00A76ADE" w:rsidRPr="00D146B2" w:rsidRDefault="00A76ADE" w:rsidP="00A76ADE">
      <w:pPr>
        <w:jc w:val="both"/>
        <w:rPr>
          <w:rFonts w:ascii="Courier New" w:hAnsi="Courier New" w:cs="Courier New"/>
          <w:b/>
        </w:rPr>
      </w:pPr>
      <w:r>
        <w:rPr>
          <w:rFonts w:ascii="Courier New" w:hAnsi="Courier New" w:cs="Courier New"/>
          <w:b/>
        </w:rPr>
        <w:t xml:space="preserve">          </w:t>
      </w:r>
      <w:r w:rsidRPr="00D146B2">
        <w:rPr>
          <w:rFonts w:ascii="Courier New" w:hAnsi="Courier New" w:cs="Courier New"/>
          <w:b/>
        </w:rPr>
        <w:t>Clerk of the Board</w:t>
      </w:r>
    </w:p>
    <w:p w:rsidR="006F5262" w:rsidRPr="00A442CB" w:rsidRDefault="006F5262" w:rsidP="006F5262">
      <w:pPr>
        <w:spacing w:line="480" w:lineRule="auto"/>
        <w:ind w:firstLine="720"/>
        <w:jc w:val="both"/>
        <w:rPr>
          <w:rFonts w:ascii="Courier New" w:hAnsi="Courier New" w:cs="Courier New"/>
        </w:rPr>
      </w:pPr>
    </w:p>
    <w:p w:rsidR="004736A6" w:rsidRPr="004736A6" w:rsidRDefault="004736A6" w:rsidP="004736A6">
      <w:pPr>
        <w:spacing w:line="480" w:lineRule="auto"/>
        <w:jc w:val="both"/>
        <w:rPr>
          <w:rFonts w:ascii="Courier New" w:hAnsi="Courier New" w:cs="Courier New"/>
        </w:rPr>
      </w:pPr>
    </w:p>
    <w:sectPr w:rsidR="004736A6" w:rsidRPr="004736A6" w:rsidSect="00F5548C">
      <w:footerReference w:type="even" r:id="rId9"/>
      <w:footerReference w:type="default" r:id="rId10"/>
      <w:pgSz w:w="12240" w:h="15840"/>
      <w:pgMar w:top="1440" w:right="1800" w:bottom="1440" w:left="1800" w:header="720" w:footer="720" w:gutter="0"/>
      <w:pgNumType w:start="10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F2" w:rsidRDefault="006129F2" w:rsidP="00841938">
      <w:r>
        <w:separator/>
      </w:r>
    </w:p>
  </w:endnote>
  <w:endnote w:type="continuationSeparator" w:id="0">
    <w:p w:rsidR="006129F2" w:rsidRDefault="006129F2" w:rsidP="0084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D3" w:rsidRDefault="006C76D3" w:rsidP="006129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6D3" w:rsidRDefault="006C76D3" w:rsidP="006C76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D3" w:rsidRPr="00A76ADE" w:rsidRDefault="00F5548C" w:rsidP="00F5548C">
    <w:pPr>
      <w:pStyle w:val="Footer"/>
      <w:framePr w:wrap="around" w:vAnchor="text" w:hAnchor="page" w:x="5476" w:y="5"/>
      <w:jc w:val="center"/>
      <w:rPr>
        <w:rStyle w:val="PageNumber"/>
        <w:rFonts w:ascii="Courier New" w:hAnsi="Courier New" w:cs="Courier New"/>
        <w:b/>
      </w:rPr>
    </w:pPr>
    <w:r w:rsidRPr="00A76ADE">
      <w:rPr>
        <w:rStyle w:val="PageNumber"/>
        <w:rFonts w:ascii="Courier New" w:hAnsi="Courier New" w:cs="Courier New"/>
        <w:b/>
      </w:rPr>
      <w:t>ATB 2014-</w:t>
    </w:r>
    <w:r w:rsidR="006C76D3" w:rsidRPr="00A76ADE">
      <w:rPr>
        <w:rStyle w:val="PageNumber"/>
        <w:rFonts w:ascii="Courier New" w:hAnsi="Courier New" w:cs="Courier New"/>
        <w:b/>
      </w:rPr>
      <w:fldChar w:fldCharType="begin"/>
    </w:r>
    <w:r w:rsidR="006C76D3" w:rsidRPr="00A76ADE">
      <w:rPr>
        <w:rStyle w:val="PageNumber"/>
        <w:rFonts w:ascii="Courier New" w:hAnsi="Courier New" w:cs="Courier New"/>
        <w:b/>
      </w:rPr>
      <w:instrText xml:space="preserve">PAGE  </w:instrText>
    </w:r>
    <w:r w:rsidR="006C76D3" w:rsidRPr="00A76ADE">
      <w:rPr>
        <w:rStyle w:val="PageNumber"/>
        <w:rFonts w:ascii="Courier New" w:hAnsi="Courier New" w:cs="Courier New"/>
        <w:b/>
      </w:rPr>
      <w:fldChar w:fldCharType="separate"/>
    </w:r>
    <w:r w:rsidR="0083640F">
      <w:rPr>
        <w:rStyle w:val="PageNumber"/>
        <w:rFonts w:ascii="Courier New" w:hAnsi="Courier New" w:cs="Courier New"/>
        <w:b/>
        <w:noProof/>
      </w:rPr>
      <w:t>1014</w:t>
    </w:r>
    <w:r w:rsidR="006C76D3" w:rsidRPr="00A76ADE">
      <w:rPr>
        <w:rStyle w:val="PageNumber"/>
        <w:rFonts w:ascii="Courier New" w:hAnsi="Courier New" w:cs="Courier New"/>
        <w:b/>
      </w:rPr>
      <w:fldChar w:fldCharType="end"/>
    </w:r>
  </w:p>
  <w:p w:rsidR="006C76D3" w:rsidRDefault="006C76D3" w:rsidP="006C76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F2" w:rsidRDefault="006129F2" w:rsidP="00841938">
      <w:r>
        <w:separator/>
      </w:r>
    </w:p>
  </w:footnote>
  <w:footnote w:type="continuationSeparator" w:id="0">
    <w:p w:rsidR="006129F2" w:rsidRDefault="006129F2" w:rsidP="00841938">
      <w:r>
        <w:continuationSeparator/>
      </w:r>
    </w:p>
  </w:footnote>
  <w:footnote w:id="1">
    <w:p w:rsidR="001A1E6B" w:rsidRPr="00335AC4" w:rsidRDefault="001A1E6B" w:rsidP="00841938">
      <w:pPr>
        <w:pStyle w:val="FootnoteText"/>
        <w:jc w:val="both"/>
        <w:rPr>
          <w:rFonts w:ascii="Courier New" w:hAnsi="Courier New" w:cs="Courier New"/>
        </w:rPr>
      </w:pPr>
      <w:r w:rsidRPr="00335AC4">
        <w:rPr>
          <w:rStyle w:val="FootnoteReference"/>
          <w:rFonts w:ascii="Courier New" w:hAnsi="Courier New" w:cs="Courier New"/>
        </w:rPr>
        <w:footnoteRef/>
      </w:r>
      <w:r w:rsidRPr="00335AC4">
        <w:rPr>
          <w:rFonts w:ascii="Courier New" w:hAnsi="Courier New" w:cs="Courier New"/>
        </w:rPr>
        <w:t xml:space="preserve">  This amou</w:t>
      </w:r>
      <w:r w:rsidR="00C63B66">
        <w:rPr>
          <w:rFonts w:ascii="Courier New" w:hAnsi="Courier New" w:cs="Courier New"/>
        </w:rPr>
        <w:t>nt includes a Community Preservation</w:t>
      </w:r>
      <w:r w:rsidRPr="00335AC4">
        <w:rPr>
          <w:rFonts w:ascii="Courier New" w:hAnsi="Courier New" w:cs="Courier New"/>
        </w:rPr>
        <w:t xml:space="preserve"> Act (“CPA”) surcharge.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17A2"/>
    <w:multiLevelType w:val="hybridMultilevel"/>
    <w:tmpl w:val="F74E0A94"/>
    <w:lvl w:ilvl="0" w:tplc="681C6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38"/>
    <w:rsid w:val="0000546F"/>
    <w:rsid w:val="000140E6"/>
    <w:rsid w:val="000254B8"/>
    <w:rsid w:val="000501CF"/>
    <w:rsid w:val="00061611"/>
    <w:rsid w:val="00062F09"/>
    <w:rsid w:val="00072071"/>
    <w:rsid w:val="00075B64"/>
    <w:rsid w:val="00082DEC"/>
    <w:rsid w:val="0008537A"/>
    <w:rsid w:val="000858C2"/>
    <w:rsid w:val="000A3C10"/>
    <w:rsid w:val="000C0937"/>
    <w:rsid w:val="000C1CFA"/>
    <w:rsid w:val="000F5942"/>
    <w:rsid w:val="00132A06"/>
    <w:rsid w:val="00161E53"/>
    <w:rsid w:val="00177F97"/>
    <w:rsid w:val="00180E6A"/>
    <w:rsid w:val="00191C6A"/>
    <w:rsid w:val="001937AE"/>
    <w:rsid w:val="001A1E6B"/>
    <w:rsid w:val="001A5E24"/>
    <w:rsid w:val="001B2D3F"/>
    <w:rsid w:val="001C5797"/>
    <w:rsid w:val="002300DA"/>
    <w:rsid w:val="00252018"/>
    <w:rsid w:val="00257356"/>
    <w:rsid w:val="002A3057"/>
    <w:rsid w:val="002B610E"/>
    <w:rsid w:val="00305E9A"/>
    <w:rsid w:val="00311985"/>
    <w:rsid w:val="00320F87"/>
    <w:rsid w:val="00334347"/>
    <w:rsid w:val="003578F9"/>
    <w:rsid w:val="00360309"/>
    <w:rsid w:val="00372A21"/>
    <w:rsid w:val="00393920"/>
    <w:rsid w:val="003A2F8A"/>
    <w:rsid w:val="003B4EE9"/>
    <w:rsid w:val="003C4A6F"/>
    <w:rsid w:val="003D3B9F"/>
    <w:rsid w:val="003F28FE"/>
    <w:rsid w:val="003F5E75"/>
    <w:rsid w:val="00421020"/>
    <w:rsid w:val="004427DB"/>
    <w:rsid w:val="00447603"/>
    <w:rsid w:val="004578AD"/>
    <w:rsid w:val="00460625"/>
    <w:rsid w:val="00472F1B"/>
    <w:rsid w:val="004736A6"/>
    <w:rsid w:val="00475A6B"/>
    <w:rsid w:val="004A69F4"/>
    <w:rsid w:val="004C1D1A"/>
    <w:rsid w:val="004D17F7"/>
    <w:rsid w:val="004D5EB0"/>
    <w:rsid w:val="004F32BA"/>
    <w:rsid w:val="0051185F"/>
    <w:rsid w:val="00514433"/>
    <w:rsid w:val="0052784A"/>
    <w:rsid w:val="005431C6"/>
    <w:rsid w:val="00565C2C"/>
    <w:rsid w:val="0059772D"/>
    <w:rsid w:val="005E04C9"/>
    <w:rsid w:val="005E1C86"/>
    <w:rsid w:val="005E796D"/>
    <w:rsid w:val="005F2445"/>
    <w:rsid w:val="006056E9"/>
    <w:rsid w:val="00605E71"/>
    <w:rsid w:val="006129F2"/>
    <w:rsid w:val="00613795"/>
    <w:rsid w:val="00634AFD"/>
    <w:rsid w:val="006514FA"/>
    <w:rsid w:val="00657C58"/>
    <w:rsid w:val="006603E7"/>
    <w:rsid w:val="00666CA3"/>
    <w:rsid w:val="00674D4F"/>
    <w:rsid w:val="006979D8"/>
    <w:rsid w:val="006A1FC4"/>
    <w:rsid w:val="006A6649"/>
    <w:rsid w:val="006C64CB"/>
    <w:rsid w:val="006C76D3"/>
    <w:rsid w:val="006D49CD"/>
    <w:rsid w:val="006F5262"/>
    <w:rsid w:val="00710F6A"/>
    <w:rsid w:val="00717D6C"/>
    <w:rsid w:val="00737401"/>
    <w:rsid w:val="00744352"/>
    <w:rsid w:val="00753017"/>
    <w:rsid w:val="00776211"/>
    <w:rsid w:val="007827E7"/>
    <w:rsid w:val="007A6162"/>
    <w:rsid w:val="007B78CB"/>
    <w:rsid w:val="007D3E00"/>
    <w:rsid w:val="008019E2"/>
    <w:rsid w:val="008024EB"/>
    <w:rsid w:val="0081316F"/>
    <w:rsid w:val="00821BB6"/>
    <w:rsid w:val="0082771D"/>
    <w:rsid w:val="0083640F"/>
    <w:rsid w:val="00841938"/>
    <w:rsid w:val="008926CD"/>
    <w:rsid w:val="00892CDF"/>
    <w:rsid w:val="008A4492"/>
    <w:rsid w:val="008C74A8"/>
    <w:rsid w:val="008E4DAA"/>
    <w:rsid w:val="00920118"/>
    <w:rsid w:val="009431DC"/>
    <w:rsid w:val="00945133"/>
    <w:rsid w:val="00951307"/>
    <w:rsid w:val="009562A7"/>
    <w:rsid w:val="00966B25"/>
    <w:rsid w:val="00975A36"/>
    <w:rsid w:val="00981E08"/>
    <w:rsid w:val="00990BD9"/>
    <w:rsid w:val="009959F2"/>
    <w:rsid w:val="009A493F"/>
    <w:rsid w:val="009B1482"/>
    <w:rsid w:val="009B3FF2"/>
    <w:rsid w:val="009C6565"/>
    <w:rsid w:val="009D30FB"/>
    <w:rsid w:val="009F3458"/>
    <w:rsid w:val="00A04BC9"/>
    <w:rsid w:val="00A10A00"/>
    <w:rsid w:val="00A47BA9"/>
    <w:rsid w:val="00A76ADE"/>
    <w:rsid w:val="00A80346"/>
    <w:rsid w:val="00A82090"/>
    <w:rsid w:val="00A8690B"/>
    <w:rsid w:val="00A96415"/>
    <w:rsid w:val="00AA426E"/>
    <w:rsid w:val="00AB2111"/>
    <w:rsid w:val="00AD362F"/>
    <w:rsid w:val="00AE798B"/>
    <w:rsid w:val="00AF35B0"/>
    <w:rsid w:val="00AF3D85"/>
    <w:rsid w:val="00B331A1"/>
    <w:rsid w:val="00B40493"/>
    <w:rsid w:val="00B60DD3"/>
    <w:rsid w:val="00B6511C"/>
    <w:rsid w:val="00B6750D"/>
    <w:rsid w:val="00B677CD"/>
    <w:rsid w:val="00B80883"/>
    <w:rsid w:val="00B83AE9"/>
    <w:rsid w:val="00B977F3"/>
    <w:rsid w:val="00BB0A08"/>
    <w:rsid w:val="00BD2D48"/>
    <w:rsid w:val="00BE7B9C"/>
    <w:rsid w:val="00C260D7"/>
    <w:rsid w:val="00C333A1"/>
    <w:rsid w:val="00C35B50"/>
    <w:rsid w:val="00C37C47"/>
    <w:rsid w:val="00C56565"/>
    <w:rsid w:val="00C63B66"/>
    <w:rsid w:val="00C65F62"/>
    <w:rsid w:val="00C7153B"/>
    <w:rsid w:val="00C804A4"/>
    <w:rsid w:val="00C8341F"/>
    <w:rsid w:val="00C83721"/>
    <w:rsid w:val="00CD3451"/>
    <w:rsid w:val="00CD7294"/>
    <w:rsid w:val="00CF5317"/>
    <w:rsid w:val="00CF5F92"/>
    <w:rsid w:val="00D01F6A"/>
    <w:rsid w:val="00D1774E"/>
    <w:rsid w:val="00D31C99"/>
    <w:rsid w:val="00D647BB"/>
    <w:rsid w:val="00D94F79"/>
    <w:rsid w:val="00DB436F"/>
    <w:rsid w:val="00DE2A14"/>
    <w:rsid w:val="00DF4F83"/>
    <w:rsid w:val="00DF5555"/>
    <w:rsid w:val="00E05B1F"/>
    <w:rsid w:val="00E13515"/>
    <w:rsid w:val="00E13D7C"/>
    <w:rsid w:val="00E71B29"/>
    <w:rsid w:val="00E7602D"/>
    <w:rsid w:val="00E87F8F"/>
    <w:rsid w:val="00E948B7"/>
    <w:rsid w:val="00F21F46"/>
    <w:rsid w:val="00F331AA"/>
    <w:rsid w:val="00F3650A"/>
    <w:rsid w:val="00F5548C"/>
    <w:rsid w:val="00F6480C"/>
    <w:rsid w:val="00F9046D"/>
    <w:rsid w:val="00FD2762"/>
    <w:rsid w:val="00FE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38"/>
    <w:rPr>
      <w:rFonts w:ascii="Times New Roman" w:eastAsia="Cambria"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938"/>
    <w:pPr>
      <w:ind w:left="720"/>
      <w:contextualSpacing/>
    </w:pPr>
  </w:style>
  <w:style w:type="paragraph" w:styleId="FootnoteText">
    <w:name w:val="footnote text"/>
    <w:basedOn w:val="Normal"/>
    <w:link w:val="FootnoteTextChar"/>
    <w:uiPriority w:val="99"/>
    <w:semiHidden/>
    <w:unhideWhenUsed/>
    <w:rsid w:val="00841938"/>
    <w:rPr>
      <w:sz w:val="20"/>
      <w:szCs w:val="20"/>
    </w:rPr>
  </w:style>
  <w:style w:type="character" w:customStyle="1" w:styleId="FootnoteTextChar">
    <w:name w:val="Footnote Text Char"/>
    <w:link w:val="FootnoteText"/>
    <w:uiPriority w:val="99"/>
    <w:semiHidden/>
    <w:rsid w:val="00841938"/>
    <w:rPr>
      <w:rFonts w:ascii="Times New Roman" w:eastAsia="Cambria" w:hAnsi="Times New Roman"/>
      <w:sz w:val="20"/>
      <w:szCs w:val="20"/>
    </w:rPr>
  </w:style>
  <w:style w:type="character" w:styleId="FootnoteReference">
    <w:name w:val="footnote reference"/>
    <w:uiPriority w:val="99"/>
    <w:semiHidden/>
    <w:unhideWhenUsed/>
    <w:rsid w:val="00841938"/>
    <w:rPr>
      <w:vertAlign w:val="superscript"/>
    </w:rPr>
  </w:style>
  <w:style w:type="table" w:styleId="TableGrid">
    <w:name w:val="Table Grid"/>
    <w:basedOn w:val="TableNormal"/>
    <w:uiPriority w:val="59"/>
    <w:rsid w:val="00C2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1">
    <w:name w:val="term1"/>
    <w:rsid w:val="00075B64"/>
    <w:rPr>
      <w:b/>
      <w:bCs/>
    </w:rPr>
  </w:style>
  <w:style w:type="paragraph" w:styleId="Footer">
    <w:name w:val="footer"/>
    <w:basedOn w:val="Normal"/>
    <w:link w:val="FooterChar"/>
    <w:uiPriority w:val="99"/>
    <w:unhideWhenUsed/>
    <w:rsid w:val="006C76D3"/>
    <w:pPr>
      <w:tabs>
        <w:tab w:val="center" w:pos="4320"/>
        <w:tab w:val="right" w:pos="8640"/>
      </w:tabs>
    </w:pPr>
  </w:style>
  <w:style w:type="character" w:customStyle="1" w:styleId="FooterChar">
    <w:name w:val="Footer Char"/>
    <w:link w:val="Footer"/>
    <w:uiPriority w:val="99"/>
    <w:rsid w:val="006C76D3"/>
    <w:rPr>
      <w:rFonts w:ascii="Times New Roman" w:eastAsia="Cambria" w:hAnsi="Times New Roman"/>
      <w:szCs w:val="22"/>
    </w:rPr>
  </w:style>
  <w:style w:type="character" w:styleId="PageNumber">
    <w:name w:val="page number"/>
    <w:basedOn w:val="DefaultParagraphFont"/>
    <w:uiPriority w:val="99"/>
    <w:semiHidden/>
    <w:unhideWhenUsed/>
    <w:rsid w:val="006C76D3"/>
  </w:style>
  <w:style w:type="paragraph" w:styleId="BalloonText">
    <w:name w:val="Balloon Text"/>
    <w:basedOn w:val="Normal"/>
    <w:link w:val="BalloonTextChar"/>
    <w:uiPriority w:val="99"/>
    <w:semiHidden/>
    <w:unhideWhenUsed/>
    <w:rsid w:val="006A6649"/>
    <w:rPr>
      <w:rFonts w:ascii="Tahoma" w:hAnsi="Tahoma" w:cs="Tahoma"/>
      <w:sz w:val="16"/>
      <w:szCs w:val="16"/>
    </w:rPr>
  </w:style>
  <w:style w:type="character" w:customStyle="1" w:styleId="BalloonTextChar">
    <w:name w:val="Balloon Text Char"/>
    <w:link w:val="BalloonText"/>
    <w:uiPriority w:val="99"/>
    <w:semiHidden/>
    <w:rsid w:val="006A6649"/>
    <w:rPr>
      <w:rFonts w:ascii="Tahoma" w:eastAsia="Cambria" w:hAnsi="Tahoma" w:cs="Tahoma"/>
      <w:sz w:val="16"/>
      <w:szCs w:val="16"/>
    </w:rPr>
  </w:style>
  <w:style w:type="paragraph" w:styleId="Header">
    <w:name w:val="header"/>
    <w:basedOn w:val="Normal"/>
    <w:link w:val="HeaderChar"/>
    <w:uiPriority w:val="99"/>
    <w:unhideWhenUsed/>
    <w:rsid w:val="00F5548C"/>
    <w:pPr>
      <w:tabs>
        <w:tab w:val="center" w:pos="4680"/>
        <w:tab w:val="right" w:pos="9360"/>
      </w:tabs>
    </w:pPr>
  </w:style>
  <w:style w:type="character" w:customStyle="1" w:styleId="HeaderChar">
    <w:name w:val="Header Char"/>
    <w:link w:val="Header"/>
    <w:uiPriority w:val="99"/>
    <w:rsid w:val="00F5548C"/>
    <w:rPr>
      <w:rFonts w:ascii="Times New Roman" w:eastAsia="Cambria"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938"/>
    <w:rPr>
      <w:rFonts w:ascii="Times New Roman" w:eastAsia="Cambria"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938"/>
    <w:pPr>
      <w:ind w:left="720"/>
      <w:contextualSpacing/>
    </w:pPr>
  </w:style>
  <w:style w:type="paragraph" w:styleId="FootnoteText">
    <w:name w:val="footnote text"/>
    <w:basedOn w:val="Normal"/>
    <w:link w:val="FootnoteTextChar"/>
    <w:uiPriority w:val="99"/>
    <w:semiHidden/>
    <w:unhideWhenUsed/>
    <w:rsid w:val="00841938"/>
    <w:rPr>
      <w:sz w:val="20"/>
      <w:szCs w:val="20"/>
    </w:rPr>
  </w:style>
  <w:style w:type="character" w:customStyle="1" w:styleId="FootnoteTextChar">
    <w:name w:val="Footnote Text Char"/>
    <w:link w:val="FootnoteText"/>
    <w:uiPriority w:val="99"/>
    <w:semiHidden/>
    <w:rsid w:val="00841938"/>
    <w:rPr>
      <w:rFonts w:ascii="Times New Roman" w:eastAsia="Cambria" w:hAnsi="Times New Roman"/>
      <w:sz w:val="20"/>
      <w:szCs w:val="20"/>
    </w:rPr>
  </w:style>
  <w:style w:type="character" w:styleId="FootnoteReference">
    <w:name w:val="footnote reference"/>
    <w:uiPriority w:val="99"/>
    <w:semiHidden/>
    <w:unhideWhenUsed/>
    <w:rsid w:val="00841938"/>
    <w:rPr>
      <w:vertAlign w:val="superscript"/>
    </w:rPr>
  </w:style>
  <w:style w:type="table" w:styleId="TableGrid">
    <w:name w:val="Table Grid"/>
    <w:basedOn w:val="TableNormal"/>
    <w:uiPriority w:val="59"/>
    <w:rsid w:val="00C2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1">
    <w:name w:val="term1"/>
    <w:rsid w:val="00075B64"/>
    <w:rPr>
      <w:b/>
      <w:bCs/>
    </w:rPr>
  </w:style>
  <w:style w:type="paragraph" w:styleId="Footer">
    <w:name w:val="footer"/>
    <w:basedOn w:val="Normal"/>
    <w:link w:val="FooterChar"/>
    <w:uiPriority w:val="99"/>
    <w:unhideWhenUsed/>
    <w:rsid w:val="006C76D3"/>
    <w:pPr>
      <w:tabs>
        <w:tab w:val="center" w:pos="4320"/>
        <w:tab w:val="right" w:pos="8640"/>
      </w:tabs>
    </w:pPr>
  </w:style>
  <w:style w:type="character" w:customStyle="1" w:styleId="FooterChar">
    <w:name w:val="Footer Char"/>
    <w:link w:val="Footer"/>
    <w:uiPriority w:val="99"/>
    <w:rsid w:val="006C76D3"/>
    <w:rPr>
      <w:rFonts w:ascii="Times New Roman" w:eastAsia="Cambria" w:hAnsi="Times New Roman"/>
      <w:szCs w:val="22"/>
    </w:rPr>
  </w:style>
  <w:style w:type="character" w:styleId="PageNumber">
    <w:name w:val="page number"/>
    <w:basedOn w:val="DefaultParagraphFont"/>
    <w:uiPriority w:val="99"/>
    <w:semiHidden/>
    <w:unhideWhenUsed/>
    <w:rsid w:val="006C76D3"/>
  </w:style>
  <w:style w:type="paragraph" w:styleId="BalloonText">
    <w:name w:val="Balloon Text"/>
    <w:basedOn w:val="Normal"/>
    <w:link w:val="BalloonTextChar"/>
    <w:uiPriority w:val="99"/>
    <w:semiHidden/>
    <w:unhideWhenUsed/>
    <w:rsid w:val="006A6649"/>
    <w:rPr>
      <w:rFonts w:ascii="Tahoma" w:hAnsi="Tahoma" w:cs="Tahoma"/>
      <w:sz w:val="16"/>
      <w:szCs w:val="16"/>
    </w:rPr>
  </w:style>
  <w:style w:type="character" w:customStyle="1" w:styleId="BalloonTextChar">
    <w:name w:val="Balloon Text Char"/>
    <w:link w:val="BalloonText"/>
    <w:uiPriority w:val="99"/>
    <w:semiHidden/>
    <w:rsid w:val="006A6649"/>
    <w:rPr>
      <w:rFonts w:ascii="Tahoma" w:eastAsia="Cambria" w:hAnsi="Tahoma" w:cs="Tahoma"/>
      <w:sz w:val="16"/>
      <w:szCs w:val="16"/>
    </w:rPr>
  </w:style>
  <w:style w:type="paragraph" w:styleId="Header">
    <w:name w:val="header"/>
    <w:basedOn w:val="Normal"/>
    <w:link w:val="HeaderChar"/>
    <w:uiPriority w:val="99"/>
    <w:unhideWhenUsed/>
    <w:rsid w:val="00F5548C"/>
    <w:pPr>
      <w:tabs>
        <w:tab w:val="center" w:pos="4680"/>
        <w:tab w:val="right" w:pos="9360"/>
      </w:tabs>
    </w:pPr>
  </w:style>
  <w:style w:type="character" w:customStyle="1" w:styleId="HeaderChar">
    <w:name w:val="Header Char"/>
    <w:link w:val="Header"/>
    <w:uiPriority w:val="99"/>
    <w:rsid w:val="00F5548C"/>
    <w:rPr>
      <w:rFonts w:ascii="Times New Roman" w:eastAsia="Cambria"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1DFE-A26E-4324-8A32-C1AFA173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2014-12-02T18:10:00Z</dcterms:created>
  <dc:creator>Judith Saint-Amour</dc:creator>
  <lastModifiedBy>ANF</lastModifiedBy>
  <lastPrinted>2014-12-02T16:06:00Z</lastPrinted>
  <dcterms:modified xsi:type="dcterms:W3CDTF">2014-12-02T18:10:00Z</dcterms:modified>
  <revision>2</revision>
</coreProperties>
</file>