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B128" w14:textId="62F9297B" w:rsidR="00DE204F" w:rsidRPr="00DE204F" w:rsidRDefault="00DE204F" w:rsidP="00DE204F">
      <w:pPr>
        <w:pStyle w:val="NoSpacing"/>
        <w:jc w:val="center"/>
        <w:rPr>
          <w:rStyle w:val="Strong"/>
          <w:rFonts w:ascii="Times New Roman" w:eastAsiaTheme="majorEastAsia" w:hAnsi="Times New Roman" w:cs="Times New Roman"/>
          <w:sz w:val="28"/>
          <w:szCs w:val="28"/>
        </w:rPr>
      </w:pPr>
      <w:r w:rsidRPr="00DE204F">
        <w:rPr>
          <w:rStyle w:val="Strong"/>
          <w:rFonts w:ascii="Times New Roman" w:hAnsi="Times New Roman" w:cs="Times New Roman"/>
          <w:sz w:val="28"/>
          <w:szCs w:val="28"/>
        </w:rPr>
        <w:t xml:space="preserve">Oral Testimony </w:t>
      </w:r>
      <w:r w:rsidRPr="00DE204F">
        <w:rPr>
          <w:rStyle w:val="Strong"/>
          <w:rFonts w:ascii="Times New Roman" w:eastAsiaTheme="majorEastAsia" w:hAnsi="Times New Roman" w:cs="Times New Roman"/>
          <w:sz w:val="28"/>
          <w:szCs w:val="28"/>
        </w:rPr>
        <w:t>of Richard T. Moore</w:t>
      </w:r>
    </w:p>
    <w:p w14:paraId="10984991" w14:textId="38C6E972" w:rsidR="00DE204F" w:rsidRPr="00DE204F" w:rsidRDefault="00DE204F" w:rsidP="00DE204F">
      <w:pPr>
        <w:pStyle w:val="NoSpacing"/>
        <w:jc w:val="center"/>
        <w:rPr>
          <w:rStyle w:val="Strong"/>
          <w:rFonts w:ascii="Times New Roman" w:eastAsiaTheme="majorEastAsia" w:hAnsi="Times New Roman" w:cs="Times New Roman"/>
          <w:sz w:val="28"/>
          <w:szCs w:val="28"/>
        </w:rPr>
      </w:pPr>
      <w:r w:rsidRPr="00DE204F">
        <w:rPr>
          <w:rStyle w:val="Strong"/>
          <w:rFonts w:ascii="Times New Roman" w:eastAsiaTheme="majorEastAsia" w:hAnsi="Times New Roman" w:cs="Times New Roman"/>
          <w:sz w:val="28"/>
          <w:szCs w:val="28"/>
        </w:rPr>
        <w:t>Public Hearing on Proposed Amendments to 105 CMR 150.000</w:t>
      </w:r>
    </w:p>
    <w:p w14:paraId="6A30A908" w14:textId="7AA7A88A" w:rsidR="00DE204F" w:rsidRPr="00DE204F" w:rsidRDefault="00DE204F" w:rsidP="00DE204F">
      <w:pPr>
        <w:pStyle w:val="NoSpacing"/>
        <w:jc w:val="center"/>
        <w:rPr>
          <w:rStyle w:val="Strong"/>
          <w:rFonts w:ascii="Times New Roman" w:eastAsiaTheme="majorEastAsia" w:hAnsi="Times New Roman" w:cs="Times New Roman"/>
          <w:sz w:val="28"/>
          <w:szCs w:val="28"/>
        </w:rPr>
      </w:pPr>
      <w:r w:rsidRPr="00DE204F">
        <w:rPr>
          <w:rStyle w:val="Strong"/>
          <w:rFonts w:ascii="Times New Roman" w:eastAsiaTheme="majorEastAsia" w:hAnsi="Times New Roman" w:cs="Times New Roman"/>
          <w:sz w:val="28"/>
          <w:szCs w:val="28"/>
        </w:rPr>
        <w:t>Standards for Lont-Term Care Facilities</w:t>
      </w:r>
    </w:p>
    <w:p w14:paraId="62451974" w14:textId="6D7AFE45" w:rsidR="00DE204F" w:rsidRPr="00DE204F" w:rsidRDefault="00DE204F" w:rsidP="00DE204F">
      <w:pPr>
        <w:pStyle w:val="NoSpacing"/>
        <w:jc w:val="center"/>
        <w:rPr>
          <w:rStyle w:val="Strong"/>
          <w:rFonts w:ascii="Times New Roman" w:eastAsiaTheme="majorEastAsia" w:hAnsi="Times New Roman" w:cs="Times New Roman"/>
          <w:sz w:val="28"/>
          <w:szCs w:val="28"/>
        </w:rPr>
      </w:pPr>
      <w:r w:rsidRPr="00DE204F">
        <w:rPr>
          <w:rStyle w:val="Strong"/>
          <w:rFonts w:ascii="Times New Roman" w:eastAsiaTheme="majorEastAsia" w:hAnsi="Times New Roman" w:cs="Times New Roman"/>
          <w:sz w:val="28"/>
          <w:szCs w:val="28"/>
        </w:rPr>
        <w:t>Department of Public Health</w:t>
      </w:r>
    </w:p>
    <w:p w14:paraId="2C79A9EC" w14:textId="4B08F725" w:rsidR="00DE204F" w:rsidRPr="00DE204F" w:rsidRDefault="00DE204F" w:rsidP="00DE204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E204F">
        <w:rPr>
          <w:rStyle w:val="Strong"/>
          <w:rFonts w:ascii="Times New Roman" w:eastAsiaTheme="majorEastAsia" w:hAnsi="Times New Roman" w:cs="Times New Roman"/>
          <w:sz w:val="28"/>
          <w:szCs w:val="28"/>
        </w:rPr>
        <w:t>February 13, 2026</w:t>
      </w:r>
    </w:p>
    <w:p w14:paraId="4C0C2BBD" w14:textId="608DFE19" w:rsidR="00DE204F" w:rsidRDefault="00DE204F" w:rsidP="00DE204F">
      <w:pPr>
        <w:pStyle w:val="NormalWeb"/>
      </w:pPr>
      <w:r>
        <w:t>.</w:t>
      </w:r>
      <w:r>
        <w:br/>
        <w:t xml:space="preserve">My name is </w:t>
      </w:r>
      <w:r>
        <w:rPr>
          <w:rStyle w:val="Strong"/>
          <w:rFonts w:eastAsiaTheme="majorEastAsia"/>
        </w:rPr>
        <w:t>Richard Moore</w:t>
      </w:r>
      <w:r>
        <w:t xml:space="preserve">. I’m a former Massachusetts State Senator and a long-time advocate for older adults, people with disabilities, and family caregivers. Thank you for the opportunity to comment on the proposed revisions to </w:t>
      </w:r>
      <w:r>
        <w:rPr>
          <w:rStyle w:val="Strong"/>
          <w:rFonts w:eastAsiaTheme="majorEastAsia"/>
        </w:rPr>
        <w:t>105 CMR 150 and 153</w:t>
      </w:r>
      <w:r>
        <w:t>.</w:t>
      </w:r>
    </w:p>
    <w:p w14:paraId="09F6D432" w14:textId="77777777" w:rsidR="00DE204F" w:rsidRDefault="00DE204F" w:rsidP="00DE204F">
      <w:pPr>
        <w:pStyle w:val="NormalWeb"/>
      </w:pPr>
      <w:r>
        <w:t xml:space="preserve">I appreciate the Department’s work to implement </w:t>
      </w:r>
      <w:r>
        <w:rPr>
          <w:rStyle w:val="Strong"/>
          <w:rFonts w:eastAsiaTheme="majorEastAsia"/>
        </w:rPr>
        <w:t>Chapter 197 of the Acts of 2024</w:t>
      </w:r>
      <w:r>
        <w:t xml:space="preserve">. These proposed regulations are an important starting point. But without stronger, enforceable standards—and a clear commitment to rigorous </w:t>
      </w:r>
      <w:proofErr w:type="gramStart"/>
      <w:r>
        <w:t>oversight—</w:t>
      </w:r>
      <w:proofErr w:type="gramEnd"/>
      <w:r>
        <w:t>they will fall short of materially improving resident safety, quality of care, and accountability.</w:t>
      </w:r>
    </w:p>
    <w:p w14:paraId="5D37302B" w14:textId="77777777" w:rsidR="00DE204F" w:rsidRDefault="00DE204F" w:rsidP="00DE204F">
      <w:pPr>
        <w:pStyle w:val="NormalWeb"/>
      </w:pPr>
      <w:r>
        <w:t xml:space="preserve">The Legislature’s intent was clear: Massachusetts must move beyond aspirational language to </w:t>
      </w:r>
      <w:r>
        <w:rPr>
          <w:rStyle w:val="Strong"/>
          <w:rFonts w:eastAsiaTheme="majorEastAsia"/>
        </w:rPr>
        <w:t>measurable, enforceable protections</w:t>
      </w:r>
      <w:r>
        <w:t xml:space="preserve"> for nursing home residents. To meet that mandate, I urge the Department to strengthen the regulations in several </w:t>
      </w:r>
      <w:proofErr w:type="gramStart"/>
      <w:r>
        <w:t>key ways</w:t>
      </w:r>
      <w:proofErr w:type="gramEnd"/>
      <w:r>
        <w:t>.</w:t>
      </w:r>
    </w:p>
    <w:p w14:paraId="293FCFB1" w14:textId="77777777" w:rsidR="00DE204F" w:rsidRDefault="00DE204F" w:rsidP="00DE204F">
      <w:pPr>
        <w:pStyle w:val="NormalWeb"/>
      </w:pPr>
      <w:r>
        <w:t xml:space="preserve">First, </w:t>
      </w:r>
      <w:r>
        <w:rPr>
          <w:rStyle w:val="Strong"/>
          <w:rFonts w:eastAsiaTheme="majorEastAsia"/>
        </w:rPr>
        <w:t>staffing</w:t>
      </w:r>
      <w:r>
        <w:t xml:space="preserve">. Facilities should be required to meet a minimum of </w:t>
      </w:r>
      <w:r>
        <w:rPr>
          <w:rStyle w:val="Strong"/>
          <w:rFonts w:eastAsiaTheme="majorEastAsia"/>
        </w:rPr>
        <w:t>4.1 hours per resident day of direct care</w:t>
      </w:r>
      <w:r>
        <w:t xml:space="preserve">, with </w:t>
      </w:r>
      <w:r>
        <w:rPr>
          <w:rStyle w:val="Strong"/>
          <w:rFonts w:eastAsiaTheme="majorEastAsia"/>
        </w:rPr>
        <w:t>24/7 on-site registered nurse coverage</w:t>
      </w:r>
      <w:r>
        <w:t>. Staffing plans alone are not enough. The regulations must establish a clear floor and require timely payroll-based reporting so DPH can verify compliance. Failure to meet minimum staffing levels should trigger immediate corrective action and escalating enforcement.</w:t>
      </w:r>
    </w:p>
    <w:p w14:paraId="100F8CA0" w14:textId="77777777" w:rsidR="00DE204F" w:rsidRDefault="00DE204F" w:rsidP="00DE204F">
      <w:pPr>
        <w:pStyle w:val="NormalWeb"/>
      </w:pPr>
      <w:r>
        <w:t xml:space="preserve">Second, staffing must be </w:t>
      </w:r>
      <w:r>
        <w:rPr>
          <w:rStyle w:val="Strong"/>
          <w:rFonts w:eastAsiaTheme="majorEastAsia"/>
        </w:rPr>
        <w:t>adequate on all shifts</w:t>
      </w:r>
      <w:r>
        <w:t>. Average staffing numbers often hide chronic understaffing on nights, weekends, and holidays. Facilities should be required to demonstrate sufficient staffing on every shift, using payroll and scheduling records, and real-time staffing information should be publicly available.</w:t>
      </w:r>
    </w:p>
    <w:p w14:paraId="3F928900" w14:textId="77777777" w:rsidR="00DE204F" w:rsidRDefault="00DE204F" w:rsidP="00DE204F">
      <w:pPr>
        <w:pStyle w:val="NormalWeb"/>
      </w:pPr>
      <w:r>
        <w:t xml:space="preserve">Third, </w:t>
      </w:r>
      <w:r>
        <w:rPr>
          <w:rStyle w:val="Strong"/>
          <w:rFonts w:eastAsiaTheme="majorEastAsia"/>
        </w:rPr>
        <w:t>room occupancy matters</w:t>
      </w:r>
      <w:r>
        <w:t xml:space="preserve">. No facility should house more than two unrelated residents per room. Shared rooms require documented roommate matching and resident consent, with regular reassessment. The Department should also incentivize a transition to </w:t>
      </w:r>
      <w:r>
        <w:rPr>
          <w:rStyle w:val="Strong"/>
          <w:rFonts w:eastAsiaTheme="majorEastAsia"/>
        </w:rPr>
        <w:t>single-resident rooms</w:t>
      </w:r>
      <w:r>
        <w:t>, recognizing that room configuration directly affects infection control, safety, dignity, and autonomy.</w:t>
      </w:r>
    </w:p>
    <w:p w14:paraId="739EABA6" w14:textId="77777777" w:rsidR="00DE204F" w:rsidRDefault="00DE204F" w:rsidP="00DE204F">
      <w:pPr>
        <w:pStyle w:val="NormalWeb"/>
      </w:pPr>
      <w:r>
        <w:t xml:space="preserve">Fourth, </w:t>
      </w:r>
      <w:r>
        <w:rPr>
          <w:rStyle w:val="Strong"/>
          <w:rFonts w:eastAsiaTheme="majorEastAsia"/>
        </w:rPr>
        <w:t>accountability</w:t>
      </w:r>
      <w:r>
        <w:t>. Nursing home administrators must be clearly responsible for care quality and safety. Repeated serious deficiencies or sustained noncompliance should allow DPH to require administrator replacement as a condition of continued licensure.</w:t>
      </w:r>
    </w:p>
    <w:p w14:paraId="292BF9AA" w14:textId="77777777" w:rsidR="00DE204F" w:rsidRDefault="00DE204F" w:rsidP="00DE204F">
      <w:pPr>
        <w:pStyle w:val="NormalWeb"/>
      </w:pPr>
      <w:r>
        <w:t xml:space="preserve">Fifth, </w:t>
      </w:r>
      <w:r>
        <w:rPr>
          <w:rStyle w:val="Strong"/>
          <w:rFonts w:eastAsiaTheme="majorEastAsia"/>
        </w:rPr>
        <w:t>medical directors</w:t>
      </w:r>
      <w:r>
        <w:t>. Facilities should publicly disclose who their medical directors are and their qualifications, and medical directors should generally serve only one facility. Diffused responsibility undermines clinical oversight.</w:t>
      </w:r>
    </w:p>
    <w:p w14:paraId="1715BA10" w14:textId="77777777" w:rsidR="00DE204F" w:rsidRDefault="00DE204F" w:rsidP="00DE204F">
      <w:pPr>
        <w:pStyle w:val="NormalWeb"/>
      </w:pPr>
      <w:r>
        <w:t xml:space="preserve">Sixth, every facility should employ a </w:t>
      </w:r>
      <w:r>
        <w:rPr>
          <w:rStyle w:val="Strong"/>
          <w:rFonts w:eastAsiaTheme="majorEastAsia"/>
        </w:rPr>
        <w:t>full-time licensed social worker</w:t>
      </w:r>
      <w:r>
        <w:t>. Social workers are essential to care planning, behavioral health coordination, family communication, and abuse prevention. Current requirements are outdated and inadequate.</w:t>
      </w:r>
    </w:p>
    <w:p w14:paraId="378FC058" w14:textId="77777777" w:rsidR="00DE204F" w:rsidRDefault="00DE204F" w:rsidP="00DE204F">
      <w:pPr>
        <w:pStyle w:val="NormalWeb"/>
      </w:pPr>
      <w:r>
        <w:t xml:space="preserve">Seventh, the Legislature’s expectation that </w:t>
      </w:r>
      <w:r>
        <w:rPr>
          <w:rStyle w:val="Strong"/>
          <w:rFonts w:eastAsiaTheme="majorEastAsia"/>
        </w:rPr>
        <w:t>at least 75 percent of total revenues be dedicated to direct-care staffing</w:t>
      </w:r>
      <w:r>
        <w:t xml:space="preserve"> must be made measurable. Facilities should be required to report revenues and staffing expenditures in a standardized, auditable format so compliance can be verified—not assumed.</w:t>
      </w:r>
    </w:p>
    <w:p w14:paraId="20D2C337" w14:textId="77777777" w:rsidR="00DE204F" w:rsidRDefault="00DE204F" w:rsidP="00DE204F">
      <w:pPr>
        <w:pStyle w:val="NormalWeb"/>
      </w:pPr>
      <w:r>
        <w:t xml:space="preserve">I also want to address the industry’s predictable claim that these standards are unaffordable. The Commonwealth’s own data </w:t>
      </w:r>
      <w:proofErr w:type="gramStart"/>
      <w:r>
        <w:t>show</w:t>
      </w:r>
      <w:proofErr w:type="gramEnd"/>
      <w:r>
        <w:t xml:space="preserve"> otherwise. Public funding has increased while resident census has remained largely flat, expense growth has been modest, and many facilities report positive margins and non-patient revenue. When related-party payments are constrained to market rates and public dollars are prioritized for care, these reforms are affordable. The real question is whether we value </w:t>
      </w:r>
      <w:r>
        <w:rPr>
          <w:rStyle w:val="Strong"/>
          <w:rFonts w:eastAsiaTheme="majorEastAsia"/>
        </w:rPr>
        <w:t>people over profits</w:t>
      </w:r>
      <w:r>
        <w:t>.</w:t>
      </w:r>
    </w:p>
    <w:p w14:paraId="5097E740" w14:textId="77777777" w:rsidR="00DE204F" w:rsidRDefault="00DE204F" w:rsidP="00DE204F">
      <w:pPr>
        <w:pStyle w:val="NormalWeb"/>
      </w:pPr>
      <w:r>
        <w:t xml:space="preserve">Finally, none of this will matter without </w:t>
      </w:r>
      <w:r>
        <w:rPr>
          <w:rStyle w:val="Strong"/>
          <w:rFonts w:eastAsiaTheme="majorEastAsia"/>
        </w:rPr>
        <w:t>strong enforcement</w:t>
      </w:r>
      <w:r>
        <w:t>. Regulations without timely surveys, meaningful follow-up, and sufficient staffing at DPH will not protect residents. The Administration and Legislature must ensure DPH has the resources it needs to enforce these rules effectively.</w:t>
      </w:r>
    </w:p>
    <w:p w14:paraId="6E8F6D05" w14:textId="77777777" w:rsidR="00DE204F" w:rsidRDefault="00DE204F" w:rsidP="00DE204F">
      <w:pPr>
        <w:pStyle w:val="NormalWeb"/>
      </w:pPr>
      <w:r>
        <w:t>In closing, these proposed regulations are a step forward—but real reform requires enforceable staffing standards, transparent accountability, measurable financial commitments to direct care, and vigorous enforcement. Residents and families deserve a system that works in practice, not just on paper.</w:t>
      </w:r>
    </w:p>
    <w:p w14:paraId="0F5652CE" w14:textId="77777777" w:rsidR="00DE204F" w:rsidRDefault="00DE204F" w:rsidP="00DE204F">
      <w:pPr>
        <w:pStyle w:val="NormalWeb"/>
      </w:pPr>
      <w:r>
        <w:t>Thank you for the opportunity to testify, and I urge the Department to strengthen these regulations accordingly.</w:t>
      </w:r>
    </w:p>
    <w:p w14:paraId="255380BB" w14:textId="20E2C54C" w:rsidR="00941CB7" w:rsidRDefault="00941CB7" w:rsidP="00DE204F">
      <w:pPr>
        <w:pStyle w:val="NormalWeb"/>
      </w:pPr>
      <w:r>
        <w:t>Richard T. Moore</w:t>
      </w:r>
    </w:p>
    <w:p w14:paraId="3E5949EF" w14:textId="7FD66DB3" w:rsidR="00941CB7" w:rsidRPr="00941CB7" w:rsidRDefault="00941CB7" w:rsidP="00941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1CB7">
        <w:rPr>
          <w:rFonts w:ascii="Times New Roman" w:hAnsi="Times New Roman" w:cs="Times New Roman"/>
          <w:sz w:val="24"/>
          <w:szCs w:val="24"/>
        </w:rPr>
        <w:t>235 Williams Street</w:t>
      </w:r>
    </w:p>
    <w:p w14:paraId="5F97C001" w14:textId="43DAAE89" w:rsidR="00941CB7" w:rsidRPr="00941CB7" w:rsidRDefault="00941CB7" w:rsidP="00941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1CB7">
        <w:rPr>
          <w:rFonts w:ascii="Times New Roman" w:hAnsi="Times New Roman" w:cs="Times New Roman"/>
          <w:sz w:val="24"/>
          <w:szCs w:val="24"/>
        </w:rPr>
        <w:t>Uxbridge, MA 01569</w:t>
      </w:r>
    </w:p>
    <w:p w14:paraId="75B08EE5" w14:textId="283A8FA7" w:rsidR="00941CB7" w:rsidRPr="00941CB7" w:rsidRDefault="00941CB7" w:rsidP="00941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1CB7">
        <w:rPr>
          <w:rFonts w:ascii="Times New Roman" w:hAnsi="Times New Roman" w:cs="Times New Roman"/>
          <w:sz w:val="24"/>
          <w:szCs w:val="24"/>
        </w:rPr>
        <w:t>(617) 413-7734</w:t>
      </w:r>
    </w:p>
    <w:p w14:paraId="1509E971" w14:textId="08FDCA13" w:rsidR="00941CB7" w:rsidRPr="00941CB7" w:rsidRDefault="00941CB7" w:rsidP="00941C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41CB7">
        <w:rPr>
          <w:rFonts w:ascii="Times New Roman" w:hAnsi="Times New Roman" w:cs="Times New Roman"/>
          <w:sz w:val="24"/>
          <w:szCs w:val="24"/>
        </w:rPr>
        <w:t>Dickmoore1943@gmail.com</w:t>
      </w:r>
    </w:p>
    <w:p w14:paraId="3AB4900A" w14:textId="77777777" w:rsidR="00EB2265" w:rsidRDefault="00EB2265"/>
    <w:sectPr w:rsidR="00EB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4F"/>
    <w:rsid w:val="002F07B5"/>
    <w:rsid w:val="00515378"/>
    <w:rsid w:val="007A540D"/>
    <w:rsid w:val="00941CB7"/>
    <w:rsid w:val="00B85DDE"/>
    <w:rsid w:val="00D761E4"/>
    <w:rsid w:val="00DE204F"/>
    <w:rsid w:val="00EB2265"/>
    <w:rsid w:val="00F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13CC"/>
  <w15:chartTrackingRefBased/>
  <w15:docId w15:val="{1F2C0B82-0A7E-4471-ABCA-366E244A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E204F"/>
    <w:rPr>
      <w:b/>
      <w:bCs/>
    </w:rPr>
  </w:style>
  <w:style w:type="paragraph" w:styleId="NoSpacing">
    <w:name w:val="No Spacing"/>
    <w:uiPriority w:val="1"/>
    <w:qFormat/>
    <w:rsid w:val="00DE2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Richard</dc:creator>
  <cp:keywords/>
  <dc:description/>
  <cp:lastModifiedBy>Moore Richard</cp:lastModifiedBy>
  <cp:revision>2</cp:revision>
  <dcterms:created xsi:type="dcterms:W3CDTF">2026-02-07T13:42:00Z</dcterms:created>
  <dcterms:modified xsi:type="dcterms:W3CDTF">2026-02-07T13:49:00Z</dcterms:modified>
</cp:coreProperties>
</file>