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2A687E"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6C4632" w:rsidP="00C424AE">
                            <w:pPr>
                              <w:jc w:val="center"/>
                              <w:rPr>
                                <w:b/>
                                <w:bCs/>
                                <w:sz w:val="28"/>
                              </w:rPr>
                            </w:pPr>
                            <w:r>
                              <w:rPr>
                                <w:b/>
                                <w:bCs/>
                                <w:sz w:val="28"/>
                              </w:rPr>
                              <w:t>Richer Elementary School</w:t>
                            </w:r>
                          </w:p>
                          <w:p w:rsidR="006C4632" w:rsidRDefault="006C4632" w:rsidP="00C424AE">
                            <w:pPr>
                              <w:jc w:val="center"/>
                              <w:rPr>
                                <w:b/>
                                <w:bCs/>
                                <w:sz w:val="28"/>
                              </w:rPr>
                            </w:pPr>
                            <w:r w:rsidRPr="006C4632">
                              <w:rPr>
                                <w:b/>
                                <w:bCs/>
                                <w:sz w:val="28"/>
                              </w:rPr>
                              <w:t>80 Foley R</w:t>
                            </w:r>
                            <w:r>
                              <w:rPr>
                                <w:b/>
                                <w:bCs/>
                                <w:sz w:val="28"/>
                              </w:rPr>
                              <w:t>oad</w:t>
                            </w:r>
                          </w:p>
                          <w:p w:rsidR="00C424AE" w:rsidRPr="00705149" w:rsidRDefault="006C4632" w:rsidP="00C424AE">
                            <w:pPr>
                              <w:jc w:val="center"/>
                              <w:rPr>
                                <w:b/>
                                <w:bCs/>
                                <w:sz w:val="28"/>
                              </w:rPr>
                            </w:pPr>
                            <w:r w:rsidRPr="006C4632">
                              <w:rPr>
                                <w:b/>
                                <w:bCs/>
                                <w:sz w:val="28"/>
                              </w:rPr>
                              <w:t>Marlborough</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2A687E" w:rsidP="00C424AE">
                            <w:pPr>
                              <w:jc w:val="center"/>
                              <w:rPr>
                                <w:b/>
                              </w:rPr>
                            </w:pPr>
                            <w:bookmarkStart w:id="0" w:name="_GoBack"/>
                            <w:r>
                              <w:rPr>
                                <w:noProof/>
                              </w:rPr>
                              <w:drawing>
                                <wp:inline distT="0" distB="0" distL="0" distR="0">
                                  <wp:extent cx="4419600" cy="3383280"/>
                                  <wp:effectExtent l="0" t="0" r="0" b="0"/>
                                  <wp:docPr id="2" name="Picture 1" descr="Richer Elementary School&#10;80 Foley Road&#10;Marlborough,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er Elementary School&#10;80 Foley Road&#10;Marlborough, Massachusetts&#10;"/>
                                          <pic:cNvPicPr>
                                            <a:picLocks noChangeAspect="1" noChangeArrowheads="1"/>
                                          </pic:cNvPicPr>
                                        </pic:nvPicPr>
                                        <pic:blipFill>
                                          <a:blip r:embed="rId9" cstate="email">
                                            <a:lum bright="12000"/>
                                            <a:extLst>
                                              <a:ext uri="{28A0092B-C50C-407E-A947-70E740481C1C}">
                                                <a14:useLocalDpi xmlns:a14="http://schemas.microsoft.com/office/drawing/2010/main"/>
                                              </a:ext>
                                            </a:extLst>
                                          </a:blip>
                                          <a:srcRect/>
                                          <a:stretch>
                                            <a:fillRect/>
                                          </a:stretch>
                                        </pic:blipFill>
                                        <pic:spPr bwMode="auto">
                                          <a:xfrm>
                                            <a:off x="0" y="0"/>
                                            <a:ext cx="4419600" cy="3383280"/>
                                          </a:xfrm>
                                          <a:prstGeom prst="rect">
                                            <a:avLst/>
                                          </a:prstGeom>
                                          <a:noFill/>
                                          <a:ln>
                                            <a:noFill/>
                                          </a:ln>
                                        </pic:spPr>
                                      </pic:pic>
                                    </a:graphicData>
                                  </a:graphic>
                                </wp:inline>
                              </w:drawing>
                            </w:r>
                            <w:bookmarkEnd w:id="0"/>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8445B" w:rsidP="00DB51C0">
                            <w:pPr>
                              <w:jc w:val="center"/>
                            </w:pPr>
                            <w:r>
                              <w:t>March</w:t>
                            </w:r>
                            <w:r w:rsidR="001E3DD3">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6C4632" w:rsidP="00C424AE">
                      <w:pPr>
                        <w:jc w:val="center"/>
                        <w:rPr>
                          <w:b/>
                          <w:bCs/>
                          <w:sz w:val="28"/>
                        </w:rPr>
                      </w:pPr>
                      <w:r>
                        <w:rPr>
                          <w:b/>
                          <w:bCs/>
                          <w:sz w:val="28"/>
                        </w:rPr>
                        <w:t>Richer Elementary School</w:t>
                      </w:r>
                    </w:p>
                    <w:p w:rsidR="006C4632" w:rsidRDefault="006C4632" w:rsidP="00C424AE">
                      <w:pPr>
                        <w:jc w:val="center"/>
                        <w:rPr>
                          <w:b/>
                          <w:bCs/>
                          <w:sz w:val="28"/>
                        </w:rPr>
                      </w:pPr>
                      <w:r w:rsidRPr="006C4632">
                        <w:rPr>
                          <w:b/>
                          <w:bCs/>
                          <w:sz w:val="28"/>
                        </w:rPr>
                        <w:t>80 Foley R</w:t>
                      </w:r>
                      <w:r>
                        <w:rPr>
                          <w:b/>
                          <w:bCs/>
                          <w:sz w:val="28"/>
                        </w:rPr>
                        <w:t>oad</w:t>
                      </w:r>
                    </w:p>
                    <w:p w:rsidR="00C424AE" w:rsidRPr="00705149" w:rsidRDefault="006C4632" w:rsidP="00C424AE">
                      <w:pPr>
                        <w:jc w:val="center"/>
                        <w:rPr>
                          <w:b/>
                          <w:bCs/>
                          <w:sz w:val="28"/>
                        </w:rPr>
                      </w:pPr>
                      <w:r w:rsidRPr="006C4632">
                        <w:rPr>
                          <w:b/>
                          <w:bCs/>
                          <w:sz w:val="28"/>
                        </w:rPr>
                        <w:t>Marlborough</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2A687E" w:rsidP="00C424AE">
                      <w:pPr>
                        <w:jc w:val="center"/>
                        <w:rPr>
                          <w:b/>
                        </w:rPr>
                      </w:pPr>
                      <w:bookmarkStart w:id="1" w:name="_GoBack"/>
                      <w:r>
                        <w:rPr>
                          <w:noProof/>
                        </w:rPr>
                        <w:drawing>
                          <wp:inline distT="0" distB="0" distL="0" distR="0">
                            <wp:extent cx="4419600" cy="3383280"/>
                            <wp:effectExtent l="0" t="0" r="0" b="0"/>
                            <wp:docPr id="2" name="Picture 1" descr="Richer Elementary School&#10;80 Foley Road&#10;Marlborough,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er Elementary School&#10;80 Foley Road&#10;Marlborough, Massachusetts&#10;"/>
                                    <pic:cNvPicPr>
                                      <a:picLocks noChangeAspect="1" noChangeArrowheads="1"/>
                                    </pic:cNvPicPr>
                                  </pic:nvPicPr>
                                  <pic:blipFill>
                                    <a:blip r:embed="rId9" cstate="email">
                                      <a:lum bright="12000"/>
                                      <a:extLst>
                                        <a:ext uri="{28A0092B-C50C-407E-A947-70E740481C1C}">
                                          <a14:useLocalDpi xmlns:a14="http://schemas.microsoft.com/office/drawing/2010/main"/>
                                        </a:ext>
                                      </a:extLst>
                                    </a:blip>
                                    <a:srcRect/>
                                    <a:stretch>
                                      <a:fillRect/>
                                    </a:stretch>
                                  </pic:blipFill>
                                  <pic:spPr bwMode="auto">
                                    <a:xfrm>
                                      <a:off x="0" y="0"/>
                                      <a:ext cx="4419600" cy="3383280"/>
                                    </a:xfrm>
                                    <a:prstGeom prst="rect">
                                      <a:avLst/>
                                    </a:prstGeom>
                                    <a:noFill/>
                                    <a:ln>
                                      <a:noFill/>
                                    </a:ln>
                                  </pic:spPr>
                                </pic:pic>
                              </a:graphicData>
                            </a:graphic>
                          </wp:inline>
                        </w:drawing>
                      </w:r>
                      <w:bookmarkEnd w:id="1"/>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8445B" w:rsidP="00DB51C0">
                      <w:pPr>
                        <w:jc w:val="center"/>
                      </w:pPr>
                      <w:r>
                        <w:t>March</w:t>
                      </w:r>
                      <w:r w:rsidR="001E3DD3">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C03E20" w:rsidP="00C03E20">
            <w:pPr>
              <w:tabs>
                <w:tab w:val="left" w:pos="1485"/>
              </w:tabs>
              <w:rPr>
                <w:bCs/>
              </w:rPr>
            </w:pPr>
            <w:r>
              <w:rPr>
                <w:bCs/>
              </w:rPr>
              <w:t>Richer Elementary School (RES)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C03E20" w:rsidP="00C03E20">
            <w:pPr>
              <w:pStyle w:val="StaffTitleHangingIndent"/>
            </w:pPr>
            <w:r>
              <w:t>80 Foley Road</w:t>
            </w:r>
            <w:r w:rsidR="005601C5" w:rsidRPr="005601C5">
              <w:t xml:space="preserve">, </w:t>
            </w:r>
            <w:r>
              <w:t xml:space="preserve">Marlborough, </w:t>
            </w:r>
            <w:r w:rsidR="005601C5" w:rsidRPr="005601C5">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C03E20" w:rsidP="00B9470B">
            <w:pPr>
              <w:pStyle w:val="StaffTitleHangingIndent"/>
            </w:pPr>
            <w:r>
              <w:t>Marlborough Public School Department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C03E20" w:rsidP="00C03E20">
            <w:pPr>
              <w:tabs>
                <w:tab w:val="left" w:pos="1485"/>
              </w:tabs>
              <w:rPr>
                <w:bCs/>
              </w:rPr>
            </w:pPr>
            <w:r>
              <w:rPr>
                <w:bCs/>
              </w:rPr>
              <w:t xml:space="preserve">General indoor air quality (IAQ) and mold concerns </w:t>
            </w:r>
            <w:r w:rsidR="00F8445B">
              <w:rPr>
                <w:bCs/>
              </w:rPr>
              <w:t>in below-</w:t>
            </w:r>
            <w:r w:rsidR="001674E3">
              <w:rPr>
                <w:bCs/>
              </w:rPr>
              <w:t>grade classrooms 113A, 113B, 115A and 115B.</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C03E20" w:rsidP="00271743">
            <w:pPr>
              <w:tabs>
                <w:tab w:val="left" w:pos="1485"/>
              </w:tabs>
              <w:rPr>
                <w:bCs/>
              </w:rPr>
            </w:pPr>
            <w:r>
              <w:rPr>
                <w:bCs/>
              </w:rPr>
              <w:t>February 10, 2017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C03E20" w:rsidP="00F0449B">
            <w:pPr>
              <w:pStyle w:val="StaffTitleHangingIndent"/>
              <w:rPr>
                <w:bCs/>
              </w:rPr>
            </w:pPr>
            <w:r>
              <w:rPr>
                <w:bCs/>
              </w:rPr>
              <w:t>Mike Feeney, Director</w:t>
            </w:r>
            <w:r w:rsidR="00E23ED1">
              <w:rPr>
                <w:bCs/>
              </w:rPr>
              <w:t>,</w:t>
            </w:r>
            <w:r w:rsidR="00A53180">
              <w:rPr>
                <w:bCs/>
              </w:rPr>
              <w:t xml:space="preserve"> </w:t>
            </w:r>
            <w:r w:rsidR="00F0449B">
              <w:rPr>
                <w:bCs/>
              </w:rPr>
              <w:t>Indoor Air Quality</w:t>
            </w:r>
            <w:r w:rsidR="00966B98">
              <w:rPr>
                <w:bCs/>
              </w:rPr>
              <w:t xml:space="preserve"> </w:t>
            </w:r>
            <w:r w:rsidR="00B9470B">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506D67" w:rsidP="00506D67">
            <w:pPr>
              <w:pStyle w:val="StaffTitleHangingIndent"/>
              <w:rPr>
                <w:bCs/>
              </w:rPr>
            </w:pPr>
            <w:r w:rsidRPr="0079323A">
              <w:t>The original RES was constructed in the mid-1960s. A six c</w:t>
            </w:r>
            <w:r>
              <w:t>lassroom single-story addition</w:t>
            </w:r>
            <w:r w:rsidRPr="0079323A">
              <w:t xml:space="preserve"> was built in 1994. A </w:t>
            </w:r>
            <w:r>
              <w:t>two-</w:t>
            </w:r>
            <w:r w:rsidRPr="0079323A">
              <w:t>story addition that houses the elevator and lobby was constructed in the early 2000’s.</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506D67" w:rsidP="00506D67">
            <w:pPr>
              <w:tabs>
                <w:tab w:val="left" w:pos="1485"/>
              </w:tabs>
              <w:rPr>
                <w:bCs/>
                <w:highlight w:val="yellow"/>
              </w:rPr>
            </w:pPr>
            <w:r>
              <w:t>The school houses approximately 585 students in grades K through 4 and approximately 130</w:t>
            </w:r>
            <w:r w:rsidR="00086DC4">
              <w:t xml:space="preserve"> staff</w:t>
            </w:r>
            <w: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506D67" w:rsidP="00506D67">
            <w:pPr>
              <w:tabs>
                <w:tab w:val="left" w:pos="1485"/>
              </w:tabs>
              <w:rPr>
                <w:bCs/>
              </w:rPr>
            </w:pPr>
            <w:r>
              <w:rPr>
                <w:bCs/>
              </w:rPr>
              <w:t>O</w:t>
            </w:r>
            <w:r w:rsidR="0073731E">
              <w:rPr>
                <w:bCs/>
              </w:rPr>
              <w:t>penable</w:t>
            </w:r>
            <w:r w:rsidR="00863A05">
              <w:rPr>
                <w:bCs/>
              </w:rPr>
              <w:t xml:space="preserve"> </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1674E3">
        <w:t xml:space="preserve">below </w:t>
      </w:r>
      <w:r w:rsidR="0085418C" w:rsidRPr="00C4264C">
        <w:t xml:space="preserve">800 parts per million (ppm) </w:t>
      </w:r>
      <w:r w:rsidR="00C75B43">
        <w:t xml:space="preserve">in </w:t>
      </w:r>
      <w:r w:rsidR="001674E3">
        <w:t>three out of four a</w:t>
      </w:r>
      <w:r w:rsidR="0073731E">
        <w:t xml:space="preserve">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1674E3">
        <w:t xml:space="preserve">within </w:t>
      </w:r>
      <w:r w:rsidR="00991847">
        <w:t xml:space="preserve">the recommended </w:t>
      </w:r>
      <w:r w:rsidRPr="009F6242">
        <w:t>range of 70°F to 78°F</w:t>
      </w:r>
      <w:r>
        <w:t xml:space="preserve"> in </w:t>
      </w:r>
      <w:r w:rsidR="001674E3">
        <w:t>all</w:t>
      </w:r>
      <w:r w:rsidR="005D2230">
        <w:t xml:space="preserve"> </w:t>
      </w:r>
      <w:r w:rsidR="00C424AE">
        <w:t>area</w:t>
      </w:r>
      <w:r w:rsidR="00506D67">
        <w:t>s</w:t>
      </w:r>
      <w:r w:rsidR="00C424AE">
        <w:t xml:space="preserve"> assessed</w:t>
      </w:r>
      <w:r w:rsidR="005D2230">
        <w:t>.</w:t>
      </w:r>
    </w:p>
    <w:p w:rsidR="00991847" w:rsidRPr="00DB51C0" w:rsidRDefault="00DB51C0" w:rsidP="007154D5">
      <w:pPr>
        <w:pStyle w:val="BodyText"/>
        <w:numPr>
          <w:ilvl w:val="0"/>
          <w:numId w:val="17"/>
        </w:numPr>
        <w:rPr>
          <w:b/>
          <w:bCs/>
        </w:rPr>
      </w:pPr>
      <w:r>
        <w:rPr>
          <w:b/>
          <w:i/>
        </w:rPr>
        <w:lastRenderedPageBreak/>
        <w:t>Relative h</w:t>
      </w:r>
      <w:r w:rsidR="00991847" w:rsidRPr="00DB51C0">
        <w:rPr>
          <w:b/>
          <w:i/>
        </w:rPr>
        <w:t>umidity</w:t>
      </w:r>
      <w:r w:rsidR="00991847">
        <w:t xml:space="preserve"> was </w:t>
      </w:r>
      <w:r w:rsidR="001674E3">
        <w:t xml:space="preserve">below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C424AE"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A646CB" w:rsidRPr="00A646CB" w:rsidRDefault="00CA5013" w:rsidP="00A646CB">
      <w:pPr>
        <w:pStyle w:val="BodyText"/>
        <w:numPr>
          <w:ilvl w:val="0"/>
          <w:numId w:val="18"/>
        </w:numPr>
        <w:rPr>
          <w:b/>
          <w:bCs/>
        </w:rPr>
      </w:pPr>
      <w:r w:rsidRPr="00E07353">
        <w:rPr>
          <w:b/>
          <w:i/>
        </w:rPr>
        <w:t xml:space="preserve">Fine particulate matter (PM2.5) </w:t>
      </w:r>
      <w:r w:rsidRPr="00E07353">
        <w:t xml:space="preserve">concentrations measured were </w:t>
      </w:r>
      <w:r w:rsidR="001674E3">
        <w:t>below</w:t>
      </w:r>
      <w:r w:rsidRPr="00E07353">
        <w:t xml:space="preserve"> the National Ambient Air Quality Standard (NAAQS) level of 35 </w:t>
      </w:r>
      <w:r>
        <w:t>micrograms per cubic meter (</w:t>
      </w:r>
      <w:r w:rsidRPr="00E07353">
        <w:t>μg/m</w:t>
      </w:r>
      <w:r w:rsidRPr="00E07353">
        <w:rPr>
          <w:vertAlign w:val="superscript"/>
        </w:rPr>
        <w:t>3</w:t>
      </w:r>
      <w:r>
        <w:t xml:space="preserve">) </w:t>
      </w:r>
      <w:r w:rsidRPr="00E07353">
        <w:t xml:space="preserve">in </w:t>
      </w:r>
      <w:r>
        <w:t>all areas assessed</w:t>
      </w:r>
      <w:r w:rsidRPr="00E07353">
        <w:t>.</w:t>
      </w:r>
    </w:p>
    <w:p w:rsidR="00A646CB" w:rsidRDefault="00A646CB" w:rsidP="00A646CB">
      <w:pPr>
        <w:pStyle w:val="BodyText"/>
        <w:ind w:firstLine="0"/>
        <w:rPr>
          <w:b/>
          <w:i/>
        </w:rPr>
      </w:pPr>
    </w:p>
    <w:p w:rsidR="00A646CB" w:rsidRDefault="009F6242" w:rsidP="00A646CB">
      <w:pPr>
        <w:pStyle w:val="BodyText"/>
        <w:ind w:firstLine="0"/>
        <w:rPr>
          <w:b/>
        </w:rPr>
      </w:pPr>
      <w:r w:rsidRPr="00A646CB">
        <w:rPr>
          <w:b/>
        </w:rPr>
        <w:t>Ventilation</w:t>
      </w:r>
    </w:p>
    <w:p w:rsidR="00A646CB" w:rsidRDefault="001674E3" w:rsidP="00A646CB">
      <w:pPr>
        <w:pStyle w:val="BodyText"/>
      </w:pPr>
      <w:r w:rsidRPr="001674E3">
        <w:t>Fresh air in original building classrooms is supplied</w:t>
      </w:r>
      <w:r w:rsidR="00D26E19">
        <w:t xml:space="preserve"> by unit ventilators (univents). </w:t>
      </w:r>
      <w:r w:rsidRPr="001674E3">
        <w:t>A univent is designed to draw air from outdoors through a fresh air intake located on the exterior wall of the building.</w:t>
      </w:r>
      <w:r w:rsidR="00D26E19">
        <w:t xml:space="preserve"> </w:t>
      </w:r>
      <w:r w:rsidRPr="001674E3">
        <w:t>Return air is drawn through an air intake located at the base of each unit where fresh and return air are mixed, filtered, heated or cooled and provided to classrooms through an air diffuser located in the top of the unit (Figure 1).</w:t>
      </w:r>
    </w:p>
    <w:p w:rsidR="0091789B" w:rsidRPr="0091789B" w:rsidRDefault="00A20966" w:rsidP="0091789B">
      <w:pPr>
        <w:pStyle w:val="BodyText1"/>
      </w:pPr>
      <w:r w:rsidRPr="0091789B">
        <w:t>Rooms 113A, 113B, 115B and the adjoining restroom appear to have been one open room when originally built.</w:t>
      </w:r>
      <w:r w:rsidR="00D26E19" w:rsidRPr="0091789B">
        <w:t xml:space="preserve"> </w:t>
      </w:r>
      <w:r w:rsidRPr="0091789B">
        <w:t>Subsequently, the room was subdivided by the addition of an interior wall to separate Room 113A from Room 113B.</w:t>
      </w:r>
      <w:r w:rsidR="00D26E19" w:rsidRPr="0091789B">
        <w:t xml:space="preserve"> </w:t>
      </w:r>
      <w:r w:rsidRPr="0091789B">
        <w:t xml:space="preserve">Room 113B </w:t>
      </w:r>
      <w:r w:rsidR="009E6EA1" w:rsidRPr="0091789B">
        <w:t>is part of a</w:t>
      </w:r>
      <w:r w:rsidR="00D26E19" w:rsidRPr="0091789B">
        <w:t xml:space="preserve"> suite</w:t>
      </w:r>
      <w:r w:rsidR="009E6EA1" w:rsidRPr="0091789B">
        <w:t xml:space="preserve"> with </w:t>
      </w:r>
      <w:r w:rsidRPr="0091789B">
        <w:t>Room</w:t>
      </w:r>
      <w:r w:rsidR="00407663">
        <w:t xml:space="preserve"> </w:t>
      </w:r>
      <w:r w:rsidRPr="0091789B">
        <w:t>115B and a restroom.</w:t>
      </w:r>
      <w:r w:rsidR="00D26E19" w:rsidRPr="0091789B">
        <w:t xml:space="preserve"> </w:t>
      </w:r>
      <w:r w:rsidRPr="0091789B">
        <w:t>The univent that originally provided fresh air for the open room</w:t>
      </w:r>
      <w:r w:rsidR="00D26E19" w:rsidRPr="0091789B">
        <w:t xml:space="preserve"> is</w:t>
      </w:r>
      <w:r w:rsidR="009E6EA1" w:rsidRPr="0091789B">
        <w:t xml:space="preserve"> now</w:t>
      </w:r>
      <w:r w:rsidR="00D26E19" w:rsidRPr="0091789B">
        <w:t xml:space="preserve"> divided by </w:t>
      </w:r>
      <w:r w:rsidR="009E6EA1" w:rsidRPr="0091789B">
        <w:t>the</w:t>
      </w:r>
      <w:r w:rsidR="00D26E19" w:rsidRPr="0091789B">
        <w:t xml:space="preserve"> wall</w:t>
      </w:r>
      <w:r w:rsidRPr="0091789B">
        <w:t>.</w:t>
      </w:r>
      <w:r w:rsidR="00D26E19" w:rsidRPr="0091789B">
        <w:t xml:space="preserve"> </w:t>
      </w:r>
      <w:r w:rsidRPr="0091789B">
        <w:t>This configuration directs heat and airflow into the dividing wall, which may aerosolize dust and debris inside the wall.</w:t>
      </w:r>
      <w:r w:rsidR="00D26E19" w:rsidRPr="0091789B">
        <w:t xml:space="preserve"> </w:t>
      </w:r>
      <w:r w:rsidRPr="0091789B">
        <w:t>Room 115B has a wall-mounted radiator and an exhaust vent.</w:t>
      </w:r>
      <w:r w:rsidR="00D26E19" w:rsidRPr="0091789B">
        <w:t xml:space="preserve"> </w:t>
      </w:r>
      <w:r w:rsidR="0091789B" w:rsidRPr="0091789B">
        <w:t xml:space="preserve">Exhaust ventilation in classrooms in the original building is provided by vents located in the ceilings of coat closets. Room 113A was separated from its </w:t>
      </w:r>
      <w:r w:rsidR="0091789B">
        <w:t>exhaust vent by the previously-</w:t>
      </w:r>
      <w:r w:rsidR="0091789B" w:rsidRPr="0091789B">
        <w:t>mentioned dividing wall. Rooms 113B, 115B and the restroom all have exhaust vents. Room 115A has neither fresh air supply or exhaust ventilation.</w:t>
      </w:r>
    </w:p>
    <w:p w:rsidR="001674E3" w:rsidRPr="001674E3" w:rsidRDefault="00A20966" w:rsidP="0091789B">
      <w:pPr>
        <w:pStyle w:val="BodyText1"/>
      </w:pPr>
      <w:r w:rsidRPr="0091789B">
        <w:t>It is important to n</w:t>
      </w:r>
      <w:r w:rsidR="001674E3" w:rsidRPr="0091789B">
        <w:t>ote that the univents in this school are original equipment</w:t>
      </w:r>
      <w:r w:rsidR="001674E3" w:rsidRPr="001674E3">
        <w:t>, approximately 45-50 years old.</w:t>
      </w:r>
      <w:r w:rsidR="00D26E19">
        <w:t xml:space="preserve"> </w:t>
      </w:r>
      <w:r w:rsidR="001674E3" w:rsidRPr="001674E3">
        <w:t>Function of equipment of this age is difficult to maintain, since compatible replacement parts are often unavailable.</w:t>
      </w:r>
      <w:r w:rsidR="00D26E19">
        <w:t xml:space="preserve"> </w:t>
      </w:r>
      <w:r w:rsidR="001674E3" w:rsidRPr="001674E3">
        <w:t>According to the American Society of Heating, Refrigeration and Air-Conditioning Engineers (ASHRAE), the service life</w:t>
      </w:r>
      <w:r w:rsidR="00D26E19">
        <w:t xml:space="preserve"> </w:t>
      </w:r>
      <w:r w:rsidR="001674E3" w:rsidRPr="001674E3">
        <w:t>for a unit heater, hot water or steam</w:t>
      </w:r>
      <w:r w:rsidR="0091789B">
        <w:t>,</w:t>
      </w:r>
      <w:r w:rsidR="001674E3" w:rsidRPr="001674E3">
        <w:t xml:space="preserve"> is 20 years, assuming routine maintenance of the equipment (ASHRAE, 1991).</w:t>
      </w:r>
      <w:r w:rsidR="00D26E19">
        <w:t xml:space="preserve"> </w:t>
      </w:r>
      <w:r w:rsidR="001674E3" w:rsidRPr="001674E3">
        <w:t>Despite attempts to maintain the univents, the operational lifespan of the equipment has been exceeded.</w:t>
      </w:r>
      <w:r w:rsidR="00D26E19">
        <w:t xml:space="preserve"> </w:t>
      </w:r>
      <w:r w:rsidR="001674E3" w:rsidRPr="001674E3">
        <w:t xml:space="preserve">Maintaining the balance of fresh air to exhaust air will become </w:t>
      </w:r>
      <w:r w:rsidR="001674E3" w:rsidRPr="001674E3">
        <w:lastRenderedPageBreak/>
        <w:t>more difficult as the equipment ages and as replacement parts become increasingly difficult to obtain.</w:t>
      </w:r>
    </w:p>
    <w:p w:rsidR="007A4F64" w:rsidRPr="007A4F64" w:rsidRDefault="007A4F64" w:rsidP="00A646CB">
      <w:pPr>
        <w:spacing w:line="360" w:lineRule="auto"/>
        <w:ind w:firstLine="720"/>
      </w:pPr>
      <w:r w:rsidRPr="007A4F64">
        <w:t xml:space="preserve">The relative humidity readings ranged from </w:t>
      </w:r>
      <w:r w:rsidR="00A803A3">
        <w:t>9</w:t>
      </w:r>
      <w:r w:rsidRPr="007A4F64">
        <w:t xml:space="preserve"> to </w:t>
      </w:r>
      <w:r w:rsidR="00A803A3">
        <w:t>14</w:t>
      </w:r>
      <w:r w:rsidR="00D26E19">
        <w:t xml:space="preserve"> </w:t>
      </w:r>
      <w:r w:rsidRPr="007A4F64">
        <w:t>percent, which were below the MDPH recommended comfort range the day of the assessment.</w:t>
      </w:r>
      <w:r w:rsidR="00D26E19">
        <w:t xml:space="preserve"> </w:t>
      </w:r>
      <w:r w:rsidRPr="007A4F64">
        <w:t>The MDPH recommends a comfort range of 40 to 60 percent for indoor air relative humidity.</w:t>
      </w:r>
      <w:r w:rsidR="00D26E19">
        <w:t xml:space="preserve"> </w:t>
      </w:r>
      <w:r w:rsidRPr="007A4F64">
        <w:t>Relative humidity in the building would be expected to drop during the winter months due to heating.</w:t>
      </w:r>
      <w:r w:rsidR="00D26E19">
        <w:t xml:space="preserve"> </w:t>
      </w:r>
      <w:r w:rsidRPr="007A4F64">
        <w:t>The sensation of dryness and irritation is common in a low relative humidity environment.</w:t>
      </w:r>
      <w:r w:rsidR="00D26E19">
        <w:t xml:space="preserve"> </w:t>
      </w:r>
      <w:r w:rsidRPr="007A4F64">
        <w:t>“Extremely low (below 20%) relative humidity may be associated with eye irritation [and]…may affect the mucous membranes of individuals with bronchial constriction, rhinitis, or cold and influenza related symptoms” (Arundel et al., 1986).</w:t>
      </w:r>
      <w:r w:rsidR="00D26E19">
        <w:t xml:space="preserve"> </w:t>
      </w:r>
      <w:r w:rsidRPr="007A4F64">
        <w:t>Low relative humidity is a common problem during the heating season in the northeast part of the United States.</w:t>
      </w:r>
      <w:r w:rsidR="00D26E19">
        <w:t xml:space="preserve"> </w:t>
      </w:r>
      <w:r w:rsidR="00A646CB">
        <w:t>Exacerbating</w:t>
      </w:r>
      <w:r w:rsidR="008A6901">
        <w:t xml:space="preserve"> this problem is the operation of dehumidifiers in this area during the assessment.</w:t>
      </w:r>
      <w:r w:rsidR="00D26E19">
        <w:t xml:space="preserve"> </w:t>
      </w:r>
      <w:r w:rsidR="008A6901">
        <w:t>Dehumidifiers should be operated when the outdoor relative humidity exceeds the upper comfort range, &gt;60 percent.</w:t>
      </w:r>
      <w:r w:rsidR="00D26E19">
        <w:t xml:space="preserve"> </w:t>
      </w:r>
      <w:r w:rsidR="008A6901">
        <w:t>The relative humidity measured outdoors was 21 percent, which would make dehumidification in the RES unnecessary.</w:t>
      </w:r>
    </w:p>
    <w:p w:rsidR="00DD7322" w:rsidRPr="00B75A42" w:rsidRDefault="00DD7322" w:rsidP="001674E3">
      <w:pPr>
        <w:pStyle w:val="Heading2"/>
      </w:pPr>
      <w:r w:rsidRPr="00B75A42">
        <w:t>Microbial/Moisture Concerns</w:t>
      </w:r>
    </w:p>
    <w:p w:rsidR="00B341A6" w:rsidRDefault="008A6901" w:rsidP="00DD7322">
      <w:pPr>
        <w:pStyle w:val="BodyText"/>
      </w:pPr>
      <w:r>
        <w:t>Water damage to wood adjacent to the window sills was noted.</w:t>
      </w:r>
      <w:r w:rsidR="00D26E19">
        <w:t xml:space="preserve"> </w:t>
      </w:r>
      <w:r w:rsidR="00FA475B">
        <w:t>Window frame temperature</w:t>
      </w:r>
      <w:r w:rsidR="00B341A6">
        <w:t>s were</w:t>
      </w:r>
      <w:r w:rsidR="00FA475B">
        <w:t xml:space="preserve"> measured in a range from </w:t>
      </w:r>
      <w:r w:rsidR="00FA475B" w:rsidRPr="0091789B">
        <w:t>37</w:t>
      </w:r>
      <w:r w:rsidR="0091789B" w:rsidRPr="0091789B">
        <w:t>°</w:t>
      </w:r>
      <w:r w:rsidR="00FA475B" w:rsidRPr="0091789B">
        <w:t>F</w:t>
      </w:r>
      <w:r w:rsidR="00FA475B">
        <w:t xml:space="preserve"> to 43</w:t>
      </w:r>
      <w:r w:rsidR="00B341A6" w:rsidRPr="0091789B">
        <w:t>°F</w:t>
      </w:r>
      <w:r w:rsidR="00FA475B">
        <w:t>, while the outdoor temperature was 32</w:t>
      </w:r>
      <w:r w:rsidR="00B341A6" w:rsidRPr="0091789B">
        <w:t>°F</w:t>
      </w:r>
      <w:r w:rsidR="00FA475B">
        <w:t xml:space="preserve"> (Table 1).</w:t>
      </w:r>
      <w:r w:rsidR="00D26E19">
        <w:t xml:space="preserve"> </w:t>
      </w:r>
      <w:r w:rsidR="00B341A6">
        <w:t>The windows are on the north-</w:t>
      </w:r>
      <w:r w:rsidR="00FA475B">
        <w:t>facing exterior walls and receive minimal sun exposure.</w:t>
      </w:r>
      <w:r w:rsidR="00D26E19">
        <w:t xml:space="preserve"> </w:t>
      </w:r>
      <w:r w:rsidR="00FA475B">
        <w:t>The</w:t>
      </w:r>
      <w:r w:rsidR="004C08CB">
        <w:t>se low temperatures, in comparison with room temperatures,</w:t>
      </w:r>
      <w:r w:rsidR="00FA475B">
        <w:t xml:space="preserve"> indicate that the windows and frames are not energy efficient a</w:t>
      </w:r>
      <w:r w:rsidR="00B341A6">
        <w:t>nd can serve as thermal bridges</w:t>
      </w:r>
      <w:r w:rsidR="00FA475B">
        <w:t>.</w:t>
      </w:r>
      <w:r w:rsidR="00D26E19">
        <w:t xml:space="preserve"> </w:t>
      </w:r>
      <w:r w:rsidR="00FA475B">
        <w:t>Where a thermal bridge exists, condensation</w:t>
      </w:r>
      <w:r w:rsidR="00D26E19">
        <w:t xml:space="preserve"> </w:t>
      </w:r>
      <w:r w:rsidR="00FA475B">
        <w:t>is likely to form on the warm side of the cold object which can moisten materials, such as wooden window sills.</w:t>
      </w:r>
      <w:r w:rsidR="00D26E19">
        <w:t xml:space="preserve"> </w:t>
      </w:r>
      <w:r w:rsidR="004C08CB">
        <w:t>R</w:t>
      </w:r>
      <w:r w:rsidR="00FA475B">
        <w:t>epeated exposure to moisture/condensation can lead to mold.</w:t>
      </w:r>
      <w:r w:rsidR="00D26E19">
        <w:t xml:space="preserve"> </w:t>
      </w:r>
      <w:r w:rsidR="00FA475B">
        <w:t xml:space="preserve">Attached to this wall are large cork bulletin boards which may </w:t>
      </w:r>
      <w:r w:rsidR="005A7A65">
        <w:t xml:space="preserve">also </w:t>
      </w:r>
      <w:r w:rsidR="00FA475B">
        <w:t xml:space="preserve">have water damage on the surface </w:t>
      </w:r>
      <w:r w:rsidR="00B341A6">
        <w:t>where it attaches</w:t>
      </w:r>
      <w:r w:rsidR="00FA475B">
        <w:t xml:space="preserve"> to the exterior wall.</w:t>
      </w:r>
      <w:r w:rsidR="00D26E19">
        <w:t xml:space="preserve"> </w:t>
      </w:r>
    </w:p>
    <w:p w:rsidR="00DD7322" w:rsidRDefault="00DD7322" w:rsidP="00DD7322">
      <w:pPr>
        <w:pStyle w:val="BodyText"/>
      </w:pPr>
      <w:r w:rsidRPr="009B15BB">
        <w:t>The U</w:t>
      </w:r>
      <w:r w:rsidR="003C03E7">
        <w:t xml:space="preserve">nited </w:t>
      </w:r>
      <w:r w:rsidRPr="009B15BB">
        <w:t>S</w:t>
      </w:r>
      <w:r w:rsidR="003C03E7">
        <w:t>tates</w:t>
      </w:r>
      <w:r w:rsidRPr="009B15BB">
        <w:t xml:space="preserve"> E</w:t>
      </w:r>
      <w:r w:rsidR="003C03E7">
        <w:t xml:space="preserve">nvironmental </w:t>
      </w:r>
      <w:r w:rsidRPr="009B15BB">
        <w:t>P</w:t>
      </w:r>
      <w:r w:rsidR="003C03E7">
        <w:t xml:space="preserve">rotection </w:t>
      </w:r>
      <w:r w:rsidRPr="009B15BB">
        <w:t>A</w:t>
      </w:r>
      <w:r w:rsidR="003C03E7">
        <w:t>gency (US EPA)</w:t>
      </w:r>
      <w:r w:rsidRPr="009B15BB">
        <w:t xml:space="preserve"> and the American Conference of Governmental Industrial Hygienists (ACGIH) recommend that porous materials be dried with fans and heating within 24 to 48 hours of becoming wet (US EPA, </w:t>
      </w:r>
      <w:r>
        <w:t>2008</w:t>
      </w:r>
      <w:r w:rsidRPr="009B15BB">
        <w:t>; ACGIH, 1989).</w:t>
      </w:r>
      <w:r>
        <w:t xml:space="preserve"> </w:t>
      </w:r>
      <w:r w:rsidRPr="009B15BB">
        <w:t>If porous materials are not dried within this time frame, mold growth may occur.</w:t>
      </w:r>
      <w:r>
        <w:t xml:space="preserve"> </w:t>
      </w:r>
      <w:r w:rsidRPr="003A2177">
        <w:t xml:space="preserve">Once </w:t>
      </w:r>
      <w:r w:rsidRPr="003A2177">
        <w:lastRenderedPageBreak/>
        <w:t>mold has colonized porous materials, they are difficult to clean and should be removed and discarded.</w:t>
      </w:r>
    </w:p>
    <w:p w:rsidR="00DD7322" w:rsidRPr="006E6262" w:rsidRDefault="00DD7322" w:rsidP="00DD7322">
      <w:pPr>
        <w:pStyle w:val="Heading2"/>
      </w:pPr>
      <w:r w:rsidRPr="006E6262">
        <w:t>Other IAQ Evaluations</w:t>
      </w:r>
    </w:p>
    <w:p w:rsidR="003B2619" w:rsidRDefault="005A7A65" w:rsidP="00190F80">
      <w:pPr>
        <w:pStyle w:val="BodyText"/>
      </w:pPr>
      <w:r>
        <w:t>Room 115B has a number of gym mats on the walls and floors.</w:t>
      </w:r>
      <w:r w:rsidR="00D26E19">
        <w:t xml:space="preserve"> </w:t>
      </w:r>
      <w:r w:rsidR="00AD4800">
        <w:t xml:space="preserve">The radiator that provides heat to this room is behind </w:t>
      </w:r>
      <w:r>
        <w:t>gym mat</w:t>
      </w:r>
      <w:r w:rsidR="00AD4800">
        <w:t>s on the wall</w:t>
      </w:r>
      <w:r>
        <w:t>.</w:t>
      </w:r>
      <w:r w:rsidR="00D26E19">
        <w:t xml:space="preserve"> </w:t>
      </w:r>
      <w:r w:rsidR="00AD4800">
        <w:t>Heating from t</w:t>
      </w:r>
      <w:r w:rsidR="008B6D90">
        <w:t>he radiator may increase the release of plastic odors from the gym mats.</w:t>
      </w:r>
      <w:r w:rsidR="00D26E19">
        <w:t xml:space="preserve"> </w:t>
      </w:r>
      <w:r w:rsidR="008B6D90">
        <w:t xml:space="preserve">Phthalates are frequently used as a plasticizer </w:t>
      </w:r>
      <w:r w:rsidR="00CF2A6B">
        <w:t>in synthetic materials and are considered semi</w:t>
      </w:r>
      <w:r w:rsidR="00E80ED6">
        <w:t>-</w:t>
      </w:r>
      <w:r w:rsidR="00CF2A6B">
        <w:t>volatile organic compounds (SVOCs).</w:t>
      </w:r>
      <w:r w:rsidR="00D26E19">
        <w:t xml:space="preserve"> </w:t>
      </w:r>
      <w:r w:rsidR="00CF2A6B">
        <w:t>SVOCs are materials that do not readily aerosolize at room temperature (</w:t>
      </w:r>
      <w:r w:rsidR="00CF2A6B" w:rsidRPr="00CF2A6B">
        <w:t>78°F</w:t>
      </w:r>
      <w:r w:rsidR="00CF2A6B">
        <w:t>), but can evaporate when heated.</w:t>
      </w:r>
      <w:r w:rsidR="00D26E19">
        <w:t xml:space="preserve"> </w:t>
      </w:r>
      <w:r w:rsidR="00CF2A6B">
        <w:t xml:space="preserve">SVOCs can cause eye, nose and respiratory irritation </w:t>
      </w:r>
      <w:r w:rsidR="00222C76">
        <w:t>when</w:t>
      </w:r>
      <w:r w:rsidR="00CF2A6B">
        <w:t xml:space="preserve"> aerosolized.</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CF2A6B" w:rsidRDefault="00222C76" w:rsidP="00DC7E3E">
      <w:pPr>
        <w:pStyle w:val="BodyText"/>
        <w:numPr>
          <w:ilvl w:val="0"/>
          <w:numId w:val="27"/>
        </w:numPr>
      </w:pPr>
      <w:r>
        <w:t>Remove water-</w:t>
      </w:r>
      <w:r w:rsidR="00CF2A6B">
        <w:t xml:space="preserve">damaged wood from </w:t>
      </w:r>
      <w:r w:rsidR="00DC7E3E">
        <w:t xml:space="preserve">adjacent to </w:t>
      </w:r>
      <w:r w:rsidR="00CF2A6B">
        <w:t>windows.</w:t>
      </w:r>
    </w:p>
    <w:p w:rsidR="00CF2A6B" w:rsidRDefault="00222C76" w:rsidP="00DC7E3E">
      <w:pPr>
        <w:pStyle w:val="BodyText"/>
        <w:numPr>
          <w:ilvl w:val="0"/>
          <w:numId w:val="27"/>
        </w:numPr>
      </w:pPr>
      <w:r>
        <w:t>Remove</w:t>
      </w:r>
      <w:r w:rsidR="00CF2A6B">
        <w:t xml:space="preserve"> cork bulletin boards from beneath windows</w:t>
      </w:r>
      <w:r>
        <w:t xml:space="preserve"> and check for water damage to the boards and underlying wall</w:t>
      </w:r>
      <w:r w:rsidR="00CF2A6B">
        <w:t>.</w:t>
      </w:r>
      <w:r w:rsidR="00D26E19">
        <w:t xml:space="preserve"> </w:t>
      </w:r>
      <w:r w:rsidR="00CF2A6B">
        <w:t xml:space="preserve">If </w:t>
      </w:r>
      <w:r>
        <w:t>boards are water-damaged/mold-</w:t>
      </w:r>
      <w:r w:rsidR="00CF2A6B">
        <w:t>colonized</w:t>
      </w:r>
      <w:r>
        <w:t>, discard them, otherwise</w:t>
      </w:r>
      <w:r w:rsidR="00CF2A6B">
        <w:t xml:space="preserve">, </w:t>
      </w:r>
      <w:r>
        <w:t>they may be relocated to an</w:t>
      </w:r>
      <w:r w:rsidR="00BC2E69">
        <w:t xml:space="preserve"> interior wall.</w:t>
      </w:r>
    </w:p>
    <w:p w:rsidR="00BC2E69" w:rsidRDefault="00BC2E69" w:rsidP="00DC7E3E">
      <w:pPr>
        <w:pStyle w:val="BodyText"/>
        <w:numPr>
          <w:ilvl w:val="0"/>
          <w:numId w:val="27"/>
        </w:numPr>
      </w:pPr>
      <w:r>
        <w:t xml:space="preserve">Examine the feasibility of installing the gym mats </w:t>
      </w:r>
      <w:r w:rsidR="00222C76">
        <w:t>in Room 115B in such a manner as</w:t>
      </w:r>
      <w:r>
        <w:t xml:space="preserve"> to allow for air to be drawn by the radiators</w:t>
      </w:r>
      <w:r w:rsidR="00222C76">
        <w:t xml:space="preserve"> </w:t>
      </w:r>
      <w:r>
        <w:t>to increase airflow</w:t>
      </w:r>
      <w:r w:rsidR="00222C76">
        <w:t xml:space="preserve"> and reduce heating of the mats</w:t>
      </w:r>
      <w:r>
        <w:t>.</w:t>
      </w:r>
    </w:p>
    <w:p w:rsidR="00DC7E3E" w:rsidRDefault="00BC2E69" w:rsidP="00DC7E3E">
      <w:pPr>
        <w:pStyle w:val="BodyText"/>
        <w:numPr>
          <w:ilvl w:val="0"/>
          <w:numId w:val="27"/>
        </w:numPr>
      </w:pPr>
      <w:r>
        <w:t>Discontinue the use of dehumidifiers in low relative conditions.</w:t>
      </w:r>
      <w:r w:rsidR="00D26E19">
        <w:t xml:space="preserve"> </w:t>
      </w:r>
      <w:r>
        <w:t>Use dehumidifiers only during times of hot, humid weather when relative humidity is greater than 60 percent outdoors.</w:t>
      </w:r>
      <w:r w:rsidR="00DC7E3E" w:rsidRPr="00DC7E3E">
        <w:t xml:space="preserve"> </w:t>
      </w:r>
    </w:p>
    <w:p w:rsidR="00DC7E3E" w:rsidRDefault="00DC7E3E" w:rsidP="00DC7E3E">
      <w:pPr>
        <w:pStyle w:val="BodyText"/>
        <w:numPr>
          <w:ilvl w:val="0"/>
          <w:numId w:val="27"/>
        </w:numPr>
      </w:pPr>
      <w:r w:rsidRPr="00FE196E">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A009E4" w:rsidRPr="00A009E4" w:rsidRDefault="00A009E4" w:rsidP="00DC7E3E">
      <w:pPr>
        <w:pStyle w:val="BodyText"/>
        <w:numPr>
          <w:ilvl w:val="0"/>
          <w:numId w:val="27"/>
        </w:numPr>
      </w:pPr>
      <w:r>
        <w:lastRenderedPageBreak/>
        <w:t>Operate supply and exhaust ventilation continuously in all areas during occupied periods. Ensure all HVAC equipment is maintained and supply and return vents are cleaned periodically to prevent dust re-aerosolization.</w:t>
      </w:r>
    </w:p>
    <w:p w:rsidR="004D05AC" w:rsidRPr="00A009E4" w:rsidRDefault="00A009E4" w:rsidP="00A009E4">
      <w:pPr>
        <w:pStyle w:val="BodyText"/>
        <w:numPr>
          <w:ilvl w:val="0"/>
          <w:numId w:val="27"/>
        </w:numPr>
      </w:pPr>
      <w:r>
        <w:t xml:space="preserve">Refer to resource manual and other related IAQ documents located on the MDPH’s website for further building-wide evaluations and advice on maintaining public buildings. These documents are available at: </w:t>
      </w:r>
      <w:hyperlink r:id="rId10" w:tooltip="Indoor Air Quality Program" w:history="1">
        <w:r w:rsidRPr="00B7439C">
          <w:rPr>
            <w:rStyle w:val="Hyperlink"/>
          </w:rPr>
          <w:t>http://m</w:t>
        </w:r>
        <w:r w:rsidRPr="00B7439C">
          <w:rPr>
            <w:rStyle w:val="Hyperlink"/>
          </w:rPr>
          <w:t>a</w:t>
        </w:r>
        <w:r w:rsidRPr="00B7439C">
          <w:rPr>
            <w:rStyle w:val="Hyperlink"/>
          </w:rPr>
          <w:t>ss.gov/dph/iaq</w:t>
        </w:r>
      </w:hyperlink>
      <w:r>
        <w:t>.</w:t>
      </w:r>
      <w:r w:rsidR="005942C5" w:rsidRPr="00A009E4">
        <w:br w:type="page"/>
      </w:r>
      <w:r w:rsidR="004A28CB" w:rsidRPr="00A009E4">
        <w:lastRenderedPageBreak/>
        <w:t>R</w:t>
      </w:r>
      <w:r w:rsidR="004D05AC" w:rsidRPr="00A009E4">
        <w:t>eferences</w:t>
      </w:r>
    </w:p>
    <w:p w:rsidR="00A009E4" w:rsidRPr="004C08CB" w:rsidRDefault="00A009E4" w:rsidP="00A009E4">
      <w:pPr>
        <w:pStyle w:val="BodyText2"/>
      </w:pPr>
      <w:proofErr w:type="gramStart"/>
      <w:r w:rsidRPr="004C08CB">
        <w:t>ACGIH.</w:t>
      </w:r>
      <w:proofErr w:type="gramEnd"/>
      <w:r w:rsidRPr="004C08CB">
        <w:t xml:space="preserve"> 1989. Guidelines for the Assessment of Bioaerosols in the Indoor Environment. </w:t>
      </w:r>
      <w:proofErr w:type="gramStart"/>
      <w:r w:rsidRPr="004C08CB">
        <w:t>American Conference of Governmental Industrial Hygienists, Cincinnati, OH.</w:t>
      </w:r>
      <w:proofErr w:type="gramEnd"/>
    </w:p>
    <w:p w:rsidR="002474D3" w:rsidRPr="004C08CB" w:rsidRDefault="002474D3" w:rsidP="005A752D">
      <w:pPr>
        <w:pStyle w:val="References"/>
      </w:pPr>
      <w:proofErr w:type="gramStart"/>
      <w:r w:rsidRPr="004C08CB">
        <w:t>Arundel et al.</w:t>
      </w:r>
      <w:r w:rsidR="00D26E19" w:rsidRPr="004C08CB">
        <w:t xml:space="preserve"> </w:t>
      </w:r>
      <w:r w:rsidRPr="004C08CB">
        <w:t>1986.</w:t>
      </w:r>
      <w:proofErr w:type="gramEnd"/>
      <w:r w:rsidR="00D26E19" w:rsidRPr="004C08CB">
        <w:t xml:space="preserve"> </w:t>
      </w:r>
      <w:proofErr w:type="gramStart"/>
      <w:r w:rsidR="004C08CB" w:rsidRPr="004C08CB">
        <w:t>Indirect H</w:t>
      </w:r>
      <w:r w:rsidRPr="004C08CB">
        <w:t>ealth Effects of Relative Humidity on Indoor Environments.</w:t>
      </w:r>
      <w:proofErr w:type="gramEnd"/>
      <w:r w:rsidR="00D26E19" w:rsidRPr="004C08CB">
        <w:t xml:space="preserve"> </w:t>
      </w:r>
      <w:proofErr w:type="gramStart"/>
      <w:r w:rsidRPr="004C08CB">
        <w:t>Env.</w:t>
      </w:r>
      <w:proofErr w:type="gramEnd"/>
      <w:r w:rsidRPr="004C08CB">
        <w:t xml:space="preserve"> Health Perspectives 65:351-361.</w:t>
      </w:r>
    </w:p>
    <w:p w:rsidR="004C08CB" w:rsidRPr="00FA314A" w:rsidRDefault="004C08CB" w:rsidP="004C08CB">
      <w:pPr>
        <w:pStyle w:val="BodyText2"/>
        <w:rPr>
          <w:szCs w:val="24"/>
        </w:rPr>
      </w:pPr>
      <w:proofErr w:type="gramStart"/>
      <w:r w:rsidRPr="00FA314A">
        <w:rPr>
          <w:szCs w:val="24"/>
        </w:rPr>
        <w:t>ASHRAE.</w:t>
      </w:r>
      <w:proofErr w:type="gramEnd"/>
      <w:r w:rsidR="00C93FF7">
        <w:rPr>
          <w:szCs w:val="24"/>
        </w:rPr>
        <w:t xml:space="preserve"> </w:t>
      </w:r>
      <w:r w:rsidRPr="00FA314A">
        <w:rPr>
          <w:szCs w:val="24"/>
        </w:rPr>
        <w:t>1991.</w:t>
      </w:r>
      <w:r w:rsidR="00C93FF7">
        <w:rPr>
          <w:szCs w:val="24"/>
        </w:rPr>
        <w:t xml:space="preserve"> </w:t>
      </w:r>
      <w:r w:rsidRPr="00FA314A">
        <w:rPr>
          <w:szCs w:val="24"/>
        </w:rPr>
        <w:t>ASHRAE Applications Handbook, Chapter 33 “Owning and Operating Costs”.</w:t>
      </w:r>
      <w:r w:rsidR="00C93FF7">
        <w:rPr>
          <w:szCs w:val="24"/>
        </w:rPr>
        <w:t xml:space="preserve"> </w:t>
      </w:r>
      <w:proofErr w:type="gramStart"/>
      <w:r w:rsidRPr="00FA314A">
        <w:rPr>
          <w:szCs w:val="24"/>
        </w:rPr>
        <w:t>American Society of Heating, Refrigeration and Air Conditioning Engineers, Atlanta, GA.</w:t>
      </w:r>
      <w:proofErr w:type="gramEnd"/>
    </w:p>
    <w:p w:rsidR="008A4F35" w:rsidRPr="004C08CB" w:rsidRDefault="008A4F35" w:rsidP="005A752D">
      <w:pPr>
        <w:pStyle w:val="References"/>
      </w:pPr>
      <w:proofErr w:type="gramStart"/>
      <w:r w:rsidRPr="004C08CB">
        <w:t>MDPH.</w:t>
      </w:r>
      <w:proofErr w:type="gramEnd"/>
      <w:r w:rsidR="007D2C35" w:rsidRPr="004C08CB">
        <w:t xml:space="preserve"> </w:t>
      </w:r>
      <w:proofErr w:type="gramStart"/>
      <w:r w:rsidRPr="004C08CB">
        <w:t>2015.</w:t>
      </w:r>
      <w:r w:rsidR="007D2C35" w:rsidRPr="004C08CB">
        <w:t xml:space="preserve"> </w:t>
      </w:r>
      <w:r w:rsidR="003D084D" w:rsidRPr="004C08CB">
        <w:t>Massachusetts Department of Public Health.</w:t>
      </w:r>
      <w:proofErr w:type="gramEnd"/>
      <w:r w:rsidR="007D2C35" w:rsidRPr="004C08CB">
        <w:t xml:space="preserve"> </w:t>
      </w:r>
      <w:r w:rsidRPr="004C08CB">
        <w:t>Indoor Air Quality Manual: Chapters I-III.</w:t>
      </w:r>
      <w:r w:rsidR="007D2C35" w:rsidRPr="004C08CB">
        <w:t xml:space="preserve"> </w:t>
      </w:r>
      <w:r w:rsidRPr="004C08CB">
        <w:t xml:space="preserve">Available at: </w:t>
      </w:r>
      <w:hyperlink r:id="rId11" w:tooltip="Massachusetts Department of Public Health. Indoor Air Quality Manual: Chapters I-III" w:history="1">
        <w:r w:rsidRPr="004F4B36">
          <w:rPr>
            <w:rStyle w:val="Hyperlink"/>
            <w:color w:val="17365D"/>
          </w:rPr>
          <w:t>http://www.m</w:t>
        </w:r>
        <w:r w:rsidRPr="004F4B36">
          <w:rPr>
            <w:rStyle w:val="Hyperlink"/>
            <w:color w:val="17365D"/>
          </w:rPr>
          <w:t>a</w:t>
        </w:r>
        <w:r w:rsidRPr="004F4B36">
          <w:rPr>
            <w:rStyle w:val="Hyperlink"/>
            <w:color w:val="17365D"/>
          </w:rPr>
          <w:t>ss.gov/</w:t>
        </w:r>
        <w:r w:rsidRPr="004F4B36">
          <w:rPr>
            <w:rStyle w:val="Hyperlink"/>
            <w:color w:val="17365D"/>
          </w:rPr>
          <w:t>e</w:t>
        </w:r>
        <w:r w:rsidRPr="004F4B36">
          <w:rPr>
            <w:rStyle w:val="Hyperlink"/>
            <w:color w:val="17365D"/>
          </w:rPr>
          <w:t>ohhs/gov/departments/dph/pr</w:t>
        </w:r>
        <w:r w:rsidRPr="004F4B36">
          <w:rPr>
            <w:rStyle w:val="Hyperlink"/>
            <w:color w:val="17365D"/>
          </w:rPr>
          <w:t>o</w:t>
        </w:r>
        <w:r w:rsidRPr="004F4B36">
          <w:rPr>
            <w:rStyle w:val="Hyperlink"/>
            <w:color w:val="17365D"/>
          </w:rPr>
          <w:t>grams/environmental-health/exposure-topics/iaq/i</w:t>
        </w:r>
        <w:r w:rsidRPr="004F4B36">
          <w:rPr>
            <w:rStyle w:val="Hyperlink"/>
            <w:color w:val="17365D"/>
          </w:rPr>
          <w:t>a</w:t>
        </w:r>
        <w:r w:rsidRPr="004F4B36">
          <w:rPr>
            <w:rStyle w:val="Hyperlink"/>
            <w:color w:val="17365D"/>
          </w:rPr>
          <w:t>q-</w:t>
        </w:r>
        <w:r w:rsidRPr="004F4B36">
          <w:rPr>
            <w:rStyle w:val="Hyperlink"/>
            <w:color w:val="17365D"/>
          </w:rPr>
          <w:t>m</w:t>
        </w:r>
        <w:r w:rsidRPr="004F4B36">
          <w:rPr>
            <w:rStyle w:val="Hyperlink"/>
            <w:color w:val="17365D"/>
          </w:rPr>
          <w:t>an</w:t>
        </w:r>
        <w:r w:rsidRPr="004F4B36">
          <w:rPr>
            <w:rStyle w:val="Hyperlink"/>
            <w:color w:val="17365D"/>
          </w:rPr>
          <w:t>u</w:t>
        </w:r>
        <w:r w:rsidRPr="004F4B36">
          <w:rPr>
            <w:rStyle w:val="Hyperlink"/>
            <w:color w:val="17365D"/>
          </w:rPr>
          <w:t>al/</w:t>
        </w:r>
      </w:hyperlink>
      <w:r w:rsidR="001111F2" w:rsidRPr="004C08CB">
        <w:t>.</w:t>
      </w:r>
    </w:p>
    <w:p w:rsidR="00891097" w:rsidRDefault="00A009E4" w:rsidP="002465E4">
      <w:pPr>
        <w:pStyle w:val="BodyText2"/>
        <w:sectPr w:rsidR="00891097" w:rsidSect="00B0444B">
          <w:footerReference w:type="even" r:id="rId12"/>
          <w:footerReference w:type="default" r:id="rId13"/>
          <w:pgSz w:w="12240" w:h="15840" w:code="1"/>
          <w:pgMar w:top="1440" w:right="1440" w:bottom="1440" w:left="1440" w:header="720" w:footer="720" w:gutter="0"/>
          <w:cols w:space="720"/>
          <w:noEndnote/>
          <w:titlePg/>
          <w:docGrid w:linePitch="254"/>
        </w:sectPr>
      </w:pPr>
      <w:proofErr w:type="gramStart"/>
      <w:r w:rsidRPr="004C08CB">
        <w:t>US EPA.</w:t>
      </w:r>
      <w:proofErr w:type="gramEnd"/>
      <w:r w:rsidRPr="004C08CB">
        <w:t xml:space="preserve"> 2008. “Mold Remediation in Schools and Commercial Buildings”. </w:t>
      </w:r>
      <w:proofErr w:type="gramStart"/>
      <w:r w:rsidRPr="004C08CB">
        <w:t>Office of Air and Radiation, Indoor Environments Division, Washington, DC.</w:t>
      </w:r>
      <w:proofErr w:type="gramEnd"/>
      <w:r w:rsidR="00D26E19" w:rsidRPr="004C08CB">
        <w:t xml:space="preserve"> </w:t>
      </w:r>
      <w:proofErr w:type="gramStart"/>
      <w:r w:rsidRPr="004C08CB">
        <w:t>EPA 402-K-01-001.</w:t>
      </w:r>
      <w:proofErr w:type="gramEnd"/>
      <w:r w:rsidRPr="004C08CB">
        <w:t xml:space="preserve"> March 2001. Available at: </w:t>
      </w:r>
      <w:hyperlink r:id="rId14" w:tooltip="Mold Remediation in Schools and Commercial Buildings" w:history="1">
        <w:r w:rsidR="00DC7E3E" w:rsidRPr="00A21DC9">
          <w:rPr>
            <w:rStyle w:val="Hyperlink"/>
          </w:rPr>
          <w:t>https://www.ep</w:t>
        </w:r>
        <w:r w:rsidR="00DC7E3E" w:rsidRPr="00A21DC9">
          <w:rPr>
            <w:rStyle w:val="Hyperlink"/>
          </w:rPr>
          <w:t>a</w:t>
        </w:r>
        <w:r w:rsidR="00DC7E3E" w:rsidRPr="00A21DC9">
          <w:rPr>
            <w:rStyle w:val="Hyperlink"/>
          </w:rPr>
          <w:t>.gov/mold/mold-r</w:t>
        </w:r>
        <w:r w:rsidR="00DC7E3E" w:rsidRPr="00A21DC9">
          <w:rPr>
            <w:rStyle w:val="Hyperlink"/>
          </w:rPr>
          <w:t>e</w:t>
        </w:r>
        <w:r w:rsidR="00DC7E3E" w:rsidRPr="00A21DC9">
          <w:rPr>
            <w:rStyle w:val="Hyperlink"/>
          </w:rPr>
          <w:t>mediation-schools-and-commercial-buildings-guide</w:t>
        </w:r>
      </w:hyperlink>
      <w:r w:rsidR="00E24194">
        <w:t>.</w:t>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5"/>
        <w:gridCol w:w="1170"/>
        <w:gridCol w:w="1080"/>
        <w:gridCol w:w="810"/>
        <w:gridCol w:w="1080"/>
        <w:gridCol w:w="990"/>
        <w:gridCol w:w="1170"/>
        <w:gridCol w:w="1350"/>
        <w:gridCol w:w="900"/>
        <w:gridCol w:w="1134"/>
        <w:gridCol w:w="2471"/>
      </w:tblGrid>
      <w:tr w:rsidR="00891097" w:rsidRPr="00891097" w:rsidTr="00CA63FF">
        <w:tblPrEx>
          <w:tblCellMar>
            <w:top w:w="0" w:type="dxa"/>
            <w:bottom w:w="0" w:type="dxa"/>
          </w:tblCellMar>
        </w:tblPrEx>
        <w:trPr>
          <w:cantSplit/>
          <w:trHeight w:val="350"/>
          <w:tblHeader/>
          <w:jc w:val="center"/>
        </w:trPr>
        <w:tc>
          <w:tcPr>
            <w:tcW w:w="1535" w:type="dxa"/>
            <w:vMerge w:val="restart"/>
            <w:vAlign w:val="bottom"/>
          </w:tcPr>
          <w:p w:rsidR="00891097" w:rsidRPr="00891097" w:rsidRDefault="00891097" w:rsidP="00891097">
            <w:pPr>
              <w:keepNext/>
              <w:jc w:val="center"/>
              <w:outlineLvl w:val="0"/>
              <w:rPr>
                <w:b/>
                <w:sz w:val="20"/>
              </w:rPr>
            </w:pPr>
          </w:p>
        </w:tc>
        <w:tc>
          <w:tcPr>
            <w:tcW w:w="1170" w:type="dxa"/>
            <w:vMerge w:val="restart"/>
            <w:vAlign w:val="bottom"/>
          </w:tcPr>
          <w:p w:rsidR="00891097" w:rsidRPr="00891097" w:rsidRDefault="00891097" w:rsidP="00891097">
            <w:pPr>
              <w:jc w:val="center"/>
              <w:rPr>
                <w:b/>
                <w:sz w:val="20"/>
              </w:rPr>
            </w:pPr>
            <w:r w:rsidRPr="00891097">
              <w:rPr>
                <w:b/>
                <w:sz w:val="20"/>
              </w:rPr>
              <w:t>Carbon</w:t>
            </w:r>
          </w:p>
          <w:p w:rsidR="00891097" w:rsidRPr="00891097" w:rsidRDefault="00891097" w:rsidP="00891097">
            <w:pPr>
              <w:jc w:val="center"/>
              <w:rPr>
                <w:b/>
                <w:sz w:val="20"/>
              </w:rPr>
            </w:pPr>
            <w:r w:rsidRPr="00891097">
              <w:rPr>
                <w:b/>
                <w:sz w:val="20"/>
              </w:rPr>
              <w:t>Dioxide</w:t>
            </w:r>
          </w:p>
          <w:p w:rsidR="00891097" w:rsidRPr="00891097" w:rsidRDefault="00891097" w:rsidP="00891097">
            <w:pPr>
              <w:jc w:val="center"/>
              <w:rPr>
                <w:b/>
                <w:sz w:val="20"/>
              </w:rPr>
            </w:pPr>
            <w:r w:rsidRPr="00891097">
              <w:rPr>
                <w:b/>
                <w:sz w:val="20"/>
              </w:rPr>
              <w:t>(ppm)</w:t>
            </w:r>
          </w:p>
        </w:tc>
        <w:tc>
          <w:tcPr>
            <w:tcW w:w="1080" w:type="dxa"/>
            <w:vMerge w:val="restart"/>
          </w:tcPr>
          <w:p w:rsidR="00891097" w:rsidRPr="00891097" w:rsidRDefault="00891097" w:rsidP="00891097">
            <w:pPr>
              <w:jc w:val="center"/>
              <w:rPr>
                <w:b/>
                <w:sz w:val="20"/>
              </w:rPr>
            </w:pPr>
            <w:r w:rsidRPr="00891097">
              <w:rPr>
                <w:b/>
                <w:sz w:val="20"/>
              </w:rPr>
              <w:t>Carbon Monoxide</w:t>
            </w:r>
          </w:p>
          <w:p w:rsidR="00891097" w:rsidRPr="00891097" w:rsidRDefault="00891097" w:rsidP="00891097">
            <w:pPr>
              <w:jc w:val="center"/>
              <w:rPr>
                <w:b/>
                <w:sz w:val="20"/>
              </w:rPr>
            </w:pPr>
            <w:r w:rsidRPr="00891097">
              <w:rPr>
                <w:b/>
                <w:sz w:val="20"/>
              </w:rPr>
              <w:t>(ppm)</w:t>
            </w:r>
          </w:p>
        </w:tc>
        <w:tc>
          <w:tcPr>
            <w:tcW w:w="810" w:type="dxa"/>
            <w:vMerge w:val="restart"/>
            <w:vAlign w:val="bottom"/>
          </w:tcPr>
          <w:p w:rsidR="00891097" w:rsidRPr="00891097" w:rsidRDefault="00891097" w:rsidP="00891097">
            <w:pPr>
              <w:jc w:val="center"/>
              <w:rPr>
                <w:b/>
                <w:sz w:val="20"/>
              </w:rPr>
            </w:pPr>
            <w:r w:rsidRPr="00891097">
              <w:rPr>
                <w:b/>
                <w:sz w:val="20"/>
              </w:rPr>
              <w:t>Temp</w:t>
            </w:r>
          </w:p>
          <w:p w:rsidR="00891097" w:rsidRPr="00891097" w:rsidRDefault="00891097" w:rsidP="00891097">
            <w:pPr>
              <w:jc w:val="center"/>
              <w:rPr>
                <w:b/>
                <w:sz w:val="20"/>
              </w:rPr>
            </w:pPr>
            <w:r w:rsidRPr="00891097">
              <w:rPr>
                <w:b/>
                <w:sz w:val="20"/>
              </w:rPr>
              <w:t>(°F)</w:t>
            </w:r>
          </w:p>
        </w:tc>
        <w:tc>
          <w:tcPr>
            <w:tcW w:w="1080" w:type="dxa"/>
            <w:vMerge w:val="restart"/>
            <w:vAlign w:val="bottom"/>
          </w:tcPr>
          <w:p w:rsidR="00891097" w:rsidRPr="00891097" w:rsidRDefault="00891097" w:rsidP="00891097">
            <w:pPr>
              <w:jc w:val="center"/>
              <w:rPr>
                <w:b/>
                <w:sz w:val="20"/>
              </w:rPr>
            </w:pPr>
            <w:r w:rsidRPr="00891097">
              <w:rPr>
                <w:b/>
                <w:sz w:val="20"/>
              </w:rPr>
              <w:t>Relative</w:t>
            </w:r>
          </w:p>
          <w:p w:rsidR="00891097" w:rsidRPr="00891097" w:rsidRDefault="00891097" w:rsidP="00891097">
            <w:pPr>
              <w:jc w:val="center"/>
              <w:rPr>
                <w:b/>
                <w:sz w:val="20"/>
              </w:rPr>
            </w:pPr>
            <w:r w:rsidRPr="00891097">
              <w:rPr>
                <w:b/>
                <w:sz w:val="20"/>
              </w:rPr>
              <w:t>Humidity</w:t>
            </w:r>
          </w:p>
          <w:p w:rsidR="00891097" w:rsidRPr="00891097" w:rsidRDefault="00891097" w:rsidP="00891097">
            <w:pPr>
              <w:jc w:val="center"/>
              <w:rPr>
                <w:b/>
                <w:sz w:val="20"/>
              </w:rPr>
            </w:pPr>
            <w:r w:rsidRPr="00891097">
              <w:rPr>
                <w:b/>
                <w:sz w:val="20"/>
              </w:rPr>
              <w:t>(%)</w:t>
            </w:r>
          </w:p>
        </w:tc>
        <w:tc>
          <w:tcPr>
            <w:tcW w:w="990" w:type="dxa"/>
            <w:vMerge w:val="restart"/>
            <w:vAlign w:val="bottom"/>
          </w:tcPr>
          <w:p w:rsidR="00891097" w:rsidRPr="00891097" w:rsidRDefault="00891097" w:rsidP="00891097">
            <w:pPr>
              <w:jc w:val="center"/>
              <w:rPr>
                <w:b/>
                <w:sz w:val="20"/>
              </w:rPr>
            </w:pPr>
            <w:r w:rsidRPr="00891097">
              <w:rPr>
                <w:b/>
                <w:sz w:val="20"/>
              </w:rPr>
              <w:t>PM2.5</w:t>
            </w:r>
          </w:p>
          <w:p w:rsidR="00891097" w:rsidRPr="00891097" w:rsidRDefault="00891097" w:rsidP="00891097">
            <w:pPr>
              <w:jc w:val="center"/>
              <w:rPr>
                <w:b/>
                <w:sz w:val="20"/>
              </w:rPr>
            </w:pPr>
            <w:r w:rsidRPr="00891097">
              <w:rPr>
                <w:b/>
                <w:sz w:val="20"/>
              </w:rPr>
              <w:t>(</w:t>
            </w:r>
            <w:proofErr w:type="spellStart"/>
            <w:r w:rsidRPr="00891097">
              <w:rPr>
                <w:b/>
                <w:sz w:val="20"/>
              </w:rPr>
              <w:t>μg</w:t>
            </w:r>
            <w:proofErr w:type="spellEnd"/>
            <w:r w:rsidRPr="00891097">
              <w:rPr>
                <w:b/>
                <w:sz w:val="20"/>
              </w:rPr>
              <w:t>/m</w:t>
            </w:r>
            <w:r w:rsidRPr="00891097">
              <w:rPr>
                <w:b/>
                <w:sz w:val="20"/>
                <w:vertAlign w:val="superscript"/>
              </w:rPr>
              <w:t>3</w:t>
            </w:r>
            <w:r w:rsidRPr="00891097">
              <w:rPr>
                <w:b/>
                <w:sz w:val="20"/>
              </w:rPr>
              <w:t>)</w:t>
            </w:r>
          </w:p>
        </w:tc>
        <w:tc>
          <w:tcPr>
            <w:tcW w:w="1170" w:type="dxa"/>
            <w:vMerge w:val="restart"/>
            <w:vAlign w:val="bottom"/>
          </w:tcPr>
          <w:p w:rsidR="00891097" w:rsidRPr="00891097" w:rsidRDefault="00891097" w:rsidP="00891097">
            <w:pPr>
              <w:jc w:val="center"/>
              <w:rPr>
                <w:b/>
                <w:sz w:val="20"/>
              </w:rPr>
            </w:pPr>
            <w:r w:rsidRPr="00891097">
              <w:rPr>
                <w:b/>
                <w:sz w:val="20"/>
              </w:rPr>
              <w:t>Occupants</w:t>
            </w:r>
          </w:p>
          <w:p w:rsidR="00891097" w:rsidRPr="00891097" w:rsidRDefault="00891097" w:rsidP="00891097">
            <w:pPr>
              <w:jc w:val="center"/>
              <w:rPr>
                <w:b/>
                <w:sz w:val="20"/>
              </w:rPr>
            </w:pPr>
            <w:r w:rsidRPr="00891097">
              <w:rPr>
                <w:b/>
                <w:sz w:val="20"/>
              </w:rPr>
              <w:t>in Room</w:t>
            </w:r>
          </w:p>
        </w:tc>
        <w:tc>
          <w:tcPr>
            <w:tcW w:w="1350" w:type="dxa"/>
            <w:vMerge w:val="restart"/>
            <w:vAlign w:val="bottom"/>
          </w:tcPr>
          <w:p w:rsidR="00891097" w:rsidRPr="00891097" w:rsidRDefault="00891097" w:rsidP="00891097">
            <w:pPr>
              <w:jc w:val="center"/>
              <w:rPr>
                <w:b/>
                <w:sz w:val="20"/>
              </w:rPr>
            </w:pPr>
            <w:r w:rsidRPr="00891097">
              <w:rPr>
                <w:b/>
                <w:sz w:val="20"/>
              </w:rPr>
              <w:t>Windows</w:t>
            </w:r>
          </w:p>
          <w:p w:rsidR="00891097" w:rsidRPr="00891097" w:rsidRDefault="00891097" w:rsidP="00891097">
            <w:pPr>
              <w:jc w:val="center"/>
              <w:rPr>
                <w:b/>
                <w:sz w:val="20"/>
              </w:rPr>
            </w:pPr>
            <w:r w:rsidRPr="00891097">
              <w:rPr>
                <w:b/>
                <w:sz w:val="20"/>
              </w:rPr>
              <w:t>Openable</w:t>
            </w:r>
          </w:p>
        </w:tc>
        <w:tc>
          <w:tcPr>
            <w:tcW w:w="2034" w:type="dxa"/>
            <w:gridSpan w:val="2"/>
            <w:tcBorders>
              <w:left w:val="nil"/>
              <w:bottom w:val="nil"/>
            </w:tcBorders>
            <w:vAlign w:val="bottom"/>
          </w:tcPr>
          <w:p w:rsidR="00891097" w:rsidRPr="00891097" w:rsidRDefault="00891097" w:rsidP="00891097">
            <w:pPr>
              <w:ind w:left="-105"/>
              <w:jc w:val="center"/>
              <w:rPr>
                <w:b/>
                <w:sz w:val="20"/>
              </w:rPr>
            </w:pPr>
            <w:r w:rsidRPr="00891097">
              <w:rPr>
                <w:b/>
                <w:sz w:val="20"/>
              </w:rPr>
              <w:t>Ventilation</w:t>
            </w:r>
          </w:p>
        </w:tc>
        <w:tc>
          <w:tcPr>
            <w:tcW w:w="2471" w:type="dxa"/>
            <w:vMerge w:val="restart"/>
            <w:vAlign w:val="bottom"/>
          </w:tcPr>
          <w:p w:rsidR="00891097" w:rsidRPr="00891097" w:rsidRDefault="00891097" w:rsidP="00891097">
            <w:pPr>
              <w:jc w:val="center"/>
              <w:rPr>
                <w:b/>
                <w:sz w:val="20"/>
              </w:rPr>
            </w:pPr>
            <w:r w:rsidRPr="00891097">
              <w:rPr>
                <w:b/>
                <w:sz w:val="20"/>
              </w:rPr>
              <w:t>Remarks</w:t>
            </w:r>
          </w:p>
        </w:tc>
      </w:tr>
      <w:tr w:rsidR="00891097" w:rsidRPr="00891097" w:rsidTr="00CA63FF">
        <w:tblPrEx>
          <w:tblCellMar>
            <w:top w:w="0" w:type="dxa"/>
            <w:bottom w:w="0" w:type="dxa"/>
          </w:tblCellMar>
        </w:tblPrEx>
        <w:trPr>
          <w:cantSplit/>
          <w:trHeight w:val="350"/>
          <w:tblHeader/>
          <w:jc w:val="center"/>
        </w:trPr>
        <w:tc>
          <w:tcPr>
            <w:tcW w:w="1535" w:type="dxa"/>
            <w:vMerge/>
            <w:vAlign w:val="bottom"/>
          </w:tcPr>
          <w:p w:rsidR="00891097" w:rsidRPr="00891097" w:rsidRDefault="00891097" w:rsidP="00891097">
            <w:pPr>
              <w:keepNext/>
              <w:jc w:val="center"/>
              <w:outlineLvl w:val="0"/>
              <w:rPr>
                <w:b/>
                <w:sz w:val="20"/>
              </w:rPr>
            </w:pPr>
          </w:p>
        </w:tc>
        <w:tc>
          <w:tcPr>
            <w:tcW w:w="1170" w:type="dxa"/>
            <w:vMerge/>
            <w:vAlign w:val="bottom"/>
          </w:tcPr>
          <w:p w:rsidR="00891097" w:rsidRPr="00891097" w:rsidRDefault="00891097" w:rsidP="00891097">
            <w:pPr>
              <w:jc w:val="center"/>
              <w:rPr>
                <w:b/>
                <w:sz w:val="20"/>
              </w:rPr>
            </w:pPr>
          </w:p>
        </w:tc>
        <w:tc>
          <w:tcPr>
            <w:tcW w:w="1080" w:type="dxa"/>
            <w:vMerge/>
          </w:tcPr>
          <w:p w:rsidR="00891097" w:rsidRPr="00891097" w:rsidRDefault="00891097" w:rsidP="00891097">
            <w:pPr>
              <w:jc w:val="center"/>
              <w:rPr>
                <w:b/>
                <w:sz w:val="20"/>
              </w:rPr>
            </w:pPr>
          </w:p>
        </w:tc>
        <w:tc>
          <w:tcPr>
            <w:tcW w:w="810" w:type="dxa"/>
            <w:vMerge/>
            <w:vAlign w:val="bottom"/>
          </w:tcPr>
          <w:p w:rsidR="00891097" w:rsidRPr="00891097" w:rsidRDefault="00891097" w:rsidP="00891097">
            <w:pPr>
              <w:jc w:val="center"/>
              <w:rPr>
                <w:b/>
                <w:sz w:val="20"/>
              </w:rPr>
            </w:pPr>
          </w:p>
        </w:tc>
        <w:tc>
          <w:tcPr>
            <w:tcW w:w="1080" w:type="dxa"/>
            <w:vMerge/>
            <w:vAlign w:val="bottom"/>
          </w:tcPr>
          <w:p w:rsidR="00891097" w:rsidRPr="00891097" w:rsidRDefault="00891097" w:rsidP="00891097">
            <w:pPr>
              <w:jc w:val="center"/>
              <w:rPr>
                <w:b/>
                <w:sz w:val="20"/>
              </w:rPr>
            </w:pPr>
          </w:p>
        </w:tc>
        <w:tc>
          <w:tcPr>
            <w:tcW w:w="990" w:type="dxa"/>
            <w:vMerge/>
          </w:tcPr>
          <w:p w:rsidR="00891097" w:rsidRPr="00891097" w:rsidRDefault="00891097" w:rsidP="00891097">
            <w:pPr>
              <w:jc w:val="center"/>
              <w:rPr>
                <w:b/>
                <w:sz w:val="20"/>
              </w:rPr>
            </w:pPr>
          </w:p>
        </w:tc>
        <w:tc>
          <w:tcPr>
            <w:tcW w:w="1170" w:type="dxa"/>
            <w:vMerge/>
            <w:vAlign w:val="bottom"/>
          </w:tcPr>
          <w:p w:rsidR="00891097" w:rsidRPr="00891097" w:rsidRDefault="00891097" w:rsidP="00891097">
            <w:pPr>
              <w:jc w:val="center"/>
              <w:rPr>
                <w:b/>
                <w:sz w:val="20"/>
              </w:rPr>
            </w:pPr>
          </w:p>
        </w:tc>
        <w:tc>
          <w:tcPr>
            <w:tcW w:w="1350" w:type="dxa"/>
            <w:vMerge/>
            <w:vAlign w:val="bottom"/>
          </w:tcPr>
          <w:p w:rsidR="00891097" w:rsidRPr="00891097" w:rsidRDefault="00891097" w:rsidP="00891097">
            <w:pPr>
              <w:jc w:val="center"/>
              <w:rPr>
                <w:b/>
                <w:sz w:val="20"/>
              </w:rPr>
            </w:pPr>
          </w:p>
        </w:tc>
        <w:tc>
          <w:tcPr>
            <w:tcW w:w="900" w:type="dxa"/>
            <w:tcBorders>
              <w:left w:val="nil"/>
              <w:bottom w:val="nil"/>
            </w:tcBorders>
            <w:vAlign w:val="bottom"/>
          </w:tcPr>
          <w:p w:rsidR="00891097" w:rsidRPr="00891097" w:rsidRDefault="00891097" w:rsidP="00891097">
            <w:pPr>
              <w:ind w:left="-105"/>
              <w:jc w:val="center"/>
              <w:rPr>
                <w:b/>
                <w:sz w:val="20"/>
              </w:rPr>
            </w:pPr>
            <w:r w:rsidRPr="00891097">
              <w:rPr>
                <w:b/>
                <w:sz w:val="20"/>
              </w:rPr>
              <w:t>Intake</w:t>
            </w:r>
          </w:p>
        </w:tc>
        <w:tc>
          <w:tcPr>
            <w:tcW w:w="1134" w:type="dxa"/>
            <w:tcBorders>
              <w:left w:val="nil"/>
              <w:bottom w:val="nil"/>
            </w:tcBorders>
            <w:vAlign w:val="bottom"/>
          </w:tcPr>
          <w:p w:rsidR="00891097" w:rsidRPr="00891097" w:rsidRDefault="00891097" w:rsidP="00891097">
            <w:pPr>
              <w:ind w:left="-105"/>
              <w:jc w:val="center"/>
              <w:rPr>
                <w:b/>
                <w:sz w:val="20"/>
              </w:rPr>
            </w:pPr>
            <w:r w:rsidRPr="00891097">
              <w:rPr>
                <w:b/>
                <w:sz w:val="20"/>
              </w:rPr>
              <w:t>Exhaust</w:t>
            </w:r>
          </w:p>
        </w:tc>
        <w:tc>
          <w:tcPr>
            <w:tcW w:w="2471" w:type="dxa"/>
            <w:vMerge/>
            <w:vAlign w:val="bottom"/>
          </w:tcPr>
          <w:p w:rsidR="00891097" w:rsidRPr="00891097" w:rsidRDefault="00891097" w:rsidP="00891097">
            <w:pPr>
              <w:jc w:val="center"/>
              <w:rPr>
                <w:b/>
                <w:sz w:val="20"/>
              </w:rPr>
            </w:pPr>
          </w:p>
        </w:tc>
      </w:tr>
      <w:tr w:rsidR="00891097" w:rsidRPr="00891097" w:rsidTr="00CA63FF">
        <w:tblPrEx>
          <w:tblCellMar>
            <w:top w:w="0" w:type="dxa"/>
            <w:bottom w:w="0" w:type="dxa"/>
          </w:tblCellMar>
        </w:tblPrEx>
        <w:trPr>
          <w:trHeight w:val="570"/>
          <w:jc w:val="center"/>
        </w:trPr>
        <w:tc>
          <w:tcPr>
            <w:tcW w:w="1535" w:type="dxa"/>
            <w:tcBorders>
              <w:bottom w:val="single" w:sz="6" w:space="0" w:color="000000"/>
            </w:tcBorders>
            <w:vAlign w:val="center"/>
          </w:tcPr>
          <w:p w:rsidR="00891097" w:rsidRPr="00891097" w:rsidRDefault="00891097" w:rsidP="00891097">
            <w:pPr>
              <w:rPr>
                <w:sz w:val="22"/>
                <w:szCs w:val="22"/>
              </w:rPr>
            </w:pPr>
            <w:r w:rsidRPr="00891097">
              <w:rPr>
                <w:sz w:val="22"/>
                <w:szCs w:val="22"/>
              </w:rPr>
              <w:t>Background</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343</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ND</w:t>
            </w:r>
          </w:p>
        </w:tc>
        <w:tc>
          <w:tcPr>
            <w:tcW w:w="81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32</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21</w:t>
            </w:r>
          </w:p>
        </w:tc>
        <w:tc>
          <w:tcPr>
            <w:tcW w:w="99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30</w:t>
            </w:r>
          </w:p>
        </w:tc>
        <w:tc>
          <w:tcPr>
            <w:tcW w:w="1170" w:type="dxa"/>
            <w:tcBorders>
              <w:bottom w:val="single" w:sz="6" w:space="0" w:color="000000"/>
            </w:tcBorders>
            <w:vAlign w:val="center"/>
          </w:tcPr>
          <w:p w:rsidR="00891097" w:rsidRPr="00891097" w:rsidRDefault="00891097" w:rsidP="00891097">
            <w:pPr>
              <w:jc w:val="center"/>
              <w:rPr>
                <w:sz w:val="22"/>
                <w:szCs w:val="22"/>
              </w:rPr>
            </w:pPr>
          </w:p>
        </w:tc>
        <w:tc>
          <w:tcPr>
            <w:tcW w:w="1350" w:type="dxa"/>
            <w:tcBorders>
              <w:bottom w:val="single" w:sz="6" w:space="0" w:color="000000"/>
            </w:tcBorders>
            <w:vAlign w:val="center"/>
          </w:tcPr>
          <w:p w:rsidR="00891097" w:rsidRPr="00891097" w:rsidRDefault="00891097" w:rsidP="00891097">
            <w:pPr>
              <w:jc w:val="center"/>
              <w:rPr>
                <w:sz w:val="22"/>
                <w:szCs w:val="22"/>
              </w:rPr>
            </w:pPr>
          </w:p>
        </w:tc>
        <w:tc>
          <w:tcPr>
            <w:tcW w:w="900" w:type="dxa"/>
            <w:tcBorders>
              <w:bottom w:val="single" w:sz="6" w:space="0" w:color="000000"/>
            </w:tcBorders>
            <w:vAlign w:val="center"/>
          </w:tcPr>
          <w:p w:rsidR="00891097" w:rsidRPr="00891097" w:rsidRDefault="00891097" w:rsidP="00891097">
            <w:pPr>
              <w:jc w:val="center"/>
              <w:rPr>
                <w:sz w:val="22"/>
                <w:szCs w:val="22"/>
              </w:rPr>
            </w:pPr>
          </w:p>
        </w:tc>
        <w:tc>
          <w:tcPr>
            <w:tcW w:w="1134" w:type="dxa"/>
            <w:tcBorders>
              <w:bottom w:val="single" w:sz="6" w:space="0" w:color="000000"/>
            </w:tcBorders>
            <w:vAlign w:val="center"/>
          </w:tcPr>
          <w:p w:rsidR="00891097" w:rsidRPr="00891097" w:rsidRDefault="00891097" w:rsidP="00891097">
            <w:pPr>
              <w:jc w:val="center"/>
              <w:rPr>
                <w:sz w:val="22"/>
                <w:szCs w:val="22"/>
              </w:rPr>
            </w:pPr>
          </w:p>
        </w:tc>
        <w:tc>
          <w:tcPr>
            <w:tcW w:w="2471" w:type="dxa"/>
            <w:tcBorders>
              <w:left w:val="nil"/>
              <w:bottom w:val="single" w:sz="6" w:space="0" w:color="000000"/>
            </w:tcBorders>
            <w:vAlign w:val="center"/>
          </w:tcPr>
          <w:p w:rsidR="00891097" w:rsidRPr="00891097" w:rsidRDefault="00891097" w:rsidP="00891097">
            <w:pPr>
              <w:rPr>
                <w:sz w:val="22"/>
                <w:szCs w:val="22"/>
              </w:rPr>
            </w:pPr>
          </w:p>
        </w:tc>
      </w:tr>
      <w:tr w:rsidR="00891097" w:rsidRPr="00891097" w:rsidTr="00CA63FF">
        <w:tblPrEx>
          <w:tblCellMar>
            <w:top w:w="0" w:type="dxa"/>
            <w:bottom w:w="0" w:type="dxa"/>
          </w:tblCellMar>
        </w:tblPrEx>
        <w:trPr>
          <w:trHeight w:val="570"/>
          <w:jc w:val="center"/>
        </w:trPr>
        <w:tc>
          <w:tcPr>
            <w:tcW w:w="1535" w:type="dxa"/>
            <w:tcBorders>
              <w:bottom w:val="single" w:sz="6" w:space="0" w:color="000000"/>
            </w:tcBorders>
            <w:vAlign w:val="center"/>
          </w:tcPr>
          <w:p w:rsidR="00891097" w:rsidRPr="00891097" w:rsidRDefault="00891097" w:rsidP="00891097">
            <w:pPr>
              <w:rPr>
                <w:sz w:val="22"/>
                <w:szCs w:val="22"/>
              </w:rPr>
            </w:pPr>
            <w:r w:rsidRPr="00891097">
              <w:rPr>
                <w:sz w:val="22"/>
                <w:szCs w:val="22"/>
              </w:rPr>
              <w:t>113A</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610</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ND</w:t>
            </w:r>
          </w:p>
        </w:tc>
        <w:tc>
          <w:tcPr>
            <w:tcW w:w="81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72</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11</w:t>
            </w:r>
          </w:p>
        </w:tc>
        <w:tc>
          <w:tcPr>
            <w:tcW w:w="99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2</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0</w:t>
            </w:r>
          </w:p>
        </w:tc>
        <w:tc>
          <w:tcPr>
            <w:tcW w:w="135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90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1134"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2471" w:type="dxa"/>
            <w:tcBorders>
              <w:left w:val="nil"/>
              <w:bottom w:val="single" w:sz="6" w:space="0" w:color="000000"/>
            </w:tcBorders>
            <w:vAlign w:val="center"/>
          </w:tcPr>
          <w:p w:rsidR="00891097" w:rsidRPr="00891097" w:rsidRDefault="00891097" w:rsidP="00891097">
            <w:pPr>
              <w:rPr>
                <w:sz w:val="22"/>
                <w:szCs w:val="22"/>
              </w:rPr>
            </w:pPr>
            <w:r w:rsidRPr="00891097">
              <w:rPr>
                <w:sz w:val="22"/>
                <w:szCs w:val="22"/>
              </w:rPr>
              <w:t>Water-damaged sill wood</w:t>
            </w:r>
          </w:p>
        </w:tc>
      </w:tr>
      <w:tr w:rsidR="00891097" w:rsidRPr="00891097" w:rsidTr="00CA63FF">
        <w:tblPrEx>
          <w:tblCellMar>
            <w:top w:w="0" w:type="dxa"/>
            <w:bottom w:w="0" w:type="dxa"/>
          </w:tblCellMar>
        </w:tblPrEx>
        <w:trPr>
          <w:trHeight w:val="570"/>
          <w:jc w:val="center"/>
        </w:trPr>
        <w:tc>
          <w:tcPr>
            <w:tcW w:w="1535" w:type="dxa"/>
            <w:tcBorders>
              <w:bottom w:val="single" w:sz="6" w:space="0" w:color="000000"/>
            </w:tcBorders>
            <w:vAlign w:val="center"/>
          </w:tcPr>
          <w:p w:rsidR="00891097" w:rsidRPr="00891097" w:rsidRDefault="00891097" w:rsidP="00891097">
            <w:pPr>
              <w:rPr>
                <w:sz w:val="22"/>
                <w:szCs w:val="22"/>
              </w:rPr>
            </w:pPr>
            <w:r w:rsidRPr="00891097">
              <w:rPr>
                <w:sz w:val="22"/>
                <w:szCs w:val="22"/>
              </w:rPr>
              <w:t>113B</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324</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ND</w:t>
            </w:r>
          </w:p>
        </w:tc>
        <w:tc>
          <w:tcPr>
            <w:tcW w:w="81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74</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9</w:t>
            </w:r>
          </w:p>
        </w:tc>
        <w:tc>
          <w:tcPr>
            <w:tcW w:w="99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4</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2</w:t>
            </w:r>
          </w:p>
        </w:tc>
        <w:tc>
          <w:tcPr>
            <w:tcW w:w="135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90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1134"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Rest room vent</w:t>
            </w:r>
          </w:p>
        </w:tc>
        <w:tc>
          <w:tcPr>
            <w:tcW w:w="2471" w:type="dxa"/>
            <w:tcBorders>
              <w:left w:val="nil"/>
              <w:bottom w:val="single" w:sz="6" w:space="0" w:color="000000"/>
            </w:tcBorders>
            <w:vAlign w:val="center"/>
          </w:tcPr>
          <w:p w:rsidR="00891097" w:rsidRPr="00891097" w:rsidRDefault="00891097" w:rsidP="00891097">
            <w:pPr>
              <w:rPr>
                <w:sz w:val="22"/>
                <w:szCs w:val="22"/>
              </w:rPr>
            </w:pPr>
            <w:r w:rsidRPr="00891097">
              <w:rPr>
                <w:sz w:val="22"/>
                <w:szCs w:val="22"/>
              </w:rPr>
              <w:t>Water-damaged sill wood</w:t>
            </w:r>
          </w:p>
        </w:tc>
      </w:tr>
      <w:tr w:rsidR="00891097" w:rsidRPr="00891097" w:rsidTr="00CA63FF">
        <w:tblPrEx>
          <w:tblCellMar>
            <w:top w:w="0" w:type="dxa"/>
            <w:bottom w:w="0" w:type="dxa"/>
          </w:tblCellMar>
        </w:tblPrEx>
        <w:trPr>
          <w:trHeight w:val="570"/>
          <w:jc w:val="center"/>
        </w:trPr>
        <w:tc>
          <w:tcPr>
            <w:tcW w:w="1535" w:type="dxa"/>
            <w:tcBorders>
              <w:bottom w:val="single" w:sz="6" w:space="0" w:color="000000"/>
            </w:tcBorders>
            <w:vAlign w:val="center"/>
          </w:tcPr>
          <w:p w:rsidR="00891097" w:rsidRPr="00891097" w:rsidRDefault="00891097" w:rsidP="00891097">
            <w:pPr>
              <w:rPr>
                <w:sz w:val="22"/>
                <w:szCs w:val="22"/>
              </w:rPr>
            </w:pPr>
            <w:r w:rsidRPr="00891097">
              <w:rPr>
                <w:sz w:val="22"/>
                <w:szCs w:val="22"/>
              </w:rPr>
              <w:t>115A</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1107</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ND</w:t>
            </w:r>
          </w:p>
        </w:tc>
        <w:tc>
          <w:tcPr>
            <w:tcW w:w="81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76</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14</w:t>
            </w:r>
          </w:p>
        </w:tc>
        <w:tc>
          <w:tcPr>
            <w:tcW w:w="99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5</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7</w:t>
            </w:r>
          </w:p>
        </w:tc>
        <w:tc>
          <w:tcPr>
            <w:tcW w:w="135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w:t>
            </w:r>
          </w:p>
        </w:tc>
        <w:tc>
          <w:tcPr>
            <w:tcW w:w="90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w:t>
            </w:r>
          </w:p>
        </w:tc>
        <w:tc>
          <w:tcPr>
            <w:tcW w:w="1134"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2471" w:type="dxa"/>
            <w:tcBorders>
              <w:left w:val="nil"/>
              <w:bottom w:val="single" w:sz="6" w:space="0" w:color="000000"/>
            </w:tcBorders>
            <w:vAlign w:val="center"/>
          </w:tcPr>
          <w:p w:rsidR="00891097" w:rsidRPr="00891097" w:rsidRDefault="00891097" w:rsidP="00891097">
            <w:pPr>
              <w:rPr>
                <w:sz w:val="22"/>
                <w:szCs w:val="22"/>
              </w:rPr>
            </w:pPr>
            <w:r w:rsidRPr="00891097">
              <w:rPr>
                <w:sz w:val="22"/>
                <w:szCs w:val="22"/>
              </w:rPr>
              <w:t>Dehumidifier in use</w:t>
            </w:r>
          </w:p>
        </w:tc>
      </w:tr>
      <w:tr w:rsidR="00891097" w:rsidRPr="00891097" w:rsidTr="00CA63FF">
        <w:tblPrEx>
          <w:tblCellMar>
            <w:top w:w="0" w:type="dxa"/>
            <w:bottom w:w="0" w:type="dxa"/>
          </w:tblCellMar>
        </w:tblPrEx>
        <w:trPr>
          <w:trHeight w:val="570"/>
          <w:jc w:val="center"/>
        </w:trPr>
        <w:tc>
          <w:tcPr>
            <w:tcW w:w="1535" w:type="dxa"/>
            <w:tcBorders>
              <w:bottom w:val="single" w:sz="6" w:space="0" w:color="000000"/>
            </w:tcBorders>
            <w:vAlign w:val="center"/>
          </w:tcPr>
          <w:p w:rsidR="00891097" w:rsidRPr="00891097" w:rsidRDefault="00891097" w:rsidP="00891097">
            <w:pPr>
              <w:rPr>
                <w:sz w:val="22"/>
                <w:szCs w:val="22"/>
              </w:rPr>
            </w:pPr>
            <w:r w:rsidRPr="00891097">
              <w:rPr>
                <w:sz w:val="22"/>
                <w:szCs w:val="22"/>
              </w:rPr>
              <w:t>115B</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700</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ND</w:t>
            </w:r>
          </w:p>
        </w:tc>
        <w:tc>
          <w:tcPr>
            <w:tcW w:w="81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76</w:t>
            </w:r>
          </w:p>
        </w:tc>
        <w:tc>
          <w:tcPr>
            <w:tcW w:w="108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11</w:t>
            </w:r>
          </w:p>
        </w:tc>
        <w:tc>
          <w:tcPr>
            <w:tcW w:w="99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5</w:t>
            </w:r>
          </w:p>
        </w:tc>
        <w:tc>
          <w:tcPr>
            <w:tcW w:w="117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0</w:t>
            </w:r>
          </w:p>
        </w:tc>
        <w:tc>
          <w:tcPr>
            <w:tcW w:w="135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w:t>
            </w:r>
          </w:p>
        </w:tc>
        <w:tc>
          <w:tcPr>
            <w:tcW w:w="900"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N</w:t>
            </w:r>
          </w:p>
        </w:tc>
        <w:tc>
          <w:tcPr>
            <w:tcW w:w="1134" w:type="dxa"/>
            <w:tcBorders>
              <w:bottom w:val="single" w:sz="6" w:space="0" w:color="000000"/>
            </w:tcBorders>
            <w:vAlign w:val="center"/>
          </w:tcPr>
          <w:p w:rsidR="00891097" w:rsidRPr="00891097" w:rsidRDefault="00891097" w:rsidP="00891097">
            <w:pPr>
              <w:jc w:val="center"/>
              <w:rPr>
                <w:sz w:val="22"/>
                <w:szCs w:val="22"/>
              </w:rPr>
            </w:pPr>
            <w:r w:rsidRPr="00891097">
              <w:rPr>
                <w:sz w:val="22"/>
                <w:szCs w:val="22"/>
              </w:rPr>
              <w:t>Y</w:t>
            </w:r>
          </w:p>
        </w:tc>
        <w:tc>
          <w:tcPr>
            <w:tcW w:w="2471" w:type="dxa"/>
            <w:tcBorders>
              <w:left w:val="nil"/>
              <w:bottom w:val="single" w:sz="6" w:space="0" w:color="000000"/>
            </w:tcBorders>
            <w:vAlign w:val="center"/>
          </w:tcPr>
          <w:p w:rsidR="00891097" w:rsidRPr="00891097" w:rsidRDefault="00891097" w:rsidP="00891097">
            <w:pPr>
              <w:rPr>
                <w:sz w:val="22"/>
                <w:szCs w:val="22"/>
              </w:rPr>
            </w:pPr>
            <w:r w:rsidRPr="00891097">
              <w:rPr>
                <w:sz w:val="22"/>
                <w:szCs w:val="22"/>
              </w:rPr>
              <w:t>Gym mats on wall and floor</w:t>
            </w:r>
          </w:p>
        </w:tc>
      </w:tr>
    </w:tbl>
    <w:p w:rsidR="00891097" w:rsidRPr="00891097" w:rsidRDefault="00891097" w:rsidP="00891097"/>
    <w:p w:rsidR="00A009E4" w:rsidRPr="00C86CE2" w:rsidRDefault="00A009E4" w:rsidP="002465E4">
      <w:pPr>
        <w:pStyle w:val="BodyText2"/>
      </w:pPr>
    </w:p>
    <w:sectPr w:rsidR="00A009E4" w:rsidRPr="00C86CE2" w:rsidSect="00860215">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83" w:rsidRDefault="00225083">
      <w:r>
        <w:separator/>
      </w:r>
    </w:p>
  </w:endnote>
  <w:endnote w:type="continuationSeparator" w:id="0">
    <w:p w:rsidR="00225083" w:rsidRDefault="0022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07B">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FF" w:rsidRDefault="00CA63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FF" w:rsidRDefault="00CA63FF"/>
  <w:tbl>
    <w:tblPr>
      <w:tblW w:w="13937" w:type="dxa"/>
      <w:jc w:val="center"/>
      <w:tblInd w:w="-98" w:type="dxa"/>
      <w:tblLayout w:type="fixed"/>
      <w:tblLook w:val="0000" w:firstRow="0" w:lastRow="0" w:firstColumn="0" w:lastColumn="0" w:noHBand="0" w:noVBand="0"/>
    </w:tblPr>
    <w:tblGrid>
      <w:gridCol w:w="3407"/>
      <w:gridCol w:w="2662"/>
      <w:gridCol w:w="2700"/>
      <w:gridCol w:w="2610"/>
      <w:gridCol w:w="2558"/>
    </w:tblGrid>
    <w:tr w:rsidR="00CA63FF" w:rsidRPr="00F374D5" w:rsidTr="00CA63FF">
      <w:trPr>
        <w:trHeight w:val="266"/>
        <w:jc w:val="center"/>
      </w:trPr>
      <w:tc>
        <w:tcPr>
          <w:tcW w:w="3407"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sidRPr="00F374D5">
            <w:rPr>
              <w:rFonts w:ascii="Times" w:hAnsi="Times" w:cs="Times"/>
              <w:sz w:val="20"/>
            </w:rPr>
            <w:t>ppm = parts per million</w:t>
          </w:r>
        </w:p>
      </w:tc>
      <w:tc>
        <w:tcPr>
          <w:tcW w:w="2662"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 xml:space="preserve">WD = water-damaged </w:t>
          </w:r>
        </w:p>
      </w:tc>
      <w:tc>
        <w:tcPr>
          <w:tcW w:w="270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DO = door open</w:t>
          </w:r>
        </w:p>
      </w:tc>
      <w:tc>
        <w:tcPr>
          <w:tcW w:w="261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CP = cleaning products</w:t>
          </w:r>
        </w:p>
      </w:tc>
      <w:tc>
        <w:tcPr>
          <w:tcW w:w="2558"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AC = air conditioner</w:t>
          </w:r>
        </w:p>
      </w:tc>
    </w:tr>
    <w:tr w:rsidR="00CA63FF" w:rsidRPr="00F374D5" w:rsidTr="00CA63FF">
      <w:trPr>
        <w:trHeight w:val="300"/>
        <w:jc w:val="center"/>
      </w:trPr>
      <w:tc>
        <w:tcPr>
          <w:tcW w:w="3407"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sidRPr="00F374D5">
            <w:rPr>
              <w:rFonts w:ascii="Times" w:hAnsi="Times" w:cs="Times"/>
              <w:sz w:val="20"/>
            </w:rPr>
            <w:t>µg/m</w:t>
          </w:r>
          <w:r w:rsidRPr="00D063FC">
            <w:rPr>
              <w:rFonts w:ascii="Times" w:hAnsi="Times" w:cs="Times"/>
              <w:sz w:val="20"/>
              <w:vertAlign w:val="superscript"/>
            </w:rPr>
            <w:t xml:space="preserve">3 </w:t>
          </w:r>
          <w:r w:rsidRPr="00F374D5">
            <w:rPr>
              <w:rFonts w:ascii="Times" w:hAnsi="Times" w:cs="Times"/>
              <w:sz w:val="20"/>
            </w:rPr>
            <w:t>= micrograms per cubic meter</w:t>
          </w:r>
        </w:p>
      </w:tc>
      <w:tc>
        <w:tcPr>
          <w:tcW w:w="2662"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UV = univent</w:t>
          </w:r>
        </w:p>
      </w:tc>
      <w:tc>
        <w:tcPr>
          <w:tcW w:w="261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sidRPr="00F374D5">
            <w:rPr>
              <w:rFonts w:ascii="Times" w:hAnsi="Times" w:cs="Times"/>
              <w:sz w:val="20"/>
            </w:rPr>
            <w:t>PF = personal fan</w:t>
          </w:r>
        </w:p>
      </w:tc>
      <w:tc>
        <w:tcPr>
          <w:tcW w:w="2558"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CF = ceiling fan</w:t>
          </w:r>
        </w:p>
      </w:tc>
    </w:tr>
    <w:tr w:rsidR="00CA63FF" w:rsidRPr="00F374D5" w:rsidTr="00CA63FF">
      <w:trPr>
        <w:trHeight w:val="300"/>
        <w:jc w:val="center"/>
      </w:trPr>
      <w:tc>
        <w:tcPr>
          <w:tcW w:w="3407"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ND = non-detect</w:t>
          </w:r>
        </w:p>
      </w:tc>
      <w:tc>
        <w:tcPr>
          <w:tcW w:w="2662" w:type="dxa"/>
          <w:tcBorders>
            <w:top w:val="nil"/>
            <w:left w:val="nil"/>
            <w:bottom w:val="nil"/>
            <w:right w:val="nil"/>
          </w:tcBorders>
          <w:shd w:val="clear" w:color="auto" w:fill="auto"/>
          <w:noWrap/>
          <w:vAlign w:val="bottom"/>
        </w:tcPr>
        <w:p w:rsidR="00CA63FF" w:rsidRDefault="00CA63FF" w:rsidP="00CA63FF">
          <w:pPr>
            <w:rPr>
              <w:rFonts w:ascii="Times" w:hAnsi="Times" w:cs="Times"/>
              <w:sz w:val="20"/>
            </w:rPr>
          </w:pPr>
          <w:r>
            <w:rPr>
              <w:rFonts w:ascii="Times" w:hAnsi="Times" w:cs="Times"/>
              <w:sz w:val="20"/>
            </w:rPr>
            <w:t xml:space="preserve">UF = upholstered </w:t>
          </w:r>
          <w:proofErr w:type="spellStart"/>
          <w:r>
            <w:rPr>
              <w:rFonts w:ascii="Times" w:hAnsi="Times" w:cs="Times"/>
              <w:sz w:val="20"/>
            </w:rPr>
            <w:t>furntiure</w:t>
          </w:r>
          <w:proofErr w:type="spellEnd"/>
        </w:p>
      </w:tc>
      <w:tc>
        <w:tcPr>
          <w:tcW w:w="270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p>
      </w:tc>
      <w:tc>
        <w:tcPr>
          <w:tcW w:w="261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p>
      </w:tc>
      <w:tc>
        <w:tcPr>
          <w:tcW w:w="2558"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p>
      </w:tc>
    </w:tr>
  </w:tbl>
  <w:p w:rsidR="00CA63FF" w:rsidRDefault="00CA63FF" w:rsidP="00CA63FF">
    <w:pPr>
      <w:jc w:val="right"/>
      <w:rPr>
        <w:sz w:val="20"/>
      </w:rPr>
    </w:pPr>
  </w:p>
  <w:p w:rsidR="00CA63FF" w:rsidRDefault="00CA63FF" w:rsidP="00CA63F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A63FF" w:rsidTr="00CA63FF">
      <w:tblPrEx>
        <w:tblCellMar>
          <w:top w:w="0" w:type="dxa"/>
          <w:bottom w:w="0" w:type="dxa"/>
        </w:tblCellMar>
      </w:tblPrEx>
      <w:tc>
        <w:tcPr>
          <w:tcW w:w="2718" w:type="dxa"/>
        </w:tcPr>
        <w:p w:rsidR="00CA63FF" w:rsidRDefault="00CA63FF" w:rsidP="00CA63F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CA63FF" w:rsidRDefault="00CA63FF" w:rsidP="00CA63FF">
          <w:pPr>
            <w:rPr>
              <w:sz w:val="20"/>
            </w:rPr>
          </w:pPr>
          <w:r>
            <w:rPr>
              <w:sz w:val="20"/>
            </w:rPr>
            <w:t>&lt; 600 ppm = preferred</w:t>
          </w:r>
        </w:p>
      </w:tc>
      <w:tc>
        <w:tcPr>
          <w:tcW w:w="3600" w:type="dxa"/>
        </w:tcPr>
        <w:p w:rsidR="00CA63FF" w:rsidRDefault="00CA63FF" w:rsidP="00CA63FF">
          <w:pPr>
            <w:jc w:val="right"/>
            <w:rPr>
              <w:sz w:val="20"/>
            </w:rPr>
          </w:pPr>
          <w:r>
            <w:rPr>
              <w:sz w:val="20"/>
            </w:rPr>
            <w:t>Temperature:</w:t>
          </w:r>
        </w:p>
      </w:tc>
      <w:tc>
        <w:tcPr>
          <w:tcW w:w="3420" w:type="dxa"/>
        </w:tcPr>
        <w:p w:rsidR="00CA63FF" w:rsidRDefault="00CA63FF" w:rsidP="00CA63FF">
          <w:pPr>
            <w:rPr>
              <w:sz w:val="20"/>
            </w:rPr>
          </w:pPr>
          <w:r>
            <w:rPr>
              <w:sz w:val="20"/>
            </w:rPr>
            <w:t>70 - 78 °F</w:t>
          </w:r>
        </w:p>
      </w:tc>
    </w:tr>
    <w:tr w:rsidR="00CA63FF" w:rsidTr="00CA63FF">
      <w:tblPrEx>
        <w:tblCellMar>
          <w:top w:w="0" w:type="dxa"/>
          <w:bottom w:w="0" w:type="dxa"/>
        </w:tblCellMar>
      </w:tblPrEx>
      <w:tc>
        <w:tcPr>
          <w:tcW w:w="2718" w:type="dxa"/>
        </w:tcPr>
        <w:p w:rsidR="00CA63FF" w:rsidRDefault="00CA63FF" w:rsidP="00CA63FF">
          <w:pPr>
            <w:jc w:val="right"/>
            <w:rPr>
              <w:sz w:val="20"/>
            </w:rPr>
          </w:pPr>
        </w:p>
      </w:tc>
      <w:tc>
        <w:tcPr>
          <w:tcW w:w="4860" w:type="dxa"/>
        </w:tcPr>
        <w:p w:rsidR="00CA63FF" w:rsidRDefault="00CA63FF" w:rsidP="00CA63FF">
          <w:pPr>
            <w:rPr>
              <w:sz w:val="20"/>
            </w:rPr>
          </w:pPr>
          <w:r>
            <w:rPr>
              <w:sz w:val="20"/>
            </w:rPr>
            <w:t>600 - 800 ppm = acceptable</w:t>
          </w:r>
        </w:p>
      </w:tc>
      <w:tc>
        <w:tcPr>
          <w:tcW w:w="3600" w:type="dxa"/>
        </w:tcPr>
        <w:p w:rsidR="00CA63FF" w:rsidRDefault="00CA63FF" w:rsidP="00CA63FF">
          <w:pPr>
            <w:jc w:val="right"/>
            <w:rPr>
              <w:sz w:val="20"/>
            </w:rPr>
          </w:pPr>
          <w:r>
            <w:rPr>
              <w:sz w:val="20"/>
            </w:rPr>
            <w:t>Relative Humidity:</w:t>
          </w:r>
        </w:p>
      </w:tc>
      <w:tc>
        <w:tcPr>
          <w:tcW w:w="3420" w:type="dxa"/>
        </w:tcPr>
        <w:p w:rsidR="00CA63FF" w:rsidRDefault="00CA63FF" w:rsidP="00CA63FF">
          <w:pPr>
            <w:rPr>
              <w:sz w:val="20"/>
            </w:rPr>
          </w:pPr>
          <w:r>
            <w:rPr>
              <w:sz w:val="20"/>
            </w:rPr>
            <w:t>40 - 60%</w:t>
          </w:r>
        </w:p>
      </w:tc>
    </w:tr>
    <w:tr w:rsidR="00CA63FF" w:rsidTr="00CA63FF">
      <w:tblPrEx>
        <w:tblCellMar>
          <w:top w:w="0" w:type="dxa"/>
          <w:bottom w:w="0" w:type="dxa"/>
        </w:tblCellMar>
      </w:tblPrEx>
      <w:tc>
        <w:tcPr>
          <w:tcW w:w="2718" w:type="dxa"/>
        </w:tcPr>
        <w:p w:rsidR="00CA63FF" w:rsidRDefault="00CA63FF" w:rsidP="00CA63FF">
          <w:pPr>
            <w:jc w:val="right"/>
            <w:rPr>
              <w:sz w:val="20"/>
            </w:rPr>
          </w:pPr>
        </w:p>
      </w:tc>
      <w:tc>
        <w:tcPr>
          <w:tcW w:w="4860" w:type="dxa"/>
        </w:tcPr>
        <w:p w:rsidR="00CA63FF" w:rsidRDefault="00CA63FF" w:rsidP="00CA63FF">
          <w:pPr>
            <w:rPr>
              <w:sz w:val="20"/>
            </w:rPr>
          </w:pPr>
          <w:r>
            <w:rPr>
              <w:sz w:val="20"/>
            </w:rPr>
            <w:t>&gt; 800 ppm = indicative of ventilation problems</w:t>
          </w:r>
        </w:p>
      </w:tc>
      <w:tc>
        <w:tcPr>
          <w:tcW w:w="3600" w:type="dxa"/>
        </w:tcPr>
        <w:p w:rsidR="00CA63FF" w:rsidRDefault="00CA63FF" w:rsidP="00CA63FF">
          <w:pPr>
            <w:rPr>
              <w:sz w:val="20"/>
            </w:rPr>
          </w:pPr>
        </w:p>
      </w:tc>
      <w:tc>
        <w:tcPr>
          <w:tcW w:w="3420" w:type="dxa"/>
        </w:tcPr>
        <w:p w:rsidR="00CA63FF" w:rsidRDefault="00CA63FF" w:rsidP="00CA63FF">
          <w:pPr>
            <w:rPr>
              <w:sz w:val="20"/>
            </w:rPr>
          </w:pPr>
        </w:p>
      </w:tc>
    </w:tr>
  </w:tbl>
  <w:p w:rsidR="00CA63FF" w:rsidRDefault="00CA63FF" w:rsidP="00CA63FF">
    <w:pPr>
      <w:pStyle w:val="Footer"/>
      <w:jc w:val="center"/>
    </w:pPr>
  </w:p>
  <w:p w:rsidR="00CA63FF" w:rsidRPr="00FB37EB" w:rsidRDefault="00CA63FF" w:rsidP="00CA63F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FF" w:rsidRDefault="00CA63FF"/>
  <w:tbl>
    <w:tblPr>
      <w:tblW w:w="8769" w:type="dxa"/>
      <w:jc w:val="center"/>
      <w:tblInd w:w="-98" w:type="dxa"/>
      <w:tblLayout w:type="fixed"/>
      <w:tblLook w:val="0000" w:firstRow="0" w:lastRow="0" w:firstColumn="0" w:lastColumn="0" w:noHBand="0" w:noVBand="0"/>
    </w:tblPr>
    <w:tblGrid>
      <w:gridCol w:w="2765"/>
      <w:gridCol w:w="3510"/>
      <w:gridCol w:w="2494"/>
    </w:tblGrid>
    <w:tr w:rsidR="00CA63FF" w:rsidRPr="00F374D5" w:rsidTr="00CA63FF">
      <w:trPr>
        <w:trHeight w:val="266"/>
        <w:jc w:val="center"/>
      </w:trPr>
      <w:tc>
        <w:tcPr>
          <w:tcW w:w="2765"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sidRPr="00F374D5">
            <w:rPr>
              <w:rFonts w:ascii="Times" w:hAnsi="Times" w:cs="Times"/>
              <w:sz w:val="20"/>
            </w:rPr>
            <w:t>ppm = parts per million</w:t>
          </w:r>
        </w:p>
      </w:tc>
      <w:tc>
        <w:tcPr>
          <w:tcW w:w="3510"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sidRPr="00F374D5">
            <w:rPr>
              <w:rFonts w:ascii="Times" w:hAnsi="Times" w:cs="Times"/>
              <w:sz w:val="20"/>
            </w:rPr>
            <w:t>µg/m</w:t>
          </w:r>
          <w:r w:rsidRPr="00D063FC">
            <w:rPr>
              <w:rFonts w:ascii="Times" w:hAnsi="Times" w:cs="Times"/>
              <w:sz w:val="20"/>
              <w:vertAlign w:val="superscript"/>
            </w:rPr>
            <w:t xml:space="preserve">3 </w:t>
          </w:r>
          <w:r w:rsidRPr="00F374D5">
            <w:rPr>
              <w:rFonts w:ascii="Times" w:hAnsi="Times" w:cs="Times"/>
              <w:sz w:val="20"/>
            </w:rPr>
            <w:t>= micrograms per cubic meter</w:t>
          </w:r>
        </w:p>
      </w:tc>
      <w:tc>
        <w:tcPr>
          <w:tcW w:w="2494" w:type="dxa"/>
          <w:tcBorders>
            <w:top w:val="nil"/>
            <w:left w:val="nil"/>
            <w:bottom w:val="nil"/>
            <w:right w:val="nil"/>
          </w:tcBorders>
          <w:shd w:val="clear" w:color="auto" w:fill="auto"/>
          <w:noWrap/>
          <w:vAlign w:val="bottom"/>
        </w:tcPr>
        <w:p w:rsidR="00CA63FF" w:rsidRPr="00F374D5" w:rsidRDefault="00CA63FF" w:rsidP="00CA63FF">
          <w:pPr>
            <w:rPr>
              <w:rFonts w:ascii="Times" w:hAnsi="Times" w:cs="Times"/>
              <w:sz w:val="20"/>
            </w:rPr>
          </w:pPr>
          <w:r>
            <w:rPr>
              <w:rFonts w:ascii="Times" w:hAnsi="Times" w:cs="Times"/>
              <w:sz w:val="20"/>
            </w:rPr>
            <w:t>ND = non-detect</w:t>
          </w:r>
        </w:p>
      </w:tc>
    </w:tr>
  </w:tbl>
  <w:p w:rsidR="00CA63FF" w:rsidRDefault="00CA63FF" w:rsidP="00CA63FF">
    <w:pPr>
      <w:jc w:val="right"/>
      <w:rPr>
        <w:sz w:val="20"/>
      </w:rPr>
    </w:pPr>
  </w:p>
  <w:p w:rsidR="00CA63FF" w:rsidRDefault="00CA63FF" w:rsidP="00CA63F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A63FF" w:rsidTr="00CA63FF">
      <w:tblPrEx>
        <w:tblCellMar>
          <w:top w:w="0" w:type="dxa"/>
          <w:bottom w:w="0" w:type="dxa"/>
        </w:tblCellMar>
      </w:tblPrEx>
      <w:tc>
        <w:tcPr>
          <w:tcW w:w="2718" w:type="dxa"/>
        </w:tcPr>
        <w:p w:rsidR="00CA63FF" w:rsidRPr="00815E6E" w:rsidRDefault="00CA63FF" w:rsidP="00CA63FF">
          <w:pPr>
            <w:rPr>
              <w:sz w:val="20"/>
            </w:rPr>
          </w:pPr>
          <w:r w:rsidRPr="00815E6E">
            <w:rPr>
              <w:sz w:val="20"/>
            </w:rPr>
            <w:t>Carbon Dioxide:</w:t>
          </w:r>
        </w:p>
      </w:tc>
      <w:tc>
        <w:tcPr>
          <w:tcW w:w="4860" w:type="dxa"/>
        </w:tcPr>
        <w:p w:rsidR="00CA63FF" w:rsidRPr="00815E6E" w:rsidRDefault="00CA63FF" w:rsidP="00CA63FF">
          <w:pPr>
            <w:rPr>
              <w:sz w:val="20"/>
            </w:rPr>
          </w:pPr>
          <w:r w:rsidRPr="00815E6E">
            <w:rPr>
              <w:sz w:val="20"/>
            </w:rPr>
            <w:t>&lt; 800 ppm = preferred</w:t>
          </w:r>
        </w:p>
      </w:tc>
      <w:tc>
        <w:tcPr>
          <w:tcW w:w="3600" w:type="dxa"/>
        </w:tcPr>
        <w:p w:rsidR="00CA63FF" w:rsidRPr="00815E6E" w:rsidRDefault="00CA63FF" w:rsidP="00CA63FF">
          <w:pPr>
            <w:rPr>
              <w:sz w:val="20"/>
            </w:rPr>
          </w:pPr>
          <w:r w:rsidRPr="00815E6E">
            <w:rPr>
              <w:sz w:val="20"/>
            </w:rPr>
            <w:t>Temperature:</w:t>
          </w:r>
        </w:p>
      </w:tc>
      <w:tc>
        <w:tcPr>
          <w:tcW w:w="3420" w:type="dxa"/>
        </w:tcPr>
        <w:p w:rsidR="00CA63FF" w:rsidRPr="00815E6E" w:rsidRDefault="00CA63FF" w:rsidP="00CA63FF">
          <w:pPr>
            <w:rPr>
              <w:sz w:val="20"/>
            </w:rPr>
          </w:pPr>
          <w:r w:rsidRPr="00815E6E">
            <w:rPr>
              <w:sz w:val="20"/>
            </w:rPr>
            <w:t>70 - 78 °F</w:t>
          </w:r>
        </w:p>
      </w:tc>
    </w:tr>
    <w:tr w:rsidR="00CA63FF" w:rsidTr="00CA63FF">
      <w:tblPrEx>
        <w:tblCellMar>
          <w:top w:w="0" w:type="dxa"/>
          <w:bottom w:w="0" w:type="dxa"/>
        </w:tblCellMar>
      </w:tblPrEx>
      <w:tc>
        <w:tcPr>
          <w:tcW w:w="2718" w:type="dxa"/>
        </w:tcPr>
        <w:p w:rsidR="00CA63FF" w:rsidRPr="00815E6E" w:rsidRDefault="00CA63FF" w:rsidP="00CA63FF">
          <w:pPr>
            <w:rPr>
              <w:sz w:val="20"/>
            </w:rPr>
          </w:pPr>
        </w:p>
      </w:tc>
      <w:tc>
        <w:tcPr>
          <w:tcW w:w="4860" w:type="dxa"/>
        </w:tcPr>
        <w:p w:rsidR="00CA63FF" w:rsidRPr="00815E6E" w:rsidRDefault="00CA63FF" w:rsidP="00CA63FF">
          <w:pPr>
            <w:rPr>
              <w:sz w:val="20"/>
            </w:rPr>
          </w:pPr>
          <w:r w:rsidRPr="00815E6E">
            <w:rPr>
              <w:sz w:val="20"/>
            </w:rPr>
            <w:t>&gt; 800 ppm = indicative of ventilation problems</w:t>
          </w:r>
        </w:p>
      </w:tc>
      <w:tc>
        <w:tcPr>
          <w:tcW w:w="3600" w:type="dxa"/>
        </w:tcPr>
        <w:p w:rsidR="00CA63FF" w:rsidRPr="00815E6E" w:rsidRDefault="00CA63FF" w:rsidP="00CA63FF">
          <w:pPr>
            <w:rPr>
              <w:sz w:val="20"/>
            </w:rPr>
          </w:pPr>
          <w:r w:rsidRPr="00815E6E">
            <w:rPr>
              <w:sz w:val="20"/>
            </w:rPr>
            <w:t>Relative Humidity:</w:t>
          </w:r>
        </w:p>
      </w:tc>
      <w:tc>
        <w:tcPr>
          <w:tcW w:w="3420" w:type="dxa"/>
        </w:tcPr>
        <w:p w:rsidR="00CA63FF" w:rsidRPr="00815E6E" w:rsidRDefault="00CA63FF" w:rsidP="00CA63FF">
          <w:pPr>
            <w:rPr>
              <w:sz w:val="20"/>
            </w:rPr>
          </w:pPr>
          <w:r w:rsidRPr="00815E6E">
            <w:rPr>
              <w:sz w:val="20"/>
            </w:rPr>
            <w:t>40 - 60%</w:t>
          </w:r>
        </w:p>
      </w:tc>
    </w:tr>
  </w:tbl>
  <w:p w:rsidR="00CA63FF" w:rsidRDefault="00CA63FF" w:rsidP="00CA63FF">
    <w:pPr>
      <w:pStyle w:val="Footer"/>
      <w:jc w:val="center"/>
    </w:pPr>
  </w:p>
  <w:p w:rsidR="00CA63FF" w:rsidRDefault="00CA63FF" w:rsidP="00CA63F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A4207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83" w:rsidRDefault="00225083">
      <w:r>
        <w:separator/>
      </w:r>
    </w:p>
  </w:footnote>
  <w:footnote w:type="continuationSeparator" w:id="0">
    <w:p w:rsidR="00225083" w:rsidRDefault="00225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FF" w:rsidRDefault="00CA63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CA63FF" w:rsidTr="00CA63FF">
      <w:tblPrEx>
        <w:tblCellMar>
          <w:top w:w="0" w:type="dxa"/>
          <w:bottom w:w="0" w:type="dxa"/>
        </w:tblCellMar>
      </w:tblPrEx>
      <w:trPr>
        <w:cantSplit/>
      </w:trPr>
      <w:tc>
        <w:tcPr>
          <w:tcW w:w="12258" w:type="dxa"/>
          <w:gridSpan w:val="3"/>
        </w:tcPr>
        <w:p w:rsidR="00CA63FF" w:rsidRPr="00677AC6" w:rsidRDefault="00CA63FF" w:rsidP="00CA63FF">
          <w:pPr>
            <w:pStyle w:val="Header"/>
            <w:spacing w:before="60" w:after="60"/>
            <w:rPr>
              <w:b/>
            </w:rPr>
          </w:pPr>
          <w:r>
            <w:rPr>
              <w:b/>
            </w:rPr>
            <w:t>Location: Richer Elementary School</w:t>
          </w:r>
        </w:p>
      </w:tc>
      <w:tc>
        <w:tcPr>
          <w:tcW w:w="2358" w:type="dxa"/>
        </w:tcPr>
        <w:p w:rsidR="00CA63FF" w:rsidRDefault="00CA63FF" w:rsidP="00CA63FF">
          <w:pPr>
            <w:pStyle w:val="Header"/>
            <w:tabs>
              <w:tab w:val="clear" w:pos="4320"/>
              <w:tab w:val="clear" w:pos="8640"/>
            </w:tabs>
            <w:spacing w:before="60" w:after="60"/>
            <w:rPr>
              <w:b/>
            </w:rPr>
          </w:pPr>
          <w:r>
            <w:rPr>
              <w:b/>
            </w:rPr>
            <w:t>Indoor Air Results</w:t>
          </w:r>
        </w:p>
      </w:tc>
    </w:tr>
    <w:tr w:rsidR="00CA63FF" w:rsidTr="00CA63FF">
      <w:tblPrEx>
        <w:tblCellMar>
          <w:top w:w="0" w:type="dxa"/>
          <w:bottom w:w="0" w:type="dxa"/>
        </w:tblCellMar>
      </w:tblPrEx>
      <w:trPr>
        <w:cantSplit/>
      </w:trPr>
      <w:tc>
        <w:tcPr>
          <w:tcW w:w="4872" w:type="dxa"/>
        </w:tcPr>
        <w:p w:rsidR="00CA63FF" w:rsidRDefault="00CA63FF" w:rsidP="00CA63FF">
          <w:pPr>
            <w:pStyle w:val="Header"/>
            <w:tabs>
              <w:tab w:val="clear" w:pos="4320"/>
              <w:tab w:val="clear" w:pos="8640"/>
            </w:tabs>
            <w:spacing w:before="60" w:after="60"/>
            <w:rPr>
              <w:b/>
            </w:rPr>
          </w:pPr>
          <w:r>
            <w:rPr>
              <w:b/>
            </w:rPr>
            <w:t>Address: 80 Foley Road, Marlborough, MA</w:t>
          </w:r>
        </w:p>
      </w:tc>
      <w:tc>
        <w:tcPr>
          <w:tcW w:w="4872" w:type="dxa"/>
        </w:tcPr>
        <w:p w:rsidR="00CA63FF" w:rsidRDefault="00CA63FF" w:rsidP="00CA63FF">
          <w:pPr>
            <w:pStyle w:val="Header"/>
            <w:tabs>
              <w:tab w:val="clear" w:pos="4320"/>
              <w:tab w:val="clear" w:pos="8640"/>
            </w:tabs>
            <w:spacing w:before="60" w:after="60"/>
            <w:jc w:val="center"/>
            <w:rPr>
              <w:b/>
              <w:sz w:val="28"/>
            </w:rPr>
          </w:pPr>
          <w:r>
            <w:rPr>
              <w:b/>
              <w:sz w:val="28"/>
            </w:rPr>
            <w:t>Table 1 (continued)</w:t>
          </w:r>
        </w:p>
      </w:tc>
      <w:tc>
        <w:tcPr>
          <w:tcW w:w="2514" w:type="dxa"/>
        </w:tcPr>
        <w:p w:rsidR="00CA63FF" w:rsidRDefault="00CA63FF" w:rsidP="00CA63FF">
          <w:pPr>
            <w:pStyle w:val="Header"/>
            <w:tabs>
              <w:tab w:val="clear" w:pos="4320"/>
              <w:tab w:val="clear" w:pos="8640"/>
            </w:tabs>
            <w:spacing w:before="60" w:after="60"/>
            <w:rPr>
              <w:b/>
            </w:rPr>
          </w:pPr>
        </w:p>
      </w:tc>
      <w:tc>
        <w:tcPr>
          <w:tcW w:w="2358" w:type="dxa"/>
        </w:tcPr>
        <w:p w:rsidR="00CA63FF" w:rsidRDefault="00CA63FF" w:rsidP="00CA63FF">
          <w:pPr>
            <w:pStyle w:val="Header"/>
            <w:tabs>
              <w:tab w:val="clear" w:pos="4320"/>
              <w:tab w:val="clear" w:pos="8640"/>
            </w:tabs>
            <w:spacing w:before="60" w:after="60"/>
            <w:rPr>
              <w:b/>
            </w:rPr>
          </w:pPr>
          <w:r w:rsidRPr="00677AC6">
            <w:rPr>
              <w:b/>
            </w:rPr>
            <w:t xml:space="preserve">Date: </w:t>
          </w:r>
          <w:r>
            <w:rPr>
              <w:b/>
            </w:rPr>
            <w:t>6/6/2014</w:t>
          </w:r>
        </w:p>
      </w:tc>
    </w:tr>
  </w:tbl>
  <w:p w:rsidR="00CA63FF" w:rsidRPr="00FB37EB" w:rsidRDefault="00CA63FF" w:rsidP="00CA63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CA63FF" w:rsidTr="00CA63FF">
      <w:tblPrEx>
        <w:tblCellMar>
          <w:top w:w="0" w:type="dxa"/>
          <w:bottom w:w="0" w:type="dxa"/>
        </w:tblCellMar>
      </w:tblPrEx>
      <w:trPr>
        <w:cantSplit/>
      </w:trPr>
      <w:tc>
        <w:tcPr>
          <w:tcW w:w="12258" w:type="dxa"/>
          <w:gridSpan w:val="3"/>
        </w:tcPr>
        <w:p w:rsidR="00CA63FF" w:rsidRPr="00677AC6" w:rsidRDefault="00CA63FF" w:rsidP="00CA63FF">
          <w:pPr>
            <w:pStyle w:val="Header"/>
            <w:spacing w:before="60" w:after="60"/>
            <w:rPr>
              <w:b/>
            </w:rPr>
          </w:pPr>
          <w:r>
            <w:rPr>
              <w:b/>
            </w:rPr>
            <w:t>Location: Richer Elementary School</w:t>
          </w:r>
        </w:p>
      </w:tc>
      <w:tc>
        <w:tcPr>
          <w:tcW w:w="2358" w:type="dxa"/>
        </w:tcPr>
        <w:p w:rsidR="00CA63FF" w:rsidRDefault="00CA63FF" w:rsidP="00CA63FF">
          <w:pPr>
            <w:pStyle w:val="Header"/>
            <w:tabs>
              <w:tab w:val="clear" w:pos="4320"/>
              <w:tab w:val="clear" w:pos="8640"/>
            </w:tabs>
            <w:spacing w:before="60" w:after="60"/>
            <w:rPr>
              <w:b/>
            </w:rPr>
          </w:pPr>
          <w:r>
            <w:rPr>
              <w:b/>
            </w:rPr>
            <w:t>Indoor Air Results</w:t>
          </w:r>
        </w:p>
      </w:tc>
    </w:tr>
    <w:tr w:rsidR="00CA63FF" w:rsidTr="00CA63FF">
      <w:tblPrEx>
        <w:tblCellMar>
          <w:top w:w="0" w:type="dxa"/>
          <w:bottom w:w="0" w:type="dxa"/>
        </w:tblCellMar>
      </w:tblPrEx>
      <w:trPr>
        <w:cantSplit/>
      </w:trPr>
      <w:tc>
        <w:tcPr>
          <w:tcW w:w="4872" w:type="dxa"/>
        </w:tcPr>
        <w:p w:rsidR="00CA63FF" w:rsidRDefault="00CA63FF" w:rsidP="00CA63FF">
          <w:pPr>
            <w:pStyle w:val="Header"/>
            <w:tabs>
              <w:tab w:val="clear" w:pos="4320"/>
              <w:tab w:val="clear" w:pos="8640"/>
            </w:tabs>
            <w:spacing w:before="60" w:after="60"/>
            <w:rPr>
              <w:b/>
            </w:rPr>
          </w:pPr>
          <w:r>
            <w:rPr>
              <w:b/>
            </w:rPr>
            <w:t>Address: 80 Foley Road, Marlborough, MA</w:t>
          </w:r>
        </w:p>
      </w:tc>
      <w:tc>
        <w:tcPr>
          <w:tcW w:w="4872" w:type="dxa"/>
        </w:tcPr>
        <w:p w:rsidR="00CA63FF" w:rsidRDefault="00CA63FF" w:rsidP="00CA63FF">
          <w:pPr>
            <w:pStyle w:val="Header"/>
            <w:tabs>
              <w:tab w:val="clear" w:pos="4320"/>
              <w:tab w:val="clear" w:pos="8640"/>
            </w:tabs>
            <w:spacing w:before="60" w:after="60"/>
            <w:jc w:val="center"/>
            <w:rPr>
              <w:b/>
              <w:sz w:val="28"/>
            </w:rPr>
          </w:pPr>
          <w:r>
            <w:rPr>
              <w:b/>
              <w:sz w:val="28"/>
            </w:rPr>
            <w:t>Table 1</w:t>
          </w:r>
        </w:p>
      </w:tc>
      <w:tc>
        <w:tcPr>
          <w:tcW w:w="2514" w:type="dxa"/>
        </w:tcPr>
        <w:p w:rsidR="00CA63FF" w:rsidRDefault="00CA63FF" w:rsidP="00CA63FF">
          <w:pPr>
            <w:pStyle w:val="Header"/>
            <w:tabs>
              <w:tab w:val="clear" w:pos="4320"/>
              <w:tab w:val="clear" w:pos="8640"/>
            </w:tabs>
            <w:spacing w:before="60" w:after="60"/>
            <w:rPr>
              <w:b/>
            </w:rPr>
          </w:pPr>
        </w:p>
      </w:tc>
      <w:tc>
        <w:tcPr>
          <w:tcW w:w="2358" w:type="dxa"/>
        </w:tcPr>
        <w:p w:rsidR="00CA63FF" w:rsidRDefault="00CA63FF" w:rsidP="00CA63FF">
          <w:pPr>
            <w:pStyle w:val="Header"/>
            <w:tabs>
              <w:tab w:val="clear" w:pos="4320"/>
              <w:tab w:val="clear" w:pos="8640"/>
            </w:tabs>
            <w:spacing w:before="60" w:after="60"/>
            <w:rPr>
              <w:b/>
            </w:rPr>
          </w:pPr>
          <w:r w:rsidRPr="00677AC6">
            <w:rPr>
              <w:b/>
            </w:rPr>
            <w:t xml:space="preserve">Date: </w:t>
          </w:r>
          <w:r>
            <w:rPr>
              <w:b/>
            </w:rPr>
            <w:t>2/10/2017</w:t>
          </w:r>
        </w:p>
      </w:tc>
    </w:tr>
  </w:tbl>
  <w:p w:rsidR="00CA63FF" w:rsidRDefault="00CA6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CB4E28B8"/>
    <w:lvl w:ilvl="0">
      <w:start w:val="1"/>
      <w:numFmt w:val="decimal"/>
      <w:pStyle w:val="Heading1Left0"/>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C21507C"/>
    <w:multiLevelType w:val="hybridMultilevel"/>
    <w:tmpl w:val="CAD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329A2"/>
    <w:multiLevelType w:val="multilevel"/>
    <w:tmpl w:val="1762915E"/>
    <w:numStyleLink w:val="StyleBulletedSymbolsymbolBoldLeft0Hanging0251"/>
  </w:abstractNum>
  <w:abstractNum w:abstractNumId="7">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AD30EED"/>
    <w:multiLevelType w:val="multilevel"/>
    <w:tmpl w:val="1762915E"/>
    <w:numStyleLink w:val="StyleBulletedSymbolsymbolBoldLeft0Hanging0251"/>
  </w:abstractNum>
  <w:abstractNum w:abstractNumId="11">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DD64C6"/>
    <w:multiLevelType w:val="multilevel"/>
    <w:tmpl w:val="1762915E"/>
    <w:numStyleLink w:val="StyleBulletedSymbolsymbolBoldLeft0Hanging0251"/>
  </w:abstractNum>
  <w:abstractNum w:abstractNumId="16">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4E67BEC"/>
    <w:multiLevelType w:val="multilevel"/>
    <w:tmpl w:val="71C4E34C"/>
    <w:numStyleLink w:val="StyleNumberedLeft0Hanging025"/>
  </w:abstractNum>
  <w:abstractNum w:abstractNumId="18">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4D5B7174"/>
    <w:multiLevelType w:val="hybridMultilevel"/>
    <w:tmpl w:val="9D487A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FC6D8A"/>
    <w:multiLevelType w:val="multilevel"/>
    <w:tmpl w:val="1762915E"/>
    <w:numStyleLink w:val="StyleBulletedSymbolsymbolBoldLeft0Hanging0251"/>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nsid w:val="7FB059BF"/>
    <w:multiLevelType w:val="hybridMultilevel"/>
    <w:tmpl w:val="94AAD87C"/>
    <w:lvl w:ilvl="0" w:tplc="0409000F">
      <w:start w:val="1"/>
      <w:numFmt w:val="decimal"/>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12"/>
  </w:num>
  <w:num w:numId="2">
    <w:abstractNumId w:val="0"/>
  </w:num>
  <w:num w:numId="3">
    <w:abstractNumId w:val="11"/>
  </w:num>
  <w:num w:numId="4">
    <w:abstractNumId w:val="13"/>
  </w:num>
  <w:num w:numId="5">
    <w:abstractNumId w:val="14"/>
  </w:num>
  <w:num w:numId="6">
    <w:abstractNumId w:val="24"/>
  </w:num>
  <w:num w:numId="7">
    <w:abstractNumId w:val="23"/>
  </w:num>
  <w:num w:numId="8">
    <w:abstractNumId w:val="8"/>
  </w:num>
  <w:num w:numId="9">
    <w:abstractNumId w:val="2"/>
  </w:num>
  <w:num w:numId="10">
    <w:abstractNumId w:val="9"/>
  </w:num>
  <w:num w:numId="11">
    <w:abstractNumId w:val="18"/>
  </w:num>
  <w:num w:numId="12">
    <w:abstractNumId w:val="7"/>
  </w:num>
  <w:num w:numId="13">
    <w:abstractNumId w:val="20"/>
  </w:num>
  <w:num w:numId="14">
    <w:abstractNumId w:val="16"/>
  </w:num>
  <w:num w:numId="15">
    <w:abstractNumId w:val="6"/>
  </w:num>
  <w:num w:numId="16">
    <w:abstractNumId w:val="15"/>
  </w:num>
  <w:num w:numId="17">
    <w:abstractNumId w:val="4"/>
  </w:num>
  <w:num w:numId="18">
    <w:abstractNumId w:val="10"/>
  </w:num>
  <w:num w:numId="19">
    <w:abstractNumId w:val="22"/>
  </w:num>
  <w:num w:numId="20">
    <w:abstractNumId w:val="21"/>
  </w:num>
  <w:num w:numId="21">
    <w:abstractNumId w:val="25"/>
  </w:num>
  <w:num w:numId="22">
    <w:abstractNumId w:val="17"/>
  </w:num>
  <w:num w:numId="23">
    <w:abstractNumId w:val="19"/>
  </w:num>
  <w:num w:numId="24">
    <w:abstractNumId w:val="3"/>
  </w:num>
  <w:num w:numId="25">
    <w:abstractNumId w:val="1"/>
  </w:num>
  <w:num w:numId="26">
    <w:abstractNumId w:val="26"/>
  </w:num>
  <w:num w:numId="2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6DC4"/>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598"/>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4AB"/>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296"/>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4E3"/>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3DD3"/>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449B"/>
    <w:rsid w:val="0021544D"/>
    <w:rsid w:val="002154A0"/>
    <w:rsid w:val="00215E5F"/>
    <w:rsid w:val="00216912"/>
    <w:rsid w:val="002205CB"/>
    <w:rsid w:val="002208FE"/>
    <w:rsid w:val="00221ECE"/>
    <w:rsid w:val="0022290D"/>
    <w:rsid w:val="00222C76"/>
    <w:rsid w:val="00224299"/>
    <w:rsid w:val="00224C35"/>
    <w:rsid w:val="00224E98"/>
    <w:rsid w:val="00225083"/>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4D3"/>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37D4"/>
    <w:rsid w:val="002A4CCF"/>
    <w:rsid w:val="002A5ED1"/>
    <w:rsid w:val="002A687E"/>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47BA"/>
    <w:rsid w:val="00315921"/>
    <w:rsid w:val="00316BF9"/>
    <w:rsid w:val="00320889"/>
    <w:rsid w:val="00323608"/>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BA8"/>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3D2A"/>
    <w:rsid w:val="003B4C3C"/>
    <w:rsid w:val="003B5CF0"/>
    <w:rsid w:val="003B610C"/>
    <w:rsid w:val="003B6252"/>
    <w:rsid w:val="003B78B1"/>
    <w:rsid w:val="003C03E7"/>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2CF9"/>
    <w:rsid w:val="00403858"/>
    <w:rsid w:val="00404F8A"/>
    <w:rsid w:val="0040505D"/>
    <w:rsid w:val="00406079"/>
    <w:rsid w:val="00406760"/>
    <w:rsid w:val="00407663"/>
    <w:rsid w:val="0041005C"/>
    <w:rsid w:val="00410068"/>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18"/>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5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8CB"/>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4B36"/>
    <w:rsid w:val="004F67B2"/>
    <w:rsid w:val="004F72C4"/>
    <w:rsid w:val="004F7390"/>
    <w:rsid w:val="004F786B"/>
    <w:rsid w:val="00500EEB"/>
    <w:rsid w:val="00501086"/>
    <w:rsid w:val="0050181E"/>
    <w:rsid w:val="00502819"/>
    <w:rsid w:val="00504AD7"/>
    <w:rsid w:val="0050537D"/>
    <w:rsid w:val="00506D67"/>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65"/>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632"/>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837"/>
    <w:rsid w:val="00763F34"/>
    <w:rsid w:val="007659D3"/>
    <w:rsid w:val="00765A98"/>
    <w:rsid w:val="00766B6A"/>
    <w:rsid w:val="00766E6E"/>
    <w:rsid w:val="00766EE5"/>
    <w:rsid w:val="00770F71"/>
    <w:rsid w:val="007746D5"/>
    <w:rsid w:val="00774BD5"/>
    <w:rsid w:val="00774E53"/>
    <w:rsid w:val="007759CE"/>
    <w:rsid w:val="007759E8"/>
    <w:rsid w:val="0077606E"/>
    <w:rsid w:val="0077623F"/>
    <w:rsid w:val="007764CB"/>
    <w:rsid w:val="0077662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4F64"/>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215"/>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097"/>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901"/>
    <w:rsid w:val="008A6FB4"/>
    <w:rsid w:val="008A764A"/>
    <w:rsid w:val="008A790E"/>
    <w:rsid w:val="008A7ACE"/>
    <w:rsid w:val="008B0058"/>
    <w:rsid w:val="008B12D1"/>
    <w:rsid w:val="008B1532"/>
    <w:rsid w:val="008B1AA9"/>
    <w:rsid w:val="008B2725"/>
    <w:rsid w:val="008B4C8D"/>
    <w:rsid w:val="008B509C"/>
    <w:rsid w:val="008B6694"/>
    <w:rsid w:val="008B677D"/>
    <w:rsid w:val="008B6D90"/>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1789B"/>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DDA"/>
    <w:rsid w:val="009944F1"/>
    <w:rsid w:val="00994E6D"/>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1536"/>
    <w:rsid w:val="009D26CE"/>
    <w:rsid w:val="009D2AB1"/>
    <w:rsid w:val="009D2E84"/>
    <w:rsid w:val="009E061D"/>
    <w:rsid w:val="009E278E"/>
    <w:rsid w:val="009E286D"/>
    <w:rsid w:val="009E34E2"/>
    <w:rsid w:val="009E39FE"/>
    <w:rsid w:val="009E3D17"/>
    <w:rsid w:val="009E50F2"/>
    <w:rsid w:val="009E5767"/>
    <w:rsid w:val="009E5884"/>
    <w:rsid w:val="009E6EA1"/>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0966"/>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07B"/>
    <w:rsid w:val="00A42B71"/>
    <w:rsid w:val="00A42F4F"/>
    <w:rsid w:val="00A43F40"/>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6CB"/>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03A3"/>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00"/>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1A6"/>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2E69"/>
    <w:rsid w:val="00BC43B8"/>
    <w:rsid w:val="00BC4768"/>
    <w:rsid w:val="00BC47FB"/>
    <w:rsid w:val="00BC5778"/>
    <w:rsid w:val="00BC636A"/>
    <w:rsid w:val="00BC6DCD"/>
    <w:rsid w:val="00BC7718"/>
    <w:rsid w:val="00BC7A59"/>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3E20"/>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3FF7"/>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63FF"/>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2A6B"/>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26E19"/>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C7E3E"/>
    <w:rsid w:val="00DD0516"/>
    <w:rsid w:val="00DD0E39"/>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194"/>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0ED6"/>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218"/>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445B"/>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75B"/>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BEF"/>
    <w:rsid w:val="00FC30CD"/>
    <w:rsid w:val="00FC475A"/>
    <w:rsid w:val="00FC49C1"/>
    <w:rsid w:val="00FC515C"/>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Mode="External" Target="https://www.epa.gov/mold/mold-remediation-schools-and-commercial-buildings-guide"/>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numbering" Target="numbering.xml"/>
  <Relationship Id="rId20" Type="http://schemas.openxmlformats.org/officeDocument/2006/relationships/footer" Target="footer5.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F7BD-1EF9-4FF3-93E6-EE1F0833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Indoor Air Quality Assessment - Richer Elementary School, 80 Foley Road, Marlborough, MA - March 2017</vt:lpstr>
    </vt:vector>
  </TitlesOfParts>
  <Company>MDPH</Company>
  <LinksUpToDate>false</LinksUpToDate>
  <CharactersWithSpaces>10226</CharactersWithSpaces>
  <SharedDoc>false</SharedDoc>
  <HLinks>
    <vt:vector size="18" baseType="variant">
      <vt:variant>
        <vt:i4>4980736</vt:i4>
      </vt:variant>
      <vt:variant>
        <vt:i4>9</vt:i4>
      </vt:variant>
      <vt:variant>
        <vt:i4>0</vt:i4>
      </vt:variant>
      <vt:variant>
        <vt:i4>5</vt:i4>
      </vt:variant>
      <vt:variant>
        <vt:lpwstr>https://www.epa.gov/mold/mold-remediation-schools-and-commercial-buildings-guide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2017-03-22T15:53:00Z</dcterms:created>
  <dc:creator>MDPH - Indoor Air Quality Program</dc:creator>
  <keywords>Richer Elementary School, 80 Foley Road, Marlborough, MA</keywords>
  <lastModifiedBy>AutoBVT</lastModifiedBy>
  <lastPrinted>2016-10-21T18:06:00Z</lastPrinted>
  <dcterms:modified xsi:type="dcterms:W3CDTF">2017-03-22T15:54:00Z</dcterms:modified>
  <revision>3</revision>
  <dc:subject>On February 10, 2017, because general indoor air quality and mold concerns in below-grade classrooms 113A, 113B, 115A and 115B; the MDPH Indoor Air Quality Program conducted an assessment at the Richer Elementary School, 80 Foley Road, Marlborough, MA.</dc:subject>
  <dc:title>Indoor Air Quality Assessment - Richer Elementary School, 80 Foley Road, Marlborough, MA - March 2017</dc:title>
</coreProperties>
</file>