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86" w:rsidRPr="00D24CE2" w:rsidRDefault="00A64486" w:rsidP="00663C33">
      <w:pPr>
        <w:spacing w:line="480" w:lineRule="auto"/>
        <w:jc w:val="center"/>
        <w:rPr>
          <w:rFonts w:ascii="Courier New" w:hAnsi="Courier New" w:cs="Courier New"/>
          <w:b/>
        </w:rPr>
      </w:pPr>
      <w:bookmarkStart w:id="0" w:name="_GoBack"/>
      <w:bookmarkEnd w:id="0"/>
      <w:r w:rsidRPr="00D24CE2">
        <w:rPr>
          <w:rFonts w:ascii="Courier New" w:hAnsi="Courier New" w:cs="Courier New"/>
          <w:b/>
        </w:rPr>
        <w:t>COMMONWEALTH OF MASSACHUSETTS</w:t>
      </w:r>
    </w:p>
    <w:p w:rsidR="00A64486" w:rsidRPr="00D24CE2" w:rsidRDefault="00A64486" w:rsidP="00663C33">
      <w:pPr>
        <w:spacing w:line="480" w:lineRule="auto"/>
        <w:jc w:val="center"/>
        <w:rPr>
          <w:rFonts w:ascii="Courier New" w:hAnsi="Courier New" w:cs="Courier New"/>
          <w:b/>
        </w:rPr>
      </w:pPr>
      <w:r w:rsidRPr="00D24CE2">
        <w:rPr>
          <w:rFonts w:ascii="Courier New" w:hAnsi="Courier New" w:cs="Courier New"/>
          <w:b/>
        </w:rPr>
        <w:t>APPELLATE TAX BOARD</w:t>
      </w:r>
    </w:p>
    <w:p w:rsidR="00A64486" w:rsidRPr="00D24CE2" w:rsidRDefault="00A64486" w:rsidP="00663C33">
      <w:pPr>
        <w:jc w:val="center"/>
        <w:rPr>
          <w:rFonts w:ascii="Courier New" w:hAnsi="Courier New" w:cs="Courier New"/>
          <w:b/>
        </w:rPr>
      </w:pPr>
    </w:p>
    <w:p w:rsidR="00A64486" w:rsidRPr="00D24CE2" w:rsidRDefault="00A64486" w:rsidP="00663C33">
      <w:pPr>
        <w:ind w:left="4320" w:hanging="4320"/>
        <w:rPr>
          <w:rFonts w:ascii="Courier New" w:hAnsi="Courier New" w:cs="Courier New"/>
          <w:b/>
        </w:rPr>
      </w:pPr>
    </w:p>
    <w:p w:rsidR="00A64486" w:rsidRPr="00D24CE2" w:rsidRDefault="00A64486" w:rsidP="00663C33">
      <w:pPr>
        <w:ind w:left="4320" w:hanging="4320"/>
        <w:rPr>
          <w:rFonts w:ascii="Courier New" w:hAnsi="Courier New" w:cs="Courier New"/>
          <w:b/>
        </w:rPr>
      </w:pPr>
      <w:r>
        <w:rPr>
          <w:rFonts w:ascii="Courier New" w:hAnsi="Courier New" w:cs="Courier New"/>
          <w:b/>
        </w:rPr>
        <w:t>ROSE BOSTON, LLC</w:t>
      </w:r>
      <w:r w:rsidRPr="00D24CE2">
        <w:rPr>
          <w:rFonts w:ascii="Courier New" w:hAnsi="Courier New" w:cs="Courier New"/>
          <w:b/>
        </w:rPr>
        <w:t xml:space="preserve">     </w:t>
      </w:r>
      <w:r w:rsidRPr="00D24CE2">
        <w:rPr>
          <w:rFonts w:ascii="Courier New" w:hAnsi="Courier New" w:cs="Courier New"/>
          <w:b/>
        </w:rPr>
        <w:tab/>
        <w:t>v.    </w:t>
      </w:r>
      <w:r w:rsidRPr="00D24CE2">
        <w:rPr>
          <w:rFonts w:ascii="Courier New" w:hAnsi="Courier New" w:cs="Courier New"/>
          <w:b/>
        </w:rPr>
        <w:tab/>
        <w:t>BOARD OF ASSESSORS</w:t>
      </w:r>
      <w:r w:rsidR="009947C4">
        <w:rPr>
          <w:rFonts w:ascii="Courier New" w:hAnsi="Courier New" w:cs="Courier New"/>
          <w:b/>
        </w:rPr>
        <w:t xml:space="preserve"> OF</w:t>
      </w:r>
      <w:r w:rsidRPr="00D24CE2">
        <w:rPr>
          <w:rFonts w:ascii="Courier New" w:hAnsi="Courier New" w:cs="Courier New"/>
          <w:b/>
        </w:rPr>
        <w:t xml:space="preserve"> </w:t>
      </w:r>
      <w:r w:rsidRPr="00D24CE2">
        <w:rPr>
          <w:rFonts w:ascii="Courier New" w:hAnsi="Courier New" w:cs="Courier New"/>
          <w:b/>
        </w:rPr>
        <w:tab/>
      </w:r>
    </w:p>
    <w:p w:rsidR="00A64486" w:rsidRPr="00D24CE2" w:rsidRDefault="00A64486" w:rsidP="00663C33">
      <w:pPr>
        <w:ind w:left="5760" w:hanging="2160"/>
        <w:rPr>
          <w:rFonts w:ascii="Courier New" w:hAnsi="Courier New" w:cs="Courier New"/>
          <w:b/>
        </w:rPr>
      </w:pPr>
      <w:r w:rsidRPr="00D24CE2">
        <w:rPr>
          <w:rFonts w:ascii="Courier New" w:hAnsi="Courier New" w:cs="Courier New"/>
          <w:b/>
        </w:rPr>
        <w:t xml:space="preserve">            </w:t>
      </w:r>
      <w:r w:rsidRPr="00D24CE2">
        <w:rPr>
          <w:rFonts w:ascii="Courier New" w:hAnsi="Courier New" w:cs="Courier New"/>
          <w:b/>
        </w:rPr>
        <w:tab/>
        <w:t>THE TOWN OF BROOKLINE</w:t>
      </w:r>
    </w:p>
    <w:p w:rsidR="00A64486" w:rsidRPr="00D24CE2" w:rsidRDefault="00A64486" w:rsidP="00663C33">
      <w:pPr>
        <w:ind w:left="5760" w:hanging="5760"/>
        <w:rPr>
          <w:rFonts w:ascii="Courier New" w:hAnsi="Courier New" w:cs="Courier New"/>
          <w:b/>
        </w:rPr>
      </w:pPr>
    </w:p>
    <w:p w:rsidR="00A64486" w:rsidRPr="00D24CE2" w:rsidRDefault="00A64486" w:rsidP="00663C33">
      <w:pPr>
        <w:rPr>
          <w:rFonts w:ascii="Courier New" w:hAnsi="Courier New" w:cs="Courier New"/>
        </w:rPr>
      </w:pPr>
      <w:r>
        <w:rPr>
          <w:rFonts w:ascii="Courier New" w:hAnsi="Courier New" w:cs="Courier New"/>
        </w:rPr>
        <w:t>Docket No. F315497</w:t>
      </w:r>
      <w:r w:rsidRPr="00D24CE2">
        <w:rPr>
          <w:rFonts w:ascii="Courier New" w:hAnsi="Courier New" w:cs="Courier New"/>
        </w:rPr>
        <w:tab/>
        <w:t xml:space="preserve"> </w:t>
      </w:r>
      <w:r w:rsidRPr="00D24CE2">
        <w:rPr>
          <w:rFonts w:ascii="Courier New" w:hAnsi="Courier New" w:cs="Courier New"/>
        </w:rPr>
        <w:tab/>
        <w:t xml:space="preserve">   </w:t>
      </w:r>
      <w:r w:rsidRPr="00D24CE2">
        <w:rPr>
          <w:rFonts w:ascii="Courier New" w:hAnsi="Courier New" w:cs="Courier New"/>
        </w:rPr>
        <w:tab/>
        <w:t xml:space="preserve">       </w:t>
      </w:r>
      <w:r w:rsidRPr="00D24CE2">
        <w:rPr>
          <w:rFonts w:ascii="Courier New" w:hAnsi="Courier New" w:cs="Courier New"/>
        </w:rPr>
        <w:tab/>
        <w:t>Promulgated:</w:t>
      </w:r>
    </w:p>
    <w:p w:rsidR="00A64486" w:rsidRDefault="00A64486" w:rsidP="00663C33">
      <w:pPr>
        <w:rPr>
          <w:rFonts w:ascii="Courier New" w:hAnsi="Courier New" w:cs="Courier New"/>
        </w:rPr>
      </w:pPr>
      <w:r w:rsidRPr="00D24CE2">
        <w:rPr>
          <w:rFonts w:ascii="Courier New" w:hAnsi="Courier New" w:cs="Courier New"/>
        </w:rPr>
        <w:tab/>
      </w:r>
      <w:r w:rsidRPr="00D24CE2">
        <w:rPr>
          <w:rFonts w:ascii="Courier New" w:hAnsi="Courier New" w:cs="Courier New"/>
        </w:rPr>
        <w:tab/>
      </w:r>
      <w:r w:rsidRPr="00D24CE2">
        <w:rPr>
          <w:rFonts w:ascii="Courier New" w:hAnsi="Courier New" w:cs="Courier New"/>
        </w:rPr>
        <w:tab/>
      </w:r>
      <w:r w:rsidRPr="00D24CE2">
        <w:rPr>
          <w:rFonts w:ascii="Courier New" w:hAnsi="Courier New" w:cs="Courier New"/>
        </w:rPr>
        <w:tab/>
      </w:r>
      <w:r w:rsidRPr="00D24CE2">
        <w:rPr>
          <w:rFonts w:ascii="Courier New" w:hAnsi="Courier New" w:cs="Courier New"/>
        </w:rPr>
        <w:tab/>
      </w:r>
      <w:r w:rsidRPr="00D24CE2">
        <w:rPr>
          <w:rFonts w:ascii="Courier New" w:hAnsi="Courier New" w:cs="Courier New"/>
        </w:rPr>
        <w:tab/>
      </w:r>
      <w:r w:rsidRPr="00D24CE2">
        <w:rPr>
          <w:rFonts w:ascii="Courier New" w:hAnsi="Courier New" w:cs="Courier New"/>
        </w:rPr>
        <w:tab/>
        <w:t xml:space="preserve">  </w:t>
      </w:r>
      <w:r w:rsidRPr="00D24CE2">
        <w:rPr>
          <w:rFonts w:ascii="Courier New" w:hAnsi="Courier New" w:cs="Courier New"/>
        </w:rPr>
        <w:tab/>
      </w:r>
      <w:r w:rsidR="008A7A1D">
        <w:rPr>
          <w:rFonts w:ascii="Courier New" w:hAnsi="Courier New" w:cs="Courier New"/>
        </w:rPr>
        <w:t>December 4, 2014</w:t>
      </w:r>
    </w:p>
    <w:p w:rsidR="008A7A1D" w:rsidRPr="00D24CE2" w:rsidRDefault="008A7A1D" w:rsidP="00663C33">
      <w:pPr>
        <w:rPr>
          <w:rFonts w:ascii="Courier New" w:hAnsi="Courier New" w:cs="Courier New"/>
        </w:rPr>
      </w:pPr>
    </w:p>
    <w:p w:rsidR="00A64486" w:rsidRPr="00D24CE2" w:rsidRDefault="00A64486" w:rsidP="00663C33">
      <w:pPr>
        <w:rPr>
          <w:rFonts w:ascii="Courier New" w:hAnsi="Courier New" w:cs="Courier New"/>
        </w:rPr>
      </w:pPr>
      <w:r w:rsidRPr="00D24CE2">
        <w:rPr>
          <w:rFonts w:ascii="Courier New" w:hAnsi="Courier New" w:cs="Courier New"/>
        </w:rPr>
        <w:t xml:space="preserve"> </w:t>
      </w:r>
    </w:p>
    <w:p w:rsidR="00A64486" w:rsidRDefault="00A64486" w:rsidP="00663C33">
      <w:pPr>
        <w:spacing w:line="480" w:lineRule="auto"/>
        <w:ind w:right="-180"/>
        <w:jc w:val="both"/>
        <w:rPr>
          <w:rFonts w:ascii="Courier New" w:hAnsi="Courier New" w:cs="Courier New"/>
        </w:rPr>
      </w:pPr>
      <w:r w:rsidRPr="00D24CE2">
        <w:rPr>
          <w:rFonts w:ascii="Courier New" w:hAnsi="Courier New" w:cs="Courier New"/>
        </w:rPr>
        <w:tab/>
        <w:t>This is an appeal filed under the formal procedure pursuant to G.L. c. 58A, § 7 and G.L. c. 59, §§ 64 and 65 from the refusal of the</w:t>
      </w:r>
      <w:r>
        <w:rPr>
          <w:rFonts w:ascii="Courier New" w:hAnsi="Courier New" w:cs="Courier New"/>
        </w:rPr>
        <w:t xml:space="preserve"> </w:t>
      </w:r>
      <w:r w:rsidRPr="00D24CE2">
        <w:rPr>
          <w:rFonts w:ascii="Courier New" w:hAnsi="Courier New" w:cs="Courier New"/>
        </w:rPr>
        <w:t xml:space="preserve">Board of Assessors of the Town of Brookline (“assessors” or “appellee”) to abate taxes on certain real estate located </w:t>
      </w:r>
      <w:r w:rsidR="009947C4" w:rsidRPr="00D24CE2">
        <w:rPr>
          <w:rFonts w:ascii="Courier New" w:hAnsi="Courier New" w:cs="Courier New"/>
        </w:rPr>
        <w:t>in Brookline</w:t>
      </w:r>
      <w:r w:rsidRPr="00D24CE2">
        <w:rPr>
          <w:rFonts w:ascii="Courier New" w:hAnsi="Courier New" w:cs="Courier New"/>
        </w:rPr>
        <w:t xml:space="preserve"> </w:t>
      </w:r>
      <w:r w:rsidR="009947C4">
        <w:rPr>
          <w:rFonts w:ascii="Courier New" w:hAnsi="Courier New" w:cs="Courier New"/>
        </w:rPr>
        <w:t xml:space="preserve">that were assessed </w:t>
      </w:r>
      <w:r w:rsidRPr="00D24CE2">
        <w:rPr>
          <w:rFonts w:ascii="Courier New" w:hAnsi="Courier New" w:cs="Courier New"/>
        </w:rPr>
        <w:t>under G.L. c. 59, §§ 11 and 38 for fiscal year 2012.</w:t>
      </w:r>
      <w:r>
        <w:rPr>
          <w:rFonts w:ascii="Courier New" w:hAnsi="Courier New" w:cs="Courier New"/>
        </w:rPr>
        <w:t xml:space="preserve"> </w:t>
      </w:r>
    </w:p>
    <w:p w:rsidR="00A64486" w:rsidRPr="00D24CE2" w:rsidRDefault="00A64486" w:rsidP="00663C33">
      <w:pPr>
        <w:spacing w:line="480" w:lineRule="auto"/>
        <w:jc w:val="both"/>
        <w:rPr>
          <w:rFonts w:ascii="Courier New" w:hAnsi="Courier New" w:cs="Courier New"/>
        </w:rPr>
      </w:pPr>
      <w:r w:rsidRPr="00D24CE2">
        <w:rPr>
          <w:rFonts w:ascii="Courier New" w:hAnsi="Courier New" w:cs="Courier New"/>
        </w:rPr>
        <w:tab/>
        <w:t xml:space="preserve">Commissioner </w:t>
      </w:r>
      <w:r>
        <w:rPr>
          <w:rFonts w:ascii="Courier New" w:hAnsi="Courier New" w:cs="Courier New"/>
        </w:rPr>
        <w:t>Mulhern</w:t>
      </w:r>
      <w:r w:rsidRPr="00D24CE2">
        <w:rPr>
          <w:rFonts w:ascii="Courier New" w:hAnsi="Courier New" w:cs="Courier New"/>
        </w:rPr>
        <w:t xml:space="preserve"> heard this appeal. Chairman Hammond and Commissioners Scharaffa</w:t>
      </w:r>
      <w:r>
        <w:rPr>
          <w:rFonts w:ascii="Courier New" w:hAnsi="Courier New" w:cs="Courier New"/>
        </w:rPr>
        <w:t xml:space="preserve">, </w:t>
      </w:r>
      <w:r w:rsidRPr="00D24CE2">
        <w:rPr>
          <w:rFonts w:ascii="Courier New" w:hAnsi="Courier New" w:cs="Courier New"/>
        </w:rPr>
        <w:t>Rose</w:t>
      </w:r>
      <w:r>
        <w:rPr>
          <w:rFonts w:ascii="Courier New" w:hAnsi="Courier New" w:cs="Courier New"/>
        </w:rPr>
        <w:t>, and Chmielinski joined him</w:t>
      </w:r>
      <w:r w:rsidRPr="00D24CE2">
        <w:rPr>
          <w:rFonts w:ascii="Courier New" w:hAnsi="Courier New" w:cs="Courier New"/>
        </w:rPr>
        <w:t xml:space="preserve"> in the decision for the appellee.</w:t>
      </w:r>
    </w:p>
    <w:p w:rsidR="00A64486" w:rsidRPr="00D24CE2" w:rsidRDefault="00A64486" w:rsidP="00663C33">
      <w:pPr>
        <w:spacing w:line="480" w:lineRule="auto"/>
        <w:ind w:firstLine="720"/>
        <w:jc w:val="both"/>
        <w:rPr>
          <w:rFonts w:ascii="Courier New" w:hAnsi="Courier New" w:cs="Courier New"/>
        </w:rPr>
      </w:pPr>
      <w:r w:rsidRPr="00D24CE2">
        <w:rPr>
          <w:rFonts w:ascii="Courier New" w:hAnsi="Courier New" w:cs="Courier New"/>
        </w:rPr>
        <w:t xml:space="preserve"> These findings of fact and report are made pursuant to a request by </w:t>
      </w:r>
      <w:r>
        <w:rPr>
          <w:rFonts w:ascii="Courier New" w:hAnsi="Courier New" w:cs="Courier New"/>
        </w:rPr>
        <w:t>Rose Boston LLC (“</w:t>
      </w:r>
      <w:r w:rsidRPr="00D24CE2">
        <w:rPr>
          <w:rFonts w:ascii="Courier New" w:hAnsi="Courier New" w:cs="Courier New"/>
        </w:rPr>
        <w:t>appellant</w:t>
      </w:r>
      <w:r>
        <w:rPr>
          <w:rFonts w:ascii="Courier New" w:hAnsi="Courier New" w:cs="Courier New"/>
        </w:rPr>
        <w:t>”)</w:t>
      </w:r>
      <w:r>
        <w:rPr>
          <w:rStyle w:val="FootnoteReference"/>
          <w:rFonts w:ascii="Courier New" w:hAnsi="Courier New" w:cs="Courier New"/>
        </w:rPr>
        <w:footnoteReference w:id="1"/>
      </w:r>
      <w:r w:rsidRPr="00D24CE2">
        <w:rPr>
          <w:rFonts w:ascii="Courier New" w:hAnsi="Courier New" w:cs="Courier New"/>
        </w:rPr>
        <w:t xml:space="preserve"> under G.L. c. 58A, § 13 and 831 CMR 1.32.</w:t>
      </w:r>
    </w:p>
    <w:p w:rsidR="00A64486" w:rsidRDefault="00A64486" w:rsidP="00663C33">
      <w:pPr>
        <w:ind w:firstLine="720"/>
        <w:jc w:val="both"/>
        <w:rPr>
          <w:rFonts w:ascii="Courier New" w:hAnsi="Courier New" w:cs="Courier New"/>
          <w:i/>
        </w:rPr>
      </w:pPr>
    </w:p>
    <w:p w:rsidR="00A64486" w:rsidRPr="00D24CE2" w:rsidRDefault="00A64486" w:rsidP="00663C33">
      <w:pPr>
        <w:ind w:firstLine="720"/>
        <w:jc w:val="both"/>
        <w:rPr>
          <w:rFonts w:ascii="Courier New" w:hAnsi="Courier New" w:cs="Courier New"/>
          <w:i/>
        </w:rPr>
      </w:pPr>
    </w:p>
    <w:p w:rsidR="00A64486" w:rsidRPr="00D24CE2" w:rsidRDefault="00A64486" w:rsidP="00663C33">
      <w:pPr>
        <w:ind w:firstLine="720"/>
        <w:jc w:val="both"/>
        <w:rPr>
          <w:rFonts w:ascii="Courier New" w:hAnsi="Courier New" w:cs="Courier New"/>
        </w:rPr>
      </w:pPr>
      <w:r>
        <w:rPr>
          <w:rFonts w:ascii="Courier New" w:hAnsi="Courier New" w:cs="Courier New"/>
          <w:i/>
        </w:rPr>
        <w:t>Matthew Haney, manager,</w:t>
      </w:r>
      <w:r w:rsidRPr="00D24CE2">
        <w:rPr>
          <w:rFonts w:ascii="Courier New" w:hAnsi="Courier New" w:cs="Courier New"/>
          <w:i/>
        </w:rPr>
        <w:t xml:space="preserve"> </w:t>
      </w:r>
      <w:r w:rsidRPr="00D24CE2">
        <w:rPr>
          <w:rFonts w:ascii="Courier New" w:hAnsi="Courier New" w:cs="Courier New"/>
        </w:rPr>
        <w:t>for the appellant.</w:t>
      </w:r>
    </w:p>
    <w:p w:rsidR="00A64486" w:rsidRPr="00D24CE2" w:rsidRDefault="00A64486" w:rsidP="00663C33">
      <w:pPr>
        <w:ind w:firstLine="720"/>
        <w:jc w:val="both"/>
        <w:rPr>
          <w:rFonts w:ascii="Courier New" w:hAnsi="Courier New" w:cs="Courier New"/>
        </w:rPr>
      </w:pPr>
    </w:p>
    <w:p w:rsidR="00A64486" w:rsidRDefault="00A64486" w:rsidP="00663C33">
      <w:pPr>
        <w:ind w:firstLine="720"/>
        <w:rPr>
          <w:rFonts w:ascii="Courier New" w:hAnsi="Courier New" w:cs="Courier New"/>
        </w:rPr>
      </w:pPr>
      <w:r w:rsidRPr="00D24CE2">
        <w:rPr>
          <w:rFonts w:ascii="Courier New" w:hAnsi="Courier New" w:cs="Courier New"/>
          <w:i/>
        </w:rPr>
        <w:t xml:space="preserve">Rachid Belhocine, </w:t>
      </w:r>
      <w:r>
        <w:rPr>
          <w:rFonts w:ascii="Courier New" w:hAnsi="Courier New" w:cs="Courier New"/>
          <w:i/>
        </w:rPr>
        <w:t>a</w:t>
      </w:r>
      <w:r w:rsidRPr="0057230F">
        <w:rPr>
          <w:rFonts w:ascii="Courier New" w:hAnsi="Courier New" w:cs="Courier New"/>
          <w:i/>
        </w:rPr>
        <w:t>ssessor</w:t>
      </w:r>
      <w:r w:rsidR="00F124E9">
        <w:rPr>
          <w:rFonts w:ascii="Courier New" w:hAnsi="Courier New" w:cs="Courier New"/>
          <w:i/>
        </w:rPr>
        <w:t>,</w:t>
      </w:r>
      <w:r w:rsidRPr="00D24CE2">
        <w:rPr>
          <w:rFonts w:ascii="Courier New" w:hAnsi="Courier New" w:cs="Courier New"/>
        </w:rPr>
        <w:t xml:space="preserve"> for the appellee.</w:t>
      </w:r>
    </w:p>
    <w:p w:rsidR="00A64486" w:rsidRPr="00D24CE2" w:rsidRDefault="00A64486" w:rsidP="00663C33">
      <w:pPr>
        <w:spacing w:line="480" w:lineRule="auto"/>
        <w:jc w:val="center"/>
        <w:rPr>
          <w:rFonts w:ascii="Courier New" w:hAnsi="Courier New" w:cs="Courier New"/>
          <w:b/>
        </w:rPr>
      </w:pPr>
      <w:r w:rsidRPr="00D24CE2">
        <w:rPr>
          <w:rFonts w:ascii="Courier New" w:hAnsi="Courier New" w:cs="Courier New"/>
          <w:b/>
        </w:rPr>
        <w:lastRenderedPageBreak/>
        <w:t>FINDINGS OF FACT AND REPORT</w:t>
      </w:r>
    </w:p>
    <w:p w:rsidR="00A64486" w:rsidRDefault="00A64486" w:rsidP="00663C33">
      <w:pPr>
        <w:spacing w:line="480" w:lineRule="auto"/>
        <w:ind w:firstLine="720"/>
        <w:jc w:val="both"/>
        <w:rPr>
          <w:rFonts w:ascii="Courier New" w:hAnsi="Courier New" w:cs="Courier New"/>
        </w:rPr>
      </w:pPr>
      <w:r w:rsidRPr="00D24CE2">
        <w:rPr>
          <w:rFonts w:ascii="Courier New" w:hAnsi="Courier New" w:cs="Courier New"/>
        </w:rPr>
        <w:t>On the basis of testimony and exhibits offered into evidence at the hearing of this appeal, the Appellate Tax Board (“Board”) made the following findings of fact.</w:t>
      </w:r>
    </w:p>
    <w:p w:rsidR="00A64486" w:rsidRDefault="00A64486" w:rsidP="001E4276">
      <w:pPr>
        <w:spacing w:line="480" w:lineRule="auto"/>
        <w:ind w:firstLine="720"/>
        <w:jc w:val="both"/>
        <w:rPr>
          <w:rFonts w:ascii="Courier New" w:hAnsi="Courier New" w:cs="Courier New"/>
        </w:rPr>
      </w:pPr>
      <w:r>
        <w:rPr>
          <w:rFonts w:ascii="Courier New" w:hAnsi="Courier New" w:cs="Courier New"/>
        </w:rPr>
        <w:t>The property at issue</w:t>
      </w:r>
      <w:r w:rsidR="001E4276">
        <w:rPr>
          <w:rFonts w:ascii="Courier New" w:hAnsi="Courier New" w:cs="Courier New"/>
        </w:rPr>
        <w:t xml:space="preserve"> </w:t>
      </w:r>
      <w:r w:rsidR="001E4276" w:rsidRPr="001E4276">
        <w:rPr>
          <w:rFonts w:ascii="Courier New" w:hAnsi="Courier New" w:cs="Courier New"/>
        </w:rPr>
        <w:t>(“subject property”)</w:t>
      </w:r>
      <w:r>
        <w:rPr>
          <w:rFonts w:ascii="Courier New" w:hAnsi="Courier New" w:cs="Courier New"/>
        </w:rPr>
        <w:t xml:space="preserve">, which was located at 172 Fuller Street in Brookline, consisted of a 2,882 square foot </w:t>
      </w:r>
      <w:r w:rsidR="009947C4">
        <w:rPr>
          <w:rFonts w:ascii="Courier New" w:hAnsi="Courier New" w:cs="Courier New"/>
        </w:rPr>
        <w:t>lot</w:t>
      </w:r>
      <w:r>
        <w:rPr>
          <w:rFonts w:ascii="Courier New" w:hAnsi="Courier New" w:cs="Courier New"/>
        </w:rPr>
        <w:t xml:space="preserve"> improved with a dilapidated two-family dwelling</w:t>
      </w:r>
      <w:r w:rsidR="009947C4">
        <w:rPr>
          <w:rFonts w:ascii="Courier New" w:hAnsi="Courier New" w:cs="Courier New"/>
        </w:rPr>
        <w:t xml:space="preserve"> that contained 2,734 square feet of living area</w:t>
      </w:r>
      <w:r w:rsidRPr="00D24CE2">
        <w:rPr>
          <w:rFonts w:ascii="Courier New" w:hAnsi="Courier New" w:cs="Courier New"/>
        </w:rPr>
        <w:t xml:space="preserve">. The </w:t>
      </w:r>
      <w:r>
        <w:rPr>
          <w:rFonts w:ascii="Courier New" w:hAnsi="Courier New" w:cs="Courier New"/>
        </w:rPr>
        <w:t>assessors initially</w:t>
      </w:r>
      <w:r w:rsidRPr="00D24CE2">
        <w:rPr>
          <w:rFonts w:ascii="Courier New" w:hAnsi="Courier New" w:cs="Courier New"/>
        </w:rPr>
        <w:t xml:space="preserve"> val</w:t>
      </w:r>
      <w:r>
        <w:rPr>
          <w:rFonts w:ascii="Courier New" w:hAnsi="Courier New" w:cs="Courier New"/>
        </w:rPr>
        <w:t>ued the subject property at $798</w:t>
      </w:r>
      <w:r w:rsidRPr="00D24CE2">
        <w:rPr>
          <w:rFonts w:ascii="Courier New" w:hAnsi="Courier New" w:cs="Courier New"/>
        </w:rPr>
        <w:t>,</w:t>
      </w:r>
      <w:r>
        <w:rPr>
          <w:rFonts w:ascii="Courier New" w:hAnsi="Courier New" w:cs="Courier New"/>
        </w:rPr>
        <w:t>5</w:t>
      </w:r>
      <w:r w:rsidRPr="00D24CE2">
        <w:rPr>
          <w:rFonts w:ascii="Courier New" w:hAnsi="Courier New" w:cs="Courier New"/>
        </w:rPr>
        <w:t>00 and assessed a tax in the amount of</w:t>
      </w:r>
      <w:r>
        <w:rPr>
          <w:rFonts w:ascii="Courier New" w:hAnsi="Courier New" w:cs="Courier New"/>
        </w:rPr>
        <w:t xml:space="preserve"> $9,102</w:t>
      </w:r>
      <w:r w:rsidRPr="00D24CE2">
        <w:rPr>
          <w:rFonts w:ascii="Courier New" w:hAnsi="Courier New" w:cs="Courier New"/>
        </w:rPr>
        <w:t>.</w:t>
      </w:r>
      <w:r>
        <w:rPr>
          <w:rFonts w:ascii="Courier New" w:hAnsi="Courier New" w:cs="Courier New"/>
        </w:rPr>
        <w:t>90, which the appellant paid without incurring interest</w:t>
      </w:r>
      <w:r w:rsidRPr="00D24CE2">
        <w:rPr>
          <w:rFonts w:ascii="Courier New" w:hAnsi="Courier New" w:cs="Courier New"/>
        </w:rPr>
        <w:t xml:space="preserve">. </w:t>
      </w:r>
      <w:r>
        <w:rPr>
          <w:rFonts w:ascii="Courier New" w:hAnsi="Courier New" w:cs="Courier New"/>
        </w:rPr>
        <w:t>T</w:t>
      </w:r>
      <w:r w:rsidRPr="00D24CE2">
        <w:rPr>
          <w:rFonts w:ascii="Courier New" w:hAnsi="Courier New" w:cs="Courier New"/>
        </w:rPr>
        <w:t xml:space="preserve">he appellant timely filed an </w:t>
      </w:r>
      <w:r w:rsidR="001E4276">
        <w:rPr>
          <w:rFonts w:ascii="Courier New" w:hAnsi="Courier New" w:cs="Courier New"/>
        </w:rPr>
        <w:t>A</w:t>
      </w:r>
      <w:r>
        <w:rPr>
          <w:rFonts w:ascii="Courier New" w:hAnsi="Courier New" w:cs="Courier New"/>
        </w:rPr>
        <w:t>pplication</w:t>
      </w:r>
      <w:r w:rsidR="001E4276">
        <w:rPr>
          <w:rFonts w:ascii="Courier New" w:hAnsi="Courier New" w:cs="Courier New"/>
        </w:rPr>
        <w:t xml:space="preserve"> for Abatement</w:t>
      </w:r>
      <w:r>
        <w:rPr>
          <w:rFonts w:ascii="Courier New" w:hAnsi="Courier New" w:cs="Courier New"/>
        </w:rPr>
        <w:t xml:space="preserve"> with the assessors on</w:t>
      </w:r>
      <w:r w:rsidRPr="004533E7">
        <w:rPr>
          <w:rFonts w:ascii="Courier New" w:hAnsi="Courier New" w:cs="Courier New"/>
        </w:rPr>
        <w:t xml:space="preserve"> </w:t>
      </w:r>
      <w:r>
        <w:rPr>
          <w:rFonts w:ascii="Courier New" w:hAnsi="Courier New" w:cs="Courier New"/>
        </w:rPr>
        <w:t>January</w:t>
      </w:r>
      <w:r w:rsidRPr="00D24CE2">
        <w:rPr>
          <w:rFonts w:ascii="Courier New" w:hAnsi="Courier New" w:cs="Courier New"/>
        </w:rPr>
        <w:t xml:space="preserve"> </w:t>
      </w:r>
      <w:r>
        <w:rPr>
          <w:rFonts w:ascii="Courier New" w:hAnsi="Courier New" w:cs="Courier New"/>
        </w:rPr>
        <w:t>25, 2012. O</w:t>
      </w:r>
      <w:r w:rsidRPr="00D24CE2">
        <w:rPr>
          <w:rFonts w:ascii="Courier New" w:hAnsi="Courier New" w:cs="Courier New"/>
        </w:rPr>
        <w:t xml:space="preserve">n </w:t>
      </w:r>
      <w:r>
        <w:rPr>
          <w:rFonts w:ascii="Courier New" w:hAnsi="Courier New" w:cs="Courier New"/>
        </w:rPr>
        <w:t>April 24</w:t>
      </w:r>
      <w:r w:rsidRPr="00D24CE2">
        <w:rPr>
          <w:rFonts w:ascii="Courier New" w:hAnsi="Courier New" w:cs="Courier New"/>
        </w:rPr>
        <w:t>, 2012</w:t>
      </w:r>
      <w:r>
        <w:rPr>
          <w:rFonts w:ascii="Courier New" w:hAnsi="Courier New" w:cs="Courier New"/>
        </w:rPr>
        <w:t>, t</w:t>
      </w:r>
      <w:r w:rsidRPr="00D24CE2">
        <w:rPr>
          <w:rFonts w:ascii="Courier New" w:hAnsi="Courier New" w:cs="Courier New"/>
        </w:rPr>
        <w:t>he assessors</w:t>
      </w:r>
      <w:r>
        <w:rPr>
          <w:rFonts w:ascii="Courier New" w:hAnsi="Courier New" w:cs="Courier New"/>
        </w:rPr>
        <w:t>, having viewed the subject property and</w:t>
      </w:r>
      <w:r w:rsidR="001E4276">
        <w:rPr>
          <w:rFonts w:ascii="Courier New" w:hAnsi="Courier New" w:cs="Courier New"/>
        </w:rPr>
        <w:t xml:space="preserve"> as a result</w:t>
      </w:r>
      <w:r>
        <w:rPr>
          <w:rFonts w:ascii="Courier New" w:hAnsi="Courier New" w:cs="Courier New"/>
        </w:rPr>
        <w:t xml:space="preserve"> downgraded its dwelling’s condition rating to “poor,”</w:t>
      </w:r>
      <w:r w:rsidRPr="00D24CE2">
        <w:rPr>
          <w:rFonts w:ascii="Courier New" w:hAnsi="Courier New" w:cs="Courier New"/>
        </w:rPr>
        <w:t xml:space="preserve"> </w:t>
      </w:r>
      <w:r>
        <w:rPr>
          <w:rFonts w:ascii="Courier New" w:hAnsi="Courier New" w:cs="Courier New"/>
        </w:rPr>
        <w:t>reduced the property’s assessed value to $508,500 and granted an abatement of $3,306</w:t>
      </w:r>
      <w:r w:rsidRPr="00D24CE2">
        <w:rPr>
          <w:rFonts w:ascii="Courier New" w:hAnsi="Courier New" w:cs="Courier New"/>
        </w:rPr>
        <w:t xml:space="preserve">. On </w:t>
      </w:r>
      <w:r>
        <w:rPr>
          <w:rFonts w:ascii="Courier New" w:hAnsi="Courier New" w:cs="Courier New"/>
        </w:rPr>
        <w:t>May 9</w:t>
      </w:r>
      <w:r w:rsidRPr="00D24CE2">
        <w:rPr>
          <w:rFonts w:ascii="Courier New" w:hAnsi="Courier New" w:cs="Courier New"/>
        </w:rPr>
        <w:t xml:space="preserve">, 2012, the appellant seasonably filed </w:t>
      </w:r>
      <w:r>
        <w:rPr>
          <w:rFonts w:ascii="Courier New" w:hAnsi="Courier New" w:cs="Courier New"/>
        </w:rPr>
        <w:t>a</w:t>
      </w:r>
      <w:r w:rsidRPr="00D24CE2">
        <w:rPr>
          <w:rFonts w:ascii="Courier New" w:hAnsi="Courier New" w:cs="Courier New"/>
        </w:rPr>
        <w:t xml:space="preserve"> Petition Under Formal Procedure with the Board</w:t>
      </w:r>
      <w:r>
        <w:rPr>
          <w:rFonts w:ascii="Courier New" w:hAnsi="Courier New" w:cs="Courier New"/>
        </w:rPr>
        <w:t xml:space="preserve"> seeking a further reduction in the subject property’s assessed value and a corresponding abatement</w:t>
      </w:r>
      <w:r w:rsidRPr="00D24CE2">
        <w:rPr>
          <w:rFonts w:ascii="Courier New" w:hAnsi="Courier New" w:cs="Courier New"/>
        </w:rPr>
        <w:t xml:space="preserve">. On the basis of the preceding facts, the Board found and ruled that it had jurisdiction </w:t>
      </w:r>
      <w:r>
        <w:rPr>
          <w:rFonts w:ascii="Courier New" w:hAnsi="Courier New" w:cs="Courier New"/>
        </w:rPr>
        <w:t>to hear and decide</w:t>
      </w:r>
      <w:r w:rsidRPr="00D24CE2">
        <w:rPr>
          <w:rFonts w:ascii="Courier New" w:hAnsi="Courier New" w:cs="Courier New"/>
        </w:rPr>
        <w:t xml:space="preserve"> this appeal.  </w:t>
      </w:r>
    </w:p>
    <w:p w:rsidR="00A64486" w:rsidRDefault="00A64486" w:rsidP="00BE3FC2">
      <w:pPr>
        <w:spacing w:line="480" w:lineRule="auto"/>
        <w:ind w:firstLine="720"/>
        <w:jc w:val="both"/>
        <w:rPr>
          <w:rFonts w:ascii="Courier New" w:hAnsi="Courier New" w:cs="Courier New"/>
        </w:rPr>
      </w:pPr>
      <w:r>
        <w:rPr>
          <w:rFonts w:ascii="Courier New" w:hAnsi="Courier New" w:cs="Courier New"/>
        </w:rPr>
        <w:t xml:space="preserve">The appellant asserted that the subject property was substantially overvalued for fiscal year 2012. In support of this assertion, the appellant emphasized that the dwelling </w:t>
      </w:r>
      <w:r>
        <w:rPr>
          <w:rFonts w:ascii="Courier New" w:hAnsi="Courier New" w:cs="Courier New"/>
        </w:rPr>
        <w:lastRenderedPageBreak/>
        <w:t xml:space="preserve">situated on the subject property had been condemned and deemed uninhabitable by the Town of Brookline. Consequently, the appellant viewed the dwelling as valueless. The appellant failed, however, to provide </w:t>
      </w:r>
      <w:r w:rsidR="001E4276">
        <w:rPr>
          <w:rFonts w:ascii="Courier New" w:hAnsi="Courier New" w:cs="Courier New"/>
        </w:rPr>
        <w:t xml:space="preserve">sufficient </w:t>
      </w:r>
      <w:r>
        <w:rPr>
          <w:rFonts w:ascii="Courier New" w:hAnsi="Courier New" w:cs="Courier New"/>
        </w:rPr>
        <w:t xml:space="preserve">evidence to demonstrate that the dwelling was without value or that the assessors had not adequately accounted for its state of disrepair when they lowered its condition rating and the subject property’s assessed value. Moreover, during the hearing of the appeal, the appellant’s </w:t>
      </w:r>
      <w:r w:rsidR="002C55B5">
        <w:rPr>
          <w:rFonts w:ascii="Courier New" w:hAnsi="Courier New" w:cs="Courier New"/>
        </w:rPr>
        <w:t>manager</w:t>
      </w:r>
      <w:r w:rsidR="001E4276">
        <w:rPr>
          <w:rFonts w:ascii="Courier New" w:hAnsi="Courier New" w:cs="Courier New"/>
        </w:rPr>
        <w:t>, who was the only person to testify on the appellant’s behalf,</w:t>
      </w:r>
      <w:r>
        <w:rPr>
          <w:rFonts w:ascii="Courier New" w:hAnsi="Courier New" w:cs="Courier New"/>
        </w:rPr>
        <w:t xml:space="preserve"> conceded that he did not know the extent of the damage to the dwelling</w:t>
      </w:r>
      <w:r w:rsidR="001E4276">
        <w:rPr>
          <w:rFonts w:ascii="Courier New" w:hAnsi="Courier New" w:cs="Courier New"/>
        </w:rPr>
        <w:t xml:space="preserve"> on the relevant assessment date. This lack of knowledge undermined the appellant’s assertion that the dwelling had no value.</w:t>
      </w:r>
      <w:r>
        <w:rPr>
          <w:rFonts w:ascii="Courier New" w:hAnsi="Courier New" w:cs="Courier New"/>
        </w:rPr>
        <w:t xml:space="preserve">   </w:t>
      </w:r>
    </w:p>
    <w:p w:rsidR="00A64486" w:rsidRDefault="00A64486" w:rsidP="00BE3FC2">
      <w:pPr>
        <w:spacing w:line="480" w:lineRule="auto"/>
        <w:ind w:firstLine="720"/>
        <w:jc w:val="both"/>
        <w:rPr>
          <w:rFonts w:ascii="Courier New" w:hAnsi="Courier New" w:cs="Courier New"/>
        </w:rPr>
      </w:pPr>
      <w:r>
        <w:rPr>
          <w:rFonts w:ascii="Courier New" w:hAnsi="Courier New" w:cs="Courier New"/>
        </w:rPr>
        <w:t xml:space="preserve">The appellant also offered </w:t>
      </w:r>
      <w:r w:rsidR="001E4276">
        <w:rPr>
          <w:rFonts w:ascii="Courier New" w:hAnsi="Courier New" w:cs="Courier New"/>
        </w:rPr>
        <w:t xml:space="preserve">a comparable-sales analysis in the form of </w:t>
      </w:r>
      <w:r>
        <w:rPr>
          <w:rFonts w:ascii="Courier New" w:hAnsi="Courier New" w:cs="Courier New"/>
        </w:rPr>
        <w:t>two Multiple Listing Service (“MLS”) listings for properties located in Brookline. The first property consisted of a 2,732-square-foot lot improved with a</w:t>
      </w:r>
      <w:r w:rsidR="001E4276">
        <w:rPr>
          <w:rFonts w:ascii="Courier New" w:hAnsi="Courier New" w:cs="Courier New"/>
        </w:rPr>
        <w:t xml:space="preserve"> 900-square-foot</w:t>
      </w:r>
      <w:r>
        <w:rPr>
          <w:rFonts w:ascii="Courier New" w:hAnsi="Courier New" w:cs="Courier New"/>
        </w:rPr>
        <w:t xml:space="preserve"> barn that was used to park vehicles. The second property was an undeveloped, wooded lot of 7,499 square feet that was marketed as </w:t>
      </w:r>
      <w:r w:rsidR="009947C4">
        <w:rPr>
          <w:rFonts w:ascii="Courier New" w:hAnsi="Courier New" w:cs="Courier New"/>
        </w:rPr>
        <w:t xml:space="preserve">appropriate </w:t>
      </w:r>
      <w:r>
        <w:rPr>
          <w:rFonts w:ascii="Courier New" w:hAnsi="Courier New" w:cs="Courier New"/>
        </w:rPr>
        <w:t xml:space="preserve">for construction of a single-family home. The Board found that these listings were not probative of the subject property’s fair cash value. As a threshold matter, the listings were expired and did not reflect a sale date or price for either property. Further, and more importantly, the </w:t>
      </w:r>
      <w:r>
        <w:rPr>
          <w:rFonts w:ascii="Courier New" w:hAnsi="Courier New" w:cs="Courier New"/>
        </w:rPr>
        <w:lastRenderedPageBreak/>
        <w:t xml:space="preserve">properties, one of which was an empty lot and the other improved only with a barn, did not share fundamental similarities with the subject property, which was improved with a two-family dwelling. Based on these facts, the Board found that the properties were not comparable to the subject property and </w:t>
      </w:r>
      <w:r w:rsidR="001E4276">
        <w:rPr>
          <w:rFonts w:ascii="Courier New" w:hAnsi="Courier New" w:cs="Courier New"/>
        </w:rPr>
        <w:t xml:space="preserve">were </w:t>
      </w:r>
      <w:r>
        <w:rPr>
          <w:rFonts w:ascii="Courier New" w:hAnsi="Courier New" w:cs="Courier New"/>
        </w:rPr>
        <w:t xml:space="preserve">not suitable for use in a comparable-sales analysis.   </w:t>
      </w:r>
    </w:p>
    <w:p w:rsidR="00A64486" w:rsidRDefault="00A64486" w:rsidP="00780905">
      <w:pPr>
        <w:spacing w:line="480" w:lineRule="auto"/>
        <w:ind w:firstLine="720"/>
        <w:jc w:val="both"/>
        <w:rPr>
          <w:rFonts w:ascii="Courier New" w:hAnsi="Courier New" w:cs="Courier New"/>
        </w:rPr>
      </w:pPr>
      <w:r w:rsidRPr="00D24CE2">
        <w:rPr>
          <w:rFonts w:ascii="Courier New" w:hAnsi="Courier New" w:cs="Courier New"/>
        </w:rPr>
        <w:t xml:space="preserve">On the basis of the foregoing, the Board found and ruled that the appellant failed to meet </w:t>
      </w:r>
      <w:r>
        <w:rPr>
          <w:rFonts w:ascii="Courier New" w:hAnsi="Courier New" w:cs="Courier New"/>
        </w:rPr>
        <w:t>its</w:t>
      </w:r>
      <w:r w:rsidRPr="00D24CE2">
        <w:rPr>
          <w:rFonts w:ascii="Courier New" w:hAnsi="Courier New" w:cs="Courier New"/>
        </w:rPr>
        <w:t xml:space="preserve"> burden of </w:t>
      </w:r>
      <w:r>
        <w:rPr>
          <w:rFonts w:ascii="Courier New" w:hAnsi="Courier New" w:cs="Courier New"/>
        </w:rPr>
        <w:t>demonstrating that the subject property’s assessed value exceeded its fair cash value for fiscal year 2012 and</w:t>
      </w:r>
      <w:r w:rsidRPr="00D24CE2">
        <w:rPr>
          <w:rFonts w:ascii="Courier New" w:hAnsi="Courier New" w:cs="Courier New"/>
        </w:rPr>
        <w:t xml:space="preserve"> issued a</w:t>
      </w:r>
      <w:r w:rsidRPr="00D24CE2">
        <w:rPr>
          <w:rStyle w:val="apple-converted-space"/>
          <w:rFonts w:ascii="Courier New" w:hAnsi="Courier New" w:cs="Courier New"/>
        </w:rPr>
        <w:t> </w:t>
      </w:r>
      <w:r w:rsidRPr="00D24CE2">
        <w:rPr>
          <w:rStyle w:val="cosearchterm"/>
          <w:rFonts w:ascii="Courier New" w:hAnsi="Courier New" w:cs="Courier New"/>
          <w:bCs/>
        </w:rPr>
        <w:t>decision</w:t>
      </w:r>
      <w:r w:rsidRPr="00D24CE2">
        <w:rPr>
          <w:rStyle w:val="apple-converted-space"/>
          <w:rFonts w:ascii="Courier New" w:hAnsi="Courier New" w:cs="Courier New"/>
        </w:rPr>
        <w:t> </w:t>
      </w:r>
      <w:r w:rsidRPr="00D24CE2">
        <w:rPr>
          <w:rFonts w:ascii="Courier New" w:hAnsi="Courier New" w:cs="Courier New"/>
        </w:rPr>
        <w:t>for the</w:t>
      </w:r>
      <w:r w:rsidRPr="00D24CE2">
        <w:rPr>
          <w:rStyle w:val="apple-converted-space"/>
          <w:rFonts w:ascii="Courier New" w:hAnsi="Courier New" w:cs="Courier New"/>
        </w:rPr>
        <w:t> </w:t>
      </w:r>
      <w:r w:rsidRPr="00D24CE2">
        <w:rPr>
          <w:rStyle w:val="cosearchterm"/>
          <w:rFonts w:ascii="Courier New" w:hAnsi="Courier New" w:cs="Courier New"/>
          <w:bCs/>
        </w:rPr>
        <w:t>appellee</w:t>
      </w:r>
      <w:r w:rsidRPr="00D24CE2">
        <w:rPr>
          <w:rStyle w:val="apple-converted-space"/>
          <w:rFonts w:ascii="Courier New" w:hAnsi="Courier New" w:cs="Courier New"/>
        </w:rPr>
        <w:t> </w:t>
      </w:r>
      <w:r w:rsidRPr="00D24CE2">
        <w:rPr>
          <w:rFonts w:ascii="Courier New" w:hAnsi="Courier New" w:cs="Courier New"/>
        </w:rPr>
        <w:t>in this appeal.</w:t>
      </w:r>
    </w:p>
    <w:p w:rsidR="00A64486" w:rsidRPr="00D24CE2" w:rsidRDefault="00A64486" w:rsidP="00780905">
      <w:pPr>
        <w:spacing w:line="480" w:lineRule="auto"/>
        <w:ind w:firstLine="720"/>
        <w:jc w:val="both"/>
        <w:rPr>
          <w:rFonts w:ascii="Courier New" w:hAnsi="Courier New" w:cs="Courier New"/>
        </w:rPr>
      </w:pPr>
    </w:p>
    <w:p w:rsidR="00A64486" w:rsidRPr="00D24CE2" w:rsidRDefault="00A64486" w:rsidP="00024244">
      <w:pPr>
        <w:spacing w:after="200" w:line="480" w:lineRule="auto"/>
        <w:jc w:val="center"/>
        <w:rPr>
          <w:rFonts w:ascii="Courier New" w:hAnsi="Courier New" w:cs="Courier New"/>
          <w:b/>
        </w:rPr>
      </w:pPr>
      <w:r w:rsidRPr="00D24CE2">
        <w:rPr>
          <w:rFonts w:ascii="Courier New" w:hAnsi="Courier New" w:cs="Courier New"/>
          <w:b/>
        </w:rPr>
        <w:t>OPINION</w:t>
      </w:r>
    </w:p>
    <w:p w:rsidR="00A64486" w:rsidRPr="00D24CE2" w:rsidRDefault="00A64486" w:rsidP="00024244">
      <w:pPr>
        <w:spacing w:line="480" w:lineRule="auto"/>
        <w:ind w:firstLine="720"/>
        <w:jc w:val="both"/>
        <w:rPr>
          <w:rFonts w:ascii="Courier New" w:hAnsi="Courier New" w:cs="Courier New"/>
        </w:rPr>
      </w:pPr>
      <w:r>
        <w:rPr>
          <w:rFonts w:ascii="Courier New" w:hAnsi="Courier New" w:cs="Courier New"/>
        </w:rPr>
        <w:t>A</w:t>
      </w:r>
      <w:r w:rsidRPr="00D24CE2">
        <w:rPr>
          <w:rFonts w:ascii="Courier New" w:hAnsi="Courier New" w:cs="Courier New"/>
        </w:rPr>
        <w:t xml:space="preserve">ssessors are required to assess real estate at its fair cash value. G.L. c. 59, § 38.  Fair cash value is defined as the price on which a willing seller and a willing buyer in a free and open market will agree if both of them are fully informed and under no compulsion. </w:t>
      </w:r>
      <w:r w:rsidRPr="00D24CE2">
        <w:rPr>
          <w:rFonts w:ascii="Courier New" w:hAnsi="Courier New" w:cs="Courier New"/>
          <w:b/>
          <w:bCs/>
          <w:i/>
          <w:iCs/>
        </w:rPr>
        <w:t>Boston Gas Co. v. Assessors of Boston</w:t>
      </w:r>
      <w:r w:rsidRPr="00D24CE2">
        <w:rPr>
          <w:rFonts w:ascii="Courier New" w:hAnsi="Courier New" w:cs="Courier New"/>
        </w:rPr>
        <w:t>, 334 Mass. 549, 566 (1956).</w:t>
      </w:r>
    </w:p>
    <w:p w:rsidR="00A64486" w:rsidRDefault="00A64486" w:rsidP="00284F08">
      <w:pPr>
        <w:spacing w:line="480" w:lineRule="auto"/>
        <w:ind w:firstLine="720"/>
        <w:jc w:val="both"/>
        <w:rPr>
          <w:rFonts w:ascii="Courier New" w:hAnsi="Courier New" w:cs="Courier New"/>
        </w:rPr>
      </w:pPr>
      <w:r>
        <w:rPr>
          <w:rFonts w:ascii="Courier New" w:hAnsi="Courier New" w:cs="Courier New"/>
        </w:rPr>
        <w:t>The appellant has</w:t>
      </w:r>
      <w:r w:rsidRPr="00D24CE2">
        <w:rPr>
          <w:rFonts w:ascii="Courier New" w:hAnsi="Courier New" w:cs="Courier New"/>
        </w:rPr>
        <w:t xml:space="preserve"> the burden of proving that the</w:t>
      </w:r>
      <w:r>
        <w:rPr>
          <w:rFonts w:ascii="Courier New" w:hAnsi="Courier New" w:cs="Courier New"/>
        </w:rPr>
        <w:t xml:space="preserve"> subject</w:t>
      </w:r>
      <w:r w:rsidRPr="00D24CE2">
        <w:rPr>
          <w:rFonts w:ascii="Courier New" w:hAnsi="Courier New" w:cs="Courier New"/>
        </w:rPr>
        <w:t xml:space="preserve"> property</w:t>
      </w:r>
      <w:r>
        <w:rPr>
          <w:rFonts w:ascii="Courier New" w:hAnsi="Courier New" w:cs="Courier New"/>
        </w:rPr>
        <w:t xml:space="preserve">’s fair cash value was </w:t>
      </w:r>
      <w:r w:rsidRPr="00D24CE2">
        <w:rPr>
          <w:rFonts w:ascii="Courier New" w:hAnsi="Courier New" w:cs="Courier New"/>
        </w:rPr>
        <w:t xml:space="preserve">lower than </w:t>
      </w:r>
      <w:r>
        <w:rPr>
          <w:rFonts w:ascii="Courier New" w:hAnsi="Courier New" w:cs="Courier New"/>
        </w:rPr>
        <w:t xml:space="preserve">its </w:t>
      </w:r>
      <w:r w:rsidRPr="00D24CE2">
        <w:rPr>
          <w:rFonts w:ascii="Courier New" w:hAnsi="Courier New" w:cs="Courier New"/>
        </w:rPr>
        <w:t>assessed</w:t>
      </w:r>
      <w:r>
        <w:rPr>
          <w:rFonts w:ascii="Courier New" w:hAnsi="Courier New" w:cs="Courier New"/>
        </w:rPr>
        <w:t xml:space="preserve"> value</w:t>
      </w:r>
      <w:r w:rsidRPr="00D24CE2">
        <w:rPr>
          <w:rFonts w:ascii="Courier New" w:hAnsi="Courier New" w:cs="Courier New"/>
        </w:rPr>
        <w:t xml:space="preserve">. “‘The burden of proof is upon the petitioner to make out [his] right as [a] matter of law to [an] abatement of the tax.’”  </w:t>
      </w:r>
      <w:r w:rsidRPr="00D24CE2">
        <w:rPr>
          <w:rFonts w:ascii="Courier New" w:hAnsi="Courier New" w:cs="Courier New"/>
          <w:b/>
          <w:bCs/>
          <w:i/>
          <w:iCs/>
        </w:rPr>
        <w:lastRenderedPageBreak/>
        <w:t>Schlaiker v. Assessors of Great Barrington</w:t>
      </w:r>
      <w:r w:rsidRPr="00D24CE2">
        <w:rPr>
          <w:rFonts w:ascii="Courier New" w:hAnsi="Courier New" w:cs="Courier New"/>
        </w:rPr>
        <w:t xml:space="preserve">, 365 Mass. 243, 245 (1974)(quoting </w:t>
      </w:r>
      <w:r w:rsidRPr="00D24CE2">
        <w:rPr>
          <w:rFonts w:ascii="Courier New" w:hAnsi="Courier New" w:cs="Courier New"/>
          <w:b/>
          <w:bCs/>
          <w:i/>
          <w:iCs/>
        </w:rPr>
        <w:t>Judson Freight Forwarding Co. v. Commonwealth</w:t>
      </w:r>
      <w:r w:rsidRPr="00D24CE2">
        <w:rPr>
          <w:rFonts w:ascii="Courier New" w:hAnsi="Courier New" w:cs="Courier New"/>
        </w:rPr>
        <w:t>, 242 Mass. 47, 55 (1922)). In appeals before th</w:t>
      </w:r>
      <w:r>
        <w:rPr>
          <w:rFonts w:ascii="Courier New" w:hAnsi="Courier New" w:cs="Courier New"/>
        </w:rPr>
        <w:t>e</w:t>
      </w:r>
      <w:r w:rsidRPr="00D24CE2">
        <w:rPr>
          <w:rFonts w:ascii="Courier New" w:hAnsi="Courier New" w:cs="Courier New"/>
        </w:rPr>
        <w:t xml:space="preserve"> Board, taxpayers </w:t>
      </w:r>
      <w:r w:rsidR="002C55B5">
        <w:rPr>
          <w:rFonts w:ascii="Courier New" w:hAnsi="Courier New" w:cs="Courier New"/>
        </w:rPr>
        <w:t>“‘</w:t>
      </w:r>
      <w:r w:rsidRPr="00D24CE2">
        <w:rPr>
          <w:rFonts w:ascii="Courier New" w:hAnsi="Courier New" w:cs="Courier New"/>
        </w:rPr>
        <w:t>may present persuasive evidence of overvaluation either by exposing flaws or errors in the assessors’ method of valuation, or by introducing affirmative evidence of value which undermines the assessors’ valuation.</w:t>
      </w:r>
      <w:r w:rsidR="002C55B5">
        <w:rPr>
          <w:rFonts w:ascii="Courier New" w:hAnsi="Courier New" w:cs="Courier New"/>
        </w:rPr>
        <w:t>’</w:t>
      </w:r>
      <w:r w:rsidRPr="00D24CE2">
        <w:rPr>
          <w:rFonts w:ascii="Courier New" w:hAnsi="Courier New" w:cs="Courier New"/>
        </w:rPr>
        <w:t xml:space="preserve">” </w:t>
      </w:r>
      <w:r w:rsidRPr="00D24CE2">
        <w:rPr>
          <w:rFonts w:ascii="Courier New" w:hAnsi="Courier New" w:cs="Courier New"/>
          <w:b/>
          <w:bCs/>
          <w:i/>
          <w:iCs/>
        </w:rPr>
        <w:t>General Electric Co.</w:t>
      </w:r>
      <w:r w:rsidR="001E4276">
        <w:rPr>
          <w:rFonts w:ascii="Courier New" w:hAnsi="Courier New" w:cs="Courier New"/>
          <w:b/>
          <w:bCs/>
          <w:i/>
          <w:iCs/>
        </w:rPr>
        <w:t xml:space="preserve"> v. Assessors of Lynn</w:t>
      </w:r>
      <w:r w:rsidRPr="00D24CE2">
        <w:rPr>
          <w:rFonts w:ascii="Courier New" w:hAnsi="Courier New" w:cs="Courier New"/>
          <w:b/>
          <w:bCs/>
          <w:i/>
          <w:iCs/>
        </w:rPr>
        <w:t>,</w:t>
      </w:r>
      <w:r w:rsidR="001E4276">
        <w:rPr>
          <w:rFonts w:ascii="Courier New" w:hAnsi="Courier New" w:cs="Courier New"/>
          <w:b/>
          <w:bCs/>
          <w:i/>
          <w:iCs/>
        </w:rPr>
        <w:t xml:space="preserve"> </w:t>
      </w:r>
      <w:r w:rsidRPr="00D24CE2">
        <w:rPr>
          <w:rFonts w:ascii="Courier New" w:hAnsi="Courier New" w:cs="Courier New"/>
        </w:rPr>
        <w:t>393 Mass.</w:t>
      </w:r>
      <w:r w:rsidR="001E4276">
        <w:rPr>
          <w:rFonts w:ascii="Courier New" w:hAnsi="Courier New" w:cs="Courier New"/>
        </w:rPr>
        <w:t xml:space="preserve"> 591, 600 (1984)</w:t>
      </w:r>
      <w:r w:rsidRPr="00D24CE2">
        <w:rPr>
          <w:rFonts w:ascii="Courier New" w:hAnsi="Courier New" w:cs="Courier New"/>
        </w:rPr>
        <w:t xml:space="preserve">(quoting </w:t>
      </w:r>
      <w:r w:rsidRPr="00D24CE2">
        <w:rPr>
          <w:rFonts w:ascii="Courier New" w:hAnsi="Courier New" w:cs="Courier New"/>
          <w:b/>
          <w:bCs/>
          <w:i/>
          <w:iCs/>
        </w:rPr>
        <w:t>Donlon v. Assessors of Holliston</w:t>
      </w:r>
      <w:r w:rsidRPr="00D24CE2">
        <w:rPr>
          <w:rFonts w:ascii="Courier New" w:hAnsi="Courier New" w:cs="Courier New"/>
        </w:rPr>
        <w:t xml:space="preserve">, 389 Mass. 848, 855 (1983)). </w:t>
      </w:r>
    </w:p>
    <w:p w:rsidR="00A64486" w:rsidRDefault="00A64486" w:rsidP="001A1961">
      <w:pPr>
        <w:spacing w:line="480" w:lineRule="auto"/>
        <w:ind w:firstLine="720"/>
        <w:jc w:val="both"/>
        <w:rPr>
          <w:rFonts w:ascii="Courier New" w:hAnsi="Courier New" w:cs="Courier New"/>
        </w:rPr>
      </w:pPr>
      <w:r w:rsidRPr="00D24CE2">
        <w:rPr>
          <w:rFonts w:ascii="Courier New" w:hAnsi="Courier New" w:cs="Courier New"/>
        </w:rPr>
        <w:t xml:space="preserve">“Sales of comparable realty in the same geographic area and within a reasonable time of the assessment date contain credible data and information for determining the value of the property at issue.” </w:t>
      </w:r>
      <w:r w:rsidRPr="00D24CE2">
        <w:rPr>
          <w:rFonts w:ascii="Courier New" w:hAnsi="Courier New" w:cs="Courier New"/>
          <w:b/>
          <w:bCs/>
          <w:i/>
          <w:iCs/>
        </w:rPr>
        <w:t>Giard v. Assessors of Colrain</w:t>
      </w:r>
      <w:r w:rsidRPr="00D24CE2">
        <w:rPr>
          <w:rFonts w:ascii="Courier New" w:hAnsi="Courier New" w:cs="Courier New"/>
        </w:rPr>
        <w:t xml:space="preserve">, Mass. ATB Findings of Fact and Reports 2009-115, 123 (citing </w:t>
      </w:r>
      <w:r w:rsidRPr="00D24CE2">
        <w:rPr>
          <w:rFonts w:ascii="Courier New" w:hAnsi="Courier New" w:cs="Courier New"/>
          <w:b/>
          <w:bCs/>
          <w:i/>
          <w:iCs/>
        </w:rPr>
        <w:t xml:space="preserve">McCabe v. </w:t>
      </w:r>
      <w:r w:rsidR="00F124E9">
        <w:rPr>
          <w:rFonts w:ascii="Courier New" w:hAnsi="Courier New" w:cs="Courier New"/>
          <w:b/>
          <w:bCs/>
          <w:i/>
          <w:iCs/>
        </w:rPr>
        <w:t xml:space="preserve">Assessors of </w:t>
      </w:r>
      <w:r w:rsidRPr="00D24CE2">
        <w:rPr>
          <w:rFonts w:ascii="Courier New" w:hAnsi="Courier New" w:cs="Courier New"/>
          <w:b/>
          <w:bCs/>
          <w:i/>
          <w:iCs/>
        </w:rPr>
        <w:t>Chelsea,</w:t>
      </w:r>
      <w:r w:rsidRPr="00D24CE2">
        <w:rPr>
          <w:rFonts w:ascii="Courier New" w:hAnsi="Courier New" w:cs="Courier New"/>
        </w:rPr>
        <w:t xml:space="preserve"> 265</w:t>
      </w:r>
      <w:r w:rsidR="00F124E9">
        <w:rPr>
          <w:rFonts w:ascii="Courier New" w:hAnsi="Courier New" w:cs="Courier New"/>
        </w:rPr>
        <w:t> </w:t>
      </w:r>
      <w:r w:rsidRPr="00D24CE2">
        <w:rPr>
          <w:rFonts w:ascii="Courier New" w:hAnsi="Courier New" w:cs="Courier New"/>
        </w:rPr>
        <w:t>Mass. 494, 496 (1929)).</w:t>
      </w:r>
      <w:r>
        <w:rPr>
          <w:rFonts w:ascii="Courier New" w:hAnsi="Courier New" w:cs="Courier New"/>
        </w:rPr>
        <w:t xml:space="preserve"> </w:t>
      </w:r>
      <w:r w:rsidRPr="00D24CE2">
        <w:rPr>
          <w:rFonts w:ascii="Courier New" w:hAnsi="Courier New" w:cs="Courier New"/>
        </w:rPr>
        <w:t>Properties are “comparable” to the subject property when they share "fundamental similarities" with the subject property, including location, size</w:t>
      </w:r>
      <w:r>
        <w:rPr>
          <w:rFonts w:ascii="Courier New" w:hAnsi="Courier New" w:cs="Courier New"/>
        </w:rPr>
        <w:t>,</w:t>
      </w:r>
      <w:r w:rsidRPr="00D24CE2">
        <w:rPr>
          <w:rFonts w:ascii="Courier New" w:hAnsi="Courier New" w:cs="Courier New"/>
        </w:rPr>
        <w:t xml:space="preserve"> and date of sale. </w:t>
      </w:r>
      <w:r w:rsidRPr="00D24CE2">
        <w:rPr>
          <w:rFonts w:ascii="Courier New" w:hAnsi="Courier New" w:cs="Courier New"/>
          <w:b/>
          <w:i/>
        </w:rPr>
        <w:t>Lattuca v. Robsham</w:t>
      </w:r>
      <w:r w:rsidRPr="00D24CE2">
        <w:rPr>
          <w:rFonts w:ascii="Courier New" w:hAnsi="Courier New" w:cs="Courier New"/>
        </w:rPr>
        <w:t xml:space="preserve">, 442 Mass. 205, 216 (2004). </w:t>
      </w:r>
    </w:p>
    <w:p w:rsidR="00332B13" w:rsidRDefault="00A64486" w:rsidP="001A1961">
      <w:pPr>
        <w:spacing w:line="480" w:lineRule="auto"/>
        <w:ind w:firstLine="720"/>
        <w:jc w:val="both"/>
        <w:rPr>
          <w:rFonts w:ascii="Courier New" w:hAnsi="Courier New" w:cs="Courier New"/>
        </w:rPr>
      </w:pPr>
      <w:r>
        <w:rPr>
          <w:rFonts w:ascii="Courier New" w:hAnsi="Courier New" w:cs="Courier New"/>
        </w:rPr>
        <w:t>The appellant’s claim of overvaluation rested on the assertion that the dwelling situated on the subject property had no value and comparable-sales evidence consisting of two</w:t>
      </w:r>
      <w:r w:rsidR="00332B13">
        <w:rPr>
          <w:rFonts w:ascii="Courier New" w:hAnsi="Courier New" w:cs="Courier New"/>
        </w:rPr>
        <w:t xml:space="preserve"> expired</w:t>
      </w:r>
      <w:r>
        <w:rPr>
          <w:rFonts w:ascii="Courier New" w:hAnsi="Courier New" w:cs="Courier New"/>
        </w:rPr>
        <w:t xml:space="preserve"> MLS property listings. However, neither the appellant’s assertion nor the property listings </w:t>
      </w:r>
      <w:r w:rsidRPr="00D24CE2">
        <w:rPr>
          <w:rFonts w:ascii="Courier New" w:hAnsi="Courier New" w:cs="Courier New"/>
        </w:rPr>
        <w:t>expos</w:t>
      </w:r>
      <w:r>
        <w:rPr>
          <w:rFonts w:ascii="Courier New" w:hAnsi="Courier New" w:cs="Courier New"/>
        </w:rPr>
        <w:t>ed</w:t>
      </w:r>
      <w:r w:rsidRPr="00D24CE2">
        <w:rPr>
          <w:rFonts w:ascii="Courier New" w:hAnsi="Courier New" w:cs="Courier New"/>
        </w:rPr>
        <w:t xml:space="preserve"> flaws in the </w:t>
      </w:r>
      <w:r w:rsidRPr="00D24CE2">
        <w:rPr>
          <w:rFonts w:ascii="Courier New" w:hAnsi="Courier New" w:cs="Courier New"/>
        </w:rPr>
        <w:lastRenderedPageBreak/>
        <w:t xml:space="preserve">assessors’ valuation or </w:t>
      </w:r>
      <w:r>
        <w:rPr>
          <w:rFonts w:ascii="Courier New" w:hAnsi="Courier New" w:cs="Courier New"/>
        </w:rPr>
        <w:t xml:space="preserve">provided </w:t>
      </w:r>
      <w:r w:rsidRPr="00D24CE2">
        <w:rPr>
          <w:rFonts w:ascii="Courier New" w:hAnsi="Courier New" w:cs="Courier New"/>
        </w:rPr>
        <w:t xml:space="preserve">affirmative evidence of </w:t>
      </w:r>
      <w:r>
        <w:rPr>
          <w:rFonts w:ascii="Courier New" w:hAnsi="Courier New" w:cs="Courier New"/>
        </w:rPr>
        <w:t xml:space="preserve">the subject property’s fair cash value. More specifically, while the dwelling was in poor condition, the appellant failed to establish that it was valueless and acknowledged an inability to quantify existing damage. The MLS listings were just that, and not evidence of sales. Finally, the properties offered for comparison with the subject property were a vacant lot and one improved with a barn used for parking, neither of which the Board found was comparable to the subject property. </w:t>
      </w:r>
    </w:p>
    <w:p w:rsidR="00A64486" w:rsidRPr="00711E3E" w:rsidRDefault="00A64486" w:rsidP="00BD7616">
      <w:pPr>
        <w:spacing w:line="480" w:lineRule="auto"/>
        <w:ind w:firstLine="720"/>
        <w:jc w:val="both"/>
        <w:rPr>
          <w:rFonts w:ascii="Courier New" w:hAnsi="Courier New" w:cs="Courier New"/>
        </w:rPr>
      </w:pPr>
      <w:r>
        <w:rPr>
          <w:rFonts w:ascii="Courier New" w:hAnsi="Courier New" w:cs="Courier New"/>
        </w:rPr>
        <w:t xml:space="preserve">For </w:t>
      </w:r>
      <w:r w:rsidR="00332B13">
        <w:rPr>
          <w:rFonts w:ascii="Courier New" w:hAnsi="Courier New" w:cs="Courier New"/>
        </w:rPr>
        <w:t>all of the cited reasons,</w:t>
      </w:r>
      <w:r>
        <w:rPr>
          <w:rFonts w:ascii="Courier New" w:hAnsi="Courier New" w:cs="Courier New"/>
        </w:rPr>
        <w:t xml:space="preserve"> the Board found and ruled that the appellant failed to sustain its </w:t>
      </w:r>
      <w:r w:rsidRPr="002547AC">
        <w:rPr>
          <w:rFonts w:ascii="Courier New" w:hAnsi="Courier New" w:cs="Courier New"/>
          <w:color w:val="333333"/>
        </w:rPr>
        <w:t xml:space="preserve">burden of proving that the </w:t>
      </w:r>
      <w:r>
        <w:rPr>
          <w:rFonts w:ascii="Courier New" w:hAnsi="Courier New" w:cs="Courier New"/>
          <w:color w:val="333333"/>
        </w:rPr>
        <w:t>subject property’s fair cash value was lower that its assessed value for fiscal year 2012.</w:t>
      </w:r>
      <w:r>
        <w:rPr>
          <w:rFonts w:ascii="Courier New" w:hAnsi="Courier New" w:cs="Courier New"/>
        </w:rPr>
        <w:t xml:space="preserve"> Accordingly, </w:t>
      </w:r>
      <w:r w:rsidRPr="00711E3E">
        <w:rPr>
          <w:rFonts w:ascii="Courier New" w:hAnsi="Courier New" w:cs="Courier New"/>
          <w:color w:val="333333"/>
        </w:rPr>
        <w:t>the Board issued a decision for the appell</w:t>
      </w:r>
      <w:r>
        <w:rPr>
          <w:rFonts w:ascii="Courier New" w:hAnsi="Courier New" w:cs="Courier New"/>
          <w:color w:val="333333"/>
        </w:rPr>
        <w:t>ee</w:t>
      </w:r>
      <w:r w:rsidRPr="00711E3E">
        <w:rPr>
          <w:rFonts w:ascii="Courier New" w:hAnsi="Courier New" w:cs="Courier New"/>
          <w:color w:val="333333"/>
        </w:rPr>
        <w:t xml:space="preserve"> </w:t>
      </w:r>
      <w:r>
        <w:rPr>
          <w:rFonts w:ascii="Courier New" w:hAnsi="Courier New" w:cs="Courier New"/>
          <w:color w:val="333333"/>
        </w:rPr>
        <w:t>in this appeal</w:t>
      </w:r>
      <w:r w:rsidRPr="00711E3E">
        <w:rPr>
          <w:rFonts w:ascii="Courier New" w:hAnsi="Courier New" w:cs="Courier New"/>
        </w:rPr>
        <w:t>.</w:t>
      </w:r>
    </w:p>
    <w:p w:rsidR="00A64486" w:rsidRDefault="00A64486" w:rsidP="00BD7616">
      <w:pPr>
        <w:pStyle w:val="BodyText2"/>
      </w:pPr>
      <w:r>
        <w:t xml:space="preserve">  </w:t>
      </w:r>
      <w:r>
        <w:tab/>
      </w:r>
      <w:r>
        <w:tab/>
      </w:r>
    </w:p>
    <w:p w:rsidR="00A64486" w:rsidRDefault="00A64486" w:rsidP="00BD7616">
      <w:pPr>
        <w:pStyle w:val="BodyText2"/>
      </w:pPr>
    </w:p>
    <w:p w:rsidR="00A64486" w:rsidRDefault="00A64486" w:rsidP="00BD7616">
      <w:pPr>
        <w:pStyle w:val="BodyText2"/>
        <w:rPr>
          <w:b/>
          <w:bCs/>
        </w:rPr>
      </w:pPr>
      <w:r>
        <w:tab/>
      </w:r>
      <w:r>
        <w:tab/>
      </w:r>
      <w:r>
        <w:tab/>
      </w:r>
      <w:r>
        <w:tab/>
      </w:r>
      <w:r>
        <w:tab/>
      </w:r>
      <w:r w:rsidRPr="00731755">
        <w:rPr>
          <w:b/>
        </w:rPr>
        <w:t xml:space="preserve">  </w:t>
      </w:r>
      <w:r w:rsidR="00F124E9">
        <w:rPr>
          <w:b/>
        </w:rPr>
        <w:t xml:space="preserve">THE </w:t>
      </w:r>
      <w:r w:rsidRPr="00731755">
        <w:rPr>
          <w:b/>
        </w:rPr>
        <w:t>A</w:t>
      </w:r>
      <w:r w:rsidRPr="00731755">
        <w:rPr>
          <w:b/>
          <w:bCs/>
        </w:rPr>
        <w:t>PPELLATE</w:t>
      </w:r>
      <w:r>
        <w:rPr>
          <w:b/>
          <w:bCs/>
        </w:rPr>
        <w:t xml:space="preserve"> TAX BOARD</w:t>
      </w:r>
    </w:p>
    <w:p w:rsidR="00A64486" w:rsidRDefault="00A64486" w:rsidP="00BD7616">
      <w:pPr>
        <w:pStyle w:val="BodyText2"/>
        <w:spacing w:line="240" w:lineRule="auto"/>
        <w:rPr>
          <w:b/>
          <w:bCs/>
        </w:rPr>
      </w:pPr>
      <w:r>
        <w:rPr>
          <w:b/>
          <w:bCs/>
        </w:rPr>
        <w:tab/>
      </w:r>
      <w:r>
        <w:rPr>
          <w:b/>
          <w:bCs/>
        </w:rPr>
        <w:tab/>
      </w:r>
      <w:r>
        <w:rPr>
          <w:b/>
          <w:bCs/>
        </w:rPr>
        <w:tab/>
        <w:t xml:space="preserve"> </w:t>
      </w:r>
    </w:p>
    <w:p w:rsidR="00A64486" w:rsidRDefault="00A64486" w:rsidP="00BD7616">
      <w:pPr>
        <w:pStyle w:val="BodyText2"/>
        <w:spacing w:line="240" w:lineRule="auto"/>
        <w:rPr>
          <w:b/>
          <w:bCs/>
        </w:rPr>
      </w:pPr>
      <w:r>
        <w:rPr>
          <w:b/>
          <w:bCs/>
        </w:rPr>
        <w:t xml:space="preserve">    </w:t>
      </w:r>
    </w:p>
    <w:p w:rsidR="00A64486" w:rsidRDefault="00F124E9" w:rsidP="00F124E9">
      <w:pPr>
        <w:pStyle w:val="BodyText2"/>
        <w:spacing w:line="240" w:lineRule="auto"/>
        <w:rPr>
          <w:b/>
          <w:bCs/>
          <w:u w:val="single"/>
        </w:rPr>
      </w:pPr>
      <w:r>
        <w:rPr>
          <w:b/>
          <w:bCs/>
        </w:rPr>
        <w:t>                      </w:t>
      </w:r>
      <w:r w:rsidR="00A64486">
        <w:rPr>
          <w:b/>
          <w:bCs/>
        </w:rPr>
        <w:t>By:</w:t>
      </w:r>
      <w:r w:rsidR="00A64486">
        <w:rPr>
          <w:b/>
          <w:bCs/>
          <w:u w:val="single"/>
        </w:rPr>
        <w:tab/>
      </w:r>
      <w:r w:rsidR="00A64486">
        <w:rPr>
          <w:b/>
          <w:bCs/>
          <w:u w:val="single"/>
        </w:rPr>
        <w:tab/>
      </w:r>
      <w:r w:rsidR="00A64486">
        <w:rPr>
          <w:b/>
          <w:bCs/>
          <w:u w:val="single"/>
        </w:rPr>
        <w:tab/>
        <w:t xml:space="preserve">          </w:t>
      </w:r>
      <w:r w:rsidR="00A64486">
        <w:rPr>
          <w:b/>
          <w:bCs/>
          <w:u w:val="single"/>
        </w:rPr>
        <w:tab/>
        <w:t>___</w:t>
      </w:r>
    </w:p>
    <w:p w:rsidR="00A64486" w:rsidRDefault="00A64486" w:rsidP="00BD7616">
      <w:pPr>
        <w:pStyle w:val="BodyText2"/>
        <w:spacing w:line="240" w:lineRule="auto"/>
        <w:rPr>
          <w:b/>
          <w:bCs/>
        </w:rPr>
      </w:pPr>
      <w:r>
        <w:rPr>
          <w:b/>
          <w:bCs/>
        </w:rPr>
        <w:tab/>
      </w:r>
      <w:r>
        <w:rPr>
          <w:b/>
          <w:bCs/>
        </w:rPr>
        <w:tab/>
      </w:r>
      <w:r>
        <w:rPr>
          <w:b/>
          <w:bCs/>
        </w:rPr>
        <w:tab/>
      </w:r>
      <w:r>
        <w:rPr>
          <w:b/>
          <w:bCs/>
        </w:rPr>
        <w:tab/>
        <w:t xml:space="preserve">  </w:t>
      </w:r>
      <w:r>
        <w:rPr>
          <w:b/>
          <w:bCs/>
        </w:rPr>
        <w:tab/>
        <w:t xml:space="preserve">Thomas W. Hammond, Jr., Chairman </w:t>
      </w:r>
    </w:p>
    <w:p w:rsidR="00A64486" w:rsidRDefault="00A64486" w:rsidP="00BD7616">
      <w:pPr>
        <w:pStyle w:val="BodyText2"/>
        <w:spacing w:line="240" w:lineRule="auto"/>
        <w:ind w:firstLine="0"/>
        <w:rPr>
          <w:b/>
          <w:bCs/>
        </w:rPr>
      </w:pPr>
    </w:p>
    <w:p w:rsidR="00A64486" w:rsidRDefault="00A64486" w:rsidP="00BD7616">
      <w:pPr>
        <w:pStyle w:val="BodyText2"/>
        <w:spacing w:line="240" w:lineRule="auto"/>
        <w:ind w:firstLine="0"/>
        <w:rPr>
          <w:b/>
          <w:bCs/>
        </w:rPr>
      </w:pPr>
    </w:p>
    <w:p w:rsidR="00A64486" w:rsidRDefault="00A64486" w:rsidP="00BD7616">
      <w:pPr>
        <w:pStyle w:val="BodyText2"/>
        <w:spacing w:line="240" w:lineRule="auto"/>
        <w:ind w:firstLine="0"/>
        <w:rPr>
          <w:b/>
          <w:bCs/>
        </w:rPr>
      </w:pPr>
    </w:p>
    <w:p w:rsidR="00200AC7" w:rsidRDefault="00200AC7" w:rsidP="00200AC7">
      <w:pPr>
        <w:pStyle w:val="BodyText2"/>
        <w:spacing w:line="240" w:lineRule="auto"/>
        <w:ind w:firstLine="0"/>
        <w:rPr>
          <w:b/>
          <w:bCs/>
        </w:rPr>
      </w:pPr>
      <w:r>
        <w:rPr>
          <w:b/>
          <w:bCs/>
        </w:rPr>
        <w:t>A true copy,</w:t>
      </w:r>
    </w:p>
    <w:p w:rsidR="00200AC7" w:rsidRDefault="00200AC7" w:rsidP="00200AC7">
      <w:pPr>
        <w:pStyle w:val="BodyText2"/>
        <w:spacing w:line="240" w:lineRule="auto"/>
        <w:ind w:firstLine="0"/>
        <w:rPr>
          <w:b/>
          <w:bCs/>
        </w:rPr>
      </w:pPr>
    </w:p>
    <w:p w:rsidR="00200AC7" w:rsidRDefault="00200AC7" w:rsidP="00200AC7">
      <w:pPr>
        <w:pStyle w:val="BodyText2"/>
        <w:spacing w:line="240" w:lineRule="auto"/>
        <w:ind w:firstLine="0"/>
        <w:rPr>
          <w:b/>
          <w:bCs/>
          <w:u w:val="single"/>
        </w:rPr>
      </w:pPr>
      <w:r>
        <w:rPr>
          <w:b/>
          <w:bCs/>
        </w:rPr>
        <w:t>Attest:</w:t>
      </w:r>
      <w:r>
        <w:rPr>
          <w:b/>
          <w:bCs/>
          <w:u w:val="single"/>
        </w:rPr>
        <w:tab/>
      </w:r>
      <w:r>
        <w:rPr>
          <w:b/>
          <w:bCs/>
          <w:u w:val="single"/>
        </w:rPr>
        <w:tab/>
      </w:r>
      <w:r>
        <w:rPr>
          <w:b/>
          <w:bCs/>
          <w:u w:val="single"/>
        </w:rPr>
        <w:tab/>
      </w:r>
      <w:r>
        <w:rPr>
          <w:b/>
          <w:bCs/>
          <w:u w:val="single"/>
        </w:rPr>
        <w:tab/>
      </w:r>
      <w:r>
        <w:rPr>
          <w:b/>
          <w:bCs/>
          <w:u w:val="single"/>
        </w:rPr>
        <w:tab/>
        <w:t>_</w:t>
      </w:r>
    </w:p>
    <w:p w:rsidR="00200AC7" w:rsidRDefault="00200AC7" w:rsidP="00200AC7">
      <w:pPr>
        <w:pStyle w:val="BodyText2"/>
        <w:spacing w:line="240" w:lineRule="auto"/>
        <w:rPr>
          <w:b/>
          <w:bCs/>
        </w:rPr>
      </w:pPr>
      <w:r>
        <w:t xml:space="preserve">    </w:t>
      </w:r>
      <w:r>
        <w:rPr>
          <w:b/>
          <w:bCs/>
        </w:rPr>
        <w:t>Clerk of the Board</w:t>
      </w:r>
    </w:p>
    <w:p w:rsidR="00A64486" w:rsidRDefault="00A64486" w:rsidP="00BD7616">
      <w:pPr>
        <w:pStyle w:val="BodyText2"/>
        <w:spacing w:line="240" w:lineRule="auto"/>
        <w:ind w:firstLine="0"/>
        <w:rPr>
          <w:b/>
          <w:bCs/>
        </w:rPr>
      </w:pPr>
    </w:p>
    <w:sectPr w:rsidR="00A64486" w:rsidSect="00200AC7">
      <w:footerReference w:type="default" r:id="rId8"/>
      <w:pgSz w:w="12240" w:h="15840"/>
      <w:pgMar w:top="1440" w:right="1440" w:bottom="1440" w:left="1440" w:header="720" w:footer="432" w:gutter="0"/>
      <w:pgNumType w:start="107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486" w:rsidRDefault="00A64486" w:rsidP="00663C33">
      <w:r>
        <w:separator/>
      </w:r>
    </w:p>
  </w:endnote>
  <w:endnote w:type="continuationSeparator" w:id="0">
    <w:p w:rsidR="00A64486" w:rsidRDefault="00A64486" w:rsidP="0066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86" w:rsidRPr="00200AC7" w:rsidRDefault="00200AC7" w:rsidP="00200AC7">
    <w:pPr>
      <w:pStyle w:val="Footer"/>
      <w:jc w:val="center"/>
      <w:rPr>
        <w:rFonts w:ascii="Courier New" w:hAnsi="Courier New" w:cs="Courier New"/>
        <w:b/>
      </w:rPr>
    </w:pPr>
    <w:r w:rsidRPr="00200AC7">
      <w:rPr>
        <w:rFonts w:ascii="Courier New" w:hAnsi="Courier New" w:cs="Courier New"/>
        <w:b/>
      </w:rPr>
      <w:t>ATB 2014-</w:t>
    </w:r>
    <w:r w:rsidR="00A64486" w:rsidRPr="00200AC7">
      <w:rPr>
        <w:rFonts w:ascii="Courier New" w:hAnsi="Courier New" w:cs="Courier New"/>
        <w:b/>
      </w:rPr>
      <w:fldChar w:fldCharType="begin"/>
    </w:r>
    <w:r w:rsidR="00A64486" w:rsidRPr="00200AC7">
      <w:rPr>
        <w:rFonts w:ascii="Courier New" w:hAnsi="Courier New" w:cs="Courier New"/>
        <w:b/>
      </w:rPr>
      <w:instrText xml:space="preserve"> PAGE   \* MERGEFORMAT </w:instrText>
    </w:r>
    <w:r w:rsidR="00A64486" w:rsidRPr="00200AC7">
      <w:rPr>
        <w:rFonts w:ascii="Courier New" w:hAnsi="Courier New" w:cs="Courier New"/>
        <w:b/>
      </w:rPr>
      <w:fldChar w:fldCharType="separate"/>
    </w:r>
    <w:r w:rsidR="005B6B56">
      <w:rPr>
        <w:rFonts w:ascii="Courier New" w:hAnsi="Courier New" w:cs="Courier New"/>
        <w:b/>
        <w:noProof/>
      </w:rPr>
      <w:t>1072</w:t>
    </w:r>
    <w:r w:rsidR="00A64486" w:rsidRPr="00200AC7">
      <w:rPr>
        <w:rFonts w:ascii="Courier New" w:hAnsi="Courier New" w:cs="Courier New"/>
        <w:b/>
      </w:rPr>
      <w:fldChar w:fldCharType="end"/>
    </w:r>
  </w:p>
  <w:p w:rsidR="00A64486" w:rsidRDefault="00A64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486" w:rsidRDefault="00A64486" w:rsidP="00663C33">
      <w:r>
        <w:separator/>
      </w:r>
    </w:p>
  </w:footnote>
  <w:footnote w:type="continuationSeparator" w:id="0">
    <w:p w:rsidR="00A64486" w:rsidRDefault="00A64486" w:rsidP="00663C33">
      <w:r>
        <w:continuationSeparator/>
      </w:r>
    </w:p>
  </w:footnote>
  <w:footnote w:id="1">
    <w:p w:rsidR="00A64486" w:rsidRDefault="00A64486" w:rsidP="004F0FD1">
      <w:pPr>
        <w:pStyle w:val="FootnoteText"/>
        <w:jc w:val="both"/>
      </w:pPr>
      <w:r>
        <w:rPr>
          <w:rStyle w:val="FootnoteReference"/>
        </w:rPr>
        <w:footnoteRef/>
      </w:r>
      <w:r>
        <w:t xml:space="preserve">  </w:t>
      </w:r>
      <w:r w:rsidRPr="004F0FD1">
        <w:rPr>
          <w:rFonts w:ascii="Courier New" w:hAnsi="Courier New" w:cs="Courier New"/>
        </w:rPr>
        <w:t xml:space="preserve">As of January 1, 2011, the relevant assessment date for fiscal year 2012, </w:t>
      </w:r>
      <w:r>
        <w:rPr>
          <w:rFonts w:ascii="Courier New" w:hAnsi="Courier New" w:cs="Courier New"/>
        </w:rPr>
        <w:t>James Coffey was the assessed owner of the property at issue in this appeal and t</w:t>
      </w:r>
      <w:r w:rsidRPr="004F0FD1">
        <w:rPr>
          <w:rFonts w:ascii="Courier New" w:hAnsi="Courier New" w:cs="Courier New"/>
        </w:rPr>
        <w:t xml:space="preserve">he appellant </w:t>
      </w:r>
      <w:r>
        <w:rPr>
          <w:rFonts w:ascii="Courier New" w:hAnsi="Courier New" w:cs="Courier New"/>
        </w:rPr>
        <w:t xml:space="preserve">held a mortgage </w:t>
      </w:r>
      <w:r w:rsidR="001E4276">
        <w:rPr>
          <w:rFonts w:ascii="Courier New" w:hAnsi="Courier New" w:cs="Courier New"/>
        </w:rPr>
        <w:t>on</w:t>
      </w:r>
      <w:r>
        <w:rPr>
          <w:rFonts w:ascii="Courier New" w:hAnsi="Courier New" w:cs="Courier New"/>
        </w:rPr>
        <w:t xml:space="preserve"> the property.</w:t>
      </w:r>
      <w:r w:rsidRPr="004F0FD1">
        <w:rPr>
          <w:rFonts w:ascii="Courier New" w:hAnsi="Courier New" w:cs="Courier New"/>
        </w:rPr>
        <w:t xml:space="preserve"> </w:t>
      </w:r>
      <w:r>
        <w:rPr>
          <w:rFonts w:ascii="Courier New" w:hAnsi="Courier New" w:cs="Courier New"/>
        </w:rPr>
        <w:t>T</w:t>
      </w:r>
      <w:r w:rsidRPr="004F0FD1">
        <w:rPr>
          <w:rFonts w:ascii="Courier New" w:hAnsi="Courier New" w:cs="Courier New"/>
        </w:rPr>
        <w:t>itle to the</w:t>
      </w:r>
      <w:r>
        <w:rPr>
          <w:rFonts w:ascii="Courier New" w:hAnsi="Courier New" w:cs="Courier New"/>
        </w:rPr>
        <w:t xml:space="preserve"> </w:t>
      </w:r>
      <w:r w:rsidRPr="004F0FD1">
        <w:rPr>
          <w:rFonts w:ascii="Courier New" w:hAnsi="Courier New" w:cs="Courier New"/>
        </w:rPr>
        <w:t>property</w:t>
      </w:r>
      <w:r>
        <w:rPr>
          <w:rFonts w:ascii="Courier New" w:hAnsi="Courier New" w:cs="Courier New"/>
        </w:rPr>
        <w:t xml:space="preserve"> was subsequently transferred to Matthew Haney as Trustee of the FHS Realty Trust</w:t>
      </w:r>
      <w:r w:rsidRPr="004F0FD1">
        <w:rPr>
          <w:rFonts w:ascii="Courier New" w:hAnsi="Courier New" w:cs="Courier New"/>
        </w:rPr>
        <w:t xml:space="preserve"> via a foreclosure deed.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33"/>
    <w:rsid w:val="00013277"/>
    <w:rsid w:val="00013B79"/>
    <w:rsid w:val="00024244"/>
    <w:rsid w:val="000636A7"/>
    <w:rsid w:val="000807E6"/>
    <w:rsid w:val="0009007B"/>
    <w:rsid w:val="000C2FB8"/>
    <w:rsid w:val="000F09CA"/>
    <w:rsid w:val="000F40AB"/>
    <w:rsid w:val="001357D6"/>
    <w:rsid w:val="0016589E"/>
    <w:rsid w:val="001A1961"/>
    <w:rsid w:val="001B08AE"/>
    <w:rsid w:val="001C47EE"/>
    <w:rsid w:val="001E270A"/>
    <w:rsid w:val="001E3121"/>
    <w:rsid w:val="001E4276"/>
    <w:rsid w:val="00200AC7"/>
    <w:rsid w:val="002031BC"/>
    <w:rsid w:val="00203A87"/>
    <w:rsid w:val="0020645C"/>
    <w:rsid w:val="00212454"/>
    <w:rsid w:val="0025298A"/>
    <w:rsid w:val="002547AC"/>
    <w:rsid w:val="00266EC1"/>
    <w:rsid w:val="00284F08"/>
    <w:rsid w:val="002A2B3F"/>
    <w:rsid w:val="002C55B5"/>
    <w:rsid w:val="002E1F6F"/>
    <w:rsid w:val="00325D3E"/>
    <w:rsid w:val="00332B13"/>
    <w:rsid w:val="00333E00"/>
    <w:rsid w:val="003429AD"/>
    <w:rsid w:val="00346672"/>
    <w:rsid w:val="00351BD0"/>
    <w:rsid w:val="00365DA2"/>
    <w:rsid w:val="00376189"/>
    <w:rsid w:val="00377F7D"/>
    <w:rsid w:val="0039041E"/>
    <w:rsid w:val="003D2E49"/>
    <w:rsid w:val="004002C3"/>
    <w:rsid w:val="00404F15"/>
    <w:rsid w:val="004421E1"/>
    <w:rsid w:val="004533E7"/>
    <w:rsid w:val="00456B4A"/>
    <w:rsid w:val="00474319"/>
    <w:rsid w:val="0047463A"/>
    <w:rsid w:val="004E4999"/>
    <w:rsid w:val="004F0FD1"/>
    <w:rsid w:val="005309B1"/>
    <w:rsid w:val="00557ADF"/>
    <w:rsid w:val="0057230F"/>
    <w:rsid w:val="00583A10"/>
    <w:rsid w:val="005A03D0"/>
    <w:rsid w:val="005B4739"/>
    <w:rsid w:val="005B6B56"/>
    <w:rsid w:val="005F2C61"/>
    <w:rsid w:val="00627D0D"/>
    <w:rsid w:val="00627E7B"/>
    <w:rsid w:val="00663C33"/>
    <w:rsid w:val="006831FC"/>
    <w:rsid w:val="00692EB1"/>
    <w:rsid w:val="00697A27"/>
    <w:rsid w:val="006B6C04"/>
    <w:rsid w:val="006F0CA9"/>
    <w:rsid w:val="00711E3E"/>
    <w:rsid w:val="00717366"/>
    <w:rsid w:val="00721B65"/>
    <w:rsid w:val="00731755"/>
    <w:rsid w:val="00753A1F"/>
    <w:rsid w:val="00780905"/>
    <w:rsid w:val="007B163F"/>
    <w:rsid w:val="007E4479"/>
    <w:rsid w:val="008542F3"/>
    <w:rsid w:val="00883DD2"/>
    <w:rsid w:val="008A7A1D"/>
    <w:rsid w:val="008D7EB5"/>
    <w:rsid w:val="00942481"/>
    <w:rsid w:val="00942CB5"/>
    <w:rsid w:val="00966438"/>
    <w:rsid w:val="009947C4"/>
    <w:rsid w:val="009D6853"/>
    <w:rsid w:val="009F09DD"/>
    <w:rsid w:val="00A31457"/>
    <w:rsid w:val="00A6030B"/>
    <w:rsid w:val="00A64486"/>
    <w:rsid w:val="00A806B3"/>
    <w:rsid w:val="00A97FEF"/>
    <w:rsid w:val="00AA5592"/>
    <w:rsid w:val="00AC0259"/>
    <w:rsid w:val="00AF42CB"/>
    <w:rsid w:val="00B41B43"/>
    <w:rsid w:val="00B51463"/>
    <w:rsid w:val="00B604A6"/>
    <w:rsid w:val="00B95883"/>
    <w:rsid w:val="00BA7A96"/>
    <w:rsid w:val="00BD7616"/>
    <w:rsid w:val="00BE3FC2"/>
    <w:rsid w:val="00BE7B41"/>
    <w:rsid w:val="00BF021B"/>
    <w:rsid w:val="00BF047E"/>
    <w:rsid w:val="00BF73B5"/>
    <w:rsid w:val="00C0322F"/>
    <w:rsid w:val="00C53ABD"/>
    <w:rsid w:val="00C556CA"/>
    <w:rsid w:val="00C71CEC"/>
    <w:rsid w:val="00D24CE2"/>
    <w:rsid w:val="00D24ED2"/>
    <w:rsid w:val="00D35E3E"/>
    <w:rsid w:val="00D37579"/>
    <w:rsid w:val="00D42542"/>
    <w:rsid w:val="00D86679"/>
    <w:rsid w:val="00D8691D"/>
    <w:rsid w:val="00DA693A"/>
    <w:rsid w:val="00DB03D6"/>
    <w:rsid w:val="00DB2034"/>
    <w:rsid w:val="00DB2700"/>
    <w:rsid w:val="00DB44F6"/>
    <w:rsid w:val="00DC1E81"/>
    <w:rsid w:val="00DD466B"/>
    <w:rsid w:val="00E356E5"/>
    <w:rsid w:val="00E63F0D"/>
    <w:rsid w:val="00E701F1"/>
    <w:rsid w:val="00E73573"/>
    <w:rsid w:val="00E816E6"/>
    <w:rsid w:val="00ED6B73"/>
    <w:rsid w:val="00EF26B1"/>
    <w:rsid w:val="00EF2B58"/>
    <w:rsid w:val="00F02566"/>
    <w:rsid w:val="00F124E9"/>
    <w:rsid w:val="00F13705"/>
    <w:rsid w:val="00F1553C"/>
    <w:rsid w:val="00F35CF9"/>
    <w:rsid w:val="00F50E92"/>
    <w:rsid w:val="00F938B2"/>
    <w:rsid w:val="00FB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33"/>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3C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C33"/>
    <w:rPr>
      <w:rFonts w:ascii="Tahoma" w:hAnsi="Tahoma"/>
      <w:sz w:val="16"/>
    </w:rPr>
  </w:style>
  <w:style w:type="paragraph" w:styleId="Header">
    <w:name w:val="header"/>
    <w:basedOn w:val="Normal"/>
    <w:link w:val="HeaderChar"/>
    <w:uiPriority w:val="99"/>
    <w:rsid w:val="00663C33"/>
    <w:pPr>
      <w:tabs>
        <w:tab w:val="center" w:pos="4680"/>
        <w:tab w:val="right" w:pos="9360"/>
      </w:tabs>
    </w:pPr>
  </w:style>
  <w:style w:type="character" w:customStyle="1" w:styleId="HeaderChar">
    <w:name w:val="Header Char"/>
    <w:basedOn w:val="DefaultParagraphFont"/>
    <w:link w:val="Header"/>
    <w:uiPriority w:val="99"/>
    <w:locked/>
    <w:rsid w:val="00663C33"/>
    <w:rPr>
      <w:rFonts w:ascii="Cambria" w:hAnsi="Cambria"/>
      <w:sz w:val="24"/>
    </w:rPr>
  </w:style>
  <w:style w:type="paragraph" w:styleId="Footer">
    <w:name w:val="footer"/>
    <w:basedOn w:val="Normal"/>
    <w:link w:val="FooterChar"/>
    <w:uiPriority w:val="99"/>
    <w:rsid w:val="00663C33"/>
    <w:pPr>
      <w:tabs>
        <w:tab w:val="center" w:pos="4680"/>
        <w:tab w:val="right" w:pos="9360"/>
      </w:tabs>
    </w:pPr>
  </w:style>
  <w:style w:type="character" w:customStyle="1" w:styleId="FooterChar">
    <w:name w:val="Footer Char"/>
    <w:basedOn w:val="DefaultParagraphFont"/>
    <w:link w:val="Footer"/>
    <w:uiPriority w:val="99"/>
    <w:locked/>
    <w:rsid w:val="00663C33"/>
    <w:rPr>
      <w:rFonts w:ascii="Cambria" w:hAnsi="Cambria"/>
      <w:sz w:val="24"/>
    </w:rPr>
  </w:style>
  <w:style w:type="character" w:customStyle="1" w:styleId="apple-converted-space">
    <w:name w:val="apple-converted-space"/>
    <w:uiPriority w:val="99"/>
    <w:rsid w:val="00780905"/>
  </w:style>
  <w:style w:type="character" w:customStyle="1" w:styleId="cosearchterm">
    <w:name w:val="co_searchterm"/>
    <w:uiPriority w:val="99"/>
    <w:rsid w:val="00780905"/>
  </w:style>
  <w:style w:type="paragraph" w:styleId="FootnoteText">
    <w:name w:val="footnote text"/>
    <w:basedOn w:val="Normal"/>
    <w:link w:val="FootnoteTextChar"/>
    <w:uiPriority w:val="99"/>
    <w:semiHidden/>
    <w:rsid w:val="00DC1E81"/>
    <w:rPr>
      <w:sz w:val="20"/>
      <w:szCs w:val="20"/>
    </w:rPr>
  </w:style>
  <w:style w:type="character" w:customStyle="1" w:styleId="FootnoteTextChar">
    <w:name w:val="Footnote Text Char"/>
    <w:basedOn w:val="DefaultParagraphFont"/>
    <w:link w:val="FootnoteText"/>
    <w:uiPriority w:val="99"/>
    <w:semiHidden/>
    <w:locked/>
    <w:rsid w:val="00DC1E81"/>
    <w:rPr>
      <w:rFonts w:ascii="Cambria" w:hAnsi="Cambria"/>
      <w:sz w:val="20"/>
    </w:rPr>
  </w:style>
  <w:style w:type="character" w:styleId="FootnoteReference">
    <w:name w:val="footnote reference"/>
    <w:basedOn w:val="DefaultParagraphFont"/>
    <w:uiPriority w:val="99"/>
    <w:semiHidden/>
    <w:rsid w:val="00DC1E81"/>
    <w:rPr>
      <w:rFonts w:cs="Times New Roman"/>
      <w:vertAlign w:val="superscript"/>
    </w:rPr>
  </w:style>
  <w:style w:type="character" w:styleId="Hyperlink">
    <w:name w:val="Hyperlink"/>
    <w:basedOn w:val="DefaultParagraphFont"/>
    <w:uiPriority w:val="99"/>
    <w:semiHidden/>
    <w:rsid w:val="00DC1E81"/>
    <w:rPr>
      <w:rFonts w:cs="Times New Roman"/>
      <w:color w:val="0000FF"/>
      <w:u w:val="single"/>
    </w:rPr>
  </w:style>
  <w:style w:type="character" w:styleId="CommentReference">
    <w:name w:val="annotation reference"/>
    <w:basedOn w:val="DefaultParagraphFont"/>
    <w:uiPriority w:val="99"/>
    <w:semiHidden/>
    <w:rsid w:val="001357D6"/>
    <w:rPr>
      <w:rFonts w:cs="Times New Roman"/>
      <w:sz w:val="16"/>
    </w:rPr>
  </w:style>
  <w:style w:type="paragraph" w:styleId="CommentText">
    <w:name w:val="annotation text"/>
    <w:basedOn w:val="Normal"/>
    <w:link w:val="CommentTextChar"/>
    <w:uiPriority w:val="99"/>
    <w:semiHidden/>
    <w:rsid w:val="001357D6"/>
    <w:rPr>
      <w:sz w:val="20"/>
      <w:szCs w:val="20"/>
    </w:rPr>
  </w:style>
  <w:style w:type="character" w:customStyle="1" w:styleId="CommentTextChar">
    <w:name w:val="Comment Text Char"/>
    <w:basedOn w:val="DefaultParagraphFont"/>
    <w:link w:val="CommentText"/>
    <w:uiPriority w:val="99"/>
    <w:semiHidden/>
    <w:locked/>
    <w:rsid w:val="001357D6"/>
    <w:rPr>
      <w:rFonts w:ascii="Cambria" w:hAnsi="Cambria"/>
      <w:sz w:val="20"/>
    </w:rPr>
  </w:style>
  <w:style w:type="paragraph" w:styleId="CommentSubject">
    <w:name w:val="annotation subject"/>
    <w:basedOn w:val="CommentText"/>
    <w:next w:val="CommentText"/>
    <w:link w:val="CommentSubjectChar"/>
    <w:uiPriority w:val="99"/>
    <w:semiHidden/>
    <w:rsid w:val="001357D6"/>
    <w:rPr>
      <w:b/>
      <w:bCs/>
    </w:rPr>
  </w:style>
  <w:style w:type="character" w:customStyle="1" w:styleId="CommentSubjectChar">
    <w:name w:val="Comment Subject Char"/>
    <w:basedOn w:val="CommentTextChar"/>
    <w:link w:val="CommentSubject"/>
    <w:uiPriority w:val="99"/>
    <w:semiHidden/>
    <w:locked/>
    <w:rsid w:val="001357D6"/>
    <w:rPr>
      <w:rFonts w:ascii="Cambria" w:hAnsi="Cambria"/>
      <w:b/>
      <w:sz w:val="20"/>
    </w:rPr>
  </w:style>
  <w:style w:type="paragraph" w:styleId="BodyText2">
    <w:name w:val="Body Text 2"/>
    <w:basedOn w:val="Normal"/>
    <w:link w:val="BodyText2Char"/>
    <w:uiPriority w:val="99"/>
    <w:rsid w:val="00BD7616"/>
    <w:pPr>
      <w:autoSpaceDE w:val="0"/>
      <w:autoSpaceDN w:val="0"/>
      <w:spacing w:line="480" w:lineRule="auto"/>
      <w:ind w:firstLine="720"/>
      <w:jc w:val="both"/>
    </w:pPr>
    <w:rPr>
      <w:rFonts w:ascii="Courier New" w:hAnsi="Courier New" w:cs="Courier New"/>
    </w:rPr>
  </w:style>
  <w:style w:type="character" w:customStyle="1" w:styleId="BodyText2Char">
    <w:name w:val="Body Text 2 Char"/>
    <w:basedOn w:val="DefaultParagraphFont"/>
    <w:link w:val="BodyText2"/>
    <w:uiPriority w:val="99"/>
    <w:semiHidden/>
    <w:locked/>
    <w:rPr>
      <w:rFonts w:ascii="Cambria" w:hAnsi="Cambr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33"/>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3C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C33"/>
    <w:rPr>
      <w:rFonts w:ascii="Tahoma" w:hAnsi="Tahoma"/>
      <w:sz w:val="16"/>
    </w:rPr>
  </w:style>
  <w:style w:type="paragraph" w:styleId="Header">
    <w:name w:val="header"/>
    <w:basedOn w:val="Normal"/>
    <w:link w:val="HeaderChar"/>
    <w:uiPriority w:val="99"/>
    <w:rsid w:val="00663C33"/>
    <w:pPr>
      <w:tabs>
        <w:tab w:val="center" w:pos="4680"/>
        <w:tab w:val="right" w:pos="9360"/>
      </w:tabs>
    </w:pPr>
  </w:style>
  <w:style w:type="character" w:customStyle="1" w:styleId="HeaderChar">
    <w:name w:val="Header Char"/>
    <w:basedOn w:val="DefaultParagraphFont"/>
    <w:link w:val="Header"/>
    <w:uiPriority w:val="99"/>
    <w:locked/>
    <w:rsid w:val="00663C33"/>
    <w:rPr>
      <w:rFonts w:ascii="Cambria" w:hAnsi="Cambria"/>
      <w:sz w:val="24"/>
    </w:rPr>
  </w:style>
  <w:style w:type="paragraph" w:styleId="Footer">
    <w:name w:val="footer"/>
    <w:basedOn w:val="Normal"/>
    <w:link w:val="FooterChar"/>
    <w:uiPriority w:val="99"/>
    <w:rsid w:val="00663C33"/>
    <w:pPr>
      <w:tabs>
        <w:tab w:val="center" w:pos="4680"/>
        <w:tab w:val="right" w:pos="9360"/>
      </w:tabs>
    </w:pPr>
  </w:style>
  <w:style w:type="character" w:customStyle="1" w:styleId="FooterChar">
    <w:name w:val="Footer Char"/>
    <w:basedOn w:val="DefaultParagraphFont"/>
    <w:link w:val="Footer"/>
    <w:uiPriority w:val="99"/>
    <w:locked/>
    <w:rsid w:val="00663C33"/>
    <w:rPr>
      <w:rFonts w:ascii="Cambria" w:hAnsi="Cambria"/>
      <w:sz w:val="24"/>
    </w:rPr>
  </w:style>
  <w:style w:type="character" w:customStyle="1" w:styleId="apple-converted-space">
    <w:name w:val="apple-converted-space"/>
    <w:uiPriority w:val="99"/>
    <w:rsid w:val="00780905"/>
  </w:style>
  <w:style w:type="character" w:customStyle="1" w:styleId="cosearchterm">
    <w:name w:val="co_searchterm"/>
    <w:uiPriority w:val="99"/>
    <w:rsid w:val="00780905"/>
  </w:style>
  <w:style w:type="paragraph" w:styleId="FootnoteText">
    <w:name w:val="footnote text"/>
    <w:basedOn w:val="Normal"/>
    <w:link w:val="FootnoteTextChar"/>
    <w:uiPriority w:val="99"/>
    <w:semiHidden/>
    <w:rsid w:val="00DC1E81"/>
    <w:rPr>
      <w:sz w:val="20"/>
      <w:szCs w:val="20"/>
    </w:rPr>
  </w:style>
  <w:style w:type="character" w:customStyle="1" w:styleId="FootnoteTextChar">
    <w:name w:val="Footnote Text Char"/>
    <w:basedOn w:val="DefaultParagraphFont"/>
    <w:link w:val="FootnoteText"/>
    <w:uiPriority w:val="99"/>
    <w:semiHidden/>
    <w:locked/>
    <w:rsid w:val="00DC1E81"/>
    <w:rPr>
      <w:rFonts w:ascii="Cambria" w:hAnsi="Cambria"/>
      <w:sz w:val="20"/>
    </w:rPr>
  </w:style>
  <w:style w:type="character" w:styleId="FootnoteReference">
    <w:name w:val="footnote reference"/>
    <w:basedOn w:val="DefaultParagraphFont"/>
    <w:uiPriority w:val="99"/>
    <w:semiHidden/>
    <w:rsid w:val="00DC1E81"/>
    <w:rPr>
      <w:rFonts w:cs="Times New Roman"/>
      <w:vertAlign w:val="superscript"/>
    </w:rPr>
  </w:style>
  <w:style w:type="character" w:styleId="Hyperlink">
    <w:name w:val="Hyperlink"/>
    <w:basedOn w:val="DefaultParagraphFont"/>
    <w:uiPriority w:val="99"/>
    <w:semiHidden/>
    <w:rsid w:val="00DC1E81"/>
    <w:rPr>
      <w:rFonts w:cs="Times New Roman"/>
      <w:color w:val="0000FF"/>
      <w:u w:val="single"/>
    </w:rPr>
  </w:style>
  <w:style w:type="character" w:styleId="CommentReference">
    <w:name w:val="annotation reference"/>
    <w:basedOn w:val="DefaultParagraphFont"/>
    <w:uiPriority w:val="99"/>
    <w:semiHidden/>
    <w:rsid w:val="001357D6"/>
    <w:rPr>
      <w:rFonts w:cs="Times New Roman"/>
      <w:sz w:val="16"/>
    </w:rPr>
  </w:style>
  <w:style w:type="paragraph" w:styleId="CommentText">
    <w:name w:val="annotation text"/>
    <w:basedOn w:val="Normal"/>
    <w:link w:val="CommentTextChar"/>
    <w:uiPriority w:val="99"/>
    <w:semiHidden/>
    <w:rsid w:val="001357D6"/>
    <w:rPr>
      <w:sz w:val="20"/>
      <w:szCs w:val="20"/>
    </w:rPr>
  </w:style>
  <w:style w:type="character" w:customStyle="1" w:styleId="CommentTextChar">
    <w:name w:val="Comment Text Char"/>
    <w:basedOn w:val="DefaultParagraphFont"/>
    <w:link w:val="CommentText"/>
    <w:uiPriority w:val="99"/>
    <w:semiHidden/>
    <w:locked/>
    <w:rsid w:val="001357D6"/>
    <w:rPr>
      <w:rFonts w:ascii="Cambria" w:hAnsi="Cambria"/>
      <w:sz w:val="20"/>
    </w:rPr>
  </w:style>
  <w:style w:type="paragraph" w:styleId="CommentSubject">
    <w:name w:val="annotation subject"/>
    <w:basedOn w:val="CommentText"/>
    <w:next w:val="CommentText"/>
    <w:link w:val="CommentSubjectChar"/>
    <w:uiPriority w:val="99"/>
    <w:semiHidden/>
    <w:rsid w:val="001357D6"/>
    <w:rPr>
      <w:b/>
      <w:bCs/>
    </w:rPr>
  </w:style>
  <w:style w:type="character" w:customStyle="1" w:styleId="CommentSubjectChar">
    <w:name w:val="Comment Subject Char"/>
    <w:basedOn w:val="CommentTextChar"/>
    <w:link w:val="CommentSubject"/>
    <w:uiPriority w:val="99"/>
    <w:semiHidden/>
    <w:locked/>
    <w:rsid w:val="001357D6"/>
    <w:rPr>
      <w:rFonts w:ascii="Cambria" w:hAnsi="Cambria"/>
      <w:b/>
      <w:sz w:val="20"/>
    </w:rPr>
  </w:style>
  <w:style w:type="paragraph" w:styleId="BodyText2">
    <w:name w:val="Body Text 2"/>
    <w:basedOn w:val="Normal"/>
    <w:link w:val="BodyText2Char"/>
    <w:uiPriority w:val="99"/>
    <w:rsid w:val="00BD7616"/>
    <w:pPr>
      <w:autoSpaceDE w:val="0"/>
      <w:autoSpaceDN w:val="0"/>
      <w:spacing w:line="480" w:lineRule="auto"/>
      <w:ind w:firstLine="720"/>
      <w:jc w:val="both"/>
    </w:pPr>
    <w:rPr>
      <w:rFonts w:ascii="Courier New" w:hAnsi="Courier New" w:cs="Courier New"/>
    </w:rPr>
  </w:style>
  <w:style w:type="character" w:customStyle="1" w:styleId="BodyText2Char">
    <w:name w:val="Body Text 2 Char"/>
    <w:basedOn w:val="DefaultParagraphFont"/>
    <w:link w:val="BodyText2"/>
    <w:uiPriority w:val="99"/>
    <w:semiHidden/>
    <w:locked/>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25217-8C6F-464B-AFE8-067F41C3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HLS</Company>
  <LinksUpToDate>false</LinksUpToDate>
  <CharactersWithSpaces>7411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2014-12-04T15:14:00Z</dcterms:created>
  <dc:creator>Veronika</dc:creator>
  <lastModifiedBy>ANF</lastModifiedBy>
  <lastPrinted>2014-12-04T14:58:00Z</lastPrinted>
  <dcterms:modified xsi:type="dcterms:W3CDTF">2014-12-04T15:14:00Z</dcterms:modified>
  <revision>2</revision>
  <dc:title>COMMONWEALTH OF MASSACHUSETTS</dc:title>
</coreProperties>
</file>