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5A" w:rsidRDefault="00676E4A" w:rsidP="00693ADB">
      <w:pPr>
        <w:rPr>
          <w:rFonts w:ascii="Courier New" w:hAnsi="Courier New" w:cs="Courier New"/>
          <w:b/>
          <w:sz w:val="24"/>
          <w:szCs w:val="24"/>
        </w:rPr>
      </w:pPr>
      <w:bookmarkStart w:id="0" w:name="_GoBack"/>
      <w:bookmarkEnd w:id="0"/>
      <w:r>
        <w:rPr>
          <w:rFonts w:ascii="Courier New" w:hAnsi="Courier New" w:cs="Courier New"/>
          <w:b/>
          <w:sz w:val="24"/>
          <w:szCs w:val="24"/>
        </w:rPr>
        <w:t xml:space="preserve"> </w:t>
      </w:r>
      <w:r w:rsidR="00693ADB">
        <w:rPr>
          <w:rFonts w:ascii="Courier New" w:hAnsi="Courier New" w:cs="Courier New"/>
          <w:b/>
          <w:sz w:val="24"/>
          <w:szCs w:val="24"/>
        </w:rPr>
        <w:tab/>
      </w:r>
      <w:r w:rsidR="00693ADB">
        <w:rPr>
          <w:rFonts w:ascii="Courier New" w:hAnsi="Courier New" w:cs="Courier New"/>
          <w:b/>
          <w:sz w:val="24"/>
          <w:szCs w:val="24"/>
        </w:rPr>
        <w:tab/>
      </w:r>
      <w:r w:rsidR="0027055A">
        <w:rPr>
          <w:rFonts w:ascii="Courier New" w:hAnsi="Courier New" w:cs="Courier New"/>
          <w:b/>
          <w:sz w:val="24"/>
          <w:szCs w:val="24"/>
        </w:rPr>
        <w:t xml:space="preserve">  </w:t>
      </w:r>
      <w:r w:rsidR="00693ADB">
        <w:rPr>
          <w:rFonts w:ascii="Courier New" w:hAnsi="Courier New" w:cs="Courier New"/>
          <w:b/>
          <w:sz w:val="24"/>
          <w:szCs w:val="24"/>
        </w:rPr>
        <w:tab/>
      </w:r>
      <w:r w:rsidR="0027055A">
        <w:rPr>
          <w:rFonts w:ascii="Courier New" w:hAnsi="Courier New" w:cs="Courier New"/>
          <w:b/>
          <w:sz w:val="24"/>
          <w:szCs w:val="24"/>
        </w:rPr>
        <w:t xml:space="preserve">    COMMONWEALTH OF MASSACHUSETTS </w:t>
      </w:r>
      <w:r w:rsidR="00693ADB">
        <w:rPr>
          <w:rFonts w:ascii="Courier New" w:hAnsi="Courier New" w:cs="Courier New"/>
          <w:b/>
          <w:sz w:val="24"/>
          <w:szCs w:val="24"/>
        </w:rPr>
        <w:tab/>
      </w:r>
      <w:r w:rsidR="00574DD0">
        <w:rPr>
          <w:rFonts w:ascii="Courier New" w:hAnsi="Courier New" w:cs="Courier New"/>
          <w:b/>
          <w:sz w:val="24"/>
          <w:szCs w:val="24"/>
        </w:rPr>
        <w:t xml:space="preserve">  </w:t>
      </w:r>
    </w:p>
    <w:p w:rsidR="00693ADB" w:rsidRDefault="0027055A" w:rsidP="0027055A">
      <w:pPr>
        <w:ind w:left="2880"/>
        <w:rPr>
          <w:rFonts w:ascii="Courier New" w:hAnsi="Courier New" w:cs="Courier New"/>
          <w:b/>
          <w:sz w:val="24"/>
          <w:szCs w:val="24"/>
        </w:rPr>
      </w:pPr>
      <w:r>
        <w:rPr>
          <w:rFonts w:ascii="Courier New" w:hAnsi="Courier New" w:cs="Courier New"/>
          <w:b/>
          <w:sz w:val="24"/>
          <w:szCs w:val="24"/>
        </w:rPr>
        <w:t xml:space="preserve">   </w:t>
      </w:r>
      <w:r w:rsidR="00574DD0">
        <w:rPr>
          <w:rFonts w:ascii="Courier New" w:hAnsi="Courier New" w:cs="Courier New"/>
          <w:b/>
          <w:sz w:val="24"/>
          <w:szCs w:val="24"/>
        </w:rPr>
        <w:t xml:space="preserve"> </w:t>
      </w:r>
      <w:r w:rsidR="00693ADB">
        <w:rPr>
          <w:rFonts w:ascii="Courier New" w:hAnsi="Courier New" w:cs="Courier New"/>
          <w:b/>
          <w:sz w:val="24"/>
          <w:szCs w:val="24"/>
        </w:rPr>
        <w:t>APPELLATE TAX BOARD</w:t>
      </w:r>
      <w:r w:rsidR="00693ADB">
        <w:rPr>
          <w:rFonts w:ascii="Courier New" w:hAnsi="Courier New" w:cs="Courier New"/>
          <w:b/>
          <w:sz w:val="24"/>
          <w:szCs w:val="24"/>
        </w:rPr>
        <w:tab/>
      </w:r>
    </w:p>
    <w:p w:rsidR="00693ADB" w:rsidRPr="007A449D" w:rsidRDefault="00693ADB" w:rsidP="00693ADB">
      <w:pPr>
        <w:rPr>
          <w:rFonts w:ascii="Courier New" w:hAnsi="Courier New" w:cs="Courier New"/>
          <w:b/>
          <w:sz w:val="24"/>
          <w:szCs w:val="24"/>
        </w:rPr>
      </w:pPr>
    </w:p>
    <w:p w:rsidR="00693ADB" w:rsidRDefault="007A449D" w:rsidP="00903246">
      <w:pPr>
        <w:spacing w:after="0"/>
        <w:rPr>
          <w:rFonts w:ascii="Courier New" w:hAnsi="Courier New" w:cs="Courier New"/>
          <w:b/>
          <w:sz w:val="24"/>
          <w:szCs w:val="24"/>
        </w:rPr>
      </w:pPr>
      <w:r w:rsidRPr="007A449D">
        <w:rPr>
          <w:rFonts w:ascii="Courier New" w:hAnsi="Courier New" w:cs="Courier New"/>
          <w:b/>
          <w:sz w:val="24"/>
          <w:szCs w:val="24"/>
        </w:rPr>
        <w:t>JOSHUA A. ROSE</w:t>
      </w:r>
      <w:r w:rsidR="005E51CC">
        <w:rPr>
          <w:rFonts w:ascii="Courier New" w:hAnsi="Courier New" w:cs="Courier New"/>
          <w:b/>
          <w:sz w:val="24"/>
          <w:szCs w:val="24"/>
        </w:rPr>
        <w:t>, T/E</w:t>
      </w:r>
      <w:r>
        <w:rPr>
          <w:rFonts w:ascii="Courier New" w:hAnsi="Courier New" w:cs="Courier New"/>
          <w:sz w:val="24"/>
          <w:szCs w:val="24"/>
        </w:rPr>
        <w:t xml:space="preserve"> </w:t>
      </w:r>
      <w:r w:rsidR="000F1D9E">
        <w:rPr>
          <w:rFonts w:ascii="Courier New" w:hAnsi="Courier New" w:cs="Courier New"/>
          <w:b/>
          <w:sz w:val="24"/>
          <w:szCs w:val="24"/>
        </w:rPr>
        <w:t xml:space="preserve">       </w:t>
      </w:r>
      <w:r w:rsidR="00693ADB">
        <w:rPr>
          <w:rFonts w:ascii="Courier New" w:hAnsi="Courier New" w:cs="Courier New"/>
          <w:b/>
          <w:sz w:val="24"/>
          <w:szCs w:val="24"/>
        </w:rPr>
        <w:t xml:space="preserve"> </w:t>
      </w:r>
      <w:r w:rsidR="002D1DD5">
        <w:rPr>
          <w:rFonts w:ascii="Courier New" w:hAnsi="Courier New" w:cs="Courier New"/>
          <w:b/>
          <w:sz w:val="24"/>
          <w:szCs w:val="24"/>
        </w:rPr>
        <w:t xml:space="preserve"> </w:t>
      </w:r>
      <w:r w:rsidR="00693ADB">
        <w:rPr>
          <w:rFonts w:ascii="Courier New" w:hAnsi="Courier New" w:cs="Courier New"/>
          <w:b/>
          <w:sz w:val="24"/>
          <w:szCs w:val="24"/>
        </w:rPr>
        <w:t xml:space="preserve">v. </w:t>
      </w:r>
      <w:r w:rsidR="00693ADB">
        <w:rPr>
          <w:rFonts w:ascii="Courier New" w:hAnsi="Courier New" w:cs="Courier New"/>
          <w:b/>
          <w:sz w:val="24"/>
          <w:szCs w:val="24"/>
        </w:rPr>
        <w:tab/>
      </w:r>
      <w:r w:rsidR="00693ADB">
        <w:rPr>
          <w:rFonts w:ascii="Courier New" w:hAnsi="Courier New" w:cs="Courier New"/>
          <w:b/>
          <w:sz w:val="24"/>
          <w:szCs w:val="24"/>
        </w:rPr>
        <w:tab/>
        <w:t xml:space="preserve">BOARD OF ASSESSORS OF </w:t>
      </w:r>
    </w:p>
    <w:p w:rsidR="00693ADB" w:rsidRDefault="00693ADB" w:rsidP="00903246">
      <w:pPr>
        <w:spacing w:after="0"/>
        <w:rPr>
          <w:rFonts w:ascii="Courier New" w:hAnsi="Courier New" w:cs="Courier New"/>
          <w:b/>
          <w:sz w:val="24"/>
          <w:szCs w:val="24"/>
        </w:rPr>
      </w:pP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sidR="005E51CC">
        <w:rPr>
          <w:rFonts w:ascii="Courier New" w:hAnsi="Courier New" w:cs="Courier New"/>
          <w:b/>
          <w:sz w:val="24"/>
          <w:szCs w:val="24"/>
        </w:rPr>
        <w:t xml:space="preserve">THE </w:t>
      </w:r>
      <w:r w:rsidR="007A449D">
        <w:rPr>
          <w:rFonts w:ascii="Courier New" w:hAnsi="Courier New" w:cs="Courier New"/>
          <w:b/>
          <w:sz w:val="24"/>
          <w:szCs w:val="24"/>
        </w:rPr>
        <w:t>TOWN OF WAYLAND</w:t>
      </w:r>
    </w:p>
    <w:p w:rsidR="00903246" w:rsidRDefault="00903246" w:rsidP="00903246">
      <w:pPr>
        <w:spacing w:after="0"/>
        <w:rPr>
          <w:rFonts w:ascii="Courier New" w:hAnsi="Courier New" w:cs="Courier New"/>
          <w:b/>
          <w:sz w:val="24"/>
          <w:szCs w:val="24"/>
        </w:rPr>
      </w:pPr>
    </w:p>
    <w:p w:rsidR="000C43AB" w:rsidRDefault="000C43AB" w:rsidP="00903246">
      <w:pPr>
        <w:spacing w:after="0"/>
        <w:rPr>
          <w:rFonts w:ascii="Courier New" w:hAnsi="Courier New" w:cs="Courier New"/>
          <w:sz w:val="24"/>
          <w:szCs w:val="24"/>
        </w:rPr>
      </w:pPr>
    </w:p>
    <w:p w:rsidR="001F4ECA" w:rsidRDefault="007E428F" w:rsidP="00903246">
      <w:pPr>
        <w:spacing w:after="0"/>
        <w:rPr>
          <w:rFonts w:ascii="Courier New" w:hAnsi="Courier New" w:cs="Courier New"/>
          <w:sz w:val="24"/>
          <w:szCs w:val="24"/>
        </w:rPr>
      </w:pPr>
      <w:r>
        <w:rPr>
          <w:rFonts w:ascii="Courier New" w:hAnsi="Courier New" w:cs="Courier New"/>
          <w:sz w:val="24"/>
          <w:szCs w:val="24"/>
        </w:rPr>
        <w:t>Docket No</w:t>
      </w:r>
      <w:r w:rsidR="001F4ECA">
        <w:rPr>
          <w:rFonts w:ascii="Courier New" w:hAnsi="Courier New" w:cs="Courier New"/>
          <w:sz w:val="24"/>
          <w:szCs w:val="24"/>
        </w:rPr>
        <w:t>s</w:t>
      </w:r>
      <w:r>
        <w:rPr>
          <w:rFonts w:ascii="Courier New" w:hAnsi="Courier New" w:cs="Courier New"/>
          <w:sz w:val="24"/>
          <w:szCs w:val="24"/>
        </w:rPr>
        <w:t>.</w:t>
      </w:r>
      <w:r w:rsidR="00676E4A">
        <w:rPr>
          <w:rFonts w:ascii="Courier New" w:hAnsi="Courier New" w:cs="Courier New"/>
          <w:sz w:val="24"/>
          <w:szCs w:val="24"/>
        </w:rPr>
        <w:t>:</w:t>
      </w:r>
      <w:r>
        <w:rPr>
          <w:rFonts w:ascii="Courier New" w:hAnsi="Courier New" w:cs="Courier New"/>
          <w:sz w:val="24"/>
          <w:szCs w:val="24"/>
        </w:rPr>
        <w:t xml:space="preserve"> </w:t>
      </w:r>
      <w:r w:rsidR="008D39D3">
        <w:rPr>
          <w:rFonts w:ascii="Courier New" w:hAnsi="Courier New" w:cs="Courier New"/>
          <w:sz w:val="24"/>
          <w:szCs w:val="24"/>
        </w:rPr>
        <w:t xml:space="preserve"> </w:t>
      </w:r>
      <w:r w:rsidR="001F4ECA">
        <w:rPr>
          <w:rFonts w:ascii="Courier New" w:hAnsi="Courier New" w:cs="Courier New"/>
          <w:sz w:val="24"/>
          <w:szCs w:val="24"/>
        </w:rPr>
        <w:t xml:space="preserve">F325938, F331360, </w:t>
      </w:r>
      <w:r w:rsidR="001F4ECA">
        <w:rPr>
          <w:rFonts w:ascii="Courier New" w:hAnsi="Courier New" w:cs="Courier New"/>
          <w:sz w:val="24"/>
          <w:szCs w:val="24"/>
        </w:rPr>
        <w:tab/>
      </w:r>
      <w:r w:rsidR="001F4ECA">
        <w:rPr>
          <w:rFonts w:ascii="Courier New" w:hAnsi="Courier New" w:cs="Courier New"/>
          <w:sz w:val="24"/>
          <w:szCs w:val="24"/>
        </w:rPr>
        <w:tab/>
        <w:t>Promulgated:</w:t>
      </w:r>
    </w:p>
    <w:p w:rsidR="00693ADB" w:rsidRDefault="00903246" w:rsidP="00903246">
      <w:pPr>
        <w:spacing w:after="0"/>
        <w:rPr>
          <w:rFonts w:ascii="Courier New" w:hAnsi="Courier New" w:cs="Courier New"/>
          <w:sz w:val="24"/>
          <w:szCs w:val="24"/>
        </w:rPr>
      </w:pPr>
      <w:r>
        <w:rPr>
          <w:rFonts w:ascii="Courier New" w:hAnsi="Courier New" w:cs="Courier New"/>
          <w:sz w:val="24"/>
          <w:szCs w:val="24"/>
        </w:rPr>
        <w:t xml:space="preserve">            </w:t>
      </w:r>
      <w:r w:rsidR="001F4ECA">
        <w:rPr>
          <w:rFonts w:ascii="Courier New" w:hAnsi="Courier New" w:cs="Courier New"/>
          <w:sz w:val="24"/>
          <w:szCs w:val="24"/>
        </w:rPr>
        <w:t xml:space="preserve"> </w:t>
      </w:r>
      <w:r w:rsidR="00676E4A">
        <w:rPr>
          <w:rFonts w:ascii="Courier New" w:hAnsi="Courier New" w:cs="Courier New"/>
          <w:sz w:val="24"/>
          <w:szCs w:val="24"/>
        </w:rPr>
        <w:t xml:space="preserve"> </w:t>
      </w:r>
      <w:r w:rsidR="001F4ECA">
        <w:rPr>
          <w:rFonts w:ascii="Courier New" w:hAnsi="Courier New" w:cs="Courier New"/>
          <w:sz w:val="24"/>
          <w:szCs w:val="24"/>
        </w:rPr>
        <w:t>F332828</w:t>
      </w:r>
      <w:r w:rsidR="007E428F">
        <w:rPr>
          <w:rFonts w:ascii="Courier New" w:hAnsi="Courier New" w:cs="Courier New"/>
          <w:sz w:val="24"/>
          <w:szCs w:val="24"/>
        </w:rPr>
        <w:tab/>
      </w:r>
      <w:r w:rsidR="00693ADB">
        <w:rPr>
          <w:rFonts w:ascii="Courier New" w:hAnsi="Courier New" w:cs="Courier New"/>
          <w:sz w:val="24"/>
          <w:szCs w:val="24"/>
        </w:rPr>
        <w:tab/>
      </w:r>
      <w:r w:rsidR="00693ADB">
        <w:rPr>
          <w:rFonts w:ascii="Courier New" w:hAnsi="Courier New" w:cs="Courier New"/>
          <w:sz w:val="24"/>
          <w:szCs w:val="24"/>
        </w:rPr>
        <w:tab/>
      </w:r>
      <w:r w:rsidR="00693ADB">
        <w:rPr>
          <w:rFonts w:ascii="Courier New" w:hAnsi="Courier New" w:cs="Courier New"/>
          <w:sz w:val="24"/>
          <w:szCs w:val="24"/>
        </w:rPr>
        <w:tab/>
      </w:r>
      <w:r w:rsidR="00AB36E0">
        <w:rPr>
          <w:rFonts w:ascii="Courier New" w:hAnsi="Courier New" w:cs="Courier New"/>
          <w:sz w:val="24"/>
          <w:szCs w:val="24"/>
        </w:rPr>
        <w:t>July 19, 2018</w:t>
      </w:r>
      <w:r w:rsidR="00693ADB">
        <w:rPr>
          <w:rFonts w:ascii="Courier New" w:hAnsi="Courier New" w:cs="Courier New"/>
          <w:sz w:val="24"/>
          <w:szCs w:val="24"/>
        </w:rPr>
        <w:tab/>
      </w:r>
    </w:p>
    <w:p w:rsidR="00693ADB" w:rsidRDefault="00693ADB" w:rsidP="00693ADB">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rsidR="002D1DD5" w:rsidRDefault="00693ADB" w:rsidP="00002216">
      <w:pPr>
        <w:spacing w:after="0" w:line="480" w:lineRule="auto"/>
        <w:jc w:val="both"/>
        <w:rPr>
          <w:rFonts w:ascii="Courier New" w:hAnsi="Courier New" w:cs="Courier New"/>
          <w:sz w:val="24"/>
          <w:szCs w:val="24"/>
        </w:rPr>
      </w:pPr>
      <w:r>
        <w:rPr>
          <w:rFonts w:ascii="Courier New" w:hAnsi="Courier New" w:cs="Courier New"/>
          <w:sz w:val="24"/>
          <w:szCs w:val="24"/>
        </w:rPr>
        <w:tab/>
      </w:r>
      <w:r w:rsidR="000C43AB">
        <w:rPr>
          <w:rFonts w:ascii="Courier New" w:hAnsi="Courier New" w:cs="Courier New"/>
          <w:sz w:val="24"/>
          <w:szCs w:val="24"/>
        </w:rPr>
        <w:t xml:space="preserve">These are appeals </w:t>
      </w:r>
      <w:r>
        <w:rPr>
          <w:rFonts w:ascii="Courier New" w:hAnsi="Courier New" w:cs="Courier New"/>
          <w:sz w:val="24"/>
          <w:szCs w:val="24"/>
        </w:rPr>
        <w:t xml:space="preserve">filed under the formal procedure pursuant to G.L. c. 58A, § 7 and G.L. c. 59, §§ 64 and 65, from the failure of the Board of </w:t>
      </w:r>
      <w:r w:rsidR="001F4ECA">
        <w:rPr>
          <w:rFonts w:ascii="Courier New" w:hAnsi="Courier New" w:cs="Courier New"/>
          <w:sz w:val="24"/>
          <w:szCs w:val="24"/>
        </w:rPr>
        <w:t xml:space="preserve">Assessors of the Town of Wayland </w:t>
      </w:r>
      <w:r>
        <w:rPr>
          <w:rFonts w:ascii="Courier New" w:hAnsi="Courier New" w:cs="Courier New"/>
          <w:sz w:val="24"/>
          <w:szCs w:val="24"/>
        </w:rPr>
        <w:t>(“appel</w:t>
      </w:r>
      <w:r w:rsidR="009B72B0">
        <w:rPr>
          <w:rFonts w:ascii="Courier New" w:hAnsi="Courier New" w:cs="Courier New"/>
          <w:sz w:val="24"/>
          <w:szCs w:val="24"/>
        </w:rPr>
        <w:t xml:space="preserve">lee” or “assessors”) to abate </w:t>
      </w:r>
      <w:r>
        <w:rPr>
          <w:rFonts w:ascii="Courier New" w:hAnsi="Courier New" w:cs="Courier New"/>
          <w:sz w:val="24"/>
          <w:szCs w:val="24"/>
        </w:rPr>
        <w:t>tax</w:t>
      </w:r>
      <w:r w:rsidR="009B72B0">
        <w:rPr>
          <w:rFonts w:ascii="Courier New" w:hAnsi="Courier New" w:cs="Courier New"/>
          <w:sz w:val="24"/>
          <w:szCs w:val="24"/>
        </w:rPr>
        <w:t>es</w:t>
      </w:r>
      <w:r>
        <w:rPr>
          <w:rFonts w:ascii="Courier New" w:hAnsi="Courier New" w:cs="Courier New"/>
          <w:sz w:val="24"/>
          <w:szCs w:val="24"/>
        </w:rPr>
        <w:t xml:space="preserve"> </w:t>
      </w:r>
      <w:r w:rsidR="001F4ECA">
        <w:rPr>
          <w:rFonts w:ascii="Courier New" w:hAnsi="Courier New" w:cs="Courier New"/>
          <w:sz w:val="24"/>
          <w:szCs w:val="24"/>
        </w:rPr>
        <w:t>on certain real estate in Wayland</w:t>
      </w:r>
      <w:r>
        <w:rPr>
          <w:rFonts w:ascii="Courier New" w:hAnsi="Courier New" w:cs="Courier New"/>
          <w:sz w:val="24"/>
          <w:szCs w:val="24"/>
        </w:rPr>
        <w:t xml:space="preserve"> owned by a</w:t>
      </w:r>
      <w:r w:rsidR="001F4ECA">
        <w:rPr>
          <w:rFonts w:ascii="Courier New" w:hAnsi="Courier New" w:cs="Courier New"/>
          <w:sz w:val="24"/>
          <w:szCs w:val="24"/>
        </w:rPr>
        <w:t xml:space="preserve">nd assessed to Joshua A. Rose, T/E </w:t>
      </w:r>
      <w:r>
        <w:rPr>
          <w:rFonts w:ascii="Courier New" w:hAnsi="Courier New" w:cs="Courier New"/>
          <w:sz w:val="24"/>
          <w:szCs w:val="24"/>
        </w:rPr>
        <w:t>(“appellant”</w:t>
      </w:r>
      <w:r w:rsidR="001F4ECA">
        <w:rPr>
          <w:rFonts w:ascii="Courier New" w:hAnsi="Courier New" w:cs="Courier New"/>
          <w:sz w:val="24"/>
          <w:szCs w:val="24"/>
        </w:rPr>
        <w:t xml:space="preserve"> or “Mr. Rose”</w:t>
      </w:r>
      <w:r>
        <w:rPr>
          <w:rFonts w:ascii="Courier New" w:hAnsi="Courier New" w:cs="Courier New"/>
          <w:sz w:val="24"/>
          <w:szCs w:val="24"/>
        </w:rPr>
        <w:t>) under G.L. c. 59</w:t>
      </w:r>
      <w:r w:rsidR="009E297B">
        <w:rPr>
          <w:rFonts w:ascii="Courier New" w:hAnsi="Courier New" w:cs="Courier New"/>
          <w:sz w:val="24"/>
          <w:szCs w:val="24"/>
        </w:rPr>
        <w:t>,</w:t>
      </w:r>
      <w:r>
        <w:rPr>
          <w:rFonts w:ascii="Courier New" w:hAnsi="Courier New" w:cs="Courier New"/>
          <w:sz w:val="24"/>
          <w:szCs w:val="24"/>
        </w:rPr>
        <w:t xml:space="preserve"> §§ 11 and 38, for fiscal year</w:t>
      </w:r>
      <w:r w:rsidR="001F4ECA">
        <w:rPr>
          <w:rFonts w:ascii="Courier New" w:hAnsi="Courier New" w:cs="Courier New"/>
          <w:sz w:val="24"/>
          <w:szCs w:val="24"/>
        </w:rPr>
        <w:t>s 2015</w:t>
      </w:r>
      <w:r w:rsidR="00933813">
        <w:rPr>
          <w:rFonts w:ascii="Courier New" w:hAnsi="Courier New" w:cs="Courier New"/>
          <w:sz w:val="24"/>
          <w:szCs w:val="24"/>
        </w:rPr>
        <w:t>, 2016</w:t>
      </w:r>
      <w:r w:rsidR="008D39D3">
        <w:rPr>
          <w:rFonts w:ascii="Courier New" w:hAnsi="Courier New" w:cs="Courier New"/>
          <w:sz w:val="24"/>
          <w:szCs w:val="24"/>
        </w:rPr>
        <w:t>,</w:t>
      </w:r>
      <w:r w:rsidR="00933813">
        <w:rPr>
          <w:rFonts w:ascii="Courier New" w:hAnsi="Courier New" w:cs="Courier New"/>
          <w:sz w:val="24"/>
          <w:szCs w:val="24"/>
        </w:rPr>
        <w:t xml:space="preserve"> and </w:t>
      </w:r>
      <w:r w:rsidR="001F4ECA">
        <w:rPr>
          <w:rFonts w:ascii="Courier New" w:hAnsi="Courier New" w:cs="Courier New"/>
          <w:sz w:val="24"/>
          <w:szCs w:val="24"/>
        </w:rPr>
        <w:t>2017</w:t>
      </w:r>
      <w:r>
        <w:rPr>
          <w:rFonts w:ascii="Courier New" w:hAnsi="Courier New" w:cs="Courier New"/>
          <w:sz w:val="24"/>
          <w:szCs w:val="24"/>
        </w:rPr>
        <w:t xml:space="preserve"> (“fiscal year</w:t>
      </w:r>
      <w:r w:rsidR="00FB11B2">
        <w:rPr>
          <w:rFonts w:ascii="Courier New" w:hAnsi="Courier New" w:cs="Courier New"/>
          <w:sz w:val="24"/>
          <w:szCs w:val="24"/>
        </w:rPr>
        <w:t>s</w:t>
      </w:r>
      <w:r>
        <w:rPr>
          <w:rFonts w:ascii="Courier New" w:hAnsi="Courier New" w:cs="Courier New"/>
          <w:sz w:val="24"/>
          <w:szCs w:val="24"/>
        </w:rPr>
        <w:t xml:space="preserve"> at issue”).</w:t>
      </w:r>
    </w:p>
    <w:p w:rsidR="00693ADB" w:rsidRDefault="009736F1" w:rsidP="00002216">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Commissioner Good heard these appeals and was joined in her decisions for the appellee by Chairman Hammond and Commissioners Scharaffa, Rose, and Chmielinski.  </w:t>
      </w:r>
    </w:p>
    <w:p w:rsidR="00693ADB" w:rsidRDefault="00693ADB" w:rsidP="00002216">
      <w:pPr>
        <w:spacing w:after="0" w:line="480" w:lineRule="auto"/>
        <w:jc w:val="both"/>
        <w:rPr>
          <w:rFonts w:ascii="Courier New" w:hAnsi="Courier New" w:cs="Courier New"/>
          <w:sz w:val="24"/>
          <w:szCs w:val="24"/>
        </w:rPr>
      </w:pPr>
      <w:r>
        <w:rPr>
          <w:rFonts w:ascii="Courier New" w:hAnsi="Courier New" w:cs="Courier New"/>
          <w:sz w:val="24"/>
          <w:szCs w:val="24"/>
        </w:rPr>
        <w:tab/>
        <w:t>These findings of fact and report are made pursuant to a request by the appellant under G.L. c. 58A, § 13 and 831 CMR 1.32.</w:t>
      </w:r>
    </w:p>
    <w:p w:rsidR="00002216" w:rsidRDefault="00002216" w:rsidP="00002216">
      <w:pPr>
        <w:spacing w:after="0" w:line="480" w:lineRule="auto"/>
        <w:jc w:val="both"/>
        <w:rPr>
          <w:rFonts w:ascii="Courier New" w:hAnsi="Courier New" w:cs="Courier New"/>
          <w:sz w:val="24"/>
          <w:szCs w:val="24"/>
        </w:rPr>
      </w:pPr>
    </w:p>
    <w:p w:rsidR="00917B52" w:rsidRDefault="00693ADB" w:rsidP="009E3EA9">
      <w:pPr>
        <w:spacing w:line="276" w:lineRule="auto"/>
        <w:rPr>
          <w:rFonts w:ascii="Courier New" w:hAnsi="Courier New" w:cs="Courier New"/>
          <w:i/>
          <w:sz w:val="24"/>
          <w:szCs w:val="24"/>
        </w:rPr>
      </w:pPr>
      <w:r>
        <w:rPr>
          <w:rFonts w:ascii="Courier New" w:hAnsi="Courier New" w:cs="Courier New"/>
          <w:sz w:val="24"/>
          <w:szCs w:val="24"/>
        </w:rPr>
        <w:tab/>
      </w:r>
      <w:r w:rsidR="00B259E4">
        <w:rPr>
          <w:rFonts w:ascii="Courier New" w:hAnsi="Courier New" w:cs="Courier New"/>
          <w:i/>
          <w:sz w:val="24"/>
          <w:szCs w:val="24"/>
        </w:rPr>
        <w:t xml:space="preserve">Mark F. Murphy, </w:t>
      </w:r>
      <w:r w:rsidR="00B259E4">
        <w:rPr>
          <w:rFonts w:ascii="Courier New" w:hAnsi="Courier New" w:cs="Courier New"/>
          <w:sz w:val="24"/>
          <w:szCs w:val="24"/>
        </w:rPr>
        <w:t>Esq.</w:t>
      </w:r>
      <w:r>
        <w:rPr>
          <w:rFonts w:ascii="Courier New" w:hAnsi="Courier New" w:cs="Courier New"/>
          <w:i/>
          <w:sz w:val="24"/>
          <w:szCs w:val="24"/>
        </w:rPr>
        <w:t xml:space="preserve"> </w:t>
      </w:r>
      <w:r>
        <w:rPr>
          <w:rFonts w:ascii="Courier New" w:hAnsi="Courier New" w:cs="Courier New"/>
          <w:sz w:val="24"/>
          <w:szCs w:val="24"/>
        </w:rPr>
        <w:t xml:space="preserve">for the appellant. </w:t>
      </w:r>
    </w:p>
    <w:p w:rsidR="00693ADB" w:rsidRDefault="00B259E4" w:rsidP="00903246">
      <w:pPr>
        <w:ind w:left="720"/>
        <w:contextualSpacing/>
        <w:rPr>
          <w:rFonts w:ascii="Courier New" w:hAnsi="Courier New" w:cs="Courier New"/>
          <w:sz w:val="24"/>
          <w:szCs w:val="24"/>
        </w:rPr>
      </w:pPr>
      <w:r>
        <w:rPr>
          <w:rFonts w:ascii="Courier New" w:hAnsi="Courier New" w:cs="Courier New"/>
          <w:i/>
          <w:sz w:val="24"/>
          <w:szCs w:val="24"/>
        </w:rPr>
        <w:t xml:space="preserve">Ellen M. Brideau, </w:t>
      </w:r>
      <w:r w:rsidRPr="00917B52">
        <w:rPr>
          <w:rFonts w:ascii="Courier New" w:hAnsi="Courier New" w:cs="Courier New"/>
          <w:sz w:val="24"/>
          <w:szCs w:val="24"/>
        </w:rPr>
        <w:t>Director of Assessing</w:t>
      </w:r>
      <w:r w:rsidR="00693ADB">
        <w:rPr>
          <w:rFonts w:ascii="Courier New" w:hAnsi="Courier New" w:cs="Courier New"/>
          <w:i/>
          <w:sz w:val="24"/>
          <w:szCs w:val="24"/>
        </w:rPr>
        <w:t xml:space="preserve">, </w:t>
      </w:r>
      <w:r w:rsidR="00693ADB">
        <w:rPr>
          <w:rFonts w:ascii="Courier New" w:hAnsi="Courier New" w:cs="Courier New"/>
          <w:sz w:val="24"/>
          <w:szCs w:val="24"/>
        </w:rPr>
        <w:t xml:space="preserve">for the appellee. </w:t>
      </w:r>
    </w:p>
    <w:p w:rsidR="00693ADB" w:rsidRDefault="00693ADB" w:rsidP="00903246">
      <w:pPr>
        <w:rPr>
          <w:rFonts w:ascii="Courier New" w:hAnsi="Courier New" w:cs="Courier New"/>
          <w:sz w:val="24"/>
          <w:szCs w:val="24"/>
        </w:rPr>
      </w:pPr>
    </w:p>
    <w:p w:rsidR="00903246" w:rsidRDefault="00903246" w:rsidP="00CF6453">
      <w:pPr>
        <w:jc w:val="center"/>
        <w:rPr>
          <w:rFonts w:ascii="Courier New" w:hAnsi="Courier New" w:cs="Courier New"/>
          <w:b/>
          <w:sz w:val="24"/>
          <w:szCs w:val="24"/>
        </w:rPr>
      </w:pPr>
    </w:p>
    <w:p w:rsidR="00002216" w:rsidRDefault="00002216" w:rsidP="00CF6453">
      <w:pPr>
        <w:jc w:val="center"/>
        <w:rPr>
          <w:rFonts w:ascii="Courier New" w:hAnsi="Courier New" w:cs="Courier New"/>
          <w:b/>
          <w:sz w:val="24"/>
          <w:szCs w:val="24"/>
        </w:rPr>
      </w:pPr>
    </w:p>
    <w:p w:rsidR="00693ADB" w:rsidRDefault="00693ADB" w:rsidP="00002216">
      <w:pPr>
        <w:spacing w:after="0" w:line="480" w:lineRule="auto"/>
        <w:jc w:val="center"/>
        <w:rPr>
          <w:rFonts w:ascii="Courier New" w:hAnsi="Courier New" w:cs="Courier New"/>
          <w:b/>
          <w:sz w:val="24"/>
          <w:szCs w:val="24"/>
        </w:rPr>
      </w:pPr>
      <w:r>
        <w:rPr>
          <w:rFonts w:ascii="Courier New" w:hAnsi="Courier New" w:cs="Courier New"/>
          <w:b/>
          <w:sz w:val="24"/>
          <w:szCs w:val="24"/>
        </w:rPr>
        <w:lastRenderedPageBreak/>
        <w:t>FINDINGS OF FACT AND REPORT</w:t>
      </w:r>
    </w:p>
    <w:p w:rsidR="00693ADB" w:rsidRDefault="00693ADB" w:rsidP="00002216">
      <w:pPr>
        <w:spacing w:after="0" w:line="480" w:lineRule="auto"/>
        <w:jc w:val="both"/>
        <w:rPr>
          <w:rFonts w:ascii="Courier New" w:hAnsi="Courier New" w:cs="Courier New"/>
          <w:sz w:val="24"/>
          <w:szCs w:val="24"/>
        </w:rPr>
      </w:pPr>
      <w:r>
        <w:rPr>
          <w:rFonts w:ascii="Courier New" w:hAnsi="Courier New" w:cs="Courier New"/>
          <w:sz w:val="24"/>
          <w:szCs w:val="24"/>
        </w:rPr>
        <w:tab/>
        <w:t>Based on the testimony and exhibits offered into</w:t>
      </w:r>
      <w:r w:rsidR="007B5A57">
        <w:rPr>
          <w:rFonts w:ascii="Courier New" w:hAnsi="Courier New" w:cs="Courier New"/>
          <w:sz w:val="24"/>
          <w:szCs w:val="24"/>
        </w:rPr>
        <w:t xml:space="preserve"> evidence at the hearing of these</w:t>
      </w:r>
      <w:r>
        <w:rPr>
          <w:rFonts w:ascii="Courier New" w:hAnsi="Courier New" w:cs="Courier New"/>
          <w:sz w:val="24"/>
          <w:szCs w:val="24"/>
        </w:rPr>
        <w:t xml:space="preserve"> ap</w:t>
      </w:r>
      <w:r w:rsidR="0056171E">
        <w:rPr>
          <w:rFonts w:ascii="Courier New" w:hAnsi="Courier New" w:cs="Courier New"/>
          <w:sz w:val="24"/>
          <w:szCs w:val="24"/>
        </w:rPr>
        <w:t>peal</w:t>
      </w:r>
      <w:r w:rsidR="007B5A57">
        <w:rPr>
          <w:rFonts w:ascii="Courier New" w:hAnsi="Courier New" w:cs="Courier New"/>
          <w:sz w:val="24"/>
          <w:szCs w:val="24"/>
        </w:rPr>
        <w:t>s</w:t>
      </w:r>
      <w:r w:rsidR="0056171E">
        <w:rPr>
          <w:rFonts w:ascii="Courier New" w:hAnsi="Courier New" w:cs="Courier New"/>
          <w:sz w:val="24"/>
          <w:szCs w:val="24"/>
        </w:rPr>
        <w:t>, the Appellate Tax Board (“Board”)</w:t>
      </w:r>
      <w:r>
        <w:rPr>
          <w:rFonts w:ascii="Courier New" w:hAnsi="Courier New" w:cs="Courier New"/>
          <w:sz w:val="24"/>
          <w:szCs w:val="24"/>
        </w:rPr>
        <w:t xml:space="preserve"> made the following findings of fact. </w:t>
      </w:r>
    </w:p>
    <w:p w:rsidR="00693ADB" w:rsidRDefault="0056171E" w:rsidP="00002216">
      <w:pPr>
        <w:spacing w:after="0" w:line="480" w:lineRule="auto"/>
        <w:jc w:val="both"/>
        <w:rPr>
          <w:rFonts w:ascii="Courier New" w:hAnsi="Courier New" w:cs="Courier New"/>
          <w:sz w:val="24"/>
          <w:szCs w:val="24"/>
        </w:rPr>
      </w:pPr>
      <w:r>
        <w:rPr>
          <w:rFonts w:ascii="Courier New" w:hAnsi="Courier New" w:cs="Courier New"/>
          <w:sz w:val="24"/>
          <w:szCs w:val="24"/>
        </w:rPr>
        <w:tab/>
        <w:t>On January</w:t>
      </w:r>
      <w:r w:rsidR="009E297B">
        <w:rPr>
          <w:rFonts w:ascii="Courier New" w:hAnsi="Courier New" w:cs="Courier New"/>
          <w:sz w:val="24"/>
          <w:szCs w:val="24"/>
        </w:rPr>
        <w:t xml:space="preserve"> 1, 2014, January 1, 2015,</w:t>
      </w:r>
      <w:r w:rsidR="00B63069">
        <w:rPr>
          <w:rFonts w:ascii="Courier New" w:hAnsi="Courier New" w:cs="Courier New"/>
          <w:sz w:val="24"/>
          <w:szCs w:val="24"/>
        </w:rPr>
        <w:t xml:space="preserve"> and January 1, 2016, </w:t>
      </w:r>
      <w:r w:rsidR="00035E00">
        <w:rPr>
          <w:rFonts w:ascii="Courier New" w:hAnsi="Courier New" w:cs="Courier New"/>
          <w:sz w:val="24"/>
          <w:szCs w:val="24"/>
        </w:rPr>
        <w:t xml:space="preserve">the relevant dates of valuation for the fiscal years at issue, </w:t>
      </w:r>
      <w:r w:rsidR="00B63069">
        <w:rPr>
          <w:rFonts w:ascii="Courier New" w:hAnsi="Courier New" w:cs="Courier New"/>
          <w:sz w:val="24"/>
          <w:szCs w:val="24"/>
        </w:rPr>
        <w:t>the appellant was the assessed owner of a 0.44-acre parcel of land improve</w:t>
      </w:r>
      <w:r w:rsidR="00317E54">
        <w:rPr>
          <w:rFonts w:ascii="Courier New" w:hAnsi="Courier New" w:cs="Courier New"/>
          <w:sz w:val="24"/>
          <w:szCs w:val="24"/>
        </w:rPr>
        <w:t xml:space="preserve">d with </w:t>
      </w:r>
      <w:r w:rsidR="009E297B">
        <w:rPr>
          <w:rFonts w:ascii="Courier New" w:hAnsi="Courier New" w:cs="Courier New"/>
          <w:sz w:val="24"/>
          <w:szCs w:val="24"/>
        </w:rPr>
        <w:t xml:space="preserve">a </w:t>
      </w:r>
      <w:r w:rsidR="00317E54">
        <w:rPr>
          <w:rFonts w:ascii="Courier New" w:hAnsi="Courier New" w:cs="Courier New"/>
          <w:sz w:val="24"/>
          <w:szCs w:val="24"/>
        </w:rPr>
        <w:t xml:space="preserve">single-family dwelling, located at 46 Cedar Crest Road in Wayland (“subject property”).  </w:t>
      </w:r>
      <w:r w:rsidR="00035E00">
        <w:rPr>
          <w:rFonts w:ascii="Courier New" w:hAnsi="Courier New" w:cs="Courier New"/>
          <w:sz w:val="24"/>
          <w:szCs w:val="24"/>
        </w:rPr>
        <w:t xml:space="preserve">For fiscal year 2015, the assessors valued the subject property at $593,220, and assessed </w:t>
      </w:r>
      <w:r w:rsidR="00AE0251">
        <w:rPr>
          <w:rFonts w:ascii="Courier New" w:hAnsi="Courier New" w:cs="Courier New"/>
          <w:sz w:val="24"/>
          <w:szCs w:val="24"/>
        </w:rPr>
        <w:t>a tax</w:t>
      </w:r>
      <w:r w:rsidR="006303F6">
        <w:rPr>
          <w:rFonts w:ascii="Courier New" w:hAnsi="Courier New" w:cs="Courier New"/>
          <w:sz w:val="24"/>
          <w:szCs w:val="24"/>
        </w:rPr>
        <w:t xml:space="preserve"> thereon, at the rate of $18.39 per thousand</w:t>
      </w:r>
      <w:r w:rsidR="00035E00">
        <w:rPr>
          <w:rFonts w:ascii="Courier New" w:hAnsi="Courier New" w:cs="Courier New"/>
          <w:sz w:val="24"/>
          <w:szCs w:val="24"/>
        </w:rPr>
        <w:t>, in the total am</w:t>
      </w:r>
      <w:r w:rsidR="009E297B">
        <w:rPr>
          <w:rFonts w:ascii="Courier New" w:hAnsi="Courier New" w:cs="Courier New"/>
          <w:sz w:val="24"/>
          <w:szCs w:val="24"/>
        </w:rPr>
        <w:t>ount of $11,</w:t>
      </w:r>
      <w:r w:rsidR="006303F6">
        <w:rPr>
          <w:rFonts w:ascii="Courier New" w:hAnsi="Courier New" w:cs="Courier New"/>
          <w:sz w:val="24"/>
          <w:szCs w:val="24"/>
        </w:rPr>
        <w:t>072.58</w:t>
      </w:r>
      <w:r w:rsidR="00234EED">
        <w:rPr>
          <w:rFonts w:ascii="Courier New" w:hAnsi="Courier New" w:cs="Courier New"/>
          <w:sz w:val="24"/>
          <w:szCs w:val="24"/>
        </w:rPr>
        <w:t>, inclusive of a Community Preservation Act (“CPA”) surcharge</w:t>
      </w:r>
      <w:r w:rsidR="00035E00">
        <w:rPr>
          <w:rFonts w:ascii="Courier New" w:hAnsi="Courier New" w:cs="Courier New"/>
          <w:sz w:val="24"/>
          <w:szCs w:val="24"/>
        </w:rPr>
        <w:t xml:space="preserve">.  For fiscal year 2016, the assessors valued the subject property at $613,100, and assessed </w:t>
      </w:r>
      <w:r w:rsidR="00AE0251">
        <w:rPr>
          <w:rFonts w:ascii="Courier New" w:hAnsi="Courier New" w:cs="Courier New"/>
          <w:sz w:val="24"/>
          <w:szCs w:val="24"/>
        </w:rPr>
        <w:t>a tax</w:t>
      </w:r>
      <w:r w:rsidR="00F93D8C">
        <w:rPr>
          <w:rFonts w:ascii="Courier New" w:hAnsi="Courier New" w:cs="Courier New"/>
          <w:sz w:val="24"/>
          <w:szCs w:val="24"/>
        </w:rPr>
        <w:t xml:space="preserve"> thereon, at the rate of $17.34 per thousand, in the total amount of $10,790.62</w:t>
      </w:r>
      <w:r w:rsidR="00234EED">
        <w:rPr>
          <w:rFonts w:ascii="Courier New" w:hAnsi="Courier New" w:cs="Courier New"/>
          <w:sz w:val="24"/>
          <w:szCs w:val="24"/>
        </w:rPr>
        <w:t>, inclusive of a CPA surcharge.</w:t>
      </w:r>
      <w:r w:rsidR="00035E00">
        <w:rPr>
          <w:rFonts w:ascii="Courier New" w:hAnsi="Courier New" w:cs="Courier New"/>
          <w:sz w:val="24"/>
          <w:szCs w:val="24"/>
        </w:rPr>
        <w:t xml:space="preserve">  For fiscal year 2017, the assessors valued the subject property </w:t>
      </w:r>
      <w:r w:rsidR="003D7371">
        <w:rPr>
          <w:rFonts w:ascii="Courier New" w:hAnsi="Courier New" w:cs="Courier New"/>
          <w:sz w:val="24"/>
          <w:szCs w:val="24"/>
        </w:rPr>
        <w:t xml:space="preserve">at </w:t>
      </w:r>
      <w:r w:rsidR="00AE0251">
        <w:rPr>
          <w:rFonts w:ascii="Courier New" w:hAnsi="Courier New" w:cs="Courier New"/>
          <w:sz w:val="24"/>
          <w:szCs w:val="24"/>
        </w:rPr>
        <w:t>$612,900, and assessed a</w:t>
      </w:r>
      <w:r w:rsidR="00026B90">
        <w:rPr>
          <w:rFonts w:ascii="Courier New" w:hAnsi="Courier New" w:cs="Courier New"/>
          <w:sz w:val="24"/>
          <w:szCs w:val="24"/>
        </w:rPr>
        <w:t xml:space="preserve"> tax thereon, at the rate of $18.14 per thousand, in the total amount of $11,284.78</w:t>
      </w:r>
      <w:r w:rsidR="00234EED">
        <w:rPr>
          <w:rFonts w:ascii="Courier New" w:hAnsi="Courier New" w:cs="Courier New"/>
          <w:sz w:val="24"/>
          <w:szCs w:val="24"/>
        </w:rPr>
        <w:t xml:space="preserve">, inclusive of a CPA surcharge.  </w:t>
      </w:r>
    </w:p>
    <w:p w:rsidR="00903246" w:rsidRDefault="00600A6C" w:rsidP="00002216">
      <w:pPr>
        <w:spacing w:after="0" w:line="480" w:lineRule="auto"/>
        <w:jc w:val="both"/>
        <w:rPr>
          <w:rFonts w:ascii="Courier New" w:hAnsi="Courier New" w:cs="Courier New"/>
          <w:sz w:val="24"/>
          <w:szCs w:val="24"/>
        </w:rPr>
      </w:pPr>
      <w:r>
        <w:rPr>
          <w:rFonts w:ascii="Courier New" w:hAnsi="Courier New" w:cs="Courier New"/>
          <w:sz w:val="24"/>
          <w:szCs w:val="24"/>
        </w:rPr>
        <w:tab/>
      </w:r>
      <w:r w:rsidR="00E13861">
        <w:rPr>
          <w:rFonts w:ascii="Courier New" w:hAnsi="Courier New" w:cs="Courier New"/>
          <w:sz w:val="24"/>
          <w:szCs w:val="24"/>
        </w:rPr>
        <w:t>The following table contains the jurisdictional information relevant to these appeals.</w:t>
      </w:r>
    </w:p>
    <w:p w:rsidR="00002216" w:rsidRDefault="00002216" w:rsidP="00002216">
      <w:pPr>
        <w:spacing w:after="0" w:line="480" w:lineRule="auto"/>
        <w:jc w:val="both"/>
        <w:rPr>
          <w:rFonts w:ascii="Courier New" w:hAnsi="Courier New" w:cs="Courier New"/>
          <w:sz w:val="24"/>
          <w:szCs w:val="24"/>
        </w:rPr>
      </w:pPr>
    </w:p>
    <w:p w:rsidR="00002216" w:rsidRDefault="00002216" w:rsidP="00002216">
      <w:pPr>
        <w:spacing w:after="0" w:line="480" w:lineRule="auto"/>
        <w:jc w:val="both"/>
        <w:rPr>
          <w:rFonts w:ascii="Courier New" w:hAnsi="Courier New" w:cs="Courier New"/>
          <w:sz w:val="24"/>
          <w:szCs w:val="24"/>
        </w:rPr>
      </w:pPr>
    </w:p>
    <w:tbl>
      <w:tblPr>
        <w:tblStyle w:val="TableGrid"/>
        <w:tblW w:w="0" w:type="auto"/>
        <w:tblInd w:w="468" w:type="dxa"/>
        <w:tblLook w:val="04A0" w:firstRow="1" w:lastRow="0" w:firstColumn="1" w:lastColumn="0" w:noHBand="0" w:noVBand="1"/>
      </w:tblPr>
      <w:tblGrid>
        <w:gridCol w:w="1710"/>
        <w:gridCol w:w="1890"/>
        <w:gridCol w:w="2520"/>
        <w:gridCol w:w="2160"/>
      </w:tblGrid>
      <w:tr w:rsidR="001E6A6A" w:rsidTr="00E66061">
        <w:tc>
          <w:tcPr>
            <w:tcW w:w="1710" w:type="dxa"/>
          </w:tcPr>
          <w:p w:rsidR="001E6A6A" w:rsidRPr="001E6A6A" w:rsidRDefault="001E6A6A" w:rsidP="00903246">
            <w:pPr>
              <w:jc w:val="center"/>
              <w:rPr>
                <w:rFonts w:ascii="Courier New" w:hAnsi="Courier New" w:cs="Courier New"/>
                <w:b/>
                <w:sz w:val="20"/>
                <w:szCs w:val="20"/>
              </w:rPr>
            </w:pPr>
            <w:r w:rsidRPr="001E6A6A">
              <w:rPr>
                <w:rFonts w:ascii="Courier New" w:hAnsi="Courier New" w:cs="Courier New"/>
                <w:b/>
                <w:sz w:val="20"/>
                <w:szCs w:val="20"/>
              </w:rPr>
              <w:lastRenderedPageBreak/>
              <w:t>Fiscal Year</w:t>
            </w:r>
          </w:p>
        </w:tc>
        <w:tc>
          <w:tcPr>
            <w:tcW w:w="1890" w:type="dxa"/>
          </w:tcPr>
          <w:p w:rsidR="001E6A6A" w:rsidRPr="001E6A6A" w:rsidRDefault="001E6A6A" w:rsidP="00903246">
            <w:pPr>
              <w:jc w:val="center"/>
              <w:rPr>
                <w:rFonts w:ascii="Courier New" w:hAnsi="Courier New" w:cs="Courier New"/>
                <w:b/>
                <w:sz w:val="20"/>
                <w:szCs w:val="20"/>
              </w:rPr>
            </w:pPr>
            <w:r w:rsidRPr="001E6A6A">
              <w:rPr>
                <w:rFonts w:ascii="Courier New" w:hAnsi="Courier New" w:cs="Courier New"/>
                <w:b/>
                <w:sz w:val="20"/>
                <w:szCs w:val="20"/>
              </w:rPr>
              <w:t>Abatement Application Filed</w:t>
            </w:r>
          </w:p>
        </w:tc>
        <w:tc>
          <w:tcPr>
            <w:tcW w:w="2520" w:type="dxa"/>
          </w:tcPr>
          <w:p w:rsidR="001E6A6A" w:rsidRPr="001E6A6A" w:rsidRDefault="001E6A6A" w:rsidP="00903246">
            <w:pPr>
              <w:jc w:val="center"/>
              <w:rPr>
                <w:rFonts w:ascii="Courier New" w:hAnsi="Courier New" w:cs="Courier New"/>
                <w:b/>
                <w:sz w:val="20"/>
                <w:szCs w:val="20"/>
              </w:rPr>
            </w:pPr>
            <w:r w:rsidRPr="001E6A6A">
              <w:rPr>
                <w:rFonts w:ascii="Courier New" w:hAnsi="Courier New" w:cs="Courier New"/>
                <w:b/>
                <w:sz w:val="20"/>
                <w:szCs w:val="20"/>
              </w:rPr>
              <w:t>Abatement Application Denied</w:t>
            </w:r>
            <w:r w:rsidR="00421266">
              <w:rPr>
                <w:rFonts w:ascii="Courier New" w:hAnsi="Courier New" w:cs="Courier New"/>
                <w:b/>
                <w:sz w:val="20"/>
                <w:szCs w:val="20"/>
              </w:rPr>
              <w:t xml:space="preserve"> or Deemed Denied</w:t>
            </w:r>
          </w:p>
        </w:tc>
        <w:tc>
          <w:tcPr>
            <w:tcW w:w="2160" w:type="dxa"/>
          </w:tcPr>
          <w:p w:rsidR="001E6A6A" w:rsidRPr="001E6A6A" w:rsidRDefault="001E6A6A" w:rsidP="00903246">
            <w:pPr>
              <w:jc w:val="center"/>
              <w:rPr>
                <w:rFonts w:ascii="Courier New" w:hAnsi="Courier New" w:cs="Courier New"/>
                <w:b/>
                <w:sz w:val="20"/>
                <w:szCs w:val="20"/>
              </w:rPr>
            </w:pPr>
            <w:r w:rsidRPr="001E6A6A">
              <w:rPr>
                <w:rFonts w:ascii="Courier New" w:hAnsi="Courier New" w:cs="Courier New"/>
                <w:b/>
                <w:sz w:val="20"/>
                <w:szCs w:val="20"/>
              </w:rPr>
              <w:t>Appeal Filed with Board</w:t>
            </w:r>
          </w:p>
        </w:tc>
      </w:tr>
      <w:tr w:rsidR="001E6A6A" w:rsidRPr="00903246" w:rsidTr="00E66061">
        <w:tc>
          <w:tcPr>
            <w:tcW w:w="1710" w:type="dxa"/>
          </w:tcPr>
          <w:p w:rsidR="001E6A6A" w:rsidRPr="00903246" w:rsidRDefault="007C5193" w:rsidP="00903246">
            <w:pPr>
              <w:jc w:val="center"/>
              <w:rPr>
                <w:rFonts w:ascii="Courier New" w:hAnsi="Courier New" w:cs="Courier New"/>
                <w:b/>
                <w:sz w:val="20"/>
                <w:szCs w:val="20"/>
              </w:rPr>
            </w:pPr>
            <w:r w:rsidRPr="00903246">
              <w:rPr>
                <w:rFonts w:ascii="Courier New" w:hAnsi="Courier New" w:cs="Courier New"/>
                <w:b/>
                <w:sz w:val="20"/>
                <w:szCs w:val="20"/>
              </w:rPr>
              <w:t>2015</w:t>
            </w:r>
          </w:p>
        </w:tc>
        <w:tc>
          <w:tcPr>
            <w:tcW w:w="1890" w:type="dxa"/>
          </w:tcPr>
          <w:p w:rsidR="001E6A6A" w:rsidRPr="00903246" w:rsidRDefault="00732BFD" w:rsidP="00903246">
            <w:pPr>
              <w:jc w:val="center"/>
              <w:rPr>
                <w:rFonts w:ascii="Courier New" w:hAnsi="Courier New" w:cs="Courier New"/>
                <w:b/>
                <w:sz w:val="20"/>
                <w:szCs w:val="20"/>
              </w:rPr>
            </w:pPr>
            <w:r w:rsidRPr="00903246">
              <w:rPr>
                <w:rFonts w:ascii="Courier New" w:hAnsi="Courier New" w:cs="Courier New"/>
                <w:b/>
                <w:sz w:val="20"/>
                <w:szCs w:val="20"/>
              </w:rPr>
              <w:t>1/26/15</w:t>
            </w:r>
          </w:p>
        </w:tc>
        <w:tc>
          <w:tcPr>
            <w:tcW w:w="2520" w:type="dxa"/>
          </w:tcPr>
          <w:p w:rsidR="001E6A6A" w:rsidRPr="00903246" w:rsidRDefault="00732BFD" w:rsidP="00903246">
            <w:pPr>
              <w:jc w:val="center"/>
              <w:rPr>
                <w:rFonts w:ascii="Courier New" w:hAnsi="Courier New" w:cs="Courier New"/>
                <w:b/>
                <w:sz w:val="20"/>
                <w:szCs w:val="20"/>
              </w:rPr>
            </w:pPr>
            <w:r w:rsidRPr="00903246">
              <w:rPr>
                <w:rFonts w:ascii="Courier New" w:hAnsi="Courier New" w:cs="Courier New"/>
                <w:b/>
                <w:sz w:val="20"/>
                <w:szCs w:val="20"/>
              </w:rPr>
              <w:t>2/10/15</w:t>
            </w:r>
          </w:p>
        </w:tc>
        <w:tc>
          <w:tcPr>
            <w:tcW w:w="2160" w:type="dxa"/>
          </w:tcPr>
          <w:p w:rsidR="001E6A6A" w:rsidRPr="00903246" w:rsidRDefault="00732BFD" w:rsidP="00903246">
            <w:pPr>
              <w:jc w:val="center"/>
              <w:rPr>
                <w:rFonts w:ascii="Courier New" w:hAnsi="Courier New" w:cs="Courier New"/>
                <w:b/>
                <w:sz w:val="20"/>
                <w:szCs w:val="20"/>
              </w:rPr>
            </w:pPr>
            <w:r w:rsidRPr="00903246">
              <w:rPr>
                <w:rFonts w:ascii="Courier New" w:hAnsi="Courier New" w:cs="Courier New"/>
                <w:b/>
                <w:sz w:val="20"/>
                <w:szCs w:val="20"/>
              </w:rPr>
              <w:t>4/23/15</w:t>
            </w:r>
          </w:p>
        </w:tc>
      </w:tr>
      <w:tr w:rsidR="001E6A6A" w:rsidRPr="00903246" w:rsidTr="00E66061">
        <w:tc>
          <w:tcPr>
            <w:tcW w:w="1710" w:type="dxa"/>
          </w:tcPr>
          <w:p w:rsidR="001E6A6A" w:rsidRPr="00903246" w:rsidRDefault="007C5193" w:rsidP="00903246">
            <w:pPr>
              <w:jc w:val="center"/>
              <w:rPr>
                <w:rFonts w:ascii="Courier New" w:hAnsi="Courier New" w:cs="Courier New"/>
                <w:b/>
                <w:sz w:val="20"/>
                <w:szCs w:val="20"/>
              </w:rPr>
            </w:pPr>
            <w:r w:rsidRPr="00903246">
              <w:rPr>
                <w:rFonts w:ascii="Courier New" w:hAnsi="Courier New" w:cs="Courier New"/>
                <w:b/>
                <w:sz w:val="20"/>
                <w:szCs w:val="20"/>
              </w:rPr>
              <w:t>2016</w:t>
            </w:r>
          </w:p>
        </w:tc>
        <w:tc>
          <w:tcPr>
            <w:tcW w:w="1890" w:type="dxa"/>
          </w:tcPr>
          <w:p w:rsidR="001E6A6A" w:rsidRPr="00903246" w:rsidRDefault="00421266" w:rsidP="00903246">
            <w:pPr>
              <w:jc w:val="center"/>
              <w:rPr>
                <w:rFonts w:ascii="Courier New" w:hAnsi="Courier New" w:cs="Courier New"/>
                <w:b/>
                <w:sz w:val="20"/>
                <w:szCs w:val="20"/>
              </w:rPr>
            </w:pPr>
            <w:r w:rsidRPr="00903246">
              <w:rPr>
                <w:rFonts w:ascii="Courier New" w:hAnsi="Courier New" w:cs="Courier New"/>
                <w:b/>
                <w:sz w:val="20"/>
                <w:szCs w:val="20"/>
              </w:rPr>
              <w:t>1/14/16</w:t>
            </w:r>
          </w:p>
        </w:tc>
        <w:tc>
          <w:tcPr>
            <w:tcW w:w="2520" w:type="dxa"/>
          </w:tcPr>
          <w:p w:rsidR="001E6A6A" w:rsidRPr="00903246" w:rsidRDefault="00B33E18" w:rsidP="00903246">
            <w:pPr>
              <w:jc w:val="center"/>
              <w:rPr>
                <w:rFonts w:ascii="Courier New" w:hAnsi="Courier New" w:cs="Courier New"/>
                <w:b/>
                <w:sz w:val="20"/>
                <w:szCs w:val="20"/>
              </w:rPr>
            </w:pPr>
            <w:r w:rsidRPr="00903246">
              <w:rPr>
                <w:rFonts w:ascii="Courier New" w:hAnsi="Courier New" w:cs="Courier New"/>
                <w:b/>
                <w:sz w:val="20"/>
                <w:szCs w:val="20"/>
              </w:rPr>
              <w:t>4/14/16</w:t>
            </w:r>
          </w:p>
        </w:tc>
        <w:tc>
          <w:tcPr>
            <w:tcW w:w="2160" w:type="dxa"/>
          </w:tcPr>
          <w:p w:rsidR="001E6A6A" w:rsidRPr="00903246" w:rsidRDefault="00B33E18" w:rsidP="00903246">
            <w:pPr>
              <w:jc w:val="center"/>
              <w:rPr>
                <w:rFonts w:ascii="Courier New" w:hAnsi="Courier New" w:cs="Courier New"/>
                <w:b/>
                <w:sz w:val="20"/>
                <w:szCs w:val="20"/>
              </w:rPr>
            </w:pPr>
            <w:r w:rsidRPr="00903246">
              <w:rPr>
                <w:rFonts w:ascii="Courier New" w:hAnsi="Courier New" w:cs="Courier New"/>
                <w:b/>
                <w:sz w:val="20"/>
                <w:szCs w:val="20"/>
              </w:rPr>
              <w:t>7/8/16</w:t>
            </w:r>
          </w:p>
        </w:tc>
      </w:tr>
      <w:tr w:rsidR="001E6A6A" w:rsidRPr="00903246" w:rsidTr="00E66061">
        <w:tc>
          <w:tcPr>
            <w:tcW w:w="1710" w:type="dxa"/>
          </w:tcPr>
          <w:p w:rsidR="001E6A6A" w:rsidRPr="00903246" w:rsidRDefault="007C5193" w:rsidP="00903246">
            <w:pPr>
              <w:jc w:val="center"/>
              <w:rPr>
                <w:rFonts w:ascii="Courier New" w:hAnsi="Courier New" w:cs="Courier New"/>
                <w:b/>
                <w:sz w:val="20"/>
                <w:szCs w:val="20"/>
              </w:rPr>
            </w:pPr>
            <w:r w:rsidRPr="00903246">
              <w:rPr>
                <w:rFonts w:ascii="Courier New" w:hAnsi="Courier New" w:cs="Courier New"/>
                <w:b/>
                <w:sz w:val="20"/>
                <w:szCs w:val="20"/>
              </w:rPr>
              <w:t>2017</w:t>
            </w:r>
          </w:p>
        </w:tc>
        <w:tc>
          <w:tcPr>
            <w:tcW w:w="1890" w:type="dxa"/>
          </w:tcPr>
          <w:p w:rsidR="001E6A6A" w:rsidRPr="00903246" w:rsidRDefault="00B33E18" w:rsidP="00903246">
            <w:pPr>
              <w:jc w:val="center"/>
              <w:rPr>
                <w:rFonts w:ascii="Courier New" w:hAnsi="Courier New" w:cs="Courier New"/>
                <w:b/>
                <w:sz w:val="20"/>
                <w:szCs w:val="20"/>
              </w:rPr>
            </w:pPr>
            <w:r w:rsidRPr="00903246">
              <w:rPr>
                <w:rFonts w:ascii="Courier New" w:hAnsi="Courier New" w:cs="Courier New"/>
                <w:b/>
                <w:sz w:val="20"/>
                <w:szCs w:val="20"/>
              </w:rPr>
              <w:t>1/13/17</w:t>
            </w:r>
          </w:p>
        </w:tc>
        <w:tc>
          <w:tcPr>
            <w:tcW w:w="2520" w:type="dxa"/>
          </w:tcPr>
          <w:p w:rsidR="001E6A6A" w:rsidRPr="00903246" w:rsidRDefault="00B33E18" w:rsidP="00903246">
            <w:pPr>
              <w:jc w:val="center"/>
              <w:rPr>
                <w:rFonts w:ascii="Courier New" w:hAnsi="Courier New" w:cs="Courier New"/>
                <w:b/>
                <w:sz w:val="20"/>
                <w:szCs w:val="20"/>
              </w:rPr>
            </w:pPr>
            <w:r w:rsidRPr="00903246">
              <w:rPr>
                <w:rFonts w:ascii="Courier New" w:hAnsi="Courier New" w:cs="Courier New"/>
                <w:b/>
                <w:sz w:val="20"/>
                <w:szCs w:val="20"/>
              </w:rPr>
              <w:t>2/27/17</w:t>
            </w:r>
          </w:p>
        </w:tc>
        <w:tc>
          <w:tcPr>
            <w:tcW w:w="2160" w:type="dxa"/>
          </w:tcPr>
          <w:p w:rsidR="001E6A6A" w:rsidRPr="00903246" w:rsidRDefault="00B33E18" w:rsidP="00903246">
            <w:pPr>
              <w:jc w:val="center"/>
              <w:rPr>
                <w:rFonts w:ascii="Courier New" w:hAnsi="Courier New" w:cs="Courier New"/>
                <w:b/>
                <w:sz w:val="20"/>
                <w:szCs w:val="20"/>
              </w:rPr>
            </w:pPr>
            <w:r w:rsidRPr="00903246">
              <w:rPr>
                <w:rFonts w:ascii="Courier New" w:hAnsi="Courier New" w:cs="Courier New"/>
                <w:b/>
                <w:sz w:val="20"/>
                <w:szCs w:val="20"/>
              </w:rPr>
              <w:t>5/18/17</w:t>
            </w:r>
          </w:p>
        </w:tc>
      </w:tr>
    </w:tbl>
    <w:p w:rsidR="00E13861" w:rsidRPr="00903246" w:rsidRDefault="00E13861" w:rsidP="001E6A6A">
      <w:pPr>
        <w:jc w:val="both"/>
        <w:rPr>
          <w:rFonts w:ascii="Courier New" w:hAnsi="Courier New" w:cs="Courier New"/>
          <w:b/>
          <w:sz w:val="24"/>
          <w:szCs w:val="24"/>
        </w:rPr>
      </w:pPr>
    </w:p>
    <w:p w:rsidR="00AE0251" w:rsidRDefault="00AE0251" w:rsidP="00002216">
      <w:pPr>
        <w:spacing w:after="0" w:line="480" w:lineRule="auto"/>
        <w:jc w:val="both"/>
        <w:rPr>
          <w:rFonts w:ascii="Courier New" w:hAnsi="Courier New" w:cs="Courier New"/>
          <w:sz w:val="24"/>
          <w:szCs w:val="24"/>
        </w:rPr>
      </w:pPr>
      <w:r>
        <w:rPr>
          <w:rFonts w:ascii="Courier New" w:hAnsi="Courier New" w:cs="Courier New"/>
          <w:sz w:val="24"/>
          <w:szCs w:val="24"/>
        </w:rPr>
        <w:tab/>
      </w:r>
      <w:r w:rsidR="00E53A1A">
        <w:rPr>
          <w:rFonts w:ascii="Courier New" w:hAnsi="Courier New" w:cs="Courier New"/>
          <w:sz w:val="24"/>
          <w:szCs w:val="24"/>
        </w:rPr>
        <w:t xml:space="preserve">On the basis of the foregoing facts, the Board found and ruled that it had jurisdiction to hear and decide these appeals.  </w:t>
      </w:r>
    </w:p>
    <w:p w:rsidR="00672A43" w:rsidRDefault="00002128" w:rsidP="00002216">
      <w:pPr>
        <w:spacing w:after="0" w:line="480" w:lineRule="auto"/>
        <w:jc w:val="both"/>
        <w:rPr>
          <w:rFonts w:ascii="Courier New" w:hAnsi="Courier New" w:cs="Courier New"/>
          <w:sz w:val="24"/>
          <w:szCs w:val="24"/>
        </w:rPr>
      </w:pPr>
      <w:r>
        <w:rPr>
          <w:rFonts w:ascii="Courier New" w:hAnsi="Courier New" w:cs="Courier New"/>
          <w:sz w:val="24"/>
          <w:szCs w:val="24"/>
        </w:rPr>
        <w:tab/>
      </w:r>
      <w:r w:rsidR="00C96DDB">
        <w:rPr>
          <w:rFonts w:ascii="Courier New" w:hAnsi="Courier New" w:cs="Courier New"/>
          <w:sz w:val="24"/>
          <w:szCs w:val="24"/>
        </w:rPr>
        <w:t>The appellant</w:t>
      </w:r>
      <w:r w:rsidR="007802BC">
        <w:rPr>
          <w:rFonts w:ascii="Courier New" w:hAnsi="Courier New" w:cs="Courier New"/>
          <w:sz w:val="24"/>
          <w:szCs w:val="24"/>
        </w:rPr>
        <w:t xml:space="preserve">, who testified at the hearing of these appeals and whom the Board found to be credible, stated that he </w:t>
      </w:r>
      <w:r w:rsidR="00C96DDB">
        <w:rPr>
          <w:rFonts w:ascii="Courier New" w:hAnsi="Courier New" w:cs="Courier New"/>
          <w:sz w:val="24"/>
          <w:szCs w:val="24"/>
        </w:rPr>
        <w:t>purchased the subject property in 2005.  At that time, it was a small</w:t>
      </w:r>
      <w:r w:rsidR="00BA0E5C">
        <w:rPr>
          <w:rFonts w:ascii="Courier New" w:hAnsi="Courier New" w:cs="Courier New"/>
          <w:sz w:val="24"/>
          <w:szCs w:val="24"/>
        </w:rPr>
        <w:t>,</w:t>
      </w:r>
      <w:r w:rsidR="00C96DDB">
        <w:rPr>
          <w:rFonts w:ascii="Courier New" w:hAnsi="Courier New" w:cs="Courier New"/>
          <w:sz w:val="24"/>
          <w:szCs w:val="24"/>
        </w:rPr>
        <w:t xml:space="preserve"> ranch-style home</w:t>
      </w:r>
      <w:r w:rsidR="007802BC">
        <w:rPr>
          <w:rFonts w:ascii="Courier New" w:hAnsi="Courier New" w:cs="Courier New"/>
          <w:sz w:val="24"/>
          <w:szCs w:val="24"/>
        </w:rPr>
        <w:t xml:space="preserve"> with two </w:t>
      </w:r>
      <w:r w:rsidR="00C96DDB">
        <w:rPr>
          <w:rFonts w:ascii="Courier New" w:hAnsi="Courier New" w:cs="Courier New"/>
          <w:sz w:val="24"/>
          <w:szCs w:val="24"/>
        </w:rPr>
        <w:t>bedrooms.  In 2009, the appellant sought t</w:t>
      </w:r>
      <w:r w:rsidR="004F7457">
        <w:rPr>
          <w:rFonts w:ascii="Courier New" w:hAnsi="Courier New" w:cs="Courier New"/>
          <w:sz w:val="24"/>
          <w:szCs w:val="24"/>
        </w:rPr>
        <w:t xml:space="preserve">o build </w:t>
      </w:r>
      <w:r w:rsidR="007802BC">
        <w:rPr>
          <w:rFonts w:ascii="Courier New" w:hAnsi="Courier New" w:cs="Courier New"/>
          <w:sz w:val="24"/>
          <w:szCs w:val="24"/>
        </w:rPr>
        <w:t xml:space="preserve">an addition to the subject property. </w:t>
      </w:r>
      <w:r w:rsidR="008D7D34">
        <w:rPr>
          <w:rFonts w:ascii="Courier New" w:hAnsi="Courier New" w:cs="Courier New"/>
          <w:sz w:val="24"/>
          <w:szCs w:val="24"/>
        </w:rPr>
        <w:t>However, because applicable Massachusetts Departm</w:t>
      </w:r>
      <w:r w:rsidR="00DA1C0D">
        <w:rPr>
          <w:rFonts w:ascii="Courier New" w:hAnsi="Courier New" w:cs="Courier New"/>
          <w:sz w:val="24"/>
          <w:szCs w:val="24"/>
        </w:rPr>
        <w:t>ent of Environmental Protection</w:t>
      </w:r>
      <w:r w:rsidR="008D7D34">
        <w:rPr>
          <w:rFonts w:ascii="Courier New" w:hAnsi="Courier New" w:cs="Courier New"/>
          <w:sz w:val="24"/>
          <w:szCs w:val="24"/>
        </w:rPr>
        <w:t xml:space="preserve"> regulations required</w:t>
      </w:r>
      <w:r w:rsidR="00BA0E5C">
        <w:rPr>
          <w:rFonts w:ascii="Courier New" w:hAnsi="Courier New" w:cs="Courier New"/>
          <w:sz w:val="24"/>
          <w:szCs w:val="24"/>
        </w:rPr>
        <w:t xml:space="preserve"> 10,000 square feet of land per </w:t>
      </w:r>
      <w:r w:rsidR="007802BC">
        <w:rPr>
          <w:rFonts w:ascii="Courier New" w:hAnsi="Courier New" w:cs="Courier New"/>
          <w:sz w:val="24"/>
          <w:szCs w:val="24"/>
        </w:rPr>
        <w:t>bedroom for septic system purposes, and the su</w:t>
      </w:r>
      <w:r w:rsidR="008D7D34">
        <w:rPr>
          <w:rFonts w:ascii="Courier New" w:hAnsi="Courier New" w:cs="Courier New"/>
          <w:sz w:val="24"/>
          <w:szCs w:val="24"/>
        </w:rPr>
        <w:t>bject property had approximately</w:t>
      </w:r>
      <w:r w:rsidR="007802BC">
        <w:rPr>
          <w:rFonts w:ascii="Courier New" w:hAnsi="Courier New" w:cs="Courier New"/>
          <w:sz w:val="24"/>
          <w:szCs w:val="24"/>
        </w:rPr>
        <w:t xml:space="preserve"> 23,000 square feet of land, the addition would only be approved if it did not include </w:t>
      </w:r>
      <w:r w:rsidR="005B7689">
        <w:rPr>
          <w:rFonts w:ascii="Courier New" w:hAnsi="Courier New" w:cs="Courier New"/>
          <w:sz w:val="24"/>
          <w:szCs w:val="24"/>
        </w:rPr>
        <w:t xml:space="preserve">additional bedrooms.  Therefore, in order to gain approval for the expansion of the home, the appellant </w:t>
      </w:r>
      <w:r w:rsidR="008D7D34">
        <w:rPr>
          <w:rFonts w:ascii="Courier New" w:hAnsi="Courier New" w:cs="Courier New"/>
          <w:sz w:val="24"/>
          <w:szCs w:val="24"/>
        </w:rPr>
        <w:t xml:space="preserve">granted a deed restriction to the </w:t>
      </w:r>
      <w:r w:rsidR="00755708">
        <w:rPr>
          <w:rFonts w:ascii="Courier New" w:hAnsi="Courier New" w:cs="Courier New"/>
          <w:sz w:val="24"/>
          <w:szCs w:val="24"/>
        </w:rPr>
        <w:t>T</w:t>
      </w:r>
      <w:r w:rsidR="008D7D34">
        <w:rPr>
          <w:rFonts w:ascii="Courier New" w:hAnsi="Courier New" w:cs="Courier New"/>
          <w:sz w:val="24"/>
          <w:szCs w:val="24"/>
        </w:rPr>
        <w:t>own</w:t>
      </w:r>
      <w:r w:rsidR="00755708">
        <w:rPr>
          <w:rFonts w:ascii="Courier New" w:hAnsi="Courier New" w:cs="Courier New"/>
          <w:sz w:val="24"/>
          <w:szCs w:val="24"/>
        </w:rPr>
        <w:t xml:space="preserve"> of Wayland</w:t>
      </w:r>
      <w:r w:rsidR="008D7D34">
        <w:rPr>
          <w:rFonts w:ascii="Courier New" w:hAnsi="Courier New" w:cs="Courier New"/>
          <w:sz w:val="24"/>
          <w:szCs w:val="24"/>
        </w:rPr>
        <w:t xml:space="preserve">, </w:t>
      </w:r>
      <w:r w:rsidR="00A21E5F">
        <w:rPr>
          <w:rFonts w:ascii="Courier New" w:hAnsi="Courier New" w:cs="Courier New"/>
          <w:sz w:val="24"/>
          <w:szCs w:val="24"/>
        </w:rPr>
        <w:t xml:space="preserve">limiting </w:t>
      </w:r>
      <w:r w:rsidR="005B7689">
        <w:rPr>
          <w:rFonts w:ascii="Courier New" w:hAnsi="Courier New" w:cs="Courier New"/>
          <w:sz w:val="24"/>
          <w:szCs w:val="24"/>
        </w:rPr>
        <w:t xml:space="preserve">the subject property </w:t>
      </w:r>
      <w:r w:rsidR="00A21E5F">
        <w:rPr>
          <w:rFonts w:ascii="Courier New" w:hAnsi="Courier New" w:cs="Courier New"/>
          <w:sz w:val="24"/>
          <w:szCs w:val="24"/>
        </w:rPr>
        <w:t xml:space="preserve">to two </w:t>
      </w:r>
      <w:r w:rsidR="005B7689">
        <w:rPr>
          <w:rFonts w:ascii="Courier New" w:hAnsi="Courier New" w:cs="Courier New"/>
          <w:sz w:val="24"/>
          <w:szCs w:val="24"/>
        </w:rPr>
        <w:t>bedrooms.  A copy of that document, signed by the appellant on March 7, 2009 and recorded at the Middlesex Registry of Deeds two days later, was entered into the record.</w:t>
      </w:r>
    </w:p>
    <w:p w:rsidR="006A5C64" w:rsidRDefault="00DA1C0D" w:rsidP="00002216">
      <w:pPr>
        <w:spacing w:after="0" w:line="480" w:lineRule="auto"/>
        <w:jc w:val="both"/>
        <w:rPr>
          <w:rFonts w:ascii="Courier New" w:hAnsi="Courier New" w:cs="Courier New"/>
          <w:sz w:val="24"/>
          <w:szCs w:val="24"/>
        </w:rPr>
      </w:pPr>
      <w:r>
        <w:rPr>
          <w:rFonts w:ascii="Courier New" w:hAnsi="Courier New" w:cs="Courier New"/>
          <w:sz w:val="24"/>
          <w:szCs w:val="24"/>
        </w:rPr>
        <w:lastRenderedPageBreak/>
        <w:tab/>
        <w:t>The appellant then proceeded</w:t>
      </w:r>
      <w:r w:rsidR="00442667">
        <w:rPr>
          <w:rFonts w:ascii="Courier New" w:hAnsi="Courier New" w:cs="Courier New"/>
          <w:sz w:val="24"/>
          <w:szCs w:val="24"/>
        </w:rPr>
        <w:t xml:space="preserve"> with his plans for the expansion of the subject property.  </w:t>
      </w:r>
      <w:r w:rsidR="008D7D34">
        <w:rPr>
          <w:rFonts w:ascii="Courier New" w:hAnsi="Courier New" w:cs="Courier New"/>
          <w:sz w:val="24"/>
          <w:szCs w:val="24"/>
        </w:rPr>
        <w:t>The addition, which was completed in 2009, added on to the existing home a three-car g</w:t>
      </w:r>
      <w:r w:rsidR="006A5C64">
        <w:rPr>
          <w:rFonts w:ascii="Courier New" w:hAnsi="Courier New" w:cs="Courier New"/>
          <w:sz w:val="24"/>
          <w:szCs w:val="24"/>
        </w:rPr>
        <w:t>arage with living space above, t</w:t>
      </w:r>
      <w:r w:rsidR="007E19CF">
        <w:rPr>
          <w:rFonts w:ascii="Courier New" w:hAnsi="Courier New" w:cs="Courier New"/>
          <w:sz w:val="24"/>
          <w:szCs w:val="24"/>
        </w:rPr>
        <w:t>ransforming the home from a 961</w:t>
      </w:r>
      <w:r w:rsidR="00595C3C">
        <w:rPr>
          <w:rFonts w:ascii="Courier New" w:hAnsi="Courier New" w:cs="Courier New"/>
          <w:sz w:val="24"/>
          <w:szCs w:val="24"/>
        </w:rPr>
        <w:t>-</w:t>
      </w:r>
      <w:r w:rsidR="007E19CF">
        <w:rPr>
          <w:rFonts w:ascii="Courier New" w:hAnsi="Courier New" w:cs="Courier New"/>
          <w:sz w:val="24"/>
          <w:szCs w:val="24"/>
        </w:rPr>
        <w:t>square-</w:t>
      </w:r>
      <w:r w:rsidR="006A5C64">
        <w:rPr>
          <w:rFonts w:ascii="Courier New" w:hAnsi="Courier New" w:cs="Courier New"/>
          <w:sz w:val="24"/>
          <w:szCs w:val="24"/>
        </w:rPr>
        <w:t>foo</w:t>
      </w:r>
      <w:r w:rsidR="007E19CF">
        <w:rPr>
          <w:rFonts w:ascii="Courier New" w:hAnsi="Courier New" w:cs="Courier New"/>
          <w:sz w:val="24"/>
          <w:szCs w:val="24"/>
        </w:rPr>
        <w:t>t</w:t>
      </w:r>
      <w:r w:rsidR="00595C3C">
        <w:rPr>
          <w:rFonts w:ascii="Courier New" w:hAnsi="Courier New" w:cs="Courier New"/>
          <w:sz w:val="24"/>
          <w:szCs w:val="24"/>
        </w:rPr>
        <w:t>,</w:t>
      </w:r>
      <w:r w:rsidR="007E19CF">
        <w:rPr>
          <w:rFonts w:ascii="Courier New" w:hAnsi="Courier New" w:cs="Courier New"/>
          <w:sz w:val="24"/>
          <w:szCs w:val="24"/>
        </w:rPr>
        <w:t xml:space="preserve"> ranch-style dwelling to </w:t>
      </w:r>
      <w:r w:rsidR="00595C3C">
        <w:rPr>
          <w:rFonts w:ascii="Courier New" w:hAnsi="Courier New" w:cs="Courier New"/>
          <w:sz w:val="24"/>
          <w:szCs w:val="24"/>
        </w:rPr>
        <w:t>a 2,460-</w:t>
      </w:r>
      <w:r w:rsidR="007E19CF">
        <w:rPr>
          <w:rFonts w:ascii="Courier New" w:hAnsi="Courier New" w:cs="Courier New"/>
          <w:sz w:val="24"/>
          <w:szCs w:val="24"/>
        </w:rPr>
        <w:t>square-</w:t>
      </w:r>
      <w:r w:rsidR="006A5C64">
        <w:rPr>
          <w:rFonts w:ascii="Courier New" w:hAnsi="Courier New" w:cs="Courier New"/>
          <w:sz w:val="24"/>
          <w:szCs w:val="24"/>
        </w:rPr>
        <w:t>foot</w:t>
      </w:r>
      <w:r w:rsidR="00595C3C">
        <w:rPr>
          <w:rFonts w:ascii="Courier New" w:hAnsi="Courier New" w:cs="Courier New"/>
          <w:sz w:val="24"/>
          <w:szCs w:val="24"/>
        </w:rPr>
        <w:t>,</w:t>
      </w:r>
      <w:r w:rsidR="006A5C64">
        <w:rPr>
          <w:rFonts w:ascii="Courier New" w:hAnsi="Courier New" w:cs="Courier New"/>
          <w:sz w:val="24"/>
          <w:szCs w:val="24"/>
        </w:rPr>
        <w:t xml:space="preserve"> contemporary-style dwelling.  </w:t>
      </w:r>
    </w:p>
    <w:p w:rsidR="00442667" w:rsidRDefault="006A5C64" w:rsidP="00002216">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Copies of the subject property’s </w:t>
      </w:r>
      <w:r w:rsidR="007E19CF">
        <w:rPr>
          <w:rFonts w:ascii="Courier New" w:hAnsi="Courier New" w:cs="Courier New"/>
          <w:sz w:val="24"/>
          <w:szCs w:val="24"/>
        </w:rPr>
        <w:t>plot plan and architect’s floor</w:t>
      </w:r>
      <w:r w:rsidR="002D4A1B">
        <w:rPr>
          <w:rFonts w:ascii="Courier New" w:hAnsi="Courier New" w:cs="Courier New"/>
          <w:sz w:val="24"/>
          <w:szCs w:val="24"/>
        </w:rPr>
        <w:t xml:space="preserve"> </w:t>
      </w:r>
      <w:r>
        <w:rPr>
          <w:rFonts w:ascii="Courier New" w:hAnsi="Courier New" w:cs="Courier New"/>
          <w:sz w:val="24"/>
          <w:szCs w:val="24"/>
        </w:rPr>
        <w:t xml:space="preserve">plans for the addition were entered into the record. </w:t>
      </w:r>
      <w:r w:rsidR="007E19CF">
        <w:rPr>
          <w:rFonts w:ascii="Courier New" w:hAnsi="Courier New" w:cs="Courier New"/>
          <w:sz w:val="24"/>
          <w:szCs w:val="24"/>
        </w:rPr>
        <w:t>According to the floor</w:t>
      </w:r>
      <w:r w:rsidR="002D4A1B">
        <w:rPr>
          <w:rFonts w:ascii="Courier New" w:hAnsi="Courier New" w:cs="Courier New"/>
          <w:sz w:val="24"/>
          <w:szCs w:val="24"/>
        </w:rPr>
        <w:t xml:space="preserve"> </w:t>
      </w:r>
      <w:r w:rsidR="008D7D34">
        <w:rPr>
          <w:rFonts w:ascii="Courier New" w:hAnsi="Courier New" w:cs="Courier New"/>
          <w:sz w:val="24"/>
          <w:szCs w:val="24"/>
        </w:rPr>
        <w:t xml:space="preserve">plans, the first floor of the subject dwelling would </w:t>
      </w:r>
      <w:r w:rsidR="004C2BA9">
        <w:rPr>
          <w:rFonts w:ascii="Courier New" w:hAnsi="Courier New" w:cs="Courier New"/>
          <w:sz w:val="24"/>
          <w:szCs w:val="24"/>
        </w:rPr>
        <w:t xml:space="preserve">contain an eat-in kitchen, dining </w:t>
      </w:r>
      <w:r w:rsidR="002D4A1B">
        <w:rPr>
          <w:rFonts w:ascii="Courier New" w:hAnsi="Courier New" w:cs="Courier New"/>
          <w:sz w:val="24"/>
          <w:szCs w:val="24"/>
        </w:rPr>
        <w:t>room, play room, and living room</w:t>
      </w:r>
      <w:r w:rsidR="004C2BA9">
        <w:rPr>
          <w:rFonts w:ascii="Courier New" w:hAnsi="Courier New" w:cs="Courier New"/>
          <w:sz w:val="24"/>
          <w:szCs w:val="24"/>
        </w:rPr>
        <w:t>, as well as a</w:t>
      </w:r>
      <w:r w:rsidR="00DA1C0D">
        <w:rPr>
          <w:rFonts w:ascii="Courier New" w:hAnsi="Courier New" w:cs="Courier New"/>
          <w:sz w:val="24"/>
          <w:szCs w:val="24"/>
        </w:rPr>
        <w:t xml:space="preserve"> bathroom, mudroom, and foyer.  The </w:t>
      </w:r>
      <w:r w:rsidR="004C2BA9">
        <w:rPr>
          <w:rFonts w:ascii="Courier New" w:hAnsi="Courier New" w:cs="Courier New"/>
          <w:sz w:val="24"/>
          <w:szCs w:val="24"/>
        </w:rPr>
        <w:t>second floor</w:t>
      </w:r>
      <w:r w:rsidR="00DA1C0D">
        <w:rPr>
          <w:rFonts w:ascii="Courier New" w:hAnsi="Courier New" w:cs="Courier New"/>
          <w:sz w:val="24"/>
          <w:szCs w:val="24"/>
        </w:rPr>
        <w:t>, according to the floor</w:t>
      </w:r>
      <w:r w:rsidR="002D4A1B">
        <w:rPr>
          <w:rFonts w:ascii="Courier New" w:hAnsi="Courier New" w:cs="Courier New"/>
          <w:sz w:val="24"/>
          <w:szCs w:val="24"/>
        </w:rPr>
        <w:t xml:space="preserve"> </w:t>
      </w:r>
      <w:r w:rsidR="00DA1C0D">
        <w:rPr>
          <w:rFonts w:ascii="Courier New" w:hAnsi="Courier New" w:cs="Courier New"/>
          <w:sz w:val="24"/>
          <w:szCs w:val="24"/>
        </w:rPr>
        <w:t>plans, would have three rooms and two bathrooms.  The master bedroom had an en suite bathroom, while the other two rooms shared a hallway bathroom.  These other two rooms were approximately the same size and each had</w:t>
      </w:r>
      <w:r w:rsidR="007E19CF">
        <w:rPr>
          <w:rFonts w:ascii="Courier New" w:hAnsi="Courier New" w:cs="Courier New"/>
          <w:sz w:val="24"/>
          <w:szCs w:val="24"/>
        </w:rPr>
        <w:t xml:space="preserve"> a walk-in closet. On the floor</w:t>
      </w:r>
      <w:r w:rsidR="002D4A1B">
        <w:rPr>
          <w:rFonts w:ascii="Courier New" w:hAnsi="Courier New" w:cs="Courier New"/>
          <w:sz w:val="24"/>
          <w:szCs w:val="24"/>
        </w:rPr>
        <w:t xml:space="preserve"> </w:t>
      </w:r>
      <w:r w:rsidR="00DA1C0D">
        <w:rPr>
          <w:rFonts w:ascii="Courier New" w:hAnsi="Courier New" w:cs="Courier New"/>
          <w:sz w:val="24"/>
          <w:szCs w:val="24"/>
        </w:rPr>
        <w:t xml:space="preserve">plans, one of the rooms was labeled as a bedroom, while the other room was labeled as an office.  </w:t>
      </w:r>
      <w:r w:rsidR="006444E1">
        <w:rPr>
          <w:rFonts w:ascii="Courier New" w:hAnsi="Courier New" w:cs="Courier New"/>
          <w:sz w:val="24"/>
          <w:szCs w:val="24"/>
        </w:rPr>
        <w:t>However, a copy of the building permit issued for the subject property’s addition, which was entered into the recor</w:t>
      </w:r>
      <w:r w:rsidR="007E19CF">
        <w:rPr>
          <w:rFonts w:ascii="Courier New" w:hAnsi="Courier New" w:cs="Courier New"/>
          <w:sz w:val="24"/>
          <w:szCs w:val="24"/>
        </w:rPr>
        <w:t>d, referenced three bedrooms as</w:t>
      </w:r>
      <w:r w:rsidR="006444E1">
        <w:rPr>
          <w:rFonts w:ascii="Courier New" w:hAnsi="Courier New" w:cs="Courier New"/>
          <w:sz w:val="24"/>
          <w:szCs w:val="24"/>
        </w:rPr>
        <w:t xml:space="preserve"> part of the project, and made no mention of an office.  </w:t>
      </w:r>
      <w:r w:rsidR="005613F7">
        <w:rPr>
          <w:rFonts w:ascii="Courier New" w:hAnsi="Courier New" w:cs="Courier New"/>
          <w:sz w:val="24"/>
          <w:szCs w:val="24"/>
        </w:rPr>
        <w:t>Simi</w:t>
      </w:r>
      <w:r w:rsidR="007E19CF">
        <w:rPr>
          <w:rFonts w:ascii="Courier New" w:hAnsi="Courier New" w:cs="Courier New"/>
          <w:sz w:val="24"/>
          <w:szCs w:val="24"/>
        </w:rPr>
        <w:t>larly, the portion of the floor</w:t>
      </w:r>
      <w:r w:rsidR="00162544">
        <w:rPr>
          <w:rFonts w:ascii="Courier New" w:hAnsi="Courier New" w:cs="Courier New"/>
          <w:sz w:val="24"/>
          <w:szCs w:val="24"/>
        </w:rPr>
        <w:t xml:space="preserve"> </w:t>
      </w:r>
      <w:r w:rsidR="005613F7">
        <w:rPr>
          <w:rFonts w:ascii="Courier New" w:hAnsi="Courier New" w:cs="Courier New"/>
          <w:sz w:val="24"/>
          <w:szCs w:val="24"/>
        </w:rPr>
        <w:t>plans specifying the finish</w:t>
      </w:r>
      <w:r>
        <w:rPr>
          <w:rFonts w:ascii="Courier New" w:hAnsi="Courier New" w:cs="Courier New"/>
          <w:sz w:val="24"/>
          <w:szCs w:val="24"/>
        </w:rPr>
        <w:t xml:space="preserve">es for each room mentioned a master bedroom and other bedrooms, but </w:t>
      </w:r>
      <w:r w:rsidR="005613F7">
        <w:rPr>
          <w:rFonts w:ascii="Courier New" w:hAnsi="Courier New" w:cs="Courier New"/>
          <w:sz w:val="24"/>
          <w:szCs w:val="24"/>
        </w:rPr>
        <w:t xml:space="preserve">made no mention of an office. </w:t>
      </w:r>
    </w:p>
    <w:p w:rsidR="00A40B0A" w:rsidRDefault="006444E1" w:rsidP="00002216">
      <w:pPr>
        <w:spacing w:after="0" w:line="480" w:lineRule="auto"/>
        <w:jc w:val="both"/>
        <w:rPr>
          <w:rFonts w:ascii="Courier New" w:hAnsi="Courier New" w:cs="Courier New"/>
          <w:sz w:val="24"/>
          <w:szCs w:val="24"/>
        </w:rPr>
      </w:pPr>
      <w:r>
        <w:rPr>
          <w:rFonts w:ascii="Courier New" w:hAnsi="Courier New" w:cs="Courier New"/>
          <w:sz w:val="24"/>
          <w:szCs w:val="24"/>
        </w:rPr>
        <w:lastRenderedPageBreak/>
        <w:tab/>
        <w:t xml:space="preserve">Mr. Rose testified </w:t>
      </w:r>
      <w:r w:rsidR="008A7BE4">
        <w:rPr>
          <w:rFonts w:ascii="Courier New" w:hAnsi="Courier New" w:cs="Courier New"/>
          <w:sz w:val="24"/>
          <w:szCs w:val="24"/>
        </w:rPr>
        <w:t xml:space="preserve">that around 2014, he began to </w:t>
      </w:r>
      <w:r w:rsidR="00004020">
        <w:rPr>
          <w:rFonts w:ascii="Courier New" w:hAnsi="Courier New" w:cs="Courier New"/>
          <w:sz w:val="24"/>
          <w:szCs w:val="24"/>
        </w:rPr>
        <w:t>question the</w:t>
      </w:r>
      <w:r w:rsidR="008A7BE4">
        <w:rPr>
          <w:rFonts w:ascii="Courier New" w:hAnsi="Courier New" w:cs="Courier New"/>
          <w:sz w:val="24"/>
          <w:szCs w:val="24"/>
        </w:rPr>
        <w:t xml:space="preserve"> subject property’s assessed value.  </w:t>
      </w:r>
      <w:r w:rsidR="003F4DC9">
        <w:rPr>
          <w:rFonts w:ascii="Courier New" w:hAnsi="Courier New" w:cs="Courier New"/>
          <w:sz w:val="24"/>
          <w:szCs w:val="24"/>
        </w:rPr>
        <w:t>He examined the property record card for the subject property and noticed errors, such as listing a full basement for the subject property, when it had only a slab foundation, and the inclusion of a non-existent patio.  Additionally, there was a typographical error o</w:t>
      </w:r>
      <w:r w:rsidR="00162544">
        <w:rPr>
          <w:rFonts w:ascii="Courier New" w:hAnsi="Courier New" w:cs="Courier New"/>
          <w:sz w:val="24"/>
          <w:szCs w:val="24"/>
        </w:rPr>
        <w:t xml:space="preserve">n the property record card that indicated </w:t>
      </w:r>
      <w:r w:rsidR="003F4DC9">
        <w:rPr>
          <w:rFonts w:ascii="Courier New" w:hAnsi="Courier New" w:cs="Courier New"/>
          <w:sz w:val="24"/>
          <w:szCs w:val="24"/>
        </w:rPr>
        <w:t xml:space="preserve">the subject property </w:t>
      </w:r>
      <w:r w:rsidR="00A40B0A">
        <w:rPr>
          <w:rFonts w:ascii="Courier New" w:hAnsi="Courier New" w:cs="Courier New"/>
          <w:sz w:val="24"/>
          <w:szCs w:val="24"/>
        </w:rPr>
        <w:t xml:space="preserve">had 31 bathrooms, instead of three. </w:t>
      </w:r>
    </w:p>
    <w:p w:rsidR="00D9624F" w:rsidRDefault="00A40B0A" w:rsidP="00002216">
      <w:pPr>
        <w:spacing w:after="0" w:line="480" w:lineRule="auto"/>
        <w:jc w:val="both"/>
        <w:rPr>
          <w:rFonts w:ascii="Courier New" w:hAnsi="Courier New" w:cs="Courier New"/>
          <w:sz w:val="24"/>
          <w:szCs w:val="24"/>
        </w:rPr>
      </w:pPr>
      <w:r>
        <w:rPr>
          <w:rFonts w:ascii="Courier New" w:hAnsi="Courier New" w:cs="Courier New"/>
          <w:sz w:val="24"/>
          <w:szCs w:val="24"/>
        </w:rPr>
        <w:tab/>
        <w:t>Mr. Rose brought these errors to the attention of the assessors</w:t>
      </w:r>
      <w:r w:rsidR="002A51B2">
        <w:rPr>
          <w:rFonts w:ascii="Courier New" w:hAnsi="Courier New" w:cs="Courier New"/>
          <w:sz w:val="24"/>
          <w:szCs w:val="24"/>
        </w:rPr>
        <w:t xml:space="preserve">.  Ellen </w:t>
      </w:r>
      <w:r w:rsidR="009B0147">
        <w:rPr>
          <w:rFonts w:ascii="Courier New" w:hAnsi="Courier New" w:cs="Courier New"/>
          <w:sz w:val="24"/>
          <w:szCs w:val="24"/>
        </w:rPr>
        <w:t xml:space="preserve">M. </w:t>
      </w:r>
      <w:r w:rsidR="002A51B2">
        <w:rPr>
          <w:rFonts w:ascii="Courier New" w:hAnsi="Courier New" w:cs="Courier New"/>
          <w:sz w:val="24"/>
          <w:szCs w:val="24"/>
        </w:rPr>
        <w:t xml:space="preserve">Brideau, </w:t>
      </w:r>
      <w:r w:rsidR="009B0147">
        <w:rPr>
          <w:rFonts w:ascii="Courier New" w:hAnsi="Courier New" w:cs="Courier New"/>
          <w:sz w:val="24"/>
          <w:szCs w:val="24"/>
        </w:rPr>
        <w:t xml:space="preserve">the Director of Assessing, </w:t>
      </w:r>
      <w:r w:rsidR="002A51B2">
        <w:rPr>
          <w:rFonts w:ascii="Courier New" w:hAnsi="Courier New" w:cs="Courier New"/>
          <w:sz w:val="24"/>
          <w:szCs w:val="24"/>
        </w:rPr>
        <w:t xml:space="preserve">who testified on behalf of the assessors and whom the Board found to be credible, testified that following Mr. Rose’s inquiries, the assessors </w:t>
      </w:r>
      <w:r>
        <w:rPr>
          <w:rFonts w:ascii="Courier New" w:hAnsi="Courier New" w:cs="Courier New"/>
          <w:sz w:val="24"/>
          <w:szCs w:val="24"/>
        </w:rPr>
        <w:t xml:space="preserve">made a site visit to inspect the subject property and </w:t>
      </w:r>
      <w:r w:rsidR="002A51B2">
        <w:rPr>
          <w:rFonts w:ascii="Courier New" w:hAnsi="Courier New" w:cs="Courier New"/>
          <w:sz w:val="24"/>
          <w:szCs w:val="24"/>
        </w:rPr>
        <w:t xml:space="preserve">attempt to </w:t>
      </w:r>
      <w:r>
        <w:rPr>
          <w:rFonts w:ascii="Courier New" w:hAnsi="Courier New" w:cs="Courier New"/>
          <w:sz w:val="24"/>
          <w:szCs w:val="24"/>
        </w:rPr>
        <w:t xml:space="preserve">verify the information on the property record card.  </w:t>
      </w:r>
      <w:r w:rsidR="002A51B2">
        <w:rPr>
          <w:rFonts w:ascii="Courier New" w:hAnsi="Courier New" w:cs="Courier New"/>
          <w:sz w:val="24"/>
          <w:szCs w:val="24"/>
        </w:rPr>
        <w:t>Ms. Brideau explained that a</w:t>
      </w:r>
      <w:r>
        <w:rPr>
          <w:rFonts w:ascii="Courier New" w:hAnsi="Courier New" w:cs="Courier New"/>
          <w:sz w:val="24"/>
          <w:szCs w:val="24"/>
        </w:rPr>
        <w:t xml:space="preserve">fter </w:t>
      </w:r>
      <w:r w:rsidR="00377384">
        <w:rPr>
          <w:rFonts w:ascii="Courier New" w:hAnsi="Courier New" w:cs="Courier New"/>
          <w:sz w:val="24"/>
          <w:szCs w:val="24"/>
        </w:rPr>
        <w:t xml:space="preserve">the </w:t>
      </w:r>
      <w:r>
        <w:rPr>
          <w:rFonts w:ascii="Courier New" w:hAnsi="Courier New" w:cs="Courier New"/>
          <w:sz w:val="24"/>
          <w:szCs w:val="24"/>
        </w:rPr>
        <w:t xml:space="preserve">inspection, the assessors agreed that the </w:t>
      </w:r>
      <w:r w:rsidR="00162544">
        <w:rPr>
          <w:rFonts w:ascii="Courier New" w:hAnsi="Courier New" w:cs="Courier New"/>
          <w:sz w:val="24"/>
          <w:szCs w:val="24"/>
        </w:rPr>
        <w:t xml:space="preserve">property </w:t>
      </w:r>
      <w:r>
        <w:rPr>
          <w:rFonts w:ascii="Courier New" w:hAnsi="Courier New" w:cs="Courier New"/>
          <w:sz w:val="24"/>
          <w:szCs w:val="24"/>
        </w:rPr>
        <w:t xml:space="preserve">record card had errors as to the patio, </w:t>
      </w:r>
      <w:r w:rsidR="007E19CF">
        <w:rPr>
          <w:rFonts w:ascii="Courier New" w:hAnsi="Courier New" w:cs="Courier New"/>
          <w:sz w:val="24"/>
          <w:szCs w:val="24"/>
        </w:rPr>
        <w:t xml:space="preserve">basement, and </w:t>
      </w:r>
      <w:r>
        <w:rPr>
          <w:rFonts w:ascii="Courier New" w:hAnsi="Courier New" w:cs="Courier New"/>
          <w:sz w:val="24"/>
          <w:szCs w:val="24"/>
        </w:rPr>
        <w:t>the number of b</w:t>
      </w:r>
      <w:r w:rsidR="002A51B2">
        <w:rPr>
          <w:rFonts w:ascii="Courier New" w:hAnsi="Courier New" w:cs="Courier New"/>
          <w:sz w:val="24"/>
          <w:szCs w:val="24"/>
        </w:rPr>
        <w:t>athrooms</w:t>
      </w:r>
      <w:r w:rsidR="00D9624F">
        <w:rPr>
          <w:rFonts w:ascii="Courier New" w:hAnsi="Courier New" w:cs="Courier New"/>
          <w:sz w:val="24"/>
          <w:szCs w:val="24"/>
        </w:rPr>
        <w:t xml:space="preserve">, and </w:t>
      </w:r>
      <w:r>
        <w:rPr>
          <w:rFonts w:ascii="Courier New" w:hAnsi="Courier New" w:cs="Courier New"/>
          <w:sz w:val="24"/>
          <w:szCs w:val="24"/>
        </w:rPr>
        <w:t xml:space="preserve">they updated the property record card to reflect the accurate information.  However, the assessors made additional changes to </w:t>
      </w:r>
      <w:r w:rsidR="00162544">
        <w:rPr>
          <w:rFonts w:ascii="Courier New" w:hAnsi="Courier New" w:cs="Courier New"/>
          <w:sz w:val="24"/>
          <w:szCs w:val="24"/>
        </w:rPr>
        <w:t xml:space="preserve">the property record card </w:t>
      </w:r>
      <w:r w:rsidR="00D9624F">
        <w:rPr>
          <w:rFonts w:ascii="Courier New" w:hAnsi="Courier New" w:cs="Courier New"/>
          <w:sz w:val="24"/>
          <w:szCs w:val="24"/>
        </w:rPr>
        <w:t xml:space="preserve">after discovering that the attributes of the subject property following the addition were not accurately reflected on the property record card. </w:t>
      </w:r>
    </w:p>
    <w:p w:rsidR="00D9624F" w:rsidRDefault="00D9624F" w:rsidP="00002216">
      <w:pPr>
        <w:spacing w:after="0" w:line="480" w:lineRule="auto"/>
        <w:jc w:val="both"/>
        <w:rPr>
          <w:rFonts w:ascii="Courier New" w:hAnsi="Courier New" w:cs="Courier New"/>
          <w:sz w:val="24"/>
          <w:szCs w:val="24"/>
        </w:rPr>
      </w:pPr>
      <w:r>
        <w:rPr>
          <w:rFonts w:ascii="Courier New" w:hAnsi="Courier New" w:cs="Courier New"/>
          <w:sz w:val="24"/>
          <w:szCs w:val="24"/>
        </w:rPr>
        <w:tab/>
        <w:t xml:space="preserve">For example, Ms. Brideau explained that the assessors </w:t>
      </w:r>
      <w:r w:rsidR="00BD050D">
        <w:rPr>
          <w:rFonts w:ascii="Courier New" w:hAnsi="Courier New" w:cs="Courier New"/>
          <w:sz w:val="24"/>
          <w:szCs w:val="24"/>
        </w:rPr>
        <w:t xml:space="preserve">increased </w:t>
      </w:r>
      <w:r>
        <w:rPr>
          <w:rFonts w:ascii="Courier New" w:hAnsi="Courier New" w:cs="Courier New"/>
          <w:sz w:val="24"/>
          <w:szCs w:val="24"/>
        </w:rPr>
        <w:t xml:space="preserve">the grade of the subject property, from a two to a </w:t>
      </w:r>
      <w:r>
        <w:rPr>
          <w:rFonts w:ascii="Courier New" w:hAnsi="Courier New" w:cs="Courier New"/>
          <w:sz w:val="24"/>
          <w:szCs w:val="24"/>
        </w:rPr>
        <w:lastRenderedPageBreak/>
        <w:t>four, to reflect the impact of the</w:t>
      </w:r>
      <w:r w:rsidR="00BD050D">
        <w:rPr>
          <w:rFonts w:ascii="Courier New" w:hAnsi="Courier New" w:cs="Courier New"/>
          <w:sz w:val="24"/>
          <w:szCs w:val="24"/>
        </w:rPr>
        <w:t xml:space="preserve"> addition on the overall condition</w:t>
      </w:r>
      <w:r>
        <w:rPr>
          <w:rFonts w:ascii="Courier New" w:hAnsi="Courier New" w:cs="Courier New"/>
          <w:sz w:val="24"/>
          <w:szCs w:val="24"/>
        </w:rPr>
        <w:t xml:space="preserve"> of the home.  </w:t>
      </w:r>
      <w:r w:rsidR="007E19CF">
        <w:rPr>
          <w:rFonts w:ascii="Courier New" w:hAnsi="Courier New" w:cs="Courier New"/>
          <w:sz w:val="24"/>
          <w:szCs w:val="24"/>
        </w:rPr>
        <w:t>Similarly, the assessors changed the style of the subject property from a ranch to a contemporary, as that was a more accurate reflection of its style following the addition</w:t>
      </w:r>
      <w:r>
        <w:rPr>
          <w:rFonts w:ascii="Courier New" w:hAnsi="Courier New" w:cs="Courier New"/>
          <w:sz w:val="24"/>
          <w:szCs w:val="24"/>
        </w:rPr>
        <w:t xml:space="preserve">.  </w:t>
      </w:r>
      <w:r w:rsidR="00BD050D">
        <w:rPr>
          <w:rFonts w:ascii="Courier New" w:hAnsi="Courier New" w:cs="Courier New"/>
          <w:sz w:val="24"/>
          <w:szCs w:val="24"/>
        </w:rPr>
        <w:t xml:space="preserve">Lastly, </w:t>
      </w:r>
      <w:r w:rsidR="007E1C99">
        <w:rPr>
          <w:rFonts w:ascii="Courier New" w:hAnsi="Courier New" w:cs="Courier New"/>
          <w:sz w:val="24"/>
          <w:szCs w:val="24"/>
        </w:rPr>
        <w:t>Ms. Brideau explained that the assessor conducting the inspection observed there to be four bedrooms in the subject property, being used as such, and accordingly, she adjusted the property record card to reflect four bedrooms instead of the listed two bedrooms.</w:t>
      </w:r>
    </w:p>
    <w:p w:rsidR="00623F9B" w:rsidRDefault="001B08AC" w:rsidP="00002216">
      <w:pPr>
        <w:spacing w:after="0" w:line="480" w:lineRule="auto"/>
        <w:jc w:val="both"/>
        <w:rPr>
          <w:rFonts w:ascii="Courier New" w:hAnsi="Courier New" w:cs="Courier New"/>
          <w:sz w:val="24"/>
          <w:szCs w:val="24"/>
        </w:rPr>
      </w:pPr>
      <w:r>
        <w:rPr>
          <w:rFonts w:ascii="Courier New" w:hAnsi="Courier New" w:cs="Courier New"/>
          <w:sz w:val="24"/>
          <w:szCs w:val="24"/>
        </w:rPr>
        <w:tab/>
        <w:t>Mr. Rose testified that, although the errors that he brought to the assessors’ attention were corrected on the property record card, he continued to disagree with the assessed value of the subject property.  Specifically, he contended that it was incorrect for the assessors to value the subject property as a four-bedroom home, when, per the deed restriction,</w:t>
      </w:r>
      <w:r w:rsidR="00623F9B">
        <w:rPr>
          <w:rFonts w:ascii="Courier New" w:hAnsi="Courier New" w:cs="Courier New"/>
          <w:sz w:val="24"/>
          <w:szCs w:val="24"/>
        </w:rPr>
        <w:t xml:space="preserve"> it was legally restricted to two bedrooms. </w:t>
      </w:r>
      <w:r w:rsidR="006A5C64">
        <w:rPr>
          <w:rFonts w:ascii="Courier New" w:hAnsi="Courier New" w:cs="Courier New"/>
          <w:sz w:val="24"/>
          <w:szCs w:val="24"/>
        </w:rPr>
        <w:t xml:space="preserve"> It was the appellant’s opinion that this error on the part of the assessors caused the subject property to be overvalued.  The appellant did not offer evid</w:t>
      </w:r>
      <w:r w:rsidR="007E19CF">
        <w:rPr>
          <w:rFonts w:ascii="Courier New" w:hAnsi="Courier New" w:cs="Courier New"/>
          <w:sz w:val="24"/>
          <w:szCs w:val="24"/>
        </w:rPr>
        <w:t xml:space="preserve">ence of comparable market sales or assessment data. </w:t>
      </w:r>
      <w:r w:rsidR="006A5C64">
        <w:rPr>
          <w:rFonts w:ascii="Courier New" w:hAnsi="Courier New" w:cs="Courier New"/>
          <w:sz w:val="24"/>
          <w:szCs w:val="24"/>
        </w:rPr>
        <w:t xml:space="preserve"> </w:t>
      </w:r>
    </w:p>
    <w:p w:rsidR="00137FEC" w:rsidRDefault="00623F9B" w:rsidP="00002216">
      <w:pPr>
        <w:spacing w:after="0" w:line="480" w:lineRule="auto"/>
        <w:jc w:val="both"/>
        <w:rPr>
          <w:rFonts w:ascii="Courier New" w:hAnsi="Courier New" w:cs="Courier New"/>
          <w:sz w:val="24"/>
          <w:szCs w:val="24"/>
        </w:rPr>
      </w:pPr>
      <w:r>
        <w:rPr>
          <w:rFonts w:ascii="Courier New" w:hAnsi="Courier New" w:cs="Courier New"/>
          <w:sz w:val="24"/>
          <w:szCs w:val="24"/>
        </w:rPr>
        <w:tab/>
        <w:t xml:space="preserve">The assessors for their part offered extensive </w:t>
      </w:r>
      <w:r w:rsidR="00137FEC">
        <w:rPr>
          <w:rFonts w:ascii="Courier New" w:hAnsi="Courier New" w:cs="Courier New"/>
          <w:sz w:val="24"/>
          <w:szCs w:val="24"/>
        </w:rPr>
        <w:t>documentary</w:t>
      </w:r>
      <w:r w:rsidR="00933813">
        <w:rPr>
          <w:rFonts w:ascii="Courier New" w:hAnsi="Courier New" w:cs="Courier New"/>
          <w:sz w:val="24"/>
          <w:szCs w:val="24"/>
        </w:rPr>
        <w:t> </w:t>
      </w:r>
      <w:r w:rsidR="00137FEC">
        <w:rPr>
          <w:rFonts w:ascii="Courier New" w:hAnsi="Courier New" w:cs="Courier New"/>
          <w:sz w:val="24"/>
          <w:szCs w:val="24"/>
        </w:rPr>
        <w:t>evidence into the record, a</w:t>
      </w:r>
      <w:r w:rsidR="00971B6B">
        <w:rPr>
          <w:rFonts w:ascii="Courier New" w:hAnsi="Courier New" w:cs="Courier New"/>
          <w:sz w:val="24"/>
          <w:szCs w:val="24"/>
        </w:rPr>
        <w:t>long with the testimony of Ms.</w:t>
      </w:r>
      <w:r w:rsidR="00933813">
        <w:rPr>
          <w:rFonts w:ascii="Courier New" w:hAnsi="Courier New" w:cs="Courier New"/>
          <w:sz w:val="24"/>
          <w:szCs w:val="24"/>
        </w:rPr>
        <w:t> </w:t>
      </w:r>
      <w:r w:rsidR="00137FEC">
        <w:rPr>
          <w:rFonts w:ascii="Courier New" w:hAnsi="Courier New" w:cs="Courier New"/>
          <w:sz w:val="24"/>
          <w:szCs w:val="24"/>
        </w:rPr>
        <w:t xml:space="preserve">Brideau.  Ms. Brideau explained that the valuation methodology used by the assessors does not take into </w:t>
      </w:r>
      <w:r w:rsidR="00137FEC">
        <w:rPr>
          <w:rFonts w:ascii="Courier New" w:hAnsi="Courier New" w:cs="Courier New"/>
          <w:sz w:val="24"/>
          <w:szCs w:val="24"/>
        </w:rPr>
        <w:lastRenderedPageBreak/>
        <w:t xml:space="preserve">consideration bedroom count, but is instead based on a property’s total finished living area. </w:t>
      </w:r>
    </w:p>
    <w:p w:rsidR="00623F9B" w:rsidRDefault="00137FEC" w:rsidP="00002216">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Further, the assessors offered </w:t>
      </w:r>
      <w:r w:rsidR="00623F9B">
        <w:rPr>
          <w:rFonts w:ascii="Courier New" w:hAnsi="Courier New" w:cs="Courier New"/>
          <w:sz w:val="24"/>
          <w:szCs w:val="24"/>
        </w:rPr>
        <w:t xml:space="preserve">evidence of timely, arm’s-length property sales in Wayland during the relevant time period.  </w:t>
      </w:r>
      <w:r w:rsidR="007D789F">
        <w:rPr>
          <w:rFonts w:ascii="Courier New" w:hAnsi="Courier New" w:cs="Courier New"/>
          <w:sz w:val="24"/>
          <w:szCs w:val="24"/>
        </w:rPr>
        <w:t xml:space="preserve">In particular, the assessors introduced </w:t>
      </w:r>
      <w:r w:rsidR="00D150ED">
        <w:rPr>
          <w:rFonts w:ascii="Courier New" w:hAnsi="Courier New" w:cs="Courier New"/>
          <w:sz w:val="24"/>
          <w:szCs w:val="24"/>
        </w:rPr>
        <w:t xml:space="preserve">evidence regarding sales of two properties with the same deed restriction as the subject property, and both of them were listed in the marketing information as three-bedroom homes, with the deed restriction </w:t>
      </w:r>
      <w:r w:rsidR="008F73D1">
        <w:rPr>
          <w:rFonts w:ascii="Courier New" w:hAnsi="Courier New" w:cs="Courier New"/>
          <w:sz w:val="24"/>
          <w:szCs w:val="24"/>
        </w:rPr>
        <w:t xml:space="preserve">listed </w:t>
      </w:r>
      <w:r w:rsidR="00D150ED">
        <w:rPr>
          <w:rFonts w:ascii="Courier New" w:hAnsi="Courier New" w:cs="Courier New"/>
          <w:sz w:val="24"/>
          <w:szCs w:val="24"/>
        </w:rPr>
        <w:t xml:space="preserve">as a disclosure item.  </w:t>
      </w:r>
      <w:r w:rsidR="00E66061">
        <w:rPr>
          <w:rFonts w:ascii="Courier New" w:hAnsi="Courier New" w:cs="Courier New"/>
          <w:sz w:val="24"/>
          <w:szCs w:val="24"/>
        </w:rPr>
        <w:t xml:space="preserve">The first property, </w:t>
      </w:r>
      <w:r w:rsidR="00D150ED">
        <w:rPr>
          <w:rFonts w:ascii="Courier New" w:hAnsi="Courier New" w:cs="Courier New"/>
          <w:sz w:val="24"/>
          <w:szCs w:val="24"/>
        </w:rPr>
        <w:t>Three Chestnut Street in Wayland</w:t>
      </w:r>
      <w:r w:rsidR="00E66061">
        <w:rPr>
          <w:rFonts w:ascii="Courier New" w:hAnsi="Courier New" w:cs="Courier New"/>
          <w:sz w:val="24"/>
          <w:szCs w:val="24"/>
        </w:rPr>
        <w:t>,</w:t>
      </w:r>
      <w:r w:rsidR="00D150ED">
        <w:rPr>
          <w:rFonts w:ascii="Courier New" w:hAnsi="Courier New" w:cs="Courier New"/>
          <w:sz w:val="24"/>
          <w:szCs w:val="24"/>
        </w:rPr>
        <w:t xml:space="preserve"> was a 2,100-square-foot home on a 0.13-acre lot.  It was listed as having three bedrooms, two and</w:t>
      </w:r>
      <w:r w:rsidR="00DB6ADD">
        <w:rPr>
          <w:rFonts w:ascii="Courier New" w:hAnsi="Courier New" w:cs="Courier New"/>
          <w:sz w:val="24"/>
          <w:szCs w:val="24"/>
        </w:rPr>
        <w:t xml:space="preserve"> one-half bathrooms, and </w:t>
      </w:r>
      <w:r w:rsidR="00D150ED">
        <w:rPr>
          <w:rFonts w:ascii="Courier New" w:hAnsi="Courier New" w:cs="Courier New"/>
          <w:sz w:val="24"/>
          <w:szCs w:val="24"/>
        </w:rPr>
        <w:t xml:space="preserve">a one-car garage.  Despite </w:t>
      </w:r>
      <w:r w:rsidR="008F73D1">
        <w:rPr>
          <w:rFonts w:ascii="Courier New" w:hAnsi="Courier New" w:cs="Courier New"/>
          <w:sz w:val="24"/>
          <w:szCs w:val="24"/>
        </w:rPr>
        <w:t xml:space="preserve">having less </w:t>
      </w:r>
      <w:r w:rsidR="00D150ED">
        <w:rPr>
          <w:rFonts w:ascii="Courier New" w:hAnsi="Courier New" w:cs="Courier New"/>
          <w:sz w:val="24"/>
          <w:szCs w:val="24"/>
        </w:rPr>
        <w:t xml:space="preserve">finished living </w:t>
      </w:r>
      <w:r w:rsidR="008F73D1">
        <w:rPr>
          <w:rFonts w:ascii="Courier New" w:hAnsi="Courier New" w:cs="Courier New"/>
          <w:sz w:val="24"/>
          <w:szCs w:val="24"/>
        </w:rPr>
        <w:t>area, a smaller lot size, and two fewer garage bays than the subject p</w:t>
      </w:r>
      <w:r>
        <w:rPr>
          <w:rFonts w:ascii="Courier New" w:hAnsi="Courier New" w:cs="Courier New"/>
          <w:sz w:val="24"/>
          <w:szCs w:val="24"/>
        </w:rPr>
        <w:t>roperty,</w:t>
      </w:r>
      <w:r w:rsidR="000F1D9E">
        <w:rPr>
          <w:rFonts w:ascii="Courier New" w:hAnsi="Courier New" w:cs="Courier New"/>
          <w:sz w:val="24"/>
          <w:szCs w:val="24"/>
        </w:rPr>
        <w:t xml:space="preserve"> </w:t>
      </w:r>
      <w:r w:rsidR="00166632">
        <w:rPr>
          <w:rFonts w:ascii="Courier New" w:hAnsi="Courier New" w:cs="Courier New"/>
          <w:sz w:val="24"/>
          <w:szCs w:val="24"/>
        </w:rPr>
        <w:t xml:space="preserve">that property sold </w:t>
      </w:r>
      <w:r w:rsidR="00D150ED">
        <w:rPr>
          <w:rFonts w:ascii="Courier New" w:hAnsi="Courier New" w:cs="Courier New"/>
          <w:sz w:val="24"/>
          <w:szCs w:val="24"/>
        </w:rPr>
        <w:t>f</w:t>
      </w:r>
      <w:r w:rsidR="00151215">
        <w:rPr>
          <w:rFonts w:ascii="Courier New" w:hAnsi="Courier New" w:cs="Courier New"/>
          <w:sz w:val="24"/>
          <w:szCs w:val="24"/>
        </w:rPr>
        <w:t xml:space="preserve">or </w:t>
      </w:r>
      <w:r w:rsidR="008F73D1">
        <w:rPr>
          <w:rFonts w:ascii="Courier New" w:hAnsi="Courier New" w:cs="Courier New"/>
          <w:sz w:val="24"/>
          <w:szCs w:val="24"/>
        </w:rPr>
        <w:t>$610,000 in December of 2014</w:t>
      </w:r>
      <w:r w:rsidR="00DB6ADD">
        <w:rPr>
          <w:rFonts w:ascii="Courier New" w:hAnsi="Courier New" w:cs="Courier New"/>
          <w:sz w:val="24"/>
          <w:szCs w:val="24"/>
        </w:rPr>
        <w:t xml:space="preserve">, a price that </w:t>
      </w:r>
      <w:r w:rsidR="00151215">
        <w:rPr>
          <w:rFonts w:ascii="Courier New" w:hAnsi="Courier New" w:cs="Courier New"/>
          <w:sz w:val="24"/>
          <w:szCs w:val="24"/>
        </w:rPr>
        <w:t xml:space="preserve">was more than or close to </w:t>
      </w:r>
      <w:r w:rsidR="009B0147">
        <w:rPr>
          <w:rFonts w:ascii="Courier New" w:hAnsi="Courier New" w:cs="Courier New"/>
          <w:sz w:val="24"/>
          <w:szCs w:val="24"/>
        </w:rPr>
        <w:t xml:space="preserve">each of the </w:t>
      </w:r>
      <w:r w:rsidR="00151215">
        <w:rPr>
          <w:rFonts w:ascii="Courier New" w:hAnsi="Courier New" w:cs="Courier New"/>
          <w:sz w:val="24"/>
          <w:szCs w:val="24"/>
        </w:rPr>
        <w:t>assessed values at issue.</w:t>
      </w:r>
      <w:r w:rsidR="006B57D4">
        <w:rPr>
          <w:rFonts w:ascii="Courier New" w:hAnsi="Courier New" w:cs="Courier New"/>
          <w:sz w:val="24"/>
          <w:szCs w:val="24"/>
        </w:rPr>
        <w:t xml:space="preserve">  </w:t>
      </w:r>
      <w:r w:rsidR="00DB6ADD">
        <w:rPr>
          <w:rFonts w:ascii="Courier New" w:hAnsi="Courier New" w:cs="Courier New"/>
          <w:sz w:val="24"/>
          <w:szCs w:val="24"/>
        </w:rPr>
        <w:t xml:space="preserve">The second property, located at </w:t>
      </w:r>
      <w:r w:rsidR="006B57D4">
        <w:rPr>
          <w:rFonts w:ascii="Courier New" w:hAnsi="Courier New" w:cs="Courier New"/>
          <w:sz w:val="24"/>
          <w:szCs w:val="24"/>
        </w:rPr>
        <w:t xml:space="preserve">23 </w:t>
      </w:r>
      <w:r w:rsidR="00DB6ADD">
        <w:rPr>
          <w:rFonts w:ascii="Courier New" w:hAnsi="Courier New" w:cs="Courier New"/>
          <w:sz w:val="24"/>
          <w:szCs w:val="24"/>
        </w:rPr>
        <w:t>Wallace Road, was a 3,383-square-</w:t>
      </w:r>
      <w:r w:rsidR="006B57D4">
        <w:rPr>
          <w:rFonts w:ascii="Courier New" w:hAnsi="Courier New" w:cs="Courier New"/>
          <w:sz w:val="24"/>
          <w:szCs w:val="24"/>
        </w:rPr>
        <w:t>foot</w:t>
      </w:r>
      <w:r w:rsidR="00DB6ADD">
        <w:rPr>
          <w:rFonts w:ascii="Courier New" w:hAnsi="Courier New" w:cs="Courier New"/>
          <w:sz w:val="24"/>
          <w:szCs w:val="24"/>
        </w:rPr>
        <w:t>,</w:t>
      </w:r>
      <w:r w:rsidR="006B57D4">
        <w:rPr>
          <w:rFonts w:ascii="Courier New" w:hAnsi="Courier New" w:cs="Courier New"/>
          <w:sz w:val="24"/>
          <w:szCs w:val="24"/>
        </w:rPr>
        <w:t xml:space="preserve"> contemporary-style dwelling situated on a 0.92-acre lot.  While it was larger in lot size and finished living area than the subject property, it had only two bathrooms in comparison to the subject property’s three bathrooms, and it had no garage.  That property sol</w:t>
      </w:r>
      <w:r w:rsidR="00151215">
        <w:rPr>
          <w:rFonts w:ascii="Courier New" w:hAnsi="Courier New" w:cs="Courier New"/>
          <w:sz w:val="24"/>
          <w:szCs w:val="24"/>
        </w:rPr>
        <w:t xml:space="preserve">d for $630,000 in July of 2014, which was more than each of the assessed values at issue.  </w:t>
      </w:r>
    </w:p>
    <w:p w:rsidR="00137FEC" w:rsidRDefault="009E2FEC" w:rsidP="00002216">
      <w:pPr>
        <w:spacing w:after="0" w:line="480" w:lineRule="auto"/>
        <w:ind w:firstLine="720"/>
        <w:jc w:val="both"/>
        <w:rPr>
          <w:rFonts w:ascii="Courier New" w:hAnsi="Courier New" w:cs="Courier New"/>
          <w:sz w:val="24"/>
          <w:szCs w:val="24"/>
        </w:rPr>
      </w:pPr>
      <w:r>
        <w:rPr>
          <w:rFonts w:ascii="Courier New" w:hAnsi="Courier New" w:cs="Courier New"/>
          <w:sz w:val="24"/>
          <w:szCs w:val="24"/>
        </w:rPr>
        <w:lastRenderedPageBreak/>
        <w:t>The assessors additionally offered a spreadsheet showing 17 sales of contemporary-style homes in Wayland that sol</w:t>
      </w:r>
      <w:r w:rsidR="00AA6F76">
        <w:rPr>
          <w:rFonts w:ascii="Courier New" w:hAnsi="Courier New" w:cs="Courier New"/>
          <w:sz w:val="24"/>
          <w:szCs w:val="24"/>
        </w:rPr>
        <w:t>d between August of 2013 and June</w:t>
      </w:r>
      <w:r>
        <w:rPr>
          <w:rFonts w:ascii="Courier New" w:hAnsi="Courier New" w:cs="Courier New"/>
          <w:sz w:val="24"/>
          <w:szCs w:val="24"/>
        </w:rPr>
        <w:t xml:space="preserve"> of 201</w:t>
      </w:r>
      <w:r w:rsidR="00AA6F76">
        <w:rPr>
          <w:rFonts w:ascii="Courier New" w:hAnsi="Courier New" w:cs="Courier New"/>
          <w:sz w:val="24"/>
          <w:szCs w:val="24"/>
        </w:rPr>
        <w:t xml:space="preserve">6.  </w:t>
      </w:r>
      <w:r w:rsidR="00151215">
        <w:rPr>
          <w:rFonts w:ascii="Courier New" w:hAnsi="Courier New" w:cs="Courier New"/>
          <w:sz w:val="24"/>
          <w:szCs w:val="24"/>
        </w:rPr>
        <w:t xml:space="preserve">The </w:t>
      </w:r>
      <w:r w:rsidR="00DB6ADD">
        <w:rPr>
          <w:rFonts w:ascii="Courier New" w:hAnsi="Courier New" w:cs="Courier New"/>
          <w:sz w:val="24"/>
          <w:szCs w:val="24"/>
        </w:rPr>
        <w:t xml:space="preserve">sale prices of those properties ranged </w:t>
      </w:r>
      <w:r w:rsidR="00AA6F76">
        <w:rPr>
          <w:rFonts w:ascii="Courier New" w:hAnsi="Courier New" w:cs="Courier New"/>
          <w:sz w:val="24"/>
          <w:szCs w:val="24"/>
        </w:rPr>
        <w:t xml:space="preserve">from $450,000 to $1,895,000. Of </w:t>
      </w:r>
      <w:r w:rsidR="00933813">
        <w:rPr>
          <w:rFonts w:ascii="Courier New" w:hAnsi="Courier New" w:cs="Courier New"/>
          <w:sz w:val="24"/>
          <w:szCs w:val="24"/>
        </w:rPr>
        <w:t>those properties</w:t>
      </w:r>
      <w:r w:rsidR="00AA6F76">
        <w:rPr>
          <w:rFonts w:ascii="Courier New" w:hAnsi="Courier New" w:cs="Courier New"/>
          <w:sz w:val="24"/>
          <w:szCs w:val="24"/>
        </w:rPr>
        <w:t xml:space="preserve">, only three </w:t>
      </w:r>
      <w:r>
        <w:rPr>
          <w:rFonts w:ascii="Courier New" w:hAnsi="Courier New" w:cs="Courier New"/>
          <w:sz w:val="24"/>
          <w:szCs w:val="24"/>
        </w:rPr>
        <w:t xml:space="preserve">sold for less than the subject property’s assessed values, even though the subject property was in the middle of the range for size.  </w:t>
      </w:r>
    </w:p>
    <w:p w:rsidR="009E2FEC" w:rsidRDefault="00766912" w:rsidP="00002216">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Lastly, to dispel the notion that the fair market value of the subject property would have been lower than its assessed value for </w:t>
      </w:r>
      <w:r w:rsidR="009B0147">
        <w:rPr>
          <w:rFonts w:ascii="Courier New" w:hAnsi="Courier New" w:cs="Courier New"/>
          <w:sz w:val="24"/>
          <w:szCs w:val="24"/>
        </w:rPr>
        <w:t xml:space="preserve">each of </w:t>
      </w:r>
      <w:r>
        <w:rPr>
          <w:rFonts w:ascii="Courier New" w:hAnsi="Courier New" w:cs="Courier New"/>
          <w:sz w:val="24"/>
          <w:szCs w:val="24"/>
        </w:rPr>
        <w:t xml:space="preserve">the fiscal years at issue if it had been treated as a two-bedroom home, the assessors offered sale and </w:t>
      </w:r>
      <w:r w:rsidR="00AA6F76">
        <w:rPr>
          <w:rFonts w:ascii="Courier New" w:hAnsi="Courier New" w:cs="Courier New"/>
          <w:sz w:val="24"/>
          <w:szCs w:val="24"/>
        </w:rPr>
        <w:t>assessment data for 31</w:t>
      </w:r>
      <w:r>
        <w:rPr>
          <w:rFonts w:ascii="Courier New" w:hAnsi="Courier New" w:cs="Courier New"/>
          <w:sz w:val="24"/>
          <w:szCs w:val="24"/>
        </w:rPr>
        <w:t xml:space="preserve"> two-bedroom homes in Wayland that so</w:t>
      </w:r>
      <w:r w:rsidR="007A2EC0">
        <w:rPr>
          <w:rFonts w:ascii="Courier New" w:hAnsi="Courier New" w:cs="Courier New"/>
          <w:sz w:val="24"/>
          <w:szCs w:val="24"/>
        </w:rPr>
        <w:t>ld between August of 2013 and June</w:t>
      </w:r>
      <w:r>
        <w:rPr>
          <w:rFonts w:ascii="Courier New" w:hAnsi="Courier New" w:cs="Courier New"/>
          <w:sz w:val="24"/>
          <w:szCs w:val="24"/>
        </w:rPr>
        <w:t xml:space="preserve"> of 2016.  The sale prices of those properties r</w:t>
      </w:r>
      <w:r w:rsidR="00C877EA">
        <w:rPr>
          <w:rFonts w:ascii="Courier New" w:hAnsi="Courier New" w:cs="Courier New"/>
          <w:sz w:val="24"/>
          <w:szCs w:val="24"/>
        </w:rPr>
        <w:t>anged from $200,000 to $849,000;</w:t>
      </w:r>
      <w:r>
        <w:rPr>
          <w:rFonts w:ascii="Courier New" w:hAnsi="Courier New" w:cs="Courier New"/>
          <w:sz w:val="24"/>
          <w:szCs w:val="24"/>
        </w:rPr>
        <w:t xml:space="preserve"> however, among those properties, only a single home had more finished living area than the subject property.  The four properties closest to the subject property in finished living area had</w:t>
      </w:r>
      <w:r w:rsidR="00DB6ADD">
        <w:rPr>
          <w:rFonts w:ascii="Courier New" w:hAnsi="Courier New" w:cs="Courier New"/>
          <w:sz w:val="24"/>
          <w:szCs w:val="24"/>
        </w:rPr>
        <w:t xml:space="preserve"> between 1,829 and 2,831 square </w:t>
      </w:r>
      <w:r>
        <w:rPr>
          <w:rFonts w:ascii="Courier New" w:hAnsi="Courier New" w:cs="Courier New"/>
          <w:sz w:val="24"/>
          <w:szCs w:val="24"/>
        </w:rPr>
        <w:t xml:space="preserve">feet of living area, and they sold for between $553,000 to $849,000, with an average sale price of $725,750.  </w:t>
      </w:r>
    </w:p>
    <w:p w:rsidR="00766912" w:rsidRDefault="00766912" w:rsidP="00002216">
      <w:pPr>
        <w:spacing w:after="0" w:line="480" w:lineRule="auto"/>
        <w:ind w:firstLine="720"/>
        <w:jc w:val="both"/>
        <w:rPr>
          <w:rFonts w:ascii="Courier New" w:hAnsi="Courier New" w:cs="Courier New"/>
          <w:sz w:val="24"/>
          <w:szCs w:val="24"/>
        </w:rPr>
      </w:pPr>
      <w:r>
        <w:rPr>
          <w:rFonts w:ascii="Courier New" w:hAnsi="Courier New" w:cs="Courier New"/>
          <w:sz w:val="24"/>
          <w:szCs w:val="24"/>
        </w:rPr>
        <w:t xml:space="preserve">Based on </w:t>
      </w:r>
      <w:r w:rsidR="004F7457">
        <w:rPr>
          <w:rFonts w:ascii="Courier New" w:hAnsi="Courier New" w:cs="Courier New"/>
          <w:sz w:val="24"/>
          <w:szCs w:val="24"/>
        </w:rPr>
        <w:t>all of the evidence</w:t>
      </w:r>
      <w:r>
        <w:rPr>
          <w:rFonts w:ascii="Courier New" w:hAnsi="Courier New" w:cs="Courier New"/>
          <w:sz w:val="24"/>
          <w:szCs w:val="24"/>
        </w:rPr>
        <w:t xml:space="preserve">, the Board found that the appellant failed to meet his burden of proving that the subject property’s assessed value exceeded its fair market value for </w:t>
      </w:r>
      <w:r w:rsidR="00C66045">
        <w:rPr>
          <w:rFonts w:ascii="Courier New" w:hAnsi="Courier New" w:cs="Courier New"/>
          <w:sz w:val="24"/>
          <w:szCs w:val="24"/>
        </w:rPr>
        <w:t xml:space="preserve">each of </w:t>
      </w:r>
      <w:r>
        <w:rPr>
          <w:rFonts w:ascii="Courier New" w:hAnsi="Courier New" w:cs="Courier New"/>
          <w:sz w:val="24"/>
          <w:szCs w:val="24"/>
        </w:rPr>
        <w:t xml:space="preserve">the fiscal years at issue. </w:t>
      </w:r>
      <w:r w:rsidR="003C35DF">
        <w:rPr>
          <w:rFonts w:ascii="Courier New" w:hAnsi="Courier New" w:cs="Courier New"/>
          <w:sz w:val="24"/>
          <w:szCs w:val="24"/>
        </w:rPr>
        <w:t xml:space="preserve">The relevant inquiry here was </w:t>
      </w:r>
      <w:r w:rsidR="003C35DF">
        <w:rPr>
          <w:rFonts w:ascii="Courier New" w:hAnsi="Courier New" w:cs="Courier New"/>
          <w:sz w:val="24"/>
          <w:szCs w:val="24"/>
        </w:rPr>
        <w:lastRenderedPageBreak/>
        <w:t xml:space="preserve">not how many bedrooms the subject property had, but what price it could have fetched in an arm’s-length transaction.  </w:t>
      </w:r>
      <w:r w:rsidR="00B41159">
        <w:rPr>
          <w:rFonts w:ascii="Courier New" w:hAnsi="Courier New" w:cs="Courier New"/>
          <w:sz w:val="24"/>
          <w:szCs w:val="24"/>
        </w:rPr>
        <w:t xml:space="preserve">To that end, the Board found that while the appellant offered no evidence of timely, comparable market sales, the assessors offered substantial and persuasive evidence of fair cash value that provided solid support for the assessments at issue.  </w:t>
      </w:r>
      <w:r w:rsidR="00AC4661">
        <w:rPr>
          <w:rFonts w:ascii="Courier New" w:hAnsi="Courier New" w:cs="Courier New"/>
          <w:sz w:val="24"/>
          <w:szCs w:val="24"/>
        </w:rPr>
        <w:t>After cred</w:t>
      </w:r>
      <w:r w:rsidR="004F7457">
        <w:rPr>
          <w:rFonts w:ascii="Courier New" w:hAnsi="Courier New" w:cs="Courier New"/>
          <w:sz w:val="24"/>
          <w:szCs w:val="24"/>
        </w:rPr>
        <w:t xml:space="preserve">iting that evidence, as well as </w:t>
      </w:r>
      <w:r w:rsidR="00AC4661">
        <w:rPr>
          <w:rFonts w:ascii="Courier New" w:hAnsi="Courier New" w:cs="Courier New"/>
          <w:sz w:val="24"/>
          <w:szCs w:val="24"/>
        </w:rPr>
        <w:t>the presumptive validity of the assessment</w:t>
      </w:r>
      <w:r w:rsidR="009B0147">
        <w:rPr>
          <w:rFonts w:ascii="Courier New" w:hAnsi="Courier New" w:cs="Courier New"/>
          <w:sz w:val="24"/>
          <w:szCs w:val="24"/>
        </w:rPr>
        <w:t>s</w:t>
      </w:r>
      <w:r w:rsidR="00AC4661">
        <w:rPr>
          <w:rFonts w:ascii="Courier New" w:hAnsi="Courier New" w:cs="Courier New"/>
          <w:sz w:val="24"/>
          <w:szCs w:val="24"/>
        </w:rPr>
        <w:t>, the Board found that the appellant failed to meet his burden of demonstrating overvaluation.  Accordingly, the Board issued decisions for the appellee in these appeals.</w:t>
      </w:r>
    </w:p>
    <w:p w:rsidR="00002216" w:rsidRDefault="00002216" w:rsidP="00002216">
      <w:pPr>
        <w:spacing w:after="0" w:line="480" w:lineRule="auto"/>
        <w:ind w:firstLine="720"/>
        <w:jc w:val="both"/>
        <w:rPr>
          <w:rFonts w:ascii="Courier New" w:hAnsi="Courier New" w:cs="Courier New"/>
          <w:sz w:val="24"/>
          <w:szCs w:val="24"/>
        </w:rPr>
      </w:pPr>
    </w:p>
    <w:p w:rsidR="00AC4661" w:rsidRPr="009669F6" w:rsidRDefault="009669F6" w:rsidP="009B0147">
      <w:pPr>
        <w:spacing w:after="0" w:line="480" w:lineRule="auto"/>
        <w:jc w:val="center"/>
        <w:rPr>
          <w:rFonts w:ascii="Courier New" w:hAnsi="Courier New" w:cs="Courier New"/>
          <w:b/>
          <w:sz w:val="24"/>
          <w:szCs w:val="24"/>
        </w:rPr>
      </w:pPr>
      <w:r w:rsidRPr="009669F6">
        <w:rPr>
          <w:rFonts w:ascii="Courier New" w:hAnsi="Courier New" w:cs="Courier New"/>
          <w:b/>
          <w:sz w:val="24"/>
          <w:szCs w:val="24"/>
        </w:rPr>
        <w:t>OPINION</w:t>
      </w:r>
    </w:p>
    <w:p w:rsidR="006C0EF6" w:rsidRPr="00D94EC4" w:rsidRDefault="007E1C99" w:rsidP="00002216">
      <w:pPr>
        <w:spacing w:after="0" w:line="480" w:lineRule="auto"/>
        <w:jc w:val="both"/>
        <w:rPr>
          <w:rFonts w:ascii="Courier New" w:hAnsi="Courier New" w:cs="Courier New"/>
          <w:sz w:val="24"/>
          <w:szCs w:val="24"/>
        </w:rPr>
      </w:pPr>
      <w:r>
        <w:rPr>
          <w:rFonts w:ascii="Courier New" w:hAnsi="Courier New" w:cs="Courier New"/>
          <w:sz w:val="24"/>
          <w:szCs w:val="24"/>
        </w:rPr>
        <w:tab/>
      </w:r>
      <w:r w:rsidR="006C0EF6" w:rsidRPr="00D94EC4">
        <w:rPr>
          <w:rFonts w:ascii="Courier New" w:hAnsi="Courier New" w:cs="Courier New"/>
          <w:sz w:val="24"/>
          <w:szCs w:val="24"/>
        </w:rPr>
        <w:t xml:space="preserve">Assessors must assess real estate at its fair cash value as of the first day of January of the year preceding the fiscal year at issue.  G.L. c. 59, §§ 11 and 38. Fair cash value is the price upon which a willing buyer and a willing seller would agree if both are fully informed and neither is under compulsion. </w:t>
      </w:r>
      <w:r w:rsidR="006C0EF6" w:rsidRPr="00D94EC4">
        <w:rPr>
          <w:rFonts w:ascii="Courier New" w:hAnsi="Courier New" w:cs="Courier New"/>
          <w:b/>
          <w:i/>
          <w:sz w:val="24"/>
          <w:szCs w:val="24"/>
        </w:rPr>
        <w:t>Boston Gas Co. v. Assessors of Boston</w:t>
      </w:r>
      <w:r w:rsidR="006C0EF6" w:rsidRPr="00D94EC4">
        <w:rPr>
          <w:rFonts w:ascii="Courier New" w:hAnsi="Courier New" w:cs="Courier New"/>
          <w:b/>
          <w:sz w:val="24"/>
          <w:szCs w:val="24"/>
        </w:rPr>
        <w:t>,</w:t>
      </w:r>
      <w:r w:rsidR="006C0EF6" w:rsidRPr="00D94EC4">
        <w:rPr>
          <w:rFonts w:ascii="Courier New" w:hAnsi="Courier New" w:cs="Courier New"/>
          <w:sz w:val="24"/>
          <w:szCs w:val="24"/>
        </w:rPr>
        <w:t xml:space="preserve"> 334 Mass. 549, 566 (1956).</w:t>
      </w:r>
    </w:p>
    <w:p w:rsidR="006C0EF6" w:rsidRDefault="006C0EF6" w:rsidP="00002216">
      <w:pPr>
        <w:spacing w:after="0" w:line="480" w:lineRule="auto"/>
        <w:ind w:firstLine="720"/>
        <w:jc w:val="both"/>
        <w:rPr>
          <w:rFonts w:ascii="Courier New" w:hAnsi="Courier New" w:cs="Courier New"/>
          <w:sz w:val="24"/>
          <w:szCs w:val="24"/>
        </w:rPr>
      </w:pPr>
      <w:r w:rsidRPr="00D94EC4">
        <w:rPr>
          <w:rFonts w:ascii="Courier New" w:hAnsi="Courier New" w:cs="Courier New"/>
          <w:sz w:val="24"/>
          <w:szCs w:val="24"/>
        </w:rPr>
        <w:t xml:space="preserve">The burden of proof is on a taxpayer to make out a right to an abatement. </w:t>
      </w:r>
      <w:r w:rsidRPr="00D94EC4">
        <w:rPr>
          <w:rFonts w:ascii="Courier New" w:hAnsi="Courier New" w:cs="Courier New"/>
          <w:b/>
          <w:i/>
          <w:sz w:val="24"/>
          <w:szCs w:val="24"/>
        </w:rPr>
        <w:t>Schlaiker v. Assessors of Great Barrington</w:t>
      </w:r>
      <w:r w:rsidRPr="00D94EC4">
        <w:rPr>
          <w:rFonts w:ascii="Courier New" w:hAnsi="Courier New" w:cs="Courier New"/>
          <w:b/>
          <w:sz w:val="24"/>
          <w:szCs w:val="24"/>
        </w:rPr>
        <w:t xml:space="preserve">, </w:t>
      </w:r>
      <w:r w:rsidRPr="00D94EC4">
        <w:rPr>
          <w:rFonts w:ascii="Courier New" w:hAnsi="Courier New" w:cs="Courier New"/>
          <w:sz w:val="24"/>
          <w:szCs w:val="24"/>
        </w:rPr>
        <w:t>365 Mass. 243, 245 (1974). A taxpayer may sustain this burden by</w:t>
      </w:r>
      <w:r w:rsidR="00933813">
        <w:rPr>
          <w:rFonts w:ascii="Courier New" w:hAnsi="Courier New" w:cs="Courier New"/>
          <w:sz w:val="24"/>
          <w:szCs w:val="24"/>
        </w:rPr>
        <w:t> </w:t>
      </w:r>
      <w:r w:rsidRPr="00D94EC4">
        <w:rPr>
          <w:rFonts w:ascii="Courier New" w:hAnsi="Courier New" w:cs="Courier New"/>
          <w:sz w:val="24"/>
          <w:szCs w:val="24"/>
        </w:rPr>
        <w:t xml:space="preserve"> introducing affirmative evidence of fair cash value, or by proving that the assessors erred in their method of valuation.  </w:t>
      </w:r>
      <w:r w:rsidRPr="00D94EC4">
        <w:rPr>
          <w:rFonts w:ascii="Courier New" w:hAnsi="Courier New" w:cs="Courier New"/>
          <w:b/>
          <w:i/>
          <w:sz w:val="24"/>
          <w:szCs w:val="24"/>
        </w:rPr>
        <w:lastRenderedPageBreak/>
        <w:t>General Electric Co. v. Assessors of Lynn</w:t>
      </w:r>
      <w:r w:rsidRPr="00D94EC4">
        <w:rPr>
          <w:rFonts w:ascii="Courier New" w:hAnsi="Courier New" w:cs="Courier New"/>
          <w:b/>
          <w:sz w:val="24"/>
          <w:szCs w:val="24"/>
        </w:rPr>
        <w:t>,</w:t>
      </w:r>
      <w:r w:rsidRPr="00D94EC4">
        <w:rPr>
          <w:rFonts w:ascii="Courier New" w:hAnsi="Courier New" w:cs="Courier New"/>
          <w:sz w:val="24"/>
          <w:szCs w:val="24"/>
        </w:rPr>
        <w:t xml:space="preserve"> 393 Mass. 591, 600 (1984). </w:t>
      </w:r>
      <w:r w:rsidR="00EB3995">
        <w:rPr>
          <w:rFonts w:ascii="Courier New" w:hAnsi="Courier New" w:cs="Courier New"/>
          <w:sz w:val="24"/>
          <w:szCs w:val="24"/>
        </w:rPr>
        <w:t>A</w:t>
      </w:r>
      <w:r w:rsidRPr="00D94EC4">
        <w:rPr>
          <w:rFonts w:ascii="Courier New" w:hAnsi="Courier New" w:cs="Courier New"/>
          <w:sz w:val="24"/>
          <w:szCs w:val="24"/>
        </w:rPr>
        <w:t xml:space="preserve">n assessment is presumed to be valid unless the taxpayer is able to sustain </w:t>
      </w:r>
      <w:r w:rsidR="00AD2FDE">
        <w:rPr>
          <w:rFonts w:ascii="Courier New" w:hAnsi="Courier New" w:cs="Courier New"/>
          <w:sz w:val="24"/>
          <w:szCs w:val="24"/>
        </w:rPr>
        <w:t>its</w:t>
      </w:r>
      <w:r w:rsidRPr="00D94EC4">
        <w:rPr>
          <w:rFonts w:ascii="Courier New" w:hAnsi="Courier New" w:cs="Courier New"/>
          <w:sz w:val="24"/>
          <w:szCs w:val="24"/>
        </w:rPr>
        <w:t xml:space="preserve"> burden of proving otherwise. </w:t>
      </w:r>
      <w:r w:rsidRPr="00D94EC4">
        <w:rPr>
          <w:rFonts w:ascii="Courier New" w:hAnsi="Courier New" w:cs="Courier New"/>
          <w:b/>
          <w:i/>
          <w:sz w:val="24"/>
          <w:szCs w:val="24"/>
        </w:rPr>
        <w:t>Schlaiker</w:t>
      </w:r>
      <w:r w:rsidRPr="00D94EC4">
        <w:rPr>
          <w:rFonts w:ascii="Courier New" w:hAnsi="Courier New" w:cs="Courier New"/>
          <w:b/>
          <w:sz w:val="24"/>
          <w:szCs w:val="24"/>
        </w:rPr>
        <w:t xml:space="preserve">, </w:t>
      </w:r>
      <w:r w:rsidRPr="00D94EC4">
        <w:rPr>
          <w:rFonts w:ascii="Courier New" w:hAnsi="Courier New" w:cs="Courier New"/>
          <w:sz w:val="24"/>
          <w:szCs w:val="24"/>
        </w:rPr>
        <w:t>365 Mass. at 245</w:t>
      </w:r>
      <w:r w:rsidRPr="00D94EC4">
        <w:rPr>
          <w:rFonts w:ascii="Courier New" w:hAnsi="Courier New" w:cs="Courier New"/>
          <w:b/>
          <w:i/>
          <w:sz w:val="24"/>
          <w:szCs w:val="24"/>
        </w:rPr>
        <w:t>.</w:t>
      </w:r>
      <w:r w:rsidRPr="00D94EC4">
        <w:rPr>
          <w:rFonts w:ascii="Courier New" w:hAnsi="Courier New" w:cs="Courier New"/>
          <w:sz w:val="24"/>
          <w:szCs w:val="24"/>
        </w:rPr>
        <w:t xml:space="preserve">  </w:t>
      </w:r>
    </w:p>
    <w:p w:rsidR="007D4AB7" w:rsidRDefault="00805FC5" w:rsidP="00002216">
      <w:pPr>
        <w:spacing w:after="0" w:line="480" w:lineRule="auto"/>
        <w:ind w:firstLine="720"/>
        <w:jc w:val="both"/>
        <w:rPr>
          <w:rFonts w:ascii="Courier New" w:eastAsia="Times New Roman" w:hAnsi="Courier New" w:cs="Courier New"/>
          <w:sz w:val="24"/>
          <w:szCs w:val="24"/>
        </w:rPr>
      </w:pPr>
      <w:r w:rsidRPr="00805FC5">
        <w:rPr>
          <w:rFonts w:ascii="Courier New" w:eastAsia="Times New Roman" w:hAnsi="Courier New" w:cs="Courier New"/>
          <w:sz w:val="24"/>
          <w:szCs w:val="24"/>
        </w:rPr>
        <w:t xml:space="preserve">A taxpayer “does not conclusively establish a right to an abatement merely by showing that his </w:t>
      </w:r>
      <w:r w:rsidRPr="00805FC5">
        <w:rPr>
          <w:rFonts w:ascii="Courier New" w:eastAsia="Times New Roman" w:hAnsi="Courier New" w:cs="Courier New"/>
          <w:bCs/>
          <w:sz w:val="24"/>
          <w:szCs w:val="24"/>
        </w:rPr>
        <w:t>land or building is overvalued</w:t>
      </w:r>
      <w:r w:rsidRPr="00805FC5">
        <w:rPr>
          <w:rFonts w:ascii="Courier New" w:eastAsia="Times New Roman" w:hAnsi="Courier New" w:cs="Courier New"/>
          <w:b/>
          <w:bCs/>
          <w:sz w:val="24"/>
          <w:szCs w:val="24"/>
        </w:rPr>
        <w:t>.  ‘</w:t>
      </w:r>
      <w:r w:rsidRPr="00805FC5">
        <w:rPr>
          <w:rFonts w:ascii="Courier New" w:eastAsia="Times New Roman" w:hAnsi="Courier New" w:cs="Courier New"/>
          <w:sz w:val="24"/>
          <w:szCs w:val="24"/>
        </w:rPr>
        <w:t>The tax on a parcel of land and the building thereon is one tax . . . although for statistical purposes they may be valued separately.</w:t>
      </w:r>
      <w:r w:rsidR="00AD2FDE">
        <w:rPr>
          <w:rFonts w:ascii="Courier New" w:eastAsia="Times New Roman" w:hAnsi="Courier New" w:cs="Courier New"/>
          <w:sz w:val="24"/>
          <w:szCs w:val="24"/>
        </w:rPr>
        <w:t>’”</w:t>
      </w:r>
      <w:r w:rsidRPr="00805FC5">
        <w:rPr>
          <w:rFonts w:ascii="Courier New" w:eastAsia="Times New Roman" w:hAnsi="Courier New" w:cs="Courier New"/>
          <w:sz w:val="24"/>
          <w:szCs w:val="24"/>
        </w:rPr>
        <w:t xml:space="preserve">  </w:t>
      </w:r>
      <w:r w:rsidRPr="00805FC5">
        <w:rPr>
          <w:rFonts w:ascii="Courier New" w:eastAsia="Times New Roman" w:hAnsi="Courier New" w:cs="Courier New"/>
          <w:b/>
          <w:i/>
          <w:sz w:val="24"/>
          <w:szCs w:val="24"/>
        </w:rPr>
        <w:t>Hinds v. Assessors of Manchester-by-the-Sea</w:t>
      </w:r>
      <w:r w:rsidRPr="00805FC5">
        <w:rPr>
          <w:rFonts w:ascii="Courier New" w:eastAsia="Times New Roman" w:hAnsi="Courier New" w:cs="Courier New"/>
          <w:sz w:val="24"/>
          <w:szCs w:val="24"/>
        </w:rPr>
        <w:t xml:space="preserve">, Mass. ATB Findings of Fact and Reports 2006-771, 778 (quoting </w:t>
      </w:r>
      <w:r w:rsidRPr="00805FC5">
        <w:rPr>
          <w:rFonts w:ascii="Courier New" w:eastAsia="Times New Roman" w:hAnsi="Courier New" w:cs="Courier New"/>
          <w:b/>
          <w:i/>
          <w:sz w:val="24"/>
          <w:szCs w:val="24"/>
        </w:rPr>
        <w:t xml:space="preserve">Assessors of Brookline v. Prudential Insurance Co., </w:t>
      </w:r>
      <w:r w:rsidRPr="00805FC5">
        <w:rPr>
          <w:rFonts w:ascii="Courier New" w:eastAsia="Times New Roman" w:hAnsi="Courier New" w:cs="Courier New"/>
          <w:sz w:val="24"/>
          <w:szCs w:val="24"/>
        </w:rPr>
        <w:t>310</w:t>
      </w:r>
      <w:r w:rsidR="00933813">
        <w:rPr>
          <w:rFonts w:ascii="Courier New" w:eastAsia="Times New Roman" w:hAnsi="Courier New" w:cs="Courier New"/>
          <w:sz w:val="24"/>
          <w:szCs w:val="24"/>
        </w:rPr>
        <w:t> </w:t>
      </w:r>
      <w:r w:rsidRPr="00805FC5">
        <w:rPr>
          <w:rFonts w:ascii="Courier New" w:eastAsia="Times New Roman" w:hAnsi="Courier New" w:cs="Courier New"/>
          <w:sz w:val="24"/>
          <w:szCs w:val="24"/>
        </w:rPr>
        <w:t xml:space="preserve">Mass. 300, 317 (1941)).  In abatement proceedings, </w:t>
      </w:r>
      <w:r w:rsidR="00AD2FDE">
        <w:rPr>
          <w:rFonts w:ascii="Courier New" w:eastAsia="Times New Roman" w:hAnsi="Courier New" w:cs="Courier New"/>
          <w:sz w:val="24"/>
          <w:szCs w:val="24"/>
        </w:rPr>
        <w:t>“</w:t>
      </w:r>
      <w:r w:rsidRPr="00805FC5">
        <w:rPr>
          <w:rFonts w:ascii="Courier New" w:eastAsia="Times New Roman" w:hAnsi="Courier New" w:cs="Courier New"/>
          <w:sz w:val="24"/>
          <w:szCs w:val="24"/>
        </w:rPr>
        <w:t>the question is whether the assessment for the parcel of real estate, including both the land and the structures thereon, is excessive. The component parts, on which that single assessment is laid, are each open to inquiry and revision by the appellate tribunal in reaching the conclusion whether that single assessment is excessive.</w:t>
      </w:r>
      <w:r w:rsidR="00AD2FDE">
        <w:rPr>
          <w:rFonts w:ascii="Courier New" w:eastAsia="Times New Roman" w:hAnsi="Courier New" w:cs="Courier New"/>
          <w:sz w:val="24"/>
          <w:szCs w:val="24"/>
        </w:rPr>
        <w:t>”</w:t>
      </w:r>
      <w:r w:rsidRPr="00805FC5">
        <w:rPr>
          <w:rFonts w:ascii="Courier New" w:eastAsia="Times New Roman" w:hAnsi="Courier New" w:cs="Courier New"/>
          <w:sz w:val="24"/>
          <w:szCs w:val="24"/>
        </w:rPr>
        <w:t xml:space="preserve">  </w:t>
      </w:r>
      <w:r w:rsidRPr="00805FC5">
        <w:rPr>
          <w:rFonts w:ascii="Courier New" w:eastAsia="Times New Roman" w:hAnsi="Courier New" w:cs="Courier New"/>
          <w:b/>
          <w:i/>
          <w:sz w:val="24"/>
          <w:szCs w:val="24"/>
        </w:rPr>
        <w:t xml:space="preserve">Massachusetts General Hospital v. Belmont, </w:t>
      </w:r>
      <w:r w:rsidRPr="00805FC5">
        <w:rPr>
          <w:rFonts w:ascii="Courier New" w:eastAsia="Times New Roman" w:hAnsi="Courier New" w:cs="Courier New"/>
          <w:sz w:val="24"/>
          <w:szCs w:val="24"/>
        </w:rPr>
        <w:t xml:space="preserve">238 Mass. 396, 403 (1921); </w:t>
      </w:r>
      <w:r w:rsidRPr="00805FC5">
        <w:rPr>
          <w:rFonts w:ascii="Courier New" w:eastAsia="Times New Roman" w:hAnsi="Courier New" w:cs="Courier New"/>
          <w:i/>
          <w:iCs/>
          <w:sz w:val="24"/>
          <w:szCs w:val="24"/>
        </w:rPr>
        <w:t xml:space="preserve">see also </w:t>
      </w:r>
      <w:r w:rsidRPr="00805FC5">
        <w:rPr>
          <w:rFonts w:ascii="Courier New" w:eastAsia="Times New Roman" w:hAnsi="Courier New" w:cs="Courier New"/>
          <w:b/>
          <w:bCs/>
          <w:i/>
          <w:iCs/>
          <w:sz w:val="24"/>
          <w:szCs w:val="24"/>
        </w:rPr>
        <w:t>Buckley v. Assessors of Duxbury,</w:t>
      </w:r>
      <w:r w:rsidRPr="00805FC5">
        <w:rPr>
          <w:rFonts w:ascii="Courier New" w:eastAsia="Times New Roman" w:hAnsi="Courier New" w:cs="Courier New"/>
          <w:sz w:val="24"/>
          <w:szCs w:val="24"/>
        </w:rPr>
        <w:t xml:space="preserve"> Mass. ATB Findings of Fact and Reports 1990-110, 119; </w:t>
      </w:r>
      <w:r w:rsidRPr="00805FC5">
        <w:rPr>
          <w:rFonts w:ascii="Courier New" w:eastAsia="Times New Roman" w:hAnsi="Courier New" w:cs="Courier New"/>
          <w:b/>
          <w:bCs/>
          <w:i/>
          <w:iCs/>
          <w:sz w:val="24"/>
          <w:szCs w:val="24"/>
        </w:rPr>
        <w:t>Jernegan v. Assessors of Duxbury,</w:t>
      </w:r>
      <w:r w:rsidRPr="00805FC5">
        <w:rPr>
          <w:rFonts w:ascii="Courier New" w:eastAsia="Times New Roman" w:hAnsi="Courier New" w:cs="Courier New"/>
          <w:sz w:val="24"/>
          <w:szCs w:val="24"/>
        </w:rPr>
        <w:t xml:space="preserve"> Mass. ATB Findings of Fact and Reports 1990-39, 49.</w:t>
      </w:r>
    </w:p>
    <w:p w:rsidR="000F7746" w:rsidRDefault="000F7746" w:rsidP="00002216">
      <w:pPr>
        <w:spacing w:after="0" w:line="480" w:lineRule="auto"/>
        <w:ind w:firstLine="720"/>
        <w:jc w:val="both"/>
        <w:rPr>
          <w:rFonts w:ascii="Courier New" w:hAnsi="Courier New" w:cs="Courier New"/>
          <w:sz w:val="24"/>
          <w:szCs w:val="24"/>
        </w:rPr>
      </w:pPr>
      <w:r w:rsidRPr="009F6AA9">
        <w:rPr>
          <w:rFonts w:ascii="Courier New" w:hAnsi="Courier New" w:cs="Courier New"/>
          <w:sz w:val="24"/>
          <w:szCs w:val="24"/>
        </w:rPr>
        <w:t xml:space="preserve">The fair cash value of property may be determined by recent sales of comparable properties in the market.  Actual sales </w:t>
      </w:r>
      <w:r w:rsidRPr="009F6AA9">
        <w:rPr>
          <w:rFonts w:ascii="Courier New" w:hAnsi="Courier New" w:cs="Courier New"/>
          <w:sz w:val="24"/>
          <w:szCs w:val="24"/>
        </w:rPr>
        <w:lastRenderedPageBreak/>
        <w:t xml:space="preserve">generally “furnish strong evidence of market value, provided they are arm’s-length transactions and thus fairly represent what a buyer has been willing to pay for the property to a willing seller.”  </w:t>
      </w:r>
      <w:r w:rsidRPr="009F6AA9">
        <w:rPr>
          <w:rFonts w:ascii="Courier New" w:hAnsi="Courier New" w:cs="Courier New"/>
          <w:b/>
          <w:bCs/>
          <w:i/>
          <w:iCs/>
          <w:sz w:val="24"/>
          <w:szCs w:val="24"/>
        </w:rPr>
        <w:t>Foxboro Associates v. Assessors of Foxborough</w:t>
      </w:r>
      <w:r w:rsidRPr="009F6AA9">
        <w:rPr>
          <w:rFonts w:ascii="Courier New" w:hAnsi="Courier New" w:cs="Courier New"/>
          <w:sz w:val="24"/>
          <w:szCs w:val="24"/>
        </w:rPr>
        <w:t xml:space="preserve">, 385 Mass. 679, 682 (1982); </w:t>
      </w:r>
      <w:r w:rsidRPr="009F6AA9">
        <w:rPr>
          <w:rFonts w:ascii="Courier New" w:hAnsi="Courier New" w:cs="Courier New"/>
          <w:b/>
          <w:bCs/>
          <w:i/>
          <w:iCs/>
          <w:sz w:val="24"/>
          <w:szCs w:val="24"/>
        </w:rPr>
        <w:t>New Boston Garden Corp. v. Assessors of Boston</w:t>
      </w:r>
      <w:r w:rsidRPr="009F6AA9">
        <w:rPr>
          <w:rFonts w:ascii="Courier New" w:hAnsi="Courier New" w:cs="Courier New"/>
          <w:sz w:val="24"/>
          <w:szCs w:val="24"/>
        </w:rPr>
        <w:t xml:space="preserve">, 383 Mass. 456, 469 (1981); </w:t>
      </w:r>
      <w:r w:rsidRPr="009F6AA9">
        <w:rPr>
          <w:rFonts w:ascii="Courier New" w:hAnsi="Courier New" w:cs="Courier New"/>
          <w:b/>
          <w:bCs/>
          <w:i/>
          <w:iCs/>
          <w:sz w:val="24"/>
          <w:szCs w:val="24"/>
        </w:rPr>
        <w:t>First National Stores, Inc. v. Assessors of Somerville</w:t>
      </w:r>
      <w:r w:rsidRPr="009F6AA9">
        <w:rPr>
          <w:rFonts w:ascii="Courier New" w:hAnsi="Courier New" w:cs="Courier New"/>
          <w:sz w:val="24"/>
          <w:szCs w:val="24"/>
        </w:rPr>
        <w:t>, 358 Mass. 554, 560 (1971).</w:t>
      </w:r>
    </w:p>
    <w:p w:rsidR="000F006F" w:rsidRDefault="007D4AB7" w:rsidP="00002216">
      <w:pPr>
        <w:spacing w:after="0" w:line="480" w:lineRule="auto"/>
        <w:ind w:firstLine="720"/>
        <w:jc w:val="both"/>
        <w:rPr>
          <w:rFonts w:ascii="Courier New" w:hAnsi="Courier New" w:cs="Courier New"/>
          <w:sz w:val="24"/>
          <w:szCs w:val="24"/>
        </w:rPr>
      </w:pPr>
      <w:r>
        <w:rPr>
          <w:rFonts w:ascii="Courier New" w:hAnsi="Courier New" w:cs="Courier New"/>
          <w:sz w:val="24"/>
          <w:szCs w:val="24"/>
        </w:rPr>
        <w:t>In the present appeals, the appellant offered no affirmative evidence of market value to demonstrate that the subject property was overvalued.  Rather, he focused on what he alleged to be an error on the part of the assessors: considering the subject property to be a four-bedroom dwelling when legally, per the deed restriction, it could only be a two-bedroom home.  The Board found the appellant’s evidence to be la</w:t>
      </w:r>
      <w:r w:rsidR="00F900FF">
        <w:rPr>
          <w:rFonts w:ascii="Courier New" w:hAnsi="Courier New" w:cs="Courier New"/>
          <w:sz w:val="24"/>
          <w:szCs w:val="24"/>
        </w:rPr>
        <w:t>cking.  Even assuming arguendo that the subject property must be valued as a two-bedroom home, there was nothing in the record to suggest that it would not sell</w:t>
      </w:r>
      <w:r w:rsidR="000F006F">
        <w:rPr>
          <w:rFonts w:ascii="Courier New" w:hAnsi="Courier New" w:cs="Courier New"/>
          <w:sz w:val="24"/>
          <w:szCs w:val="24"/>
        </w:rPr>
        <w:t xml:space="preserve"> in an arm’s-length transaction</w:t>
      </w:r>
      <w:r w:rsidR="001F4D06">
        <w:rPr>
          <w:rFonts w:ascii="Courier New" w:hAnsi="Courier New" w:cs="Courier New"/>
          <w:sz w:val="24"/>
          <w:szCs w:val="24"/>
        </w:rPr>
        <w:t xml:space="preserve"> as a two-bedroom home </w:t>
      </w:r>
      <w:r w:rsidR="00F900FF">
        <w:rPr>
          <w:rFonts w:ascii="Courier New" w:hAnsi="Courier New" w:cs="Courier New"/>
          <w:sz w:val="24"/>
          <w:szCs w:val="24"/>
        </w:rPr>
        <w:t xml:space="preserve">for its assessed values for the fiscal years at issue. </w:t>
      </w:r>
      <w:r w:rsidR="00F900FF">
        <w:rPr>
          <w:rFonts w:ascii="Courier New" w:hAnsi="Courier New" w:cs="Courier New"/>
          <w:i/>
          <w:sz w:val="24"/>
          <w:szCs w:val="24"/>
        </w:rPr>
        <w:t xml:space="preserve">See </w:t>
      </w:r>
      <w:r w:rsidR="00F900FF" w:rsidRPr="00F900FF">
        <w:rPr>
          <w:rFonts w:ascii="Courier New" w:hAnsi="Courier New" w:cs="Courier New"/>
          <w:b/>
          <w:i/>
          <w:sz w:val="24"/>
          <w:szCs w:val="24"/>
        </w:rPr>
        <w:t>Paul T. Su</w:t>
      </w:r>
      <w:r w:rsidR="001F4D06">
        <w:rPr>
          <w:rFonts w:ascii="Courier New" w:hAnsi="Courier New" w:cs="Courier New"/>
          <w:b/>
          <w:i/>
          <w:sz w:val="24"/>
          <w:szCs w:val="24"/>
        </w:rPr>
        <w:t xml:space="preserve">llivan v. Assessors </w:t>
      </w:r>
      <w:r w:rsidR="00F900FF" w:rsidRPr="00F900FF">
        <w:rPr>
          <w:rFonts w:ascii="Courier New" w:hAnsi="Courier New" w:cs="Courier New"/>
          <w:b/>
          <w:i/>
          <w:sz w:val="24"/>
          <w:szCs w:val="24"/>
        </w:rPr>
        <w:t>of Amesbury</w:t>
      </w:r>
      <w:r w:rsidR="00F900FF">
        <w:rPr>
          <w:rFonts w:ascii="Courier New" w:hAnsi="Courier New" w:cs="Courier New"/>
          <w:i/>
          <w:sz w:val="24"/>
          <w:szCs w:val="24"/>
        </w:rPr>
        <w:t xml:space="preserve">, </w:t>
      </w:r>
      <w:r w:rsidR="002133C0">
        <w:rPr>
          <w:rFonts w:ascii="Courier New" w:hAnsi="Courier New" w:cs="Courier New"/>
          <w:sz w:val="24"/>
          <w:szCs w:val="24"/>
        </w:rPr>
        <w:t>Mass. ATB Findings of Fact and Reports 2012-714, 722 (finding that evidence of a classification error by the assessors, without more, was insufficient to prove that the assessed value of the subject property exceeded its fair c</w:t>
      </w:r>
      <w:r w:rsidR="006738C8">
        <w:rPr>
          <w:rFonts w:ascii="Courier New" w:hAnsi="Courier New" w:cs="Courier New"/>
          <w:sz w:val="24"/>
          <w:szCs w:val="24"/>
        </w:rPr>
        <w:t xml:space="preserve">ash value).  </w:t>
      </w:r>
    </w:p>
    <w:p w:rsidR="006738C8" w:rsidRDefault="006738C8" w:rsidP="00002216">
      <w:pPr>
        <w:spacing w:after="0" w:line="480" w:lineRule="auto"/>
        <w:ind w:firstLine="720"/>
        <w:jc w:val="both"/>
        <w:rPr>
          <w:rFonts w:ascii="Courier New" w:hAnsi="Courier New" w:cs="Courier New"/>
          <w:sz w:val="24"/>
          <w:szCs w:val="24"/>
        </w:rPr>
      </w:pPr>
      <w:r>
        <w:rPr>
          <w:rFonts w:ascii="Courier New" w:hAnsi="Courier New" w:cs="Courier New"/>
          <w:sz w:val="24"/>
          <w:szCs w:val="24"/>
        </w:rPr>
        <w:lastRenderedPageBreak/>
        <w:t>In addition, the Board found that the evidence offered by the assessors provided strong support for the subject assessments. The assessors offered voluminous sales data from Wayland during the relevant time period</w:t>
      </w:r>
      <w:r w:rsidR="005C5443">
        <w:rPr>
          <w:rFonts w:ascii="Courier New" w:hAnsi="Courier New" w:cs="Courier New"/>
          <w:sz w:val="24"/>
          <w:szCs w:val="24"/>
        </w:rPr>
        <w:t>s</w:t>
      </w:r>
      <w:r>
        <w:rPr>
          <w:rFonts w:ascii="Courier New" w:hAnsi="Courier New" w:cs="Courier New"/>
          <w:sz w:val="24"/>
          <w:szCs w:val="24"/>
        </w:rPr>
        <w:t>, a</w:t>
      </w:r>
      <w:r w:rsidR="004A5B99">
        <w:rPr>
          <w:rFonts w:ascii="Courier New" w:hAnsi="Courier New" w:cs="Courier New"/>
          <w:sz w:val="24"/>
          <w:szCs w:val="24"/>
        </w:rPr>
        <w:t>nd the sale prices provided a persuasive indication that the subject property was not overvalued.  In reaching this conclusion, the</w:t>
      </w:r>
      <w:r w:rsidR="00F70D1F">
        <w:rPr>
          <w:rFonts w:ascii="Courier New" w:hAnsi="Courier New" w:cs="Courier New"/>
          <w:sz w:val="24"/>
          <w:szCs w:val="24"/>
        </w:rPr>
        <w:t xml:space="preserve"> Board gave weight to the sale prices of the two properties having the same deed restriction as the subject property, both of which were listed as three-bedroom homes</w:t>
      </w:r>
      <w:r w:rsidR="003404F8">
        <w:rPr>
          <w:rFonts w:ascii="Courier New" w:hAnsi="Courier New" w:cs="Courier New"/>
          <w:sz w:val="24"/>
          <w:szCs w:val="24"/>
        </w:rPr>
        <w:t xml:space="preserve"> in the marketing materials</w:t>
      </w:r>
      <w:r w:rsidR="00F70D1F">
        <w:rPr>
          <w:rFonts w:ascii="Courier New" w:hAnsi="Courier New" w:cs="Courier New"/>
          <w:sz w:val="24"/>
          <w:szCs w:val="24"/>
        </w:rPr>
        <w:t xml:space="preserve">.  One of those properties sold for $610,000, despite significant inferiorities to the subject property in size and amenities, while the other sold for $630,000.  The Board found that these two sales supported the </w:t>
      </w:r>
      <w:r w:rsidR="00C877EA">
        <w:rPr>
          <w:rFonts w:ascii="Courier New" w:hAnsi="Courier New" w:cs="Courier New"/>
          <w:sz w:val="24"/>
          <w:szCs w:val="24"/>
        </w:rPr>
        <w:t>assessed values of $593,220, $613,100,</w:t>
      </w:r>
      <w:r w:rsidR="00F70D1F">
        <w:rPr>
          <w:rFonts w:ascii="Courier New" w:hAnsi="Courier New" w:cs="Courier New"/>
          <w:sz w:val="24"/>
          <w:szCs w:val="24"/>
        </w:rPr>
        <w:t xml:space="preserve"> and $612,900, respectively, for the fiscal years at issue.  </w:t>
      </w:r>
    </w:p>
    <w:p w:rsidR="000952BD" w:rsidRDefault="000952BD" w:rsidP="00002216">
      <w:pPr>
        <w:spacing w:after="0" w:line="480" w:lineRule="auto"/>
        <w:ind w:firstLine="720"/>
        <w:jc w:val="both"/>
        <w:rPr>
          <w:rFonts w:ascii="Courier New" w:hAnsi="Courier New" w:cs="Courier New"/>
          <w:sz w:val="24"/>
          <w:szCs w:val="24"/>
        </w:rPr>
      </w:pPr>
      <w:r>
        <w:rPr>
          <w:rFonts w:ascii="Courier New" w:hAnsi="Courier New" w:cs="Courier New"/>
          <w:sz w:val="24"/>
          <w:szCs w:val="24"/>
        </w:rPr>
        <w:t>The Board likewise gave weight to the market evidence of two-bedroom homes entered into the record by the assessors.  That evidence provided a persuasive indication that tw</w:t>
      </w:r>
      <w:r w:rsidR="001F4D06">
        <w:rPr>
          <w:rFonts w:ascii="Courier New" w:hAnsi="Courier New" w:cs="Courier New"/>
          <w:sz w:val="24"/>
          <w:szCs w:val="24"/>
        </w:rPr>
        <w:t>o-bedroom homes in Wayland that</w:t>
      </w:r>
      <w:r>
        <w:rPr>
          <w:rFonts w:ascii="Courier New" w:hAnsi="Courier New" w:cs="Courier New"/>
          <w:sz w:val="24"/>
          <w:szCs w:val="24"/>
        </w:rPr>
        <w:t xml:space="preserve"> are comparable in size to the subject property sold for as much</w:t>
      </w:r>
      <w:r w:rsidR="005C5443">
        <w:rPr>
          <w:rFonts w:ascii="Courier New" w:hAnsi="Courier New" w:cs="Courier New"/>
          <w:sz w:val="24"/>
          <w:szCs w:val="24"/>
        </w:rPr>
        <w:t xml:space="preserve"> as</w:t>
      </w:r>
      <w:r>
        <w:rPr>
          <w:rFonts w:ascii="Courier New" w:hAnsi="Courier New" w:cs="Courier New"/>
          <w:sz w:val="24"/>
          <w:szCs w:val="24"/>
        </w:rPr>
        <w:t>, if not more</w:t>
      </w:r>
      <w:r w:rsidR="005C5443">
        <w:rPr>
          <w:rFonts w:ascii="Courier New" w:hAnsi="Courier New" w:cs="Courier New"/>
          <w:sz w:val="24"/>
          <w:szCs w:val="24"/>
        </w:rPr>
        <w:t xml:space="preserve"> than</w:t>
      </w:r>
      <w:r>
        <w:rPr>
          <w:rFonts w:ascii="Courier New" w:hAnsi="Courier New" w:cs="Courier New"/>
          <w:sz w:val="24"/>
          <w:szCs w:val="24"/>
        </w:rPr>
        <w:t xml:space="preserve">, the subject property’s assessed values for each of the fiscal years at issue. </w:t>
      </w:r>
    </w:p>
    <w:p w:rsidR="00933813" w:rsidRDefault="008A2AA9" w:rsidP="00002216">
      <w:pPr>
        <w:spacing w:after="0" w:line="480" w:lineRule="auto"/>
        <w:ind w:firstLine="720"/>
        <w:jc w:val="both"/>
        <w:rPr>
          <w:rFonts w:ascii="Courier New" w:hAnsi="Courier New" w:cs="Courier New"/>
          <w:sz w:val="24"/>
          <w:szCs w:val="24"/>
        </w:rPr>
      </w:pPr>
      <w:r>
        <w:rPr>
          <w:rFonts w:ascii="Courier New" w:hAnsi="Courier New" w:cs="Courier New"/>
          <w:sz w:val="24"/>
          <w:szCs w:val="24"/>
        </w:rPr>
        <w:t>In conclusion</w:t>
      </w:r>
      <w:r w:rsidR="00D7072C">
        <w:rPr>
          <w:rFonts w:ascii="Courier New" w:hAnsi="Courier New" w:cs="Courier New"/>
          <w:sz w:val="24"/>
          <w:szCs w:val="24"/>
        </w:rPr>
        <w:t xml:space="preserve">, on the basis of the record in its totality, the Board found and ruled that the appellant failed to meet his burden of proving that the subject property’s assessed values </w:t>
      </w:r>
      <w:r w:rsidR="00D7072C">
        <w:rPr>
          <w:rFonts w:ascii="Courier New" w:hAnsi="Courier New" w:cs="Courier New"/>
          <w:sz w:val="24"/>
          <w:szCs w:val="24"/>
        </w:rPr>
        <w:lastRenderedPageBreak/>
        <w:t xml:space="preserve">exceeded its fair cash values for </w:t>
      </w:r>
      <w:r w:rsidR="001F4D06">
        <w:rPr>
          <w:rFonts w:ascii="Courier New" w:hAnsi="Courier New" w:cs="Courier New"/>
          <w:sz w:val="24"/>
          <w:szCs w:val="24"/>
        </w:rPr>
        <w:t xml:space="preserve">each of </w:t>
      </w:r>
      <w:r w:rsidR="00D7072C">
        <w:rPr>
          <w:rFonts w:ascii="Courier New" w:hAnsi="Courier New" w:cs="Courier New"/>
          <w:sz w:val="24"/>
          <w:szCs w:val="24"/>
        </w:rPr>
        <w:t xml:space="preserve">the fiscal years at issue.  </w:t>
      </w:r>
      <w:r>
        <w:rPr>
          <w:rFonts w:ascii="Courier New" w:hAnsi="Courier New" w:cs="Courier New"/>
          <w:sz w:val="24"/>
          <w:szCs w:val="24"/>
        </w:rPr>
        <w:t xml:space="preserve">Accordingly, the Board issued decisions for the appellee in these appeals. </w:t>
      </w:r>
    </w:p>
    <w:p w:rsidR="00903246" w:rsidRDefault="00903246" w:rsidP="00903246">
      <w:pPr>
        <w:ind w:left="3600"/>
        <w:jc w:val="both"/>
        <w:rPr>
          <w:rFonts w:ascii="Courier New" w:hAnsi="Courier New"/>
          <w:b/>
        </w:rPr>
      </w:pPr>
      <w:r>
        <w:rPr>
          <w:rFonts w:ascii="Courier New" w:hAnsi="Courier New"/>
          <w:b/>
        </w:rPr>
        <w:t>     </w:t>
      </w:r>
      <w:r w:rsidRPr="00AE3DBC">
        <w:rPr>
          <w:rFonts w:ascii="Courier New" w:hAnsi="Courier New"/>
          <w:b/>
        </w:rPr>
        <w:t>THE</w:t>
      </w:r>
      <w:r>
        <w:rPr>
          <w:rFonts w:ascii="Courier New" w:hAnsi="Courier New"/>
        </w:rPr>
        <w:t xml:space="preserve"> </w:t>
      </w:r>
      <w:r w:rsidRPr="00DC5970">
        <w:rPr>
          <w:rFonts w:ascii="Courier New" w:hAnsi="Courier New"/>
          <w:b/>
        </w:rPr>
        <w:t>A</w:t>
      </w:r>
      <w:r w:rsidRPr="001610C2">
        <w:rPr>
          <w:rFonts w:ascii="Courier New" w:hAnsi="Courier New"/>
          <w:b/>
        </w:rPr>
        <w:t>PPELLATE TAX BOARD</w:t>
      </w:r>
    </w:p>
    <w:p w:rsidR="00903246" w:rsidRDefault="00903246" w:rsidP="00903246">
      <w:pPr>
        <w:ind w:left="3600" w:firstLine="720"/>
        <w:jc w:val="both"/>
        <w:rPr>
          <w:rFonts w:ascii="Courier New" w:hAnsi="Courier New"/>
          <w:b/>
        </w:rPr>
      </w:pPr>
    </w:p>
    <w:p w:rsidR="00903246" w:rsidRDefault="00903246" w:rsidP="00903246">
      <w:pPr>
        <w:ind w:left="3600" w:firstLine="720"/>
        <w:jc w:val="both"/>
        <w:rPr>
          <w:rFonts w:ascii="Courier New" w:hAnsi="Courier New"/>
          <w:b/>
        </w:rPr>
      </w:pPr>
    </w:p>
    <w:p w:rsidR="00903246" w:rsidRDefault="00903246" w:rsidP="00903246">
      <w:pPr>
        <w:ind w:left="2880"/>
        <w:jc w:val="both"/>
        <w:rPr>
          <w:rFonts w:ascii="Courier New" w:hAnsi="Courier New"/>
          <w:b/>
        </w:rPr>
      </w:pPr>
    </w:p>
    <w:p w:rsidR="00903246" w:rsidRPr="001610C2" w:rsidRDefault="00903246" w:rsidP="00903246">
      <w:pPr>
        <w:spacing w:after="0"/>
        <w:ind w:left="2880" w:firstLine="720"/>
        <w:jc w:val="both"/>
        <w:rPr>
          <w:rFonts w:ascii="Courier New" w:hAnsi="Courier New"/>
          <w:b/>
        </w:rPr>
      </w:pPr>
      <w:r w:rsidRPr="001610C2">
        <w:rPr>
          <w:rFonts w:ascii="Courier New" w:hAnsi="Courier New"/>
          <w:b/>
        </w:rPr>
        <w:t>By:</w:t>
      </w:r>
      <w:r>
        <w:rPr>
          <w:rFonts w:ascii="Courier New" w:hAnsi="Courier New"/>
          <w:b/>
        </w:rPr>
        <w:t xml:space="preserve"> </w:t>
      </w:r>
      <w:r w:rsidRPr="001610C2">
        <w:rPr>
          <w:rFonts w:ascii="Courier New" w:hAnsi="Courier New"/>
          <w:b/>
        </w:rPr>
        <w:t>___________________</w:t>
      </w:r>
      <w:r>
        <w:rPr>
          <w:rFonts w:ascii="Courier New" w:hAnsi="Courier New"/>
          <w:b/>
        </w:rPr>
        <w:t>____</w:t>
      </w:r>
      <w:r w:rsidRPr="001610C2">
        <w:rPr>
          <w:rFonts w:ascii="Courier New" w:hAnsi="Courier New"/>
          <w:b/>
        </w:rPr>
        <w:t>_____</w:t>
      </w:r>
      <w:r>
        <w:rPr>
          <w:rFonts w:ascii="Courier New" w:hAnsi="Courier New"/>
          <w:b/>
        </w:rPr>
        <w:t>___</w:t>
      </w:r>
      <w:r w:rsidRPr="001610C2">
        <w:rPr>
          <w:rFonts w:ascii="Courier New" w:hAnsi="Courier New"/>
          <w:b/>
        </w:rPr>
        <w:t>__</w:t>
      </w:r>
      <w:r>
        <w:rPr>
          <w:rFonts w:ascii="Courier New" w:hAnsi="Courier New"/>
          <w:b/>
        </w:rPr>
        <w:t>___</w:t>
      </w:r>
    </w:p>
    <w:p w:rsidR="00903246" w:rsidRDefault="00903246" w:rsidP="00903246">
      <w:pPr>
        <w:pStyle w:val="Heading1"/>
        <w:jc w:val="both"/>
      </w:pPr>
      <w:r>
        <w:tab/>
        <w:t xml:space="preserve">         Thomas W. Hammond, Jr., Chairman</w:t>
      </w:r>
    </w:p>
    <w:p w:rsidR="00903246" w:rsidRPr="00505A6B" w:rsidRDefault="00903246" w:rsidP="00903246"/>
    <w:p w:rsidR="00903246" w:rsidRDefault="00903246" w:rsidP="00903246">
      <w:pPr>
        <w:tabs>
          <w:tab w:val="left" w:pos="2352"/>
        </w:tabs>
        <w:spacing w:before="240" w:line="360" w:lineRule="auto"/>
        <w:jc w:val="both"/>
        <w:rPr>
          <w:rFonts w:ascii="Courier New" w:hAnsi="Courier New" w:cs="Courier New"/>
          <w:b/>
          <w:sz w:val="24"/>
          <w:szCs w:val="24"/>
        </w:rPr>
      </w:pPr>
    </w:p>
    <w:p w:rsidR="00676E4A" w:rsidRPr="00E96BF0" w:rsidRDefault="00676E4A" w:rsidP="00676E4A">
      <w:pPr>
        <w:tabs>
          <w:tab w:val="left" w:pos="2352"/>
        </w:tabs>
        <w:spacing w:before="240" w:line="360" w:lineRule="auto"/>
        <w:jc w:val="both"/>
        <w:rPr>
          <w:rFonts w:ascii="Courier New" w:hAnsi="Courier New" w:cs="Courier New"/>
          <w:b/>
          <w:sz w:val="24"/>
          <w:szCs w:val="24"/>
        </w:rPr>
      </w:pPr>
      <w:r w:rsidRPr="00E96BF0">
        <w:rPr>
          <w:rFonts w:ascii="Courier New" w:hAnsi="Courier New" w:cs="Courier New"/>
          <w:b/>
          <w:sz w:val="24"/>
          <w:szCs w:val="24"/>
        </w:rPr>
        <w:t>A true copy,</w:t>
      </w:r>
      <w:r>
        <w:rPr>
          <w:rFonts w:ascii="Courier New" w:hAnsi="Courier New" w:cs="Courier New"/>
          <w:b/>
          <w:sz w:val="24"/>
          <w:szCs w:val="24"/>
        </w:rPr>
        <w:tab/>
      </w:r>
    </w:p>
    <w:p w:rsidR="00676E4A" w:rsidRPr="00E96BF0" w:rsidRDefault="00676E4A" w:rsidP="00676E4A">
      <w:pPr>
        <w:spacing w:after="0"/>
        <w:jc w:val="both"/>
        <w:rPr>
          <w:rFonts w:ascii="Courier New" w:hAnsi="Courier New" w:cs="Courier New"/>
          <w:b/>
          <w:sz w:val="24"/>
          <w:szCs w:val="24"/>
        </w:rPr>
      </w:pPr>
      <w:r w:rsidRPr="00E96BF0">
        <w:rPr>
          <w:rFonts w:ascii="Courier New" w:hAnsi="Courier New" w:cs="Courier New"/>
          <w:b/>
          <w:sz w:val="24"/>
          <w:szCs w:val="24"/>
        </w:rPr>
        <w:t>Attest: ___________________</w:t>
      </w:r>
      <w:r>
        <w:rPr>
          <w:rFonts w:ascii="Courier New" w:hAnsi="Courier New" w:cs="Courier New"/>
          <w:b/>
          <w:sz w:val="24"/>
          <w:szCs w:val="24"/>
        </w:rPr>
        <w:t>_______</w:t>
      </w:r>
    </w:p>
    <w:p w:rsidR="00676E4A" w:rsidRPr="00807F52" w:rsidRDefault="00676E4A" w:rsidP="00676E4A">
      <w:pPr>
        <w:spacing w:after="0"/>
        <w:jc w:val="both"/>
        <w:rPr>
          <w:rFonts w:ascii="Courier New" w:hAnsi="Courier New" w:cs="Courier New"/>
          <w:sz w:val="24"/>
          <w:szCs w:val="24"/>
        </w:rPr>
      </w:pPr>
      <w:r>
        <w:rPr>
          <w:rFonts w:ascii="Courier New" w:hAnsi="Courier New" w:cs="Courier New"/>
          <w:b/>
          <w:sz w:val="24"/>
          <w:szCs w:val="24"/>
        </w:rPr>
        <w:t xml:space="preserve">          </w:t>
      </w:r>
      <w:r w:rsidRPr="00E96BF0">
        <w:rPr>
          <w:rFonts w:ascii="Courier New" w:hAnsi="Courier New" w:cs="Courier New"/>
          <w:b/>
          <w:sz w:val="24"/>
          <w:szCs w:val="24"/>
        </w:rPr>
        <w:t>Clerk of the Board</w:t>
      </w:r>
    </w:p>
    <w:p w:rsidR="00676E4A" w:rsidRPr="00D94EC4" w:rsidRDefault="00676E4A" w:rsidP="00676E4A">
      <w:pPr>
        <w:spacing w:line="480" w:lineRule="auto"/>
        <w:ind w:firstLine="720"/>
        <w:jc w:val="both"/>
        <w:rPr>
          <w:rFonts w:ascii="Courier New" w:hAnsi="Courier New" w:cs="Courier New"/>
          <w:sz w:val="24"/>
          <w:szCs w:val="24"/>
        </w:rPr>
      </w:pPr>
    </w:p>
    <w:p w:rsidR="007E1C99" w:rsidRPr="00D94EC4" w:rsidRDefault="007E1C99" w:rsidP="00E53A1A">
      <w:pPr>
        <w:spacing w:line="480" w:lineRule="auto"/>
        <w:jc w:val="both"/>
        <w:rPr>
          <w:rFonts w:ascii="Courier New" w:hAnsi="Courier New" w:cs="Courier New"/>
          <w:sz w:val="24"/>
          <w:szCs w:val="24"/>
        </w:rPr>
      </w:pPr>
    </w:p>
    <w:p w:rsidR="00A40B0A" w:rsidRDefault="00D9624F" w:rsidP="00E53A1A">
      <w:pPr>
        <w:spacing w:line="480" w:lineRule="auto"/>
        <w:jc w:val="both"/>
        <w:rPr>
          <w:rFonts w:ascii="Courier New" w:hAnsi="Courier New" w:cs="Courier New"/>
          <w:sz w:val="24"/>
          <w:szCs w:val="24"/>
        </w:rPr>
      </w:pPr>
      <w:r>
        <w:rPr>
          <w:rFonts w:ascii="Courier New" w:hAnsi="Courier New" w:cs="Courier New"/>
          <w:sz w:val="24"/>
          <w:szCs w:val="24"/>
        </w:rPr>
        <w:tab/>
      </w:r>
      <w:r w:rsidR="00A40B0A">
        <w:rPr>
          <w:rFonts w:ascii="Courier New" w:hAnsi="Courier New" w:cs="Courier New"/>
          <w:sz w:val="24"/>
          <w:szCs w:val="24"/>
        </w:rPr>
        <w:tab/>
      </w:r>
    </w:p>
    <w:p w:rsidR="0048234F" w:rsidRDefault="0048234F" w:rsidP="00E53A1A">
      <w:pPr>
        <w:spacing w:line="480" w:lineRule="auto"/>
        <w:jc w:val="both"/>
        <w:rPr>
          <w:rFonts w:ascii="Courier New" w:hAnsi="Courier New" w:cs="Courier New"/>
          <w:sz w:val="24"/>
          <w:szCs w:val="24"/>
        </w:rPr>
      </w:pPr>
      <w:r>
        <w:rPr>
          <w:rFonts w:ascii="Courier New" w:hAnsi="Courier New" w:cs="Courier New"/>
          <w:sz w:val="24"/>
          <w:szCs w:val="24"/>
        </w:rPr>
        <w:tab/>
      </w:r>
    </w:p>
    <w:p w:rsidR="005B7689" w:rsidRDefault="005B7689" w:rsidP="00E53A1A">
      <w:pPr>
        <w:spacing w:line="480" w:lineRule="auto"/>
        <w:jc w:val="both"/>
        <w:rPr>
          <w:rFonts w:ascii="Courier New" w:hAnsi="Courier New" w:cs="Courier New"/>
          <w:sz w:val="24"/>
          <w:szCs w:val="24"/>
        </w:rPr>
      </w:pPr>
      <w:r>
        <w:rPr>
          <w:rFonts w:ascii="Courier New" w:hAnsi="Courier New" w:cs="Courier New"/>
          <w:sz w:val="24"/>
          <w:szCs w:val="24"/>
        </w:rPr>
        <w:tab/>
      </w:r>
    </w:p>
    <w:sectPr w:rsidR="005B7689" w:rsidSect="00676E4A">
      <w:footerReference w:type="default" r:id="rId8"/>
      <w:pgSz w:w="12240" w:h="15840"/>
      <w:pgMar w:top="1440" w:right="1440" w:bottom="1440" w:left="1440" w:header="720" w:footer="720" w:gutter="0"/>
      <w:pgNumType w:start="3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2B0" w:rsidRDefault="009B72B0" w:rsidP="009B72B0">
      <w:pPr>
        <w:spacing w:after="0"/>
      </w:pPr>
      <w:r>
        <w:separator/>
      </w:r>
    </w:p>
  </w:endnote>
  <w:endnote w:type="continuationSeparator" w:id="0">
    <w:p w:rsidR="009B72B0" w:rsidRDefault="009B72B0" w:rsidP="009B72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sz w:val="24"/>
        <w:szCs w:val="24"/>
      </w:rPr>
      <w:id w:val="683485152"/>
      <w:docPartObj>
        <w:docPartGallery w:val="Page Numbers (Bottom of Page)"/>
        <w:docPartUnique/>
      </w:docPartObj>
    </w:sdtPr>
    <w:sdtEndPr>
      <w:rPr>
        <w:noProof/>
      </w:rPr>
    </w:sdtEndPr>
    <w:sdtContent>
      <w:p w:rsidR="009B72B0" w:rsidRPr="00676E4A" w:rsidRDefault="00676E4A">
        <w:pPr>
          <w:pStyle w:val="Footer"/>
          <w:jc w:val="center"/>
          <w:rPr>
            <w:rFonts w:ascii="Courier New" w:hAnsi="Courier New" w:cs="Courier New"/>
            <w:b/>
            <w:sz w:val="24"/>
            <w:szCs w:val="24"/>
          </w:rPr>
        </w:pPr>
        <w:r w:rsidRPr="00676E4A">
          <w:rPr>
            <w:rFonts w:ascii="Courier New" w:hAnsi="Courier New" w:cs="Courier New"/>
            <w:b/>
            <w:sz w:val="24"/>
            <w:szCs w:val="24"/>
          </w:rPr>
          <w:t>ATB 2018-</w:t>
        </w:r>
        <w:r w:rsidR="009B72B0" w:rsidRPr="00676E4A">
          <w:rPr>
            <w:rFonts w:ascii="Courier New" w:hAnsi="Courier New" w:cs="Courier New"/>
            <w:b/>
            <w:sz w:val="24"/>
            <w:szCs w:val="24"/>
          </w:rPr>
          <w:fldChar w:fldCharType="begin"/>
        </w:r>
        <w:r w:rsidR="009B72B0" w:rsidRPr="00676E4A">
          <w:rPr>
            <w:rFonts w:ascii="Courier New" w:hAnsi="Courier New" w:cs="Courier New"/>
            <w:b/>
            <w:sz w:val="24"/>
            <w:szCs w:val="24"/>
          </w:rPr>
          <w:instrText xml:space="preserve"> PAGE   \* MERGEFORMAT </w:instrText>
        </w:r>
        <w:r w:rsidR="009B72B0" w:rsidRPr="00676E4A">
          <w:rPr>
            <w:rFonts w:ascii="Courier New" w:hAnsi="Courier New" w:cs="Courier New"/>
            <w:b/>
            <w:sz w:val="24"/>
            <w:szCs w:val="24"/>
          </w:rPr>
          <w:fldChar w:fldCharType="separate"/>
        </w:r>
        <w:r w:rsidR="00764716">
          <w:rPr>
            <w:rFonts w:ascii="Courier New" w:hAnsi="Courier New" w:cs="Courier New"/>
            <w:b/>
            <w:noProof/>
            <w:sz w:val="24"/>
            <w:szCs w:val="24"/>
          </w:rPr>
          <w:t>345</w:t>
        </w:r>
        <w:r w:rsidR="009B72B0" w:rsidRPr="00676E4A">
          <w:rPr>
            <w:rFonts w:ascii="Courier New" w:hAnsi="Courier New" w:cs="Courier New"/>
            <w:b/>
            <w:noProof/>
            <w:sz w:val="24"/>
            <w:szCs w:val="24"/>
          </w:rPr>
          <w:fldChar w:fldCharType="end"/>
        </w:r>
      </w:p>
    </w:sdtContent>
  </w:sdt>
  <w:p w:rsidR="009B72B0" w:rsidRDefault="009B7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2B0" w:rsidRDefault="009B72B0" w:rsidP="009B72B0">
      <w:pPr>
        <w:spacing w:after="0"/>
      </w:pPr>
      <w:r>
        <w:separator/>
      </w:r>
    </w:p>
  </w:footnote>
  <w:footnote w:type="continuationSeparator" w:id="0">
    <w:p w:rsidR="009B72B0" w:rsidRDefault="009B72B0" w:rsidP="009B72B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DB"/>
    <w:rsid w:val="00002128"/>
    <w:rsid w:val="00002216"/>
    <w:rsid w:val="00004020"/>
    <w:rsid w:val="00026B90"/>
    <w:rsid w:val="00035E00"/>
    <w:rsid w:val="000562F7"/>
    <w:rsid w:val="000921C4"/>
    <w:rsid w:val="000952BD"/>
    <w:rsid w:val="000C43AB"/>
    <w:rsid w:val="000F006F"/>
    <w:rsid w:val="000F1D9E"/>
    <w:rsid w:val="000F7746"/>
    <w:rsid w:val="00133BEF"/>
    <w:rsid w:val="00137FEC"/>
    <w:rsid w:val="00151215"/>
    <w:rsid w:val="00162544"/>
    <w:rsid w:val="00166632"/>
    <w:rsid w:val="001B08AC"/>
    <w:rsid w:val="001E6A6A"/>
    <w:rsid w:val="001F4D06"/>
    <w:rsid w:val="001F4ECA"/>
    <w:rsid w:val="002133C0"/>
    <w:rsid w:val="002215EE"/>
    <w:rsid w:val="00234EED"/>
    <w:rsid w:val="0027055A"/>
    <w:rsid w:val="002A51B2"/>
    <w:rsid w:val="002D1DD5"/>
    <w:rsid w:val="002D4A1B"/>
    <w:rsid w:val="002E11EB"/>
    <w:rsid w:val="00317E54"/>
    <w:rsid w:val="003404F8"/>
    <w:rsid w:val="00377384"/>
    <w:rsid w:val="003822AD"/>
    <w:rsid w:val="003C35DF"/>
    <w:rsid w:val="003D7371"/>
    <w:rsid w:val="003E520D"/>
    <w:rsid w:val="003F4DC9"/>
    <w:rsid w:val="00407697"/>
    <w:rsid w:val="00421266"/>
    <w:rsid w:val="00442667"/>
    <w:rsid w:val="004473DA"/>
    <w:rsid w:val="0048234F"/>
    <w:rsid w:val="004A5B99"/>
    <w:rsid w:val="004C2BA9"/>
    <w:rsid w:val="004C66E7"/>
    <w:rsid w:val="004F7457"/>
    <w:rsid w:val="00533C75"/>
    <w:rsid w:val="00560DDB"/>
    <w:rsid w:val="005613F7"/>
    <w:rsid w:val="0056171E"/>
    <w:rsid w:val="0056297A"/>
    <w:rsid w:val="00574DD0"/>
    <w:rsid w:val="00595C3C"/>
    <w:rsid w:val="005B7689"/>
    <w:rsid w:val="005C5443"/>
    <w:rsid w:val="005E51CC"/>
    <w:rsid w:val="00600A6C"/>
    <w:rsid w:val="00623F9B"/>
    <w:rsid w:val="006303F6"/>
    <w:rsid w:val="0063763A"/>
    <w:rsid w:val="006444E1"/>
    <w:rsid w:val="00672A43"/>
    <w:rsid w:val="006738C8"/>
    <w:rsid w:val="00676E4A"/>
    <w:rsid w:val="00693ADB"/>
    <w:rsid w:val="006A5C64"/>
    <w:rsid w:val="006B57D4"/>
    <w:rsid w:val="006C0EF6"/>
    <w:rsid w:val="00713F2C"/>
    <w:rsid w:val="00732BFD"/>
    <w:rsid w:val="00755708"/>
    <w:rsid w:val="00764716"/>
    <w:rsid w:val="00766912"/>
    <w:rsid w:val="007802BC"/>
    <w:rsid w:val="007A2EC0"/>
    <w:rsid w:val="007A449D"/>
    <w:rsid w:val="007B5A57"/>
    <w:rsid w:val="007C5193"/>
    <w:rsid w:val="007D003C"/>
    <w:rsid w:val="007D4AB7"/>
    <w:rsid w:val="007D789F"/>
    <w:rsid w:val="007E19CF"/>
    <w:rsid w:val="007E1A1A"/>
    <w:rsid w:val="007E1C99"/>
    <w:rsid w:val="007E428F"/>
    <w:rsid w:val="00805FC5"/>
    <w:rsid w:val="0084321C"/>
    <w:rsid w:val="008718DE"/>
    <w:rsid w:val="008A2AA9"/>
    <w:rsid w:val="008A7BE4"/>
    <w:rsid w:val="008C29B2"/>
    <w:rsid w:val="008D39D3"/>
    <w:rsid w:val="008D7D34"/>
    <w:rsid w:val="008F73D1"/>
    <w:rsid w:val="00903246"/>
    <w:rsid w:val="00917B52"/>
    <w:rsid w:val="00933813"/>
    <w:rsid w:val="00936C48"/>
    <w:rsid w:val="009669F6"/>
    <w:rsid w:val="00971B6B"/>
    <w:rsid w:val="009736F1"/>
    <w:rsid w:val="009A3E6A"/>
    <w:rsid w:val="009B0147"/>
    <w:rsid w:val="009B72B0"/>
    <w:rsid w:val="009E20C1"/>
    <w:rsid w:val="009E297B"/>
    <w:rsid w:val="009E2FEC"/>
    <w:rsid w:val="009E3EA9"/>
    <w:rsid w:val="009F6AA9"/>
    <w:rsid w:val="00A21E5F"/>
    <w:rsid w:val="00A40B0A"/>
    <w:rsid w:val="00A51A94"/>
    <w:rsid w:val="00A5276B"/>
    <w:rsid w:val="00A920FD"/>
    <w:rsid w:val="00AA6F76"/>
    <w:rsid w:val="00AB36E0"/>
    <w:rsid w:val="00AC4661"/>
    <w:rsid w:val="00AD2FDE"/>
    <w:rsid w:val="00AE0251"/>
    <w:rsid w:val="00B1033C"/>
    <w:rsid w:val="00B259E4"/>
    <w:rsid w:val="00B33E18"/>
    <w:rsid w:val="00B41159"/>
    <w:rsid w:val="00B63069"/>
    <w:rsid w:val="00BA0E5C"/>
    <w:rsid w:val="00BD050D"/>
    <w:rsid w:val="00BE23FF"/>
    <w:rsid w:val="00C623DE"/>
    <w:rsid w:val="00C66045"/>
    <w:rsid w:val="00C71E18"/>
    <w:rsid w:val="00C72202"/>
    <w:rsid w:val="00C877EA"/>
    <w:rsid w:val="00C96DDB"/>
    <w:rsid w:val="00CC43A8"/>
    <w:rsid w:val="00CF6453"/>
    <w:rsid w:val="00D150ED"/>
    <w:rsid w:val="00D46CF4"/>
    <w:rsid w:val="00D7072C"/>
    <w:rsid w:val="00D94EC4"/>
    <w:rsid w:val="00D9624F"/>
    <w:rsid w:val="00DA1C0D"/>
    <w:rsid w:val="00DB6ADD"/>
    <w:rsid w:val="00DC0DD4"/>
    <w:rsid w:val="00DF35BC"/>
    <w:rsid w:val="00E06D56"/>
    <w:rsid w:val="00E13861"/>
    <w:rsid w:val="00E30F81"/>
    <w:rsid w:val="00E53A1A"/>
    <w:rsid w:val="00E66061"/>
    <w:rsid w:val="00EA26E6"/>
    <w:rsid w:val="00EB3995"/>
    <w:rsid w:val="00EF178F"/>
    <w:rsid w:val="00EF23EF"/>
    <w:rsid w:val="00F27996"/>
    <w:rsid w:val="00F56D0C"/>
    <w:rsid w:val="00F70D1F"/>
    <w:rsid w:val="00F900FF"/>
    <w:rsid w:val="00F93D8C"/>
    <w:rsid w:val="00FB11B2"/>
    <w:rsid w:val="00FE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DB"/>
    <w:pPr>
      <w:spacing w:after="160" w:line="240" w:lineRule="auto"/>
    </w:pPr>
    <w:rPr>
      <w:rFonts w:ascii="Times New Roman" w:hAnsi="Times New Roman" w:cs="Times New Roman"/>
    </w:rPr>
  </w:style>
  <w:style w:type="paragraph" w:styleId="Heading1">
    <w:name w:val="heading 1"/>
    <w:basedOn w:val="Normal"/>
    <w:next w:val="Normal"/>
    <w:link w:val="Heading1Char"/>
    <w:qFormat/>
    <w:rsid w:val="00903246"/>
    <w:pPr>
      <w:keepNext/>
      <w:spacing w:after="0"/>
      <w:ind w:left="2880" w:hanging="2880"/>
      <w:outlineLvl w:val="0"/>
    </w:pPr>
    <w:rPr>
      <w:rFonts w:ascii="Courier New" w:eastAsia="Times New Roman"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2B0"/>
    <w:pPr>
      <w:tabs>
        <w:tab w:val="center" w:pos="4680"/>
        <w:tab w:val="right" w:pos="9360"/>
      </w:tabs>
      <w:spacing w:after="0"/>
    </w:pPr>
  </w:style>
  <w:style w:type="character" w:customStyle="1" w:styleId="HeaderChar">
    <w:name w:val="Header Char"/>
    <w:basedOn w:val="DefaultParagraphFont"/>
    <w:link w:val="Header"/>
    <w:uiPriority w:val="99"/>
    <w:rsid w:val="009B72B0"/>
    <w:rPr>
      <w:rFonts w:ascii="Times New Roman" w:hAnsi="Times New Roman" w:cs="Times New Roman"/>
    </w:rPr>
  </w:style>
  <w:style w:type="paragraph" w:styleId="Footer">
    <w:name w:val="footer"/>
    <w:basedOn w:val="Normal"/>
    <w:link w:val="FooterChar"/>
    <w:uiPriority w:val="99"/>
    <w:unhideWhenUsed/>
    <w:rsid w:val="009B72B0"/>
    <w:pPr>
      <w:tabs>
        <w:tab w:val="center" w:pos="4680"/>
        <w:tab w:val="right" w:pos="9360"/>
      </w:tabs>
      <w:spacing w:after="0"/>
    </w:pPr>
  </w:style>
  <w:style w:type="character" w:customStyle="1" w:styleId="FooterChar">
    <w:name w:val="Footer Char"/>
    <w:basedOn w:val="DefaultParagraphFont"/>
    <w:link w:val="Footer"/>
    <w:uiPriority w:val="99"/>
    <w:rsid w:val="009B72B0"/>
    <w:rPr>
      <w:rFonts w:ascii="Times New Roman" w:hAnsi="Times New Roman" w:cs="Times New Roman"/>
    </w:rPr>
  </w:style>
  <w:style w:type="table" w:styleId="TableGrid">
    <w:name w:val="Table Grid"/>
    <w:basedOn w:val="TableNormal"/>
    <w:uiPriority w:val="59"/>
    <w:rsid w:val="001E6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9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B2"/>
    <w:rPr>
      <w:rFonts w:ascii="Tahoma" w:hAnsi="Tahoma" w:cs="Tahoma"/>
      <w:sz w:val="16"/>
      <w:szCs w:val="16"/>
    </w:rPr>
  </w:style>
  <w:style w:type="character" w:customStyle="1" w:styleId="Heading1Char">
    <w:name w:val="Heading 1 Char"/>
    <w:basedOn w:val="DefaultParagraphFont"/>
    <w:link w:val="Heading1"/>
    <w:rsid w:val="00903246"/>
    <w:rPr>
      <w:rFonts w:ascii="Courier New" w:eastAsia="Times New Roman" w:hAnsi="Courier New" w:cs="Courier New"/>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DB"/>
    <w:pPr>
      <w:spacing w:after="160" w:line="240" w:lineRule="auto"/>
    </w:pPr>
    <w:rPr>
      <w:rFonts w:ascii="Times New Roman" w:hAnsi="Times New Roman" w:cs="Times New Roman"/>
    </w:rPr>
  </w:style>
  <w:style w:type="paragraph" w:styleId="Heading1">
    <w:name w:val="heading 1"/>
    <w:basedOn w:val="Normal"/>
    <w:next w:val="Normal"/>
    <w:link w:val="Heading1Char"/>
    <w:qFormat/>
    <w:rsid w:val="00903246"/>
    <w:pPr>
      <w:keepNext/>
      <w:spacing w:after="0"/>
      <w:ind w:left="2880" w:hanging="2880"/>
      <w:outlineLvl w:val="0"/>
    </w:pPr>
    <w:rPr>
      <w:rFonts w:ascii="Courier New" w:eastAsia="Times New Roman" w:hAnsi="Courier New" w:cs="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2B0"/>
    <w:pPr>
      <w:tabs>
        <w:tab w:val="center" w:pos="4680"/>
        <w:tab w:val="right" w:pos="9360"/>
      </w:tabs>
      <w:spacing w:after="0"/>
    </w:pPr>
  </w:style>
  <w:style w:type="character" w:customStyle="1" w:styleId="HeaderChar">
    <w:name w:val="Header Char"/>
    <w:basedOn w:val="DefaultParagraphFont"/>
    <w:link w:val="Header"/>
    <w:uiPriority w:val="99"/>
    <w:rsid w:val="009B72B0"/>
    <w:rPr>
      <w:rFonts w:ascii="Times New Roman" w:hAnsi="Times New Roman" w:cs="Times New Roman"/>
    </w:rPr>
  </w:style>
  <w:style w:type="paragraph" w:styleId="Footer">
    <w:name w:val="footer"/>
    <w:basedOn w:val="Normal"/>
    <w:link w:val="FooterChar"/>
    <w:uiPriority w:val="99"/>
    <w:unhideWhenUsed/>
    <w:rsid w:val="009B72B0"/>
    <w:pPr>
      <w:tabs>
        <w:tab w:val="center" w:pos="4680"/>
        <w:tab w:val="right" w:pos="9360"/>
      </w:tabs>
      <w:spacing w:after="0"/>
    </w:pPr>
  </w:style>
  <w:style w:type="character" w:customStyle="1" w:styleId="FooterChar">
    <w:name w:val="Footer Char"/>
    <w:basedOn w:val="DefaultParagraphFont"/>
    <w:link w:val="Footer"/>
    <w:uiPriority w:val="99"/>
    <w:rsid w:val="009B72B0"/>
    <w:rPr>
      <w:rFonts w:ascii="Times New Roman" w:hAnsi="Times New Roman" w:cs="Times New Roman"/>
    </w:rPr>
  </w:style>
  <w:style w:type="table" w:styleId="TableGrid">
    <w:name w:val="Table Grid"/>
    <w:basedOn w:val="TableNormal"/>
    <w:uiPriority w:val="59"/>
    <w:rsid w:val="001E6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9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9B2"/>
    <w:rPr>
      <w:rFonts w:ascii="Tahoma" w:hAnsi="Tahoma" w:cs="Tahoma"/>
      <w:sz w:val="16"/>
      <w:szCs w:val="16"/>
    </w:rPr>
  </w:style>
  <w:style w:type="character" w:customStyle="1" w:styleId="Heading1Char">
    <w:name w:val="Heading 1 Char"/>
    <w:basedOn w:val="DefaultParagraphFont"/>
    <w:link w:val="Heading1"/>
    <w:rsid w:val="00903246"/>
    <w:rPr>
      <w:rFonts w:ascii="Courier New" w:eastAsia="Times New Roman" w:hAnsi="Courier New" w:cs="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94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D51A5-E05B-4C3F-9BEB-48A84CFF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2018-07-19T14:33:00Z</cp:lastPrinted>
  <dcterms:created xsi:type="dcterms:W3CDTF">2018-07-19T15:09:00Z</dcterms:created>
  <dcterms:modified xsi:type="dcterms:W3CDTF">2018-07-19T15:09:00Z</dcterms:modified>
</cp:coreProperties>
</file>