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A71D" w14:textId="77777777" w:rsidR="002D5ED7" w:rsidRDefault="00250B8D">
      <w:pPr>
        <w:spacing w:after="0" w:line="259" w:lineRule="auto"/>
        <w:ind w:left="0" w:right="88" w:firstLine="0"/>
        <w:jc w:val="right"/>
      </w:pPr>
      <w:r>
        <w:rPr>
          <w:noProof/>
        </w:rPr>
        <w:drawing>
          <wp:inline distT="0" distB="0" distL="0" distR="0" wp14:anchorId="2D0C786B" wp14:editId="52746B0D">
            <wp:extent cx="5943600" cy="876300"/>
            <wp:effectExtent l="0" t="0" r="0" b="0"/>
            <wp:docPr id="88" name="Picture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 </w:t>
      </w:r>
    </w:p>
    <w:p w14:paraId="06A7E89E" w14:textId="77777777" w:rsidR="002D5ED7" w:rsidRDefault="00250B8D">
      <w:pPr>
        <w:spacing w:after="1" w:line="240" w:lineRule="auto"/>
        <w:ind w:left="-5" w:right="104"/>
      </w:pPr>
      <w:r>
        <w:rPr>
          <w:i/>
          <w:sz w:val="20"/>
        </w:rPr>
        <w:t>The Vital Record</w:t>
      </w:r>
      <w:r>
        <w:rPr>
          <w:sz w:val="20"/>
        </w:rPr>
        <w:t xml:space="preserve"> </w:t>
      </w:r>
      <w:r>
        <w:rPr>
          <w:sz w:val="20"/>
        </w:rPr>
        <w:t xml:space="preserve">highlights updates from the Massachusetts Registry of Vital Records and Statistics (RVRS) on modernization efforts and other timely information of interest to our registration and data partners.   </w:t>
      </w:r>
    </w:p>
    <w:p w14:paraId="7293AA25" w14:textId="77777777" w:rsidR="002D5ED7" w:rsidRDefault="00250B8D">
      <w:pPr>
        <w:spacing w:after="0" w:line="259" w:lineRule="auto"/>
        <w:ind w:left="0" w:right="0" w:firstLine="0"/>
      </w:pPr>
      <w:r>
        <w:rPr>
          <w:b/>
          <w:sz w:val="22"/>
        </w:rPr>
        <w:t xml:space="preserve"> </w:t>
      </w:r>
    </w:p>
    <w:p w14:paraId="25F348DA" w14:textId="77777777" w:rsidR="002D5ED7" w:rsidRDefault="00250B8D">
      <w:pPr>
        <w:spacing w:after="0" w:line="259" w:lineRule="auto"/>
        <w:ind w:left="0" w:right="0" w:firstLine="0"/>
      </w:pPr>
      <w:r>
        <w:rPr>
          <w:b/>
        </w:rPr>
        <w:t xml:space="preserve">November 2022 </w:t>
      </w:r>
    </w:p>
    <w:p w14:paraId="013E8CF8" w14:textId="77777777" w:rsidR="002D5ED7" w:rsidRDefault="00250B8D">
      <w:pPr>
        <w:spacing w:after="112" w:line="259" w:lineRule="auto"/>
        <w:ind w:left="0" w:right="0" w:firstLine="0"/>
      </w:pPr>
      <w:r>
        <w:rPr>
          <w:b/>
          <w:sz w:val="22"/>
        </w:rPr>
        <w:t xml:space="preserve"> </w:t>
      </w:r>
    </w:p>
    <w:p w14:paraId="57B2BB4B" w14:textId="77777777" w:rsidR="002D5ED7" w:rsidRDefault="00250B8D">
      <w:pPr>
        <w:pBdr>
          <w:top w:val="single" w:sz="4" w:space="0" w:color="30347C"/>
          <w:left w:val="single" w:sz="4" w:space="0" w:color="30347C"/>
          <w:bottom w:val="single" w:sz="4" w:space="0" w:color="30347C"/>
          <w:right w:val="single" w:sz="4" w:space="0" w:color="30347C"/>
        </w:pBdr>
        <w:shd w:val="clear" w:color="auto" w:fill="30347C"/>
        <w:spacing w:after="0" w:line="259" w:lineRule="auto"/>
        <w:ind w:left="77" w:right="30"/>
      </w:pPr>
      <w:r>
        <w:rPr>
          <w:b/>
          <w:color w:val="FFFFFF"/>
          <w:sz w:val="28"/>
        </w:rPr>
        <w:t>RVRS Happenings</w:t>
      </w:r>
      <w:r>
        <w:rPr>
          <w:color w:val="FFFFFF"/>
          <w:sz w:val="28"/>
        </w:rPr>
        <w:t xml:space="preserve"> </w:t>
      </w:r>
    </w:p>
    <w:p w14:paraId="7EC804BC" w14:textId="77777777" w:rsidR="002D5ED7" w:rsidRDefault="00250B8D">
      <w:pPr>
        <w:pBdr>
          <w:top w:val="single" w:sz="4" w:space="0" w:color="30347C"/>
          <w:left w:val="single" w:sz="4" w:space="0" w:color="30347C"/>
          <w:bottom w:val="single" w:sz="4" w:space="0" w:color="30347C"/>
          <w:right w:val="single" w:sz="4" w:space="0" w:color="30347C"/>
        </w:pBdr>
        <w:shd w:val="clear" w:color="auto" w:fill="30347C"/>
        <w:spacing w:after="0" w:line="259" w:lineRule="auto"/>
        <w:ind w:left="67" w:right="30" w:firstLine="0"/>
        <w:jc w:val="right"/>
      </w:pPr>
      <w:r>
        <w:rPr>
          <w:b/>
          <w:sz w:val="22"/>
        </w:rPr>
        <w:t xml:space="preserve"> </w:t>
      </w:r>
    </w:p>
    <w:p w14:paraId="5A6A9974" w14:textId="77777777" w:rsidR="002D5ED7" w:rsidRDefault="00250B8D">
      <w:pPr>
        <w:spacing w:after="35" w:line="259" w:lineRule="auto"/>
        <w:ind w:left="0" w:right="0" w:firstLine="0"/>
      </w:pPr>
      <w:r>
        <w:rPr>
          <w:b/>
          <w:sz w:val="22"/>
        </w:rPr>
        <w:t xml:space="preserve"> </w:t>
      </w:r>
    </w:p>
    <w:p w14:paraId="468DEC67" w14:textId="77777777" w:rsidR="002D5ED7" w:rsidRDefault="00250B8D">
      <w:pPr>
        <w:pStyle w:val="Heading1"/>
        <w:ind w:left="-5"/>
      </w:pPr>
      <w:r>
        <w:t xml:space="preserve">What Massachusetts Birth Records Tell Us  </w:t>
      </w:r>
    </w:p>
    <w:p w14:paraId="4DB30F86" w14:textId="77777777" w:rsidR="002D5ED7" w:rsidRDefault="00250B8D">
      <w:pPr>
        <w:spacing w:after="0" w:line="259" w:lineRule="auto"/>
        <w:ind w:left="0" w:right="0" w:firstLine="0"/>
      </w:pPr>
      <w:r>
        <w:t xml:space="preserve"> </w:t>
      </w:r>
    </w:p>
    <w:p w14:paraId="696754EE" w14:textId="77777777" w:rsidR="002D5ED7" w:rsidRDefault="00250B8D">
      <w:pPr>
        <w:ind w:left="-5" w:right="116"/>
      </w:pPr>
      <w:r>
        <w:t xml:space="preserve">As part of its ongoing data collection responsibilities, RVRS collects and disseminates information that tells us a lot about babies born in Massachusetts.  </w:t>
      </w:r>
    </w:p>
    <w:p w14:paraId="3C3212B7" w14:textId="77777777" w:rsidR="002D5ED7" w:rsidRDefault="00250B8D">
      <w:pPr>
        <w:spacing w:after="0" w:line="259" w:lineRule="auto"/>
        <w:ind w:left="0" w:right="430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73BA4D1" wp14:editId="262ED0A0">
                <wp:simplePos x="0" y="0"/>
                <wp:positionH relativeFrom="column">
                  <wp:posOffset>3618941</wp:posOffset>
                </wp:positionH>
                <wp:positionV relativeFrom="paragraph">
                  <wp:posOffset>1524</wp:posOffset>
                </wp:positionV>
                <wp:extent cx="2140585" cy="1176020"/>
                <wp:effectExtent l="0" t="0" r="0" b="0"/>
                <wp:wrapSquare wrapText="bothSides"/>
                <wp:docPr id="4037" name="Group 4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0585" cy="1176020"/>
                          <a:chOff x="0" y="0"/>
                          <a:chExt cx="2140585" cy="1176020"/>
                        </a:xfrm>
                      </wpg:grpSpPr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224" y="14224"/>
                            <a:ext cx="2112010" cy="11474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2140585" cy="1176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585" h="1176020">
                                <a:moveTo>
                                  <a:pt x="0" y="1176020"/>
                                </a:moveTo>
                                <a:lnTo>
                                  <a:pt x="2140585" y="1176020"/>
                                </a:lnTo>
                                <a:lnTo>
                                  <a:pt x="2140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2038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37" style="width:168.55pt;height:92.6pt;position:absolute;mso-position-horizontal-relative:text;mso-position-horizontal:absolute;margin-left:284.956pt;mso-position-vertical-relative:text;margin-top:0.119995pt;" coordsize="21405,11760">
                <v:shape id="Picture 96" style="position:absolute;width:21120;height:11474;left:142;top:142;" filled="f">
                  <v:imagedata r:id="rId7"/>
                </v:shape>
                <v:shape id="Shape 97" style="position:absolute;width:21405;height:11760;left:0;top:0;" coordsize="2140585,1176020" path="m0,1176020l2140585,1176020l2140585,0l0,0x">
                  <v:stroke weight="2.25pt" endcap="flat" joinstyle="round" on="true" color="#203864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</w:t>
      </w:r>
    </w:p>
    <w:p w14:paraId="6804D1AB" w14:textId="77777777" w:rsidR="002D5ED7" w:rsidRDefault="00250B8D">
      <w:pPr>
        <w:spacing w:after="0" w:line="259" w:lineRule="auto"/>
        <w:ind w:left="0" w:right="430" w:firstLine="0"/>
      </w:pPr>
      <w:r>
        <w:t xml:space="preserve">For instance, </w:t>
      </w:r>
      <w:r>
        <w:t xml:space="preserve">RVRS’s birth data shows that </w:t>
      </w:r>
    </w:p>
    <w:p w14:paraId="1BEC6923" w14:textId="77777777" w:rsidR="002D5ED7" w:rsidRDefault="00250B8D">
      <w:pPr>
        <w:ind w:left="-5" w:right="430"/>
      </w:pPr>
      <w:r>
        <w:t>Massac</w:t>
      </w:r>
      <w:r>
        <w:t xml:space="preserve">husetts babies born between 2016 and 2020 on average weighed 6.9 pounds and were 21 inches long. </w:t>
      </w:r>
    </w:p>
    <w:p w14:paraId="578A194A" w14:textId="77777777" w:rsidR="002D5ED7" w:rsidRDefault="00250B8D">
      <w:pPr>
        <w:spacing w:after="0" w:line="259" w:lineRule="auto"/>
        <w:ind w:left="0" w:right="430" w:firstLine="0"/>
      </w:pPr>
      <w:r>
        <w:t xml:space="preserve"> </w:t>
      </w:r>
    </w:p>
    <w:p w14:paraId="67F900D9" w14:textId="77777777" w:rsidR="002D5ED7" w:rsidRDefault="00250B8D">
      <w:pPr>
        <w:ind w:left="-5" w:right="510"/>
      </w:pPr>
      <w:r>
        <w:t>The data also shows how naming trends have evolved over time and across generations. As displayed in the graphic below, "Michael" and "John" remained in the</w:t>
      </w:r>
      <w:r>
        <w:t xml:space="preserve"> top 10 baby boy names for each generation spanning from Gen X to Gen Alpha, and no single baby girl name remained in the top 10 across all generations. See if your name is on any of the lists below.  </w:t>
      </w:r>
    </w:p>
    <w:p w14:paraId="56A28449" w14:textId="77777777" w:rsidR="002D5ED7" w:rsidRDefault="00250B8D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33B9BD3C" w14:textId="77777777" w:rsidR="002D5ED7" w:rsidRDefault="00250B8D">
      <w:pPr>
        <w:spacing w:after="0" w:line="259" w:lineRule="auto"/>
        <w:ind w:left="0" w:right="808" w:firstLine="0"/>
        <w:jc w:val="right"/>
      </w:pPr>
      <w:r>
        <w:rPr>
          <w:noProof/>
        </w:rPr>
        <w:lastRenderedPageBreak/>
        <w:drawing>
          <wp:inline distT="0" distB="0" distL="0" distR="0" wp14:anchorId="6D0656C6" wp14:editId="273BE32A">
            <wp:extent cx="5480050" cy="3714750"/>
            <wp:effectExtent l="0" t="0" r="0" b="0"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00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779D8308" w14:textId="77777777" w:rsidR="002D5ED7" w:rsidRDefault="00250B8D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70B8BABF" w14:textId="77777777" w:rsidR="002D5ED7" w:rsidRDefault="00250B8D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79E12081" w14:textId="77777777" w:rsidR="002D5ED7" w:rsidRDefault="00250B8D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4CA8DD17" w14:textId="77777777" w:rsidR="002D5ED7" w:rsidRDefault="00250B8D">
      <w:pPr>
        <w:spacing w:after="116" w:line="259" w:lineRule="auto"/>
        <w:ind w:left="720" w:right="0" w:firstLine="0"/>
      </w:pPr>
      <w:r>
        <w:rPr>
          <w:sz w:val="22"/>
        </w:rPr>
        <w:t xml:space="preserve"> </w:t>
      </w:r>
    </w:p>
    <w:p w14:paraId="05368850" w14:textId="77777777" w:rsidR="002D5ED7" w:rsidRDefault="00250B8D">
      <w:pPr>
        <w:pBdr>
          <w:top w:val="single" w:sz="4" w:space="0" w:color="30347C"/>
          <w:left w:val="single" w:sz="4" w:space="0" w:color="30347C"/>
          <w:bottom w:val="single" w:sz="4" w:space="0" w:color="30347C"/>
          <w:right w:val="single" w:sz="4" w:space="0" w:color="30347C"/>
        </w:pBdr>
        <w:shd w:val="clear" w:color="auto" w:fill="30347C"/>
        <w:spacing w:after="0" w:line="259" w:lineRule="auto"/>
        <w:ind w:left="77" w:right="30"/>
      </w:pPr>
      <w:r>
        <w:rPr>
          <w:b/>
          <w:color w:val="FFFFFF"/>
          <w:sz w:val="28"/>
        </w:rPr>
        <w:t>Policy and Procedure</w:t>
      </w:r>
      <w:r>
        <w:rPr>
          <w:color w:val="FFFFFF"/>
          <w:sz w:val="22"/>
        </w:rPr>
        <w:t xml:space="preserve"> </w:t>
      </w:r>
    </w:p>
    <w:p w14:paraId="18180715" w14:textId="77777777" w:rsidR="002D5ED7" w:rsidRDefault="00250B8D">
      <w:pPr>
        <w:pBdr>
          <w:top w:val="single" w:sz="4" w:space="0" w:color="30347C"/>
          <w:left w:val="single" w:sz="4" w:space="0" w:color="30347C"/>
          <w:bottom w:val="single" w:sz="4" w:space="0" w:color="30347C"/>
          <w:right w:val="single" w:sz="4" w:space="0" w:color="30347C"/>
        </w:pBdr>
        <w:shd w:val="clear" w:color="auto" w:fill="30347C"/>
        <w:spacing w:after="155" w:line="259" w:lineRule="auto"/>
        <w:ind w:left="67" w:right="30" w:firstLine="0"/>
        <w:jc w:val="right"/>
      </w:pPr>
      <w:r>
        <w:rPr>
          <w:b/>
          <w:color w:val="30347C"/>
          <w:sz w:val="22"/>
        </w:rPr>
        <w:t xml:space="preserve"> </w:t>
      </w:r>
    </w:p>
    <w:p w14:paraId="6CD475EF" w14:textId="77777777" w:rsidR="002D5ED7" w:rsidRDefault="00250B8D">
      <w:pPr>
        <w:pStyle w:val="Heading2"/>
        <w:spacing w:after="119"/>
        <w:ind w:left="-5"/>
      </w:pPr>
      <w:r>
        <w:t xml:space="preserve">Additional Options for Veteran Information Worksheet </w:t>
      </w:r>
      <w:r>
        <w:rPr>
          <w:b w:val="0"/>
          <w:color w:val="000000"/>
        </w:rPr>
        <w:t xml:space="preserve"> </w:t>
      </w:r>
    </w:p>
    <w:p w14:paraId="2DBD52B4" w14:textId="77777777" w:rsidR="002D5ED7" w:rsidRDefault="00250B8D">
      <w:pPr>
        <w:ind w:left="-5" w:right="116"/>
      </w:pPr>
      <w:r>
        <w:t xml:space="preserve">The </w:t>
      </w:r>
      <w:hyperlink r:id="rId9">
        <w:r>
          <w:rPr>
            <w:color w:val="0563C1"/>
            <w:u w:val="single" w:color="0563C1"/>
          </w:rPr>
          <w:t>Veteran Information Worksheet for Certificate of Death</w:t>
        </w:r>
      </w:hyperlink>
      <w:hyperlink r:id="rId10">
        <w:r>
          <w:t xml:space="preserve"> </w:t>
        </w:r>
      </w:hyperlink>
      <w:r>
        <w:t>has been updated to include additional uniformed branches of the military as options to select when indicating the most recent branches of the military a veteran was engaged with at the time of completing the worksheet. These new uniforme</w:t>
      </w:r>
      <w:r>
        <w:t xml:space="preserve">d branches include the National Oceanic and Atmospheric Administration (NOAA) Corps, the Public Health Service, and the Space Force. </w:t>
      </w:r>
    </w:p>
    <w:p w14:paraId="531A870D" w14:textId="77777777" w:rsidR="002D5ED7" w:rsidRDefault="00250B8D">
      <w:pPr>
        <w:spacing w:after="15" w:line="259" w:lineRule="auto"/>
        <w:ind w:left="0" w:right="0" w:firstLine="0"/>
      </w:pPr>
      <w:r>
        <w:t xml:space="preserve"> </w:t>
      </w:r>
    </w:p>
    <w:p w14:paraId="3BBBD863" w14:textId="77777777" w:rsidR="002D5ED7" w:rsidRDefault="00250B8D">
      <w:pPr>
        <w:pStyle w:val="Heading2"/>
        <w:ind w:left="-5"/>
      </w:pPr>
      <w:r>
        <w:t>Marriage Age Changes</w:t>
      </w:r>
      <w:r>
        <w:rPr>
          <w:b w:val="0"/>
          <w:color w:val="000000"/>
          <w:sz w:val="24"/>
        </w:rPr>
        <w:t xml:space="preserve"> </w:t>
      </w:r>
    </w:p>
    <w:p w14:paraId="30691F90" w14:textId="77777777" w:rsidR="002D5ED7" w:rsidRDefault="00250B8D">
      <w:pPr>
        <w:spacing w:after="0" w:line="259" w:lineRule="auto"/>
        <w:ind w:left="0" w:right="0" w:firstLine="0"/>
      </w:pPr>
      <w:r>
        <w:t xml:space="preserve"> </w:t>
      </w:r>
    </w:p>
    <w:p w14:paraId="4BECA9BC" w14:textId="77777777" w:rsidR="002D5ED7" w:rsidRDefault="00250B8D">
      <w:pPr>
        <w:spacing w:after="29"/>
        <w:ind w:left="-5" w:right="116"/>
      </w:pPr>
      <w:r>
        <w:t>A</w:t>
      </w:r>
      <w:hyperlink r:id="rId11">
        <w:r>
          <w:t xml:space="preserve"> </w:t>
        </w:r>
      </w:hyperlink>
      <w:hyperlink r:id="rId12">
        <w:r>
          <w:rPr>
            <w:color w:val="0563C1"/>
            <w:u w:val="single" w:color="0563C1"/>
          </w:rPr>
          <w:t>memo</w:t>
        </w:r>
      </w:hyperlink>
      <w:hyperlink r:id="rId13">
        <w:r>
          <w:t xml:space="preserve"> </w:t>
        </w:r>
      </w:hyperlink>
      <w:r>
        <w:t xml:space="preserve">was recently sent to city and town clerks regarding updates </w:t>
      </w:r>
      <w:r>
        <w:t>to the marriage certificate process, indicating that legislation enacted October 26, 2022, prohibits marriages</w:t>
      </w:r>
      <w:r>
        <w:rPr>
          <w:sz w:val="22"/>
        </w:rPr>
        <w:t xml:space="preserve"> </w:t>
      </w:r>
      <w:r>
        <w:t xml:space="preserve">to individuals under the age of 18. This legislation was included as part of the </w:t>
      </w:r>
      <w:r>
        <w:t>Governor’s Fiscal Year 2023</w:t>
      </w:r>
      <w:r>
        <w:t xml:space="preserve"> </w:t>
      </w:r>
      <w:hyperlink r:id="rId14">
        <w:r>
          <w:rPr>
            <w:color w:val="0563C1"/>
            <w:u w:val="single" w:color="0563C1"/>
          </w:rPr>
          <w:t>budget</w:t>
        </w:r>
      </w:hyperlink>
      <w:hyperlink r:id="rId15">
        <w:r>
          <w:t xml:space="preserve"> </w:t>
        </w:r>
      </w:hyperlink>
      <w:r>
        <w:t xml:space="preserve">(sections 81-88).  </w:t>
      </w:r>
    </w:p>
    <w:p w14:paraId="513863A4" w14:textId="77777777" w:rsidR="002D5ED7" w:rsidRDefault="00250B8D">
      <w:pPr>
        <w:spacing w:after="0" w:line="259" w:lineRule="auto"/>
        <w:ind w:left="0" w:right="0" w:firstLine="0"/>
      </w:pPr>
      <w:r>
        <w:rPr>
          <w:b/>
          <w:color w:val="30347C"/>
          <w:sz w:val="28"/>
        </w:rPr>
        <w:t xml:space="preserve"> </w:t>
      </w:r>
    </w:p>
    <w:p w14:paraId="7B537C51" w14:textId="77777777" w:rsidR="002D5ED7" w:rsidRDefault="00250B8D">
      <w:pPr>
        <w:pStyle w:val="Heading2"/>
        <w:ind w:left="-5"/>
      </w:pPr>
      <w:r>
        <w:t>Access to Pre-Adoption Birth Records</w:t>
      </w:r>
      <w:r>
        <w:rPr>
          <w:b w:val="0"/>
          <w:color w:val="000000"/>
        </w:rPr>
        <w:t xml:space="preserve"> </w:t>
      </w:r>
    </w:p>
    <w:p w14:paraId="4CD5254A" w14:textId="77777777" w:rsidR="002D5ED7" w:rsidRDefault="00250B8D">
      <w:pPr>
        <w:spacing w:after="0" w:line="259" w:lineRule="auto"/>
        <w:ind w:left="0" w:right="0" w:firstLine="0"/>
      </w:pPr>
      <w:r>
        <w:t xml:space="preserve">  </w:t>
      </w:r>
    </w:p>
    <w:p w14:paraId="28045715" w14:textId="77777777" w:rsidR="002D5ED7" w:rsidRDefault="00250B8D">
      <w:pPr>
        <w:ind w:left="-5" w:right="116"/>
      </w:pPr>
      <w:r>
        <w:t>Effective November 3, 2022, Chapter 158 of the Acts of 2022 expands access to records of births prior to adoption to a</w:t>
      </w:r>
      <w:r>
        <w:t xml:space="preserve">ll years of birth. Previously, such records were restricted to births occurring on or before July 14, 1974, and on or after January 1, 2008. You can find specifics in </w:t>
      </w:r>
      <w:r>
        <w:lastRenderedPageBreak/>
        <w:t xml:space="preserve">the </w:t>
      </w:r>
      <w:hyperlink r:id="rId16">
        <w:r>
          <w:rPr>
            <w:color w:val="0563C1"/>
            <w:u w:val="single" w:color="0563C1"/>
          </w:rPr>
          <w:t>memo</w:t>
        </w:r>
      </w:hyperlink>
      <w:hyperlink r:id="rId17">
        <w:r>
          <w:t xml:space="preserve"> </w:t>
        </w:r>
      </w:hyperlink>
      <w:r>
        <w:t>that was issued to city and town clerks on November 2. Non-certified pre-</w:t>
      </w:r>
      <w:r>
        <w:t>adoption records may be requested through the Registry of Vital Records and Statistics by</w:t>
      </w:r>
      <w:hyperlink r:id="rId18">
        <w:r>
          <w:t xml:space="preserve"> </w:t>
        </w:r>
      </w:hyperlink>
      <w:hyperlink r:id="rId19">
        <w:r>
          <w:rPr>
            <w:color w:val="0563C1"/>
            <w:u w:val="single" w:color="0563C1"/>
          </w:rPr>
          <w:t>visiting</w:t>
        </w:r>
      </w:hyperlink>
      <w:hyperlink r:id="rId20">
        <w:r>
          <w:rPr>
            <w:color w:val="0563C1"/>
            <w:u w:val="single" w:color="0563C1"/>
          </w:rPr>
          <w:t xml:space="preserve"> </w:t>
        </w:r>
      </w:hyperlink>
      <w:hyperlink r:id="rId21">
        <w:r>
          <w:rPr>
            <w:color w:val="0563C1"/>
            <w:u w:val="single" w:color="0563C1"/>
          </w:rPr>
          <w:t>our</w:t>
        </w:r>
      </w:hyperlink>
      <w:hyperlink r:id="rId22">
        <w:r>
          <w:rPr>
            <w:color w:val="0563C1"/>
          </w:rPr>
          <w:t xml:space="preserve"> </w:t>
        </w:r>
      </w:hyperlink>
      <w:hyperlink r:id="rId23">
        <w:r>
          <w:rPr>
            <w:color w:val="0563C1"/>
            <w:u w:val="single" w:color="0563C1"/>
          </w:rPr>
          <w:t>web page</w:t>
        </w:r>
      </w:hyperlink>
      <w:hyperlink r:id="rId24">
        <w:r>
          <w:rPr>
            <w:sz w:val="22"/>
          </w:rPr>
          <w:t>.</w:t>
        </w:r>
      </w:hyperlink>
      <w:r>
        <w:rPr>
          <w:color w:val="0563C1"/>
        </w:rPr>
        <w:t xml:space="preserve"> </w:t>
      </w:r>
    </w:p>
    <w:p w14:paraId="498D9A3E" w14:textId="77777777" w:rsidR="002D5ED7" w:rsidRDefault="00250B8D">
      <w:pPr>
        <w:spacing w:after="95" w:line="259" w:lineRule="auto"/>
        <w:ind w:left="0" w:right="0" w:firstLine="0"/>
      </w:pPr>
      <w:r>
        <w:t xml:space="preserve"> </w:t>
      </w:r>
    </w:p>
    <w:p w14:paraId="58631FA7" w14:textId="77777777" w:rsidR="002D5ED7" w:rsidRDefault="00250B8D">
      <w:pPr>
        <w:pBdr>
          <w:top w:val="single" w:sz="4" w:space="0" w:color="30347C"/>
          <w:left w:val="single" w:sz="4" w:space="0" w:color="30347C"/>
          <w:bottom w:val="single" w:sz="4" w:space="0" w:color="30347C"/>
          <w:right w:val="single" w:sz="4" w:space="0" w:color="30347C"/>
        </w:pBdr>
        <w:shd w:val="clear" w:color="auto" w:fill="30347C"/>
        <w:spacing w:after="0" w:line="259" w:lineRule="auto"/>
        <w:ind w:left="77" w:right="28"/>
      </w:pPr>
      <w:r>
        <w:rPr>
          <w:b/>
          <w:color w:val="FFFFFF"/>
          <w:sz w:val="28"/>
        </w:rPr>
        <w:t>National Observances</w:t>
      </w:r>
      <w:r>
        <w:rPr>
          <w:color w:val="FFFFFF"/>
          <w:sz w:val="22"/>
        </w:rPr>
        <w:t xml:space="preserve"> </w:t>
      </w:r>
    </w:p>
    <w:p w14:paraId="6DC22F6B" w14:textId="77777777" w:rsidR="002D5ED7" w:rsidRDefault="00250B8D">
      <w:pPr>
        <w:pBdr>
          <w:top w:val="single" w:sz="4" w:space="0" w:color="30347C"/>
          <w:left w:val="single" w:sz="4" w:space="0" w:color="30347C"/>
          <w:bottom w:val="single" w:sz="4" w:space="0" w:color="30347C"/>
          <w:right w:val="single" w:sz="4" w:space="0" w:color="30347C"/>
        </w:pBdr>
        <w:shd w:val="clear" w:color="auto" w:fill="30347C"/>
        <w:spacing w:after="132" w:line="259" w:lineRule="auto"/>
        <w:ind w:left="67" w:right="28" w:firstLine="0"/>
        <w:jc w:val="right"/>
      </w:pPr>
      <w:r>
        <w:rPr>
          <w:b/>
        </w:rPr>
        <w:t xml:space="preserve"> </w:t>
      </w:r>
    </w:p>
    <w:p w14:paraId="4DA20F56" w14:textId="77777777" w:rsidR="002D5ED7" w:rsidRDefault="00250B8D">
      <w:pPr>
        <w:pStyle w:val="Heading1"/>
        <w:ind w:left="-5"/>
      </w:pPr>
      <w:r>
        <w:t xml:space="preserve">National Adoption Day </w:t>
      </w:r>
    </w:p>
    <w:p w14:paraId="5D332CA2" w14:textId="77777777" w:rsidR="002D5ED7" w:rsidRDefault="00250B8D">
      <w:pPr>
        <w:spacing w:after="0" w:line="259" w:lineRule="auto"/>
        <w:ind w:left="0" w:right="0" w:firstLine="0"/>
      </w:pPr>
      <w:r>
        <w:rPr>
          <w:b/>
          <w:color w:val="002060"/>
          <w:sz w:val="28"/>
        </w:rPr>
        <w:t xml:space="preserve"> </w:t>
      </w:r>
    </w:p>
    <w:p w14:paraId="0F442D41" w14:textId="77777777" w:rsidR="002D5ED7" w:rsidRDefault="00250B8D">
      <w:pPr>
        <w:ind w:left="-5" w:right="116"/>
      </w:pPr>
      <w:r>
        <w:t>As we celebrate National Adoption Day on November 19, did you know that RVRS plays an important role in adoption? RVRS receives information about every adoption to a Massachusetts-born child for the purpose of amending a child's bi</w:t>
      </w:r>
      <w:r>
        <w:t xml:space="preserve">rth certificate. RVRS completes about 1,300 birth certificate amendments for adoptions annually. </w:t>
      </w:r>
    </w:p>
    <w:p w14:paraId="4588C764" w14:textId="77777777" w:rsidR="002D5ED7" w:rsidRDefault="00250B8D">
      <w:pPr>
        <w:spacing w:after="35" w:line="259" w:lineRule="auto"/>
        <w:ind w:left="0" w:right="0" w:firstLine="0"/>
      </w:pPr>
      <w:r>
        <w:rPr>
          <w:b/>
          <w:color w:val="002060"/>
          <w:sz w:val="22"/>
        </w:rPr>
        <w:t xml:space="preserve"> </w:t>
      </w:r>
    </w:p>
    <w:p w14:paraId="2B562AAF" w14:textId="77777777" w:rsidR="002D5ED7" w:rsidRDefault="00250B8D">
      <w:pPr>
        <w:pStyle w:val="Heading1"/>
        <w:ind w:left="-5"/>
      </w:pPr>
      <w:r>
        <w:t xml:space="preserve">American Diabetes Month </w:t>
      </w:r>
    </w:p>
    <w:p w14:paraId="23B04FDF" w14:textId="77777777" w:rsidR="002D5ED7" w:rsidRDefault="00250B8D">
      <w:pPr>
        <w:spacing w:after="0" w:line="259" w:lineRule="auto"/>
        <w:ind w:left="0" w:right="0" w:firstLine="0"/>
      </w:pPr>
      <w:r>
        <w:rPr>
          <w:b/>
          <w:color w:val="002060"/>
        </w:rPr>
        <w:t xml:space="preserve"> </w:t>
      </w:r>
    </w:p>
    <w:p w14:paraId="3DF4DEC0" w14:textId="77777777" w:rsidR="002D5ED7" w:rsidRDefault="00250B8D">
      <w:pPr>
        <w:spacing w:after="271"/>
        <w:ind w:left="-5" w:right="116"/>
      </w:pPr>
      <w:r>
        <w:t>November is American Diabetes Month. RVRS collects Massachusetts diabetes death data according to various demographic information</w:t>
      </w:r>
      <w:r>
        <w:t>, such as age group, gender, and race/ethnicity. The statistics based on these data are published at</w:t>
      </w:r>
      <w:hyperlink r:id="rId25">
        <w:r>
          <w:t xml:space="preserve"> </w:t>
        </w:r>
      </w:hyperlink>
      <w:hyperlink r:id="rId26">
        <w:r>
          <w:rPr>
            <w:color w:val="0563C1"/>
            <w:u w:val="single" w:color="0563C1"/>
          </w:rPr>
          <w:t>Death Reports</w:t>
        </w:r>
      </w:hyperlink>
      <w:hyperlink r:id="rId27">
        <w:r>
          <w:t>.</w:t>
        </w:r>
      </w:hyperlink>
      <w:r>
        <w:t xml:space="preserve"> In addition, DPH provides a variety of resources and information on how to </w:t>
      </w:r>
      <w:hyperlink r:id="rId28">
        <w:r>
          <w:rPr>
            <w:color w:val="0563C1"/>
            <w:u w:val="single" w:color="0563C1"/>
          </w:rPr>
          <w:t>manage diabetes</w:t>
        </w:r>
      </w:hyperlink>
      <w:hyperlink r:id="rId29">
        <w:r>
          <w:t xml:space="preserve"> </w:t>
        </w:r>
      </w:hyperlink>
      <w:r>
        <w:t xml:space="preserve">once it has been diagnosed.  </w:t>
      </w:r>
    </w:p>
    <w:p w14:paraId="76124330" w14:textId="77777777" w:rsidR="002D5ED7" w:rsidRDefault="00250B8D">
      <w:pPr>
        <w:ind w:left="-5" w:right="116"/>
      </w:pPr>
      <w:r>
        <w:t xml:space="preserve">The data shows that there were 51.3% more deaths where diabetes was a contributing cause in </w:t>
      </w:r>
    </w:p>
    <w:p w14:paraId="35A887AB" w14:textId="77777777" w:rsidR="002D5ED7" w:rsidRDefault="00250B8D">
      <w:pPr>
        <w:spacing w:after="223"/>
        <w:ind w:left="-5" w:right="116"/>
      </w:pPr>
      <w:r>
        <w:t>2020 when compared to 2016. It is important for medical certifiers, when completing a death certificate, to consistently include detailed information about contributing factors as these data are used by public health programs and medical research both sta</w:t>
      </w:r>
      <w:r>
        <w:t xml:space="preserve">tewide and nationally. </w:t>
      </w:r>
    </w:p>
    <w:p w14:paraId="1D696F15" w14:textId="77777777" w:rsidR="002D5ED7" w:rsidRDefault="00250B8D">
      <w:pPr>
        <w:spacing w:after="0" w:line="259" w:lineRule="auto"/>
        <w:ind w:left="0" w:right="175" w:firstLine="0"/>
        <w:jc w:val="right"/>
      </w:pPr>
      <w:r>
        <w:rPr>
          <w:noProof/>
        </w:rPr>
        <w:drawing>
          <wp:inline distT="0" distB="0" distL="0" distR="0" wp14:anchorId="3F869833" wp14:editId="2989C37B">
            <wp:extent cx="5886450" cy="3181350"/>
            <wp:effectExtent l="0" t="0" r="0" b="0"/>
            <wp:docPr id="551" name="Picture 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" name="Picture 551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2060"/>
        </w:rPr>
        <w:t xml:space="preserve"> </w:t>
      </w:r>
    </w:p>
    <w:p w14:paraId="70D748CD" w14:textId="77777777" w:rsidR="002D5ED7" w:rsidRDefault="00250B8D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0E10C7F4" w14:textId="77777777" w:rsidR="002D5ED7" w:rsidRDefault="00250B8D">
      <w:pPr>
        <w:spacing w:after="1" w:line="240" w:lineRule="auto"/>
        <w:ind w:left="-5" w:right="104"/>
      </w:pPr>
      <w:r>
        <w:rPr>
          <w:b/>
          <w:sz w:val="20"/>
        </w:rPr>
        <w:t xml:space="preserve">Immediate Cause of Death: </w:t>
      </w:r>
      <w:r>
        <w:rPr>
          <w:sz w:val="20"/>
        </w:rPr>
        <w:t xml:space="preserve">The condition that directly led to death. An example is respiratory failure.  </w:t>
      </w:r>
      <w:r>
        <w:rPr>
          <w:b/>
          <w:sz w:val="20"/>
        </w:rPr>
        <w:t xml:space="preserve">Underlying Cause of Death: </w:t>
      </w:r>
      <w:r>
        <w:rPr>
          <w:sz w:val="20"/>
        </w:rPr>
        <w:t xml:space="preserve">The condition that led to the immediate cause of death. An example would be lung cancer as the underlying cause that led to respiratory failure </w:t>
      </w:r>
    </w:p>
    <w:p w14:paraId="34D38946" w14:textId="77777777" w:rsidR="002D5ED7" w:rsidRDefault="00250B8D">
      <w:pPr>
        <w:spacing w:after="1" w:line="240" w:lineRule="auto"/>
        <w:ind w:left="-5" w:right="104"/>
      </w:pPr>
      <w:r>
        <w:rPr>
          <w:b/>
          <w:sz w:val="20"/>
        </w:rPr>
        <w:lastRenderedPageBreak/>
        <w:t>Contributing Cause of Death:</w:t>
      </w:r>
      <w:r>
        <w:rPr>
          <w:sz w:val="20"/>
        </w:rPr>
        <w:t xml:space="preserve"> Related conditions that were not part of the sequence of events leading to the imm</w:t>
      </w:r>
      <w:r>
        <w:rPr>
          <w:sz w:val="20"/>
        </w:rPr>
        <w:t xml:space="preserve">ediate cause of death. An example would be that the patient who died from lung cancer also had emphysema as a contributing factor. </w:t>
      </w:r>
    </w:p>
    <w:p w14:paraId="32460DA9" w14:textId="77777777" w:rsidR="002D5ED7" w:rsidRDefault="00250B8D">
      <w:pPr>
        <w:spacing w:after="436" w:line="240" w:lineRule="auto"/>
        <w:ind w:left="-5" w:right="104"/>
      </w:pPr>
      <w:r>
        <w:rPr>
          <w:b/>
          <w:sz w:val="20"/>
        </w:rPr>
        <w:t>Source:</w:t>
      </w:r>
      <w:r>
        <w:rPr>
          <w:sz w:val="20"/>
        </w:rPr>
        <w:t xml:space="preserve"> Massachusetts Department of Health, Registry of Vital Records and Statistics. 2022. Death Files, 20162020. </w:t>
      </w:r>
    </w:p>
    <w:p w14:paraId="4486CDF5" w14:textId="77777777" w:rsidR="002D5ED7" w:rsidRDefault="00250B8D">
      <w:pPr>
        <w:pStyle w:val="Heading2"/>
        <w:pBdr>
          <w:top w:val="single" w:sz="4" w:space="0" w:color="30347C"/>
          <w:left w:val="single" w:sz="4" w:space="0" w:color="30347C"/>
          <w:bottom w:val="single" w:sz="4" w:space="0" w:color="30347C"/>
          <w:right w:val="single" w:sz="4" w:space="0" w:color="30347C"/>
        </w:pBdr>
        <w:shd w:val="clear" w:color="auto" w:fill="30347C"/>
        <w:ind w:left="77" w:right="28"/>
      </w:pPr>
      <w:r>
        <w:rPr>
          <w:color w:val="FFFFFF"/>
        </w:rPr>
        <w:t>How to C</w:t>
      </w:r>
      <w:r>
        <w:rPr>
          <w:color w:val="FFFFFF"/>
        </w:rPr>
        <w:t>ontact RVRS</w:t>
      </w:r>
      <w:r>
        <w:rPr>
          <w:b w:val="0"/>
          <w:color w:val="FFFFFF"/>
          <w:sz w:val="22"/>
        </w:rPr>
        <w:t xml:space="preserve"> </w:t>
      </w:r>
    </w:p>
    <w:p w14:paraId="02980760" w14:textId="77777777" w:rsidR="002D5ED7" w:rsidRDefault="00250B8D">
      <w:pPr>
        <w:pBdr>
          <w:top w:val="single" w:sz="4" w:space="0" w:color="30347C"/>
          <w:left w:val="single" w:sz="4" w:space="0" w:color="30347C"/>
          <w:bottom w:val="single" w:sz="4" w:space="0" w:color="30347C"/>
          <w:right w:val="single" w:sz="4" w:space="0" w:color="30347C"/>
        </w:pBdr>
        <w:shd w:val="clear" w:color="auto" w:fill="30347C"/>
        <w:spacing w:after="190" w:line="259" w:lineRule="auto"/>
        <w:ind w:left="67" w:right="28" w:firstLine="0"/>
        <w:jc w:val="right"/>
      </w:pPr>
      <w:r>
        <w:rPr>
          <w:b/>
          <w:color w:val="002060"/>
        </w:rPr>
        <w:t xml:space="preserve"> </w:t>
      </w:r>
    </w:p>
    <w:p w14:paraId="1D5F9969" w14:textId="77777777" w:rsidR="002D5ED7" w:rsidRDefault="00250B8D">
      <w:pPr>
        <w:ind w:left="-5" w:right="116"/>
      </w:pPr>
      <w:r>
        <w:t xml:space="preserve">For the topics below, please contact the given email address. Your inquiry will be responded to by a member of the RVRS team. </w:t>
      </w:r>
    </w:p>
    <w:p w14:paraId="778D1913" w14:textId="77777777" w:rsidR="002D5ED7" w:rsidRDefault="00250B8D">
      <w:pPr>
        <w:spacing w:after="0" w:line="259" w:lineRule="auto"/>
        <w:ind w:left="720" w:right="0" w:firstLine="0"/>
      </w:pPr>
      <w:r>
        <w:rPr>
          <w:sz w:val="22"/>
        </w:rPr>
        <w:t xml:space="preserve"> </w:t>
      </w:r>
    </w:p>
    <w:tbl>
      <w:tblPr>
        <w:tblStyle w:val="TableGrid"/>
        <w:tblW w:w="8634" w:type="dxa"/>
        <w:tblInd w:w="5" w:type="dxa"/>
        <w:tblCellMar>
          <w:top w:w="53" w:type="dxa"/>
          <w:left w:w="106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4947"/>
        <w:gridCol w:w="3687"/>
      </w:tblGrid>
      <w:tr w:rsidR="002D5ED7" w14:paraId="5D6FCE4F" w14:textId="77777777">
        <w:trPr>
          <w:trHeight w:val="302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ED21" w14:textId="77777777" w:rsidR="002D5ED7" w:rsidRDefault="00250B8D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</w:rPr>
              <w:t>Topic</w:t>
            </w:r>
            <w: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F54F" w14:textId="77777777" w:rsidR="002D5ED7" w:rsidRDefault="00250B8D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</w:rPr>
              <w:t>Contact</w:t>
            </w:r>
            <w:r>
              <w:t xml:space="preserve"> </w:t>
            </w:r>
          </w:p>
        </w:tc>
      </w:tr>
      <w:tr w:rsidR="002D5ED7" w14:paraId="198C3B0D" w14:textId="77777777">
        <w:trPr>
          <w:trHeight w:val="302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9B38" w14:textId="77777777" w:rsidR="002D5ED7" w:rsidRDefault="00250B8D">
            <w:pPr>
              <w:spacing w:after="0" w:line="259" w:lineRule="auto"/>
              <w:ind w:left="2" w:right="0" w:firstLine="0"/>
            </w:pPr>
            <w:r>
              <w:t xml:space="preserve">Amendments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8A1D" w14:textId="77777777" w:rsidR="002D5ED7" w:rsidRDefault="00250B8D">
            <w:pPr>
              <w:spacing w:after="0" w:line="259" w:lineRule="auto"/>
              <w:ind w:left="0" w:right="0" w:firstLine="0"/>
            </w:pPr>
            <w:r>
              <w:rPr>
                <w:color w:val="0563C1"/>
                <w:u w:val="single" w:color="0563C1"/>
              </w:rPr>
              <w:t>vip-amend@state.ma.us</w:t>
            </w:r>
            <w:r>
              <w:t xml:space="preserve">  </w:t>
            </w:r>
          </w:p>
        </w:tc>
      </w:tr>
      <w:tr w:rsidR="002D5ED7" w14:paraId="2833FCF1" w14:textId="77777777">
        <w:trPr>
          <w:trHeight w:val="303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2443" w14:textId="77777777" w:rsidR="002D5ED7" w:rsidRDefault="00250B8D">
            <w:pPr>
              <w:spacing w:after="0" w:line="259" w:lineRule="auto"/>
              <w:ind w:left="2" w:right="0" w:firstLine="0"/>
            </w:pPr>
            <w:r>
              <w:t xml:space="preserve">Data and Publications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DD35" w14:textId="77777777" w:rsidR="002D5ED7" w:rsidRDefault="00250B8D">
            <w:pPr>
              <w:spacing w:after="0" w:line="259" w:lineRule="auto"/>
              <w:ind w:left="0" w:right="0" w:firstLine="0"/>
            </w:pPr>
            <w:r>
              <w:rPr>
                <w:color w:val="0563C1"/>
                <w:u w:val="single" w:color="0563C1"/>
              </w:rPr>
              <w:t>vital.datarequest@state.ma.us</w:t>
            </w:r>
            <w:r>
              <w:t xml:space="preserve">  </w:t>
            </w:r>
          </w:p>
        </w:tc>
      </w:tr>
      <w:tr w:rsidR="002D5ED7" w14:paraId="038F916B" w14:textId="77777777">
        <w:trPr>
          <w:trHeight w:val="305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765A" w14:textId="77777777" w:rsidR="002D5ED7" w:rsidRDefault="00250B8D">
            <w:pPr>
              <w:spacing w:after="0" w:line="259" w:lineRule="auto"/>
              <w:ind w:left="2" w:right="0" w:firstLine="0"/>
            </w:pPr>
            <w:r>
              <w:t xml:space="preserve">Delayed Records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3B81" w14:textId="77777777" w:rsidR="002D5ED7" w:rsidRDefault="00250B8D">
            <w:pPr>
              <w:spacing w:after="0" w:line="259" w:lineRule="auto"/>
              <w:ind w:left="0" w:right="0" w:firstLine="0"/>
            </w:pPr>
            <w:r>
              <w:rPr>
                <w:color w:val="0563C1"/>
                <w:u w:val="single" w:color="0563C1"/>
              </w:rPr>
              <w:t>vital.regulation@state.ma.us</w:t>
            </w:r>
            <w:r>
              <w:t xml:space="preserve">  </w:t>
            </w:r>
          </w:p>
        </w:tc>
      </w:tr>
      <w:tr w:rsidR="002D5ED7" w14:paraId="69A88EDC" w14:textId="77777777">
        <w:trPr>
          <w:trHeight w:val="302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6946" w14:textId="77777777" w:rsidR="002D5ED7" w:rsidRDefault="00250B8D">
            <w:pPr>
              <w:spacing w:after="0" w:line="259" w:lineRule="auto"/>
              <w:ind w:left="2" w:right="0" w:firstLine="0"/>
            </w:pPr>
            <w:r>
              <w:t xml:space="preserve">General Inquiries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6D22" w14:textId="77777777" w:rsidR="002D5ED7" w:rsidRDefault="00250B8D">
            <w:pPr>
              <w:spacing w:after="0" w:line="259" w:lineRule="auto"/>
              <w:ind w:left="0" w:right="0" w:firstLine="0"/>
            </w:pPr>
            <w:r>
              <w:rPr>
                <w:color w:val="0563C1"/>
                <w:u w:val="single" w:color="0563C1"/>
              </w:rPr>
              <w:t>RVRSCommunications@mass.gov</w:t>
            </w:r>
            <w:r>
              <w:t xml:space="preserve">  </w:t>
            </w:r>
          </w:p>
        </w:tc>
      </w:tr>
      <w:tr w:rsidR="002D5ED7" w14:paraId="3A34957F" w14:textId="77777777">
        <w:trPr>
          <w:trHeight w:val="302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8224" w14:textId="77777777" w:rsidR="002D5ED7" w:rsidRDefault="00250B8D">
            <w:pPr>
              <w:spacing w:after="0" w:line="259" w:lineRule="auto"/>
              <w:ind w:left="2" w:right="0" w:firstLine="0"/>
            </w:pPr>
            <w:r>
              <w:t xml:space="preserve">RVRS Customer Service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47FE" w14:textId="77777777" w:rsidR="002D5ED7" w:rsidRDefault="00250B8D">
            <w:pPr>
              <w:spacing w:after="0" w:line="259" w:lineRule="auto"/>
              <w:ind w:left="0" w:right="0" w:firstLine="0"/>
            </w:pPr>
            <w:r>
              <w:rPr>
                <w:color w:val="0563C1"/>
                <w:u w:val="single" w:color="0563C1"/>
              </w:rPr>
              <w:t>vital.recordsrequest@state.ma.us</w:t>
            </w:r>
            <w:r>
              <w:t xml:space="preserve">  </w:t>
            </w:r>
          </w:p>
        </w:tc>
      </w:tr>
      <w:tr w:rsidR="002D5ED7" w14:paraId="183F3409" w14:textId="77777777">
        <w:trPr>
          <w:trHeight w:val="302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F8CA" w14:textId="77777777" w:rsidR="002D5ED7" w:rsidRDefault="00250B8D">
            <w:pPr>
              <w:spacing w:after="0" w:line="259" w:lineRule="auto"/>
              <w:ind w:left="2" w:right="0" w:firstLine="0"/>
            </w:pPr>
            <w:r>
              <w:t xml:space="preserve">Vitals Information Partnership (VIP) Accounts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1414" w14:textId="77777777" w:rsidR="002D5ED7" w:rsidRDefault="00250B8D">
            <w:pPr>
              <w:spacing w:after="0" w:line="259" w:lineRule="auto"/>
              <w:ind w:left="0" w:right="0" w:firstLine="0"/>
            </w:pPr>
            <w:r>
              <w:rPr>
                <w:color w:val="0563C1"/>
                <w:u w:val="single" w:color="0563C1"/>
              </w:rPr>
              <w:t>vip-accounts@state.ma.us</w:t>
            </w:r>
            <w:r>
              <w:t xml:space="preserve">  </w:t>
            </w:r>
          </w:p>
        </w:tc>
      </w:tr>
      <w:tr w:rsidR="002D5ED7" w14:paraId="509EC32C" w14:textId="77777777">
        <w:trPr>
          <w:trHeight w:val="305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FEE8" w14:textId="77777777" w:rsidR="002D5ED7" w:rsidRDefault="00250B8D">
            <w:pPr>
              <w:spacing w:after="0" w:line="259" w:lineRule="auto"/>
              <w:ind w:left="2" w:right="0" w:firstLine="0"/>
            </w:pPr>
            <w:r>
              <w:t xml:space="preserve">Vitals Information Partnership (VIP) Registration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E89F" w14:textId="77777777" w:rsidR="002D5ED7" w:rsidRDefault="00250B8D">
            <w:pPr>
              <w:spacing w:after="0" w:line="259" w:lineRule="auto"/>
              <w:ind w:left="0" w:right="0" w:firstLine="0"/>
            </w:pPr>
            <w:r>
              <w:rPr>
                <w:color w:val="0563C1"/>
                <w:u w:val="single" w:color="0563C1"/>
              </w:rPr>
              <w:t>vip@state.ma.us</w:t>
            </w:r>
            <w:r>
              <w:t xml:space="preserve">  </w:t>
            </w:r>
          </w:p>
        </w:tc>
      </w:tr>
    </w:tbl>
    <w:p w14:paraId="75B25DA7" w14:textId="77777777" w:rsidR="002D5ED7" w:rsidRDefault="00250B8D">
      <w:pPr>
        <w:spacing w:after="99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14:paraId="56BFB45F" w14:textId="77777777" w:rsidR="002D5ED7" w:rsidRDefault="00250B8D">
      <w:pPr>
        <w:pStyle w:val="Heading2"/>
        <w:pBdr>
          <w:top w:val="single" w:sz="4" w:space="0" w:color="30347C"/>
          <w:left w:val="single" w:sz="4" w:space="0" w:color="30347C"/>
          <w:bottom w:val="single" w:sz="4" w:space="0" w:color="30347C"/>
          <w:right w:val="single" w:sz="4" w:space="0" w:color="30347C"/>
        </w:pBdr>
        <w:shd w:val="clear" w:color="auto" w:fill="30347C"/>
        <w:ind w:left="144"/>
      </w:pPr>
      <w:r>
        <w:rPr>
          <w:color w:val="FFFFFF"/>
        </w:rPr>
        <w:t>Key Resources</w:t>
      </w:r>
      <w:r>
        <w:rPr>
          <w:b w:val="0"/>
          <w:color w:val="FFFFFF"/>
          <w:sz w:val="22"/>
        </w:rPr>
        <w:t xml:space="preserve"> </w:t>
      </w:r>
    </w:p>
    <w:p w14:paraId="13777F26" w14:textId="77777777" w:rsidR="002D5ED7" w:rsidRDefault="00250B8D">
      <w:pPr>
        <w:spacing w:after="143" w:line="259" w:lineRule="auto"/>
        <w:ind w:left="0" w:right="0" w:firstLine="0"/>
        <w:jc w:val="right"/>
      </w:pPr>
      <w:r>
        <w:rPr>
          <w:b/>
        </w:rPr>
        <w:t xml:space="preserve">  </w:t>
      </w:r>
    </w:p>
    <w:p w14:paraId="6A559817" w14:textId="77777777" w:rsidR="002D5ED7" w:rsidRDefault="00250B8D">
      <w:pPr>
        <w:numPr>
          <w:ilvl w:val="0"/>
          <w:numId w:val="1"/>
        </w:numPr>
        <w:ind w:right="116" w:hanging="360"/>
      </w:pPr>
      <w:hyperlink r:id="rId31">
        <w:r>
          <w:rPr>
            <w:color w:val="0563C1"/>
            <w:u w:val="single" w:color="0563C1"/>
          </w:rPr>
          <w:t>RVRS</w:t>
        </w:r>
      </w:hyperlink>
      <w:hyperlink r:id="rId32">
        <w:r>
          <w:t xml:space="preserve"> </w:t>
        </w:r>
      </w:hyperlink>
      <w:r>
        <w:t>administers and issues copies of vital records that occurred in Massachusetts fro</w:t>
      </w:r>
      <w:r>
        <w:t xml:space="preserve">m 1931 to the present. RVRS also provides statistics on births, deaths, fetal deaths, divorces, and marriages.  </w:t>
      </w:r>
    </w:p>
    <w:p w14:paraId="70B8888A" w14:textId="77777777" w:rsidR="002D5ED7" w:rsidRDefault="00250B8D">
      <w:pPr>
        <w:numPr>
          <w:ilvl w:val="0"/>
          <w:numId w:val="1"/>
        </w:numPr>
        <w:spacing w:after="42"/>
        <w:ind w:right="116" w:hanging="360"/>
      </w:pPr>
      <w:hyperlink r:id="rId33">
        <w:r>
          <w:rPr>
            <w:color w:val="0563C1"/>
            <w:u w:val="single" w:color="0563C1"/>
          </w:rPr>
          <w:t>Population Health Information Tool (PHIT)</w:t>
        </w:r>
      </w:hyperlink>
      <w:hyperlink r:id="rId34">
        <w:r>
          <w:rPr>
            <w:b/>
          </w:rPr>
          <w:t xml:space="preserve"> </w:t>
        </w:r>
      </w:hyperlink>
      <w:r>
        <w:t xml:space="preserve">is a core website to explore Massachusetts public health data. PHIT is free to use, open to the public, and provides dynamic, </w:t>
      </w:r>
      <w:proofErr w:type="spellStart"/>
      <w:r>
        <w:t>easyto</w:t>
      </w:r>
      <w:proofErr w:type="spellEnd"/>
      <w:r>
        <w:t xml:space="preserve">-download data so users can make data-informed decisions.  </w:t>
      </w:r>
    </w:p>
    <w:p w14:paraId="725AFC55" w14:textId="77777777" w:rsidR="002D5ED7" w:rsidRDefault="00250B8D">
      <w:pPr>
        <w:numPr>
          <w:ilvl w:val="0"/>
          <w:numId w:val="1"/>
        </w:numPr>
        <w:ind w:right="116" w:hanging="360"/>
      </w:pPr>
      <w:r>
        <w:t xml:space="preserve">The </w:t>
      </w:r>
      <w:hyperlink r:id="rId35">
        <w:r>
          <w:rPr>
            <w:color w:val="0563C1"/>
            <w:u w:val="single" w:color="0563C1"/>
          </w:rPr>
          <w:t>Federal Emergency Management Administration’s (FEMA) COVID</w:t>
        </w:r>
      </w:hyperlink>
      <w:hyperlink r:id="rId36">
        <w:r>
          <w:rPr>
            <w:color w:val="0563C1"/>
            <w:u w:val="single" w:color="0563C1"/>
          </w:rPr>
          <w:t>-</w:t>
        </w:r>
      </w:hyperlink>
      <w:hyperlink r:id="rId37">
        <w:r>
          <w:rPr>
            <w:color w:val="0563C1"/>
            <w:u w:val="single" w:color="0563C1"/>
          </w:rPr>
          <w:t>19 Funeral</w:t>
        </w:r>
      </w:hyperlink>
      <w:hyperlink r:id="rId38">
        <w:r>
          <w:rPr>
            <w:color w:val="0563C1"/>
          </w:rPr>
          <w:t xml:space="preserve"> </w:t>
        </w:r>
      </w:hyperlink>
      <w:hyperlink r:id="rId39">
        <w:r>
          <w:rPr>
            <w:color w:val="0563C1"/>
            <w:u w:val="single" w:color="0563C1"/>
          </w:rPr>
          <w:t>Assistance Program</w:t>
        </w:r>
      </w:hyperlink>
      <w:hyperlink r:id="rId40">
        <w:r>
          <w:t xml:space="preserve"> </w:t>
        </w:r>
      </w:hyperlink>
      <w:r>
        <w:t xml:space="preserve">may be able to offer financial assistance to your constituents who have already paid for funeral expenditures linked to COVID-19.  </w:t>
      </w:r>
    </w:p>
    <w:p w14:paraId="278F3FCB" w14:textId="77777777" w:rsidR="002D5ED7" w:rsidRDefault="00250B8D">
      <w:pPr>
        <w:spacing w:after="236" w:line="259" w:lineRule="auto"/>
        <w:ind w:left="0" w:right="0" w:firstLine="0"/>
      </w:pPr>
      <w:r>
        <w:t xml:space="preserve"> </w:t>
      </w:r>
    </w:p>
    <w:p w14:paraId="3D8F0C6A" w14:textId="77777777" w:rsidR="002D5ED7" w:rsidRDefault="00250B8D">
      <w:pPr>
        <w:spacing w:after="236"/>
        <w:ind w:left="502" w:right="116"/>
      </w:pPr>
      <w:r>
        <w:t xml:space="preserve">Registry of Vital Records and Statistics | 150 Mt Vernon Street, Dorchester, MA 02125 </w:t>
      </w:r>
    </w:p>
    <w:p w14:paraId="33DC04CB" w14:textId="77777777" w:rsidR="002D5ED7" w:rsidRDefault="00250B8D">
      <w:pPr>
        <w:spacing w:after="228" w:line="259" w:lineRule="auto"/>
        <w:ind w:right="143"/>
        <w:jc w:val="center"/>
      </w:pPr>
      <w:r>
        <w:t xml:space="preserve">Unsubscribe </w:t>
      </w:r>
      <w:r>
        <w:rPr>
          <w:color w:val="0563C1"/>
          <w:u w:val="single" w:color="0563C1"/>
        </w:rPr>
        <w:t>RVRSCommunications@mass</w:t>
      </w:r>
      <w:r>
        <w:rPr>
          <w:color w:val="0563C1"/>
          <w:u w:val="single" w:color="0563C1"/>
        </w:rPr>
        <w:t>.gov</w:t>
      </w:r>
      <w:r>
        <w:t xml:space="preserve"> </w:t>
      </w:r>
    </w:p>
    <w:p w14:paraId="1AB0A1C3" w14:textId="77777777" w:rsidR="002D5ED7" w:rsidRDefault="00250B8D">
      <w:pPr>
        <w:spacing w:after="228" w:line="259" w:lineRule="auto"/>
        <w:ind w:right="143"/>
        <w:jc w:val="center"/>
      </w:pPr>
      <w:r>
        <w:t xml:space="preserve">Sent by </w:t>
      </w:r>
      <w:r>
        <w:rPr>
          <w:color w:val="0563C1"/>
          <w:u w:val="single" w:color="0563C1"/>
        </w:rPr>
        <w:t>RVRSCommunications@mass.gov</w:t>
      </w:r>
      <w:r>
        <w:t xml:space="preserve"> </w:t>
      </w:r>
    </w:p>
    <w:p w14:paraId="053A6A4B" w14:textId="77777777" w:rsidR="002D5ED7" w:rsidRDefault="00250B8D">
      <w:pPr>
        <w:spacing w:after="0" w:line="259" w:lineRule="auto"/>
        <w:ind w:left="0" w:right="0" w:firstLine="0"/>
      </w:pPr>
      <w:r>
        <w:t xml:space="preserve"> </w:t>
      </w:r>
    </w:p>
    <w:sectPr w:rsidR="002D5ED7">
      <w:pgSz w:w="12240" w:h="15840"/>
      <w:pgMar w:top="720" w:right="1300" w:bottom="7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37F71"/>
    <w:multiLevelType w:val="hybridMultilevel"/>
    <w:tmpl w:val="DD86F1FC"/>
    <w:lvl w:ilvl="0" w:tplc="0C08F0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94FF9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76F7C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0FD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B888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82FD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564C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CEB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484F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ED7"/>
    <w:rsid w:val="00250B8D"/>
    <w:rsid w:val="002D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C858B"/>
  <w15:docId w15:val="{54399C4F-8218-490F-8879-33940F08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5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206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30347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2060"/>
      <w:sz w:val="28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30347C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doc/rvrs-memo-to-clerks-ending-child-marriage/download" TargetMode="External"/><Relationship Id="rId18" Type="http://schemas.openxmlformats.org/officeDocument/2006/relationships/hyperlink" Target="https://www.mass.gov/how-to/apply-for-a-pre-adoption-birth-record" TargetMode="External"/><Relationship Id="rId26" Type="http://schemas.openxmlformats.org/officeDocument/2006/relationships/hyperlink" Target="https://www.mass.gov/lists/annual-massachusetts-death-reports" TargetMode="External"/><Relationship Id="rId39" Type="http://schemas.openxmlformats.org/officeDocument/2006/relationships/hyperlink" Target="https://www.fema.gov/disaster/coronavirus/economic/funeral-assistance" TargetMode="External"/><Relationship Id="rId21" Type="http://schemas.openxmlformats.org/officeDocument/2006/relationships/hyperlink" Target="https://www.mass.gov/how-to/apply-for-a-pre-adoption-birth-record" TargetMode="External"/><Relationship Id="rId34" Type="http://schemas.openxmlformats.org/officeDocument/2006/relationships/hyperlink" Target="https://www.mass.gov/orgs/population-health-information-tool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20.jpg"/><Relationship Id="rId2" Type="http://schemas.openxmlformats.org/officeDocument/2006/relationships/styles" Target="styles.xml"/><Relationship Id="rId16" Type="http://schemas.openxmlformats.org/officeDocument/2006/relationships/hyperlink" Target="https://www.mass.gov/doc/rvrs-notice-to-clerks-pre-adoption-legislation-0/download" TargetMode="External"/><Relationship Id="rId20" Type="http://schemas.openxmlformats.org/officeDocument/2006/relationships/hyperlink" Target="https://www.mass.gov/how-to/apply-for-a-pre-adoption-birth-record" TargetMode="External"/><Relationship Id="rId29" Type="http://schemas.openxmlformats.org/officeDocument/2006/relationships/hyperlink" Target="https://www.mass.gov/diabetes-management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www.mass.gov/doc/rvrs-memo-to-clerks-ending-child-marriage/download" TargetMode="External"/><Relationship Id="rId24" Type="http://schemas.openxmlformats.org/officeDocument/2006/relationships/hyperlink" Target="https://www.mass.gov/how-to/apply-for-a-pre-adoption-birth-record" TargetMode="External"/><Relationship Id="rId32" Type="http://schemas.openxmlformats.org/officeDocument/2006/relationships/hyperlink" Target="https://www.mass.gov/orgs/registry-of-vital-records-and-statistics" TargetMode="External"/><Relationship Id="rId37" Type="http://schemas.openxmlformats.org/officeDocument/2006/relationships/hyperlink" Target="https://www.fema.gov/disaster/coronavirus/economic/funeral-assistance" TargetMode="External"/><Relationship Id="rId40" Type="http://schemas.openxmlformats.org/officeDocument/2006/relationships/hyperlink" Target="https://www.fema.gov/disaster/coronavirus/economic/funeral-assistance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malegislature.gov/budget" TargetMode="External"/><Relationship Id="rId23" Type="http://schemas.openxmlformats.org/officeDocument/2006/relationships/hyperlink" Target="https://www.mass.gov/how-to/apply-for-a-pre-adoption-birth-record" TargetMode="External"/><Relationship Id="rId28" Type="http://schemas.openxmlformats.org/officeDocument/2006/relationships/hyperlink" Target="https://www.mass.gov/diabetes-management" TargetMode="External"/><Relationship Id="rId36" Type="http://schemas.openxmlformats.org/officeDocument/2006/relationships/hyperlink" Target="https://www.fema.gov/disaster/coronavirus/economic/funeral-assistance" TargetMode="External"/><Relationship Id="rId10" Type="http://schemas.openxmlformats.org/officeDocument/2006/relationships/hyperlink" Target="https://www.mass.gov/doc/veteran-worksheet-part-b-0/download" TargetMode="External"/><Relationship Id="rId19" Type="http://schemas.openxmlformats.org/officeDocument/2006/relationships/hyperlink" Target="https://www.mass.gov/how-to/apply-for-a-pre-adoption-birth-record" TargetMode="External"/><Relationship Id="rId31" Type="http://schemas.openxmlformats.org/officeDocument/2006/relationships/hyperlink" Target="https://www.mass.gov/orgs/registry-of-vital-records-and-statist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doc/veteran-worksheet-part-b-0/download" TargetMode="External"/><Relationship Id="rId14" Type="http://schemas.openxmlformats.org/officeDocument/2006/relationships/hyperlink" Target="https://malegislature.gov/budget" TargetMode="External"/><Relationship Id="rId22" Type="http://schemas.openxmlformats.org/officeDocument/2006/relationships/hyperlink" Target="https://www.mass.gov/how-to/apply-for-a-pre-adoption-birth-record" TargetMode="External"/><Relationship Id="rId27" Type="http://schemas.openxmlformats.org/officeDocument/2006/relationships/hyperlink" Target="https://www.mass.gov/lists/annual-massachusetts-death-reports" TargetMode="External"/><Relationship Id="rId30" Type="http://schemas.openxmlformats.org/officeDocument/2006/relationships/image" Target="media/image4.jpg"/><Relationship Id="rId35" Type="http://schemas.openxmlformats.org/officeDocument/2006/relationships/hyperlink" Target="https://www.fema.gov/disaster/coronavirus/economic/funeral-assistance" TargetMode="External"/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12" Type="http://schemas.openxmlformats.org/officeDocument/2006/relationships/hyperlink" Target="https://www.mass.gov/doc/rvrs-memo-to-clerks-ending-child-marriage/download" TargetMode="External"/><Relationship Id="rId17" Type="http://schemas.openxmlformats.org/officeDocument/2006/relationships/hyperlink" Target="https://www.mass.gov/doc/rvrs-notice-to-clerks-pre-adoption-legislation-0/download" TargetMode="External"/><Relationship Id="rId25" Type="http://schemas.openxmlformats.org/officeDocument/2006/relationships/hyperlink" Target="https://www.mass.gov/lists/annual-massachusetts-death-reports" TargetMode="External"/><Relationship Id="rId33" Type="http://schemas.openxmlformats.org/officeDocument/2006/relationships/hyperlink" Target="https://www.mass.gov/orgs/population-health-information-tool" TargetMode="External"/><Relationship Id="rId38" Type="http://schemas.openxmlformats.org/officeDocument/2006/relationships/hyperlink" Target="https://www.fema.gov/disaster/coronavirus/economic/funeral-assis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6926</Characters>
  <Application>Microsoft Office Word</Application>
  <DocSecurity>0</DocSecurity>
  <Lines>57</Lines>
  <Paragraphs>16</Paragraphs>
  <ScaleCrop>false</ScaleCrop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Gailee Cardwell</dc:creator>
  <cp:keywords/>
  <cp:lastModifiedBy>Leung, Manwai (DPH)</cp:lastModifiedBy>
  <cp:revision>2</cp:revision>
  <dcterms:created xsi:type="dcterms:W3CDTF">2023-02-02T17:40:00Z</dcterms:created>
  <dcterms:modified xsi:type="dcterms:W3CDTF">2023-02-02T17:40:00Z</dcterms:modified>
</cp:coreProperties>
</file>